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67296" w14:textId="77777777" w:rsidR="004C08B6" w:rsidRPr="004C08B6" w:rsidRDefault="004C08B6" w:rsidP="004C08B6">
      <w:pPr>
        <w:jc w:val="both"/>
        <w:rPr>
          <w:b/>
          <w:bCs/>
          <w:i/>
          <w:iCs/>
          <w:sz w:val="36"/>
          <w:szCs w:val="36"/>
          <w:u w:val="single"/>
        </w:rPr>
      </w:pPr>
      <w:r w:rsidRPr="004C08B6">
        <w:rPr>
          <w:b/>
          <w:bCs/>
          <w:i/>
          <w:iCs/>
          <w:sz w:val="36"/>
          <w:szCs w:val="36"/>
          <w:u w:val="single"/>
        </w:rPr>
        <w:t>Original Research Article</w:t>
      </w:r>
    </w:p>
    <w:p w14:paraId="5D9BFB14" w14:textId="463CEE3A" w:rsidR="003F66E0" w:rsidRPr="0066424F" w:rsidRDefault="001A457B" w:rsidP="00E96762">
      <w:pPr>
        <w:pBdr>
          <w:bottom w:val="single" w:sz="12" w:space="1" w:color="auto"/>
        </w:pBdr>
        <w:rPr>
          <w:i/>
          <w:iCs/>
        </w:rPr>
      </w:pPr>
      <w:r w:rsidRPr="001A457B">
        <w:rPr>
          <w:b/>
          <w:sz w:val="36"/>
          <w:szCs w:val="36"/>
        </w:rPr>
        <w:t>Comparative Diagnostic Performance of Remote Dielectric Sensing and Lung Ultrasound for Detecting Pulmonary Congestion in Stable Ambulatory Heart Failure Patients</w:t>
      </w:r>
    </w:p>
    <w:p w14:paraId="044B7196" w14:textId="5B289B94" w:rsidR="001C3883" w:rsidRPr="00E96762" w:rsidRDefault="003B2B8F" w:rsidP="00E96762">
      <w:pPr>
        <w:rPr>
          <w:b/>
          <w:bCs/>
        </w:rPr>
      </w:pPr>
      <w:r w:rsidRPr="00E96762">
        <w:rPr>
          <w:b/>
          <w:bCs/>
          <w:sz w:val="22"/>
        </w:rPr>
        <w:t>ABSTRACT</w:t>
      </w:r>
    </w:p>
    <w:p w14:paraId="01AEF7B9" w14:textId="1294DF73" w:rsidR="00BD48AB" w:rsidRDefault="00BD48AB" w:rsidP="00AA54DF">
      <w:pPr>
        <w:pBdr>
          <w:top w:val="single" w:sz="4" w:space="1" w:color="auto"/>
          <w:left w:val="single" w:sz="4" w:space="4" w:color="auto"/>
          <w:bottom w:val="single" w:sz="4" w:space="1" w:color="auto"/>
          <w:right w:val="single" w:sz="4" w:space="4" w:color="auto"/>
        </w:pBdr>
        <w:shd w:val="clear" w:color="auto" w:fill="D9D9D9" w:themeFill="background1" w:themeFillShade="D9"/>
        <w:rPr>
          <w:sz w:val="22"/>
        </w:rPr>
      </w:pPr>
      <w:r w:rsidRPr="00BD48AB">
        <w:rPr>
          <w:b/>
          <w:bCs/>
          <w:sz w:val="22"/>
        </w:rPr>
        <w:t>Aims</w:t>
      </w:r>
      <w:r>
        <w:rPr>
          <w:b/>
          <w:bCs/>
          <w:sz w:val="22"/>
        </w:rPr>
        <w:t xml:space="preserve">: </w:t>
      </w:r>
      <w:r w:rsidR="001A457B" w:rsidRPr="001A457B">
        <w:rPr>
          <w:sz w:val="22"/>
        </w:rPr>
        <w:t>To compare the diagnostic accuracy of remote dielectric sensing (</w:t>
      </w:r>
      <w:proofErr w:type="spellStart"/>
      <w:r w:rsidR="001A457B" w:rsidRPr="001A457B">
        <w:rPr>
          <w:sz w:val="22"/>
        </w:rPr>
        <w:t>ReDS</w:t>
      </w:r>
      <w:proofErr w:type="spellEnd"/>
      <w:r w:rsidR="001A457B" w:rsidRPr="001A457B">
        <w:rPr>
          <w:sz w:val="22"/>
        </w:rPr>
        <w:t>) and lung ultrasound (LUS) for detecting pulmonary congestion in stable ambulatory patients with chronic heart failure using a blinded composite clinical–biomarker reference standard.</w:t>
      </w:r>
      <w:r>
        <w:rPr>
          <w:sz w:val="22"/>
        </w:rPr>
        <w:br/>
      </w:r>
      <w:r w:rsidRPr="00BD48AB">
        <w:rPr>
          <w:b/>
          <w:bCs/>
          <w:sz w:val="22"/>
        </w:rPr>
        <w:t>Study Design</w:t>
      </w:r>
      <w:r>
        <w:rPr>
          <w:b/>
          <w:bCs/>
          <w:sz w:val="22"/>
        </w:rPr>
        <w:t xml:space="preserve">: </w:t>
      </w:r>
      <w:r w:rsidRPr="00BD48AB">
        <w:rPr>
          <w:sz w:val="22"/>
        </w:rPr>
        <w:t>Prospective single-center diagnostic accuracy study.</w:t>
      </w:r>
      <w:r>
        <w:rPr>
          <w:sz w:val="22"/>
        </w:rPr>
        <w:br/>
      </w:r>
      <w:r w:rsidRPr="00BD48AB">
        <w:rPr>
          <w:b/>
          <w:bCs/>
          <w:sz w:val="22"/>
        </w:rPr>
        <w:t>Place and Duration of Study</w:t>
      </w:r>
      <w:r>
        <w:rPr>
          <w:b/>
          <w:bCs/>
          <w:sz w:val="22"/>
        </w:rPr>
        <w:t xml:space="preserve">: </w:t>
      </w:r>
      <w:r w:rsidRPr="00BD48AB">
        <w:rPr>
          <w:sz w:val="22"/>
        </w:rPr>
        <w:t>Single center, conducted between March and November 2024.</w:t>
      </w:r>
      <w:r>
        <w:rPr>
          <w:sz w:val="22"/>
        </w:rPr>
        <w:br/>
      </w:r>
      <w:r w:rsidRPr="00BD48AB">
        <w:rPr>
          <w:b/>
          <w:bCs/>
          <w:sz w:val="22"/>
        </w:rPr>
        <w:t>Methodology</w:t>
      </w:r>
      <w:r>
        <w:rPr>
          <w:b/>
          <w:bCs/>
          <w:sz w:val="22"/>
        </w:rPr>
        <w:t xml:space="preserve">: </w:t>
      </w:r>
      <w:r w:rsidR="001A457B" w:rsidRPr="001A457B">
        <w:rPr>
          <w:sz w:val="22"/>
        </w:rPr>
        <w:t xml:space="preserve">A total of 112 stable outpatients with chronic heart failure underwent sequential clinical assessment, </w:t>
      </w:r>
      <w:proofErr w:type="spellStart"/>
      <w:r w:rsidR="001A457B" w:rsidRPr="001A457B">
        <w:rPr>
          <w:sz w:val="22"/>
        </w:rPr>
        <w:t>ReDS</w:t>
      </w:r>
      <w:proofErr w:type="spellEnd"/>
      <w:r w:rsidR="001A457B" w:rsidRPr="001A457B">
        <w:rPr>
          <w:sz w:val="22"/>
        </w:rPr>
        <w:t xml:space="preserve"> measurement, and standardized eight-zone LUS during the same visit. Congestion status was adjudicated by a blinded senior cardiologist using a pragmatic composite clinical score combined with NT-</w:t>
      </w:r>
      <w:proofErr w:type="spellStart"/>
      <w:r w:rsidR="001A457B" w:rsidRPr="001A457B">
        <w:rPr>
          <w:sz w:val="22"/>
        </w:rPr>
        <w:t>proBNP</w:t>
      </w:r>
      <w:proofErr w:type="spellEnd"/>
      <w:r w:rsidR="001A457B" w:rsidRPr="001A457B">
        <w:rPr>
          <w:sz w:val="22"/>
        </w:rPr>
        <w:t xml:space="preserve"> ≥1500 ng/L as the reference standard. The prespecified </w:t>
      </w:r>
      <w:proofErr w:type="spellStart"/>
      <w:r w:rsidR="001A457B" w:rsidRPr="001A457B">
        <w:rPr>
          <w:sz w:val="22"/>
        </w:rPr>
        <w:t>ReDS</w:t>
      </w:r>
      <w:proofErr w:type="spellEnd"/>
      <w:r w:rsidR="001A457B" w:rsidRPr="001A457B">
        <w:rPr>
          <w:sz w:val="22"/>
        </w:rPr>
        <w:t xml:space="preserve"> threshold was &gt;35%. The LUS threshold of ≥24 B-lines was derived using the Youden index and considered exploratory. The primary outcome was area under the receiver operating characteristic curve (AUC). Secondary outcomes included sensitivity, specificity, likelihood ratios, agreement, and correlation.</w:t>
      </w:r>
      <w:r>
        <w:rPr>
          <w:sz w:val="22"/>
        </w:rPr>
        <w:br/>
      </w:r>
      <w:r w:rsidRPr="00BD48AB">
        <w:rPr>
          <w:b/>
          <w:bCs/>
          <w:sz w:val="22"/>
        </w:rPr>
        <w:t>Results</w:t>
      </w:r>
      <w:r>
        <w:rPr>
          <w:b/>
          <w:bCs/>
          <w:sz w:val="22"/>
        </w:rPr>
        <w:t xml:space="preserve">: </w:t>
      </w:r>
      <w:r w:rsidR="00CC4438" w:rsidRPr="00CC4438">
        <w:rPr>
          <w:sz w:val="22"/>
        </w:rPr>
        <w:t xml:space="preserve">Fifty-nine patients (52.7%) met criteria for pulmonary congestion. </w:t>
      </w:r>
      <w:proofErr w:type="spellStart"/>
      <w:r w:rsidR="00CC4438" w:rsidRPr="00CC4438">
        <w:rPr>
          <w:sz w:val="22"/>
        </w:rPr>
        <w:t>ReDS</w:t>
      </w:r>
      <w:proofErr w:type="spellEnd"/>
      <w:r w:rsidR="00CC4438" w:rsidRPr="00CC4438">
        <w:rPr>
          <w:sz w:val="22"/>
        </w:rPr>
        <w:t xml:space="preserve"> demonstrated an AUC of 0.831 (95% CI 0.748–0.899), and LUS demonstrated an AUC of 0.845 (95% CI 0.764–0.909), with no significant difference (P = .80). At &gt;35%, </w:t>
      </w:r>
      <w:proofErr w:type="spellStart"/>
      <w:r w:rsidR="00CC4438" w:rsidRPr="00CC4438">
        <w:rPr>
          <w:sz w:val="22"/>
        </w:rPr>
        <w:t>ReDS</w:t>
      </w:r>
      <w:proofErr w:type="spellEnd"/>
      <w:r w:rsidR="00CC4438" w:rsidRPr="00CC4438">
        <w:rPr>
          <w:sz w:val="22"/>
        </w:rPr>
        <w:t xml:space="preserve"> sensitivity was 71.2% and specificity 81.1%. At ≥24 B-lines (exploratory), LUS sensitivity was 69.5% and specificity 83.0%. Overall accuracy was 75.9% for both methods. Inter-method concordance was 83.0% (κ = 0.65). Continuous measures correlated modestly (r = 0.36, P &lt; .001). Inter-observer agreement for </w:t>
      </w:r>
      <w:proofErr w:type="spellStart"/>
      <w:r w:rsidR="00CC4438" w:rsidRPr="00CC4438">
        <w:rPr>
          <w:sz w:val="22"/>
        </w:rPr>
        <w:t>thresholded</w:t>
      </w:r>
      <w:proofErr w:type="spellEnd"/>
      <w:r w:rsidR="00CC4438" w:rsidRPr="00CC4438">
        <w:rPr>
          <w:sz w:val="22"/>
        </w:rPr>
        <w:t xml:space="preserve"> LUS classification was substantial (κ = 0.75).</w:t>
      </w:r>
      <w:r>
        <w:rPr>
          <w:sz w:val="22"/>
        </w:rPr>
        <w:br/>
      </w:r>
      <w:r w:rsidRPr="00BD48AB">
        <w:rPr>
          <w:b/>
          <w:bCs/>
          <w:sz w:val="22"/>
        </w:rPr>
        <w:t>Conclusion</w:t>
      </w:r>
      <w:r>
        <w:rPr>
          <w:b/>
          <w:bCs/>
          <w:sz w:val="22"/>
        </w:rPr>
        <w:t xml:space="preserve">: </w:t>
      </w:r>
      <w:proofErr w:type="spellStart"/>
      <w:r w:rsidR="003637BB" w:rsidRPr="003637BB">
        <w:rPr>
          <w:sz w:val="22"/>
        </w:rPr>
        <w:t>ReDS</w:t>
      </w:r>
      <w:proofErr w:type="spellEnd"/>
      <w:r w:rsidR="003637BB" w:rsidRPr="003637BB">
        <w:rPr>
          <w:sz w:val="22"/>
        </w:rPr>
        <w:t xml:space="preserve"> and LUS demonstrated comparable discrimination for detecting pulmonary congestion in stable ambulatory heart failure patients. Modest correlation and clinically relevant discordance suggest complementary physiological information. The pragmatic composite reference standard and absence of invasive validation represent limitations. Further multicenter validation is warranted.</w:t>
      </w:r>
    </w:p>
    <w:p w14:paraId="108A0E54" w14:textId="69DA2B62" w:rsidR="001C3883" w:rsidRPr="00151CFE" w:rsidRDefault="00E96762" w:rsidP="00AA54DF">
      <w:pPr>
        <w:rPr>
          <w:sz w:val="22"/>
        </w:rPr>
      </w:pPr>
      <w:r>
        <w:rPr>
          <w:sz w:val="22"/>
        </w:rPr>
        <w:br/>
      </w:r>
      <w:r w:rsidRPr="00E96762">
        <w:rPr>
          <w:b/>
          <w:bCs/>
          <w:sz w:val="22"/>
        </w:rPr>
        <w:t>Keywords:</w:t>
      </w:r>
      <w:r w:rsidRPr="00151CFE">
        <w:rPr>
          <w:sz w:val="22"/>
        </w:rPr>
        <w:t xml:space="preserve"> Heart failure; pulmonary congestion; remote dielectric sensing; lung ultrasound; diagnostic accuracy</w:t>
      </w:r>
    </w:p>
    <w:p w14:paraId="1B546ED4" w14:textId="77777777" w:rsidR="001C3883" w:rsidRDefault="003B2B8F">
      <w:pPr>
        <w:pStyle w:val="Heading1"/>
      </w:pPr>
      <w:r>
        <w:rPr>
          <w:rFonts w:ascii="Arial" w:hAnsi="Arial"/>
          <w:sz w:val="22"/>
        </w:rPr>
        <w:lastRenderedPageBreak/>
        <w:t>1. INTRODUCTION</w:t>
      </w:r>
    </w:p>
    <w:p w14:paraId="369EFF00" w14:textId="77777777" w:rsidR="001F33A0" w:rsidRPr="001F33A0" w:rsidRDefault="001F33A0" w:rsidP="001F33A0">
      <w:pPr>
        <w:spacing w:after="160" w:line="278" w:lineRule="auto"/>
        <w:jc w:val="both"/>
      </w:pPr>
      <w:r w:rsidRPr="001F33A0">
        <w:t>Heart failure affects more than 64 million individuals worldwide and remains a major driver of hospitalization and healthcare expenditure (Savarese et al., 2023). Pulmonary congestion is the principal determinant of symptoms, clinical deterioration, and hospital admission (</w:t>
      </w:r>
      <w:proofErr w:type="spellStart"/>
      <w:r w:rsidRPr="001F33A0">
        <w:t>Gheorghiade</w:t>
      </w:r>
      <w:proofErr w:type="spellEnd"/>
      <w:r w:rsidRPr="001F33A0">
        <w:t xml:space="preserve"> et al., 2010; McDonagh et al., 2021). Early identification of congestion in ambulatory settings is essential for optimizing diuretic therapy and preventing decompensation. However, bedside assessment alone lacks sensitivity and reproducibility (Thibodeau &amp; </w:t>
      </w:r>
      <w:proofErr w:type="spellStart"/>
      <w:r w:rsidRPr="001F33A0">
        <w:t>Drazner</w:t>
      </w:r>
      <w:proofErr w:type="spellEnd"/>
      <w:r w:rsidRPr="001F33A0">
        <w:t>, 2018; Wang et al., 2005).</w:t>
      </w:r>
    </w:p>
    <w:p w14:paraId="0CA96158" w14:textId="77777777" w:rsidR="001F33A0" w:rsidRPr="001F33A0" w:rsidRDefault="001F33A0" w:rsidP="001F33A0">
      <w:pPr>
        <w:spacing w:after="160" w:line="278" w:lineRule="auto"/>
        <w:jc w:val="both"/>
      </w:pPr>
      <w:r w:rsidRPr="001F33A0">
        <w:t xml:space="preserve">Lung ultrasound identifies B-lines reflecting alveolar–interstitial edema and demonstrates high diagnostic accuracy in heart failure populations (Platz et al., 2017). In ambulatory cohorts, B-line burden predicts hospitalization and mortality (Platz et al., 2016; Domingo et al., 2021; Rastogi et al., 2024; </w:t>
      </w:r>
      <w:proofErr w:type="spellStart"/>
      <w:r w:rsidRPr="001F33A0">
        <w:t>Miglioranza</w:t>
      </w:r>
      <w:proofErr w:type="spellEnd"/>
      <w:r w:rsidRPr="001F33A0">
        <w:t xml:space="preserve"> et al., 2017). Performance depends on operator expertise and standardized acquisition (Ceriani et al., 2021).</w:t>
      </w:r>
    </w:p>
    <w:p w14:paraId="5908253D" w14:textId="77777777" w:rsidR="001F33A0" w:rsidRPr="001F33A0" w:rsidRDefault="001F33A0" w:rsidP="001F33A0">
      <w:pPr>
        <w:spacing w:after="160" w:line="278" w:lineRule="auto"/>
        <w:jc w:val="both"/>
      </w:pPr>
      <w:r w:rsidRPr="001F33A0">
        <w:t xml:space="preserve">Remote dielectric sensing provides automated estimation of lung fluid percentage using electromagnetic signals. Validation studies demonstrate correlation with invasive filling pressures and computed tomography–derived lung water (Amir et al., 2013; </w:t>
      </w:r>
      <w:proofErr w:type="spellStart"/>
      <w:r w:rsidRPr="001F33A0">
        <w:t>Bensimhon</w:t>
      </w:r>
      <w:proofErr w:type="spellEnd"/>
      <w:r w:rsidRPr="001F33A0">
        <w:t xml:space="preserve"> et al., 2016; Amir et al., 2016). Elevated </w:t>
      </w:r>
      <w:proofErr w:type="spellStart"/>
      <w:r w:rsidRPr="001F33A0">
        <w:t>ReDS</w:t>
      </w:r>
      <w:proofErr w:type="spellEnd"/>
      <w:r w:rsidRPr="001F33A0">
        <w:t xml:space="preserve"> values are associated with adverse outcomes (Imamura et al., 2017; Abraham et al., 2017; Olesen et al., 2022; Lala et al., 2021).</w:t>
      </w:r>
    </w:p>
    <w:p w14:paraId="6C37AEDD" w14:textId="0A4ABD22" w:rsidR="00FC7306" w:rsidRPr="00863B47" w:rsidRDefault="001F33A0" w:rsidP="00FC7306">
      <w:pPr>
        <w:spacing w:after="160" w:line="278" w:lineRule="auto"/>
        <w:jc w:val="both"/>
      </w:pPr>
      <w:r w:rsidRPr="001F33A0">
        <w:t xml:space="preserve">Few studies have compared </w:t>
      </w:r>
      <w:proofErr w:type="spellStart"/>
      <w:r w:rsidRPr="001F33A0">
        <w:t>ReDS</w:t>
      </w:r>
      <w:proofErr w:type="spellEnd"/>
      <w:r w:rsidRPr="001F33A0">
        <w:t xml:space="preserve"> and LUS using blinded adjudication in stable outpatient populations. We therefore evaluated their comparative diagnostic performance using a blinded pragmatic composite clinical–biomarker reference standard in ambulatory heart failure patients.</w:t>
      </w:r>
    </w:p>
    <w:p w14:paraId="74EA57A7" w14:textId="77777777" w:rsidR="001C3883" w:rsidRDefault="003B2B8F">
      <w:pPr>
        <w:pStyle w:val="Heading1"/>
      </w:pPr>
      <w:r>
        <w:rPr>
          <w:rFonts w:ascii="Arial" w:hAnsi="Arial"/>
          <w:sz w:val="22"/>
        </w:rPr>
        <w:t>2. MATERIAL AND METHODS</w:t>
      </w:r>
    </w:p>
    <w:p w14:paraId="603BB510" w14:textId="0EB89C8F" w:rsidR="00FC7306" w:rsidRPr="006719D8" w:rsidRDefault="00592F6F" w:rsidP="00FC7306">
      <w:pPr>
        <w:spacing w:after="160" w:line="278" w:lineRule="auto"/>
        <w:jc w:val="both"/>
        <w:rPr>
          <w:b/>
          <w:bCs/>
          <w:sz w:val="22"/>
        </w:rPr>
      </w:pPr>
      <w:r w:rsidRPr="005B3F7A">
        <w:rPr>
          <w:b/>
          <w:bCs/>
          <w:sz w:val="22"/>
        </w:rPr>
        <w:t xml:space="preserve">2.1. </w:t>
      </w:r>
      <w:r w:rsidR="00FC7306" w:rsidRPr="006719D8">
        <w:rPr>
          <w:b/>
          <w:bCs/>
          <w:sz w:val="22"/>
        </w:rPr>
        <w:t>Study Design</w:t>
      </w:r>
    </w:p>
    <w:p w14:paraId="3A015BAB" w14:textId="77777777" w:rsidR="001F33A0" w:rsidRPr="001F33A0" w:rsidRDefault="001F33A0" w:rsidP="001F33A0">
      <w:r w:rsidRPr="001F33A0">
        <w:t>Prospective diagnostic accuracy study conducted at Apollo Hospital, Chennai (March–November 2024). Ethics approval: AMH – DNB-078/08-23. Written informed consent was obtained from all participants. STARD 2015 reporting standards were followed (Bossuyt et al., 2015).</w:t>
      </w:r>
    </w:p>
    <w:p w14:paraId="401CC694" w14:textId="6EFE4120" w:rsidR="00592F6F" w:rsidRPr="001F33A0" w:rsidRDefault="001F33A0">
      <w:r w:rsidRPr="001F33A0">
        <w:t>A formal pre-study sample size calculation was not performed. Consecutive eligible patients were enrolled, and the final sample size was considered adequate for exploratory diagnostic accuracy estimation.</w:t>
      </w:r>
      <w:r w:rsidR="00133BCA" w:rsidRPr="00133BCA">
        <w:rPr>
          <w:b/>
          <w:bCs/>
        </w:rPr>
        <w:t xml:space="preserve"> </w:t>
      </w:r>
      <w:r w:rsidR="00592F6F">
        <w:rPr>
          <w:b/>
          <w:bCs/>
        </w:rPr>
        <w:br w:type="page"/>
      </w:r>
    </w:p>
    <w:p w14:paraId="01888BCB" w14:textId="1EEB3353" w:rsidR="00FC7306" w:rsidRPr="006719D8" w:rsidRDefault="00592F6F" w:rsidP="00FC7306">
      <w:pPr>
        <w:spacing w:after="160" w:line="278" w:lineRule="auto"/>
        <w:jc w:val="both"/>
        <w:rPr>
          <w:b/>
          <w:bCs/>
          <w:sz w:val="22"/>
        </w:rPr>
      </w:pPr>
      <w:r w:rsidRPr="005B3F7A">
        <w:rPr>
          <w:b/>
          <w:bCs/>
          <w:sz w:val="22"/>
        </w:rPr>
        <w:lastRenderedPageBreak/>
        <w:t xml:space="preserve">2.2. </w:t>
      </w:r>
      <w:r w:rsidR="00FC7306" w:rsidRPr="006719D8">
        <w:rPr>
          <w:b/>
          <w:bCs/>
          <w:sz w:val="22"/>
        </w:rPr>
        <w:t>Participants</w:t>
      </w:r>
    </w:p>
    <w:p w14:paraId="48E87851" w14:textId="77777777" w:rsidR="001F33A0" w:rsidRPr="001F33A0" w:rsidRDefault="001F33A0" w:rsidP="001F33A0">
      <w:pPr>
        <w:spacing w:after="160" w:line="278" w:lineRule="auto"/>
        <w:jc w:val="both"/>
      </w:pPr>
      <w:r w:rsidRPr="001F33A0">
        <w:t>Adults ≥18 years with established chronic heart failure attending outpatient clinics were included (McDonagh et al., 2021). Exclusion criteria included cardiac implantable electronic devices, recent thoracic surgery, significant chest wall deformity, and active pulmonary disease. Of 125 screened patients, 112 were included.</w:t>
      </w:r>
    </w:p>
    <w:p w14:paraId="195C915F" w14:textId="77777777" w:rsidR="001F33A0" w:rsidRPr="001F33A0" w:rsidRDefault="001F33A0" w:rsidP="001F33A0">
      <w:pPr>
        <w:spacing w:after="160" w:line="278" w:lineRule="auto"/>
        <w:jc w:val="both"/>
      </w:pPr>
      <w:r w:rsidRPr="001F33A0">
        <w:t>The inclusion of stable ambulatory patients may introduce spectrum bias and limits generalizability to acutely decompensated populations.</w:t>
      </w:r>
    </w:p>
    <w:p w14:paraId="5AF36265" w14:textId="563F7D1E" w:rsidR="00FC7306" w:rsidRPr="006719D8" w:rsidRDefault="00592F6F" w:rsidP="00FC7306">
      <w:pPr>
        <w:spacing w:after="160" w:line="278" w:lineRule="auto"/>
        <w:jc w:val="both"/>
        <w:rPr>
          <w:b/>
          <w:bCs/>
          <w:sz w:val="22"/>
        </w:rPr>
      </w:pPr>
      <w:r w:rsidRPr="005B3F7A">
        <w:rPr>
          <w:b/>
          <w:bCs/>
          <w:sz w:val="22"/>
        </w:rPr>
        <w:t xml:space="preserve">2.3. </w:t>
      </w:r>
      <w:proofErr w:type="spellStart"/>
      <w:r w:rsidR="00FC7306" w:rsidRPr="006719D8">
        <w:rPr>
          <w:b/>
          <w:bCs/>
          <w:sz w:val="22"/>
        </w:rPr>
        <w:t>ReDS</w:t>
      </w:r>
      <w:proofErr w:type="spellEnd"/>
    </w:p>
    <w:p w14:paraId="406B9AAE" w14:textId="77777777" w:rsidR="00F83714" w:rsidRDefault="00F83714" w:rsidP="00FC7306">
      <w:pPr>
        <w:spacing w:after="160" w:line="278" w:lineRule="auto"/>
        <w:jc w:val="both"/>
      </w:pPr>
      <w:r w:rsidRPr="00F83714">
        <w:t xml:space="preserve">A single-pad </w:t>
      </w:r>
      <w:proofErr w:type="spellStart"/>
      <w:r w:rsidRPr="00F83714">
        <w:t>ReDS</w:t>
      </w:r>
      <w:proofErr w:type="spellEnd"/>
      <w:r w:rsidRPr="00F83714">
        <w:t xml:space="preserve"> sensor system (Sensible Medical) was applied to the right lateral thoracic wall. Measurements were obtained in the seated position according to manufacturer protocol (~90 seconds). The prespecified diagnostic threshold was &gt;35% (Amir et al., 2013; </w:t>
      </w:r>
      <w:proofErr w:type="spellStart"/>
      <w:r w:rsidRPr="00F83714">
        <w:t>Bensimhon</w:t>
      </w:r>
      <w:proofErr w:type="spellEnd"/>
      <w:r w:rsidRPr="00F83714">
        <w:t xml:space="preserve"> et al., 2016; Abraham et al., 2017). Operators were blinded to LUS and laboratory results.</w:t>
      </w:r>
    </w:p>
    <w:p w14:paraId="06FE50CC" w14:textId="483C9949" w:rsidR="00FC7306" w:rsidRPr="006719D8" w:rsidRDefault="00592F6F" w:rsidP="00FC7306">
      <w:pPr>
        <w:spacing w:after="160" w:line="278" w:lineRule="auto"/>
        <w:jc w:val="both"/>
        <w:rPr>
          <w:b/>
          <w:bCs/>
          <w:sz w:val="22"/>
        </w:rPr>
      </w:pPr>
      <w:r w:rsidRPr="005B3F7A">
        <w:rPr>
          <w:b/>
          <w:bCs/>
          <w:sz w:val="22"/>
        </w:rPr>
        <w:t xml:space="preserve">2.4. </w:t>
      </w:r>
      <w:r w:rsidR="00F83714" w:rsidRPr="00F83714">
        <w:rPr>
          <w:b/>
          <w:bCs/>
          <w:sz w:val="22"/>
        </w:rPr>
        <w:t>Lung Ultrasound</w:t>
      </w:r>
    </w:p>
    <w:p w14:paraId="30882E76" w14:textId="77777777" w:rsidR="00F83714" w:rsidRPr="00F83714" w:rsidRDefault="00F83714" w:rsidP="00F83714">
      <w:pPr>
        <w:spacing w:after="160" w:line="278" w:lineRule="auto"/>
        <w:jc w:val="both"/>
      </w:pPr>
      <w:r w:rsidRPr="00F83714">
        <w:t>A standardized eight-zone protocol was performed in the semi-recumbent position. Six-second cine clips per zone were recorded. Coalescent artifacts were counted as single lines and capped at 10 per zone. Total B-lines were summed. Two experienced cardiologists performed scans. Twenty-three studies (21%) were independently reinterpreted. The ≥24 B-line threshold was derived using the Youden index and considered exploratory.</w:t>
      </w:r>
    </w:p>
    <w:p w14:paraId="7C9CCE91" w14:textId="2E82C8C1" w:rsidR="00FC7306" w:rsidRPr="006719D8" w:rsidRDefault="00F83714" w:rsidP="00FC7306">
      <w:pPr>
        <w:spacing w:after="160" w:line="278" w:lineRule="auto"/>
        <w:jc w:val="both"/>
      </w:pPr>
      <w:r w:rsidRPr="00F83714">
        <w:t>LUS operators were blinded to NT-</w:t>
      </w:r>
      <w:proofErr w:type="spellStart"/>
      <w:r w:rsidRPr="00F83714">
        <w:t>proBNP</w:t>
      </w:r>
      <w:proofErr w:type="spellEnd"/>
      <w:r w:rsidRPr="00F83714">
        <w:t xml:space="preserve"> values and clinical congestion scores.</w:t>
      </w:r>
    </w:p>
    <w:p w14:paraId="0C0C80D7" w14:textId="77777777" w:rsidR="00F83714" w:rsidRPr="00F83714" w:rsidRDefault="00592F6F" w:rsidP="00F83714">
      <w:pPr>
        <w:spacing w:after="160" w:line="278" w:lineRule="auto"/>
        <w:jc w:val="both"/>
      </w:pPr>
      <w:r>
        <w:rPr>
          <w:b/>
          <w:bCs/>
        </w:rPr>
        <w:t xml:space="preserve">2.5. </w:t>
      </w:r>
      <w:r w:rsidR="00FC7306" w:rsidRPr="006719D8">
        <w:rPr>
          <w:b/>
          <w:bCs/>
        </w:rPr>
        <w:t>Reference Standard</w:t>
      </w:r>
      <w:r w:rsidR="00736EAC">
        <w:rPr>
          <w:b/>
          <w:bCs/>
        </w:rPr>
        <w:t xml:space="preserve">: </w:t>
      </w:r>
      <w:r w:rsidR="00F83714" w:rsidRPr="00F83714">
        <w:t>A blinded senior cardiologist with approximately 10 years of heart failure experience adjudicated congestion using a pragmatic composite reference standard.</w:t>
      </w:r>
    </w:p>
    <w:p w14:paraId="56B7703A" w14:textId="77777777" w:rsidR="00F83714" w:rsidRPr="00F83714" w:rsidRDefault="00F83714" w:rsidP="00F83714">
      <w:pPr>
        <w:spacing w:after="160" w:line="278" w:lineRule="auto"/>
        <w:jc w:val="both"/>
      </w:pPr>
      <w:r w:rsidRPr="00F83714">
        <w:t>Clinical Score (1–12): JVP (0–3), edema (0–4), crackles (0–1), NYHA class (1–4).</w:t>
      </w:r>
    </w:p>
    <w:p w14:paraId="56593CC8" w14:textId="77777777" w:rsidR="00F83714" w:rsidRPr="00F83714" w:rsidRDefault="00F83714" w:rsidP="00F83714">
      <w:pPr>
        <w:spacing w:after="160" w:line="278" w:lineRule="auto"/>
        <w:jc w:val="both"/>
      </w:pPr>
      <w:r w:rsidRPr="00F83714">
        <w:t>Biomarker: NT-</w:t>
      </w:r>
      <w:proofErr w:type="spellStart"/>
      <w:r w:rsidRPr="00F83714">
        <w:t>proBNP</w:t>
      </w:r>
      <w:proofErr w:type="spellEnd"/>
      <w:r w:rsidRPr="00F83714">
        <w:t xml:space="preserve"> ≥1500 ng/L (</w:t>
      </w:r>
      <w:proofErr w:type="spellStart"/>
      <w:r w:rsidRPr="00F83714">
        <w:t>Januzzi</w:t>
      </w:r>
      <w:proofErr w:type="spellEnd"/>
      <w:r w:rsidRPr="00F83714">
        <w:t xml:space="preserve"> et al., 2018). NT-</w:t>
      </w:r>
      <w:proofErr w:type="spellStart"/>
      <w:r w:rsidRPr="00F83714">
        <w:t>proBNP</w:t>
      </w:r>
      <w:proofErr w:type="spellEnd"/>
      <w:r w:rsidRPr="00F83714">
        <w:t xml:space="preserve"> was summarized as median (IQR) due to skewed distribution.</w:t>
      </w:r>
    </w:p>
    <w:p w14:paraId="387DAB16" w14:textId="77777777" w:rsidR="00F83714" w:rsidRPr="00F83714" w:rsidRDefault="00F83714" w:rsidP="00F83714">
      <w:pPr>
        <w:spacing w:after="160" w:line="278" w:lineRule="auto"/>
        <w:jc w:val="both"/>
      </w:pPr>
      <w:r w:rsidRPr="00F83714">
        <w:t>Congestion was defined as:</w:t>
      </w:r>
    </w:p>
    <w:p w14:paraId="48192A15" w14:textId="77777777" w:rsidR="00F83714" w:rsidRPr="00F83714" w:rsidRDefault="00F83714" w:rsidP="00F83714">
      <w:pPr>
        <w:numPr>
          <w:ilvl w:val="0"/>
          <w:numId w:val="11"/>
        </w:numPr>
        <w:spacing w:after="160" w:line="278" w:lineRule="auto"/>
        <w:jc w:val="both"/>
      </w:pPr>
      <w:r w:rsidRPr="00F83714">
        <w:t>Score ≥5, or</w:t>
      </w:r>
    </w:p>
    <w:p w14:paraId="08703F39" w14:textId="77777777" w:rsidR="00F83714" w:rsidRPr="00F83714" w:rsidRDefault="00F83714" w:rsidP="00F83714">
      <w:pPr>
        <w:numPr>
          <w:ilvl w:val="0"/>
          <w:numId w:val="11"/>
        </w:numPr>
        <w:spacing w:after="160" w:line="278" w:lineRule="auto"/>
        <w:jc w:val="both"/>
      </w:pPr>
      <w:r w:rsidRPr="00F83714">
        <w:t>Score 3–4 with NT-</w:t>
      </w:r>
      <w:proofErr w:type="spellStart"/>
      <w:r w:rsidRPr="00F83714">
        <w:t>proBNP</w:t>
      </w:r>
      <w:proofErr w:type="spellEnd"/>
      <w:r w:rsidRPr="00F83714">
        <w:t xml:space="preserve"> ≥1500 ng/L</w:t>
      </w:r>
    </w:p>
    <w:p w14:paraId="20FE99C7" w14:textId="04B626D8" w:rsidR="0032301E" w:rsidRDefault="00F83714" w:rsidP="00F83714">
      <w:pPr>
        <w:spacing w:after="160" w:line="278" w:lineRule="auto"/>
        <w:jc w:val="both"/>
      </w:pPr>
      <w:r w:rsidRPr="00F83714">
        <w:t>Renal function (eGFR) and loop diuretic dose were recorded as potential confounders influencing NT-</w:t>
      </w:r>
      <w:proofErr w:type="spellStart"/>
      <w:r w:rsidRPr="00F83714">
        <w:t>proBNP</w:t>
      </w:r>
      <w:proofErr w:type="spellEnd"/>
      <w:r w:rsidRPr="00F83714">
        <w:t xml:space="preserve"> levels.</w:t>
      </w:r>
    </w:p>
    <w:p w14:paraId="4C8D4BAD" w14:textId="1F2D183B" w:rsidR="00123D96" w:rsidRPr="00123D96" w:rsidRDefault="00592F6F" w:rsidP="00123D96">
      <w:pPr>
        <w:spacing w:after="160" w:line="278" w:lineRule="auto"/>
        <w:jc w:val="both"/>
      </w:pPr>
      <w:r w:rsidRPr="005B3F7A">
        <w:rPr>
          <w:b/>
          <w:bCs/>
          <w:sz w:val="22"/>
        </w:rPr>
        <w:t xml:space="preserve">2.6. </w:t>
      </w:r>
      <w:r w:rsidR="00FC7306" w:rsidRPr="006719D8">
        <w:rPr>
          <w:b/>
          <w:bCs/>
          <w:sz w:val="22"/>
        </w:rPr>
        <w:t>Statistical Analysis</w:t>
      </w:r>
      <w:r w:rsidRPr="005B3F7A">
        <w:rPr>
          <w:b/>
          <w:bCs/>
          <w:sz w:val="22"/>
        </w:rPr>
        <w:t>:</w:t>
      </w:r>
      <w:r>
        <w:rPr>
          <w:b/>
          <w:bCs/>
        </w:rPr>
        <w:t xml:space="preserve"> </w:t>
      </w:r>
      <w:r w:rsidR="00123D96" w:rsidRPr="00123D96">
        <w:t xml:space="preserve">Continuous variables were summarized as mean ± SD or median (IQR). Categorical variables were expressed as counts and percentages. Comparisons used </w:t>
      </w:r>
      <w:proofErr w:type="spellStart"/>
      <w:r w:rsidR="00123D96" w:rsidRPr="00123D96">
        <w:t>t</w:t>
      </w:r>
      <w:proofErr w:type="spellEnd"/>
      <w:r w:rsidR="00123D96" w:rsidRPr="00123D96">
        <w:t xml:space="preserve"> test or Mann–Whitney U test and χ² or Fisher exact test as appropriate. ROC curves were compared using paired DeLong testing. Agreement was assessed using Cohen κ and McNemar testing. Pearson and Spearman correlations were calculated. Separate multivariable logistic regression models evaluated </w:t>
      </w:r>
      <w:proofErr w:type="spellStart"/>
      <w:r w:rsidR="00123D96" w:rsidRPr="00123D96">
        <w:t>ReDS</w:t>
      </w:r>
      <w:proofErr w:type="spellEnd"/>
      <w:r w:rsidR="00123D96" w:rsidRPr="00123D96">
        <w:t xml:space="preserve"> and LUS adjusted for age and BMI. </w:t>
      </w:r>
      <w:r w:rsidR="003A5D21" w:rsidRPr="003A5D21">
        <w:t>NT-</w:t>
      </w:r>
      <w:proofErr w:type="spellStart"/>
      <w:r w:rsidR="003A5D21" w:rsidRPr="003A5D21">
        <w:t>proBNP</w:t>
      </w:r>
      <w:proofErr w:type="spellEnd"/>
      <w:r w:rsidR="003A5D21" w:rsidRPr="003A5D21">
        <w:t xml:space="preserve"> and NYHA were not included in multivariable models due to incorporation bias, as both variables were components of the reference standard.</w:t>
      </w:r>
    </w:p>
    <w:p w14:paraId="639CFAD2" w14:textId="77777777" w:rsidR="00123D96" w:rsidRPr="00123D96" w:rsidRDefault="00123D96" w:rsidP="00123D96">
      <w:pPr>
        <w:spacing w:after="160" w:line="278" w:lineRule="auto"/>
        <w:jc w:val="both"/>
      </w:pPr>
      <w:r w:rsidRPr="00123D96">
        <w:t xml:space="preserve">Analyses were conducted using Python 3.11 (pandas, NumPy, SciPy, </w:t>
      </w:r>
      <w:proofErr w:type="spellStart"/>
      <w:r w:rsidRPr="00123D96">
        <w:t>scikit</w:t>
      </w:r>
      <w:proofErr w:type="spellEnd"/>
      <w:r w:rsidRPr="00123D96">
        <w:t xml:space="preserve">-learn, </w:t>
      </w:r>
      <w:proofErr w:type="spellStart"/>
      <w:r w:rsidRPr="00123D96">
        <w:t>statsmodels</w:t>
      </w:r>
      <w:proofErr w:type="spellEnd"/>
      <w:r w:rsidRPr="00123D96">
        <w:t>).</w:t>
      </w:r>
    </w:p>
    <w:p w14:paraId="51FC7246" w14:textId="068DA93F" w:rsidR="001C3883" w:rsidRDefault="003B2B8F">
      <w:pPr>
        <w:pStyle w:val="Heading1"/>
        <w:rPr>
          <w:rFonts w:ascii="Arial" w:hAnsi="Arial"/>
          <w:sz w:val="22"/>
        </w:rPr>
      </w:pPr>
      <w:r>
        <w:rPr>
          <w:rFonts w:ascii="Arial" w:hAnsi="Arial"/>
          <w:sz w:val="22"/>
        </w:rPr>
        <w:lastRenderedPageBreak/>
        <w:t>3. RESULTS</w:t>
      </w:r>
    </w:p>
    <w:p w14:paraId="31E2FA98" w14:textId="45D51A75" w:rsidR="001218E1" w:rsidRDefault="007A513A" w:rsidP="00645918">
      <w:pPr>
        <w:spacing w:after="160" w:line="278" w:lineRule="auto"/>
        <w:jc w:val="both"/>
        <w:rPr>
          <w:szCs w:val="20"/>
        </w:rPr>
      </w:pPr>
      <w:r>
        <w:rPr>
          <w:b/>
          <w:bCs/>
          <w:sz w:val="22"/>
        </w:rPr>
        <w:t xml:space="preserve">3.1. </w:t>
      </w:r>
      <w:r w:rsidR="001218E1" w:rsidRPr="006719D8">
        <w:rPr>
          <w:b/>
          <w:bCs/>
          <w:sz w:val="22"/>
        </w:rPr>
        <w:t>Study Population</w:t>
      </w:r>
      <w:r>
        <w:rPr>
          <w:b/>
          <w:bCs/>
          <w:sz w:val="22"/>
        </w:rPr>
        <w:t xml:space="preserve">: </w:t>
      </w:r>
      <w:r w:rsidRPr="007A513A">
        <w:rPr>
          <w:szCs w:val="20"/>
        </w:rPr>
        <w:t>A total of 125 patients were assessed for eligibility during the study period. Thirteen were excluded, eight due to the presence of cardiac implantable electronic devices and five due to recent thoracic surgery. The remaining 112 patients met inclusion criteria and were enrolled. All enrolled participants underwent both index tests, remote dielectric sensing and lung ultrasound, along with reference standard assessment using the composite clinical congestion score and NT-</w:t>
      </w:r>
      <w:proofErr w:type="spellStart"/>
      <w:r w:rsidRPr="007A513A">
        <w:rPr>
          <w:szCs w:val="20"/>
        </w:rPr>
        <w:t>proBNP</w:t>
      </w:r>
      <w:proofErr w:type="spellEnd"/>
      <w:r w:rsidRPr="007A513A">
        <w:rPr>
          <w:szCs w:val="20"/>
        </w:rPr>
        <w:t xml:space="preserve"> measurement. No patients were lost after enrollment, and all 112 were included in the final analysis. Based on blinded adjudication, 59 patients were classified as having pulmonary congestion, while 53 were classified as non-congested.</w:t>
      </w:r>
      <w:r>
        <w:rPr>
          <w:szCs w:val="20"/>
        </w:rPr>
        <w:t xml:space="preserve"> Study flow is shown in Figure 1.</w:t>
      </w:r>
    </w:p>
    <w:p w14:paraId="15CB3D41" w14:textId="7BBCC9CE" w:rsidR="007A513A" w:rsidRDefault="007A513A" w:rsidP="007A513A">
      <w:pPr>
        <w:tabs>
          <w:tab w:val="left" w:pos="1994"/>
        </w:tabs>
        <w:rPr>
          <w:noProof/>
        </w:rPr>
      </w:pPr>
      <w:r>
        <w:rPr>
          <w:szCs w:val="20"/>
        </w:rPr>
        <w:tab/>
      </w:r>
      <w:r>
        <w:rPr>
          <w:noProof/>
        </w:rPr>
        <w:drawing>
          <wp:inline distT="0" distB="0" distL="0" distR="0" wp14:anchorId="1496E76A" wp14:editId="574BB938">
            <wp:extent cx="5486400" cy="3657600"/>
            <wp:effectExtent l="0" t="0" r="0" b="0"/>
            <wp:docPr id="326706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06790" name="Picture 3267067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32A77460" w14:textId="69C045F0" w:rsidR="001218E1" w:rsidRDefault="00E13706" w:rsidP="001218E1">
      <w:pPr>
        <w:rPr>
          <w:b/>
          <w:bCs/>
        </w:rPr>
      </w:pPr>
      <w:r w:rsidRPr="006719D8">
        <w:rPr>
          <w:b/>
          <w:bCs/>
        </w:rPr>
        <w:t xml:space="preserve">Figure 1. </w:t>
      </w:r>
      <w:r>
        <w:rPr>
          <w:b/>
          <w:bCs/>
        </w:rPr>
        <w:t>Study flow</w:t>
      </w:r>
      <w:r w:rsidRPr="006719D8">
        <w:rPr>
          <w:b/>
          <w:bCs/>
        </w:rPr>
        <w:t xml:space="preserve"> </w:t>
      </w:r>
      <w:r>
        <w:rPr>
          <w:b/>
          <w:bCs/>
        </w:rPr>
        <w:t>d</w:t>
      </w:r>
      <w:r w:rsidRPr="006719D8">
        <w:rPr>
          <w:b/>
          <w:bCs/>
        </w:rPr>
        <w:t>iagram</w:t>
      </w:r>
    </w:p>
    <w:p w14:paraId="34321020" w14:textId="46AB4E0A" w:rsidR="00E13706" w:rsidRDefault="00B918FB" w:rsidP="00645918">
      <w:pPr>
        <w:jc w:val="both"/>
      </w:pPr>
      <w:r w:rsidRPr="00B918FB">
        <w:rPr>
          <w:b/>
          <w:bCs/>
          <w:sz w:val="22"/>
        </w:rPr>
        <w:t xml:space="preserve">3.2 Baseline </w:t>
      </w:r>
      <w:r w:rsidR="00B452FE" w:rsidRPr="006719D8">
        <w:rPr>
          <w:b/>
          <w:bCs/>
        </w:rPr>
        <w:t>Characteristics</w:t>
      </w:r>
      <w:r w:rsidRPr="00B918FB">
        <w:rPr>
          <w:b/>
          <w:bCs/>
          <w:sz w:val="22"/>
        </w:rPr>
        <w:t>:</w:t>
      </w:r>
      <w:r>
        <w:t xml:space="preserve"> </w:t>
      </w:r>
      <w:r w:rsidRPr="00B918FB">
        <w:t>The cohort had a mean age of 68.7 years, and 46% were women. Left ventricular ejection fraction averaged 46%, with HFpEF accounting for 67% of cases. Baseline age, sex distribution, BMI, LVEF, and HF phenotype did not differ significantly between congested and non-congested groups. In contrast, markers of congestion showed clear separation. Patients classified as congested had higher NYHA class, markedly elevated NT-</w:t>
      </w:r>
      <w:proofErr w:type="spellStart"/>
      <w:r w:rsidRPr="00B918FB">
        <w:t>proBNP</w:t>
      </w:r>
      <w:proofErr w:type="spellEnd"/>
      <w:r w:rsidRPr="00B918FB">
        <w:t xml:space="preserve"> levels, and substantially higher </w:t>
      </w:r>
      <w:proofErr w:type="spellStart"/>
      <w:r w:rsidRPr="00B918FB">
        <w:t>ReDS</w:t>
      </w:r>
      <w:proofErr w:type="spellEnd"/>
      <w:r w:rsidRPr="00B918FB">
        <w:t xml:space="preserve"> values and total B-line counts, all with </w:t>
      </w:r>
      <w:r w:rsidR="00356EEB" w:rsidRPr="00356EEB">
        <w:rPr>
          <w:i/>
          <w:iCs/>
        </w:rPr>
        <w:t>P</w:t>
      </w:r>
      <w:r w:rsidRPr="00B918FB">
        <w:t xml:space="preserve"> values below .001. These findings</w:t>
      </w:r>
      <w:r>
        <w:t xml:space="preserve"> (as shown in Table 1)</w:t>
      </w:r>
      <w:r w:rsidRPr="00B918FB">
        <w:t xml:space="preserve"> confirm that objective congestion measures aligned with clinical adjudication, while demographic and structural characteristics remained comparable across groups.</w:t>
      </w:r>
      <w:r>
        <w:t xml:space="preserve"> </w:t>
      </w:r>
      <w:r w:rsidR="0058486A" w:rsidRPr="0058486A">
        <w:t>Median furosemide equivalent dose was higher in congested patients compared with non-congested patients (120 [60–240] vs 40 [20–80] mg/day, p&lt;0.001). Median eGFR was lower in the congested group (50 [40–68] vs 62 [50–85] mL/min/1.73 m², p=0.02), indicating a greater burden of renal dysfunction and diuretic requirement in patients with adjudicated congestion.</w:t>
      </w:r>
    </w:p>
    <w:p w14:paraId="2DFE0E95" w14:textId="77777777" w:rsidR="00AD7DBF" w:rsidRPr="006719D8" w:rsidRDefault="00AD7DBF" w:rsidP="00AD7DBF">
      <w:r w:rsidRPr="006719D8">
        <w:rPr>
          <w:b/>
          <w:bCs/>
        </w:rPr>
        <w:lastRenderedPageBreak/>
        <w:t>Table 1. Baseline Characteristics</w:t>
      </w:r>
      <w:r w:rsidRPr="006719D8">
        <w:br/>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35"/>
        <w:gridCol w:w="1280"/>
        <w:gridCol w:w="1506"/>
        <w:gridCol w:w="1781"/>
        <w:gridCol w:w="728"/>
      </w:tblGrid>
      <w:tr w:rsidR="00AD7DBF" w:rsidRPr="00F403F1" w14:paraId="421B7653" w14:textId="77777777" w:rsidTr="00DD639C">
        <w:trPr>
          <w:tblHeader/>
          <w:tblCellSpacing w:w="15" w:type="dxa"/>
          <w:jc w:val="center"/>
        </w:trPr>
        <w:tc>
          <w:tcPr>
            <w:tcW w:w="0" w:type="auto"/>
            <w:vAlign w:val="center"/>
            <w:hideMark/>
          </w:tcPr>
          <w:p w14:paraId="068239C8" w14:textId="77777777" w:rsidR="00AD7DBF" w:rsidRPr="00F403F1" w:rsidRDefault="00AD7DBF" w:rsidP="001C38E1">
            <w:pPr>
              <w:spacing w:after="160" w:line="278" w:lineRule="auto"/>
              <w:rPr>
                <w:b/>
                <w:bCs/>
              </w:rPr>
            </w:pPr>
            <w:r w:rsidRPr="00F403F1">
              <w:rPr>
                <w:b/>
                <w:bCs/>
              </w:rPr>
              <w:t>Variable</w:t>
            </w:r>
          </w:p>
        </w:tc>
        <w:tc>
          <w:tcPr>
            <w:tcW w:w="0" w:type="auto"/>
            <w:vAlign w:val="center"/>
            <w:hideMark/>
          </w:tcPr>
          <w:p w14:paraId="4CEF645A" w14:textId="77777777" w:rsidR="00AD7DBF" w:rsidRPr="00F403F1" w:rsidRDefault="00AD7DBF" w:rsidP="001C38E1">
            <w:pPr>
              <w:spacing w:after="160" w:line="278" w:lineRule="auto"/>
              <w:rPr>
                <w:b/>
                <w:bCs/>
              </w:rPr>
            </w:pPr>
            <w:r w:rsidRPr="00F403F1">
              <w:rPr>
                <w:b/>
                <w:bCs/>
              </w:rPr>
              <w:t>Total (n=112)</w:t>
            </w:r>
          </w:p>
        </w:tc>
        <w:tc>
          <w:tcPr>
            <w:tcW w:w="0" w:type="auto"/>
            <w:vAlign w:val="center"/>
            <w:hideMark/>
          </w:tcPr>
          <w:p w14:paraId="16E9C177" w14:textId="77777777" w:rsidR="00AD7DBF" w:rsidRPr="00F403F1" w:rsidRDefault="00AD7DBF" w:rsidP="001C38E1">
            <w:pPr>
              <w:spacing w:after="160" w:line="278" w:lineRule="auto"/>
              <w:rPr>
                <w:b/>
                <w:bCs/>
              </w:rPr>
            </w:pPr>
            <w:r w:rsidRPr="00F403F1">
              <w:rPr>
                <w:b/>
                <w:bCs/>
              </w:rPr>
              <w:t>Congested (n=59)</w:t>
            </w:r>
          </w:p>
        </w:tc>
        <w:tc>
          <w:tcPr>
            <w:tcW w:w="0" w:type="auto"/>
            <w:vAlign w:val="center"/>
            <w:hideMark/>
          </w:tcPr>
          <w:p w14:paraId="20AFB3DF" w14:textId="77777777" w:rsidR="00AD7DBF" w:rsidRPr="00F403F1" w:rsidRDefault="00AD7DBF" w:rsidP="001C38E1">
            <w:pPr>
              <w:spacing w:after="160" w:line="278" w:lineRule="auto"/>
              <w:rPr>
                <w:b/>
                <w:bCs/>
              </w:rPr>
            </w:pPr>
            <w:r w:rsidRPr="00F403F1">
              <w:rPr>
                <w:b/>
                <w:bCs/>
              </w:rPr>
              <w:t>Non-Congested (n=53)</w:t>
            </w:r>
          </w:p>
        </w:tc>
        <w:tc>
          <w:tcPr>
            <w:tcW w:w="0" w:type="auto"/>
            <w:vAlign w:val="center"/>
            <w:hideMark/>
          </w:tcPr>
          <w:p w14:paraId="0F9429FD" w14:textId="44475D62" w:rsidR="00AD7DBF" w:rsidRPr="00F403F1" w:rsidRDefault="00356EEB" w:rsidP="001C38E1">
            <w:pPr>
              <w:spacing w:after="160" w:line="278" w:lineRule="auto"/>
              <w:rPr>
                <w:b/>
                <w:bCs/>
              </w:rPr>
            </w:pPr>
            <w:r w:rsidRPr="00356EEB">
              <w:rPr>
                <w:b/>
                <w:bCs/>
                <w:i/>
                <w:iCs/>
              </w:rPr>
              <w:t>P</w:t>
            </w:r>
            <w:r w:rsidR="00AD7DBF" w:rsidRPr="00F403F1">
              <w:rPr>
                <w:b/>
                <w:bCs/>
              </w:rPr>
              <w:t>-value</w:t>
            </w:r>
          </w:p>
        </w:tc>
      </w:tr>
      <w:tr w:rsidR="00AD7DBF" w:rsidRPr="00F403F1" w14:paraId="33D55B0C" w14:textId="77777777" w:rsidTr="00DD639C">
        <w:trPr>
          <w:tblCellSpacing w:w="15" w:type="dxa"/>
          <w:jc w:val="center"/>
        </w:trPr>
        <w:tc>
          <w:tcPr>
            <w:tcW w:w="0" w:type="auto"/>
            <w:vAlign w:val="center"/>
            <w:hideMark/>
          </w:tcPr>
          <w:p w14:paraId="32971676" w14:textId="77777777" w:rsidR="00AD7DBF" w:rsidRPr="00F403F1" w:rsidRDefault="00AD7DBF" w:rsidP="001C38E1">
            <w:pPr>
              <w:spacing w:after="160" w:line="278" w:lineRule="auto"/>
            </w:pPr>
            <w:r w:rsidRPr="00F403F1">
              <w:t>Age, years</w:t>
            </w:r>
          </w:p>
        </w:tc>
        <w:tc>
          <w:tcPr>
            <w:tcW w:w="0" w:type="auto"/>
            <w:vAlign w:val="center"/>
            <w:hideMark/>
          </w:tcPr>
          <w:p w14:paraId="69456B35" w14:textId="77777777" w:rsidR="00AD7DBF" w:rsidRPr="00F403F1" w:rsidRDefault="00AD7DBF" w:rsidP="001C38E1">
            <w:pPr>
              <w:spacing w:after="160" w:line="278" w:lineRule="auto"/>
            </w:pPr>
            <w:r w:rsidRPr="00F403F1">
              <w:t>68.7 ± 12.3</w:t>
            </w:r>
          </w:p>
        </w:tc>
        <w:tc>
          <w:tcPr>
            <w:tcW w:w="0" w:type="auto"/>
            <w:vAlign w:val="center"/>
            <w:hideMark/>
          </w:tcPr>
          <w:p w14:paraId="272EAEE4" w14:textId="77777777" w:rsidR="00AD7DBF" w:rsidRPr="00F403F1" w:rsidRDefault="00AD7DBF" w:rsidP="001C38E1">
            <w:pPr>
              <w:spacing w:after="160" w:line="278" w:lineRule="auto"/>
            </w:pPr>
            <w:r w:rsidRPr="00F403F1">
              <w:t>67.3 ± 11.8</w:t>
            </w:r>
          </w:p>
        </w:tc>
        <w:tc>
          <w:tcPr>
            <w:tcW w:w="0" w:type="auto"/>
            <w:vAlign w:val="center"/>
            <w:hideMark/>
          </w:tcPr>
          <w:p w14:paraId="44F8241D" w14:textId="77777777" w:rsidR="00AD7DBF" w:rsidRPr="00F403F1" w:rsidRDefault="00AD7DBF" w:rsidP="001C38E1">
            <w:pPr>
              <w:spacing w:after="160" w:line="278" w:lineRule="auto"/>
            </w:pPr>
            <w:r w:rsidRPr="00F403F1">
              <w:t>70.2 ± 12.7</w:t>
            </w:r>
          </w:p>
        </w:tc>
        <w:tc>
          <w:tcPr>
            <w:tcW w:w="0" w:type="auto"/>
            <w:vAlign w:val="center"/>
            <w:hideMark/>
          </w:tcPr>
          <w:p w14:paraId="7E8E4AB7" w14:textId="00D6512C" w:rsidR="00AD7DBF" w:rsidRPr="00F403F1" w:rsidRDefault="00AD7DBF" w:rsidP="001C38E1">
            <w:pPr>
              <w:spacing w:after="160" w:line="278" w:lineRule="auto"/>
            </w:pPr>
            <w:r w:rsidRPr="00F403F1">
              <w:t>.21</w:t>
            </w:r>
          </w:p>
        </w:tc>
      </w:tr>
      <w:tr w:rsidR="00AD7DBF" w:rsidRPr="00F403F1" w14:paraId="34E0C0D2" w14:textId="77777777" w:rsidTr="00DD639C">
        <w:trPr>
          <w:tblCellSpacing w:w="15" w:type="dxa"/>
          <w:jc w:val="center"/>
        </w:trPr>
        <w:tc>
          <w:tcPr>
            <w:tcW w:w="0" w:type="auto"/>
            <w:vAlign w:val="center"/>
            <w:hideMark/>
          </w:tcPr>
          <w:p w14:paraId="1B12ABE9" w14:textId="77777777" w:rsidR="00AD7DBF" w:rsidRPr="00F403F1" w:rsidRDefault="00AD7DBF" w:rsidP="001C38E1">
            <w:pPr>
              <w:spacing w:after="160" w:line="278" w:lineRule="auto"/>
            </w:pPr>
            <w:r w:rsidRPr="00F403F1">
              <w:t>Female, n (%)</w:t>
            </w:r>
          </w:p>
        </w:tc>
        <w:tc>
          <w:tcPr>
            <w:tcW w:w="0" w:type="auto"/>
            <w:vAlign w:val="center"/>
            <w:hideMark/>
          </w:tcPr>
          <w:p w14:paraId="3659C73D" w14:textId="77777777" w:rsidR="00AD7DBF" w:rsidRPr="00F403F1" w:rsidRDefault="00AD7DBF" w:rsidP="001C38E1">
            <w:pPr>
              <w:spacing w:after="160" w:line="278" w:lineRule="auto"/>
            </w:pPr>
            <w:r w:rsidRPr="00F403F1">
              <w:t>52 (46.4)</w:t>
            </w:r>
          </w:p>
        </w:tc>
        <w:tc>
          <w:tcPr>
            <w:tcW w:w="0" w:type="auto"/>
            <w:vAlign w:val="center"/>
            <w:hideMark/>
          </w:tcPr>
          <w:p w14:paraId="2D3D2E7A" w14:textId="77777777" w:rsidR="00AD7DBF" w:rsidRPr="00F403F1" w:rsidRDefault="00AD7DBF" w:rsidP="001C38E1">
            <w:pPr>
              <w:spacing w:after="160" w:line="278" w:lineRule="auto"/>
            </w:pPr>
            <w:r w:rsidRPr="00F403F1">
              <w:t>28 (47.5)</w:t>
            </w:r>
          </w:p>
        </w:tc>
        <w:tc>
          <w:tcPr>
            <w:tcW w:w="0" w:type="auto"/>
            <w:vAlign w:val="center"/>
            <w:hideMark/>
          </w:tcPr>
          <w:p w14:paraId="1F2CC475" w14:textId="77777777" w:rsidR="00AD7DBF" w:rsidRPr="00F403F1" w:rsidRDefault="00AD7DBF" w:rsidP="001C38E1">
            <w:pPr>
              <w:spacing w:after="160" w:line="278" w:lineRule="auto"/>
            </w:pPr>
            <w:r w:rsidRPr="00F403F1">
              <w:t>24 (45.3)</w:t>
            </w:r>
          </w:p>
        </w:tc>
        <w:tc>
          <w:tcPr>
            <w:tcW w:w="0" w:type="auto"/>
            <w:vAlign w:val="center"/>
            <w:hideMark/>
          </w:tcPr>
          <w:p w14:paraId="13797095" w14:textId="38F4ACEC" w:rsidR="00AD7DBF" w:rsidRPr="00F403F1" w:rsidRDefault="00AD7DBF" w:rsidP="001C38E1">
            <w:pPr>
              <w:spacing w:after="160" w:line="278" w:lineRule="auto"/>
            </w:pPr>
            <w:r w:rsidRPr="00F403F1">
              <w:t>.81</w:t>
            </w:r>
          </w:p>
        </w:tc>
      </w:tr>
      <w:tr w:rsidR="00AD7DBF" w:rsidRPr="00F403F1" w14:paraId="75723961" w14:textId="77777777" w:rsidTr="00DD639C">
        <w:trPr>
          <w:tblCellSpacing w:w="15" w:type="dxa"/>
          <w:jc w:val="center"/>
        </w:trPr>
        <w:tc>
          <w:tcPr>
            <w:tcW w:w="0" w:type="auto"/>
            <w:vAlign w:val="center"/>
            <w:hideMark/>
          </w:tcPr>
          <w:p w14:paraId="2D521713" w14:textId="77777777" w:rsidR="00AD7DBF" w:rsidRPr="00F403F1" w:rsidRDefault="00AD7DBF" w:rsidP="001C38E1">
            <w:pPr>
              <w:spacing w:after="160" w:line="278" w:lineRule="auto"/>
            </w:pPr>
            <w:r w:rsidRPr="00F403F1">
              <w:t>BMI, kg/m²</w:t>
            </w:r>
          </w:p>
        </w:tc>
        <w:tc>
          <w:tcPr>
            <w:tcW w:w="0" w:type="auto"/>
            <w:vAlign w:val="center"/>
            <w:hideMark/>
          </w:tcPr>
          <w:p w14:paraId="414C0520" w14:textId="77777777" w:rsidR="00AD7DBF" w:rsidRPr="00F403F1" w:rsidRDefault="00AD7DBF" w:rsidP="001C38E1">
            <w:pPr>
              <w:spacing w:after="160" w:line="278" w:lineRule="auto"/>
            </w:pPr>
            <w:r w:rsidRPr="00F403F1">
              <w:t>27.2 ± 4.7</w:t>
            </w:r>
          </w:p>
        </w:tc>
        <w:tc>
          <w:tcPr>
            <w:tcW w:w="0" w:type="auto"/>
            <w:vAlign w:val="center"/>
            <w:hideMark/>
          </w:tcPr>
          <w:p w14:paraId="1C6D7292" w14:textId="77777777" w:rsidR="00AD7DBF" w:rsidRPr="00F403F1" w:rsidRDefault="00AD7DBF" w:rsidP="001C38E1">
            <w:pPr>
              <w:spacing w:after="160" w:line="278" w:lineRule="auto"/>
            </w:pPr>
            <w:r w:rsidRPr="00F403F1">
              <w:t>27.2 ± 5.3</w:t>
            </w:r>
          </w:p>
        </w:tc>
        <w:tc>
          <w:tcPr>
            <w:tcW w:w="0" w:type="auto"/>
            <w:vAlign w:val="center"/>
            <w:hideMark/>
          </w:tcPr>
          <w:p w14:paraId="2DD10BA1" w14:textId="77777777" w:rsidR="00AD7DBF" w:rsidRPr="00F403F1" w:rsidRDefault="00AD7DBF" w:rsidP="001C38E1">
            <w:pPr>
              <w:spacing w:after="160" w:line="278" w:lineRule="auto"/>
            </w:pPr>
            <w:r w:rsidRPr="00F403F1">
              <w:t>27.2 ± 3.9</w:t>
            </w:r>
          </w:p>
        </w:tc>
        <w:tc>
          <w:tcPr>
            <w:tcW w:w="0" w:type="auto"/>
            <w:vAlign w:val="center"/>
            <w:hideMark/>
          </w:tcPr>
          <w:p w14:paraId="47B7E8FE" w14:textId="1D9AAC75" w:rsidR="00AD7DBF" w:rsidRPr="00F403F1" w:rsidRDefault="00AD7DBF" w:rsidP="001C38E1">
            <w:pPr>
              <w:spacing w:after="160" w:line="278" w:lineRule="auto"/>
            </w:pPr>
            <w:r w:rsidRPr="00F403F1">
              <w:t>.99</w:t>
            </w:r>
          </w:p>
        </w:tc>
      </w:tr>
      <w:tr w:rsidR="00AD7DBF" w:rsidRPr="00F403F1" w14:paraId="3B40236E" w14:textId="77777777" w:rsidTr="00DD639C">
        <w:trPr>
          <w:tblCellSpacing w:w="15" w:type="dxa"/>
          <w:jc w:val="center"/>
        </w:trPr>
        <w:tc>
          <w:tcPr>
            <w:tcW w:w="0" w:type="auto"/>
            <w:vAlign w:val="center"/>
            <w:hideMark/>
          </w:tcPr>
          <w:p w14:paraId="3A1027AA" w14:textId="77777777" w:rsidR="00AD7DBF" w:rsidRPr="00F403F1" w:rsidRDefault="00AD7DBF" w:rsidP="001C38E1">
            <w:pPr>
              <w:spacing w:after="160" w:line="278" w:lineRule="auto"/>
            </w:pPr>
            <w:r w:rsidRPr="00F403F1">
              <w:t>LVEF, %</w:t>
            </w:r>
          </w:p>
        </w:tc>
        <w:tc>
          <w:tcPr>
            <w:tcW w:w="0" w:type="auto"/>
            <w:vAlign w:val="center"/>
            <w:hideMark/>
          </w:tcPr>
          <w:p w14:paraId="18CE6E1E" w14:textId="77777777" w:rsidR="00AD7DBF" w:rsidRPr="00F403F1" w:rsidRDefault="00AD7DBF" w:rsidP="001C38E1">
            <w:pPr>
              <w:spacing w:after="160" w:line="278" w:lineRule="auto"/>
            </w:pPr>
            <w:r w:rsidRPr="00F403F1">
              <w:t>46.1 ± 11.2</w:t>
            </w:r>
          </w:p>
        </w:tc>
        <w:tc>
          <w:tcPr>
            <w:tcW w:w="0" w:type="auto"/>
            <w:vAlign w:val="center"/>
            <w:hideMark/>
          </w:tcPr>
          <w:p w14:paraId="426321B5" w14:textId="77777777" w:rsidR="00AD7DBF" w:rsidRPr="00F403F1" w:rsidRDefault="00AD7DBF" w:rsidP="001C38E1">
            <w:pPr>
              <w:spacing w:after="160" w:line="278" w:lineRule="auto"/>
            </w:pPr>
            <w:r w:rsidRPr="00F403F1">
              <w:t>45.3 ± 11.5</w:t>
            </w:r>
          </w:p>
        </w:tc>
        <w:tc>
          <w:tcPr>
            <w:tcW w:w="0" w:type="auto"/>
            <w:vAlign w:val="center"/>
            <w:hideMark/>
          </w:tcPr>
          <w:p w14:paraId="7010E80E" w14:textId="77777777" w:rsidR="00AD7DBF" w:rsidRPr="00F403F1" w:rsidRDefault="00AD7DBF" w:rsidP="001C38E1">
            <w:pPr>
              <w:spacing w:after="160" w:line="278" w:lineRule="auto"/>
            </w:pPr>
            <w:r w:rsidRPr="00F403F1">
              <w:t>47.0 ± 10.8</w:t>
            </w:r>
          </w:p>
        </w:tc>
        <w:tc>
          <w:tcPr>
            <w:tcW w:w="0" w:type="auto"/>
            <w:vAlign w:val="center"/>
            <w:hideMark/>
          </w:tcPr>
          <w:p w14:paraId="53A34FFB" w14:textId="51D6D7D3" w:rsidR="00AD7DBF" w:rsidRPr="00F403F1" w:rsidRDefault="00AD7DBF" w:rsidP="001C38E1">
            <w:pPr>
              <w:spacing w:after="160" w:line="278" w:lineRule="auto"/>
            </w:pPr>
            <w:r w:rsidRPr="00F403F1">
              <w:t>.43</w:t>
            </w:r>
          </w:p>
        </w:tc>
      </w:tr>
      <w:tr w:rsidR="00AD7DBF" w:rsidRPr="00F403F1" w14:paraId="6537F53D" w14:textId="77777777" w:rsidTr="00DD639C">
        <w:trPr>
          <w:tblCellSpacing w:w="15" w:type="dxa"/>
          <w:jc w:val="center"/>
        </w:trPr>
        <w:tc>
          <w:tcPr>
            <w:tcW w:w="0" w:type="auto"/>
            <w:vAlign w:val="center"/>
            <w:hideMark/>
          </w:tcPr>
          <w:p w14:paraId="269C053C" w14:textId="77777777" w:rsidR="00AD7DBF" w:rsidRPr="00F403F1" w:rsidRDefault="00AD7DBF" w:rsidP="001C38E1">
            <w:pPr>
              <w:spacing w:after="160" w:line="278" w:lineRule="auto"/>
            </w:pPr>
            <w:proofErr w:type="spellStart"/>
            <w:r w:rsidRPr="00F403F1">
              <w:t>HFrEF</w:t>
            </w:r>
            <w:proofErr w:type="spellEnd"/>
            <w:r w:rsidRPr="00F403F1">
              <w:t>, n (%)</w:t>
            </w:r>
          </w:p>
        </w:tc>
        <w:tc>
          <w:tcPr>
            <w:tcW w:w="0" w:type="auto"/>
            <w:vAlign w:val="center"/>
            <w:hideMark/>
          </w:tcPr>
          <w:p w14:paraId="4A819335" w14:textId="77777777" w:rsidR="00AD7DBF" w:rsidRPr="00F403F1" w:rsidRDefault="00AD7DBF" w:rsidP="001C38E1">
            <w:pPr>
              <w:spacing w:after="160" w:line="278" w:lineRule="auto"/>
            </w:pPr>
            <w:r w:rsidRPr="00F403F1">
              <w:t>37 (33.0)</w:t>
            </w:r>
          </w:p>
        </w:tc>
        <w:tc>
          <w:tcPr>
            <w:tcW w:w="0" w:type="auto"/>
            <w:vAlign w:val="center"/>
            <w:hideMark/>
          </w:tcPr>
          <w:p w14:paraId="67F92BDF" w14:textId="77777777" w:rsidR="00AD7DBF" w:rsidRPr="00F403F1" w:rsidRDefault="00AD7DBF" w:rsidP="001C38E1">
            <w:pPr>
              <w:spacing w:after="160" w:line="278" w:lineRule="auto"/>
            </w:pPr>
            <w:r w:rsidRPr="00F403F1">
              <w:t>22 (37.3)</w:t>
            </w:r>
          </w:p>
        </w:tc>
        <w:tc>
          <w:tcPr>
            <w:tcW w:w="0" w:type="auto"/>
            <w:vAlign w:val="center"/>
            <w:hideMark/>
          </w:tcPr>
          <w:p w14:paraId="5D14FF20" w14:textId="77777777" w:rsidR="00AD7DBF" w:rsidRPr="00F403F1" w:rsidRDefault="00AD7DBF" w:rsidP="001C38E1">
            <w:pPr>
              <w:spacing w:after="160" w:line="278" w:lineRule="auto"/>
            </w:pPr>
            <w:r w:rsidRPr="00F403F1">
              <w:t>15 (28.3)</w:t>
            </w:r>
          </w:p>
        </w:tc>
        <w:tc>
          <w:tcPr>
            <w:tcW w:w="0" w:type="auto"/>
            <w:vAlign w:val="center"/>
            <w:hideMark/>
          </w:tcPr>
          <w:p w14:paraId="098C44CC" w14:textId="3A2292E5" w:rsidR="00AD7DBF" w:rsidRPr="00F403F1" w:rsidRDefault="00AD7DBF" w:rsidP="001C38E1">
            <w:pPr>
              <w:spacing w:after="160" w:line="278" w:lineRule="auto"/>
            </w:pPr>
            <w:r w:rsidRPr="00F403F1">
              <w:t>.31</w:t>
            </w:r>
          </w:p>
        </w:tc>
      </w:tr>
      <w:tr w:rsidR="00AD7DBF" w:rsidRPr="00F403F1" w14:paraId="594EBEEF" w14:textId="77777777" w:rsidTr="00DD639C">
        <w:trPr>
          <w:tblCellSpacing w:w="15" w:type="dxa"/>
          <w:jc w:val="center"/>
        </w:trPr>
        <w:tc>
          <w:tcPr>
            <w:tcW w:w="0" w:type="auto"/>
            <w:vAlign w:val="center"/>
            <w:hideMark/>
          </w:tcPr>
          <w:p w14:paraId="2EC808AB" w14:textId="77777777" w:rsidR="00AD7DBF" w:rsidRPr="00F403F1" w:rsidRDefault="00AD7DBF" w:rsidP="001C38E1">
            <w:pPr>
              <w:spacing w:after="160" w:line="278" w:lineRule="auto"/>
            </w:pPr>
            <w:r w:rsidRPr="00F403F1">
              <w:t>HFpEF, n (%)</w:t>
            </w:r>
          </w:p>
        </w:tc>
        <w:tc>
          <w:tcPr>
            <w:tcW w:w="0" w:type="auto"/>
            <w:vAlign w:val="center"/>
            <w:hideMark/>
          </w:tcPr>
          <w:p w14:paraId="4B0143FD" w14:textId="77777777" w:rsidR="00AD7DBF" w:rsidRPr="00F403F1" w:rsidRDefault="00AD7DBF" w:rsidP="001C38E1">
            <w:pPr>
              <w:spacing w:after="160" w:line="278" w:lineRule="auto"/>
            </w:pPr>
            <w:r w:rsidRPr="00F403F1">
              <w:t>75 (67.0)</w:t>
            </w:r>
          </w:p>
        </w:tc>
        <w:tc>
          <w:tcPr>
            <w:tcW w:w="0" w:type="auto"/>
            <w:vAlign w:val="center"/>
            <w:hideMark/>
          </w:tcPr>
          <w:p w14:paraId="0A9A1FC6" w14:textId="77777777" w:rsidR="00AD7DBF" w:rsidRPr="00F403F1" w:rsidRDefault="00AD7DBF" w:rsidP="001C38E1">
            <w:pPr>
              <w:spacing w:after="160" w:line="278" w:lineRule="auto"/>
            </w:pPr>
            <w:r w:rsidRPr="00F403F1">
              <w:t>37 (62.7)</w:t>
            </w:r>
          </w:p>
        </w:tc>
        <w:tc>
          <w:tcPr>
            <w:tcW w:w="0" w:type="auto"/>
            <w:vAlign w:val="center"/>
            <w:hideMark/>
          </w:tcPr>
          <w:p w14:paraId="55C1A0C2" w14:textId="77777777" w:rsidR="00AD7DBF" w:rsidRPr="00F403F1" w:rsidRDefault="00AD7DBF" w:rsidP="001C38E1">
            <w:pPr>
              <w:spacing w:after="160" w:line="278" w:lineRule="auto"/>
            </w:pPr>
            <w:r w:rsidRPr="00F403F1">
              <w:t>38 (71.7)</w:t>
            </w:r>
          </w:p>
        </w:tc>
        <w:tc>
          <w:tcPr>
            <w:tcW w:w="0" w:type="auto"/>
            <w:vAlign w:val="center"/>
            <w:hideMark/>
          </w:tcPr>
          <w:p w14:paraId="0041044D" w14:textId="5B6A1B7B" w:rsidR="00AD7DBF" w:rsidRPr="00F403F1" w:rsidRDefault="00AD7DBF" w:rsidP="001C38E1">
            <w:pPr>
              <w:spacing w:after="160" w:line="278" w:lineRule="auto"/>
            </w:pPr>
            <w:r w:rsidRPr="00F403F1">
              <w:t>.31</w:t>
            </w:r>
          </w:p>
        </w:tc>
      </w:tr>
      <w:tr w:rsidR="00AD7DBF" w:rsidRPr="00F403F1" w14:paraId="2CA76F21" w14:textId="77777777" w:rsidTr="00DD639C">
        <w:trPr>
          <w:tblCellSpacing w:w="15" w:type="dxa"/>
          <w:jc w:val="center"/>
        </w:trPr>
        <w:tc>
          <w:tcPr>
            <w:tcW w:w="0" w:type="auto"/>
            <w:vAlign w:val="center"/>
            <w:hideMark/>
          </w:tcPr>
          <w:p w14:paraId="3CFFC32C" w14:textId="77777777" w:rsidR="00AD7DBF" w:rsidRPr="00F403F1" w:rsidRDefault="00AD7DBF" w:rsidP="001C38E1">
            <w:pPr>
              <w:spacing w:after="160" w:line="278" w:lineRule="auto"/>
            </w:pPr>
            <w:r w:rsidRPr="00F403F1">
              <w:t>NYHA class, median</w:t>
            </w:r>
          </w:p>
        </w:tc>
        <w:tc>
          <w:tcPr>
            <w:tcW w:w="0" w:type="auto"/>
            <w:vAlign w:val="center"/>
            <w:hideMark/>
          </w:tcPr>
          <w:p w14:paraId="3AEF49DF" w14:textId="77777777" w:rsidR="00AD7DBF" w:rsidRPr="00F403F1" w:rsidRDefault="00AD7DBF" w:rsidP="001C38E1">
            <w:pPr>
              <w:spacing w:after="160" w:line="278" w:lineRule="auto"/>
            </w:pPr>
            <w:r w:rsidRPr="00F403F1">
              <w:t>3</w:t>
            </w:r>
          </w:p>
        </w:tc>
        <w:tc>
          <w:tcPr>
            <w:tcW w:w="0" w:type="auto"/>
            <w:vAlign w:val="center"/>
            <w:hideMark/>
          </w:tcPr>
          <w:p w14:paraId="08F1D684" w14:textId="77777777" w:rsidR="00AD7DBF" w:rsidRPr="00F403F1" w:rsidRDefault="00AD7DBF" w:rsidP="001C38E1">
            <w:pPr>
              <w:spacing w:after="160" w:line="278" w:lineRule="auto"/>
            </w:pPr>
            <w:r w:rsidRPr="00F403F1">
              <w:t>3</w:t>
            </w:r>
          </w:p>
        </w:tc>
        <w:tc>
          <w:tcPr>
            <w:tcW w:w="0" w:type="auto"/>
            <w:vAlign w:val="center"/>
            <w:hideMark/>
          </w:tcPr>
          <w:p w14:paraId="40BF4C03" w14:textId="77777777" w:rsidR="00AD7DBF" w:rsidRPr="00F403F1" w:rsidRDefault="00AD7DBF" w:rsidP="001C38E1">
            <w:pPr>
              <w:spacing w:after="160" w:line="278" w:lineRule="auto"/>
            </w:pPr>
            <w:r w:rsidRPr="00F403F1">
              <w:t>2</w:t>
            </w:r>
          </w:p>
        </w:tc>
        <w:tc>
          <w:tcPr>
            <w:tcW w:w="0" w:type="auto"/>
            <w:vAlign w:val="center"/>
            <w:hideMark/>
          </w:tcPr>
          <w:p w14:paraId="05D3E290" w14:textId="682FE617" w:rsidR="00AD7DBF" w:rsidRPr="00F403F1" w:rsidRDefault="00AD7DBF" w:rsidP="001C38E1">
            <w:pPr>
              <w:spacing w:after="160" w:line="278" w:lineRule="auto"/>
            </w:pPr>
            <w:r w:rsidRPr="00F403F1">
              <w:t>&lt;.001</w:t>
            </w:r>
          </w:p>
        </w:tc>
      </w:tr>
      <w:tr w:rsidR="00AD7DBF" w:rsidRPr="00F403F1" w14:paraId="61FF5077" w14:textId="77777777" w:rsidTr="00DD639C">
        <w:trPr>
          <w:tblCellSpacing w:w="15" w:type="dxa"/>
          <w:jc w:val="center"/>
        </w:trPr>
        <w:tc>
          <w:tcPr>
            <w:tcW w:w="0" w:type="auto"/>
            <w:vAlign w:val="center"/>
            <w:hideMark/>
          </w:tcPr>
          <w:p w14:paraId="2E5EFD09" w14:textId="4629D7DC" w:rsidR="00AD7DBF" w:rsidRPr="00F403F1" w:rsidRDefault="007060BE" w:rsidP="001C38E1">
            <w:pPr>
              <w:spacing w:after="160" w:line="278" w:lineRule="auto"/>
            </w:pPr>
            <w:r w:rsidRPr="007060BE">
              <w:t>NT-</w:t>
            </w:r>
            <w:proofErr w:type="spellStart"/>
            <w:r w:rsidRPr="007060BE">
              <w:t>proBNP</w:t>
            </w:r>
            <w:proofErr w:type="spellEnd"/>
            <w:r w:rsidRPr="007060BE">
              <w:t>, ng/L, median (IQR)</w:t>
            </w:r>
          </w:p>
        </w:tc>
        <w:tc>
          <w:tcPr>
            <w:tcW w:w="0" w:type="auto"/>
            <w:vAlign w:val="center"/>
            <w:hideMark/>
          </w:tcPr>
          <w:p w14:paraId="0D1E1704" w14:textId="67661522" w:rsidR="00AD7DBF" w:rsidRPr="00F403F1" w:rsidRDefault="007060BE" w:rsidP="001C38E1">
            <w:pPr>
              <w:spacing w:after="160" w:line="278" w:lineRule="auto"/>
            </w:pPr>
            <w:r w:rsidRPr="007060BE">
              <w:t>1136 (579–2323)</w:t>
            </w:r>
          </w:p>
        </w:tc>
        <w:tc>
          <w:tcPr>
            <w:tcW w:w="0" w:type="auto"/>
            <w:vAlign w:val="center"/>
            <w:hideMark/>
          </w:tcPr>
          <w:p w14:paraId="5665B8A3" w14:textId="767D5903" w:rsidR="00AD7DBF" w:rsidRPr="00F403F1" w:rsidRDefault="007060BE" w:rsidP="001C38E1">
            <w:pPr>
              <w:spacing w:after="160" w:line="278" w:lineRule="auto"/>
            </w:pPr>
            <w:r w:rsidRPr="007060BE">
              <w:t>2139 (1500–4163)</w:t>
            </w:r>
          </w:p>
        </w:tc>
        <w:tc>
          <w:tcPr>
            <w:tcW w:w="0" w:type="auto"/>
            <w:vAlign w:val="center"/>
            <w:hideMark/>
          </w:tcPr>
          <w:p w14:paraId="17692A4C" w14:textId="51FB32EC" w:rsidR="00AD7DBF" w:rsidRPr="00F403F1" w:rsidRDefault="007060BE" w:rsidP="001C38E1">
            <w:pPr>
              <w:spacing w:after="160" w:line="278" w:lineRule="auto"/>
            </w:pPr>
            <w:r w:rsidRPr="007060BE">
              <w:t>537 (319–812)</w:t>
            </w:r>
          </w:p>
        </w:tc>
        <w:tc>
          <w:tcPr>
            <w:tcW w:w="0" w:type="auto"/>
            <w:vAlign w:val="center"/>
            <w:hideMark/>
          </w:tcPr>
          <w:p w14:paraId="38885A5C" w14:textId="109AEA89" w:rsidR="00AD7DBF" w:rsidRPr="00F403F1" w:rsidRDefault="00AD7DBF" w:rsidP="001C38E1">
            <w:pPr>
              <w:spacing w:after="160" w:line="278" w:lineRule="auto"/>
            </w:pPr>
            <w:r w:rsidRPr="00F403F1">
              <w:t>&lt;.001</w:t>
            </w:r>
          </w:p>
        </w:tc>
      </w:tr>
      <w:tr w:rsidR="008A436E" w:rsidRPr="00F403F1" w14:paraId="4857754A" w14:textId="77777777" w:rsidTr="00DD639C">
        <w:trPr>
          <w:tblCellSpacing w:w="15" w:type="dxa"/>
          <w:jc w:val="center"/>
        </w:trPr>
        <w:tc>
          <w:tcPr>
            <w:tcW w:w="0" w:type="auto"/>
            <w:vAlign w:val="center"/>
          </w:tcPr>
          <w:p w14:paraId="268EDBB2" w14:textId="01A5E19F" w:rsidR="008A436E" w:rsidRPr="00F403F1" w:rsidRDefault="008A436E" w:rsidP="001C38E1">
            <w:pPr>
              <w:spacing w:after="160" w:line="278" w:lineRule="auto"/>
            </w:pPr>
            <w:r w:rsidRPr="008A436E">
              <w:t>Furosemide equivalent dose, mg/day (median [IQR])</w:t>
            </w:r>
          </w:p>
        </w:tc>
        <w:tc>
          <w:tcPr>
            <w:tcW w:w="0" w:type="auto"/>
            <w:vAlign w:val="center"/>
          </w:tcPr>
          <w:p w14:paraId="518EF13D" w14:textId="5FC8610A" w:rsidR="008A436E" w:rsidRPr="00F403F1" w:rsidRDefault="008A436E" w:rsidP="001C38E1">
            <w:pPr>
              <w:spacing w:after="160" w:line="278" w:lineRule="auto"/>
            </w:pPr>
            <w:r w:rsidRPr="008A436E">
              <w:t>80 (40–160)</w:t>
            </w:r>
          </w:p>
        </w:tc>
        <w:tc>
          <w:tcPr>
            <w:tcW w:w="0" w:type="auto"/>
            <w:vAlign w:val="center"/>
          </w:tcPr>
          <w:p w14:paraId="73C98620" w14:textId="0A8FA7F5" w:rsidR="008A436E" w:rsidRPr="00F403F1" w:rsidRDefault="008A436E" w:rsidP="001C38E1">
            <w:pPr>
              <w:spacing w:after="160" w:line="278" w:lineRule="auto"/>
            </w:pPr>
            <w:r w:rsidRPr="008A436E">
              <w:t>120 (60–240)</w:t>
            </w:r>
          </w:p>
        </w:tc>
        <w:tc>
          <w:tcPr>
            <w:tcW w:w="0" w:type="auto"/>
            <w:vAlign w:val="center"/>
          </w:tcPr>
          <w:p w14:paraId="152B7915" w14:textId="3A3903C2" w:rsidR="008A436E" w:rsidRPr="00F403F1" w:rsidRDefault="00024A91" w:rsidP="001C38E1">
            <w:pPr>
              <w:spacing w:after="160" w:line="278" w:lineRule="auto"/>
            </w:pPr>
            <w:r w:rsidRPr="00024A91">
              <w:t>40 (20–80)</w:t>
            </w:r>
          </w:p>
        </w:tc>
        <w:tc>
          <w:tcPr>
            <w:tcW w:w="0" w:type="auto"/>
            <w:vAlign w:val="center"/>
          </w:tcPr>
          <w:p w14:paraId="3FD0CD0E" w14:textId="2C9FCAC9" w:rsidR="008A436E" w:rsidRPr="00F403F1" w:rsidRDefault="00024A91" w:rsidP="001C38E1">
            <w:pPr>
              <w:spacing w:after="160" w:line="278" w:lineRule="auto"/>
            </w:pPr>
            <w:r w:rsidRPr="00024A91">
              <w:t>&lt;.001</w:t>
            </w:r>
          </w:p>
        </w:tc>
      </w:tr>
      <w:tr w:rsidR="008A436E" w:rsidRPr="00F403F1" w14:paraId="589CD700" w14:textId="77777777" w:rsidTr="00DD639C">
        <w:trPr>
          <w:tblCellSpacing w:w="15" w:type="dxa"/>
          <w:jc w:val="center"/>
        </w:trPr>
        <w:tc>
          <w:tcPr>
            <w:tcW w:w="0" w:type="auto"/>
            <w:vAlign w:val="center"/>
          </w:tcPr>
          <w:p w14:paraId="4B4FF5B2" w14:textId="5C1E4460" w:rsidR="008A436E" w:rsidRPr="00F403F1" w:rsidRDefault="008A436E" w:rsidP="001C38E1">
            <w:pPr>
              <w:spacing w:after="160" w:line="278" w:lineRule="auto"/>
            </w:pPr>
            <w:r w:rsidRPr="008A436E">
              <w:t>eGFR, mL/min/1.73 m² (median [IQR])</w:t>
            </w:r>
          </w:p>
        </w:tc>
        <w:tc>
          <w:tcPr>
            <w:tcW w:w="0" w:type="auto"/>
            <w:vAlign w:val="center"/>
          </w:tcPr>
          <w:p w14:paraId="55919A62" w14:textId="2157D9AA" w:rsidR="008A436E" w:rsidRPr="00F403F1" w:rsidRDefault="008A436E" w:rsidP="001C38E1">
            <w:pPr>
              <w:spacing w:after="160" w:line="278" w:lineRule="auto"/>
            </w:pPr>
            <w:r w:rsidRPr="008A436E">
              <w:t>55 (45–80)</w:t>
            </w:r>
          </w:p>
        </w:tc>
        <w:tc>
          <w:tcPr>
            <w:tcW w:w="0" w:type="auto"/>
            <w:vAlign w:val="center"/>
          </w:tcPr>
          <w:p w14:paraId="4DDC90F2" w14:textId="68E73D36" w:rsidR="008A436E" w:rsidRPr="00F403F1" w:rsidRDefault="00024A91" w:rsidP="001C38E1">
            <w:pPr>
              <w:spacing w:after="160" w:line="278" w:lineRule="auto"/>
            </w:pPr>
            <w:r w:rsidRPr="00024A91">
              <w:t>50 (40–68)</w:t>
            </w:r>
          </w:p>
        </w:tc>
        <w:tc>
          <w:tcPr>
            <w:tcW w:w="0" w:type="auto"/>
            <w:vAlign w:val="center"/>
          </w:tcPr>
          <w:p w14:paraId="21B16A9C" w14:textId="59033D12" w:rsidR="008A436E" w:rsidRPr="00F403F1" w:rsidRDefault="00024A91" w:rsidP="001C38E1">
            <w:pPr>
              <w:spacing w:after="160" w:line="278" w:lineRule="auto"/>
            </w:pPr>
            <w:r w:rsidRPr="00024A91">
              <w:t>62 (50–85)</w:t>
            </w:r>
          </w:p>
        </w:tc>
        <w:tc>
          <w:tcPr>
            <w:tcW w:w="0" w:type="auto"/>
            <w:vAlign w:val="center"/>
          </w:tcPr>
          <w:p w14:paraId="2E539C38" w14:textId="71A3CA89" w:rsidR="008A436E" w:rsidRPr="00F403F1" w:rsidRDefault="00024A91" w:rsidP="001C38E1">
            <w:pPr>
              <w:spacing w:after="160" w:line="278" w:lineRule="auto"/>
            </w:pPr>
            <w:r w:rsidRPr="00024A91">
              <w:t>.02</w:t>
            </w:r>
          </w:p>
        </w:tc>
      </w:tr>
      <w:tr w:rsidR="00AD7DBF" w:rsidRPr="00F403F1" w14:paraId="1DA7C1E8" w14:textId="77777777" w:rsidTr="00DD639C">
        <w:trPr>
          <w:tblCellSpacing w:w="15" w:type="dxa"/>
          <w:jc w:val="center"/>
        </w:trPr>
        <w:tc>
          <w:tcPr>
            <w:tcW w:w="0" w:type="auto"/>
            <w:vAlign w:val="center"/>
            <w:hideMark/>
          </w:tcPr>
          <w:p w14:paraId="1ABEC54B" w14:textId="77777777" w:rsidR="00AD7DBF" w:rsidRPr="00F403F1" w:rsidRDefault="00AD7DBF" w:rsidP="001C38E1">
            <w:pPr>
              <w:spacing w:after="160" w:line="278" w:lineRule="auto"/>
            </w:pPr>
            <w:proofErr w:type="spellStart"/>
            <w:r w:rsidRPr="00F403F1">
              <w:t>ReDS</w:t>
            </w:r>
            <w:proofErr w:type="spellEnd"/>
            <w:r w:rsidRPr="00F403F1">
              <w:t>, %</w:t>
            </w:r>
          </w:p>
        </w:tc>
        <w:tc>
          <w:tcPr>
            <w:tcW w:w="0" w:type="auto"/>
            <w:vAlign w:val="center"/>
            <w:hideMark/>
          </w:tcPr>
          <w:p w14:paraId="23A37C7B" w14:textId="77777777" w:rsidR="00AD7DBF" w:rsidRPr="00F403F1" w:rsidRDefault="00AD7DBF" w:rsidP="001C38E1">
            <w:pPr>
              <w:spacing w:after="160" w:line="278" w:lineRule="auto"/>
            </w:pPr>
            <w:r w:rsidRPr="00F403F1">
              <w:t>33.1 ± 8.8</w:t>
            </w:r>
          </w:p>
        </w:tc>
        <w:tc>
          <w:tcPr>
            <w:tcW w:w="0" w:type="auto"/>
            <w:vAlign w:val="center"/>
            <w:hideMark/>
          </w:tcPr>
          <w:p w14:paraId="51EB30EE" w14:textId="77777777" w:rsidR="00AD7DBF" w:rsidRPr="00F403F1" w:rsidRDefault="00AD7DBF" w:rsidP="001C38E1">
            <w:pPr>
              <w:spacing w:after="160" w:line="278" w:lineRule="auto"/>
            </w:pPr>
            <w:r w:rsidRPr="00F403F1">
              <w:t>37.9 ± 7.4</w:t>
            </w:r>
          </w:p>
        </w:tc>
        <w:tc>
          <w:tcPr>
            <w:tcW w:w="0" w:type="auto"/>
            <w:vAlign w:val="center"/>
            <w:hideMark/>
          </w:tcPr>
          <w:p w14:paraId="46C107C8" w14:textId="77777777" w:rsidR="00AD7DBF" w:rsidRPr="00F403F1" w:rsidRDefault="00AD7DBF" w:rsidP="001C38E1">
            <w:pPr>
              <w:spacing w:after="160" w:line="278" w:lineRule="auto"/>
            </w:pPr>
            <w:r w:rsidRPr="00F403F1">
              <w:t>27.8 ± 7.1</w:t>
            </w:r>
          </w:p>
        </w:tc>
        <w:tc>
          <w:tcPr>
            <w:tcW w:w="0" w:type="auto"/>
            <w:vAlign w:val="center"/>
            <w:hideMark/>
          </w:tcPr>
          <w:p w14:paraId="76545E04" w14:textId="22243CA6" w:rsidR="00AD7DBF" w:rsidRPr="00F403F1" w:rsidRDefault="00AD7DBF" w:rsidP="001C38E1">
            <w:pPr>
              <w:spacing w:after="160" w:line="278" w:lineRule="auto"/>
            </w:pPr>
            <w:r w:rsidRPr="00F403F1">
              <w:t>&lt;.001</w:t>
            </w:r>
          </w:p>
        </w:tc>
      </w:tr>
      <w:tr w:rsidR="00AD7DBF" w:rsidRPr="00F403F1" w14:paraId="040A0732" w14:textId="77777777" w:rsidTr="00DD639C">
        <w:trPr>
          <w:tblCellSpacing w:w="15" w:type="dxa"/>
          <w:jc w:val="center"/>
        </w:trPr>
        <w:tc>
          <w:tcPr>
            <w:tcW w:w="0" w:type="auto"/>
            <w:vAlign w:val="center"/>
            <w:hideMark/>
          </w:tcPr>
          <w:p w14:paraId="47C69DE6" w14:textId="77777777" w:rsidR="00AD7DBF" w:rsidRPr="00F403F1" w:rsidRDefault="00AD7DBF" w:rsidP="001C38E1">
            <w:pPr>
              <w:spacing w:after="160" w:line="278" w:lineRule="auto"/>
            </w:pPr>
            <w:r w:rsidRPr="00F403F1">
              <w:t>LUS B-lines</w:t>
            </w:r>
          </w:p>
        </w:tc>
        <w:tc>
          <w:tcPr>
            <w:tcW w:w="0" w:type="auto"/>
            <w:vAlign w:val="center"/>
            <w:hideMark/>
          </w:tcPr>
          <w:p w14:paraId="29A4585F" w14:textId="77777777" w:rsidR="00AD7DBF" w:rsidRPr="00F403F1" w:rsidRDefault="00AD7DBF" w:rsidP="001C38E1">
            <w:pPr>
              <w:spacing w:after="160" w:line="278" w:lineRule="auto"/>
            </w:pPr>
            <w:r w:rsidRPr="00F403F1">
              <w:t>22.3 ± 11.4</w:t>
            </w:r>
          </w:p>
        </w:tc>
        <w:tc>
          <w:tcPr>
            <w:tcW w:w="0" w:type="auto"/>
            <w:vAlign w:val="center"/>
            <w:hideMark/>
          </w:tcPr>
          <w:p w14:paraId="20DF09DB" w14:textId="77777777" w:rsidR="00AD7DBF" w:rsidRPr="00F403F1" w:rsidRDefault="00AD7DBF" w:rsidP="001C38E1">
            <w:pPr>
              <w:spacing w:after="160" w:line="278" w:lineRule="auto"/>
            </w:pPr>
            <w:r w:rsidRPr="00F403F1">
              <w:t>28.6 ± 10.1</w:t>
            </w:r>
          </w:p>
        </w:tc>
        <w:tc>
          <w:tcPr>
            <w:tcW w:w="0" w:type="auto"/>
            <w:vAlign w:val="center"/>
            <w:hideMark/>
          </w:tcPr>
          <w:p w14:paraId="2789EC21" w14:textId="77777777" w:rsidR="00AD7DBF" w:rsidRPr="00F403F1" w:rsidRDefault="00AD7DBF" w:rsidP="001C38E1">
            <w:pPr>
              <w:spacing w:after="160" w:line="278" w:lineRule="auto"/>
            </w:pPr>
            <w:r w:rsidRPr="00F403F1">
              <w:t>15.4 ± 8.3</w:t>
            </w:r>
          </w:p>
        </w:tc>
        <w:tc>
          <w:tcPr>
            <w:tcW w:w="0" w:type="auto"/>
            <w:vAlign w:val="center"/>
            <w:hideMark/>
          </w:tcPr>
          <w:p w14:paraId="71347218" w14:textId="63376C97" w:rsidR="00AD7DBF" w:rsidRPr="00F403F1" w:rsidRDefault="00AD7DBF" w:rsidP="001C38E1">
            <w:pPr>
              <w:spacing w:after="160" w:line="278" w:lineRule="auto"/>
            </w:pPr>
            <w:r w:rsidRPr="00F403F1">
              <w:t>&lt;.001</w:t>
            </w:r>
          </w:p>
        </w:tc>
      </w:tr>
    </w:tbl>
    <w:p w14:paraId="0FC2C20A" w14:textId="77777777" w:rsidR="00AD7DBF" w:rsidRPr="006719D8" w:rsidRDefault="00AD7DBF" w:rsidP="00AD7DBF">
      <w:pPr>
        <w:spacing w:after="160" w:line="278" w:lineRule="auto"/>
      </w:pPr>
    </w:p>
    <w:p w14:paraId="67D8CB85" w14:textId="3C231B2C" w:rsidR="00645918" w:rsidRPr="006719D8" w:rsidRDefault="00645918" w:rsidP="00645918">
      <w:pPr>
        <w:spacing w:after="160" w:line="278" w:lineRule="auto"/>
        <w:rPr>
          <w:b/>
          <w:bCs/>
          <w:sz w:val="22"/>
          <w:szCs w:val="24"/>
        </w:rPr>
      </w:pPr>
      <w:r>
        <w:rPr>
          <w:b/>
          <w:bCs/>
          <w:sz w:val="22"/>
          <w:szCs w:val="24"/>
        </w:rPr>
        <w:t xml:space="preserve">3.3. </w:t>
      </w:r>
      <w:r w:rsidRPr="006719D8">
        <w:rPr>
          <w:b/>
          <w:bCs/>
          <w:sz w:val="22"/>
          <w:szCs w:val="24"/>
        </w:rPr>
        <w:t>Diagnostic Accuracy</w:t>
      </w:r>
    </w:p>
    <w:p w14:paraId="09A2C7E4" w14:textId="4D1672F1" w:rsidR="00B918FB" w:rsidRDefault="00645918" w:rsidP="00645918">
      <w:pPr>
        <w:jc w:val="both"/>
      </w:pPr>
      <w:r w:rsidRPr="00645918">
        <w:t>Both modalities demonstrated similar discriminative performance for detecting pulmonary congestion. The area under the ROC curve</w:t>
      </w:r>
      <w:r>
        <w:t xml:space="preserve"> (Figure 2)</w:t>
      </w:r>
      <w:r w:rsidRPr="00645918">
        <w:t xml:space="preserve"> was 0.831 for </w:t>
      </w:r>
      <w:proofErr w:type="spellStart"/>
      <w:r w:rsidRPr="00645918">
        <w:t>ReDS</w:t>
      </w:r>
      <w:proofErr w:type="spellEnd"/>
      <w:r w:rsidRPr="00645918">
        <w:t xml:space="preserve"> and 0.845 for LUS, with no significant difference between them, </w:t>
      </w:r>
      <w:r w:rsidR="000E02F0" w:rsidRPr="000E02F0">
        <w:rPr>
          <w:i/>
          <w:iCs/>
        </w:rPr>
        <w:t>P</w:t>
      </w:r>
      <w:r w:rsidR="000E02F0">
        <w:t xml:space="preserve"> </w:t>
      </w:r>
      <w:r w:rsidRPr="00645918">
        <w:t>=</w:t>
      </w:r>
      <w:r w:rsidR="000E02F0">
        <w:t xml:space="preserve"> </w:t>
      </w:r>
      <w:r w:rsidRPr="00645918">
        <w:t xml:space="preserve">.80. The ROC curves closely overlapped across most threshold ranges, indicating comparable sensitivity–specificity trade-offs. These findings support that </w:t>
      </w:r>
      <w:proofErr w:type="spellStart"/>
      <w:r w:rsidRPr="00645918">
        <w:t>ReDS</w:t>
      </w:r>
      <w:proofErr w:type="spellEnd"/>
      <w:r w:rsidRPr="00645918">
        <w:t xml:space="preserve"> and LUS provide similar overall diagnostic accuracy in this outpatient cohort, without clear superiority of one modality over the other.</w:t>
      </w:r>
    </w:p>
    <w:p w14:paraId="4279A1D7" w14:textId="00602C2C" w:rsidR="00645918" w:rsidRDefault="00645918" w:rsidP="001218E1">
      <w:r>
        <w:rPr>
          <w:noProof/>
        </w:rPr>
        <w:lastRenderedPageBreak/>
        <w:drawing>
          <wp:inline distT="0" distB="0" distL="0" distR="0" wp14:anchorId="048B4EA8" wp14:editId="773A6DF0">
            <wp:extent cx="5486400" cy="5486400"/>
            <wp:effectExtent l="0" t="0" r="0" b="0"/>
            <wp:docPr id="169111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19549" name="Picture 16911195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inline>
        </w:drawing>
      </w:r>
    </w:p>
    <w:p w14:paraId="52DF7E63" w14:textId="21FD7EC2" w:rsidR="00645918" w:rsidRDefault="00645918" w:rsidP="001218E1">
      <w:pPr>
        <w:rPr>
          <w:b/>
          <w:bCs/>
        </w:rPr>
      </w:pPr>
      <w:r w:rsidRPr="006719D8">
        <w:rPr>
          <w:b/>
          <w:bCs/>
        </w:rPr>
        <w:t xml:space="preserve">Figure 2. </w:t>
      </w:r>
      <w:r w:rsidR="00B6137B" w:rsidRPr="00B6137B">
        <w:rPr>
          <w:b/>
          <w:bCs/>
        </w:rPr>
        <w:t xml:space="preserve">ROC curves comparing </w:t>
      </w:r>
      <w:proofErr w:type="spellStart"/>
      <w:r w:rsidR="00B6137B" w:rsidRPr="00B6137B">
        <w:rPr>
          <w:b/>
          <w:bCs/>
        </w:rPr>
        <w:t>ReDS</w:t>
      </w:r>
      <w:proofErr w:type="spellEnd"/>
      <w:r w:rsidR="00B6137B" w:rsidRPr="00B6137B">
        <w:rPr>
          <w:b/>
          <w:bCs/>
        </w:rPr>
        <w:t xml:space="preserve"> (%) and LUS B-line counts using the blinded composite reference standard. </w:t>
      </w:r>
      <w:r w:rsidR="00E075C9" w:rsidRPr="00E075C9">
        <w:rPr>
          <w:b/>
          <w:bCs/>
        </w:rPr>
        <w:t>AUCs were compared using a paired DeLong test for correlated ROC curves.</w:t>
      </w:r>
    </w:p>
    <w:p w14:paraId="5745A49F" w14:textId="659B89E7" w:rsidR="00645918" w:rsidRPr="00FF08E3" w:rsidRDefault="00FF08E3" w:rsidP="001218E1">
      <w:pPr>
        <w:rPr>
          <w:b/>
          <w:bCs/>
          <w:sz w:val="22"/>
          <w:szCs w:val="24"/>
        </w:rPr>
      </w:pPr>
      <w:r w:rsidRPr="00FF08E3">
        <w:rPr>
          <w:b/>
          <w:bCs/>
          <w:sz w:val="22"/>
          <w:szCs w:val="24"/>
        </w:rPr>
        <w:t>3.4. Threshold performance</w:t>
      </w:r>
    </w:p>
    <w:p w14:paraId="13156981" w14:textId="7B8D2EAF" w:rsidR="00FF08E3" w:rsidRPr="00FF08E3" w:rsidRDefault="00FF08E3" w:rsidP="0099200A">
      <w:pPr>
        <w:jc w:val="both"/>
      </w:pPr>
      <w:r w:rsidRPr="00FF08E3">
        <w:t xml:space="preserve">At the prespecified </w:t>
      </w:r>
      <w:proofErr w:type="spellStart"/>
      <w:r w:rsidRPr="00FF08E3">
        <w:t>ReDS</w:t>
      </w:r>
      <w:proofErr w:type="spellEnd"/>
      <w:r w:rsidRPr="00FF08E3">
        <w:t xml:space="preserve"> threshold of greater than 35 percent, sensitivity was 71 percent and specificity 81 percent. At the exploratory LUS cutoff of 24 B-lines or more, sensitivity was 70 percent and specificity 83 percent. Positive and negative predictive values were similar for both methods, and overall accuracy was identical at 75.9 percent.</w:t>
      </w:r>
      <w:r>
        <w:t xml:space="preserve"> This is detailed in Table 2.</w:t>
      </w:r>
    </w:p>
    <w:p w14:paraId="7243CAEB" w14:textId="19A8D1A4" w:rsidR="00B452FE" w:rsidRDefault="00FF08E3" w:rsidP="008F56EA">
      <w:pPr>
        <w:jc w:val="both"/>
        <w:rPr>
          <w:b/>
          <w:bCs/>
        </w:rPr>
      </w:pPr>
      <w:r w:rsidRPr="00FF08E3">
        <w:t>Likelihood ratios and diagnostic odds ratios were also comparable, with slightly higher rule-in performance for LUS. These findings indicate that, at clinically relevant thresholds, both tools perform similarly, with good specificity and moderate sensitivity in this outpatient population.</w:t>
      </w:r>
      <w:r w:rsidR="008B6EF6">
        <w:t xml:space="preserve"> </w:t>
      </w:r>
      <w:r w:rsidR="008B6EF6" w:rsidRPr="008B6EF6">
        <w:t>Identical overall accuracy reflects a similar number of correctly classified cases despite different distributions of false positives and false negatives.</w:t>
      </w:r>
      <w:r w:rsidR="00B452FE">
        <w:rPr>
          <w:b/>
          <w:bCs/>
        </w:rPr>
        <w:br w:type="page"/>
      </w:r>
    </w:p>
    <w:p w14:paraId="54FE6512" w14:textId="5CF30641" w:rsidR="00FF08E3" w:rsidRPr="006719D8" w:rsidRDefault="00FF08E3" w:rsidP="00FF08E3">
      <w:r w:rsidRPr="006719D8">
        <w:rPr>
          <w:b/>
          <w:bCs/>
        </w:rPr>
        <w:lastRenderedPageBreak/>
        <w:t>Table 2. Diagnostic Performance</w:t>
      </w:r>
      <w:r w:rsidRPr="006719D8">
        <w:br/>
      </w:r>
    </w:p>
    <w:tbl>
      <w:tblPr>
        <w:tblpPr w:leftFromText="180" w:rightFromText="180" w:vertAnchor="text" w:tblpXSpec="center"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6"/>
        <w:gridCol w:w="2031"/>
        <w:gridCol w:w="2450"/>
      </w:tblGrid>
      <w:tr w:rsidR="00FF08E3" w:rsidRPr="00947666" w14:paraId="24194ECB" w14:textId="77777777" w:rsidTr="00DD639C">
        <w:trPr>
          <w:tblHeader/>
          <w:tblCellSpacing w:w="15" w:type="dxa"/>
        </w:trPr>
        <w:tc>
          <w:tcPr>
            <w:tcW w:w="0" w:type="auto"/>
            <w:vAlign w:val="center"/>
            <w:hideMark/>
          </w:tcPr>
          <w:p w14:paraId="3E783A88" w14:textId="77777777" w:rsidR="00FF08E3" w:rsidRPr="00947666" w:rsidRDefault="00FF08E3" w:rsidP="00FF08E3">
            <w:pPr>
              <w:spacing w:after="160" w:line="278" w:lineRule="auto"/>
              <w:rPr>
                <w:b/>
                <w:bCs/>
              </w:rPr>
            </w:pPr>
            <w:r w:rsidRPr="00947666">
              <w:rPr>
                <w:b/>
                <w:bCs/>
              </w:rPr>
              <w:t>Metric</w:t>
            </w:r>
          </w:p>
        </w:tc>
        <w:tc>
          <w:tcPr>
            <w:tcW w:w="0" w:type="auto"/>
            <w:vAlign w:val="center"/>
            <w:hideMark/>
          </w:tcPr>
          <w:p w14:paraId="256A48D4" w14:textId="77777777" w:rsidR="00FF08E3" w:rsidRPr="00947666" w:rsidRDefault="00FF08E3" w:rsidP="00FF08E3">
            <w:pPr>
              <w:spacing w:after="160" w:line="278" w:lineRule="auto"/>
              <w:rPr>
                <w:b/>
                <w:bCs/>
              </w:rPr>
            </w:pPr>
            <w:proofErr w:type="spellStart"/>
            <w:r w:rsidRPr="00947666">
              <w:rPr>
                <w:b/>
                <w:bCs/>
              </w:rPr>
              <w:t>ReDS</w:t>
            </w:r>
            <w:proofErr w:type="spellEnd"/>
            <w:r w:rsidRPr="00947666">
              <w:rPr>
                <w:b/>
                <w:bCs/>
              </w:rPr>
              <w:t xml:space="preserve"> &gt;35% (95% CI)</w:t>
            </w:r>
          </w:p>
        </w:tc>
        <w:tc>
          <w:tcPr>
            <w:tcW w:w="0" w:type="auto"/>
            <w:vAlign w:val="center"/>
            <w:hideMark/>
          </w:tcPr>
          <w:p w14:paraId="7978A330" w14:textId="77777777" w:rsidR="00FF08E3" w:rsidRPr="00947666" w:rsidRDefault="00FF08E3" w:rsidP="00FF08E3">
            <w:pPr>
              <w:spacing w:after="160" w:line="278" w:lineRule="auto"/>
              <w:rPr>
                <w:b/>
                <w:bCs/>
              </w:rPr>
            </w:pPr>
            <w:r w:rsidRPr="00947666">
              <w:rPr>
                <w:b/>
                <w:bCs/>
              </w:rPr>
              <w:t>LUS ≥24 B-lines (95% CI)</w:t>
            </w:r>
          </w:p>
        </w:tc>
      </w:tr>
      <w:tr w:rsidR="00FF08E3" w:rsidRPr="00947666" w14:paraId="3088DA6F" w14:textId="77777777" w:rsidTr="00DD639C">
        <w:trPr>
          <w:tblCellSpacing w:w="15" w:type="dxa"/>
        </w:trPr>
        <w:tc>
          <w:tcPr>
            <w:tcW w:w="0" w:type="auto"/>
            <w:vAlign w:val="center"/>
            <w:hideMark/>
          </w:tcPr>
          <w:p w14:paraId="79F07A04" w14:textId="77777777" w:rsidR="00FF08E3" w:rsidRPr="00947666" w:rsidRDefault="00FF08E3" w:rsidP="00FF08E3">
            <w:pPr>
              <w:spacing w:after="160" w:line="278" w:lineRule="auto"/>
            </w:pPr>
            <w:r w:rsidRPr="00947666">
              <w:t>Sensitivity</w:t>
            </w:r>
          </w:p>
        </w:tc>
        <w:tc>
          <w:tcPr>
            <w:tcW w:w="0" w:type="auto"/>
            <w:vAlign w:val="center"/>
            <w:hideMark/>
          </w:tcPr>
          <w:p w14:paraId="1985D51B" w14:textId="77777777" w:rsidR="00FF08E3" w:rsidRPr="00947666" w:rsidRDefault="00FF08E3" w:rsidP="00FF08E3">
            <w:pPr>
              <w:spacing w:after="160" w:line="278" w:lineRule="auto"/>
            </w:pPr>
            <w:r w:rsidRPr="00947666">
              <w:t>71.2% (58.1–81.8)</w:t>
            </w:r>
          </w:p>
        </w:tc>
        <w:tc>
          <w:tcPr>
            <w:tcW w:w="0" w:type="auto"/>
            <w:vAlign w:val="center"/>
            <w:hideMark/>
          </w:tcPr>
          <w:p w14:paraId="3E4D24C8" w14:textId="77777777" w:rsidR="00FF08E3" w:rsidRPr="00947666" w:rsidRDefault="00FF08E3" w:rsidP="00FF08E3">
            <w:pPr>
              <w:spacing w:after="160" w:line="278" w:lineRule="auto"/>
            </w:pPr>
            <w:r w:rsidRPr="00947666">
              <w:t>69.5% (56.0–80.8)</w:t>
            </w:r>
          </w:p>
        </w:tc>
      </w:tr>
      <w:tr w:rsidR="00FF08E3" w:rsidRPr="00947666" w14:paraId="210E22FA" w14:textId="77777777" w:rsidTr="00DD639C">
        <w:trPr>
          <w:tblCellSpacing w:w="15" w:type="dxa"/>
        </w:trPr>
        <w:tc>
          <w:tcPr>
            <w:tcW w:w="0" w:type="auto"/>
            <w:vAlign w:val="center"/>
            <w:hideMark/>
          </w:tcPr>
          <w:p w14:paraId="0D309CA2" w14:textId="77777777" w:rsidR="00FF08E3" w:rsidRPr="00947666" w:rsidRDefault="00FF08E3" w:rsidP="00FF08E3">
            <w:pPr>
              <w:spacing w:after="160" w:line="278" w:lineRule="auto"/>
            </w:pPr>
            <w:r w:rsidRPr="00947666">
              <w:t>Specificity</w:t>
            </w:r>
          </w:p>
        </w:tc>
        <w:tc>
          <w:tcPr>
            <w:tcW w:w="0" w:type="auto"/>
            <w:vAlign w:val="center"/>
            <w:hideMark/>
          </w:tcPr>
          <w:p w14:paraId="1CF5B132" w14:textId="77777777" w:rsidR="00FF08E3" w:rsidRPr="00947666" w:rsidRDefault="00FF08E3" w:rsidP="00FF08E3">
            <w:pPr>
              <w:spacing w:after="160" w:line="278" w:lineRule="auto"/>
            </w:pPr>
            <w:r w:rsidRPr="00947666">
              <w:t>81.1% (68.0–90.0)</w:t>
            </w:r>
          </w:p>
        </w:tc>
        <w:tc>
          <w:tcPr>
            <w:tcW w:w="0" w:type="auto"/>
            <w:vAlign w:val="center"/>
            <w:hideMark/>
          </w:tcPr>
          <w:p w14:paraId="189B8370" w14:textId="77777777" w:rsidR="00FF08E3" w:rsidRPr="00947666" w:rsidRDefault="00FF08E3" w:rsidP="00FF08E3">
            <w:pPr>
              <w:spacing w:after="160" w:line="278" w:lineRule="auto"/>
            </w:pPr>
            <w:r w:rsidRPr="00947666">
              <w:t>83.0% (70.2–92.0)</w:t>
            </w:r>
          </w:p>
        </w:tc>
      </w:tr>
      <w:tr w:rsidR="00FF08E3" w:rsidRPr="00947666" w14:paraId="27595CD9" w14:textId="77777777" w:rsidTr="00DD639C">
        <w:trPr>
          <w:tblCellSpacing w:w="15" w:type="dxa"/>
        </w:trPr>
        <w:tc>
          <w:tcPr>
            <w:tcW w:w="0" w:type="auto"/>
            <w:vAlign w:val="center"/>
            <w:hideMark/>
          </w:tcPr>
          <w:p w14:paraId="366088A5" w14:textId="77777777" w:rsidR="00FF08E3" w:rsidRPr="00947666" w:rsidRDefault="00FF08E3" w:rsidP="00FF08E3">
            <w:pPr>
              <w:spacing w:after="160" w:line="278" w:lineRule="auto"/>
            </w:pPr>
            <w:r w:rsidRPr="00947666">
              <w:t>PPV</w:t>
            </w:r>
          </w:p>
        </w:tc>
        <w:tc>
          <w:tcPr>
            <w:tcW w:w="0" w:type="auto"/>
            <w:vAlign w:val="center"/>
            <w:hideMark/>
          </w:tcPr>
          <w:p w14:paraId="3066E1C8" w14:textId="77777777" w:rsidR="00FF08E3" w:rsidRPr="00947666" w:rsidRDefault="00FF08E3" w:rsidP="00FF08E3">
            <w:pPr>
              <w:spacing w:after="160" w:line="278" w:lineRule="auto"/>
            </w:pPr>
            <w:r w:rsidRPr="00947666">
              <w:t>80.8% (67.5–90.4)</w:t>
            </w:r>
          </w:p>
        </w:tc>
        <w:tc>
          <w:tcPr>
            <w:tcW w:w="0" w:type="auto"/>
            <w:vAlign w:val="center"/>
            <w:hideMark/>
          </w:tcPr>
          <w:p w14:paraId="75F08634" w14:textId="77777777" w:rsidR="00FF08E3" w:rsidRPr="00947666" w:rsidRDefault="00FF08E3" w:rsidP="00FF08E3">
            <w:pPr>
              <w:spacing w:after="160" w:line="278" w:lineRule="auto"/>
            </w:pPr>
            <w:r w:rsidRPr="00947666">
              <w:t>82.0% (68.6–91.4)</w:t>
            </w:r>
          </w:p>
        </w:tc>
      </w:tr>
      <w:tr w:rsidR="00FF08E3" w:rsidRPr="00947666" w14:paraId="72D44995" w14:textId="77777777" w:rsidTr="00DD639C">
        <w:trPr>
          <w:tblCellSpacing w:w="15" w:type="dxa"/>
        </w:trPr>
        <w:tc>
          <w:tcPr>
            <w:tcW w:w="0" w:type="auto"/>
            <w:vAlign w:val="center"/>
            <w:hideMark/>
          </w:tcPr>
          <w:p w14:paraId="2A4BB04C" w14:textId="77777777" w:rsidR="00FF08E3" w:rsidRPr="00947666" w:rsidRDefault="00FF08E3" w:rsidP="00FF08E3">
            <w:pPr>
              <w:spacing w:after="160" w:line="278" w:lineRule="auto"/>
            </w:pPr>
            <w:r w:rsidRPr="00947666">
              <w:t>NPV</w:t>
            </w:r>
          </w:p>
        </w:tc>
        <w:tc>
          <w:tcPr>
            <w:tcW w:w="0" w:type="auto"/>
            <w:vAlign w:val="center"/>
            <w:hideMark/>
          </w:tcPr>
          <w:p w14:paraId="34B727AE" w14:textId="77777777" w:rsidR="00FF08E3" w:rsidRPr="00947666" w:rsidRDefault="00FF08E3" w:rsidP="00FF08E3">
            <w:pPr>
              <w:spacing w:after="160" w:line="278" w:lineRule="auto"/>
            </w:pPr>
            <w:r w:rsidRPr="00947666">
              <w:t>71.7% (58.6–82.5)</w:t>
            </w:r>
          </w:p>
        </w:tc>
        <w:tc>
          <w:tcPr>
            <w:tcW w:w="0" w:type="auto"/>
            <w:vAlign w:val="center"/>
            <w:hideMark/>
          </w:tcPr>
          <w:p w14:paraId="717A1068" w14:textId="77777777" w:rsidR="00FF08E3" w:rsidRPr="00947666" w:rsidRDefault="00FF08E3" w:rsidP="00FF08E3">
            <w:pPr>
              <w:spacing w:after="160" w:line="278" w:lineRule="auto"/>
            </w:pPr>
            <w:r w:rsidRPr="00947666">
              <w:t>71.0% (57.9–82.2)</w:t>
            </w:r>
          </w:p>
        </w:tc>
      </w:tr>
      <w:tr w:rsidR="00FF08E3" w:rsidRPr="00947666" w14:paraId="506B8679" w14:textId="77777777" w:rsidTr="00DD639C">
        <w:trPr>
          <w:tblCellSpacing w:w="15" w:type="dxa"/>
        </w:trPr>
        <w:tc>
          <w:tcPr>
            <w:tcW w:w="0" w:type="auto"/>
            <w:vAlign w:val="center"/>
            <w:hideMark/>
          </w:tcPr>
          <w:p w14:paraId="5517D73B" w14:textId="77777777" w:rsidR="00FF08E3" w:rsidRPr="00947666" w:rsidRDefault="00FF08E3" w:rsidP="00FF08E3">
            <w:pPr>
              <w:spacing w:after="160" w:line="278" w:lineRule="auto"/>
            </w:pPr>
            <w:r w:rsidRPr="00947666">
              <w:t>Accuracy</w:t>
            </w:r>
          </w:p>
        </w:tc>
        <w:tc>
          <w:tcPr>
            <w:tcW w:w="0" w:type="auto"/>
            <w:vAlign w:val="center"/>
            <w:hideMark/>
          </w:tcPr>
          <w:p w14:paraId="0EA8E740" w14:textId="77777777" w:rsidR="00FF08E3" w:rsidRPr="00947666" w:rsidRDefault="00FF08E3" w:rsidP="00FF08E3">
            <w:pPr>
              <w:spacing w:after="160" w:line="278" w:lineRule="auto"/>
            </w:pPr>
            <w:r w:rsidRPr="00947666">
              <w:t>75.9%</w:t>
            </w:r>
          </w:p>
        </w:tc>
        <w:tc>
          <w:tcPr>
            <w:tcW w:w="0" w:type="auto"/>
            <w:vAlign w:val="center"/>
            <w:hideMark/>
          </w:tcPr>
          <w:p w14:paraId="00BC3C8C" w14:textId="77777777" w:rsidR="00FF08E3" w:rsidRPr="00947666" w:rsidRDefault="00FF08E3" w:rsidP="00FF08E3">
            <w:pPr>
              <w:spacing w:after="160" w:line="278" w:lineRule="auto"/>
            </w:pPr>
            <w:r w:rsidRPr="00947666">
              <w:t>75.9%</w:t>
            </w:r>
          </w:p>
        </w:tc>
      </w:tr>
      <w:tr w:rsidR="00FF08E3" w:rsidRPr="00947666" w14:paraId="25E95BF6" w14:textId="77777777" w:rsidTr="00DD639C">
        <w:trPr>
          <w:tblCellSpacing w:w="15" w:type="dxa"/>
        </w:trPr>
        <w:tc>
          <w:tcPr>
            <w:tcW w:w="0" w:type="auto"/>
            <w:vAlign w:val="center"/>
            <w:hideMark/>
          </w:tcPr>
          <w:p w14:paraId="4812B1F7" w14:textId="77777777" w:rsidR="00FF08E3" w:rsidRPr="00947666" w:rsidRDefault="00FF08E3" w:rsidP="00FF08E3">
            <w:pPr>
              <w:spacing w:after="160" w:line="278" w:lineRule="auto"/>
            </w:pPr>
            <w:r w:rsidRPr="00947666">
              <w:t>LR+</w:t>
            </w:r>
          </w:p>
        </w:tc>
        <w:tc>
          <w:tcPr>
            <w:tcW w:w="0" w:type="auto"/>
            <w:vAlign w:val="center"/>
            <w:hideMark/>
          </w:tcPr>
          <w:p w14:paraId="10422627" w14:textId="77777777" w:rsidR="00FF08E3" w:rsidRPr="00947666" w:rsidRDefault="00FF08E3" w:rsidP="00FF08E3">
            <w:pPr>
              <w:spacing w:after="160" w:line="278" w:lineRule="auto"/>
            </w:pPr>
            <w:r w:rsidRPr="00947666">
              <w:t>3.77</w:t>
            </w:r>
          </w:p>
        </w:tc>
        <w:tc>
          <w:tcPr>
            <w:tcW w:w="0" w:type="auto"/>
            <w:vAlign w:val="center"/>
            <w:hideMark/>
          </w:tcPr>
          <w:p w14:paraId="54BE5C57" w14:textId="77777777" w:rsidR="00FF08E3" w:rsidRPr="00947666" w:rsidRDefault="00FF08E3" w:rsidP="00FF08E3">
            <w:pPr>
              <w:spacing w:after="160" w:line="278" w:lineRule="auto"/>
            </w:pPr>
            <w:r w:rsidRPr="00947666">
              <w:t>4.08</w:t>
            </w:r>
          </w:p>
        </w:tc>
      </w:tr>
      <w:tr w:rsidR="00FF08E3" w:rsidRPr="00947666" w14:paraId="1CF18765" w14:textId="77777777" w:rsidTr="00DD639C">
        <w:trPr>
          <w:tblCellSpacing w:w="15" w:type="dxa"/>
        </w:trPr>
        <w:tc>
          <w:tcPr>
            <w:tcW w:w="0" w:type="auto"/>
            <w:vAlign w:val="center"/>
            <w:hideMark/>
          </w:tcPr>
          <w:p w14:paraId="0479A47E" w14:textId="77777777" w:rsidR="00FF08E3" w:rsidRPr="00947666" w:rsidRDefault="00FF08E3" w:rsidP="00FF08E3">
            <w:pPr>
              <w:spacing w:after="160" w:line="278" w:lineRule="auto"/>
            </w:pPr>
            <w:r w:rsidRPr="00947666">
              <w:t>LR−</w:t>
            </w:r>
          </w:p>
        </w:tc>
        <w:tc>
          <w:tcPr>
            <w:tcW w:w="0" w:type="auto"/>
            <w:vAlign w:val="center"/>
            <w:hideMark/>
          </w:tcPr>
          <w:p w14:paraId="49A82B1F" w14:textId="77777777" w:rsidR="00FF08E3" w:rsidRPr="00947666" w:rsidRDefault="00FF08E3" w:rsidP="00FF08E3">
            <w:pPr>
              <w:spacing w:after="160" w:line="278" w:lineRule="auto"/>
            </w:pPr>
            <w:r w:rsidRPr="00947666">
              <w:t>0.36</w:t>
            </w:r>
          </w:p>
        </w:tc>
        <w:tc>
          <w:tcPr>
            <w:tcW w:w="0" w:type="auto"/>
            <w:vAlign w:val="center"/>
            <w:hideMark/>
          </w:tcPr>
          <w:p w14:paraId="538B2AB0" w14:textId="77777777" w:rsidR="00FF08E3" w:rsidRPr="00947666" w:rsidRDefault="00FF08E3" w:rsidP="00FF08E3">
            <w:pPr>
              <w:spacing w:after="160" w:line="278" w:lineRule="auto"/>
            </w:pPr>
            <w:r w:rsidRPr="00947666">
              <w:t>0.37</w:t>
            </w:r>
          </w:p>
        </w:tc>
      </w:tr>
      <w:tr w:rsidR="00FF08E3" w:rsidRPr="00947666" w14:paraId="7209D35B" w14:textId="77777777" w:rsidTr="00DD639C">
        <w:trPr>
          <w:tblCellSpacing w:w="15" w:type="dxa"/>
        </w:trPr>
        <w:tc>
          <w:tcPr>
            <w:tcW w:w="0" w:type="auto"/>
            <w:vAlign w:val="center"/>
            <w:hideMark/>
          </w:tcPr>
          <w:p w14:paraId="78E3DEEB" w14:textId="77777777" w:rsidR="00FF08E3" w:rsidRPr="00947666" w:rsidRDefault="00FF08E3" w:rsidP="00FF08E3">
            <w:pPr>
              <w:spacing w:after="160" w:line="278" w:lineRule="auto"/>
            </w:pPr>
            <w:r w:rsidRPr="00947666">
              <w:t>DOR</w:t>
            </w:r>
          </w:p>
        </w:tc>
        <w:tc>
          <w:tcPr>
            <w:tcW w:w="0" w:type="auto"/>
            <w:vAlign w:val="center"/>
            <w:hideMark/>
          </w:tcPr>
          <w:p w14:paraId="58EBC42C" w14:textId="77777777" w:rsidR="00FF08E3" w:rsidRPr="00947666" w:rsidRDefault="00FF08E3" w:rsidP="00FF08E3">
            <w:pPr>
              <w:spacing w:after="160" w:line="278" w:lineRule="auto"/>
            </w:pPr>
            <w:r w:rsidRPr="00947666">
              <w:t>10.6</w:t>
            </w:r>
          </w:p>
        </w:tc>
        <w:tc>
          <w:tcPr>
            <w:tcW w:w="0" w:type="auto"/>
            <w:vAlign w:val="center"/>
            <w:hideMark/>
          </w:tcPr>
          <w:p w14:paraId="67D1ADEA" w14:textId="77777777" w:rsidR="00FF08E3" w:rsidRPr="00947666" w:rsidRDefault="00FF08E3" w:rsidP="00FF08E3">
            <w:pPr>
              <w:spacing w:after="160" w:line="278" w:lineRule="auto"/>
            </w:pPr>
            <w:r w:rsidRPr="00947666">
              <w:t>11.1</w:t>
            </w:r>
          </w:p>
        </w:tc>
      </w:tr>
    </w:tbl>
    <w:p w14:paraId="5DD37C6B" w14:textId="1EE437AF" w:rsidR="00FF08E3" w:rsidRDefault="00FF08E3" w:rsidP="001218E1">
      <w:r>
        <w:br w:type="textWrapping" w:clear="all"/>
      </w:r>
    </w:p>
    <w:p w14:paraId="3CDE0682" w14:textId="190EA80F" w:rsidR="00FF08E3" w:rsidRPr="00DD639C" w:rsidRDefault="00DD639C" w:rsidP="001218E1">
      <w:pPr>
        <w:rPr>
          <w:b/>
          <w:bCs/>
          <w:sz w:val="22"/>
          <w:szCs w:val="24"/>
        </w:rPr>
      </w:pPr>
      <w:r w:rsidRPr="00DD639C">
        <w:rPr>
          <w:b/>
          <w:bCs/>
          <w:sz w:val="22"/>
          <w:szCs w:val="24"/>
        </w:rPr>
        <w:t>3.5. Concordance</w:t>
      </w:r>
    </w:p>
    <w:p w14:paraId="7D969CA8" w14:textId="77777777" w:rsidR="00DD639C" w:rsidRPr="00DD639C" w:rsidRDefault="00DD639C" w:rsidP="0099200A">
      <w:pPr>
        <w:jc w:val="both"/>
      </w:pPr>
      <w:proofErr w:type="spellStart"/>
      <w:r w:rsidRPr="00DD639C">
        <w:t>ReDS</w:t>
      </w:r>
      <w:proofErr w:type="spellEnd"/>
      <w:r w:rsidRPr="00DD639C">
        <w:t xml:space="preserve"> and LUS agreed in 93 of 112 patients, yielding an overall concordance of 83.0 percent. Both tests were positive in 36 patients and negative in 57 patients. Discordant results occurred in 19 cases, with 6 patients classified as </w:t>
      </w:r>
      <w:proofErr w:type="spellStart"/>
      <w:r w:rsidRPr="00DD639C">
        <w:t>ReDS</w:t>
      </w:r>
      <w:proofErr w:type="spellEnd"/>
      <w:r w:rsidRPr="00DD639C">
        <w:t xml:space="preserve"> positive but LUS negative, and 13 classified as </w:t>
      </w:r>
      <w:proofErr w:type="spellStart"/>
      <w:r w:rsidRPr="00DD639C">
        <w:t>ReDS</w:t>
      </w:r>
      <w:proofErr w:type="spellEnd"/>
      <w:r w:rsidRPr="00DD639C">
        <w:t xml:space="preserve"> negative but LUS positive.</w:t>
      </w:r>
    </w:p>
    <w:p w14:paraId="1604DEEE" w14:textId="05BD878B" w:rsidR="00DD639C" w:rsidRPr="00DD639C" w:rsidRDefault="00DD639C" w:rsidP="0099200A">
      <w:pPr>
        <w:jc w:val="both"/>
      </w:pPr>
      <w:r w:rsidRPr="00DD639C">
        <w:t xml:space="preserve">Inter-method agreement was substantial, with a Cohen kappa of 0.65. McNemar testing showed no significant asymmetry between discordant pairs, </w:t>
      </w:r>
      <w:r w:rsidR="000E02F0" w:rsidRPr="000E02F0">
        <w:rPr>
          <w:i/>
          <w:iCs/>
        </w:rPr>
        <w:t>P</w:t>
      </w:r>
      <w:r w:rsidR="000E02F0">
        <w:t xml:space="preserve"> </w:t>
      </w:r>
      <w:r w:rsidRPr="00DD639C">
        <w:t>=</w:t>
      </w:r>
      <w:r w:rsidR="000E02F0">
        <w:t xml:space="preserve"> </w:t>
      </w:r>
      <w:r w:rsidRPr="00DD639C">
        <w:t>.16</w:t>
      </w:r>
      <w:r>
        <w:t xml:space="preserve"> (Table 3)</w:t>
      </w:r>
      <w:r w:rsidRPr="00DD639C">
        <w:t>. These findings indicate consistent classification across modalities, with a moderate proportion of clinically meaningful discordance.</w:t>
      </w:r>
    </w:p>
    <w:p w14:paraId="21180FCD" w14:textId="77777777" w:rsidR="00DD639C" w:rsidRPr="006719D8" w:rsidRDefault="00DD639C" w:rsidP="00DD639C">
      <w:r w:rsidRPr="006719D8">
        <w:rPr>
          <w:b/>
          <w:bCs/>
        </w:rPr>
        <w:t>Table 3. Agreement Matrix</w:t>
      </w:r>
      <w:r w:rsidRPr="006719D8">
        <w:br/>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8"/>
        <w:gridCol w:w="1303"/>
        <w:gridCol w:w="1370"/>
        <w:gridCol w:w="573"/>
      </w:tblGrid>
      <w:tr w:rsidR="00DD639C" w:rsidRPr="00462A5D" w14:paraId="1DC36D96" w14:textId="77777777" w:rsidTr="00DD639C">
        <w:trPr>
          <w:tblHeader/>
          <w:tblCellSpacing w:w="15" w:type="dxa"/>
          <w:jc w:val="center"/>
        </w:trPr>
        <w:tc>
          <w:tcPr>
            <w:tcW w:w="0" w:type="auto"/>
            <w:vAlign w:val="center"/>
            <w:hideMark/>
          </w:tcPr>
          <w:p w14:paraId="3322E219" w14:textId="77777777" w:rsidR="00DD639C" w:rsidRPr="00462A5D" w:rsidRDefault="00DD639C" w:rsidP="001C38E1">
            <w:pPr>
              <w:spacing w:after="160" w:line="278" w:lineRule="auto"/>
            </w:pPr>
          </w:p>
        </w:tc>
        <w:tc>
          <w:tcPr>
            <w:tcW w:w="0" w:type="auto"/>
            <w:vAlign w:val="center"/>
            <w:hideMark/>
          </w:tcPr>
          <w:p w14:paraId="5C489C84" w14:textId="77777777" w:rsidR="00DD639C" w:rsidRPr="00462A5D" w:rsidRDefault="00DD639C" w:rsidP="001C38E1">
            <w:pPr>
              <w:spacing w:after="160" w:line="278" w:lineRule="auto"/>
              <w:rPr>
                <w:b/>
                <w:bCs/>
              </w:rPr>
            </w:pPr>
            <w:r w:rsidRPr="00462A5D">
              <w:rPr>
                <w:b/>
                <w:bCs/>
              </w:rPr>
              <w:t>LUS Positive</w:t>
            </w:r>
          </w:p>
        </w:tc>
        <w:tc>
          <w:tcPr>
            <w:tcW w:w="0" w:type="auto"/>
            <w:vAlign w:val="center"/>
            <w:hideMark/>
          </w:tcPr>
          <w:p w14:paraId="68A96013" w14:textId="77777777" w:rsidR="00DD639C" w:rsidRPr="00462A5D" w:rsidRDefault="00DD639C" w:rsidP="001C38E1">
            <w:pPr>
              <w:spacing w:after="160" w:line="278" w:lineRule="auto"/>
              <w:rPr>
                <w:b/>
                <w:bCs/>
              </w:rPr>
            </w:pPr>
            <w:r w:rsidRPr="00462A5D">
              <w:rPr>
                <w:b/>
                <w:bCs/>
              </w:rPr>
              <w:t>LUS Negative</w:t>
            </w:r>
          </w:p>
        </w:tc>
        <w:tc>
          <w:tcPr>
            <w:tcW w:w="0" w:type="auto"/>
            <w:vAlign w:val="center"/>
            <w:hideMark/>
          </w:tcPr>
          <w:p w14:paraId="44D796DD" w14:textId="77777777" w:rsidR="00DD639C" w:rsidRPr="00462A5D" w:rsidRDefault="00DD639C" w:rsidP="001C38E1">
            <w:pPr>
              <w:spacing w:after="160" w:line="278" w:lineRule="auto"/>
              <w:rPr>
                <w:b/>
                <w:bCs/>
              </w:rPr>
            </w:pPr>
            <w:r w:rsidRPr="00462A5D">
              <w:rPr>
                <w:b/>
                <w:bCs/>
              </w:rPr>
              <w:t>Total</w:t>
            </w:r>
          </w:p>
        </w:tc>
      </w:tr>
      <w:tr w:rsidR="00DD639C" w:rsidRPr="00462A5D" w14:paraId="108C6F30" w14:textId="77777777" w:rsidTr="00DD639C">
        <w:trPr>
          <w:tblCellSpacing w:w="15" w:type="dxa"/>
          <w:jc w:val="center"/>
        </w:trPr>
        <w:tc>
          <w:tcPr>
            <w:tcW w:w="0" w:type="auto"/>
            <w:vAlign w:val="center"/>
            <w:hideMark/>
          </w:tcPr>
          <w:p w14:paraId="6D4FCA0A" w14:textId="77777777" w:rsidR="00DD639C" w:rsidRPr="00462A5D" w:rsidRDefault="00DD639C" w:rsidP="001C38E1">
            <w:pPr>
              <w:spacing w:after="160" w:line="278" w:lineRule="auto"/>
            </w:pPr>
            <w:proofErr w:type="spellStart"/>
            <w:r w:rsidRPr="00462A5D">
              <w:rPr>
                <w:b/>
                <w:bCs/>
              </w:rPr>
              <w:t>ReDS</w:t>
            </w:r>
            <w:proofErr w:type="spellEnd"/>
            <w:r w:rsidRPr="00462A5D">
              <w:rPr>
                <w:b/>
                <w:bCs/>
              </w:rPr>
              <w:t xml:space="preserve"> Positive</w:t>
            </w:r>
          </w:p>
        </w:tc>
        <w:tc>
          <w:tcPr>
            <w:tcW w:w="0" w:type="auto"/>
            <w:vAlign w:val="center"/>
            <w:hideMark/>
          </w:tcPr>
          <w:p w14:paraId="2906C477" w14:textId="77777777" w:rsidR="00DD639C" w:rsidRPr="00462A5D" w:rsidRDefault="00DD639C" w:rsidP="001C38E1">
            <w:pPr>
              <w:spacing w:after="160" w:line="278" w:lineRule="auto"/>
            </w:pPr>
            <w:r w:rsidRPr="00462A5D">
              <w:t>36</w:t>
            </w:r>
          </w:p>
        </w:tc>
        <w:tc>
          <w:tcPr>
            <w:tcW w:w="0" w:type="auto"/>
            <w:vAlign w:val="center"/>
            <w:hideMark/>
          </w:tcPr>
          <w:p w14:paraId="03ABD330" w14:textId="77777777" w:rsidR="00DD639C" w:rsidRPr="00462A5D" w:rsidRDefault="00DD639C" w:rsidP="001C38E1">
            <w:pPr>
              <w:spacing w:after="160" w:line="278" w:lineRule="auto"/>
            </w:pPr>
            <w:r w:rsidRPr="00462A5D">
              <w:t>6</w:t>
            </w:r>
          </w:p>
        </w:tc>
        <w:tc>
          <w:tcPr>
            <w:tcW w:w="0" w:type="auto"/>
            <w:vAlign w:val="center"/>
            <w:hideMark/>
          </w:tcPr>
          <w:p w14:paraId="71D196A0" w14:textId="77777777" w:rsidR="00DD639C" w:rsidRPr="00462A5D" w:rsidRDefault="00DD639C" w:rsidP="001C38E1">
            <w:pPr>
              <w:spacing w:after="160" w:line="278" w:lineRule="auto"/>
            </w:pPr>
            <w:r w:rsidRPr="00462A5D">
              <w:t>42</w:t>
            </w:r>
          </w:p>
        </w:tc>
      </w:tr>
      <w:tr w:rsidR="00DD639C" w:rsidRPr="00462A5D" w14:paraId="7AC1FF8D" w14:textId="77777777" w:rsidTr="00DD639C">
        <w:trPr>
          <w:tblCellSpacing w:w="15" w:type="dxa"/>
          <w:jc w:val="center"/>
        </w:trPr>
        <w:tc>
          <w:tcPr>
            <w:tcW w:w="0" w:type="auto"/>
            <w:vAlign w:val="center"/>
            <w:hideMark/>
          </w:tcPr>
          <w:p w14:paraId="7692500A" w14:textId="77777777" w:rsidR="00DD639C" w:rsidRPr="00462A5D" w:rsidRDefault="00DD639C" w:rsidP="001C38E1">
            <w:pPr>
              <w:spacing w:after="160" w:line="278" w:lineRule="auto"/>
            </w:pPr>
            <w:proofErr w:type="spellStart"/>
            <w:r w:rsidRPr="00462A5D">
              <w:rPr>
                <w:b/>
                <w:bCs/>
              </w:rPr>
              <w:t>ReDS</w:t>
            </w:r>
            <w:proofErr w:type="spellEnd"/>
            <w:r w:rsidRPr="00462A5D">
              <w:rPr>
                <w:b/>
                <w:bCs/>
              </w:rPr>
              <w:t xml:space="preserve"> Negative</w:t>
            </w:r>
          </w:p>
        </w:tc>
        <w:tc>
          <w:tcPr>
            <w:tcW w:w="0" w:type="auto"/>
            <w:vAlign w:val="center"/>
            <w:hideMark/>
          </w:tcPr>
          <w:p w14:paraId="66157409" w14:textId="77777777" w:rsidR="00DD639C" w:rsidRPr="00462A5D" w:rsidRDefault="00DD639C" w:rsidP="001C38E1">
            <w:pPr>
              <w:spacing w:after="160" w:line="278" w:lineRule="auto"/>
            </w:pPr>
            <w:r w:rsidRPr="00462A5D">
              <w:t>13</w:t>
            </w:r>
          </w:p>
        </w:tc>
        <w:tc>
          <w:tcPr>
            <w:tcW w:w="0" w:type="auto"/>
            <w:vAlign w:val="center"/>
            <w:hideMark/>
          </w:tcPr>
          <w:p w14:paraId="60116664" w14:textId="77777777" w:rsidR="00DD639C" w:rsidRPr="00462A5D" w:rsidRDefault="00DD639C" w:rsidP="001C38E1">
            <w:pPr>
              <w:spacing w:after="160" w:line="278" w:lineRule="auto"/>
            </w:pPr>
            <w:r w:rsidRPr="00462A5D">
              <w:t>57</w:t>
            </w:r>
          </w:p>
        </w:tc>
        <w:tc>
          <w:tcPr>
            <w:tcW w:w="0" w:type="auto"/>
            <w:vAlign w:val="center"/>
            <w:hideMark/>
          </w:tcPr>
          <w:p w14:paraId="16920477" w14:textId="77777777" w:rsidR="00DD639C" w:rsidRPr="00462A5D" w:rsidRDefault="00DD639C" w:rsidP="001C38E1">
            <w:pPr>
              <w:spacing w:after="160" w:line="278" w:lineRule="auto"/>
            </w:pPr>
            <w:r w:rsidRPr="00462A5D">
              <w:t>70</w:t>
            </w:r>
          </w:p>
        </w:tc>
      </w:tr>
      <w:tr w:rsidR="00DD639C" w:rsidRPr="00462A5D" w14:paraId="5E022CE8" w14:textId="77777777" w:rsidTr="00DD639C">
        <w:trPr>
          <w:tblCellSpacing w:w="15" w:type="dxa"/>
          <w:jc w:val="center"/>
        </w:trPr>
        <w:tc>
          <w:tcPr>
            <w:tcW w:w="0" w:type="auto"/>
            <w:vAlign w:val="center"/>
            <w:hideMark/>
          </w:tcPr>
          <w:p w14:paraId="7F75B882" w14:textId="77777777" w:rsidR="00DD639C" w:rsidRPr="00462A5D" w:rsidRDefault="00DD639C" w:rsidP="001C38E1">
            <w:pPr>
              <w:spacing w:after="160" w:line="278" w:lineRule="auto"/>
            </w:pPr>
            <w:r w:rsidRPr="00462A5D">
              <w:rPr>
                <w:b/>
                <w:bCs/>
              </w:rPr>
              <w:t>Total</w:t>
            </w:r>
          </w:p>
        </w:tc>
        <w:tc>
          <w:tcPr>
            <w:tcW w:w="0" w:type="auto"/>
            <w:vAlign w:val="center"/>
            <w:hideMark/>
          </w:tcPr>
          <w:p w14:paraId="62344FD5" w14:textId="77777777" w:rsidR="00DD639C" w:rsidRPr="00462A5D" w:rsidRDefault="00DD639C" w:rsidP="001C38E1">
            <w:pPr>
              <w:spacing w:after="160" w:line="278" w:lineRule="auto"/>
            </w:pPr>
            <w:r w:rsidRPr="00462A5D">
              <w:t>49</w:t>
            </w:r>
          </w:p>
        </w:tc>
        <w:tc>
          <w:tcPr>
            <w:tcW w:w="0" w:type="auto"/>
            <w:vAlign w:val="center"/>
            <w:hideMark/>
          </w:tcPr>
          <w:p w14:paraId="0BE77AEB" w14:textId="77777777" w:rsidR="00DD639C" w:rsidRPr="00462A5D" w:rsidRDefault="00DD639C" w:rsidP="001C38E1">
            <w:pPr>
              <w:spacing w:after="160" w:line="278" w:lineRule="auto"/>
            </w:pPr>
            <w:r w:rsidRPr="00462A5D">
              <w:t>63</w:t>
            </w:r>
          </w:p>
        </w:tc>
        <w:tc>
          <w:tcPr>
            <w:tcW w:w="0" w:type="auto"/>
            <w:vAlign w:val="center"/>
            <w:hideMark/>
          </w:tcPr>
          <w:p w14:paraId="4A63495C" w14:textId="77777777" w:rsidR="00DD639C" w:rsidRPr="00462A5D" w:rsidRDefault="00DD639C" w:rsidP="001C38E1">
            <w:pPr>
              <w:spacing w:after="160" w:line="278" w:lineRule="auto"/>
            </w:pPr>
            <w:r w:rsidRPr="00462A5D">
              <w:t>112</w:t>
            </w:r>
          </w:p>
        </w:tc>
      </w:tr>
    </w:tbl>
    <w:p w14:paraId="01EE1B6A" w14:textId="77777777" w:rsidR="00DD639C" w:rsidRDefault="00DD639C" w:rsidP="001218E1"/>
    <w:p w14:paraId="1D716B0C" w14:textId="77777777" w:rsidR="00B452FE" w:rsidRDefault="00B452FE">
      <w:pPr>
        <w:rPr>
          <w:b/>
          <w:bCs/>
          <w:sz w:val="22"/>
          <w:szCs w:val="24"/>
        </w:rPr>
      </w:pPr>
      <w:r>
        <w:rPr>
          <w:b/>
          <w:bCs/>
          <w:sz w:val="22"/>
          <w:szCs w:val="24"/>
        </w:rPr>
        <w:br w:type="page"/>
      </w:r>
    </w:p>
    <w:p w14:paraId="2D43932D" w14:textId="2DCC9B60" w:rsidR="00C74F1A" w:rsidRPr="00C74F1A" w:rsidRDefault="00C74F1A" w:rsidP="001218E1">
      <w:pPr>
        <w:rPr>
          <w:b/>
          <w:bCs/>
          <w:sz w:val="22"/>
          <w:szCs w:val="24"/>
        </w:rPr>
      </w:pPr>
      <w:r w:rsidRPr="00C74F1A">
        <w:rPr>
          <w:b/>
          <w:bCs/>
          <w:sz w:val="22"/>
          <w:szCs w:val="24"/>
        </w:rPr>
        <w:lastRenderedPageBreak/>
        <w:t>3.6. Correlation</w:t>
      </w:r>
    </w:p>
    <w:p w14:paraId="7BE41D64" w14:textId="2A3D1E3B" w:rsidR="00C74F1A" w:rsidRDefault="00C74F1A" w:rsidP="0099200A">
      <w:pPr>
        <w:jc w:val="both"/>
      </w:pPr>
      <w:r w:rsidRPr="00C74F1A">
        <w:t xml:space="preserve">Continuous </w:t>
      </w:r>
      <w:proofErr w:type="spellStart"/>
      <w:r w:rsidRPr="00C74F1A">
        <w:t>ReDS</w:t>
      </w:r>
      <w:proofErr w:type="spellEnd"/>
      <w:r w:rsidRPr="00C74F1A">
        <w:t xml:space="preserve"> percentages showed a modest positive correlation with total B-line counts</w:t>
      </w:r>
      <w:r>
        <w:t xml:space="preserve"> (Figure 3)</w:t>
      </w:r>
      <w:r w:rsidRPr="00C74F1A">
        <w:t xml:space="preserve">. Pearson correlation was r=0.36 with </w:t>
      </w:r>
      <w:r w:rsidR="000E02F0" w:rsidRPr="000E02F0">
        <w:rPr>
          <w:i/>
          <w:iCs/>
        </w:rPr>
        <w:t>P</w:t>
      </w:r>
      <w:r w:rsidR="000E02F0">
        <w:t xml:space="preserve"> </w:t>
      </w:r>
      <w:r w:rsidRPr="00C74F1A">
        <w:t>&lt;</w:t>
      </w:r>
      <w:r w:rsidR="000E02F0">
        <w:t xml:space="preserve"> </w:t>
      </w:r>
      <w:r w:rsidRPr="00C74F1A">
        <w:t xml:space="preserve">.001, indicating a statistically significant but moderate linear association. As </w:t>
      </w:r>
      <w:proofErr w:type="spellStart"/>
      <w:r w:rsidRPr="00C74F1A">
        <w:t>ReDS</w:t>
      </w:r>
      <w:proofErr w:type="spellEnd"/>
      <w:r w:rsidRPr="00C74F1A">
        <w:t xml:space="preserve"> values increased, B-line burden generally increased, although substantial scatter was present across the range of measurements.</w:t>
      </w:r>
    </w:p>
    <w:p w14:paraId="056FE406" w14:textId="308B5EE5" w:rsidR="00C74F1A" w:rsidRDefault="00C74F1A" w:rsidP="001218E1">
      <w:r>
        <w:rPr>
          <w:noProof/>
        </w:rPr>
        <w:drawing>
          <wp:inline distT="0" distB="0" distL="0" distR="0" wp14:anchorId="6DC4512E" wp14:editId="76A913B9">
            <wp:extent cx="5486400" cy="4702712"/>
            <wp:effectExtent l="0" t="0" r="0" b="3175"/>
            <wp:docPr id="670298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9805" name="Picture 670298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0" cy="4702712"/>
                    </a:xfrm>
                    <a:prstGeom prst="rect">
                      <a:avLst/>
                    </a:prstGeom>
                  </pic:spPr>
                </pic:pic>
              </a:graphicData>
            </a:graphic>
          </wp:inline>
        </w:drawing>
      </w:r>
    </w:p>
    <w:p w14:paraId="2B929705" w14:textId="19B0408B" w:rsidR="00C74F1A" w:rsidRDefault="00C74F1A" w:rsidP="001218E1">
      <w:pPr>
        <w:rPr>
          <w:b/>
          <w:bCs/>
        </w:rPr>
      </w:pPr>
      <w:r w:rsidRPr="006719D8">
        <w:rPr>
          <w:b/>
          <w:bCs/>
        </w:rPr>
        <w:t xml:space="preserve">Figure 3. </w:t>
      </w:r>
      <w:r w:rsidR="008F56EA" w:rsidRPr="008F56EA">
        <w:rPr>
          <w:b/>
          <w:bCs/>
        </w:rPr>
        <w:t xml:space="preserve">Scatter plot illustrating the correlation between </w:t>
      </w:r>
      <w:proofErr w:type="spellStart"/>
      <w:r w:rsidR="008F56EA" w:rsidRPr="008F56EA">
        <w:rPr>
          <w:b/>
          <w:bCs/>
        </w:rPr>
        <w:t>ReDS</w:t>
      </w:r>
      <w:proofErr w:type="spellEnd"/>
      <w:r w:rsidR="008F56EA" w:rsidRPr="008F56EA">
        <w:rPr>
          <w:b/>
          <w:bCs/>
        </w:rPr>
        <w:t xml:space="preserve"> percentage and total B-line count on lung ultrasound (Pearson r=0.36, </w:t>
      </w:r>
      <w:r w:rsidR="008F56EA">
        <w:rPr>
          <w:b/>
          <w:bCs/>
        </w:rPr>
        <w:t>P</w:t>
      </w:r>
      <w:r w:rsidR="008F56EA" w:rsidRPr="008F56EA">
        <w:rPr>
          <w:b/>
          <w:bCs/>
        </w:rPr>
        <w:t>&lt;.001).</w:t>
      </w:r>
    </w:p>
    <w:p w14:paraId="7A3AE36E" w14:textId="538A12FC" w:rsidR="00C74F1A" w:rsidRPr="00EF3229" w:rsidRDefault="00EF3229" w:rsidP="001218E1">
      <w:pPr>
        <w:rPr>
          <w:b/>
          <w:bCs/>
          <w:sz w:val="22"/>
          <w:szCs w:val="24"/>
        </w:rPr>
      </w:pPr>
      <w:r w:rsidRPr="00EF3229">
        <w:rPr>
          <w:b/>
          <w:bCs/>
          <w:sz w:val="22"/>
          <w:szCs w:val="24"/>
        </w:rPr>
        <w:t>3.7</w:t>
      </w:r>
      <w:r w:rsidR="00261A07">
        <w:rPr>
          <w:b/>
          <w:bCs/>
          <w:sz w:val="22"/>
          <w:szCs w:val="24"/>
        </w:rPr>
        <w:t>.</w:t>
      </w:r>
      <w:r w:rsidRPr="00EF3229">
        <w:rPr>
          <w:b/>
          <w:bCs/>
          <w:sz w:val="22"/>
          <w:szCs w:val="24"/>
        </w:rPr>
        <w:t xml:space="preserve"> Subgroup analysis</w:t>
      </w:r>
    </w:p>
    <w:p w14:paraId="6A056C31" w14:textId="576E473B" w:rsidR="00EF3229" w:rsidRPr="00EF3229" w:rsidRDefault="00EF3229" w:rsidP="0099200A">
      <w:pPr>
        <w:jc w:val="both"/>
      </w:pPr>
      <w:r w:rsidRPr="00EF3229">
        <w:t>Diagnostic performance remained broadly consistent across phenotypic subgroups.</w:t>
      </w:r>
      <w:r>
        <w:t xml:space="preserve"> As seen in Table 4,</w:t>
      </w:r>
      <w:r w:rsidRPr="00EF3229">
        <w:t xml:space="preserve"> </w:t>
      </w:r>
      <w:r>
        <w:t>i</w:t>
      </w:r>
      <w:r w:rsidRPr="00EF3229">
        <w:t xml:space="preserve">n </w:t>
      </w:r>
      <w:proofErr w:type="spellStart"/>
      <w:r w:rsidRPr="00EF3229">
        <w:t>HFrEF</w:t>
      </w:r>
      <w:proofErr w:type="spellEnd"/>
      <w:r w:rsidRPr="00EF3229">
        <w:t xml:space="preserve"> patients, both modalities showed high discrimination, with AUCs of 0.862 for </w:t>
      </w:r>
      <w:proofErr w:type="spellStart"/>
      <w:r w:rsidRPr="00EF3229">
        <w:t>ReDS</w:t>
      </w:r>
      <w:proofErr w:type="spellEnd"/>
      <w:r w:rsidRPr="00EF3229">
        <w:t xml:space="preserve"> and 0.879 for LUS. In HFpEF, performance was slightly lower but remained acceptable, with AUCs of 0.812 and 0.828 respectively.</w:t>
      </w:r>
    </w:p>
    <w:p w14:paraId="6D147BF3" w14:textId="257AE7AF" w:rsidR="00EF3229" w:rsidRPr="00EF3229" w:rsidRDefault="00EF3229" w:rsidP="0099200A">
      <w:pPr>
        <w:jc w:val="both"/>
      </w:pPr>
      <w:r w:rsidRPr="00EF3229">
        <w:t xml:space="preserve">Body mass index influenced performance more noticeably. Among patients with BMI &lt;30 kg/m², AUCs were strong for both </w:t>
      </w:r>
      <w:proofErr w:type="spellStart"/>
      <w:r w:rsidRPr="00EF3229">
        <w:t>ReDS</w:t>
      </w:r>
      <w:proofErr w:type="spellEnd"/>
      <w:r w:rsidRPr="00EF3229">
        <w:t xml:space="preserve"> and LUS at 0.871 and 0.865. In those with BMI ≥30 kg/m², discrimination declined, particularly for </w:t>
      </w:r>
      <w:proofErr w:type="spellStart"/>
      <w:r w:rsidRPr="00EF3229">
        <w:t>ReDS</w:t>
      </w:r>
      <w:proofErr w:type="spellEnd"/>
      <w:r w:rsidRPr="00EF3229">
        <w:t xml:space="preserve"> at 0.728, while LUS remained relatively preserved at </w:t>
      </w:r>
      <w:r w:rsidRPr="00EF3229">
        <w:lastRenderedPageBreak/>
        <w:t>0.803. Confidence intervals were wider in higher BMI groups due to smaller sample size, so these findings should be interpreted as exploratory.</w:t>
      </w:r>
      <w:r w:rsidR="00514933">
        <w:t xml:space="preserve"> </w:t>
      </w:r>
    </w:p>
    <w:p w14:paraId="74B5E155" w14:textId="77777777" w:rsidR="00EF3229" w:rsidRPr="006719D8" w:rsidRDefault="00EF3229" w:rsidP="00EF3229">
      <w:r w:rsidRPr="006719D8">
        <w:rPr>
          <w:b/>
          <w:bCs/>
        </w:rPr>
        <w:t>Table 4. Subgroup AUCs</w:t>
      </w:r>
      <w:r w:rsidRPr="006719D8">
        <w:br/>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5"/>
        <w:gridCol w:w="1947"/>
        <w:gridCol w:w="1829"/>
      </w:tblGrid>
      <w:tr w:rsidR="00EF3229" w:rsidRPr="00947666" w14:paraId="798ED31D" w14:textId="77777777" w:rsidTr="00CA5603">
        <w:trPr>
          <w:tblHeader/>
          <w:tblCellSpacing w:w="15" w:type="dxa"/>
          <w:jc w:val="center"/>
        </w:trPr>
        <w:tc>
          <w:tcPr>
            <w:tcW w:w="0" w:type="auto"/>
            <w:vAlign w:val="center"/>
            <w:hideMark/>
          </w:tcPr>
          <w:p w14:paraId="009274C4" w14:textId="77777777" w:rsidR="00EF3229" w:rsidRPr="00947666" w:rsidRDefault="00EF3229" w:rsidP="001C38E1">
            <w:pPr>
              <w:spacing w:after="160" w:line="278" w:lineRule="auto"/>
              <w:rPr>
                <w:b/>
                <w:bCs/>
              </w:rPr>
            </w:pPr>
            <w:r w:rsidRPr="00947666">
              <w:rPr>
                <w:b/>
                <w:bCs/>
              </w:rPr>
              <w:t>Subgroup</w:t>
            </w:r>
          </w:p>
        </w:tc>
        <w:tc>
          <w:tcPr>
            <w:tcW w:w="0" w:type="auto"/>
            <w:vAlign w:val="center"/>
            <w:hideMark/>
          </w:tcPr>
          <w:p w14:paraId="0D96327C" w14:textId="77777777" w:rsidR="00EF3229" w:rsidRPr="00947666" w:rsidRDefault="00EF3229" w:rsidP="001C38E1">
            <w:pPr>
              <w:spacing w:after="160" w:line="278" w:lineRule="auto"/>
              <w:rPr>
                <w:b/>
                <w:bCs/>
              </w:rPr>
            </w:pPr>
            <w:proofErr w:type="spellStart"/>
            <w:r w:rsidRPr="00947666">
              <w:rPr>
                <w:b/>
                <w:bCs/>
              </w:rPr>
              <w:t>ReDS</w:t>
            </w:r>
            <w:proofErr w:type="spellEnd"/>
            <w:r w:rsidRPr="00947666">
              <w:rPr>
                <w:b/>
                <w:bCs/>
              </w:rPr>
              <w:t xml:space="preserve"> AUC (95% CI)</w:t>
            </w:r>
          </w:p>
        </w:tc>
        <w:tc>
          <w:tcPr>
            <w:tcW w:w="0" w:type="auto"/>
            <w:vAlign w:val="center"/>
            <w:hideMark/>
          </w:tcPr>
          <w:p w14:paraId="561B8A20" w14:textId="77777777" w:rsidR="00EF3229" w:rsidRPr="00947666" w:rsidRDefault="00EF3229" w:rsidP="001C38E1">
            <w:pPr>
              <w:spacing w:after="160" w:line="278" w:lineRule="auto"/>
              <w:rPr>
                <w:b/>
                <w:bCs/>
              </w:rPr>
            </w:pPr>
            <w:r w:rsidRPr="00947666">
              <w:rPr>
                <w:b/>
                <w:bCs/>
              </w:rPr>
              <w:t>LUS AUC (95% CI)</w:t>
            </w:r>
          </w:p>
        </w:tc>
      </w:tr>
      <w:tr w:rsidR="00EF3229" w:rsidRPr="00947666" w14:paraId="6AE1E1B3" w14:textId="77777777" w:rsidTr="00CA5603">
        <w:trPr>
          <w:tblCellSpacing w:w="15" w:type="dxa"/>
          <w:jc w:val="center"/>
        </w:trPr>
        <w:tc>
          <w:tcPr>
            <w:tcW w:w="0" w:type="auto"/>
            <w:vAlign w:val="center"/>
            <w:hideMark/>
          </w:tcPr>
          <w:p w14:paraId="7745EDD4" w14:textId="77777777" w:rsidR="00EF3229" w:rsidRPr="00947666" w:rsidRDefault="00EF3229" w:rsidP="001C38E1">
            <w:pPr>
              <w:spacing w:after="160" w:line="278" w:lineRule="auto"/>
            </w:pPr>
            <w:proofErr w:type="spellStart"/>
            <w:r w:rsidRPr="00947666">
              <w:t>HFrEF</w:t>
            </w:r>
            <w:proofErr w:type="spellEnd"/>
            <w:r w:rsidRPr="00947666">
              <w:t xml:space="preserve"> (n=37)</w:t>
            </w:r>
          </w:p>
        </w:tc>
        <w:tc>
          <w:tcPr>
            <w:tcW w:w="0" w:type="auto"/>
            <w:vAlign w:val="center"/>
            <w:hideMark/>
          </w:tcPr>
          <w:p w14:paraId="50C1C63D" w14:textId="77777777" w:rsidR="00EF3229" w:rsidRPr="00947666" w:rsidRDefault="00EF3229" w:rsidP="001C38E1">
            <w:pPr>
              <w:spacing w:after="160" w:line="278" w:lineRule="auto"/>
            </w:pPr>
            <w:r w:rsidRPr="00947666">
              <w:t>0.862 (0.71–0.96)</w:t>
            </w:r>
          </w:p>
        </w:tc>
        <w:tc>
          <w:tcPr>
            <w:tcW w:w="0" w:type="auto"/>
            <w:vAlign w:val="center"/>
            <w:hideMark/>
          </w:tcPr>
          <w:p w14:paraId="34DF057A" w14:textId="77777777" w:rsidR="00EF3229" w:rsidRPr="00947666" w:rsidRDefault="00EF3229" w:rsidP="001C38E1">
            <w:pPr>
              <w:spacing w:after="160" w:line="278" w:lineRule="auto"/>
            </w:pPr>
            <w:r w:rsidRPr="00947666">
              <w:t>0.879 (0.73–0.97)</w:t>
            </w:r>
          </w:p>
        </w:tc>
      </w:tr>
      <w:tr w:rsidR="00EF3229" w:rsidRPr="00947666" w14:paraId="03269709" w14:textId="77777777" w:rsidTr="00CA5603">
        <w:trPr>
          <w:tblCellSpacing w:w="15" w:type="dxa"/>
          <w:jc w:val="center"/>
        </w:trPr>
        <w:tc>
          <w:tcPr>
            <w:tcW w:w="0" w:type="auto"/>
            <w:vAlign w:val="center"/>
            <w:hideMark/>
          </w:tcPr>
          <w:p w14:paraId="769C7BB2" w14:textId="77777777" w:rsidR="00EF3229" w:rsidRPr="00947666" w:rsidRDefault="00EF3229" w:rsidP="001C38E1">
            <w:pPr>
              <w:spacing w:after="160" w:line="278" w:lineRule="auto"/>
            </w:pPr>
            <w:r w:rsidRPr="00947666">
              <w:t>HFpEF (n=75)</w:t>
            </w:r>
          </w:p>
        </w:tc>
        <w:tc>
          <w:tcPr>
            <w:tcW w:w="0" w:type="auto"/>
            <w:vAlign w:val="center"/>
            <w:hideMark/>
          </w:tcPr>
          <w:p w14:paraId="6C425C9D" w14:textId="77777777" w:rsidR="00EF3229" w:rsidRPr="00947666" w:rsidRDefault="00EF3229" w:rsidP="001C38E1">
            <w:pPr>
              <w:spacing w:after="160" w:line="278" w:lineRule="auto"/>
            </w:pPr>
            <w:r w:rsidRPr="00947666">
              <w:t>0.812 (0.69–0.90)</w:t>
            </w:r>
          </w:p>
        </w:tc>
        <w:tc>
          <w:tcPr>
            <w:tcW w:w="0" w:type="auto"/>
            <w:vAlign w:val="center"/>
            <w:hideMark/>
          </w:tcPr>
          <w:p w14:paraId="48E7E41A" w14:textId="77777777" w:rsidR="00EF3229" w:rsidRPr="00947666" w:rsidRDefault="00EF3229" w:rsidP="001C38E1">
            <w:pPr>
              <w:spacing w:after="160" w:line="278" w:lineRule="auto"/>
            </w:pPr>
            <w:r w:rsidRPr="00947666">
              <w:t>0.828 (0.71–0.91)</w:t>
            </w:r>
          </w:p>
        </w:tc>
      </w:tr>
      <w:tr w:rsidR="00EF3229" w:rsidRPr="00947666" w14:paraId="6C91750A" w14:textId="77777777" w:rsidTr="00CA5603">
        <w:trPr>
          <w:tblCellSpacing w:w="15" w:type="dxa"/>
          <w:jc w:val="center"/>
        </w:trPr>
        <w:tc>
          <w:tcPr>
            <w:tcW w:w="0" w:type="auto"/>
            <w:vAlign w:val="center"/>
            <w:hideMark/>
          </w:tcPr>
          <w:p w14:paraId="7A7CE2B9" w14:textId="77777777" w:rsidR="00EF3229" w:rsidRPr="00947666" w:rsidRDefault="00EF3229" w:rsidP="001C38E1">
            <w:pPr>
              <w:spacing w:after="160" w:line="278" w:lineRule="auto"/>
            </w:pPr>
            <w:r w:rsidRPr="00947666">
              <w:t>BMI &lt;30 (n=78)</w:t>
            </w:r>
          </w:p>
        </w:tc>
        <w:tc>
          <w:tcPr>
            <w:tcW w:w="0" w:type="auto"/>
            <w:vAlign w:val="center"/>
            <w:hideMark/>
          </w:tcPr>
          <w:p w14:paraId="2412C4BA" w14:textId="77777777" w:rsidR="00EF3229" w:rsidRPr="00947666" w:rsidRDefault="00EF3229" w:rsidP="001C38E1">
            <w:pPr>
              <w:spacing w:after="160" w:line="278" w:lineRule="auto"/>
            </w:pPr>
            <w:r w:rsidRPr="00947666">
              <w:t>0.871 (0.77–0.94)</w:t>
            </w:r>
          </w:p>
        </w:tc>
        <w:tc>
          <w:tcPr>
            <w:tcW w:w="0" w:type="auto"/>
            <w:vAlign w:val="center"/>
            <w:hideMark/>
          </w:tcPr>
          <w:p w14:paraId="7F11E52A" w14:textId="77777777" w:rsidR="00EF3229" w:rsidRPr="00947666" w:rsidRDefault="00EF3229" w:rsidP="001C38E1">
            <w:pPr>
              <w:spacing w:after="160" w:line="278" w:lineRule="auto"/>
            </w:pPr>
            <w:r w:rsidRPr="00947666">
              <w:t>0.865 (0.76–0.93)</w:t>
            </w:r>
          </w:p>
        </w:tc>
      </w:tr>
      <w:tr w:rsidR="00EF3229" w:rsidRPr="00947666" w14:paraId="04018566" w14:textId="77777777" w:rsidTr="00CA5603">
        <w:trPr>
          <w:tblCellSpacing w:w="15" w:type="dxa"/>
          <w:jc w:val="center"/>
        </w:trPr>
        <w:tc>
          <w:tcPr>
            <w:tcW w:w="0" w:type="auto"/>
            <w:vAlign w:val="center"/>
            <w:hideMark/>
          </w:tcPr>
          <w:p w14:paraId="2343F958" w14:textId="77777777" w:rsidR="00EF3229" w:rsidRPr="00947666" w:rsidRDefault="00EF3229" w:rsidP="001C38E1">
            <w:pPr>
              <w:spacing w:after="160" w:line="278" w:lineRule="auto"/>
            </w:pPr>
            <w:r w:rsidRPr="00947666">
              <w:t>BMI ≥30 (n=34)</w:t>
            </w:r>
          </w:p>
        </w:tc>
        <w:tc>
          <w:tcPr>
            <w:tcW w:w="0" w:type="auto"/>
            <w:vAlign w:val="center"/>
            <w:hideMark/>
          </w:tcPr>
          <w:p w14:paraId="01C1706D" w14:textId="77777777" w:rsidR="00EF3229" w:rsidRPr="00947666" w:rsidRDefault="00EF3229" w:rsidP="001C38E1">
            <w:pPr>
              <w:spacing w:after="160" w:line="278" w:lineRule="auto"/>
            </w:pPr>
            <w:r w:rsidRPr="00947666">
              <w:t>0.728 (0.55–0.87)</w:t>
            </w:r>
          </w:p>
        </w:tc>
        <w:tc>
          <w:tcPr>
            <w:tcW w:w="0" w:type="auto"/>
            <w:vAlign w:val="center"/>
            <w:hideMark/>
          </w:tcPr>
          <w:p w14:paraId="7502B5B3" w14:textId="77777777" w:rsidR="00EF3229" w:rsidRPr="00947666" w:rsidRDefault="00EF3229" w:rsidP="001C38E1">
            <w:pPr>
              <w:spacing w:after="160" w:line="278" w:lineRule="auto"/>
            </w:pPr>
            <w:r w:rsidRPr="00947666">
              <w:t>0.803 (0.63–0.92)</w:t>
            </w:r>
          </w:p>
        </w:tc>
      </w:tr>
    </w:tbl>
    <w:p w14:paraId="6B10500F" w14:textId="77777777" w:rsidR="00EF3229" w:rsidRDefault="00EF3229" w:rsidP="001218E1"/>
    <w:p w14:paraId="7584FB4C" w14:textId="6EF30CFC" w:rsidR="00EF3229" w:rsidRPr="00261A07" w:rsidRDefault="00261A07" w:rsidP="001218E1">
      <w:pPr>
        <w:rPr>
          <w:b/>
          <w:bCs/>
          <w:sz w:val="22"/>
          <w:szCs w:val="24"/>
        </w:rPr>
      </w:pPr>
      <w:r w:rsidRPr="00261A07">
        <w:rPr>
          <w:b/>
          <w:bCs/>
          <w:sz w:val="22"/>
          <w:szCs w:val="24"/>
        </w:rPr>
        <w:t>3.8. Multivariable analysis</w:t>
      </w:r>
    </w:p>
    <w:p w14:paraId="0B88DD5A" w14:textId="1DA25A0A" w:rsidR="00261A07" w:rsidRPr="00261A07" w:rsidRDefault="00261A07" w:rsidP="0099200A">
      <w:pPr>
        <w:jc w:val="both"/>
      </w:pPr>
      <w:r w:rsidRPr="00261A07">
        <w:t xml:space="preserve">In multivariable models adjusted for age and BMI, both </w:t>
      </w:r>
      <w:proofErr w:type="spellStart"/>
      <w:r w:rsidRPr="00261A07">
        <w:t>ReDS</w:t>
      </w:r>
      <w:proofErr w:type="spellEnd"/>
      <w:r w:rsidRPr="00261A07">
        <w:t xml:space="preserve"> and LUS remained independently associated with adjudicated congestion.</w:t>
      </w:r>
      <w:r>
        <w:t xml:space="preserve"> </w:t>
      </w:r>
      <w:r w:rsidRPr="00261A07">
        <w:t xml:space="preserve">In the </w:t>
      </w:r>
      <w:proofErr w:type="spellStart"/>
      <w:r w:rsidRPr="00261A07">
        <w:t>ReDS</w:t>
      </w:r>
      <w:proofErr w:type="spellEnd"/>
      <w:r w:rsidRPr="00261A07">
        <w:t>-based model</w:t>
      </w:r>
      <w:r>
        <w:t xml:space="preserve"> (Table 5)</w:t>
      </w:r>
      <w:r w:rsidRPr="00261A07">
        <w:t xml:space="preserve">, each 1 percent increase in </w:t>
      </w:r>
      <w:proofErr w:type="spellStart"/>
      <w:r w:rsidRPr="00261A07">
        <w:t>ReDS</w:t>
      </w:r>
      <w:proofErr w:type="spellEnd"/>
      <w:r w:rsidRPr="00261A07">
        <w:t xml:space="preserve"> was associated with a 20 percent higher odds of congestion, adjusted OR 1.20, 95% CI 1.12 to 1.29, </w:t>
      </w:r>
      <w:r w:rsidR="00506D97" w:rsidRPr="00506D97">
        <w:rPr>
          <w:i/>
          <w:iCs/>
        </w:rPr>
        <w:t>P</w:t>
      </w:r>
      <w:r w:rsidR="00506D97">
        <w:t xml:space="preserve"> </w:t>
      </w:r>
      <w:r w:rsidRPr="00261A07">
        <w:t>&lt;</w:t>
      </w:r>
      <w:r w:rsidR="00506D97">
        <w:t xml:space="preserve"> </w:t>
      </w:r>
      <w:r w:rsidRPr="00261A07">
        <w:t>.001. Age and BMI were not independently associated with congestion in this model.</w:t>
      </w:r>
      <w:r>
        <w:t xml:space="preserve"> </w:t>
      </w:r>
      <w:r w:rsidRPr="00261A07">
        <w:t>In the LUS-based model</w:t>
      </w:r>
      <w:r>
        <w:t xml:space="preserve"> (Table 6)</w:t>
      </w:r>
      <w:r w:rsidRPr="00261A07">
        <w:t xml:space="preserve">, each 5-line increase in total B-lines was associated with a 48 percent higher odds of congestion, adjusted OR 1.48, 95% CI 1.22 to 1.79, </w:t>
      </w:r>
      <w:r w:rsidR="00506D97" w:rsidRPr="00506D97">
        <w:rPr>
          <w:i/>
          <w:iCs/>
        </w:rPr>
        <w:t>P</w:t>
      </w:r>
      <w:r w:rsidR="00506D97">
        <w:t xml:space="preserve"> </w:t>
      </w:r>
      <w:r w:rsidRPr="00261A07">
        <w:t>&lt;</w:t>
      </w:r>
      <w:r w:rsidR="00506D97">
        <w:t xml:space="preserve"> </w:t>
      </w:r>
      <w:r w:rsidRPr="00261A07">
        <w:t>.001. Again, age and BMI did not show significant independent associations.</w:t>
      </w:r>
    </w:p>
    <w:p w14:paraId="1D1C5CD4" w14:textId="5C62B4BA" w:rsidR="00261A07" w:rsidRPr="00DF7705" w:rsidRDefault="00261A07" w:rsidP="00261A07">
      <w:pPr>
        <w:rPr>
          <w:b/>
          <w:bCs/>
        </w:rPr>
      </w:pPr>
      <w:r w:rsidRPr="006719D8">
        <w:rPr>
          <w:b/>
          <w:bCs/>
        </w:rPr>
        <w:t>Table 5</w:t>
      </w:r>
      <w:r>
        <w:rPr>
          <w:b/>
          <w:bCs/>
        </w:rPr>
        <w:t xml:space="preserve">: </w:t>
      </w:r>
      <w:proofErr w:type="spellStart"/>
      <w:r w:rsidRPr="00DF7705">
        <w:rPr>
          <w:b/>
          <w:bCs/>
        </w:rPr>
        <w:t>ReDS</w:t>
      </w:r>
      <w:proofErr w:type="spellEnd"/>
      <w:r w:rsidRPr="00DF7705">
        <w:rPr>
          <w:b/>
          <w:bCs/>
        </w:rPr>
        <w:t>-Based Model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6"/>
        <w:gridCol w:w="1292"/>
        <w:gridCol w:w="2392"/>
        <w:gridCol w:w="918"/>
      </w:tblGrid>
      <w:tr w:rsidR="00261A07" w:rsidRPr="00DF7705" w14:paraId="1A9CFFCD" w14:textId="77777777" w:rsidTr="00CA5603">
        <w:trPr>
          <w:tblHeader/>
          <w:tblCellSpacing w:w="15" w:type="dxa"/>
          <w:jc w:val="center"/>
        </w:trPr>
        <w:tc>
          <w:tcPr>
            <w:tcW w:w="0" w:type="auto"/>
            <w:vAlign w:val="center"/>
            <w:hideMark/>
          </w:tcPr>
          <w:p w14:paraId="6421E012" w14:textId="77777777" w:rsidR="00261A07" w:rsidRPr="00DF7705" w:rsidRDefault="00261A07" w:rsidP="001C38E1">
            <w:pPr>
              <w:rPr>
                <w:b/>
                <w:bCs/>
              </w:rPr>
            </w:pPr>
            <w:r w:rsidRPr="00DF7705">
              <w:rPr>
                <w:b/>
                <w:bCs/>
              </w:rPr>
              <w:t>Variable</w:t>
            </w:r>
          </w:p>
        </w:tc>
        <w:tc>
          <w:tcPr>
            <w:tcW w:w="0" w:type="auto"/>
            <w:vAlign w:val="center"/>
            <w:hideMark/>
          </w:tcPr>
          <w:p w14:paraId="029DEF14" w14:textId="77777777" w:rsidR="00261A07" w:rsidRPr="00DF7705" w:rsidRDefault="00261A07" w:rsidP="001C38E1">
            <w:pPr>
              <w:rPr>
                <w:b/>
                <w:bCs/>
              </w:rPr>
            </w:pPr>
            <w:r w:rsidRPr="00DF7705">
              <w:rPr>
                <w:b/>
                <w:bCs/>
              </w:rPr>
              <w:t>Adjusted OR</w:t>
            </w:r>
          </w:p>
        </w:tc>
        <w:tc>
          <w:tcPr>
            <w:tcW w:w="0" w:type="auto"/>
            <w:vAlign w:val="center"/>
            <w:hideMark/>
          </w:tcPr>
          <w:p w14:paraId="7FE99240" w14:textId="77777777" w:rsidR="00261A07" w:rsidRPr="00DF7705" w:rsidRDefault="00261A07" w:rsidP="001C38E1">
            <w:pPr>
              <w:rPr>
                <w:b/>
                <w:bCs/>
              </w:rPr>
            </w:pPr>
            <w:r w:rsidRPr="00DF7705">
              <w:rPr>
                <w:b/>
                <w:bCs/>
              </w:rPr>
              <w:t>95% Confidence Interval</w:t>
            </w:r>
          </w:p>
        </w:tc>
        <w:tc>
          <w:tcPr>
            <w:tcW w:w="0" w:type="auto"/>
            <w:vAlign w:val="center"/>
            <w:hideMark/>
          </w:tcPr>
          <w:p w14:paraId="3E9CA61A" w14:textId="15942061" w:rsidR="00261A07" w:rsidRPr="00DF7705" w:rsidRDefault="00506D97" w:rsidP="001C38E1">
            <w:pPr>
              <w:rPr>
                <w:b/>
                <w:bCs/>
              </w:rPr>
            </w:pPr>
            <w:r w:rsidRPr="00506D97">
              <w:rPr>
                <w:b/>
                <w:bCs/>
                <w:i/>
                <w:iCs/>
              </w:rPr>
              <w:t>P</w:t>
            </w:r>
            <w:r>
              <w:rPr>
                <w:b/>
                <w:bCs/>
              </w:rPr>
              <w:t xml:space="preserve"> </w:t>
            </w:r>
            <w:r w:rsidR="00261A07" w:rsidRPr="00DF7705">
              <w:rPr>
                <w:b/>
                <w:bCs/>
              </w:rPr>
              <w:t>-</w:t>
            </w:r>
            <w:r>
              <w:rPr>
                <w:b/>
                <w:bCs/>
              </w:rPr>
              <w:t xml:space="preserve"> </w:t>
            </w:r>
            <w:r w:rsidR="00261A07" w:rsidRPr="00DF7705">
              <w:rPr>
                <w:b/>
                <w:bCs/>
              </w:rPr>
              <w:t>value</w:t>
            </w:r>
          </w:p>
        </w:tc>
      </w:tr>
      <w:tr w:rsidR="00261A07" w:rsidRPr="00DF7705" w14:paraId="7F39D26C" w14:textId="77777777" w:rsidTr="00CA5603">
        <w:trPr>
          <w:tblCellSpacing w:w="15" w:type="dxa"/>
          <w:jc w:val="center"/>
        </w:trPr>
        <w:tc>
          <w:tcPr>
            <w:tcW w:w="0" w:type="auto"/>
            <w:vAlign w:val="center"/>
            <w:hideMark/>
          </w:tcPr>
          <w:p w14:paraId="140E1279" w14:textId="77777777" w:rsidR="00261A07" w:rsidRPr="00DF7705" w:rsidRDefault="00261A07" w:rsidP="001C38E1">
            <w:proofErr w:type="spellStart"/>
            <w:r w:rsidRPr="00DF7705">
              <w:t>ReDS</w:t>
            </w:r>
            <w:proofErr w:type="spellEnd"/>
            <w:r w:rsidRPr="00DF7705">
              <w:t xml:space="preserve"> (% per 1% increase)</w:t>
            </w:r>
          </w:p>
        </w:tc>
        <w:tc>
          <w:tcPr>
            <w:tcW w:w="0" w:type="auto"/>
            <w:vAlign w:val="center"/>
            <w:hideMark/>
          </w:tcPr>
          <w:p w14:paraId="7AE76BDE" w14:textId="77777777" w:rsidR="00261A07" w:rsidRPr="00DF7705" w:rsidRDefault="00261A07" w:rsidP="001C38E1">
            <w:r w:rsidRPr="00DF7705">
              <w:t>1.20</w:t>
            </w:r>
          </w:p>
        </w:tc>
        <w:tc>
          <w:tcPr>
            <w:tcW w:w="0" w:type="auto"/>
            <w:vAlign w:val="center"/>
            <w:hideMark/>
          </w:tcPr>
          <w:p w14:paraId="1B222188" w14:textId="77777777" w:rsidR="00261A07" w:rsidRPr="00DF7705" w:rsidRDefault="00261A07" w:rsidP="001C38E1">
            <w:r w:rsidRPr="00DF7705">
              <w:t>1.12 – 1.29</w:t>
            </w:r>
          </w:p>
        </w:tc>
        <w:tc>
          <w:tcPr>
            <w:tcW w:w="0" w:type="auto"/>
            <w:vAlign w:val="center"/>
            <w:hideMark/>
          </w:tcPr>
          <w:p w14:paraId="076D17E1" w14:textId="6EAAD572" w:rsidR="00261A07" w:rsidRPr="00DF7705" w:rsidRDefault="00261A07" w:rsidP="001C38E1">
            <w:r w:rsidRPr="00DF7705">
              <w:t>&lt;.001</w:t>
            </w:r>
          </w:p>
        </w:tc>
      </w:tr>
      <w:tr w:rsidR="00261A07" w:rsidRPr="00DF7705" w14:paraId="6033C3E0" w14:textId="77777777" w:rsidTr="00CA5603">
        <w:trPr>
          <w:tblCellSpacing w:w="15" w:type="dxa"/>
          <w:jc w:val="center"/>
        </w:trPr>
        <w:tc>
          <w:tcPr>
            <w:tcW w:w="0" w:type="auto"/>
            <w:vAlign w:val="center"/>
            <w:hideMark/>
          </w:tcPr>
          <w:p w14:paraId="684A8892" w14:textId="77777777" w:rsidR="00261A07" w:rsidRPr="00DF7705" w:rsidRDefault="00261A07" w:rsidP="001C38E1">
            <w:r w:rsidRPr="00DF7705">
              <w:t>Age (per year)</w:t>
            </w:r>
          </w:p>
        </w:tc>
        <w:tc>
          <w:tcPr>
            <w:tcW w:w="0" w:type="auto"/>
            <w:vAlign w:val="center"/>
            <w:hideMark/>
          </w:tcPr>
          <w:p w14:paraId="0E663550" w14:textId="77777777" w:rsidR="00261A07" w:rsidRPr="00DF7705" w:rsidRDefault="00261A07" w:rsidP="001C38E1">
            <w:r w:rsidRPr="00DF7705">
              <w:t>0.98</w:t>
            </w:r>
          </w:p>
        </w:tc>
        <w:tc>
          <w:tcPr>
            <w:tcW w:w="0" w:type="auto"/>
            <w:vAlign w:val="center"/>
            <w:hideMark/>
          </w:tcPr>
          <w:p w14:paraId="0218039A" w14:textId="77777777" w:rsidR="00261A07" w:rsidRPr="00DF7705" w:rsidRDefault="00261A07" w:rsidP="001C38E1">
            <w:r w:rsidRPr="00DF7705">
              <w:t>0.94 – 1.02</w:t>
            </w:r>
          </w:p>
        </w:tc>
        <w:tc>
          <w:tcPr>
            <w:tcW w:w="0" w:type="auto"/>
            <w:vAlign w:val="center"/>
            <w:hideMark/>
          </w:tcPr>
          <w:p w14:paraId="6E4ECDA2" w14:textId="2ACB56B3" w:rsidR="00261A07" w:rsidRPr="00DF7705" w:rsidRDefault="00261A07" w:rsidP="001C38E1">
            <w:r w:rsidRPr="00DF7705">
              <w:t>.31</w:t>
            </w:r>
          </w:p>
        </w:tc>
      </w:tr>
      <w:tr w:rsidR="00261A07" w:rsidRPr="00DF7705" w14:paraId="6BB57BFE" w14:textId="77777777" w:rsidTr="00CA5603">
        <w:trPr>
          <w:tblCellSpacing w:w="15" w:type="dxa"/>
          <w:jc w:val="center"/>
        </w:trPr>
        <w:tc>
          <w:tcPr>
            <w:tcW w:w="0" w:type="auto"/>
            <w:vAlign w:val="center"/>
            <w:hideMark/>
          </w:tcPr>
          <w:p w14:paraId="3CEE5B3E" w14:textId="77777777" w:rsidR="00261A07" w:rsidRPr="00DF7705" w:rsidRDefault="00261A07" w:rsidP="001C38E1">
            <w:r w:rsidRPr="00DF7705">
              <w:t>BMI (per kg/m²)</w:t>
            </w:r>
          </w:p>
        </w:tc>
        <w:tc>
          <w:tcPr>
            <w:tcW w:w="0" w:type="auto"/>
            <w:vAlign w:val="center"/>
            <w:hideMark/>
          </w:tcPr>
          <w:p w14:paraId="1F2F1E76" w14:textId="77777777" w:rsidR="00261A07" w:rsidRPr="00DF7705" w:rsidRDefault="00261A07" w:rsidP="001C38E1">
            <w:r w:rsidRPr="00DF7705">
              <w:t>1.01</w:t>
            </w:r>
          </w:p>
        </w:tc>
        <w:tc>
          <w:tcPr>
            <w:tcW w:w="0" w:type="auto"/>
            <w:vAlign w:val="center"/>
            <w:hideMark/>
          </w:tcPr>
          <w:p w14:paraId="6DB04C89" w14:textId="77777777" w:rsidR="00261A07" w:rsidRPr="00DF7705" w:rsidRDefault="00261A07" w:rsidP="001C38E1">
            <w:r w:rsidRPr="00DF7705">
              <w:t>0.92 – 1.11</w:t>
            </w:r>
          </w:p>
        </w:tc>
        <w:tc>
          <w:tcPr>
            <w:tcW w:w="0" w:type="auto"/>
            <w:vAlign w:val="center"/>
            <w:hideMark/>
          </w:tcPr>
          <w:p w14:paraId="1F752267" w14:textId="55C9D43D" w:rsidR="00261A07" w:rsidRPr="00DF7705" w:rsidRDefault="00261A07" w:rsidP="001C38E1">
            <w:r w:rsidRPr="00DF7705">
              <w:t>.84</w:t>
            </w:r>
          </w:p>
        </w:tc>
      </w:tr>
    </w:tbl>
    <w:p w14:paraId="2C62B06B" w14:textId="772872D7" w:rsidR="00261A07" w:rsidRPr="00DF7705" w:rsidRDefault="00261A07" w:rsidP="00261A07"/>
    <w:p w14:paraId="6116B723" w14:textId="01E6D489" w:rsidR="00261A07" w:rsidRPr="00DF7705" w:rsidRDefault="00261A07" w:rsidP="00261A07">
      <w:pPr>
        <w:rPr>
          <w:b/>
          <w:bCs/>
        </w:rPr>
      </w:pPr>
      <w:r>
        <w:rPr>
          <w:b/>
          <w:bCs/>
        </w:rPr>
        <w:t>Table 6:</w:t>
      </w:r>
      <w:r w:rsidRPr="00DF7705">
        <w:rPr>
          <w:b/>
          <w:bCs/>
        </w:rPr>
        <w:t xml:space="preserve"> Lung Ultrasound–Based Model (Comparator)</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6"/>
        <w:gridCol w:w="1292"/>
        <w:gridCol w:w="2392"/>
        <w:gridCol w:w="862"/>
      </w:tblGrid>
      <w:tr w:rsidR="00261A07" w:rsidRPr="00DF7705" w14:paraId="5CEE81ED" w14:textId="77777777" w:rsidTr="00CA5603">
        <w:trPr>
          <w:tblHeader/>
          <w:tblCellSpacing w:w="15" w:type="dxa"/>
          <w:jc w:val="center"/>
        </w:trPr>
        <w:tc>
          <w:tcPr>
            <w:tcW w:w="0" w:type="auto"/>
            <w:vAlign w:val="center"/>
            <w:hideMark/>
          </w:tcPr>
          <w:p w14:paraId="3F7C9162" w14:textId="77777777" w:rsidR="00261A07" w:rsidRPr="00DF7705" w:rsidRDefault="00261A07" w:rsidP="001C38E1">
            <w:pPr>
              <w:rPr>
                <w:b/>
                <w:bCs/>
              </w:rPr>
            </w:pPr>
            <w:r w:rsidRPr="00DF7705">
              <w:rPr>
                <w:b/>
                <w:bCs/>
              </w:rPr>
              <w:t>Variable</w:t>
            </w:r>
          </w:p>
        </w:tc>
        <w:tc>
          <w:tcPr>
            <w:tcW w:w="0" w:type="auto"/>
            <w:vAlign w:val="center"/>
            <w:hideMark/>
          </w:tcPr>
          <w:p w14:paraId="28E22403" w14:textId="77777777" w:rsidR="00261A07" w:rsidRPr="00DF7705" w:rsidRDefault="00261A07" w:rsidP="001C38E1">
            <w:pPr>
              <w:rPr>
                <w:b/>
                <w:bCs/>
              </w:rPr>
            </w:pPr>
            <w:r w:rsidRPr="00DF7705">
              <w:rPr>
                <w:b/>
                <w:bCs/>
              </w:rPr>
              <w:t>Adjusted OR</w:t>
            </w:r>
          </w:p>
        </w:tc>
        <w:tc>
          <w:tcPr>
            <w:tcW w:w="0" w:type="auto"/>
            <w:vAlign w:val="center"/>
            <w:hideMark/>
          </w:tcPr>
          <w:p w14:paraId="068C3E8A" w14:textId="77777777" w:rsidR="00261A07" w:rsidRPr="00DF7705" w:rsidRDefault="00261A07" w:rsidP="001C38E1">
            <w:pPr>
              <w:rPr>
                <w:b/>
                <w:bCs/>
              </w:rPr>
            </w:pPr>
            <w:r w:rsidRPr="00DF7705">
              <w:rPr>
                <w:b/>
                <w:bCs/>
              </w:rPr>
              <w:t>95% Confidence Interval</w:t>
            </w:r>
          </w:p>
        </w:tc>
        <w:tc>
          <w:tcPr>
            <w:tcW w:w="0" w:type="auto"/>
            <w:vAlign w:val="center"/>
            <w:hideMark/>
          </w:tcPr>
          <w:p w14:paraId="4D47F77E" w14:textId="14BE279D" w:rsidR="00261A07" w:rsidRPr="00DF7705" w:rsidRDefault="00E7746A" w:rsidP="001C38E1">
            <w:pPr>
              <w:rPr>
                <w:b/>
                <w:bCs/>
              </w:rPr>
            </w:pPr>
            <w:r w:rsidRPr="00E7746A">
              <w:rPr>
                <w:b/>
                <w:bCs/>
                <w:i/>
                <w:iCs/>
              </w:rPr>
              <w:t>P</w:t>
            </w:r>
            <w:r>
              <w:rPr>
                <w:b/>
                <w:bCs/>
              </w:rPr>
              <w:t xml:space="preserve"> </w:t>
            </w:r>
            <w:r w:rsidR="00261A07" w:rsidRPr="00DF7705">
              <w:rPr>
                <w:b/>
                <w:bCs/>
              </w:rPr>
              <w:t>-value</w:t>
            </w:r>
          </w:p>
        </w:tc>
      </w:tr>
      <w:tr w:rsidR="00261A07" w:rsidRPr="00DF7705" w14:paraId="35456719" w14:textId="77777777" w:rsidTr="00CA5603">
        <w:trPr>
          <w:tblCellSpacing w:w="15" w:type="dxa"/>
          <w:jc w:val="center"/>
        </w:trPr>
        <w:tc>
          <w:tcPr>
            <w:tcW w:w="0" w:type="auto"/>
            <w:vAlign w:val="center"/>
            <w:hideMark/>
          </w:tcPr>
          <w:p w14:paraId="44FB432E" w14:textId="77777777" w:rsidR="00261A07" w:rsidRPr="00DF7705" w:rsidRDefault="00261A07" w:rsidP="001C38E1">
            <w:r w:rsidRPr="00DF7705">
              <w:t>LUS B-lines (per 5-line increase)</w:t>
            </w:r>
          </w:p>
        </w:tc>
        <w:tc>
          <w:tcPr>
            <w:tcW w:w="0" w:type="auto"/>
            <w:vAlign w:val="center"/>
            <w:hideMark/>
          </w:tcPr>
          <w:p w14:paraId="764D0CA1" w14:textId="77777777" w:rsidR="00261A07" w:rsidRPr="00DF7705" w:rsidRDefault="00261A07" w:rsidP="001C38E1">
            <w:r w:rsidRPr="00DF7705">
              <w:t>1.48</w:t>
            </w:r>
          </w:p>
        </w:tc>
        <w:tc>
          <w:tcPr>
            <w:tcW w:w="0" w:type="auto"/>
            <w:vAlign w:val="center"/>
            <w:hideMark/>
          </w:tcPr>
          <w:p w14:paraId="04EA834A" w14:textId="77777777" w:rsidR="00261A07" w:rsidRPr="00DF7705" w:rsidRDefault="00261A07" w:rsidP="001C38E1">
            <w:r w:rsidRPr="00DF7705">
              <w:t>1.22 – 1.79</w:t>
            </w:r>
          </w:p>
        </w:tc>
        <w:tc>
          <w:tcPr>
            <w:tcW w:w="0" w:type="auto"/>
            <w:vAlign w:val="center"/>
            <w:hideMark/>
          </w:tcPr>
          <w:p w14:paraId="33BB58AB" w14:textId="5E027086" w:rsidR="00261A07" w:rsidRPr="00DF7705" w:rsidRDefault="00261A07" w:rsidP="001C38E1">
            <w:r w:rsidRPr="00DF7705">
              <w:t>&lt;.001</w:t>
            </w:r>
          </w:p>
        </w:tc>
      </w:tr>
      <w:tr w:rsidR="00261A07" w:rsidRPr="00DF7705" w14:paraId="179F3851" w14:textId="77777777" w:rsidTr="00CA5603">
        <w:trPr>
          <w:tblCellSpacing w:w="15" w:type="dxa"/>
          <w:jc w:val="center"/>
        </w:trPr>
        <w:tc>
          <w:tcPr>
            <w:tcW w:w="0" w:type="auto"/>
            <w:vAlign w:val="center"/>
            <w:hideMark/>
          </w:tcPr>
          <w:p w14:paraId="4290EECB" w14:textId="77777777" w:rsidR="00261A07" w:rsidRPr="00DF7705" w:rsidRDefault="00261A07" w:rsidP="001C38E1">
            <w:r w:rsidRPr="00DF7705">
              <w:t>Age (per year)</w:t>
            </w:r>
          </w:p>
        </w:tc>
        <w:tc>
          <w:tcPr>
            <w:tcW w:w="0" w:type="auto"/>
            <w:vAlign w:val="center"/>
            <w:hideMark/>
          </w:tcPr>
          <w:p w14:paraId="4D25AAE0" w14:textId="77777777" w:rsidR="00261A07" w:rsidRPr="00DF7705" w:rsidRDefault="00261A07" w:rsidP="001C38E1">
            <w:r w:rsidRPr="00DF7705">
              <w:t>0.97</w:t>
            </w:r>
          </w:p>
        </w:tc>
        <w:tc>
          <w:tcPr>
            <w:tcW w:w="0" w:type="auto"/>
            <w:vAlign w:val="center"/>
            <w:hideMark/>
          </w:tcPr>
          <w:p w14:paraId="39193801" w14:textId="77777777" w:rsidR="00261A07" w:rsidRPr="00DF7705" w:rsidRDefault="00261A07" w:rsidP="001C38E1">
            <w:r w:rsidRPr="00DF7705">
              <w:t>0.93 – 1.01</w:t>
            </w:r>
          </w:p>
        </w:tc>
        <w:tc>
          <w:tcPr>
            <w:tcW w:w="0" w:type="auto"/>
            <w:vAlign w:val="center"/>
            <w:hideMark/>
          </w:tcPr>
          <w:p w14:paraId="17865608" w14:textId="1EA3B141" w:rsidR="00261A07" w:rsidRPr="00DF7705" w:rsidRDefault="00261A07" w:rsidP="001C38E1">
            <w:r w:rsidRPr="00DF7705">
              <w:t>.17</w:t>
            </w:r>
          </w:p>
        </w:tc>
      </w:tr>
      <w:tr w:rsidR="00261A07" w:rsidRPr="00DF7705" w14:paraId="714620D7" w14:textId="77777777" w:rsidTr="00CA5603">
        <w:trPr>
          <w:tblCellSpacing w:w="15" w:type="dxa"/>
          <w:jc w:val="center"/>
        </w:trPr>
        <w:tc>
          <w:tcPr>
            <w:tcW w:w="0" w:type="auto"/>
            <w:vAlign w:val="center"/>
            <w:hideMark/>
          </w:tcPr>
          <w:p w14:paraId="524032DF" w14:textId="77777777" w:rsidR="00261A07" w:rsidRPr="00DF7705" w:rsidRDefault="00261A07" w:rsidP="001C38E1">
            <w:r w:rsidRPr="00DF7705">
              <w:t>BMI (per kg/m²)</w:t>
            </w:r>
          </w:p>
        </w:tc>
        <w:tc>
          <w:tcPr>
            <w:tcW w:w="0" w:type="auto"/>
            <w:vAlign w:val="center"/>
            <w:hideMark/>
          </w:tcPr>
          <w:p w14:paraId="03EC7EBD" w14:textId="77777777" w:rsidR="00261A07" w:rsidRPr="00DF7705" w:rsidRDefault="00261A07" w:rsidP="001C38E1">
            <w:r w:rsidRPr="00DF7705">
              <w:t>0.99</w:t>
            </w:r>
          </w:p>
        </w:tc>
        <w:tc>
          <w:tcPr>
            <w:tcW w:w="0" w:type="auto"/>
            <w:vAlign w:val="center"/>
            <w:hideMark/>
          </w:tcPr>
          <w:p w14:paraId="22C6D774" w14:textId="77777777" w:rsidR="00261A07" w:rsidRPr="00DF7705" w:rsidRDefault="00261A07" w:rsidP="001C38E1">
            <w:r w:rsidRPr="00DF7705">
              <w:t>0.90 – 1.09</w:t>
            </w:r>
          </w:p>
        </w:tc>
        <w:tc>
          <w:tcPr>
            <w:tcW w:w="0" w:type="auto"/>
            <w:vAlign w:val="center"/>
            <w:hideMark/>
          </w:tcPr>
          <w:p w14:paraId="414438DC" w14:textId="08D3C5A9" w:rsidR="00261A07" w:rsidRPr="00DF7705" w:rsidRDefault="00261A07" w:rsidP="001C38E1">
            <w:r w:rsidRPr="00DF7705">
              <w:t>.82</w:t>
            </w:r>
          </w:p>
        </w:tc>
      </w:tr>
    </w:tbl>
    <w:p w14:paraId="02B0835E" w14:textId="77777777" w:rsidR="00261A07" w:rsidRDefault="00261A07" w:rsidP="001218E1"/>
    <w:p w14:paraId="744B71E4" w14:textId="0DB506B4" w:rsidR="00CA5603" w:rsidRPr="00CA5603" w:rsidRDefault="00CA5603" w:rsidP="0099200A">
      <w:pPr>
        <w:jc w:val="both"/>
      </w:pPr>
      <w:r w:rsidRPr="00CA5603">
        <w:rPr>
          <w:b/>
          <w:bCs/>
          <w:sz w:val="22"/>
          <w:szCs w:val="24"/>
        </w:rPr>
        <w:t>3.9. Inter-observer reliability:</w:t>
      </w:r>
      <w:r>
        <w:t xml:space="preserve"> </w:t>
      </w:r>
      <w:r w:rsidRPr="00CA5603">
        <w:t>Inter-observer reliability was evaluated in 23 randomly selected LUS examinations that were independently re-interpreted. Agreement for the predefined threshold of ≥24 B-lines was substantial, with Cohen’s κ of 0.75. This indicates consistent classification of congestion status between observers at the clinically relevant cutoff.</w:t>
      </w:r>
      <w:r>
        <w:t xml:space="preserve"> </w:t>
      </w:r>
      <w:r w:rsidRPr="00CA5603">
        <w:t>Agreement analysis focused on threshold-based categorization. Continuous duplicate measurements were not systematically recorded; therefore, intraclass correlation for total B-line counts could not be calculated.</w:t>
      </w:r>
      <w:r>
        <w:t xml:space="preserve"> </w:t>
      </w:r>
      <w:proofErr w:type="spellStart"/>
      <w:r w:rsidRPr="00CA5603">
        <w:t>ReDS</w:t>
      </w:r>
      <w:proofErr w:type="spellEnd"/>
      <w:r w:rsidRPr="00CA5603">
        <w:t xml:space="preserve"> provides an automated output and is less operator-dependent. Formal test–retest reproducibility was not assessed in this study.</w:t>
      </w:r>
    </w:p>
    <w:p w14:paraId="086BC8E8" w14:textId="1E86FDAF" w:rsidR="00FA1CA2" w:rsidRPr="00FA1CA2" w:rsidRDefault="00FA1CA2" w:rsidP="0099200A">
      <w:pPr>
        <w:jc w:val="both"/>
      </w:pPr>
      <w:r w:rsidRPr="00FA1CA2">
        <w:rPr>
          <w:b/>
          <w:bCs/>
          <w:sz w:val="22"/>
          <w:szCs w:val="24"/>
        </w:rPr>
        <w:t>3.10. Sensitivity analysis:</w:t>
      </w:r>
      <w:r>
        <w:t xml:space="preserve"> </w:t>
      </w:r>
      <w:r w:rsidRPr="00FA1CA2">
        <w:t>Sensitivity analysis restricted to a clinical score ≥5 produced similar AUC estimates for both modalities.</w:t>
      </w:r>
    </w:p>
    <w:p w14:paraId="26A82624" w14:textId="6E054D60" w:rsidR="00CA5603" w:rsidRPr="0099200A" w:rsidRDefault="0099200A" w:rsidP="001218E1">
      <w:pPr>
        <w:rPr>
          <w:rFonts w:eastAsiaTheme="majorEastAsia" w:cstheme="majorBidi"/>
          <w:b/>
          <w:bCs/>
          <w:color w:val="365F91" w:themeColor="accent1" w:themeShade="BF"/>
          <w:sz w:val="22"/>
          <w:szCs w:val="28"/>
        </w:rPr>
      </w:pPr>
      <w:r w:rsidRPr="0099200A">
        <w:rPr>
          <w:rFonts w:eastAsiaTheme="majorEastAsia" w:cstheme="majorBidi"/>
          <w:b/>
          <w:bCs/>
          <w:color w:val="365F91" w:themeColor="accent1" w:themeShade="BF"/>
          <w:sz w:val="22"/>
          <w:szCs w:val="28"/>
        </w:rPr>
        <w:t>4. DISCUSSION</w:t>
      </w:r>
    </w:p>
    <w:p w14:paraId="3D7D9B9A" w14:textId="77777777" w:rsidR="00123D96" w:rsidRPr="00123D96" w:rsidRDefault="00123D96" w:rsidP="00123D96">
      <w:pPr>
        <w:spacing w:after="160" w:line="278" w:lineRule="auto"/>
        <w:jc w:val="both"/>
        <w:rPr>
          <w:b/>
          <w:bCs/>
        </w:rPr>
      </w:pPr>
      <w:r w:rsidRPr="00123D96">
        <w:rPr>
          <w:b/>
          <w:bCs/>
        </w:rPr>
        <w:t>Principal Findings</w:t>
      </w:r>
    </w:p>
    <w:p w14:paraId="16C7463A" w14:textId="77777777" w:rsidR="00123D96" w:rsidRPr="00123D96" w:rsidRDefault="00123D96" w:rsidP="00123D96">
      <w:pPr>
        <w:spacing w:after="160" w:line="278" w:lineRule="auto"/>
        <w:jc w:val="both"/>
      </w:pPr>
      <w:r w:rsidRPr="00123D96">
        <w:t xml:space="preserve">In this prospective cohort of stable ambulatory heart failure patients, </w:t>
      </w:r>
      <w:proofErr w:type="spellStart"/>
      <w:r w:rsidRPr="00123D96">
        <w:t>ReDS</w:t>
      </w:r>
      <w:proofErr w:type="spellEnd"/>
      <w:r w:rsidRPr="00123D96">
        <w:t xml:space="preserve"> and LUS demonstrated comparable discrimination for pulmonary congestion. Both modalities showed good specificity and moderate sensitivity. Overall agreement was substantial, although continuous measures correlated only modestly, suggesting detection of overlapping but distinct congestion phenotypes.</w:t>
      </w:r>
    </w:p>
    <w:p w14:paraId="75DDEC65" w14:textId="77777777" w:rsidR="00123D96" w:rsidRPr="00123D96" w:rsidRDefault="00123D96" w:rsidP="00123D96">
      <w:pPr>
        <w:spacing w:after="160" w:line="278" w:lineRule="auto"/>
        <w:jc w:val="both"/>
        <w:rPr>
          <w:b/>
          <w:bCs/>
        </w:rPr>
      </w:pPr>
      <w:r w:rsidRPr="00123D96">
        <w:rPr>
          <w:b/>
          <w:bCs/>
        </w:rPr>
        <w:t>Interpretation</w:t>
      </w:r>
    </w:p>
    <w:p w14:paraId="5DC2C9EA" w14:textId="40B3CC85" w:rsidR="00123D96" w:rsidRPr="00123D96" w:rsidRDefault="00123D96" w:rsidP="00123D96">
      <w:pPr>
        <w:spacing w:after="160" w:line="278" w:lineRule="auto"/>
        <w:jc w:val="both"/>
      </w:pPr>
      <w:proofErr w:type="spellStart"/>
      <w:r w:rsidRPr="00123D96">
        <w:t>ReDS</w:t>
      </w:r>
      <w:proofErr w:type="spellEnd"/>
      <w:r w:rsidRPr="00123D96">
        <w:t xml:space="preserve"> estimates global thoracic fluid content through dielectric properties (Amir et al., 2013; </w:t>
      </w:r>
      <w:proofErr w:type="spellStart"/>
      <w:r w:rsidRPr="00123D96">
        <w:t>Bensimhon</w:t>
      </w:r>
      <w:proofErr w:type="spellEnd"/>
      <w:r w:rsidRPr="00123D96">
        <w:t xml:space="preserve"> et al., 2016). LUS identifies interstitial edema via B-lines (Platz et al., 2017). Discordant findings likely reflect physiological heterogeneity in congestion distribution. Similar modest correlations have been observed in prior comparative studies (Kato et al., 2023; </w:t>
      </w:r>
      <w:proofErr w:type="spellStart"/>
      <w:r w:rsidRPr="00123D96">
        <w:t>Kobalava</w:t>
      </w:r>
      <w:proofErr w:type="spellEnd"/>
      <w:r w:rsidRPr="00123D96">
        <w:t xml:space="preserve"> et al., 2023).</w:t>
      </w:r>
    </w:p>
    <w:p w14:paraId="14C8ED27" w14:textId="657A38FC" w:rsidR="00123D96" w:rsidRPr="00123D96" w:rsidRDefault="00F766BF" w:rsidP="00123D96">
      <w:pPr>
        <w:spacing w:after="160" w:line="278" w:lineRule="auto"/>
        <w:jc w:val="both"/>
      </w:pPr>
      <w:r w:rsidRPr="00F766BF">
        <w:t>B-lines are not specific to cardiogenic congestion and may occur in interstitial lung disease, pneumonia, or pulmonary fibrosis, which could contribute to false-positive LUS findings despite exclusion of active lung pathology.</w:t>
      </w:r>
      <w:r>
        <w:t xml:space="preserve"> </w:t>
      </w:r>
      <w:r w:rsidR="00123D96" w:rsidRPr="00123D96">
        <w:t>Such conditions were excluded where clinically evident, but subclinical pulmonary pathology cannot be fully excluded.</w:t>
      </w:r>
    </w:p>
    <w:p w14:paraId="7B3EAE28" w14:textId="77777777" w:rsidR="00123D96" w:rsidRPr="00123D96" w:rsidRDefault="00123D96" w:rsidP="00123D96">
      <w:pPr>
        <w:spacing w:after="160" w:line="278" w:lineRule="auto"/>
        <w:jc w:val="both"/>
        <w:rPr>
          <w:b/>
          <w:bCs/>
        </w:rPr>
      </w:pPr>
      <w:r w:rsidRPr="00123D96">
        <w:rPr>
          <w:b/>
          <w:bCs/>
        </w:rPr>
        <w:t>Clinical Implications</w:t>
      </w:r>
    </w:p>
    <w:p w14:paraId="2EAC2F31" w14:textId="77777777" w:rsidR="00123D96" w:rsidRPr="00123D96" w:rsidRDefault="00123D96" w:rsidP="00123D96">
      <w:pPr>
        <w:spacing w:after="160" w:line="278" w:lineRule="auto"/>
        <w:jc w:val="both"/>
      </w:pPr>
      <w:proofErr w:type="spellStart"/>
      <w:r w:rsidRPr="00123D96">
        <w:t>ReDS</w:t>
      </w:r>
      <w:proofErr w:type="spellEnd"/>
      <w:r w:rsidRPr="00123D96">
        <w:t xml:space="preserve"> offers rapid, operator-independent screening suitable for ambulatory workflows. LUS provides anatomical characterization and may guide diuretic titration. A sequential strategy may enhance congestion assessment while balancing practicality and physiological insight.</w:t>
      </w:r>
    </w:p>
    <w:p w14:paraId="1E9B2B9E" w14:textId="77777777" w:rsidR="00123D96" w:rsidRPr="00123D96" w:rsidRDefault="00123D96" w:rsidP="00123D96">
      <w:pPr>
        <w:spacing w:after="160" w:line="278" w:lineRule="auto"/>
        <w:jc w:val="both"/>
        <w:rPr>
          <w:b/>
          <w:bCs/>
        </w:rPr>
      </w:pPr>
      <w:r w:rsidRPr="00123D96">
        <w:rPr>
          <w:b/>
          <w:bCs/>
        </w:rPr>
        <w:t>Strengths</w:t>
      </w:r>
    </w:p>
    <w:p w14:paraId="41E50472" w14:textId="77777777" w:rsidR="00123D96" w:rsidRPr="00123D96" w:rsidRDefault="00123D96" w:rsidP="00123D96">
      <w:pPr>
        <w:spacing w:after="160" w:line="278" w:lineRule="auto"/>
        <w:jc w:val="both"/>
      </w:pPr>
      <w:r w:rsidRPr="00123D96">
        <w:t>Prospective design, blinded adjudication, standardized protocols, and complete follow-up strengthen internal validity.</w:t>
      </w:r>
    </w:p>
    <w:p w14:paraId="369A3B32" w14:textId="0A67AF9F" w:rsidR="001C3883" w:rsidRPr="00312FB5" w:rsidRDefault="0099200A" w:rsidP="00312FB5">
      <w:pPr>
        <w:spacing w:after="160" w:line="278" w:lineRule="auto"/>
        <w:jc w:val="both"/>
        <w:rPr>
          <w:rFonts w:eastAsiaTheme="majorEastAsia" w:cstheme="majorBidi"/>
          <w:b/>
          <w:bCs/>
          <w:color w:val="365F91" w:themeColor="accent1" w:themeShade="BF"/>
          <w:sz w:val="22"/>
          <w:szCs w:val="28"/>
        </w:rPr>
      </w:pPr>
      <w:r w:rsidRPr="00312FB5">
        <w:rPr>
          <w:rFonts w:eastAsiaTheme="majorEastAsia" w:cstheme="majorBidi"/>
          <w:b/>
          <w:bCs/>
          <w:color w:val="365F91" w:themeColor="accent1" w:themeShade="BF"/>
          <w:sz w:val="22"/>
          <w:szCs w:val="28"/>
        </w:rPr>
        <w:t>5. CONCLUSION</w:t>
      </w:r>
    </w:p>
    <w:p w14:paraId="4A27E818" w14:textId="1D089862" w:rsidR="000D1012" w:rsidRDefault="0061251F" w:rsidP="00514933">
      <w:pPr>
        <w:spacing w:after="160" w:line="278" w:lineRule="auto"/>
        <w:jc w:val="both"/>
      </w:pPr>
      <w:proofErr w:type="spellStart"/>
      <w:r w:rsidRPr="0061251F">
        <w:t>ReDS</w:t>
      </w:r>
      <w:proofErr w:type="spellEnd"/>
      <w:r w:rsidRPr="0061251F">
        <w:t xml:space="preserve"> and LUS demonstrated similar diagnostic accuracy for detecting pulmonary congestion in stable ambulatory heart failure patients. Modest correlation and substantial agreement support complementary physiological roles. Multicenter studies incorporating invasive validation and longitudinal outcomes are needed.</w:t>
      </w:r>
    </w:p>
    <w:p w14:paraId="1B623966" w14:textId="77777777" w:rsidR="008B6EF6" w:rsidRPr="00123D96" w:rsidRDefault="008B6EF6" w:rsidP="008B6EF6">
      <w:pPr>
        <w:spacing w:after="160" w:line="278" w:lineRule="auto"/>
        <w:rPr>
          <w:b/>
          <w:bCs/>
          <w:sz w:val="22"/>
        </w:rPr>
      </w:pPr>
      <w:r w:rsidRPr="00123D96">
        <w:rPr>
          <w:b/>
          <w:bCs/>
          <w:sz w:val="22"/>
        </w:rPr>
        <w:lastRenderedPageBreak/>
        <w:t>Limitations</w:t>
      </w:r>
    </w:p>
    <w:p w14:paraId="512534AA" w14:textId="7A598B12" w:rsidR="008B6EF6" w:rsidRPr="00514933" w:rsidRDefault="008B6EF6" w:rsidP="00514933">
      <w:pPr>
        <w:spacing w:after="160" w:line="278" w:lineRule="auto"/>
        <w:jc w:val="both"/>
      </w:pPr>
      <w:r w:rsidRPr="00514933">
        <w:t>Several limitations should be considered when interpreting these findings. The reference standard was a pragmatic composite clinical–biomarker construct and lacks external validation, which may have led to misclassification, particularly in stable outpatient populations (</w:t>
      </w:r>
      <w:proofErr w:type="spellStart"/>
      <w:r w:rsidRPr="00514933">
        <w:t>Gheorghiade</w:t>
      </w:r>
      <w:proofErr w:type="spellEnd"/>
      <w:r w:rsidRPr="00514933">
        <w:t xml:space="preserve"> et al., 2010; Januzzi et al., 2018). Invasive hemodynamic confirmation, such as pulmonary capillary wedge pressure, was not performed, limiting mechanistic correlation with true filling pressures. The single-center design and inclusion of stable ambulatory patients introduce potential spectrum bias and restrict generalizability to acute or inpatient settings. The moderate sample size limits statistical power for subgroup analyses, which should be viewed as exploratory. Renal function and diuretic dose were available and reported, but atrial fibrillation status and other modifiers of natriuretic peptide levels were not systematically collected. Lung ultrasound was performed by experienced operators, which may overestimate performance in less specialized environments (Ceriani et al., 2021).</w:t>
      </w:r>
      <w:r w:rsidR="003A5D21" w:rsidRPr="003A5D21">
        <w:t xml:space="preserve"> B-lines are not specific to cardiogenic congestion and may occur in interstitial lung disease, pneumonia, or pulmonary fibrosis, which could contribute to false-positive LUS findings despite exclusion of active lung pathology.</w:t>
      </w:r>
      <w:r w:rsidRPr="00514933">
        <w:t xml:space="preserve"> </w:t>
      </w:r>
      <w:proofErr w:type="spellStart"/>
      <w:r w:rsidRPr="00514933">
        <w:t>ReDS</w:t>
      </w:r>
      <w:proofErr w:type="spellEnd"/>
      <w:r w:rsidRPr="00514933">
        <w:t xml:space="preserve"> test–retest reproducibility and continuous LUS reproducibility were not independently assessed, and device positioning may have influenced measurements. Finally, longitudinal clinical outcomes, including hospitalization and mortality, were not evaluated, limiting assessment of prognostic utility.</w:t>
      </w:r>
    </w:p>
    <w:p w14:paraId="48A95D58" w14:textId="25341FE8" w:rsidR="00C577C1" w:rsidRDefault="00CC3D1A" w:rsidP="00C577C1">
      <w:pPr>
        <w:jc w:val="both"/>
        <w:rPr>
          <w:rFonts w:eastAsiaTheme="majorEastAsia" w:cstheme="majorBidi"/>
          <w:b/>
          <w:bCs/>
          <w:color w:val="365F91" w:themeColor="accent1" w:themeShade="BF"/>
          <w:sz w:val="22"/>
          <w:szCs w:val="28"/>
        </w:rPr>
      </w:pPr>
      <w:r w:rsidRPr="00CC3D1A">
        <w:rPr>
          <w:rFonts w:eastAsiaTheme="majorEastAsia" w:cstheme="majorBidi"/>
          <w:b/>
          <w:bCs/>
          <w:color w:val="365F91" w:themeColor="accent1" w:themeShade="BF"/>
          <w:sz w:val="22"/>
          <w:szCs w:val="28"/>
        </w:rPr>
        <w:t>CONSENT</w:t>
      </w:r>
    </w:p>
    <w:p w14:paraId="15757237" w14:textId="51231102" w:rsidR="007E37CD" w:rsidRPr="00C577C1" w:rsidRDefault="000D1012" w:rsidP="00C577C1">
      <w:pPr>
        <w:jc w:val="both"/>
        <w:rPr>
          <w:rFonts w:eastAsiaTheme="majorEastAsia" w:cstheme="majorBidi"/>
          <w:b/>
          <w:bCs/>
          <w:color w:val="365F91" w:themeColor="accent1" w:themeShade="BF"/>
          <w:sz w:val="22"/>
          <w:szCs w:val="28"/>
        </w:rPr>
      </w:pPr>
      <w:r w:rsidRPr="000D1012">
        <w:rPr>
          <w:rFonts w:cs="Arial"/>
        </w:rPr>
        <w:t xml:space="preserve">All authors declare that ‘written informed consent was obtained from </w:t>
      </w:r>
      <w:r w:rsidR="007E37CD">
        <w:rPr>
          <w:rFonts w:cs="Arial"/>
        </w:rPr>
        <w:t>all</w:t>
      </w:r>
      <w:r w:rsidRPr="000D1012">
        <w:rPr>
          <w:rFonts w:cs="Arial"/>
        </w:rPr>
        <w:t xml:space="preserve"> patient</w:t>
      </w:r>
      <w:r w:rsidR="007E37CD">
        <w:rPr>
          <w:rFonts w:cs="Arial"/>
        </w:rPr>
        <w:t>s</w:t>
      </w:r>
      <w:r w:rsidR="007966EC">
        <w:rPr>
          <w:rFonts w:cs="Arial"/>
        </w:rPr>
        <w:t xml:space="preserve">. </w:t>
      </w:r>
      <w:bookmarkStart w:id="0" w:name="_GoBack"/>
      <w:bookmarkEnd w:id="0"/>
    </w:p>
    <w:p w14:paraId="27C4979F" w14:textId="77777777" w:rsidR="00C577C1" w:rsidRDefault="00CC3D1A" w:rsidP="00C577C1">
      <w:pPr>
        <w:jc w:val="both"/>
        <w:rPr>
          <w:rFonts w:eastAsiaTheme="majorEastAsia" w:cstheme="majorBidi"/>
          <w:b/>
          <w:bCs/>
          <w:color w:val="365F91" w:themeColor="accent1" w:themeShade="BF"/>
          <w:sz w:val="22"/>
          <w:szCs w:val="28"/>
        </w:rPr>
      </w:pPr>
      <w:r w:rsidRPr="00CC3D1A">
        <w:rPr>
          <w:rFonts w:eastAsiaTheme="majorEastAsia" w:cstheme="majorBidi"/>
          <w:b/>
          <w:bCs/>
          <w:color w:val="365F91" w:themeColor="accent1" w:themeShade="BF"/>
          <w:sz w:val="22"/>
          <w:szCs w:val="28"/>
        </w:rPr>
        <w:t>ETHICAL APPROVA</w:t>
      </w:r>
      <w:r>
        <w:rPr>
          <w:rFonts w:eastAsiaTheme="majorEastAsia" w:cstheme="majorBidi"/>
          <w:b/>
          <w:bCs/>
          <w:color w:val="365F91" w:themeColor="accent1" w:themeShade="BF"/>
          <w:sz w:val="22"/>
          <w:szCs w:val="28"/>
        </w:rPr>
        <w:t>L</w:t>
      </w:r>
    </w:p>
    <w:p w14:paraId="2FD754A2" w14:textId="49DC6968" w:rsidR="000B6FFA" w:rsidRDefault="000B6FFA" w:rsidP="00C577C1">
      <w:pPr>
        <w:jc w:val="both"/>
      </w:pPr>
      <w:r>
        <w:rPr>
          <w:rFonts w:cs="Arial"/>
          <w:bCs/>
        </w:rPr>
        <w:t>Ethical committee approval was obtained prior to initiating study</w:t>
      </w:r>
      <w:r w:rsidR="00CC3D1A">
        <w:rPr>
          <w:rFonts w:cs="Arial"/>
          <w:bCs/>
        </w:rPr>
        <w:t xml:space="preserve"> </w:t>
      </w:r>
      <w:r>
        <w:rPr>
          <w:rFonts w:cs="Arial"/>
          <w:bCs/>
        </w:rPr>
        <w:t xml:space="preserve">(Ethics Committee approval number- </w:t>
      </w:r>
      <w:r>
        <w:t>AMH – DNB-078/08-23</w:t>
      </w:r>
      <w:r>
        <w:rPr>
          <w:rFonts w:cs="Arial"/>
          <w:bCs/>
        </w:rPr>
        <w:t xml:space="preserve">). </w:t>
      </w:r>
      <w:r w:rsidR="00CC3D1A">
        <w:rPr>
          <w:rFonts w:cs="Arial"/>
          <w:bCs/>
        </w:rPr>
        <w:t>All study related protocols, consent and documents were submitted and approved by the committee.</w:t>
      </w:r>
    </w:p>
    <w:p w14:paraId="5A1D3B19" w14:textId="77777777" w:rsidR="009215FB" w:rsidRPr="00BD0F9A" w:rsidRDefault="009215FB" w:rsidP="009215FB">
      <w:pPr>
        <w:spacing w:after="160" w:line="278" w:lineRule="auto"/>
      </w:pPr>
    </w:p>
    <w:p w14:paraId="501A6273" w14:textId="77777777" w:rsidR="00861080" w:rsidRPr="003A29C6" w:rsidRDefault="00861080" w:rsidP="00C577C1">
      <w:pPr>
        <w:jc w:val="both"/>
        <w:outlineLvl w:val="0"/>
        <w:rPr>
          <w:rFonts w:cs="Arial"/>
        </w:rPr>
      </w:pPr>
      <w:r w:rsidRPr="003A29C6">
        <w:rPr>
          <w:rFonts w:cs="Arial"/>
          <w:b/>
          <w:bCs/>
        </w:rPr>
        <w:t>COMPETING INTERESTS DISCLAIMER:</w:t>
      </w:r>
    </w:p>
    <w:p w14:paraId="1F3FA44E" w14:textId="77777777" w:rsidR="00861080" w:rsidRDefault="00861080" w:rsidP="00C577C1">
      <w:pPr>
        <w:jc w:val="both"/>
      </w:pPr>
      <w:r w:rsidRPr="00A10EDE">
        <w:t>Authors have declared that they have no known competing financial interests OR non-financial interests OR personal relationships that could have appeared to influence the work reported in this paper.</w:t>
      </w:r>
    </w:p>
    <w:p w14:paraId="2E710E24" w14:textId="77777777" w:rsidR="009215FB" w:rsidRDefault="009215FB" w:rsidP="00C577C1">
      <w:pPr>
        <w:jc w:val="both"/>
      </w:pPr>
    </w:p>
    <w:p w14:paraId="0D0A10D4" w14:textId="77777777" w:rsidR="000A6383" w:rsidRPr="00C16486" w:rsidRDefault="000A6383" w:rsidP="00C577C1">
      <w:pPr>
        <w:keepNext/>
        <w:keepLines/>
        <w:spacing w:before="120" w:after="120" w:line="360" w:lineRule="auto"/>
        <w:jc w:val="both"/>
        <w:outlineLvl w:val="1"/>
        <w:rPr>
          <w:rFonts w:cs="Arial"/>
          <w:b/>
          <w:bCs/>
        </w:rPr>
      </w:pPr>
      <w:bookmarkStart w:id="1" w:name="_Hlk218867759"/>
      <w:bookmarkStart w:id="2" w:name="_Hlk219125673"/>
      <w:bookmarkStart w:id="3" w:name="_Hlk220510767"/>
      <w:r w:rsidRPr="00C16486">
        <w:rPr>
          <w:rFonts w:cs="Arial"/>
          <w:b/>
          <w:bCs/>
        </w:rPr>
        <w:t>Disclaimer (Artificial intelligence)</w:t>
      </w:r>
    </w:p>
    <w:p w14:paraId="56344B7D" w14:textId="77777777" w:rsidR="000A6383" w:rsidRPr="00C16486" w:rsidRDefault="000A6383" w:rsidP="00C577C1">
      <w:pPr>
        <w:keepNext/>
        <w:keepLines/>
        <w:spacing w:before="120" w:after="120" w:line="360" w:lineRule="auto"/>
        <w:jc w:val="both"/>
        <w:outlineLvl w:val="1"/>
      </w:pPr>
      <w:r w:rsidRPr="00C16486">
        <w:t xml:space="preserve">Author(s) hereby declare that NO generative AI technologies such as Large Language Models (ChatGPT, COPILOT, etc.) and text-to-image generators have been used during the writing or editing of this manuscript. </w:t>
      </w:r>
    </w:p>
    <w:bookmarkEnd w:id="1"/>
    <w:bookmarkEnd w:id="2"/>
    <w:p w14:paraId="6569096E" w14:textId="77777777" w:rsidR="000A6383" w:rsidRPr="000A6383" w:rsidRDefault="000A6383" w:rsidP="000A6383">
      <w:pPr>
        <w:rPr>
          <w:rFonts w:ascii="Calibri" w:eastAsia="Calibri" w:hAnsi="Calibri" w:cs="Times New Roman"/>
          <w:sz w:val="28"/>
          <w:lang w:val="en-GB"/>
        </w:rPr>
      </w:pPr>
    </w:p>
    <w:bookmarkEnd w:id="3"/>
    <w:p w14:paraId="75E29CE2" w14:textId="77777777" w:rsidR="009215FB" w:rsidRPr="000A6383" w:rsidRDefault="009215FB">
      <w:pPr>
        <w:rPr>
          <w:lang w:val="en-GB"/>
        </w:rPr>
      </w:pPr>
    </w:p>
    <w:p w14:paraId="1ECDA055" w14:textId="5088D72B" w:rsidR="00CD78AF" w:rsidRPr="00F403F1" w:rsidRDefault="00CD78AF" w:rsidP="00CD78AF">
      <w:pPr>
        <w:spacing w:after="160" w:line="278" w:lineRule="auto"/>
        <w:rPr>
          <w:b/>
          <w:bCs/>
        </w:rPr>
      </w:pPr>
      <w:r w:rsidRPr="00F403F1">
        <w:rPr>
          <w:rFonts w:eastAsiaTheme="majorEastAsia" w:cstheme="majorBidi"/>
          <w:b/>
          <w:bCs/>
          <w:color w:val="365F91" w:themeColor="accent1" w:themeShade="BF"/>
          <w:sz w:val="22"/>
          <w:szCs w:val="28"/>
        </w:rPr>
        <w:t>REFERENCES</w:t>
      </w:r>
    </w:p>
    <w:p w14:paraId="7F30BF18" w14:textId="77777777" w:rsidR="007E37CD" w:rsidRPr="007E37CD" w:rsidRDefault="007E37CD" w:rsidP="00C577C1">
      <w:pPr>
        <w:pStyle w:val="ListParagraph"/>
        <w:numPr>
          <w:ilvl w:val="0"/>
          <w:numId w:val="12"/>
        </w:numPr>
        <w:spacing w:after="160" w:line="278" w:lineRule="auto"/>
        <w:jc w:val="both"/>
      </w:pPr>
      <w:r w:rsidRPr="007E37CD">
        <w:lastRenderedPageBreak/>
        <w:t xml:space="preserve">Abraham, W. T., </w:t>
      </w:r>
      <w:proofErr w:type="spellStart"/>
      <w:r w:rsidRPr="007E37CD">
        <w:t>Bensimhon</w:t>
      </w:r>
      <w:proofErr w:type="spellEnd"/>
      <w:r w:rsidRPr="007E37CD">
        <w:t xml:space="preserve">, D. R., Pinney, S. P., et al. (2017). Evaluation of remote dielectric sensing technology-guided therapy for decreasing heart failure re-hospitalizations. </w:t>
      </w:r>
      <w:r w:rsidRPr="007E37CD">
        <w:rPr>
          <w:i/>
          <w:iCs/>
        </w:rPr>
        <w:t>International Journal of Cardiology, 240</w:t>
      </w:r>
      <w:r w:rsidRPr="007E37CD">
        <w:t>, 279–284.</w:t>
      </w:r>
    </w:p>
    <w:p w14:paraId="0C2002AB" w14:textId="77777777" w:rsidR="007E37CD" w:rsidRPr="007E37CD" w:rsidRDefault="007E37CD" w:rsidP="00C577C1">
      <w:pPr>
        <w:pStyle w:val="ListParagraph"/>
        <w:numPr>
          <w:ilvl w:val="0"/>
          <w:numId w:val="12"/>
        </w:numPr>
        <w:spacing w:after="160" w:line="278" w:lineRule="auto"/>
        <w:jc w:val="both"/>
      </w:pPr>
      <w:r w:rsidRPr="007E37CD">
        <w:t xml:space="preserve">Amir, O., Rappaport, D., Zafrir, B., &amp; Abraham, W. T. (2013). A novel approach to monitoring pulmonary congestion in heart failure. </w:t>
      </w:r>
      <w:r w:rsidRPr="007E37CD">
        <w:rPr>
          <w:i/>
          <w:iCs/>
        </w:rPr>
        <w:t>Congestive Heart Failure, 19</w:t>
      </w:r>
      <w:r w:rsidRPr="007E37CD">
        <w:t>, 149–155.</w:t>
      </w:r>
    </w:p>
    <w:p w14:paraId="431312D8" w14:textId="77777777" w:rsidR="007E37CD" w:rsidRPr="007E37CD" w:rsidRDefault="007E37CD" w:rsidP="00C577C1">
      <w:pPr>
        <w:pStyle w:val="ListParagraph"/>
        <w:numPr>
          <w:ilvl w:val="0"/>
          <w:numId w:val="12"/>
        </w:numPr>
        <w:spacing w:after="160" w:line="278" w:lineRule="auto"/>
        <w:jc w:val="both"/>
      </w:pPr>
      <w:r w:rsidRPr="007E37CD">
        <w:t xml:space="preserve">Amir, O., Azzam, Z. S., Abraham, W. T., et al. (2016). Validation of remote dielectric sensing technology for quantification of lung fluid status. </w:t>
      </w:r>
      <w:r w:rsidRPr="007E37CD">
        <w:rPr>
          <w:i/>
          <w:iCs/>
        </w:rPr>
        <w:t>International Journal of Cardiology, 221</w:t>
      </w:r>
      <w:r w:rsidRPr="007E37CD">
        <w:t>, 841–846.</w:t>
      </w:r>
    </w:p>
    <w:p w14:paraId="4DC6AF33" w14:textId="77777777" w:rsidR="007E37CD" w:rsidRPr="007E37CD" w:rsidRDefault="007E37CD" w:rsidP="00C577C1">
      <w:pPr>
        <w:pStyle w:val="ListParagraph"/>
        <w:numPr>
          <w:ilvl w:val="0"/>
          <w:numId w:val="12"/>
        </w:numPr>
        <w:spacing w:after="160" w:line="278" w:lineRule="auto"/>
        <w:jc w:val="both"/>
      </w:pPr>
      <w:proofErr w:type="spellStart"/>
      <w:r w:rsidRPr="007E37CD">
        <w:t>Bensimhon</w:t>
      </w:r>
      <w:proofErr w:type="spellEnd"/>
      <w:r w:rsidRPr="007E37CD">
        <w:t xml:space="preserve">, D., Burton, J., Wang, H., et al. (2016). Remote dielectric sensing for detecting pulmonary congestion. </w:t>
      </w:r>
      <w:r w:rsidRPr="007E37CD">
        <w:rPr>
          <w:i/>
          <w:iCs/>
        </w:rPr>
        <w:t>JACC: Heart Failure, 4</w:t>
      </w:r>
      <w:r w:rsidRPr="007E37CD">
        <w:t>, 729–730.</w:t>
      </w:r>
    </w:p>
    <w:p w14:paraId="5A3C2359" w14:textId="77777777" w:rsidR="007E37CD" w:rsidRPr="007E37CD" w:rsidRDefault="007E37CD" w:rsidP="00C577C1">
      <w:pPr>
        <w:pStyle w:val="ListParagraph"/>
        <w:numPr>
          <w:ilvl w:val="0"/>
          <w:numId w:val="12"/>
        </w:numPr>
        <w:spacing w:after="160" w:line="278" w:lineRule="auto"/>
        <w:jc w:val="both"/>
      </w:pPr>
      <w:r w:rsidRPr="007E37CD">
        <w:t xml:space="preserve">Bossuyt, P. M., Reitsma, J. B., Bruns, D. E., et al. (2015). STARD 2015. </w:t>
      </w:r>
      <w:r w:rsidRPr="007E37CD">
        <w:rPr>
          <w:i/>
          <w:iCs/>
        </w:rPr>
        <w:t>BMJ, 351</w:t>
      </w:r>
      <w:r w:rsidRPr="007E37CD">
        <w:t>, h5527.</w:t>
      </w:r>
    </w:p>
    <w:p w14:paraId="5024F5C8" w14:textId="77777777" w:rsidR="007E37CD" w:rsidRPr="007E37CD" w:rsidRDefault="007E37CD" w:rsidP="00C577C1">
      <w:pPr>
        <w:pStyle w:val="ListParagraph"/>
        <w:numPr>
          <w:ilvl w:val="0"/>
          <w:numId w:val="12"/>
        </w:numPr>
        <w:spacing w:after="160" w:line="278" w:lineRule="auto"/>
        <w:jc w:val="both"/>
      </w:pPr>
      <w:r w:rsidRPr="007E37CD">
        <w:t xml:space="preserve">Ceriani, E., Knol, M. J., van der </w:t>
      </w:r>
      <w:proofErr w:type="spellStart"/>
      <w:r w:rsidRPr="007E37CD">
        <w:t>Worp</w:t>
      </w:r>
      <w:proofErr w:type="spellEnd"/>
      <w:r w:rsidRPr="007E37CD">
        <w:t xml:space="preserve">, H. B., et al. (2021). Methodological quality of lung ultrasound diagnostic studies. </w:t>
      </w:r>
      <w:r w:rsidRPr="007E37CD">
        <w:rPr>
          <w:i/>
          <w:iCs/>
        </w:rPr>
        <w:t>Journal of Ultrasound in Medicine, 40</w:t>
      </w:r>
      <w:r w:rsidRPr="007E37CD">
        <w:t>, 2553–2565.</w:t>
      </w:r>
    </w:p>
    <w:p w14:paraId="34F5DB70" w14:textId="77777777" w:rsidR="007E37CD" w:rsidRPr="007E37CD" w:rsidRDefault="007E37CD" w:rsidP="00C577C1">
      <w:pPr>
        <w:pStyle w:val="ListParagraph"/>
        <w:numPr>
          <w:ilvl w:val="0"/>
          <w:numId w:val="12"/>
        </w:numPr>
        <w:spacing w:after="160" w:line="278" w:lineRule="auto"/>
        <w:jc w:val="both"/>
      </w:pPr>
      <w:r w:rsidRPr="007E37CD">
        <w:t xml:space="preserve">Domingo, M., </w:t>
      </w:r>
      <w:proofErr w:type="spellStart"/>
      <w:r w:rsidRPr="007E37CD">
        <w:t>Conangla</w:t>
      </w:r>
      <w:proofErr w:type="spellEnd"/>
      <w:r w:rsidRPr="007E37CD">
        <w:t xml:space="preserve">, L., </w:t>
      </w:r>
      <w:proofErr w:type="spellStart"/>
      <w:r w:rsidRPr="007E37CD">
        <w:t>Lupón</w:t>
      </w:r>
      <w:proofErr w:type="spellEnd"/>
      <w:r w:rsidRPr="007E37CD">
        <w:t xml:space="preserve">, J., et al. (2021). Prognostic value of lung ultrasound in ambulatory HF. </w:t>
      </w:r>
      <w:proofErr w:type="spellStart"/>
      <w:r w:rsidRPr="007E37CD">
        <w:rPr>
          <w:i/>
          <w:iCs/>
        </w:rPr>
        <w:t>Revista</w:t>
      </w:r>
      <w:proofErr w:type="spellEnd"/>
      <w:r w:rsidRPr="007E37CD">
        <w:rPr>
          <w:i/>
          <w:iCs/>
        </w:rPr>
        <w:t xml:space="preserve"> Española de </w:t>
      </w:r>
      <w:proofErr w:type="spellStart"/>
      <w:r w:rsidRPr="007E37CD">
        <w:rPr>
          <w:i/>
          <w:iCs/>
        </w:rPr>
        <w:t>Cardiología</w:t>
      </w:r>
      <w:proofErr w:type="spellEnd"/>
      <w:r w:rsidRPr="007E37CD">
        <w:rPr>
          <w:i/>
          <w:iCs/>
        </w:rPr>
        <w:t>, 74</w:t>
      </w:r>
      <w:r w:rsidRPr="007E37CD">
        <w:t>, 862–869.</w:t>
      </w:r>
    </w:p>
    <w:p w14:paraId="56F03319" w14:textId="77777777" w:rsidR="007E37CD" w:rsidRPr="007E37CD" w:rsidRDefault="007E37CD" w:rsidP="00C577C1">
      <w:pPr>
        <w:pStyle w:val="ListParagraph"/>
        <w:numPr>
          <w:ilvl w:val="0"/>
          <w:numId w:val="12"/>
        </w:numPr>
        <w:spacing w:after="160" w:line="278" w:lineRule="auto"/>
        <w:jc w:val="both"/>
      </w:pPr>
      <w:proofErr w:type="spellStart"/>
      <w:r w:rsidRPr="007E37CD">
        <w:t>Gheorghiade</w:t>
      </w:r>
      <w:proofErr w:type="spellEnd"/>
      <w:r w:rsidRPr="007E37CD">
        <w:t xml:space="preserve">, M., </w:t>
      </w:r>
      <w:proofErr w:type="spellStart"/>
      <w:r w:rsidRPr="007E37CD">
        <w:t>Follath</w:t>
      </w:r>
      <w:proofErr w:type="spellEnd"/>
      <w:r w:rsidRPr="007E37CD">
        <w:t xml:space="preserve">, F., Ponikowski, P., et al. (2010). Assessing congestion in acute heart failure. </w:t>
      </w:r>
      <w:r w:rsidRPr="007E37CD">
        <w:rPr>
          <w:i/>
          <w:iCs/>
        </w:rPr>
        <w:t>European Journal of Heart Failure, 12</w:t>
      </w:r>
      <w:r w:rsidRPr="007E37CD">
        <w:t>, 423–433.</w:t>
      </w:r>
    </w:p>
    <w:p w14:paraId="57E536FF" w14:textId="77777777" w:rsidR="007E37CD" w:rsidRPr="007E37CD" w:rsidRDefault="007E37CD" w:rsidP="00C577C1">
      <w:pPr>
        <w:pStyle w:val="ListParagraph"/>
        <w:numPr>
          <w:ilvl w:val="0"/>
          <w:numId w:val="12"/>
        </w:numPr>
        <w:spacing w:after="160" w:line="278" w:lineRule="auto"/>
        <w:jc w:val="both"/>
      </w:pPr>
      <w:r w:rsidRPr="007E37CD">
        <w:t xml:space="preserve">Januzzi, J. L., Jr., Chen-Tournoux, A. A., Christenson, R. H., et al. (2018). ICON-RELOADED. </w:t>
      </w:r>
      <w:r w:rsidRPr="007E37CD">
        <w:rPr>
          <w:i/>
          <w:iCs/>
        </w:rPr>
        <w:t>Journal of the American College of Cardiology, 71</w:t>
      </w:r>
      <w:r w:rsidRPr="007E37CD">
        <w:t>, 1191–1200.</w:t>
      </w:r>
    </w:p>
    <w:p w14:paraId="0F7BCA94" w14:textId="77777777" w:rsidR="007E37CD" w:rsidRPr="007E37CD" w:rsidRDefault="007E37CD" w:rsidP="00C577C1">
      <w:pPr>
        <w:pStyle w:val="ListParagraph"/>
        <w:numPr>
          <w:ilvl w:val="0"/>
          <w:numId w:val="12"/>
        </w:numPr>
        <w:spacing w:after="160" w:line="278" w:lineRule="auto"/>
        <w:jc w:val="both"/>
      </w:pPr>
      <w:r w:rsidRPr="007E37CD">
        <w:t xml:space="preserve">Kato, M., Stevenson, L. W., Goda, A., et al. (2023). Remote dielectric sensing and lung ultrasound. </w:t>
      </w:r>
      <w:r w:rsidRPr="007E37CD">
        <w:rPr>
          <w:i/>
          <w:iCs/>
        </w:rPr>
        <w:t>Heart and Vessels, 38</w:t>
      </w:r>
      <w:r w:rsidRPr="007E37CD">
        <w:t>, 672–681.</w:t>
      </w:r>
    </w:p>
    <w:p w14:paraId="1B173F7F" w14:textId="77777777" w:rsidR="007E37CD" w:rsidRPr="007E37CD" w:rsidRDefault="007E37CD" w:rsidP="00C577C1">
      <w:pPr>
        <w:pStyle w:val="ListParagraph"/>
        <w:numPr>
          <w:ilvl w:val="0"/>
          <w:numId w:val="12"/>
        </w:numPr>
        <w:spacing w:after="160" w:line="278" w:lineRule="auto"/>
        <w:jc w:val="both"/>
      </w:pPr>
      <w:proofErr w:type="spellStart"/>
      <w:r w:rsidRPr="007E37CD">
        <w:t>Kobalava</w:t>
      </w:r>
      <w:proofErr w:type="spellEnd"/>
      <w:r w:rsidRPr="007E37CD">
        <w:t xml:space="preserve">, Z., Safarova, A. F., Tolkacheva, V., et al. (2023). Pulmonary congestion in </w:t>
      </w:r>
      <w:proofErr w:type="spellStart"/>
      <w:r w:rsidRPr="007E37CD">
        <w:t>HFrEF</w:t>
      </w:r>
      <w:proofErr w:type="spellEnd"/>
      <w:r w:rsidRPr="007E37CD">
        <w:t xml:space="preserve">. </w:t>
      </w:r>
      <w:proofErr w:type="spellStart"/>
      <w:r w:rsidRPr="007E37CD">
        <w:rPr>
          <w:i/>
          <w:iCs/>
        </w:rPr>
        <w:t>Arquivos</w:t>
      </w:r>
      <w:proofErr w:type="spellEnd"/>
      <w:r w:rsidRPr="007E37CD">
        <w:rPr>
          <w:i/>
          <w:iCs/>
        </w:rPr>
        <w:t xml:space="preserve"> </w:t>
      </w:r>
      <w:proofErr w:type="spellStart"/>
      <w:r w:rsidRPr="007E37CD">
        <w:rPr>
          <w:i/>
          <w:iCs/>
        </w:rPr>
        <w:t>Brasileiros</w:t>
      </w:r>
      <w:proofErr w:type="spellEnd"/>
      <w:r w:rsidRPr="007E37CD">
        <w:rPr>
          <w:i/>
          <w:iCs/>
        </w:rPr>
        <w:t xml:space="preserve"> de </w:t>
      </w:r>
      <w:proofErr w:type="spellStart"/>
      <w:r w:rsidRPr="007E37CD">
        <w:rPr>
          <w:i/>
          <w:iCs/>
        </w:rPr>
        <w:t>Cardiologia</w:t>
      </w:r>
      <w:proofErr w:type="spellEnd"/>
      <w:r w:rsidRPr="007E37CD">
        <w:rPr>
          <w:i/>
          <w:iCs/>
        </w:rPr>
        <w:t xml:space="preserve">: </w:t>
      </w:r>
      <w:proofErr w:type="spellStart"/>
      <w:r w:rsidRPr="007E37CD">
        <w:rPr>
          <w:i/>
          <w:iCs/>
        </w:rPr>
        <w:t>Imagem</w:t>
      </w:r>
      <w:proofErr w:type="spellEnd"/>
      <w:r w:rsidRPr="007E37CD">
        <w:rPr>
          <w:i/>
          <w:iCs/>
        </w:rPr>
        <w:t xml:space="preserve"> Cardiovascular, 36</w:t>
      </w:r>
      <w:r w:rsidRPr="007E37CD">
        <w:t>, e20230027.</w:t>
      </w:r>
    </w:p>
    <w:p w14:paraId="65EBB9A9" w14:textId="77777777" w:rsidR="007E37CD" w:rsidRPr="007E37CD" w:rsidRDefault="007E37CD" w:rsidP="00C577C1">
      <w:pPr>
        <w:pStyle w:val="ListParagraph"/>
        <w:numPr>
          <w:ilvl w:val="0"/>
          <w:numId w:val="12"/>
        </w:numPr>
        <w:spacing w:after="160" w:line="278" w:lineRule="auto"/>
        <w:jc w:val="both"/>
      </w:pPr>
      <w:proofErr w:type="spellStart"/>
      <w:r w:rsidRPr="007E37CD">
        <w:t>Kobalava</w:t>
      </w:r>
      <w:proofErr w:type="spellEnd"/>
      <w:r w:rsidRPr="007E37CD">
        <w:t xml:space="preserve">, Z., Safarova, A. F., Tolkacheva, V., et al. (2024). Ultrasound and </w:t>
      </w:r>
      <w:proofErr w:type="spellStart"/>
      <w:r w:rsidRPr="007E37CD">
        <w:t>ReDS</w:t>
      </w:r>
      <w:proofErr w:type="spellEnd"/>
      <w:r w:rsidRPr="007E37CD">
        <w:t xml:space="preserve"> in hospitalized HF. </w:t>
      </w:r>
      <w:proofErr w:type="spellStart"/>
      <w:r w:rsidRPr="007E37CD">
        <w:rPr>
          <w:i/>
          <w:iCs/>
        </w:rPr>
        <w:t>Arquivos</w:t>
      </w:r>
      <w:proofErr w:type="spellEnd"/>
      <w:r w:rsidRPr="007E37CD">
        <w:rPr>
          <w:i/>
          <w:iCs/>
        </w:rPr>
        <w:t xml:space="preserve"> </w:t>
      </w:r>
      <w:proofErr w:type="spellStart"/>
      <w:r w:rsidRPr="007E37CD">
        <w:rPr>
          <w:i/>
          <w:iCs/>
        </w:rPr>
        <w:t>Brasileiros</w:t>
      </w:r>
      <w:proofErr w:type="spellEnd"/>
      <w:r w:rsidRPr="007E37CD">
        <w:rPr>
          <w:i/>
          <w:iCs/>
        </w:rPr>
        <w:t xml:space="preserve"> de </w:t>
      </w:r>
      <w:proofErr w:type="spellStart"/>
      <w:r w:rsidRPr="007E37CD">
        <w:rPr>
          <w:i/>
          <w:iCs/>
        </w:rPr>
        <w:t>Cardiologia</w:t>
      </w:r>
      <w:proofErr w:type="spellEnd"/>
      <w:r w:rsidRPr="007E37CD">
        <w:rPr>
          <w:i/>
          <w:iCs/>
        </w:rPr>
        <w:t>, 121</w:t>
      </w:r>
      <w:r w:rsidRPr="007E37CD">
        <w:t>, e20240128.</w:t>
      </w:r>
    </w:p>
    <w:p w14:paraId="1F3E7006" w14:textId="77777777" w:rsidR="007E37CD" w:rsidRPr="007E37CD" w:rsidRDefault="007E37CD" w:rsidP="00C577C1">
      <w:pPr>
        <w:pStyle w:val="ListParagraph"/>
        <w:numPr>
          <w:ilvl w:val="0"/>
          <w:numId w:val="12"/>
        </w:numPr>
        <w:spacing w:after="160" w:line="278" w:lineRule="auto"/>
        <w:jc w:val="both"/>
      </w:pPr>
      <w:r w:rsidRPr="007E37CD">
        <w:t xml:space="preserve">Lala, A., </w:t>
      </w:r>
      <w:proofErr w:type="spellStart"/>
      <w:r w:rsidRPr="007E37CD">
        <w:t>Barghash</w:t>
      </w:r>
      <w:proofErr w:type="spellEnd"/>
      <w:r w:rsidRPr="007E37CD">
        <w:t xml:space="preserve">, M. H., Lanfear, D. E., et al. (2021). Early </w:t>
      </w:r>
      <w:proofErr w:type="spellStart"/>
      <w:r w:rsidRPr="007E37CD">
        <w:t>ReDS</w:t>
      </w:r>
      <w:proofErr w:type="spellEnd"/>
      <w:r w:rsidRPr="007E37CD">
        <w:t xml:space="preserve"> use after hospitalization. </w:t>
      </w:r>
      <w:r w:rsidRPr="007E37CD">
        <w:rPr>
          <w:i/>
          <w:iCs/>
        </w:rPr>
        <w:t>ESC Heart Failure, 8</w:t>
      </w:r>
      <w:r w:rsidRPr="007E37CD">
        <w:t>, 1047–1054.</w:t>
      </w:r>
    </w:p>
    <w:p w14:paraId="395C51AC" w14:textId="77777777" w:rsidR="007E37CD" w:rsidRPr="007E37CD" w:rsidRDefault="007E37CD" w:rsidP="00C577C1">
      <w:pPr>
        <w:pStyle w:val="ListParagraph"/>
        <w:numPr>
          <w:ilvl w:val="0"/>
          <w:numId w:val="12"/>
        </w:numPr>
        <w:spacing w:after="160" w:line="278" w:lineRule="auto"/>
        <w:jc w:val="both"/>
      </w:pPr>
      <w:proofErr w:type="spellStart"/>
      <w:r w:rsidRPr="007E37CD">
        <w:t>Miglioranza</w:t>
      </w:r>
      <w:proofErr w:type="spellEnd"/>
      <w:r w:rsidRPr="007E37CD">
        <w:t xml:space="preserve">, M. H., Gargani, L., Sant’Anna, R. T., et al. (2017). Pulmonary congestion evaluated by lung ultrasound predicts decompensation in heart failure outpatients. </w:t>
      </w:r>
      <w:r w:rsidRPr="007E37CD">
        <w:rPr>
          <w:i/>
          <w:iCs/>
        </w:rPr>
        <w:t>International Journal of Cardiology, 240</w:t>
      </w:r>
      <w:r w:rsidRPr="007E37CD">
        <w:t>, 271–278.</w:t>
      </w:r>
    </w:p>
    <w:p w14:paraId="25B615DE" w14:textId="77777777" w:rsidR="007E37CD" w:rsidRPr="007E37CD" w:rsidRDefault="007E37CD" w:rsidP="00C577C1">
      <w:pPr>
        <w:pStyle w:val="ListParagraph"/>
        <w:numPr>
          <w:ilvl w:val="0"/>
          <w:numId w:val="12"/>
        </w:numPr>
        <w:spacing w:after="160" w:line="278" w:lineRule="auto"/>
        <w:jc w:val="both"/>
      </w:pPr>
      <w:r w:rsidRPr="007E37CD">
        <w:t xml:space="preserve">Olesen, A. S. O., Miger, K., Fabricius-Bjerre, A., et al. (2022). </w:t>
      </w:r>
      <w:proofErr w:type="spellStart"/>
      <w:r w:rsidRPr="007E37CD">
        <w:t>ReDS</w:t>
      </w:r>
      <w:proofErr w:type="spellEnd"/>
      <w:r w:rsidRPr="007E37CD">
        <w:t xml:space="preserve"> to detect acute heart failure in dyspnea. </w:t>
      </w:r>
      <w:r w:rsidRPr="007E37CD">
        <w:rPr>
          <w:i/>
          <w:iCs/>
        </w:rPr>
        <w:t>European Heart Journal Open, 2</w:t>
      </w:r>
      <w:r w:rsidRPr="007E37CD">
        <w:t>, oeac073.</w:t>
      </w:r>
    </w:p>
    <w:p w14:paraId="5571AC14" w14:textId="77777777" w:rsidR="007E37CD" w:rsidRPr="007E37CD" w:rsidRDefault="007E37CD" w:rsidP="00C577C1">
      <w:pPr>
        <w:pStyle w:val="ListParagraph"/>
        <w:numPr>
          <w:ilvl w:val="0"/>
          <w:numId w:val="12"/>
        </w:numPr>
        <w:spacing w:after="160" w:line="278" w:lineRule="auto"/>
        <w:jc w:val="both"/>
      </w:pPr>
      <w:r w:rsidRPr="007E37CD">
        <w:t xml:space="preserve">Platz, E., Merz, A. A., </w:t>
      </w:r>
      <w:proofErr w:type="spellStart"/>
      <w:r w:rsidRPr="007E37CD">
        <w:t>Jhund</w:t>
      </w:r>
      <w:proofErr w:type="spellEnd"/>
      <w:r w:rsidRPr="007E37CD">
        <w:t xml:space="preserve">, P. S., et al. (2016). Detection and prognostic value of pulmonary congestion. </w:t>
      </w:r>
      <w:r w:rsidRPr="007E37CD">
        <w:rPr>
          <w:i/>
          <w:iCs/>
        </w:rPr>
        <w:t>European Heart Journal, 37</w:t>
      </w:r>
      <w:r w:rsidRPr="007E37CD">
        <w:t>, 1244–1251.</w:t>
      </w:r>
    </w:p>
    <w:p w14:paraId="04E37195" w14:textId="77777777" w:rsidR="007E37CD" w:rsidRPr="007E37CD" w:rsidRDefault="007E37CD" w:rsidP="00C577C1">
      <w:pPr>
        <w:pStyle w:val="ListParagraph"/>
        <w:numPr>
          <w:ilvl w:val="0"/>
          <w:numId w:val="12"/>
        </w:numPr>
        <w:spacing w:after="160" w:line="278" w:lineRule="auto"/>
        <w:jc w:val="both"/>
      </w:pPr>
      <w:r w:rsidRPr="007E37CD">
        <w:t xml:space="preserve">Platz, E., Merz, A. A., </w:t>
      </w:r>
      <w:proofErr w:type="spellStart"/>
      <w:r w:rsidRPr="007E37CD">
        <w:t>Jhund</w:t>
      </w:r>
      <w:proofErr w:type="spellEnd"/>
      <w:r w:rsidRPr="007E37CD">
        <w:t xml:space="preserve">, P. S., et al. (2017). Dynamic changes in pulmonary congestion. </w:t>
      </w:r>
      <w:r w:rsidRPr="007E37CD">
        <w:rPr>
          <w:i/>
          <w:iCs/>
        </w:rPr>
        <w:t>European Journal of Heart Failure, 19</w:t>
      </w:r>
      <w:r w:rsidRPr="007E37CD">
        <w:t>, 1154–1163.</w:t>
      </w:r>
    </w:p>
    <w:p w14:paraId="24890D57" w14:textId="5605BF6C" w:rsidR="007E37CD" w:rsidRPr="007E37CD" w:rsidRDefault="007E37CD" w:rsidP="00C577C1">
      <w:pPr>
        <w:pStyle w:val="ListParagraph"/>
        <w:numPr>
          <w:ilvl w:val="0"/>
          <w:numId w:val="12"/>
        </w:numPr>
        <w:spacing w:after="160" w:line="278" w:lineRule="auto"/>
        <w:jc w:val="both"/>
      </w:pPr>
      <w:r w:rsidRPr="007E37CD">
        <w:t xml:space="preserve">Rastogi, T., Gargani, L., </w:t>
      </w:r>
      <w:proofErr w:type="spellStart"/>
      <w:r w:rsidRPr="007E37CD">
        <w:t>Pellicori</w:t>
      </w:r>
      <w:proofErr w:type="spellEnd"/>
      <w:r w:rsidRPr="007E37CD">
        <w:t xml:space="preserve">, P., et al. (2024). Prognostic implication of lung ultrasound. </w:t>
      </w:r>
      <w:r w:rsidRPr="007E37CD">
        <w:rPr>
          <w:i/>
          <w:iCs/>
        </w:rPr>
        <w:t xml:space="preserve">European Heart </w:t>
      </w:r>
      <w:proofErr w:type="gramStart"/>
      <w:r w:rsidRPr="007E37CD">
        <w:rPr>
          <w:i/>
          <w:iCs/>
        </w:rPr>
        <w:t xml:space="preserve">Journal </w:t>
      </w:r>
      <w:r w:rsidR="003D6BE6">
        <w:rPr>
          <w:i/>
          <w:iCs/>
        </w:rPr>
        <w:t>:</w:t>
      </w:r>
      <w:proofErr w:type="gramEnd"/>
      <w:r w:rsidRPr="007E37CD">
        <w:rPr>
          <w:i/>
          <w:iCs/>
        </w:rPr>
        <w:t xml:space="preserve"> Cardiovascular Imaging, 25</w:t>
      </w:r>
      <w:r w:rsidRPr="007E37CD">
        <w:t>, 1216–1225.</w:t>
      </w:r>
    </w:p>
    <w:p w14:paraId="38D17C87" w14:textId="77777777" w:rsidR="007E37CD" w:rsidRPr="007E37CD" w:rsidRDefault="007E37CD" w:rsidP="00C577C1">
      <w:pPr>
        <w:pStyle w:val="ListParagraph"/>
        <w:numPr>
          <w:ilvl w:val="0"/>
          <w:numId w:val="12"/>
        </w:numPr>
        <w:spacing w:after="160" w:line="278" w:lineRule="auto"/>
        <w:jc w:val="both"/>
      </w:pPr>
      <w:r w:rsidRPr="007E37CD">
        <w:t xml:space="preserve">Savarese, G., Becher, P. M., Lund, L. H., et al. (2023). Global burden of heart failure. </w:t>
      </w:r>
      <w:r w:rsidRPr="007E37CD">
        <w:rPr>
          <w:i/>
          <w:iCs/>
        </w:rPr>
        <w:t>Cardiovascular Research, 118</w:t>
      </w:r>
      <w:r w:rsidRPr="007E37CD">
        <w:t>, 3272–3287.</w:t>
      </w:r>
    </w:p>
    <w:p w14:paraId="5F2E3F95" w14:textId="2B02429B" w:rsidR="00B452FE" w:rsidRDefault="007E37CD" w:rsidP="00C577C1">
      <w:pPr>
        <w:pStyle w:val="ListParagraph"/>
        <w:numPr>
          <w:ilvl w:val="0"/>
          <w:numId w:val="12"/>
        </w:numPr>
        <w:spacing w:after="160" w:line="278" w:lineRule="auto"/>
        <w:jc w:val="both"/>
      </w:pPr>
      <w:r w:rsidRPr="007E37CD">
        <w:t xml:space="preserve">Wang, C. S., FitzGerald, J. M., Schulzer, M., et al. (2005). Does this dyspneic patient have CHF? </w:t>
      </w:r>
      <w:r w:rsidRPr="007E37CD">
        <w:rPr>
          <w:i/>
          <w:iCs/>
        </w:rPr>
        <w:t>JAMA, 294</w:t>
      </w:r>
      <w:r w:rsidRPr="007E37CD">
        <w:t>, 1944–1956.</w:t>
      </w:r>
    </w:p>
    <w:p w14:paraId="10C20C94" w14:textId="2E9B8637" w:rsidR="004F4C6B" w:rsidRDefault="004F4C6B" w:rsidP="004F4C6B">
      <w:pPr>
        <w:spacing w:after="160" w:line="278" w:lineRule="auto"/>
        <w:jc w:val="both"/>
      </w:pPr>
    </w:p>
    <w:p w14:paraId="1F78AE98" w14:textId="73CEC30D" w:rsidR="004F4C6B" w:rsidRDefault="004F4C6B" w:rsidP="004F4C6B">
      <w:pPr>
        <w:spacing w:after="160" w:line="278" w:lineRule="auto"/>
        <w:jc w:val="both"/>
      </w:pPr>
    </w:p>
    <w:p w14:paraId="44826014" w14:textId="77777777" w:rsidR="004F4C6B" w:rsidRDefault="004F4C6B" w:rsidP="004F4C6B">
      <w:pPr>
        <w:spacing w:after="160" w:line="278" w:lineRule="auto"/>
        <w:jc w:val="both"/>
      </w:pPr>
      <w:r>
        <w:t>ABBREVIATIONS</w:t>
      </w:r>
    </w:p>
    <w:p w14:paraId="58ACBD60" w14:textId="77777777" w:rsidR="004F4C6B" w:rsidRDefault="004F4C6B" w:rsidP="004F4C6B">
      <w:pPr>
        <w:spacing w:after="160" w:line="278" w:lineRule="auto"/>
        <w:jc w:val="both"/>
      </w:pPr>
      <w:r>
        <w:t>Abbreviation</w:t>
      </w:r>
      <w:r>
        <w:tab/>
        <w:t>Full Term</w:t>
      </w:r>
    </w:p>
    <w:p w14:paraId="75E9EB1B" w14:textId="77777777" w:rsidR="004F4C6B" w:rsidRDefault="004F4C6B" w:rsidP="004F4C6B">
      <w:pPr>
        <w:spacing w:after="160" w:line="278" w:lineRule="auto"/>
        <w:jc w:val="both"/>
      </w:pPr>
      <w:r>
        <w:lastRenderedPageBreak/>
        <w:t>AUC</w:t>
      </w:r>
      <w:r>
        <w:tab/>
        <w:t>Area Under the Receiver Operating Characteristic Curve</w:t>
      </w:r>
    </w:p>
    <w:p w14:paraId="29ED65D8" w14:textId="77777777" w:rsidR="004F4C6B" w:rsidRDefault="004F4C6B" w:rsidP="004F4C6B">
      <w:pPr>
        <w:spacing w:after="160" w:line="278" w:lineRule="auto"/>
        <w:jc w:val="both"/>
      </w:pPr>
      <w:r>
        <w:t>BMI</w:t>
      </w:r>
      <w:r>
        <w:tab/>
        <w:t>Body Mass Index</w:t>
      </w:r>
    </w:p>
    <w:p w14:paraId="1368CCD7" w14:textId="77777777" w:rsidR="004F4C6B" w:rsidRDefault="004F4C6B" w:rsidP="004F4C6B">
      <w:pPr>
        <w:spacing w:after="160" w:line="278" w:lineRule="auto"/>
        <w:jc w:val="both"/>
      </w:pPr>
      <w:r>
        <w:t>CI</w:t>
      </w:r>
      <w:r>
        <w:tab/>
        <w:t>Confidence Interval</w:t>
      </w:r>
    </w:p>
    <w:p w14:paraId="3686FE84" w14:textId="77777777" w:rsidR="004F4C6B" w:rsidRDefault="004F4C6B" w:rsidP="004F4C6B">
      <w:pPr>
        <w:spacing w:after="160" w:line="278" w:lineRule="auto"/>
        <w:jc w:val="both"/>
      </w:pPr>
      <w:r>
        <w:t>DOR</w:t>
      </w:r>
      <w:r>
        <w:tab/>
        <w:t>Diagnostic Odds Ratio</w:t>
      </w:r>
    </w:p>
    <w:p w14:paraId="73DEE072" w14:textId="77777777" w:rsidR="004F4C6B" w:rsidRDefault="004F4C6B" w:rsidP="004F4C6B">
      <w:pPr>
        <w:spacing w:after="160" w:line="278" w:lineRule="auto"/>
        <w:jc w:val="both"/>
      </w:pPr>
      <w:r>
        <w:t>HF</w:t>
      </w:r>
      <w:r>
        <w:tab/>
        <w:t>Heart Failure</w:t>
      </w:r>
    </w:p>
    <w:p w14:paraId="48557517" w14:textId="77777777" w:rsidR="004F4C6B" w:rsidRDefault="004F4C6B" w:rsidP="004F4C6B">
      <w:pPr>
        <w:spacing w:after="160" w:line="278" w:lineRule="auto"/>
        <w:jc w:val="both"/>
      </w:pPr>
      <w:proofErr w:type="spellStart"/>
      <w:r>
        <w:t>HFpEF</w:t>
      </w:r>
      <w:proofErr w:type="spellEnd"/>
      <w:r>
        <w:tab/>
        <w:t>Heart Failure with Preserved Ejection Fraction</w:t>
      </w:r>
    </w:p>
    <w:p w14:paraId="1179E0FB" w14:textId="77777777" w:rsidR="004F4C6B" w:rsidRDefault="004F4C6B" w:rsidP="004F4C6B">
      <w:pPr>
        <w:spacing w:after="160" w:line="278" w:lineRule="auto"/>
        <w:jc w:val="both"/>
      </w:pPr>
      <w:proofErr w:type="spellStart"/>
      <w:r>
        <w:t>HFrEF</w:t>
      </w:r>
      <w:proofErr w:type="spellEnd"/>
      <w:r>
        <w:tab/>
        <w:t>Heart Failure with Reduced Ejection Fraction</w:t>
      </w:r>
    </w:p>
    <w:p w14:paraId="0BB8A6B3" w14:textId="77777777" w:rsidR="004F4C6B" w:rsidRDefault="004F4C6B" w:rsidP="004F4C6B">
      <w:pPr>
        <w:spacing w:after="160" w:line="278" w:lineRule="auto"/>
        <w:jc w:val="both"/>
      </w:pPr>
      <w:r>
        <w:t>LUS</w:t>
      </w:r>
      <w:r>
        <w:tab/>
        <w:t>Lung Ultrasound</w:t>
      </w:r>
    </w:p>
    <w:p w14:paraId="45DFC644" w14:textId="77777777" w:rsidR="004F4C6B" w:rsidRDefault="004F4C6B" w:rsidP="004F4C6B">
      <w:pPr>
        <w:spacing w:after="160" w:line="278" w:lineRule="auto"/>
        <w:jc w:val="both"/>
      </w:pPr>
      <w:r>
        <w:t>LR+</w:t>
      </w:r>
      <w:r>
        <w:tab/>
        <w:t>Positive Likelihood Ratio</w:t>
      </w:r>
    </w:p>
    <w:p w14:paraId="34C6031C" w14:textId="77777777" w:rsidR="004F4C6B" w:rsidRDefault="004F4C6B" w:rsidP="004F4C6B">
      <w:pPr>
        <w:spacing w:after="160" w:line="278" w:lineRule="auto"/>
        <w:jc w:val="both"/>
      </w:pPr>
      <w:r>
        <w:t>LR−</w:t>
      </w:r>
      <w:r>
        <w:tab/>
        <w:t>Negative Likelihood Ratio</w:t>
      </w:r>
    </w:p>
    <w:p w14:paraId="2B720BEF" w14:textId="77777777" w:rsidR="004F4C6B" w:rsidRDefault="004F4C6B" w:rsidP="004F4C6B">
      <w:pPr>
        <w:spacing w:after="160" w:line="278" w:lineRule="auto"/>
        <w:jc w:val="both"/>
      </w:pPr>
      <w:r>
        <w:t>LVEF</w:t>
      </w:r>
      <w:r>
        <w:tab/>
        <w:t>Left Ventricular Ejection Fraction</w:t>
      </w:r>
    </w:p>
    <w:p w14:paraId="5140A398" w14:textId="77777777" w:rsidR="004F4C6B" w:rsidRDefault="004F4C6B" w:rsidP="004F4C6B">
      <w:pPr>
        <w:spacing w:after="160" w:line="278" w:lineRule="auto"/>
        <w:jc w:val="both"/>
      </w:pPr>
      <w:r>
        <w:t>NT-</w:t>
      </w:r>
      <w:proofErr w:type="spellStart"/>
      <w:r>
        <w:t>proBNP</w:t>
      </w:r>
      <w:proofErr w:type="spellEnd"/>
      <w:r>
        <w:tab/>
        <w:t>N-terminal pro–B-type Natriuretic Peptide</w:t>
      </w:r>
    </w:p>
    <w:p w14:paraId="37D0DAE8" w14:textId="77777777" w:rsidR="004F4C6B" w:rsidRDefault="004F4C6B" w:rsidP="004F4C6B">
      <w:pPr>
        <w:spacing w:after="160" w:line="278" w:lineRule="auto"/>
        <w:jc w:val="both"/>
      </w:pPr>
      <w:r>
        <w:t>NPV</w:t>
      </w:r>
      <w:r>
        <w:tab/>
        <w:t>Negative Predictive Value</w:t>
      </w:r>
    </w:p>
    <w:p w14:paraId="626AC434" w14:textId="77777777" w:rsidR="004F4C6B" w:rsidRDefault="004F4C6B" w:rsidP="004F4C6B">
      <w:pPr>
        <w:spacing w:after="160" w:line="278" w:lineRule="auto"/>
        <w:jc w:val="both"/>
      </w:pPr>
      <w:r>
        <w:t>NYHA</w:t>
      </w:r>
      <w:r>
        <w:tab/>
        <w:t>New York Heart Association</w:t>
      </w:r>
    </w:p>
    <w:p w14:paraId="34F5FB7F" w14:textId="77777777" w:rsidR="004F4C6B" w:rsidRDefault="004F4C6B" w:rsidP="004F4C6B">
      <w:pPr>
        <w:spacing w:after="160" w:line="278" w:lineRule="auto"/>
        <w:jc w:val="both"/>
      </w:pPr>
      <w:r>
        <w:t>OR</w:t>
      </w:r>
      <w:r>
        <w:tab/>
        <w:t>Odds Ratio</w:t>
      </w:r>
    </w:p>
    <w:p w14:paraId="5BBE1399" w14:textId="77777777" w:rsidR="004F4C6B" w:rsidRDefault="004F4C6B" w:rsidP="004F4C6B">
      <w:pPr>
        <w:spacing w:after="160" w:line="278" w:lineRule="auto"/>
        <w:jc w:val="both"/>
      </w:pPr>
      <w:r>
        <w:t>PPV</w:t>
      </w:r>
      <w:r>
        <w:tab/>
        <w:t>Positive Predictive Value</w:t>
      </w:r>
    </w:p>
    <w:p w14:paraId="2602B3F8" w14:textId="77777777" w:rsidR="004F4C6B" w:rsidRDefault="004F4C6B" w:rsidP="004F4C6B">
      <w:pPr>
        <w:spacing w:after="160" w:line="278" w:lineRule="auto"/>
        <w:jc w:val="both"/>
      </w:pPr>
      <w:proofErr w:type="spellStart"/>
      <w:r>
        <w:t>ReDS</w:t>
      </w:r>
      <w:proofErr w:type="spellEnd"/>
      <w:r>
        <w:tab/>
        <w:t>Remote Dielectric Sensing</w:t>
      </w:r>
    </w:p>
    <w:p w14:paraId="50BEED56" w14:textId="77777777" w:rsidR="004F4C6B" w:rsidRDefault="004F4C6B" w:rsidP="004F4C6B">
      <w:pPr>
        <w:spacing w:after="160" w:line="278" w:lineRule="auto"/>
        <w:jc w:val="both"/>
      </w:pPr>
      <w:r>
        <w:t>ROC</w:t>
      </w:r>
      <w:r>
        <w:tab/>
        <w:t>Receiver Operating Characteristic</w:t>
      </w:r>
    </w:p>
    <w:p w14:paraId="47A3D794" w14:textId="77777777" w:rsidR="004F4C6B" w:rsidRDefault="004F4C6B" w:rsidP="004F4C6B">
      <w:pPr>
        <w:spacing w:after="160" w:line="278" w:lineRule="auto"/>
        <w:jc w:val="both"/>
      </w:pPr>
      <w:r>
        <w:t>SD</w:t>
      </w:r>
      <w:r>
        <w:tab/>
        <w:t>Standard Deviation</w:t>
      </w:r>
    </w:p>
    <w:p w14:paraId="5E1DAEA6" w14:textId="739232B6" w:rsidR="004F4C6B" w:rsidRDefault="004F4C6B" w:rsidP="004F4C6B">
      <w:pPr>
        <w:spacing w:after="160" w:line="278" w:lineRule="auto"/>
        <w:jc w:val="both"/>
      </w:pPr>
      <w:r>
        <w:t>STARD</w:t>
      </w:r>
      <w:r>
        <w:tab/>
        <w:t>Standards for Reporting of Diagnostic Accuracy Studies</w:t>
      </w:r>
    </w:p>
    <w:sectPr w:rsidR="004F4C6B" w:rsidSect="00E96762">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251ED" w14:textId="77777777" w:rsidR="009C67FD" w:rsidRDefault="009C67FD" w:rsidP="00E96762">
      <w:pPr>
        <w:spacing w:after="0" w:line="240" w:lineRule="auto"/>
      </w:pPr>
      <w:r>
        <w:separator/>
      </w:r>
    </w:p>
  </w:endnote>
  <w:endnote w:type="continuationSeparator" w:id="0">
    <w:p w14:paraId="01E42C03" w14:textId="77777777" w:rsidR="009C67FD" w:rsidRDefault="009C67FD" w:rsidP="00E9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C55D" w14:textId="77777777" w:rsidR="003564D4" w:rsidRDefault="00356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85B8A" w14:textId="77777777" w:rsidR="003564D4" w:rsidRDefault="003564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93EA6" w14:textId="77777777" w:rsidR="003564D4" w:rsidRDefault="00356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5D102" w14:textId="77777777" w:rsidR="009C67FD" w:rsidRDefault="009C67FD" w:rsidP="00E96762">
      <w:pPr>
        <w:spacing w:after="0" w:line="240" w:lineRule="auto"/>
      </w:pPr>
      <w:r>
        <w:separator/>
      </w:r>
    </w:p>
  </w:footnote>
  <w:footnote w:type="continuationSeparator" w:id="0">
    <w:p w14:paraId="09215433" w14:textId="77777777" w:rsidR="009C67FD" w:rsidRDefault="009C67FD" w:rsidP="00E96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1B5E7" w14:textId="748C8EBB" w:rsidR="003564D4" w:rsidRDefault="009C67FD">
    <w:pPr>
      <w:pStyle w:val="Header"/>
    </w:pPr>
    <w:r>
      <w:rPr>
        <w:noProof/>
      </w:rPr>
      <w:pict w14:anchorId="78411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7D71" w14:textId="23EAFE90" w:rsidR="003564D4" w:rsidRDefault="009C67FD">
    <w:pPr>
      <w:pStyle w:val="Header"/>
    </w:pPr>
    <w:r>
      <w:rPr>
        <w:noProof/>
      </w:rPr>
      <w:pict w14:anchorId="1D7B7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F218" w14:textId="56FA1A1F" w:rsidR="003564D4" w:rsidRDefault="009C67FD">
    <w:pPr>
      <w:pStyle w:val="Header"/>
    </w:pPr>
    <w:r>
      <w:rPr>
        <w:noProof/>
      </w:rPr>
      <w:pict w14:anchorId="5CF25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4135B2"/>
    <w:multiLevelType w:val="hybridMultilevel"/>
    <w:tmpl w:val="483C9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F5706"/>
    <w:multiLevelType w:val="hybridMultilevel"/>
    <w:tmpl w:val="711E1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8B1E64"/>
    <w:multiLevelType w:val="multilevel"/>
    <w:tmpl w:val="4776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A91"/>
    <w:rsid w:val="00034616"/>
    <w:rsid w:val="0006063C"/>
    <w:rsid w:val="00081ED2"/>
    <w:rsid w:val="000A6383"/>
    <w:rsid w:val="000B0668"/>
    <w:rsid w:val="000B6FFA"/>
    <w:rsid w:val="000D1012"/>
    <w:rsid w:val="000D499B"/>
    <w:rsid w:val="000E02F0"/>
    <w:rsid w:val="0010323B"/>
    <w:rsid w:val="001218E1"/>
    <w:rsid w:val="00123D96"/>
    <w:rsid w:val="00133BCA"/>
    <w:rsid w:val="0015074B"/>
    <w:rsid w:val="00151CFE"/>
    <w:rsid w:val="001A457B"/>
    <w:rsid w:val="001C3883"/>
    <w:rsid w:val="001F33A0"/>
    <w:rsid w:val="0020631C"/>
    <w:rsid w:val="00261A07"/>
    <w:rsid w:val="0029639D"/>
    <w:rsid w:val="002C652E"/>
    <w:rsid w:val="002E4977"/>
    <w:rsid w:val="00312FB5"/>
    <w:rsid w:val="0032301E"/>
    <w:rsid w:val="00326F90"/>
    <w:rsid w:val="003564D4"/>
    <w:rsid w:val="00356EEB"/>
    <w:rsid w:val="003637BB"/>
    <w:rsid w:val="003A5D21"/>
    <w:rsid w:val="003B2B8F"/>
    <w:rsid w:val="003D6BE6"/>
    <w:rsid w:val="003F66E0"/>
    <w:rsid w:val="00415EEE"/>
    <w:rsid w:val="004A36C0"/>
    <w:rsid w:val="004C08B6"/>
    <w:rsid w:val="004D4CDF"/>
    <w:rsid w:val="004E2D3D"/>
    <w:rsid w:val="004F4C6B"/>
    <w:rsid w:val="00506D97"/>
    <w:rsid w:val="00514933"/>
    <w:rsid w:val="00527ED7"/>
    <w:rsid w:val="00561CC5"/>
    <w:rsid w:val="00580813"/>
    <w:rsid w:val="0058486A"/>
    <w:rsid w:val="00592F6F"/>
    <w:rsid w:val="00594B1D"/>
    <w:rsid w:val="005B3F7A"/>
    <w:rsid w:val="005C7A50"/>
    <w:rsid w:val="0061251F"/>
    <w:rsid w:val="00645918"/>
    <w:rsid w:val="0066424F"/>
    <w:rsid w:val="007060BE"/>
    <w:rsid w:val="00736EAC"/>
    <w:rsid w:val="00773CE4"/>
    <w:rsid w:val="007966EC"/>
    <w:rsid w:val="007A513A"/>
    <w:rsid w:val="007E37CD"/>
    <w:rsid w:val="008310B0"/>
    <w:rsid w:val="00840F19"/>
    <w:rsid w:val="00861080"/>
    <w:rsid w:val="008A436E"/>
    <w:rsid w:val="008B6EF6"/>
    <w:rsid w:val="008F56EA"/>
    <w:rsid w:val="009215FB"/>
    <w:rsid w:val="00976731"/>
    <w:rsid w:val="0099200A"/>
    <w:rsid w:val="009C67FD"/>
    <w:rsid w:val="00AA1D8D"/>
    <w:rsid w:val="00AA54DF"/>
    <w:rsid w:val="00AD7DBF"/>
    <w:rsid w:val="00B452FE"/>
    <w:rsid w:val="00B47730"/>
    <w:rsid w:val="00B6137B"/>
    <w:rsid w:val="00B918FB"/>
    <w:rsid w:val="00BD48AB"/>
    <w:rsid w:val="00C16486"/>
    <w:rsid w:val="00C577C1"/>
    <w:rsid w:val="00C74F1A"/>
    <w:rsid w:val="00CA5603"/>
    <w:rsid w:val="00CB0664"/>
    <w:rsid w:val="00CB5AEE"/>
    <w:rsid w:val="00CC3D1A"/>
    <w:rsid w:val="00CC4438"/>
    <w:rsid w:val="00CD78AF"/>
    <w:rsid w:val="00CE2A58"/>
    <w:rsid w:val="00DD639C"/>
    <w:rsid w:val="00E075C9"/>
    <w:rsid w:val="00E13706"/>
    <w:rsid w:val="00E7746A"/>
    <w:rsid w:val="00E96762"/>
    <w:rsid w:val="00EE4AE3"/>
    <w:rsid w:val="00EF3229"/>
    <w:rsid w:val="00F36366"/>
    <w:rsid w:val="00F50529"/>
    <w:rsid w:val="00F766BF"/>
    <w:rsid w:val="00F83714"/>
    <w:rsid w:val="00F97F15"/>
    <w:rsid w:val="00FA1CA2"/>
    <w:rsid w:val="00FB4EEB"/>
    <w:rsid w:val="00FC693F"/>
    <w:rsid w:val="00FC7306"/>
    <w:rsid w:val="00FF08E3"/>
    <w:rsid w:val="00FF2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E71E63F"/>
  <w14:defaultImageDpi w14:val="300"/>
  <w15:docId w15:val="{EC593100-9E9C-4C6A-8923-8F8BE9FA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A1CA2"/>
    <w:rPr>
      <w:rFonts w:ascii="Times New Roman" w:hAnsi="Times New Roman" w:cs="Times New Roman"/>
      <w:sz w:val="24"/>
      <w:szCs w:val="24"/>
    </w:rPr>
  </w:style>
  <w:style w:type="paragraph" w:customStyle="1" w:styleId="ReferHead">
    <w:name w:val="Refer Head"/>
    <w:basedOn w:val="Normal"/>
    <w:rsid w:val="000D1012"/>
    <w:pPr>
      <w:keepNext/>
      <w:spacing w:after="240" w:line="240" w:lineRule="auto"/>
    </w:pPr>
    <w:rPr>
      <w:rFonts w:ascii="Helvetica" w:eastAsia="Times New Roman" w:hAnsi="Helvetica" w:cs="Times New Roman"/>
      <w:b/>
      <w:caps/>
      <w:sz w:val="22"/>
      <w:szCs w:val="20"/>
    </w:rPr>
  </w:style>
  <w:style w:type="character" w:styleId="Hyperlink">
    <w:name w:val="Hyperlink"/>
    <w:basedOn w:val="DefaultParagraphFont"/>
    <w:uiPriority w:val="99"/>
    <w:unhideWhenUsed/>
    <w:rsid w:val="003F66E0"/>
    <w:rPr>
      <w:color w:val="0000FF" w:themeColor="hyperlink"/>
      <w:u w:val="single"/>
    </w:rPr>
  </w:style>
  <w:style w:type="character" w:styleId="UnresolvedMention">
    <w:name w:val="Unresolved Mention"/>
    <w:basedOn w:val="DefaultParagraphFont"/>
    <w:uiPriority w:val="99"/>
    <w:semiHidden/>
    <w:unhideWhenUsed/>
    <w:rsid w:val="003F6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3134-5BE5-43CC-B5A9-D4E7C7D62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13</Pages>
  <Words>3660</Words>
  <Characters>20865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1158</cp:lastModifiedBy>
  <cp:revision>26</cp:revision>
  <cp:lastPrinted>2026-02-15T05:35:00Z</cp:lastPrinted>
  <dcterms:created xsi:type="dcterms:W3CDTF">2026-02-15T05:35:00Z</dcterms:created>
  <dcterms:modified xsi:type="dcterms:W3CDTF">2026-02-25T08:27:00Z</dcterms:modified>
  <cp:category/>
</cp:coreProperties>
</file>