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BCA75" w14:textId="77777777" w:rsidR="00EA3A2F" w:rsidRPr="00EA3A2F" w:rsidRDefault="00EA3A2F" w:rsidP="00EA3A2F">
      <w:pPr>
        <w:rPr>
          <w:rFonts w:asciiTheme="majorBidi" w:hAnsiTheme="majorBidi" w:cstheme="majorBidi"/>
          <w:b/>
          <w:bCs/>
          <w:i/>
          <w:iCs/>
          <w:sz w:val="24"/>
          <w:szCs w:val="24"/>
          <w:u w:val="single"/>
          <w:lang w:val="en-US"/>
        </w:rPr>
      </w:pPr>
      <w:r w:rsidRPr="00EA3A2F">
        <w:rPr>
          <w:rFonts w:asciiTheme="majorBidi" w:hAnsiTheme="majorBidi" w:cstheme="majorBidi"/>
          <w:b/>
          <w:bCs/>
          <w:i/>
          <w:iCs/>
          <w:sz w:val="24"/>
          <w:szCs w:val="24"/>
          <w:u w:val="single"/>
          <w:lang w:val="en-US"/>
        </w:rPr>
        <w:t xml:space="preserve">Case report </w:t>
      </w:r>
    </w:p>
    <w:p w14:paraId="2B9A5F45" w14:textId="77777777" w:rsidR="009A684A"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Prosthetic Aortic Valve Infective Endocarditis Caused by Methicillin-Susceptible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xml:space="preserve"> with Multisystem Embolic Complications: A Case Report</w:t>
      </w:r>
    </w:p>
    <w:p w14:paraId="152BDB8E" w14:textId="77777777" w:rsidR="005948BF" w:rsidRDefault="005948BF" w:rsidP="009A684A">
      <w:pPr>
        <w:rPr>
          <w:rFonts w:asciiTheme="majorBidi" w:hAnsiTheme="majorBidi" w:cstheme="majorBidi"/>
          <w:b/>
          <w:bCs/>
          <w:sz w:val="24"/>
          <w:szCs w:val="24"/>
        </w:rPr>
      </w:pPr>
    </w:p>
    <w:p w14:paraId="67AD4F23" w14:textId="27BD17EE" w:rsidR="005948BF" w:rsidRPr="003774AB" w:rsidRDefault="003F62E8" w:rsidP="003F62E8">
      <w:pPr>
        <w:rPr>
          <w:rFonts w:asciiTheme="majorBidi" w:hAnsiTheme="majorBidi" w:cstheme="majorBidi"/>
          <w:b/>
          <w:bCs/>
          <w:sz w:val="24"/>
          <w:szCs w:val="24"/>
        </w:rPr>
      </w:pPr>
      <w:r w:rsidRPr="003F62E8">
        <w:rPr>
          <w:rFonts w:asciiTheme="majorBidi" w:hAnsiTheme="majorBidi" w:cstheme="majorBidi"/>
          <w:b/>
          <w:bCs/>
          <w:sz w:val="24"/>
          <w:szCs w:val="24"/>
          <w:lang w:val="en-US"/>
        </w:rPr>
        <w:tab/>
      </w:r>
    </w:p>
    <w:p w14:paraId="5C45B1A8" w14:textId="77777777" w:rsidR="009A684A" w:rsidRPr="003774AB" w:rsidRDefault="00A64FB0" w:rsidP="009A684A">
      <w:pPr>
        <w:rPr>
          <w:rFonts w:asciiTheme="majorBidi" w:hAnsiTheme="majorBidi" w:cstheme="majorBidi"/>
          <w:b/>
          <w:bCs/>
          <w:sz w:val="24"/>
          <w:szCs w:val="24"/>
        </w:rPr>
      </w:pPr>
      <w:r>
        <w:rPr>
          <w:rFonts w:asciiTheme="majorBidi" w:hAnsiTheme="majorBidi" w:cstheme="majorBidi"/>
          <w:b/>
          <w:bCs/>
          <w:sz w:val="24"/>
          <w:szCs w:val="24"/>
        </w:rPr>
        <w:pict w14:anchorId="1864C41A">
          <v:rect id="_x0000_i1025" style="width:0;height:1.5pt" o:hralign="center" o:hrstd="t" o:hr="t" fillcolor="#a0a0a0" stroked="f"/>
        </w:pict>
      </w:r>
    </w:p>
    <w:p w14:paraId="78BD60D4"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Abstract</w:t>
      </w:r>
    </w:p>
    <w:p w14:paraId="1438AD50" w14:textId="77777777" w:rsidR="009A684A" w:rsidRPr="003F2C01" w:rsidRDefault="009A684A" w:rsidP="003B33F9">
      <w:pPr>
        <w:jc w:val="both"/>
        <w:rPr>
          <w:rFonts w:asciiTheme="majorBidi" w:hAnsiTheme="majorBidi" w:cstheme="majorBidi"/>
          <w:bCs/>
          <w:sz w:val="24"/>
          <w:szCs w:val="24"/>
        </w:rPr>
      </w:pPr>
      <w:r w:rsidRPr="003774AB">
        <w:rPr>
          <w:rFonts w:asciiTheme="majorBidi" w:hAnsiTheme="majorBidi" w:cstheme="majorBidi"/>
          <w:b/>
          <w:bCs/>
          <w:sz w:val="24"/>
          <w:szCs w:val="24"/>
        </w:rPr>
        <w:t xml:space="preserve">Background: </w:t>
      </w:r>
      <w:r w:rsidRPr="003F2C01">
        <w:rPr>
          <w:rFonts w:asciiTheme="majorBidi" w:hAnsiTheme="majorBidi" w:cstheme="majorBidi"/>
          <w:bCs/>
          <w:sz w:val="24"/>
          <w:szCs w:val="24"/>
        </w:rPr>
        <w:t xml:space="preserve">Prosthetic valve infective endocarditis (PVE) caused by </w:t>
      </w:r>
      <w:r w:rsidRPr="003F2C01">
        <w:rPr>
          <w:rFonts w:asciiTheme="majorBidi" w:hAnsiTheme="majorBidi" w:cstheme="majorBidi"/>
          <w:bCs/>
          <w:i/>
          <w:iCs/>
          <w:sz w:val="24"/>
          <w:szCs w:val="24"/>
        </w:rPr>
        <w:t>Staphylococcus aureus</w:t>
      </w:r>
      <w:r w:rsidRPr="003F2C01">
        <w:rPr>
          <w:rFonts w:asciiTheme="majorBidi" w:hAnsiTheme="majorBidi" w:cstheme="majorBidi"/>
          <w:bCs/>
          <w:sz w:val="24"/>
          <w:szCs w:val="24"/>
        </w:rPr>
        <w:t xml:space="preserve"> is associated with high morbidity and mortality, particularly when complicated by peri-annular abscesses and systemic embolization.</w:t>
      </w:r>
    </w:p>
    <w:p w14:paraId="5D5D991F" w14:textId="77777777" w:rsidR="009A684A" w:rsidRPr="003F2C01" w:rsidRDefault="009A684A" w:rsidP="003B33F9">
      <w:pPr>
        <w:jc w:val="both"/>
        <w:rPr>
          <w:rFonts w:asciiTheme="majorBidi" w:hAnsiTheme="majorBidi" w:cstheme="majorBidi"/>
          <w:bCs/>
          <w:sz w:val="24"/>
          <w:szCs w:val="24"/>
        </w:rPr>
      </w:pPr>
      <w:r w:rsidRPr="003774AB">
        <w:rPr>
          <w:rFonts w:asciiTheme="majorBidi" w:hAnsiTheme="majorBidi" w:cstheme="majorBidi"/>
          <w:b/>
          <w:bCs/>
          <w:sz w:val="24"/>
          <w:szCs w:val="24"/>
        </w:rPr>
        <w:t xml:space="preserve">Case Summary: </w:t>
      </w:r>
      <w:r w:rsidRPr="003F2C01">
        <w:rPr>
          <w:rFonts w:asciiTheme="majorBidi" w:hAnsiTheme="majorBidi" w:cstheme="majorBidi"/>
          <w:bCs/>
          <w:sz w:val="24"/>
          <w:szCs w:val="24"/>
        </w:rPr>
        <w:t xml:space="preserve">We report a 70-year-old male with a history of ischemic heart disease, coronary artery bypass grafting, and aortic valve replacement with a bioprosthesis. The patient presented with syncope, fever, and bilateral knee trauma. Blood cultures grew methicillin-susceptible </w:t>
      </w:r>
      <w:r w:rsidRPr="003F2C01">
        <w:rPr>
          <w:rFonts w:asciiTheme="majorBidi" w:hAnsiTheme="majorBidi" w:cstheme="majorBidi"/>
          <w:bCs/>
          <w:i/>
          <w:iCs/>
          <w:sz w:val="24"/>
          <w:szCs w:val="24"/>
        </w:rPr>
        <w:t>Staphylococcus aureus</w:t>
      </w:r>
      <w:r w:rsidRPr="003F2C01">
        <w:rPr>
          <w:rFonts w:asciiTheme="majorBidi" w:hAnsiTheme="majorBidi" w:cstheme="majorBidi"/>
          <w:bCs/>
          <w:sz w:val="24"/>
          <w:szCs w:val="24"/>
        </w:rPr>
        <w:t>, and a diabetic foot ulcer was identified as the likely portal of entry. Echocardiography revealed prosthetic valve thickening, an 8-mm mobile filamentous structure (vegetation), and peri-annular abscess. PET/CT confirmed prosthetic valve infection and involvement of both knee prostheses. MRI showed multiple cerebral embolic lesions and probable cervical spondylodiscitis. The patient received prolonged intravenous cefazolin and rifampicin. Multidisciplinary evaluation indicated early surgical intervention.</w:t>
      </w:r>
    </w:p>
    <w:p w14:paraId="6AC829E7" w14:textId="77777777" w:rsidR="009A684A" w:rsidRPr="003774AB" w:rsidRDefault="009A684A" w:rsidP="003B33F9">
      <w:pPr>
        <w:jc w:val="both"/>
        <w:rPr>
          <w:rFonts w:asciiTheme="majorBidi" w:hAnsiTheme="majorBidi" w:cstheme="majorBidi"/>
          <w:b/>
          <w:bCs/>
          <w:sz w:val="24"/>
          <w:szCs w:val="24"/>
        </w:rPr>
      </w:pPr>
      <w:r w:rsidRPr="003774AB">
        <w:rPr>
          <w:rFonts w:asciiTheme="majorBidi" w:hAnsiTheme="majorBidi" w:cstheme="majorBidi"/>
          <w:b/>
          <w:bCs/>
          <w:sz w:val="24"/>
          <w:szCs w:val="24"/>
        </w:rPr>
        <w:t xml:space="preserve">Discussion: </w:t>
      </w:r>
      <w:r w:rsidRPr="003F2C01">
        <w:rPr>
          <w:rFonts w:asciiTheme="majorBidi" w:hAnsiTheme="majorBidi" w:cstheme="majorBidi"/>
          <w:bCs/>
          <w:sz w:val="24"/>
          <w:szCs w:val="24"/>
        </w:rPr>
        <w:t>This case illustrates the aggressive nature of MSSA PVE, highlights the value of repeated and multimodal imaging including PET/CT, and emphasizes the importance of early multidisciplinary decision-making for surgical intervention.</w:t>
      </w:r>
    </w:p>
    <w:p w14:paraId="1BFC757C" w14:textId="77777777" w:rsidR="009A684A" w:rsidRPr="003774AB" w:rsidRDefault="009A684A" w:rsidP="003B33F9">
      <w:pPr>
        <w:jc w:val="both"/>
        <w:rPr>
          <w:rFonts w:asciiTheme="majorBidi" w:hAnsiTheme="majorBidi" w:cstheme="majorBidi"/>
          <w:b/>
          <w:bCs/>
          <w:sz w:val="24"/>
          <w:szCs w:val="24"/>
        </w:rPr>
      </w:pPr>
      <w:r w:rsidRPr="003774AB">
        <w:rPr>
          <w:rFonts w:asciiTheme="majorBidi" w:hAnsiTheme="majorBidi" w:cstheme="majorBidi"/>
          <w:b/>
          <w:bCs/>
          <w:sz w:val="24"/>
          <w:szCs w:val="24"/>
        </w:rPr>
        <w:t xml:space="preserve">Keywords: </w:t>
      </w:r>
      <w:r w:rsidRPr="003F2C01">
        <w:rPr>
          <w:rFonts w:asciiTheme="majorBidi" w:hAnsiTheme="majorBidi" w:cstheme="majorBidi"/>
          <w:bCs/>
          <w:sz w:val="24"/>
          <w:szCs w:val="24"/>
        </w:rPr>
        <w:t xml:space="preserve">Prosthetic valve, infective endocarditis, </w:t>
      </w:r>
      <w:r w:rsidRPr="003F2C01">
        <w:rPr>
          <w:rFonts w:asciiTheme="majorBidi" w:hAnsiTheme="majorBidi" w:cstheme="majorBidi"/>
          <w:bCs/>
          <w:i/>
          <w:iCs/>
          <w:sz w:val="24"/>
          <w:szCs w:val="24"/>
        </w:rPr>
        <w:t>Staphylococcus aureus</w:t>
      </w:r>
      <w:r w:rsidRPr="003F2C01">
        <w:rPr>
          <w:rFonts w:asciiTheme="majorBidi" w:hAnsiTheme="majorBidi" w:cstheme="majorBidi"/>
          <w:bCs/>
          <w:sz w:val="24"/>
          <w:szCs w:val="24"/>
        </w:rPr>
        <w:t>, embolic complications, surgery, PET/CT.</w:t>
      </w:r>
    </w:p>
    <w:p w14:paraId="44F9FAFC" w14:textId="77777777" w:rsidR="009A684A" w:rsidRPr="005365C0" w:rsidRDefault="009A684A" w:rsidP="009A684A">
      <w:pPr>
        <w:rPr>
          <w:rFonts w:asciiTheme="majorBidi" w:hAnsiTheme="majorBidi" w:cstheme="majorBidi"/>
          <w:b/>
          <w:bCs/>
          <w:sz w:val="24"/>
          <w:szCs w:val="24"/>
        </w:rPr>
      </w:pPr>
    </w:p>
    <w:p w14:paraId="426B631A" w14:textId="77777777" w:rsidR="009A684A" w:rsidRPr="003774AB" w:rsidRDefault="00A64FB0" w:rsidP="009A684A">
      <w:pPr>
        <w:rPr>
          <w:rFonts w:asciiTheme="majorBidi" w:hAnsiTheme="majorBidi" w:cstheme="majorBidi"/>
          <w:sz w:val="24"/>
          <w:szCs w:val="24"/>
        </w:rPr>
      </w:pPr>
      <w:r>
        <w:rPr>
          <w:rFonts w:asciiTheme="majorBidi" w:hAnsiTheme="majorBidi" w:cstheme="majorBidi"/>
          <w:sz w:val="24"/>
          <w:szCs w:val="24"/>
        </w:rPr>
        <w:pict w14:anchorId="6CC3E5CB">
          <v:rect id="_x0000_i1026" style="width:0;height:1.5pt" o:hralign="center" o:hrstd="t" o:hr="t" fillcolor="#a0a0a0" stroked="f"/>
        </w:pict>
      </w:r>
    </w:p>
    <w:p w14:paraId="2CC5AD12"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Introduction</w:t>
      </w:r>
    </w:p>
    <w:p w14:paraId="368D5019"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Prosthetic valve infective endocarditis (PVE) represents a severe form of cardiovascular infection associated with high morbidity and mortality, particularly when caused by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The disease is frequently complicated by peri-annular extension, systemic embolization, and often requires early surgical management. We report the case of methicillin-susceptible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(MSSA) infective endocarditis involving a bioprosthetic aortic valve, complicated by multiple embolic and metastatic infectious manifestations, requiring a multidisciplinary medico-surgical approach.</w:t>
      </w:r>
    </w:p>
    <w:p w14:paraId="6646B0A3" w14:textId="77777777" w:rsidR="009A684A" w:rsidRPr="003774AB" w:rsidRDefault="00A64FB0" w:rsidP="009A684A">
      <w:pPr>
        <w:rPr>
          <w:rFonts w:asciiTheme="majorBidi" w:hAnsiTheme="majorBidi" w:cstheme="majorBidi"/>
          <w:sz w:val="24"/>
          <w:szCs w:val="24"/>
        </w:rPr>
      </w:pPr>
      <w:r>
        <w:rPr>
          <w:rFonts w:asciiTheme="majorBidi" w:hAnsiTheme="majorBidi" w:cstheme="majorBidi"/>
          <w:sz w:val="24"/>
          <w:szCs w:val="24"/>
        </w:rPr>
        <w:pict w14:anchorId="3253A079">
          <v:rect id="_x0000_i1027" style="width:0;height:1.5pt" o:hralign="center" o:hrstd="t" o:hr="t" fillcolor="#a0a0a0" stroked="f"/>
        </w:pict>
      </w:r>
    </w:p>
    <w:p w14:paraId="40F34A16" w14:textId="77777777" w:rsidR="009A684A" w:rsidRPr="005365C0" w:rsidRDefault="009A684A" w:rsidP="009A684A">
      <w:pPr>
        <w:rPr>
          <w:rFonts w:asciiTheme="majorBidi" w:hAnsiTheme="majorBidi" w:cstheme="majorBidi"/>
          <w:b/>
          <w:bCs/>
          <w:sz w:val="24"/>
          <w:szCs w:val="24"/>
        </w:rPr>
      </w:pPr>
    </w:p>
    <w:p w14:paraId="506E04E9"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Case Presentation</w:t>
      </w:r>
    </w:p>
    <w:p w14:paraId="27BF2D19"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lastRenderedPageBreak/>
        <w:t>A 70-year-old man, living independently at home, was admitted following a syncopal episode associated with fever (39.5 °C) and bilateral knee trauma. His medical history included ischemic heart disease with previous coronary artery bypass grafting and aortic valve replacement with a bioprosthesis in 2017, paroxysmal atrial fibrillation on anticoagulation, type 2 diabetes mellitus, and chronic diabetic foot ulcers.</w:t>
      </w:r>
    </w:p>
    <w:p w14:paraId="6C31D260"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Blood cultures obtained on admission grew methicillin-susceptible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The presumed portal of entry was a cutaneous diabetic ulcer located on the left hallux. Targeted intravenous antibiotic therapy with cefazolin was initiated.</w:t>
      </w:r>
    </w:p>
    <w:p w14:paraId="4E6092DA"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Initial transthoracic echocardiography showed no definite signs of infective endocarditis. Repeat echocardiography performed during hospitalization revealed thickening of the aortic bioprosthesis with an 8-mm mobile filamentous structure attached to the right cusp or annulus, consistent with vegetation. Associated thickening of the mitro-aortic trigone raised suspicion of peri-annular abscess formation. A significant increase in the mean transaortic gradient (44 mmHg) was observed.</w:t>
      </w:r>
    </w:p>
    <w:p w14:paraId="69EE9746" w14:textId="175127EE"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Transesophageal echocardiography confirmed prosthetic valve involvement with mobile vegetation and reinforced suspicion of early peri-annular extension. 18F-FDG PET/CT demonstrated increased uptake consistent with active aortic prosthetic valve infection, as well as uptake around both knee prostheses.</w:t>
      </w:r>
    </w:p>
    <w:p w14:paraId="012E4FB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Systemic extension assessment identified multiple embolic and metastatic complications, including multiple cerebral ischemic lesions of embolic origin on brain MRI, splenic infarction on abdominal imaging, and probable cervical spondylodiscitis on spinal MRI. Despite these findings, the patient remained hemodynamically stable and exhibited no persistent focal neurological deficits.</w:t>
      </w:r>
    </w:p>
    <w:p w14:paraId="68B4FFE9"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After multidisciplinary discussion by the endocarditis heart team, surgical management was indicated. Prolonged antibiotic therapy combining cefazolin and rifampicin was continued, with sterilization of blood cultures achieved by day 8 of treatment.</w:t>
      </w:r>
    </w:p>
    <w:p w14:paraId="02CA8516" w14:textId="77777777" w:rsidR="009A684A" w:rsidRPr="005365C0" w:rsidRDefault="009A684A" w:rsidP="009A684A">
      <w:pPr>
        <w:rPr>
          <w:rFonts w:asciiTheme="majorBidi" w:hAnsiTheme="majorBidi" w:cstheme="majorBidi"/>
          <w:sz w:val="24"/>
          <w:szCs w:val="24"/>
        </w:rPr>
      </w:pPr>
    </w:p>
    <w:p w14:paraId="2E604A1A" w14:textId="77777777" w:rsidR="009A684A" w:rsidRPr="005365C0" w:rsidRDefault="009A684A" w:rsidP="009A684A">
      <w:pPr>
        <w:rPr>
          <w:rFonts w:asciiTheme="majorBidi" w:hAnsiTheme="majorBidi" w:cstheme="majorBidi"/>
          <w:sz w:val="24"/>
          <w:szCs w:val="24"/>
        </w:rPr>
      </w:pPr>
    </w:p>
    <w:p w14:paraId="3F078843" w14:textId="77777777" w:rsidR="009A684A" w:rsidRDefault="009A684A" w:rsidP="009A684A">
      <w:pPr>
        <w:rPr>
          <w:rFonts w:asciiTheme="majorBidi" w:hAnsiTheme="majorBidi" w:cstheme="majorBidi"/>
          <w:sz w:val="24"/>
          <w:szCs w:val="24"/>
        </w:rPr>
      </w:pPr>
    </w:p>
    <w:p w14:paraId="5C1C467B" w14:textId="77777777" w:rsidR="005365C0" w:rsidRDefault="005365C0" w:rsidP="009A684A">
      <w:pPr>
        <w:rPr>
          <w:rFonts w:asciiTheme="majorBidi" w:hAnsiTheme="majorBidi" w:cstheme="majorBidi"/>
          <w:sz w:val="24"/>
          <w:szCs w:val="24"/>
        </w:rPr>
      </w:pPr>
    </w:p>
    <w:p w14:paraId="065F80BC" w14:textId="77777777" w:rsidR="005365C0" w:rsidRDefault="005365C0" w:rsidP="009A684A">
      <w:pPr>
        <w:rPr>
          <w:rFonts w:asciiTheme="majorBidi" w:hAnsiTheme="majorBidi" w:cstheme="majorBidi"/>
          <w:sz w:val="24"/>
          <w:szCs w:val="24"/>
        </w:rPr>
      </w:pPr>
    </w:p>
    <w:p w14:paraId="0C7C41E6" w14:textId="77777777" w:rsidR="005365C0" w:rsidRDefault="005365C0" w:rsidP="009A684A">
      <w:pPr>
        <w:rPr>
          <w:rFonts w:asciiTheme="majorBidi" w:hAnsiTheme="majorBidi" w:cstheme="majorBidi"/>
          <w:sz w:val="24"/>
          <w:szCs w:val="24"/>
        </w:rPr>
      </w:pPr>
    </w:p>
    <w:p w14:paraId="047AA872" w14:textId="77777777" w:rsidR="005365C0" w:rsidRDefault="005365C0" w:rsidP="009A684A">
      <w:pPr>
        <w:rPr>
          <w:rFonts w:asciiTheme="majorBidi" w:hAnsiTheme="majorBidi" w:cstheme="majorBidi"/>
          <w:sz w:val="24"/>
          <w:szCs w:val="24"/>
        </w:rPr>
      </w:pPr>
    </w:p>
    <w:p w14:paraId="48716A3F" w14:textId="77777777" w:rsidR="005365C0" w:rsidRDefault="005365C0" w:rsidP="009A684A">
      <w:pPr>
        <w:rPr>
          <w:rFonts w:asciiTheme="majorBidi" w:hAnsiTheme="majorBidi" w:cstheme="majorBidi"/>
          <w:sz w:val="24"/>
          <w:szCs w:val="24"/>
        </w:rPr>
      </w:pPr>
    </w:p>
    <w:p w14:paraId="71CB616A" w14:textId="77777777" w:rsidR="005365C0" w:rsidRPr="005365C0" w:rsidRDefault="005365C0" w:rsidP="009A684A">
      <w:pPr>
        <w:rPr>
          <w:rFonts w:asciiTheme="majorBidi" w:hAnsiTheme="majorBidi" w:cstheme="majorBidi"/>
          <w:sz w:val="24"/>
          <w:szCs w:val="24"/>
        </w:rPr>
      </w:pPr>
    </w:p>
    <w:p w14:paraId="1F034164" w14:textId="77777777" w:rsidR="009A684A" w:rsidRPr="005365C0" w:rsidRDefault="009A684A" w:rsidP="009A684A">
      <w:pPr>
        <w:rPr>
          <w:rFonts w:asciiTheme="majorBidi" w:hAnsiTheme="majorBidi" w:cstheme="majorBidi"/>
          <w:sz w:val="24"/>
          <w:szCs w:val="24"/>
        </w:rPr>
      </w:pPr>
    </w:p>
    <w:p w14:paraId="5AF06501" w14:textId="77777777" w:rsidR="009A684A"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Figures</w:t>
      </w:r>
    </w:p>
    <w:p w14:paraId="1548DE3C" w14:textId="77777777" w:rsidR="004A3D41" w:rsidRDefault="004A3D41" w:rsidP="009A684A">
      <w:pPr>
        <w:rPr>
          <w:rFonts w:asciiTheme="majorBidi" w:hAnsiTheme="majorBidi" w:cstheme="majorBidi"/>
          <w:b/>
          <w:bCs/>
          <w:sz w:val="24"/>
          <w:szCs w:val="24"/>
        </w:rPr>
      </w:pPr>
    </w:p>
    <w:p w14:paraId="79F92A00" w14:textId="66CD4173" w:rsidR="004A3D41" w:rsidRPr="003774AB" w:rsidRDefault="004A3D41" w:rsidP="009A684A">
      <w:pPr>
        <w:rPr>
          <w:rFonts w:asciiTheme="majorBidi" w:hAnsiTheme="majorBidi" w:cstheme="majorBidi"/>
          <w:b/>
          <w:bCs/>
          <w:sz w:val="24"/>
          <w:szCs w:val="24"/>
        </w:rPr>
      </w:pPr>
      <w:r w:rsidRPr="00D05DC2">
        <w:rPr>
          <w:noProof/>
          <w:lang w:eastAsia="fr-FR"/>
        </w:rPr>
        <w:drawing>
          <wp:inline distT="0" distB="0" distL="0" distR="0" wp14:anchorId="6B54D7EE" wp14:editId="30ECA8AB">
            <wp:extent cx="5760607" cy="3276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783" cy="3290351"/>
                    </a:xfrm>
                    <a:prstGeom prst="rect">
                      <a:avLst/>
                    </a:prstGeom>
                    <a:noFill/>
                    <a:ln>
                      <a:noFill/>
                    </a:ln>
                  </pic:spPr>
                </pic:pic>
              </a:graphicData>
            </a:graphic>
          </wp:inline>
        </w:drawing>
      </w:r>
    </w:p>
    <w:p w14:paraId="535FC2BC" w14:textId="77777777" w:rsidR="009A684A" w:rsidRDefault="009A684A" w:rsidP="009A684A">
      <w:pPr>
        <w:rPr>
          <w:rFonts w:asciiTheme="majorBidi" w:hAnsiTheme="majorBidi" w:cstheme="majorBidi"/>
          <w:sz w:val="24"/>
          <w:szCs w:val="24"/>
        </w:rPr>
      </w:pPr>
      <w:r w:rsidRPr="003774AB">
        <w:rPr>
          <w:rFonts w:asciiTheme="majorBidi" w:hAnsiTheme="majorBidi" w:cstheme="majorBidi"/>
          <w:b/>
          <w:bCs/>
          <w:sz w:val="24"/>
          <w:szCs w:val="24"/>
        </w:rPr>
        <w:t>Figure 1.</w:t>
      </w:r>
      <w:r w:rsidRPr="003774AB">
        <w:rPr>
          <w:rFonts w:asciiTheme="majorBidi" w:hAnsiTheme="majorBidi" w:cstheme="majorBidi"/>
          <w:sz w:val="24"/>
          <w:szCs w:val="24"/>
        </w:rPr>
        <w:t xml:space="preserve"> Transthoracic echocardiography (parasternal long-axis view) showing thickening of the aortic bioprosthesis and an 8-mm mobile filamentous vegetation attached to the right cusp/annulus (arrow).</w:t>
      </w:r>
    </w:p>
    <w:p w14:paraId="10635BAF" w14:textId="77777777" w:rsidR="005365C0" w:rsidRDefault="005365C0" w:rsidP="009A684A">
      <w:pPr>
        <w:rPr>
          <w:rFonts w:asciiTheme="majorBidi" w:hAnsiTheme="majorBidi" w:cstheme="majorBidi"/>
          <w:sz w:val="24"/>
          <w:szCs w:val="24"/>
        </w:rPr>
      </w:pPr>
    </w:p>
    <w:p w14:paraId="5C1C75B2" w14:textId="766C6570" w:rsidR="005365C0" w:rsidRDefault="005365C0" w:rsidP="009A684A">
      <w:r>
        <w:rPr>
          <w:noProof/>
        </w:rPr>
        <mc:AlternateContent>
          <mc:Choice Requires="wps">
            <w:drawing>
              <wp:inline distT="0" distB="0" distL="0" distR="0" wp14:anchorId="1D51134C" wp14:editId="377C77DE">
                <wp:extent cx="304800" cy="304800"/>
                <wp:effectExtent l="0" t="0" r="0" b="0"/>
                <wp:docPr id="1144740782" name="Rectangle 1"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3B978D0" id="Rectangle 1"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365C0">
        <w:t xml:space="preserve"> </w:t>
      </w:r>
      <w:r>
        <w:rPr>
          <w:noProof/>
        </w:rPr>
        <mc:AlternateContent>
          <mc:Choice Requires="wps">
            <w:drawing>
              <wp:inline distT="0" distB="0" distL="0" distR="0" wp14:anchorId="2250D60C" wp14:editId="4580B315">
                <wp:extent cx="304800" cy="304800"/>
                <wp:effectExtent l="0" t="0" r="0" b="0"/>
                <wp:docPr id="105019167" name="Rectangle 2" descr="Upload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5378BA3" id="Rectangle 2" o:spid="_x0000_s1026" alt="Upload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C1C4C2F" w14:textId="77777777" w:rsidR="004A3D41" w:rsidRDefault="004A3D41" w:rsidP="009A684A"/>
    <w:p w14:paraId="7DFBC01D" w14:textId="3E060362" w:rsidR="004A3D41" w:rsidRPr="003774AB" w:rsidRDefault="004A3D41" w:rsidP="009A684A">
      <w:pPr>
        <w:rPr>
          <w:rFonts w:asciiTheme="majorBidi" w:hAnsiTheme="majorBidi" w:cstheme="majorBidi"/>
          <w:sz w:val="24"/>
          <w:szCs w:val="24"/>
        </w:rPr>
      </w:pPr>
      <w:r w:rsidRPr="00D05DC2">
        <w:rPr>
          <w:noProof/>
          <w:lang w:eastAsia="fr-FR"/>
        </w:rPr>
        <w:drawing>
          <wp:inline distT="0" distB="0" distL="0" distR="0" wp14:anchorId="07BCA158" wp14:editId="6A865F2B">
            <wp:extent cx="5349240" cy="335804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077" cy="3364215"/>
                    </a:xfrm>
                    <a:prstGeom prst="rect">
                      <a:avLst/>
                    </a:prstGeom>
                    <a:noFill/>
                    <a:ln>
                      <a:noFill/>
                    </a:ln>
                  </pic:spPr>
                </pic:pic>
              </a:graphicData>
            </a:graphic>
          </wp:inline>
        </w:drawing>
      </w:r>
    </w:p>
    <w:p w14:paraId="1BBE8B4E" w14:textId="77777777" w:rsidR="009A684A" w:rsidRDefault="009A684A" w:rsidP="009A684A">
      <w:pPr>
        <w:rPr>
          <w:rFonts w:asciiTheme="majorBidi" w:hAnsiTheme="majorBidi" w:cstheme="majorBidi"/>
          <w:sz w:val="24"/>
          <w:szCs w:val="24"/>
        </w:rPr>
      </w:pPr>
      <w:r w:rsidRPr="003774AB">
        <w:rPr>
          <w:rFonts w:asciiTheme="majorBidi" w:hAnsiTheme="majorBidi" w:cstheme="majorBidi"/>
          <w:b/>
          <w:bCs/>
          <w:sz w:val="24"/>
          <w:szCs w:val="24"/>
        </w:rPr>
        <w:lastRenderedPageBreak/>
        <w:t>Figure 2.</w:t>
      </w:r>
      <w:r w:rsidRPr="003774AB">
        <w:rPr>
          <w:rFonts w:asciiTheme="majorBidi" w:hAnsiTheme="majorBidi" w:cstheme="majorBidi"/>
          <w:sz w:val="24"/>
          <w:szCs w:val="24"/>
        </w:rPr>
        <w:t xml:space="preserve"> Transesophageal echocardiography (mid-esophageal long-axis view) demonstrating thickened mitro-aortic trigone suggestive of peri-annular abscess (arrow).</w:t>
      </w:r>
    </w:p>
    <w:p w14:paraId="0D9E8AB7" w14:textId="77777777" w:rsidR="005365C0" w:rsidRDefault="005365C0" w:rsidP="009A684A">
      <w:pPr>
        <w:rPr>
          <w:rFonts w:asciiTheme="majorBidi" w:hAnsiTheme="majorBidi" w:cstheme="majorBidi"/>
          <w:sz w:val="24"/>
          <w:szCs w:val="24"/>
        </w:rPr>
      </w:pPr>
    </w:p>
    <w:p w14:paraId="6144C2A5" w14:textId="77777777" w:rsidR="009A684A" w:rsidRPr="005365C0" w:rsidRDefault="009A684A" w:rsidP="009A684A">
      <w:pPr>
        <w:rPr>
          <w:rFonts w:asciiTheme="majorBidi" w:hAnsiTheme="majorBidi" w:cstheme="majorBidi"/>
          <w:sz w:val="24"/>
          <w:szCs w:val="24"/>
        </w:rPr>
      </w:pPr>
    </w:p>
    <w:p w14:paraId="25EC19FF"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Discussion</w:t>
      </w:r>
    </w:p>
    <w:p w14:paraId="6DAE0E3F"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Prosthetic valve endocarditis (PVE) represents one of the most severe forms of infective endocarditis, characterized by diagnostic complexity, aggressive clinical course, and poor prognosis. Compared with native valve endocarditis, PVE is associated with higher rates of peri-annular extension, systemic embolization, and mortality, which may exceed 30% despite optimal management [1,2]. This case illustrates several critical aspects of PVE due to methicillin-sensitive </w:t>
      </w: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(MSSA), including diagnostic challenges, multisystemic involvement, and the importance of early multidisciplinary decision-making.</w:t>
      </w:r>
    </w:p>
    <w:p w14:paraId="49657315"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 xml:space="preserve">1. Virulence of </w:t>
      </w:r>
      <w:r w:rsidRPr="003774AB">
        <w:rPr>
          <w:rFonts w:asciiTheme="majorBidi" w:hAnsiTheme="majorBidi" w:cstheme="majorBidi"/>
          <w:b/>
          <w:bCs/>
          <w:i/>
          <w:iCs/>
          <w:sz w:val="24"/>
          <w:szCs w:val="24"/>
        </w:rPr>
        <w:t>Staphylococcus aureus</w:t>
      </w:r>
      <w:r w:rsidRPr="003774AB">
        <w:rPr>
          <w:rFonts w:asciiTheme="majorBidi" w:hAnsiTheme="majorBidi" w:cstheme="majorBidi"/>
          <w:b/>
          <w:bCs/>
          <w:sz w:val="24"/>
          <w:szCs w:val="24"/>
        </w:rPr>
        <w:t xml:space="preserve"> in Prosthetic Valve Endocarditis</w:t>
      </w:r>
    </w:p>
    <w:p w14:paraId="562A6809" w14:textId="77777777" w:rsidR="008906D7" w:rsidRPr="003E38A1" w:rsidRDefault="008906D7" w:rsidP="008906D7">
      <w:pPr>
        <w:rPr>
          <w:rFonts w:asciiTheme="majorBidi" w:hAnsiTheme="majorBidi" w:cstheme="majorBidi"/>
          <w:sz w:val="24"/>
          <w:szCs w:val="24"/>
        </w:rPr>
      </w:pPr>
      <w:r w:rsidRPr="003E38A1">
        <w:rPr>
          <w:rFonts w:asciiTheme="majorBidi" w:hAnsiTheme="majorBidi" w:cstheme="majorBidi"/>
          <w:i/>
          <w:iCs/>
          <w:sz w:val="24"/>
          <w:szCs w:val="24"/>
        </w:rPr>
        <w:t>Staphylococcus aureus</w:t>
      </w:r>
      <w:r w:rsidRPr="003E38A1">
        <w:rPr>
          <w:rFonts w:asciiTheme="majorBidi" w:hAnsiTheme="majorBidi" w:cstheme="majorBidi"/>
          <w:sz w:val="24"/>
          <w:szCs w:val="24"/>
        </w:rPr>
        <w:t xml:space="preserve"> is one of the most virulent pathogens responsible for infective endocarditis, particularly in the presence of intracardiac prosthetic material. Its ability to adhere to prosthetic surfaces, form biofilms, and induce rapid tissue destruction explains the fulminant clinical course frequently observed in prosthetic valve infective endocarditis (PVE) [3,4].</w:t>
      </w:r>
    </w:p>
    <w:p w14:paraId="33E5FEEE" w14:textId="77777777" w:rsidR="008906D7" w:rsidRPr="003E38A1" w:rsidRDefault="008906D7" w:rsidP="008906D7">
      <w:pPr>
        <w:rPr>
          <w:rFonts w:asciiTheme="majorBidi" w:hAnsiTheme="majorBidi" w:cstheme="majorBidi"/>
          <w:sz w:val="24"/>
          <w:szCs w:val="24"/>
        </w:rPr>
      </w:pPr>
      <w:r w:rsidRPr="003E38A1">
        <w:rPr>
          <w:rFonts w:asciiTheme="majorBidi" w:hAnsiTheme="majorBidi" w:cstheme="majorBidi"/>
          <w:sz w:val="24"/>
          <w:szCs w:val="24"/>
        </w:rPr>
        <w:t xml:space="preserve">Recent data further confirm the particularly poor prognosis of </w:t>
      </w:r>
      <w:r w:rsidRPr="003E38A1">
        <w:rPr>
          <w:rFonts w:asciiTheme="majorBidi" w:hAnsiTheme="majorBidi" w:cstheme="majorBidi"/>
          <w:i/>
          <w:iCs/>
          <w:sz w:val="24"/>
          <w:szCs w:val="24"/>
        </w:rPr>
        <w:t>S. aureus</w:t>
      </w:r>
      <w:r w:rsidRPr="003E38A1">
        <w:rPr>
          <w:rFonts w:asciiTheme="majorBidi" w:hAnsiTheme="majorBidi" w:cstheme="majorBidi"/>
          <w:sz w:val="24"/>
          <w:szCs w:val="24"/>
        </w:rPr>
        <w:t xml:space="preserve"> PVE. In a large multicenter European study, Diego-Yagüe et al. demonstrated that </w:t>
      </w:r>
      <w:r w:rsidRPr="003E38A1">
        <w:rPr>
          <w:rFonts w:asciiTheme="majorBidi" w:hAnsiTheme="majorBidi" w:cstheme="majorBidi"/>
          <w:i/>
          <w:iCs/>
          <w:sz w:val="24"/>
          <w:szCs w:val="24"/>
        </w:rPr>
        <w:t>S. aureus</w:t>
      </w:r>
      <w:r w:rsidRPr="003E38A1">
        <w:rPr>
          <w:rFonts w:asciiTheme="majorBidi" w:hAnsiTheme="majorBidi" w:cstheme="majorBidi"/>
          <w:sz w:val="24"/>
          <w:szCs w:val="24"/>
        </w:rPr>
        <w:t xml:space="preserve"> PVE was associated with a high rate of peri-annular complications, systemic embolic events, and significantly increased in-hospital and long-term mortality compared with PVE caused by other pathogens [12]. Identified predictors of adverse outcome included peri-valvular extension, heart failure, and neurological complications—features that were all present in our patient.</w:t>
      </w:r>
    </w:p>
    <w:p w14:paraId="1971CC40" w14:textId="77777777" w:rsidR="008906D7" w:rsidRDefault="008906D7" w:rsidP="008906D7">
      <w:pPr>
        <w:rPr>
          <w:rFonts w:asciiTheme="majorBidi" w:hAnsiTheme="majorBidi" w:cstheme="majorBidi"/>
          <w:sz w:val="24"/>
          <w:szCs w:val="24"/>
        </w:rPr>
      </w:pPr>
      <w:r w:rsidRPr="003E38A1">
        <w:rPr>
          <w:rFonts w:asciiTheme="majorBidi" w:hAnsiTheme="majorBidi" w:cstheme="majorBidi"/>
          <w:sz w:val="24"/>
          <w:szCs w:val="24"/>
        </w:rPr>
        <w:t>Importantly, even when the strain is methicillin-susceptible, as in the present case, prognosis remains poor, supporting the need for close monitoring and early surgical evaluation [4,12].</w:t>
      </w:r>
    </w:p>
    <w:p w14:paraId="3DB57A48" w14:textId="77777777" w:rsidR="008906D7" w:rsidRPr="003E38A1" w:rsidRDefault="008906D7" w:rsidP="008906D7">
      <w:pPr>
        <w:rPr>
          <w:rFonts w:asciiTheme="majorBidi" w:hAnsiTheme="majorBidi" w:cstheme="majorBidi"/>
          <w:sz w:val="24"/>
          <w:szCs w:val="24"/>
        </w:rPr>
      </w:pPr>
    </w:p>
    <w:p w14:paraId="7620FD7C" w14:textId="77777777" w:rsidR="008906D7" w:rsidRPr="003774AB" w:rsidRDefault="008906D7" w:rsidP="008906D7">
      <w:pPr>
        <w:rPr>
          <w:rFonts w:asciiTheme="majorBidi" w:hAnsiTheme="majorBidi" w:cstheme="majorBidi"/>
          <w:sz w:val="24"/>
          <w:szCs w:val="24"/>
        </w:rPr>
      </w:pPr>
      <w:r w:rsidRPr="003774AB">
        <w:rPr>
          <w:rFonts w:asciiTheme="majorBidi" w:hAnsiTheme="majorBidi" w:cstheme="majorBidi"/>
          <w:sz w:val="24"/>
          <w:szCs w:val="24"/>
        </w:rPr>
        <w:t xml:space="preserve">In the present case, the diabetic foot ulcer represented the most likely portal of entry. Cutaneous and soft tissue infections are well-known sources of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bacteremia, and the presence of prosthetic cardiac material significantly increases the probability of secondary endocardial seeding [6]. This highlights the importance of systematic echocardiographic evaluation in all patients with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bacteremia, especially those with intracardiac prostheses.</w:t>
      </w:r>
    </w:p>
    <w:p w14:paraId="121030EA"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2. Diagnostic Challenges and Role of Multimodal Imaging</w:t>
      </w:r>
    </w:p>
    <w:p w14:paraId="123139F5"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Diagnosis of PVE remains challenging due to the limited sensitivity of transthoracic echocardiography (TTE) in detecting vegetations and peri-annular complications in prosthetic valves. Acoustic shadowing and reverberation artifacts frequently obscure relevant findings [2]. Current guidelines strongly recommend transesophageal echocardiography (TEE) as the </w:t>
      </w:r>
      <w:r w:rsidRPr="003774AB">
        <w:rPr>
          <w:rFonts w:asciiTheme="majorBidi" w:hAnsiTheme="majorBidi" w:cstheme="majorBidi"/>
          <w:sz w:val="24"/>
          <w:szCs w:val="24"/>
        </w:rPr>
        <w:lastRenderedPageBreak/>
        <w:t>imaging modality of choice in suspected PVE, with repeat examinations when clinical suspicion persists despite initial negative findings [2,7].</w:t>
      </w:r>
    </w:p>
    <w:p w14:paraId="0589214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In this patient, TTE performed early during hospitalization was non-diagnostic, whereas subsequent TEE revealed a mobile vegetation and thickening of the mitro-aortic trigone suggestive of early abscess formation. These findings underscore the incremental diagnostic value of TEE, particularly for peri-annular extension, which is a hallmark of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PVE.</w:t>
      </w:r>
    </w:p>
    <w:p w14:paraId="78CE8040"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Beyond echocardiography, ^18F-FDG PET/CT has emerged as a major diagnostic tool for PVE, especially in prosthetic valves, where metabolic imaging can detect inflammatory activity not yet associated with anatomical changes [9]. In our case, PET/CT not only confirmed aortic bioprosthetic infection but also identified probable infection of both knee prostheses, illustrating its value in the assessment of extracardiac septic emboli and metastatic infections. PET/CT findings are now incorporated as major criteria in the ESC diagnostic algorithm for PVE [2].</w:t>
      </w:r>
    </w:p>
    <w:p w14:paraId="251B00D3"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3. Systemic Embolic and Metastatic Complications</w:t>
      </w:r>
    </w:p>
    <w:p w14:paraId="17FB75F2"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Systemic embolization is a frequent and severe complication of IE, occurring in approximately one-third of cases and more commonly in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infections [4,8]. Neurological emboli represent the most feared complication due to their impact on prognosis and therapeutic strategy. In this case, brain MRI demonstrated multiple punctiform ischemic lesions, consistent with embolic dissemination, with subsequent recurrence despite appropriate antimicrobial therapy.</w:t>
      </w:r>
    </w:p>
    <w:p w14:paraId="24E88FD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 xml:space="preserve">MRI also identified spinal and osteoarticular involvement, consistent with the recognized association between IE and vertebral osteomyelitis or spondylodiscitis, particularly in </w:t>
      </w:r>
      <w:r w:rsidRPr="003774AB">
        <w:rPr>
          <w:rFonts w:asciiTheme="majorBidi" w:hAnsiTheme="majorBidi" w:cstheme="majorBidi"/>
          <w:i/>
          <w:iCs/>
          <w:sz w:val="24"/>
          <w:szCs w:val="24"/>
        </w:rPr>
        <w:t>S. aureus</w:t>
      </w:r>
      <w:r w:rsidRPr="003774AB">
        <w:rPr>
          <w:rFonts w:asciiTheme="majorBidi" w:hAnsiTheme="majorBidi" w:cstheme="majorBidi"/>
          <w:sz w:val="24"/>
          <w:szCs w:val="24"/>
        </w:rPr>
        <w:t xml:space="preserve"> bacteremia [10]. The coexistence of cardiac, neurological, and musculoskeletal involvement emphasizes the systemic nature of IE and reinforces the need for comprehensive imaging in patients with persistent inflammatory syndrome or focal symptoms.</w:t>
      </w:r>
    </w:p>
    <w:p w14:paraId="08E31D86"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4. Antimicrobial Therapy in MSSA Prosthetic Valve Endocarditis</w:t>
      </w:r>
    </w:p>
    <w:p w14:paraId="0BF05F2C"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Optimal antimicrobial therapy in MSSA PVE requires prolonged intravenous administration of a β-lactam antibiotic, such as cefazolin or nafcillin, often combined with rifampicin to enhance biofilm penetration on prosthetic material [3,11]. Although aminoglycosides have historically been used as adjunctive therapy, their benefit remains controversial, and they are currently recommended only for short durations in selected cases due to nephrotoxicity risk [2].</w:t>
      </w:r>
    </w:p>
    <w:p w14:paraId="1F7FC505"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In this patient, targeted antibiotic therapy achieved microbiological clearance, as evidenced by negative blood cultures. However, microbiological control alone does not preclude disease progression, especially when peri-annular extension or embolic events persist.</w:t>
      </w:r>
    </w:p>
    <w:p w14:paraId="03B626D7"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5. Indications and Timing of Surgery</w:t>
      </w:r>
    </w:p>
    <w:p w14:paraId="7DFCA74C"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Surgical management plays a central role in the treatment of complicated PVE. Current ESC and ACC/AHA guidelines identify several Class I indications for surgery, including peri-annular complications (abscess or pseudoaneurysm), recurrent embolization, persistent infection, and prosthetic valve dysfunction [2,5,7].</w:t>
      </w:r>
    </w:p>
    <w:p w14:paraId="60AAFA5B"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lastRenderedPageBreak/>
        <w:t>The present case met multiple surgical criteria: suspected peri-annular abscess, recurrent cerebral embolization, and increasing transprosthetic gradients. Importantly, neurological complications do not necessarily contraindicate early surgery, particularly in the absence of intracranial hemorrhage or severe neurological deficit [8]. Delayed surgical intervention in such cases has been associated with worse outcomes and increased mortality [1,5].</w:t>
      </w:r>
    </w:p>
    <w:p w14:paraId="1A5356B1" w14:textId="77777777" w:rsidR="009A684A" w:rsidRPr="003774AB" w:rsidRDefault="009A684A" w:rsidP="009A684A">
      <w:pPr>
        <w:rPr>
          <w:rFonts w:asciiTheme="majorBidi" w:hAnsiTheme="majorBidi" w:cstheme="majorBidi"/>
          <w:b/>
          <w:bCs/>
          <w:sz w:val="24"/>
          <w:szCs w:val="24"/>
        </w:rPr>
      </w:pPr>
      <w:r w:rsidRPr="003774AB">
        <w:rPr>
          <w:rFonts w:asciiTheme="majorBidi" w:hAnsiTheme="majorBidi" w:cstheme="majorBidi"/>
          <w:b/>
          <w:bCs/>
          <w:sz w:val="24"/>
          <w:szCs w:val="24"/>
        </w:rPr>
        <w:t>6. Multidisciplinary “Endocarditis Team” Approach</w:t>
      </w:r>
    </w:p>
    <w:p w14:paraId="0A3191C8" w14:textId="77777777" w:rsidR="009A684A" w:rsidRPr="003774AB" w:rsidRDefault="009A684A" w:rsidP="009A684A">
      <w:pPr>
        <w:rPr>
          <w:rFonts w:asciiTheme="majorBidi" w:hAnsiTheme="majorBidi" w:cstheme="majorBidi"/>
          <w:sz w:val="24"/>
          <w:szCs w:val="24"/>
        </w:rPr>
      </w:pPr>
      <w:r w:rsidRPr="003774AB">
        <w:rPr>
          <w:rFonts w:asciiTheme="majorBidi" w:hAnsiTheme="majorBidi" w:cstheme="majorBidi"/>
          <w:sz w:val="24"/>
          <w:szCs w:val="24"/>
        </w:rPr>
        <w:t>This case also illustrates the importance of a multidisciplinary Endocarditis Team, as recommended by international guidelines [2]. The complexity of decision-making in PVE, particularly in elderly patients with multiple comorbidities and extracardiac complications, necessitates collaboration between cardiology, cardiac surgery, infectious diseases, neurology, radiology, and anesthesiology. Multidisciplinary management has been shown to improve diagnostic accuracy, reduce time to surgery, and improve survival.</w:t>
      </w:r>
    </w:p>
    <w:p w14:paraId="2AB25217" w14:textId="77777777" w:rsidR="009A684A" w:rsidRPr="003774AB" w:rsidRDefault="00A64FB0" w:rsidP="009A684A">
      <w:pPr>
        <w:rPr>
          <w:rFonts w:asciiTheme="majorBidi" w:hAnsiTheme="majorBidi" w:cstheme="majorBidi"/>
          <w:sz w:val="24"/>
          <w:szCs w:val="24"/>
        </w:rPr>
      </w:pPr>
      <w:r>
        <w:rPr>
          <w:rFonts w:asciiTheme="majorBidi" w:hAnsiTheme="majorBidi" w:cstheme="majorBidi"/>
          <w:sz w:val="24"/>
          <w:szCs w:val="24"/>
        </w:rPr>
        <w:pict w14:anchorId="4D400205">
          <v:rect id="_x0000_i1028" style="width:0;height:1.5pt" o:hralign="center" o:hrstd="t" o:hr="t" fillcolor="#a0a0a0" stroked="f"/>
        </w:pict>
      </w:r>
    </w:p>
    <w:p w14:paraId="16040B2F" w14:textId="77777777" w:rsidR="009A684A" w:rsidRPr="005365C0" w:rsidRDefault="009A684A" w:rsidP="009A684A">
      <w:pPr>
        <w:rPr>
          <w:rFonts w:asciiTheme="majorBidi" w:hAnsiTheme="majorBidi" w:cstheme="majorBidi"/>
          <w:b/>
          <w:bCs/>
          <w:sz w:val="24"/>
          <w:szCs w:val="24"/>
        </w:rPr>
      </w:pPr>
    </w:p>
    <w:p w14:paraId="0AE02289" w14:textId="77777777" w:rsidR="004105D5" w:rsidRPr="004105D5" w:rsidRDefault="004105D5" w:rsidP="004105D5">
      <w:pPr>
        <w:rPr>
          <w:rFonts w:asciiTheme="majorBidi" w:hAnsiTheme="majorBidi" w:cstheme="majorBidi"/>
          <w:b/>
          <w:bCs/>
          <w:sz w:val="24"/>
          <w:szCs w:val="24"/>
        </w:rPr>
      </w:pPr>
      <w:r w:rsidRPr="004105D5">
        <w:rPr>
          <w:rFonts w:asciiTheme="majorBidi" w:hAnsiTheme="majorBidi" w:cstheme="majorBidi"/>
          <w:b/>
          <w:bCs/>
          <w:sz w:val="24"/>
          <w:szCs w:val="24"/>
        </w:rPr>
        <w:t>Conclusion</w:t>
      </w:r>
    </w:p>
    <w:p w14:paraId="7A534137" w14:textId="77777777" w:rsidR="004105D5" w:rsidRPr="004105D5" w:rsidRDefault="004105D5" w:rsidP="004105D5">
      <w:pPr>
        <w:rPr>
          <w:rFonts w:asciiTheme="majorBidi" w:hAnsiTheme="majorBidi" w:cstheme="majorBidi"/>
          <w:bCs/>
          <w:sz w:val="24"/>
          <w:szCs w:val="24"/>
        </w:rPr>
      </w:pPr>
      <w:r w:rsidRPr="004105D5">
        <w:rPr>
          <w:rFonts w:asciiTheme="majorBidi" w:hAnsiTheme="majorBidi" w:cstheme="majorBidi"/>
          <w:bCs/>
          <w:sz w:val="24"/>
          <w:szCs w:val="24"/>
        </w:rPr>
        <w:t>This case highlights the aggressive nature of methicillin-susceptible Staphylococcus aureus prosthetic valve endocarditis, emphasizing the importance of early multidisciplinary evaluation and surgical intervention. Multimodal imaging, including PET/CT, played a crucial role in diagnosis and guiding management, leading to a favorable outcome with prolonged antibiotic therapy and surgery.</w:t>
      </w:r>
    </w:p>
    <w:p w14:paraId="19BF32CF" w14:textId="77777777" w:rsidR="004105D5" w:rsidRDefault="004105D5" w:rsidP="004105D5">
      <w:pPr>
        <w:rPr>
          <w:rFonts w:asciiTheme="majorBidi" w:hAnsiTheme="majorBidi" w:cstheme="majorBidi"/>
          <w:b/>
          <w:bCs/>
          <w:sz w:val="24"/>
          <w:szCs w:val="24"/>
        </w:rPr>
      </w:pPr>
    </w:p>
    <w:p w14:paraId="342DC0D9" w14:textId="66F9D722" w:rsidR="009A684A" w:rsidRPr="003774AB" w:rsidRDefault="009A684A" w:rsidP="004105D5">
      <w:pPr>
        <w:rPr>
          <w:rFonts w:asciiTheme="majorBidi" w:hAnsiTheme="majorBidi" w:cstheme="majorBidi"/>
          <w:b/>
          <w:bCs/>
          <w:sz w:val="24"/>
          <w:szCs w:val="24"/>
        </w:rPr>
      </w:pPr>
      <w:r w:rsidRPr="003774AB">
        <w:rPr>
          <w:rFonts w:asciiTheme="majorBidi" w:hAnsiTheme="majorBidi" w:cstheme="majorBidi"/>
          <w:b/>
          <w:bCs/>
          <w:sz w:val="24"/>
          <w:szCs w:val="24"/>
        </w:rPr>
        <w:t>Key Learning Points</w:t>
      </w:r>
    </w:p>
    <w:p w14:paraId="5A4C1634"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i/>
          <w:iCs/>
          <w:sz w:val="24"/>
          <w:szCs w:val="24"/>
        </w:rPr>
        <w:t>Staphylococcus aureus</w:t>
      </w:r>
      <w:r w:rsidRPr="003774AB">
        <w:rPr>
          <w:rFonts w:asciiTheme="majorBidi" w:hAnsiTheme="majorBidi" w:cstheme="majorBidi"/>
          <w:sz w:val="24"/>
          <w:szCs w:val="24"/>
        </w:rPr>
        <w:t xml:space="preserve"> prosthetic valve endocarditis is a highly aggressive condition with a high risk of peri-annular extension and systemic embolization.</w:t>
      </w:r>
    </w:p>
    <w:p w14:paraId="33FCACC5"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Transesophageal echocardiography and multimodality imaging, including PET/CT, are essential for accurate diagnosis and assessment of disease extent.</w:t>
      </w:r>
    </w:p>
    <w:p w14:paraId="7F7CE046"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Microbiological clearance does not exclude ongoing structural or embolic complications.</w:t>
      </w:r>
    </w:p>
    <w:p w14:paraId="74B4CE0B" w14:textId="77777777" w:rsidR="009A684A" w:rsidRPr="003774AB"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Early surgical evaluation is mandatory in the presence of peri-annular abscess or recurrent embolization.</w:t>
      </w:r>
    </w:p>
    <w:p w14:paraId="57517C7F" w14:textId="04493D3C" w:rsidR="009A684A" w:rsidRDefault="009A684A" w:rsidP="009A684A">
      <w:pPr>
        <w:numPr>
          <w:ilvl w:val="0"/>
          <w:numId w:val="1"/>
        </w:numPr>
        <w:rPr>
          <w:rFonts w:asciiTheme="majorBidi" w:hAnsiTheme="majorBidi" w:cstheme="majorBidi"/>
          <w:sz w:val="24"/>
          <w:szCs w:val="24"/>
        </w:rPr>
      </w:pPr>
      <w:r w:rsidRPr="003774AB">
        <w:rPr>
          <w:rFonts w:asciiTheme="majorBidi" w:hAnsiTheme="majorBidi" w:cstheme="majorBidi"/>
          <w:sz w:val="24"/>
          <w:szCs w:val="24"/>
        </w:rPr>
        <w:t>A multidisciplinary Endocarditis Team approach is crucial to optimize patient outcomes.</w:t>
      </w:r>
    </w:p>
    <w:p w14:paraId="08BED45B" w14:textId="205393F4" w:rsidR="00DE5D96" w:rsidRDefault="00DE5D96" w:rsidP="00DE5D96">
      <w:pPr>
        <w:rPr>
          <w:rFonts w:asciiTheme="majorBidi" w:hAnsiTheme="majorBidi" w:cstheme="majorBidi"/>
          <w:sz w:val="24"/>
          <w:szCs w:val="24"/>
        </w:rPr>
      </w:pPr>
    </w:p>
    <w:p w14:paraId="7697A71B" w14:textId="371B0E02" w:rsidR="00080B90" w:rsidRPr="00080B90" w:rsidRDefault="00080B90" w:rsidP="00080B90">
      <w:pPr>
        <w:rPr>
          <w:rFonts w:asciiTheme="majorBidi" w:hAnsiTheme="majorBidi" w:cstheme="majorBidi"/>
          <w:b/>
          <w:sz w:val="24"/>
          <w:szCs w:val="24"/>
        </w:rPr>
      </w:pPr>
      <w:r w:rsidRPr="00080B90">
        <w:rPr>
          <w:rFonts w:asciiTheme="majorBidi" w:hAnsiTheme="majorBidi" w:cstheme="majorBidi"/>
          <w:b/>
          <w:sz w:val="24"/>
          <w:szCs w:val="24"/>
        </w:rPr>
        <w:t>Ethical Approval</w:t>
      </w:r>
    </w:p>
    <w:p w14:paraId="415FBC33" w14:textId="29B5E5A5" w:rsidR="00080B90" w:rsidRDefault="00080B90" w:rsidP="00080B90">
      <w:pPr>
        <w:rPr>
          <w:rFonts w:asciiTheme="majorBidi" w:hAnsiTheme="majorBidi" w:cstheme="majorBidi"/>
          <w:sz w:val="24"/>
          <w:szCs w:val="24"/>
        </w:rPr>
      </w:pPr>
      <w:r w:rsidRPr="00080B90">
        <w:rPr>
          <w:rFonts w:asciiTheme="majorBidi" w:hAnsiTheme="majorBidi" w:cstheme="majorBidi"/>
          <w:sz w:val="24"/>
          <w:szCs w:val="24"/>
        </w:rPr>
        <w:t>As per international standards or university standards written ethical approval has been collected and preserved by the author(s).</w:t>
      </w:r>
    </w:p>
    <w:p w14:paraId="4237B725" w14:textId="77777777" w:rsidR="00080B90" w:rsidRDefault="00080B90" w:rsidP="00080B90">
      <w:pPr>
        <w:rPr>
          <w:rFonts w:asciiTheme="majorBidi" w:hAnsiTheme="majorBidi" w:cstheme="majorBidi"/>
          <w:sz w:val="24"/>
          <w:szCs w:val="24"/>
        </w:rPr>
      </w:pPr>
    </w:p>
    <w:p w14:paraId="5F77182E" w14:textId="77777777" w:rsidR="00080B90" w:rsidRPr="00080B90" w:rsidRDefault="00080B90" w:rsidP="00080B90">
      <w:pPr>
        <w:spacing w:after="200" w:line="276" w:lineRule="auto"/>
        <w:rPr>
          <w:rFonts w:ascii="Calibri" w:eastAsia="Calibri" w:hAnsi="Calibri" w:cs="Times New Roman"/>
          <w:b/>
          <w:sz w:val="28"/>
          <w:lang w:val="en-US"/>
          <w14:ligatures w14:val="none"/>
        </w:rPr>
      </w:pPr>
      <w:bookmarkStart w:id="0" w:name="_Hlk218867759"/>
      <w:bookmarkStart w:id="1" w:name="_GoBack"/>
      <w:bookmarkEnd w:id="1"/>
      <w:r w:rsidRPr="00080B90">
        <w:rPr>
          <w:rFonts w:ascii="Calibri" w:eastAsia="Calibri" w:hAnsi="Calibri" w:cs="Times New Roman"/>
          <w:b/>
          <w:sz w:val="28"/>
          <w:lang w:val="en-US"/>
          <w14:ligatures w14:val="none"/>
        </w:rPr>
        <w:lastRenderedPageBreak/>
        <w:t xml:space="preserve">Consent </w:t>
      </w:r>
    </w:p>
    <w:p w14:paraId="76E77D11" w14:textId="77777777" w:rsidR="00080B90" w:rsidRPr="00080B90" w:rsidRDefault="00080B90" w:rsidP="00080B90">
      <w:pPr>
        <w:spacing w:after="200" w:line="276" w:lineRule="auto"/>
        <w:rPr>
          <w:rFonts w:ascii="Calibri" w:eastAsia="Calibri" w:hAnsi="Calibri" w:cs="Times New Roman"/>
          <w:lang w:val="en-US"/>
          <w14:ligatures w14:val="none"/>
        </w:rPr>
      </w:pPr>
      <w:r w:rsidRPr="00080B90">
        <w:rPr>
          <w:rFonts w:ascii="Calibri" w:eastAsia="Calibri" w:hAnsi="Calibri" w:cs="Times New Roman"/>
          <w:lang w:val="en-US"/>
          <w14:ligatures w14:val="none"/>
        </w:rPr>
        <w:t>As per international standards or university standards, patient(s) written consent has been collected and preserved by the author(s).</w:t>
      </w:r>
    </w:p>
    <w:p w14:paraId="2248E1D6" w14:textId="77777777" w:rsidR="00080B90" w:rsidRDefault="00080B90" w:rsidP="00E22367">
      <w:pPr>
        <w:keepNext/>
        <w:keepLines/>
        <w:spacing w:before="120" w:after="120" w:line="360" w:lineRule="auto"/>
        <w:jc w:val="both"/>
        <w:outlineLvl w:val="1"/>
        <w:rPr>
          <w:rFonts w:ascii="Times New Roman" w:eastAsia="Times New Roman" w:hAnsi="Times New Roman" w:cs="Times New Roman"/>
          <w:b/>
          <w:sz w:val="24"/>
          <w:szCs w:val="24"/>
          <w:u w:val="single"/>
          <w:lang w:eastAsia="en-IN"/>
        </w:rPr>
      </w:pPr>
    </w:p>
    <w:p w14:paraId="390BE315" w14:textId="77777777" w:rsidR="00080B90" w:rsidRDefault="00080B90" w:rsidP="00E22367">
      <w:pPr>
        <w:keepNext/>
        <w:keepLines/>
        <w:spacing w:before="120" w:after="120" w:line="360" w:lineRule="auto"/>
        <w:jc w:val="both"/>
        <w:outlineLvl w:val="1"/>
        <w:rPr>
          <w:rFonts w:ascii="Times New Roman" w:eastAsia="Times New Roman" w:hAnsi="Times New Roman" w:cs="Times New Roman"/>
          <w:b/>
          <w:sz w:val="24"/>
          <w:szCs w:val="24"/>
          <w:u w:val="single"/>
          <w:lang w:eastAsia="en-IN"/>
        </w:rPr>
      </w:pPr>
    </w:p>
    <w:p w14:paraId="770FF561" w14:textId="610C89B6" w:rsidR="00E22367" w:rsidRPr="008906D7" w:rsidRDefault="00E22367" w:rsidP="00E22367">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8906D7">
        <w:rPr>
          <w:rFonts w:ascii="Times New Roman" w:eastAsia="Times New Roman" w:hAnsi="Times New Roman" w:cs="Times New Roman"/>
          <w:b/>
          <w:sz w:val="24"/>
          <w:szCs w:val="24"/>
          <w:u w:val="single"/>
          <w:lang w:eastAsia="en-IN"/>
        </w:rPr>
        <w:t xml:space="preserve">Disclaimer </w:t>
      </w:r>
      <w:r w:rsidR="008906D7" w:rsidRPr="008906D7">
        <w:rPr>
          <w:rFonts w:ascii="Times New Roman" w:eastAsia="Times New Roman" w:hAnsi="Times New Roman" w:cs="Times New Roman"/>
          <w:bCs/>
          <w:sz w:val="24"/>
          <w:szCs w:val="24"/>
          <w:lang w:eastAsia="en-IN"/>
        </w:rPr>
        <w:t>:</w:t>
      </w:r>
    </w:p>
    <w:p w14:paraId="3A459455" w14:textId="77777777" w:rsidR="00E22367" w:rsidRPr="006D64AE" w:rsidRDefault="00E22367" w:rsidP="00E22367">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8906D7">
        <w:rPr>
          <w:rFonts w:ascii="Times New Roman" w:eastAsia="Times New Roman" w:hAnsi="Times New Roman" w:cs="Times New Roman"/>
          <w:bCs/>
          <w:sz w:val="24"/>
          <w:szCs w:val="24"/>
          <w:lang w:eastAsia="en-IN"/>
        </w:rPr>
        <w:t>Author(s) hereby declare that NO generative AI technologies such as Large Language Models (ChatGPT,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p>
    <w:bookmarkEnd w:id="0"/>
    <w:p w14:paraId="6C2201C1" w14:textId="77777777" w:rsidR="009A684A" w:rsidRPr="005365C0" w:rsidRDefault="009A684A" w:rsidP="009A684A">
      <w:pPr>
        <w:rPr>
          <w:rFonts w:asciiTheme="majorBidi" w:hAnsiTheme="majorBidi" w:cstheme="majorBidi"/>
          <w:sz w:val="24"/>
          <w:szCs w:val="24"/>
        </w:rPr>
      </w:pPr>
    </w:p>
    <w:p w14:paraId="6FAA3F59" w14:textId="77777777" w:rsidR="009A684A" w:rsidRPr="007C56EC" w:rsidRDefault="009A684A" w:rsidP="009A684A">
      <w:pPr>
        <w:rPr>
          <w:rFonts w:asciiTheme="majorBidi" w:hAnsiTheme="majorBidi" w:cstheme="majorBidi"/>
          <w:b/>
          <w:bCs/>
          <w:sz w:val="24"/>
          <w:szCs w:val="24"/>
        </w:rPr>
      </w:pPr>
      <w:r w:rsidRPr="007C56EC">
        <w:rPr>
          <w:rFonts w:asciiTheme="majorBidi" w:hAnsiTheme="majorBidi" w:cstheme="majorBidi"/>
          <w:b/>
          <w:bCs/>
          <w:sz w:val="24"/>
          <w:szCs w:val="24"/>
        </w:rPr>
        <w:t>References</w:t>
      </w:r>
    </w:p>
    <w:p w14:paraId="714D2B72"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Wang A, Athan E, Pappas PA, et al. Contemporary clinical profile and outcome of prosthetic valve endocarditis. </w:t>
      </w:r>
      <w:r w:rsidRPr="007C56EC">
        <w:rPr>
          <w:rFonts w:asciiTheme="majorBidi" w:hAnsiTheme="majorBidi" w:cstheme="majorBidi"/>
          <w:b/>
          <w:bCs/>
          <w:sz w:val="24"/>
          <w:szCs w:val="24"/>
        </w:rPr>
        <w:t>JAMA</w:t>
      </w:r>
      <w:r w:rsidRPr="007C56EC">
        <w:rPr>
          <w:rFonts w:asciiTheme="majorBidi" w:hAnsiTheme="majorBidi" w:cstheme="majorBidi"/>
          <w:sz w:val="24"/>
          <w:szCs w:val="24"/>
        </w:rPr>
        <w:t>. 2007;297(12):1354–1361.</w:t>
      </w:r>
    </w:p>
    <w:p w14:paraId="3888A6D5"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Habib G, Lancellotti P, Antunes MJ, et al. 2015 ESC Guidelines for the management of infective endocarditis. </w:t>
      </w:r>
      <w:r w:rsidRPr="007C56EC">
        <w:rPr>
          <w:rFonts w:asciiTheme="majorBidi" w:hAnsiTheme="majorBidi" w:cstheme="majorBidi"/>
          <w:b/>
          <w:bCs/>
          <w:sz w:val="24"/>
          <w:szCs w:val="24"/>
        </w:rPr>
        <w:t>Eur Heart J</w:t>
      </w:r>
      <w:r w:rsidRPr="007C56EC">
        <w:rPr>
          <w:rFonts w:asciiTheme="majorBidi" w:hAnsiTheme="majorBidi" w:cstheme="majorBidi"/>
          <w:sz w:val="24"/>
          <w:szCs w:val="24"/>
        </w:rPr>
        <w:t>. 2015;36(44):3075–3128.</w:t>
      </w:r>
    </w:p>
    <w:p w14:paraId="6D74FAF0"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Baddour LM, Wilson WR, Bayer AS, et al. Infective endocarditis in adults: diagnosis, antimicrobial therapy, and management of complications. </w:t>
      </w:r>
      <w:r w:rsidRPr="007C56EC">
        <w:rPr>
          <w:rFonts w:asciiTheme="majorBidi" w:hAnsiTheme="majorBidi" w:cstheme="majorBidi"/>
          <w:b/>
          <w:bCs/>
          <w:sz w:val="24"/>
          <w:szCs w:val="24"/>
        </w:rPr>
        <w:t>Circulation</w:t>
      </w:r>
      <w:r w:rsidRPr="007C56EC">
        <w:rPr>
          <w:rFonts w:asciiTheme="majorBidi" w:hAnsiTheme="majorBidi" w:cstheme="majorBidi"/>
          <w:sz w:val="24"/>
          <w:szCs w:val="24"/>
        </w:rPr>
        <w:t>. 2015;132(15):1435–1486.</w:t>
      </w:r>
    </w:p>
    <w:p w14:paraId="3BCBC6EB"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Fowler VG Jr, Miro JM, Hoen B, et al. </w:t>
      </w:r>
      <w:r w:rsidRPr="007C56EC">
        <w:rPr>
          <w:rFonts w:asciiTheme="majorBidi" w:hAnsiTheme="majorBidi" w:cstheme="majorBidi"/>
          <w:i/>
          <w:iCs/>
          <w:sz w:val="24"/>
          <w:szCs w:val="24"/>
        </w:rPr>
        <w:t>Staphylococcus aureus</w:t>
      </w:r>
      <w:r w:rsidRPr="007C56EC">
        <w:rPr>
          <w:rFonts w:asciiTheme="majorBidi" w:hAnsiTheme="majorBidi" w:cstheme="majorBidi"/>
          <w:sz w:val="24"/>
          <w:szCs w:val="24"/>
        </w:rPr>
        <w:t xml:space="preserve"> endocarditis: a consequence of medical progress. </w:t>
      </w:r>
      <w:r w:rsidRPr="007C56EC">
        <w:rPr>
          <w:rFonts w:asciiTheme="majorBidi" w:hAnsiTheme="majorBidi" w:cstheme="majorBidi"/>
          <w:b/>
          <w:bCs/>
          <w:sz w:val="24"/>
          <w:szCs w:val="24"/>
        </w:rPr>
        <w:t>JAMA</w:t>
      </w:r>
      <w:r w:rsidRPr="007C56EC">
        <w:rPr>
          <w:rFonts w:asciiTheme="majorBidi" w:hAnsiTheme="majorBidi" w:cstheme="majorBidi"/>
          <w:sz w:val="24"/>
          <w:szCs w:val="24"/>
        </w:rPr>
        <w:t>. 2005;293(24):3012–3021.</w:t>
      </w:r>
    </w:p>
    <w:p w14:paraId="139AF76C"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AATS Surgical Treatment of Infective Endocarditis Consensus Guidelines Writing Committee. Surgical treatment of infective endocarditis. </w:t>
      </w:r>
      <w:r w:rsidRPr="007C56EC">
        <w:rPr>
          <w:rFonts w:asciiTheme="majorBidi" w:hAnsiTheme="majorBidi" w:cstheme="majorBidi"/>
          <w:b/>
          <w:bCs/>
          <w:sz w:val="24"/>
          <w:szCs w:val="24"/>
        </w:rPr>
        <w:t>J Thorac Cardiovasc Surg</w:t>
      </w:r>
      <w:r w:rsidRPr="007C56EC">
        <w:rPr>
          <w:rFonts w:asciiTheme="majorBidi" w:hAnsiTheme="majorBidi" w:cstheme="majorBidi"/>
          <w:sz w:val="24"/>
          <w:szCs w:val="24"/>
        </w:rPr>
        <w:t>. 2017;153(6):1241–1258.</w:t>
      </w:r>
    </w:p>
    <w:p w14:paraId="3B1299BD"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Holland TL, Arnold C, Fowler VG Jr. Clinical management of </w:t>
      </w:r>
      <w:r w:rsidRPr="007C56EC">
        <w:rPr>
          <w:rFonts w:asciiTheme="majorBidi" w:hAnsiTheme="majorBidi" w:cstheme="majorBidi"/>
          <w:i/>
          <w:iCs/>
          <w:sz w:val="24"/>
          <w:szCs w:val="24"/>
        </w:rPr>
        <w:t>Staphylococcus aureus</w:t>
      </w:r>
      <w:r w:rsidRPr="007C56EC">
        <w:rPr>
          <w:rFonts w:asciiTheme="majorBidi" w:hAnsiTheme="majorBidi" w:cstheme="majorBidi"/>
          <w:sz w:val="24"/>
          <w:szCs w:val="24"/>
        </w:rPr>
        <w:t xml:space="preserve"> bacteremia. </w:t>
      </w:r>
      <w:r w:rsidRPr="007C56EC">
        <w:rPr>
          <w:rFonts w:asciiTheme="majorBidi" w:hAnsiTheme="majorBidi" w:cstheme="majorBidi"/>
          <w:b/>
          <w:bCs/>
          <w:sz w:val="24"/>
          <w:szCs w:val="24"/>
        </w:rPr>
        <w:t>JAMA</w:t>
      </w:r>
      <w:r w:rsidRPr="007C56EC">
        <w:rPr>
          <w:rFonts w:asciiTheme="majorBidi" w:hAnsiTheme="majorBidi" w:cstheme="majorBidi"/>
          <w:sz w:val="24"/>
          <w:szCs w:val="24"/>
        </w:rPr>
        <w:t>. 2014;312(13):1330–1341.</w:t>
      </w:r>
    </w:p>
    <w:p w14:paraId="53A0C7A4"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Otto CM, Nishimura RA, Bonow RO, et al. 2020 ACC/AHA guideline for the management of patients with valvular heart disease. </w:t>
      </w:r>
      <w:r w:rsidRPr="007C56EC">
        <w:rPr>
          <w:rFonts w:asciiTheme="majorBidi" w:hAnsiTheme="majorBidi" w:cstheme="majorBidi"/>
          <w:b/>
          <w:bCs/>
          <w:sz w:val="24"/>
          <w:szCs w:val="24"/>
        </w:rPr>
        <w:t>Circulation</w:t>
      </w:r>
      <w:r w:rsidRPr="007C56EC">
        <w:rPr>
          <w:rFonts w:asciiTheme="majorBidi" w:hAnsiTheme="majorBidi" w:cstheme="majorBidi"/>
          <w:sz w:val="24"/>
          <w:szCs w:val="24"/>
        </w:rPr>
        <w:t>. 2021;143:e72–e227.</w:t>
      </w:r>
    </w:p>
    <w:p w14:paraId="5A17D291"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Thuny F, Avierinos JF, Tribouilloy C, et al. Impact of cerebrovascular complications on mortality and neurologic outcome during infective endocarditis. </w:t>
      </w:r>
      <w:r w:rsidRPr="007C56EC">
        <w:rPr>
          <w:rFonts w:asciiTheme="majorBidi" w:hAnsiTheme="majorBidi" w:cstheme="majorBidi"/>
          <w:b/>
          <w:bCs/>
          <w:sz w:val="24"/>
          <w:szCs w:val="24"/>
        </w:rPr>
        <w:t>Circulation</w:t>
      </w:r>
      <w:r w:rsidRPr="007C56EC">
        <w:rPr>
          <w:rFonts w:asciiTheme="majorBidi" w:hAnsiTheme="majorBidi" w:cstheme="majorBidi"/>
          <w:sz w:val="24"/>
          <w:szCs w:val="24"/>
        </w:rPr>
        <w:t>. 2007;115(24):2904–2912.</w:t>
      </w:r>
    </w:p>
    <w:p w14:paraId="5EF5E568"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Pizzi MN, Roque A, Fernandez-Hidalgo N, et al. Improving the diagnosis of infective endocarditis in prosthetic valves and intracardiac devices with ^18F-FDG PET/CT. </w:t>
      </w:r>
      <w:r w:rsidRPr="007C56EC">
        <w:rPr>
          <w:rFonts w:asciiTheme="majorBidi" w:hAnsiTheme="majorBidi" w:cstheme="majorBidi"/>
          <w:b/>
          <w:bCs/>
          <w:sz w:val="24"/>
          <w:szCs w:val="24"/>
        </w:rPr>
        <w:t>J Am Coll Cardiol</w:t>
      </w:r>
      <w:r w:rsidRPr="007C56EC">
        <w:rPr>
          <w:rFonts w:asciiTheme="majorBidi" w:hAnsiTheme="majorBidi" w:cstheme="majorBidi"/>
          <w:sz w:val="24"/>
          <w:szCs w:val="24"/>
        </w:rPr>
        <w:t>. 2015;65(24):2515–2527.</w:t>
      </w:r>
    </w:p>
    <w:p w14:paraId="1A6EB3BB" w14:textId="77777777" w:rsidR="009A684A" w:rsidRPr="007C56EC"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t xml:space="preserve">Mylona E, Samarkos M, Kakalou E, et al. Pyogenic vertebral osteomyelitis: a systematic review. </w:t>
      </w:r>
      <w:r w:rsidRPr="007C56EC">
        <w:rPr>
          <w:rFonts w:asciiTheme="majorBidi" w:hAnsiTheme="majorBidi" w:cstheme="majorBidi"/>
          <w:b/>
          <w:bCs/>
          <w:sz w:val="24"/>
          <w:szCs w:val="24"/>
        </w:rPr>
        <w:t>Clin Microbiol Infect</w:t>
      </w:r>
      <w:r w:rsidRPr="007C56EC">
        <w:rPr>
          <w:rFonts w:asciiTheme="majorBidi" w:hAnsiTheme="majorBidi" w:cstheme="majorBidi"/>
          <w:sz w:val="24"/>
          <w:szCs w:val="24"/>
        </w:rPr>
        <w:t>. 2009;15(7):629–636.</w:t>
      </w:r>
    </w:p>
    <w:p w14:paraId="23F1C475" w14:textId="77777777" w:rsidR="009A684A" w:rsidRDefault="009A684A" w:rsidP="009A684A">
      <w:pPr>
        <w:numPr>
          <w:ilvl w:val="0"/>
          <w:numId w:val="2"/>
        </w:numPr>
        <w:rPr>
          <w:rFonts w:asciiTheme="majorBidi" w:hAnsiTheme="majorBidi" w:cstheme="majorBidi"/>
          <w:sz w:val="24"/>
          <w:szCs w:val="24"/>
        </w:rPr>
      </w:pPr>
      <w:r w:rsidRPr="007C56EC">
        <w:rPr>
          <w:rFonts w:asciiTheme="majorBidi" w:hAnsiTheme="majorBidi" w:cstheme="majorBidi"/>
          <w:sz w:val="24"/>
          <w:szCs w:val="24"/>
        </w:rPr>
        <w:lastRenderedPageBreak/>
        <w:t xml:space="preserve">Chambers HF, Bayer AS. Native-valve infective endocarditis. </w:t>
      </w:r>
      <w:r w:rsidRPr="007C56EC">
        <w:rPr>
          <w:rFonts w:asciiTheme="majorBidi" w:hAnsiTheme="majorBidi" w:cstheme="majorBidi"/>
          <w:b/>
          <w:bCs/>
          <w:sz w:val="24"/>
          <w:szCs w:val="24"/>
        </w:rPr>
        <w:t>N Engl J Med</w:t>
      </w:r>
      <w:r w:rsidRPr="007C56EC">
        <w:rPr>
          <w:rFonts w:asciiTheme="majorBidi" w:hAnsiTheme="majorBidi" w:cstheme="majorBidi"/>
          <w:sz w:val="24"/>
          <w:szCs w:val="24"/>
        </w:rPr>
        <w:t>. 2020;383(6):567–576.</w:t>
      </w:r>
    </w:p>
    <w:p w14:paraId="44E3FD64" w14:textId="77777777" w:rsidR="008906D7" w:rsidRPr="007C56EC" w:rsidRDefault="008906D7" w:rsidP="008906D7">
      <w:pPr>
        <w:numPr>
          <w:ilvl w:val="0"/>
          <w:numId w:val="2"/>
        </w:numPr>
        <w:rPr>
          <w:rFonts w:asciiTheme="majorBidi" w:hAnsiTheme="majorBidi" w:cstheme="majorBidi"/>
          <w:sz w:val="24"/>
          <w:szCs w:val="24"/>
        </w:rPr>
      </w:pPr>
      <w:r w:rsidRPr="003E38A1">
        <w:rPr>
          <w:rFonts w:asciiTheme="majorBidi" w:hAnsiTheme="majorBidi" w:cstheme="majorBidi"/>
          <w:sz w:val="24"/>
          <w:szCs w:val="24"/>
        </w:rPr>
        <w:t xml:space="preserve">Diego-Yagüe I, Ramos-Martínez A, Muñoz P, Martínez-Sellés M, Machado M, de Alarcón A, </w:t>
      </w:r>
      <w:r w:rsidRPr="003E38A1">
        <w:rPr>
          <w:rFonts w:asciiTheme="majorBidi" w:hAnsiTheme="majorBidi" w:cstheme="majorBidi"/>
          <w:i/>
          <w:iCs/>
          <w:sz w:val="24"/>
          <w:szCs w:val="24"/>
        </w:rPr>
        <w:t>et al.</w:t>
      </w:r>
      <w:r w:rsidRPr="003E38A1">
        <w:rPr>
          <w:rFonts w:asciiTheme="majorBidi" w:hAnsiTheme="majorBidi" w:cstheme="majorBidi"/>
          <w:sz w:val="24"/>
          <w:szCs w:val="24"/>
        </w:rPr>
        <w:br/>
        <w:t xml:space="preserve">Clinical features and prognosis of prosthetic valve endocarditis due to </w:t>
      </w:r>
      <w:r w:rsidRPr="003E38A1">
        <w:rPr>
          <w:rFonts w:asciiTheme="majorBidi" w:hAnsiTheme="majorBidi" w:cstheme="majorBidi"/>
          <w:i/>
          <w:iCs/>
          <w:sz w:val="24"/>
          <w:szCs w:val="24"/>
        </w:rPr>
        <w:t>Staphylococcus aureus</w:t>
      </w:r>
      <w:r w:rsidRPr="003E38A1">
        <w:rPr>
          <w:rFonts w:asciiTheme="majorBidi" w:hAnsiTheme="majorBidi" w:cstheme="majorBidi"/>
          <w:sz w:val="24"/>
          <w:szCs w:val="24"/>
        </w:rPr>
        <w:t>.</w:t>
      </w:r>
      <w:r w:rsidRPr="003E38A1">
        <w:rPr>
          <w:rFonts w:asciiTheme="majorBidi" w:hAnsiTheme="majorBidi" w:cstheme="majorBidi"/>
          <w:sz w:val="24"/>
          <w:szCs w:val="24"/>
        </w:rPr>
        <w:br/>
      </w:r>
      <w:r w:rsidRPr="003E38A1">
        <w:rPr>
          <w:rFonts w:asciiTheme="majorBidi" w:hAnsiTheme="majorBidi" w:cstheme="majorBidi"/>
          <w:i/>
          <w:iCs/>
          <w:sz w:val="24"/>
          <w:szCs w:val="24"/>
        </w:rPr>
        <w:t>Eur J Clin Microbiol Infect Dis</w:t>
      </w:r>
      <w:r w:rsidRPr="003E38A1">
        <w:rPr>
          <w:rFonts w:asciiTheme="majorBidi" w:hAnsiTheme="majorBidi" w:cstheme="majorBidi"/>
          <w:sz w:val="24"/>
          <w:szCs w:val="24"/>
        </w:rPr>
        <w:t>. 2024;43(10):1989–2000.</w:t>
      </w:r>
      <w:r w:rsidRPr="003E38A1">
        <w:rPr>
          <w:rFonts w:asciiTheme="majorBidi" w:hAnsiTheme="majorBidi" w:cstheme="majorBidi"/>
          <w:sz w:val="24"/>
          <w:szCs w:val="24"/>
        </w:rPr>
        <w:br/>
        <w:t>doi:10.1007/s10096-024-04745-5</w:t>
      </w:r>
    </w:p>
    <w:p w14:paraId="797CCB01" w14:textId="77777777" w:rsidR="008906D7" w:rsidRPr="005365C0" w:rsidRDefault="008906D7" w:rsidP="008906D7">
      <w:pPr>
        <w:rPr>
          <w:rFonts w:asciiTheme="majorBidi" w:hAnsiTheme="majorBidi" w:cstheme="majorBidi"/>
          <w:sz w:val="24"/>
          <w:szCs w:val="24"/>
        </w:rPr>
      </w:pPr>
    </w:p>
    <w:p w14:paraId="6330095C" w14:textId="77777777" w:rsidR="008906D7" w:rsidRPr="007C56EC" w:rsidRDefault="008906D7" w:rsidP="008906D7">
      <w:pPr>
        <w:ind w:left="720"/>
        <w:rPr>
          <w:rFonts w:asciiTheme="majorBidi" w:hAnsiTheme="majorBidi" w:cstheme="majorBidi"/>
          <w:sz w:val="24"/>
          <w:szCs w:val="24"/>
        </w:rPr>
      </w:pPr>
    </w:p>
    <w:p w14:paraId="12317532" w14:textId="77777777" w:rsidR="00D75EF0" w:rsidRPr="005365C0" w:rsidRDefault="00D75EF0">
      <w:pPr>
        <w:rPr>
          <w:rFonts w:asciiTheme="majorBidi" w:hAnsiTheme="majorBidi" w:cstheme="majorBidi"/>
          <w:sz w:val="24"/>
          <w:szCs w:val="24"/>
        </w:rPr>
      </w:pPr>
    </w:p>
    <w:sectPr w:rsidR="00D75EF0" w:rsidRPr="005365C0" w:rsidSect="009C62E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C1E9B" w14:textId="77777777" w:rsidR="00A64FB0" w:rsidRDefault="00A64FB0" w:rsidP="00D42385">
      <w:pPr>
        <w:spacing w:after="0" w:line="240" w:lineRule="auto"/>
      </w:pPr>
      <w:r>
        <w:separator/>
      </w:r>
    </w:p>
  </w:endnote>
  <w:endnote w:type="continuationSeparator" w:id="0">
    <w:p w14:paraId="0D4DA62E" w14:textId="77777777" w:rsidR="00A64FB0" w:rsidRDefault="00A64FB0" w:rsidP="00D4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7274" w14:textId="77777777" w:rsidR="00D42385" w:rsidRDefault="00D423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7595" w14:textId="77777777" w:rsidR="00D42385" w:rsidRDefault="00D423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30A18" w14:textId="77777777" w:rsidR="00D42385" w:rsidRDefault="00D4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C4A82" w14:textId="77777777" w:rsidR="00A64FB0" w:rsidRDefault="00A64FB0" w:rsidP="00D42385">
      <w:pPr>
        <w:spacing w:after="0" w:line="240" w:lineRule="auto"/>
      </w:pPr>
      <w:r>
        <w:separator/>
      </w:r>
    </w:p>
  </w:footnote>
  <w:footnote w:type="continuationSeparator" w:id="0">
    <w:p w14:paraId="35F100DA" w14:textId="77777777" w:rsidR="00A64FB0" w:rsidRDefault="00A64FB0" w:rsidP="00D4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28523" w14:textId="1D9D8C10" w:rsidR="00D42385" w:rsidRDefault="00A64FB0">
    <w:pPr>
      <w:pStyle w:val="Header"/>
    </w:pPr>
    <w:r>
      <w:rPr>
        <w:noProof/>
      </w:rPr>
      <w:pict w14:anchorId="0FB13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0251"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C3F3" w14:textId="3D74EAA3" w:rsidR="00D42385" w:rsidRDefault="00A64FB0">
    <w:pPr>
      <w:pStyle w:val="Header"/>
    </w:pPr>
    <w:r>
      <w:rPr>
        <w:noProof/>
      </w:rPr>
      <w:pict w14:anchorId="7E311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0252"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EF70" w14:textId="0F7749C0" w:rsidR="00D42385" w:rsidRDefault="00A64FB0">
    <w:pPr>
      <w:pStyle w:val="Header"/>
    </w:pPr>
    <w:r>
      <w:rPr>
        <w:noProof/>
      </w:rPr>
      <w:pict w14:anchorId="0C4D6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0250"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EB4"/>
    <w:multiLevelType w:val="multilevel"/>
    <w:tmpl w:val="915E4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EF79AB"/>
    <w:multiLevelType w:val="multilevel"/>
    <w:tmpl w:val="B626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3MzQ0MbM0srS0MDZQ0lEKTi0uzszPAykwrAUAty+KXCwAAAA="/>
  </w:docVars>
  <w:rsids>
    <w:rsidRoot w:val="009A684A"/>
    <w:rsid w:val="00080B90"/>
    <w:rsid w:val="00151292"/>
    <w:rsid w:val="001B168E"/>
    <w:rsid w:val="003B33F9"/>
    <w:rsid w:val="003F2C01"/>
    <w:rsid w:val="003F62E8"/>
    <w:rsid w:val="004105D5"/>
    <w:rsid w:val="004A3D41"/>
    <w:rsid w:val="004F7EAF"/>
    <w:rsid w:val="005365C0"/>
    <w:rsid w:val="00561237"/>
    <w:rsid w:val="005948BF"/>
    <w:rsid w:val="007E2DFD"/>
    <w:rsid w:val="008906D7"/>
    <w:rsid w:val="008F37E5"/>
    <w:rsid w:val="009114E7"/>
    <w:rsid w:val="00971A89"/>
    <w:rsid w:val="009A684A"/>
    <w:rsid w:val="009C62EC"/>
    <w:rsid w:val="00A64FB0"/>
    <w:rsid w:val="00B22000"/>
    <w:rsid w:val="00BF2B58"/>
    <w:rsid w:val="00CF3020"/>
    <w:rsid w:val="00D42385"/>
    <w:rsid w:val="00D75EF0"/>
    <w:rsid w:val="00DE5D96"/>
    <w:rsid w:val="00E22367"/>
    <w:rsid w:val="00E54579"/>
    <w:rsid w:val="00EA3A2F"/>
    <w:rsid w:val="00F2189E"/>
    <w:rsid w:val="00F30FD7"/>
    <w:rsid w:val="00FB2E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EF800"/>
  <w15:chartTrackingRefBased/>
  <w15:docId w15:val="{77DF3BFF-5EBA-4D24-97A0-158E7D54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84A"/>
  </w:style>
  <w:style w:type="paragraph" w:styleId="Heading1">
    <w:name w:val="heading 1"/>
    <w:basedOn w:val="Normal"/>
    <w:next w:val="Normal"/>
    <w:link w:val="Heading1Char"/>
    <w:uiPriority w:val="9"/>
    <w:qFormat/>
    <w:rsid w:val="009A68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68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8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8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8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8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8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8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8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8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8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8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8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8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8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8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8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84A"/>
    <w:rPr>
      <w:rFonts w:eastAsiaTheme="majorEastAsia" w:cstheme="majorBidi"/>
      <w:color w:val="272727" w:themeColor="text1" w:themeTint="D8"/>
    </w:rPr>
  </w:style>
  <w:style w:type="paragraph" w:styleId="Title">
    <w:name w:val="Title"/>
    <w:basedOn w:val="Normal"/>
    <w:next w:val="Normal"/>
    <w:link w:val="TitleChar"/>
    <w:uiPriority w:val="10"/>
    <w:qFormat/>
    <w:rsid w:val="009A68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8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8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8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84A"/>
    <w:pPr>
      <w:spacing w:before="160"/>
      <w:jc w:val="center"/>
    </w:pPr>
    <w:rPr>
      <w:i/>
      <w:iCs/>
      <w:color w:val="404040" w:themeColor="text1" w:themeTint="BF"/>
    </w:rPr>
  </w:style>
  <w:style w:type="character" w:customStyle="1" w:styleId="QuoteChar">
    <w:name w:val="Quote Char"/>
    <w:basedOn w:val="DefaultParagraphFont"/>
    <w:link w:val="Quote"/>
    <w:uiPriority w:val="29"/>
    <w:rsid w:val="009A684A"/>
    <w:rPr>
      <w:i/>
      <w:iCs/>
      <w:color w:val="404040" w:themeColor="text1" w:themeTint="BF"/>
    </w:rPr>
  </w:style>
  <w:style w:type="paragraph" w:styleId="ListParagraph">
    <w:name w:val="List Paragraph"/>
    <w:basedOn w:val="Normal"/>
    <w:uiPriority w:val="34"/>
    <w:qFormat/>
    <w:rsid w:val="009A684A"/>
    <w:pPr>
      <w:ind w:left="720"/>
      <w:contextualSpacing/>
    </w:pPr>
  </w:style>
  <w:style w:type="character" w:styleId="IntenseEmphasis">
    <w:name w:val="Intense Emphasis"/>
    <w:basedOn w:val="DefaultParagraphFont"/>
    <w:uiPriority w:val="21"/>
    <w:qFormat/>
    <w:rsid w:val="009A684A"/>
    <w:rPr>
      <w:i/>
      <w:iCs/>
      <w:color w:val="0F4761" w:themeColor="accent1" w:themeShade="BF"/>
    </w:rPr>
  </w:style>
  <w:style w:type="paragraph" w:styleId="IntenseQuote">
    <w:name w:val="Intense Quote"/>
    <w:basedOn w:val="Normal"/>
    <w:next w:val="Normal"/>
    <w:link w:val="IntenseQuoteChar"/>
    <w:uiPriority w:val="30"/>
    <w:qFormat/>
    <w:rsid w:val="009A68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84A"/>
    <w:rPr>
      <w:i/>
      <w:iCs/>
      <w:color w:val="0F4761" w:themeColor="accent1" w:themeShade="BF"/>
    </w:rPr>
  </w:style>
  <w:style w:type="character" w:styleId="IntenseReference">
    <w:name w:val="Intense Reference"/>
    <w:basedOn w:val="DefaultParagraphFont"/>
    <w:uiPriority w:val="32"/>
    <w:qFormat/>
    <w:rsid w:val="009A684A"/>
    <w:rPr>
      <w:b/>
      <w:bCs/>
      <w:smallCaps/>
      <w:color w:val="0F4761" w:themeColor="accent1" w:themeShade="BF"/>
      <w:spacing w:val="5"/>
    </w:rPr>
  </w:style>
  <w:style w:type="table" w:styleId="TableGrid">
    <w:name w:val="Table Grid"/>
    <w:basedOn w:val="TableNormal"/>
    <w:uiPriority w:val="39"/>
    <w:rsid w:val="00CF3020"/>
    <w:pPr>
      <w:spacing w:after="0" w:line="240" w:lineRule="auto"/>
    </w:pPr>
    <w:rPr>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62E8"/>
    <w:rPr>
      <w:color w:val="467886" w:themeColor="hyperlink"/>
      <w:u w:val="single"/>
    </w:rPr>
  </w:style>
  <w:style w:type="character" w:styleId="UnresolvedMention">
    <w:name w:val="Unresolved Mention"/>
    <w:basedOn w:val="DefaultParagraphFont"/>
    <w:uiPriority w:val="99"/>
    <w:semiHidden/>
    <w:unhideWhenUsed/>
    <w:rsid w:val="003F62E8"/>
    <w:rPr>
      <w:color w:val="605E5C"/>
      <w:shd w:val="clear" w:color="auto" w:fill="E1DFDD"/>
    </w:rPr>
  </w:style>
  <w:style w:type="paragraph" w:styleId="Header">
    <w:name w:val="header"/>
    <w:basedOn w:val="Normal"/>
    <w:link w:val="HeaderChar"/>
    <w:uiPriority w:val="99"/>
    <w:unhideWhenUsed/>
    <w:rsid w:val="00D42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85"/>
  </w:style>
  <w:style w:type="paragraph" w:styleId="Footer">
    <w:name w:val="footer"/>
    <w:basedOn w:val="Normal"/>
    <w:link w:val="FooterChar"/>
    <w:uiPriority w:val="99"/>
    <w:unhideWhenUsed/>
    <w:rsid w:val="00D42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2251</Words>
  <Characters>12832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Moına Wıssoıl MOHAMED ABDOULBAKI</dc:creator>
  <cp:keywords/>
  <dc:description/>
  <cp:lastModifiedBy>SDI 1158</cp:lastModifiedBy>
  <cp:revision>19</cp:revision>
  <dcterms:created xsi:type="dcterms:W3CDTF">2026-01-20T11:56:00Z</dcterms:created>
  <dcterms:modified xsi:type="dcterms:W3CDTF">2026-02-09T10:16:00Z</dcterms:modified>
</cp:coreProperties>
</file>