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8DD04" w14:textId="77777777" w:rsidR="001A4FB3" w:rsidRDefault="0015725A" w:rsidP="001A4FB3">
      <w:pPr>
        <w:spacing w:line="480" w:lineRule="auto"/>
        <w:jc w:val="right"/>
        <w:rPr>
          <w:rFonts w:ascii="Arial" w:hAnsi="Arial" w:cs="Arial"/>
          <w:b/>
        </w:rPr>
      </w:pPr>
      <w:bookmarkStart w:id="0" w:name="_Hlk219885911"/>
      <w:r w:rsidRPr="00223025">
        <w:rPr>
          <w:rFonts w:ascii="Arial" w:hAnsi="Arial" w:cs="Arial"/>
          <w:b/>
        </w:rPr>
        <w:t xml:space="preserve">Effect of Ethyl Acetate Leaf Extract of </w:t>
      </w:r>
      <w:r w:rsidRPr="007F521A">
        <w:rPr>
          <w:rFonts w:ascii="Arial" w:hAnsi="Arial" w:cs="Arial"/>
          <w:b/>
          <w:i/>
        </w:rPr>
        <w:t>Gliricidia sepium</w:t>
      </w:r>
      <w:r w:rsidRPr="00223025">
        <w:rPr>
          <w:rFonts w:ascii="Arial" w:hAnsi="Arial" w:cs="Arial"/>
          <w:b/>
        </w:rPr>
        <w:t xml:space="preserve"> on Thyroid and Reproductive Hormone Profiles in Wistar Rats </w:t>
      </w:r>
    </w:p>
    <w:p w14:paraId="3FB87290" w14:textId="77777777" w:rsidR="0015725A" w:rsidRPr="001A4FB3" w:rsidRDefault="0015725A" w:rsidP="00223025">
      <w:pPr>
        <w:spacing w:line="480" w:lineRule="auto"/>
        <w:jc w:val="right"/>
        <w:rPr>
          <w:rFonts w:ascii="Arial" w:hAnsi="Arial" w:cs="Arial"/>
        </w:rPr>
      </w:pPr>
      <w:bookmarkStart w:id="1" w:name="_GoBack"/>
      <w:bookmarkEnd w:id="1"/>
    </w:p>
    <w:p w14:paraId="3B248B71" w14:textId="77777777" w:rsidR="001A4FB3" w:rsidRPr="001A4FB3" w:rsidRDefault="001A4FB3" w:rsidP="00223025">
      <w:pPr>
        <w:spacing w:line="480" w:lineRule="auto"/>
        <w:jc w:val="right"/>
        <w:rPr>
          <w:rFonts w:ascii="Arial" w:hAnsi="Arial" w:cs="Arial"/>
        </w:rPr>
      </w:pPr>
    </w:p>
    <w:bookmarkEnd w:id="0"/>
    <w:p w14:paraId="26830CCA" w14:textId="4E9A9D8D" w:rsidR="009035F6" w:rsidRPr="001A4FB3" w:rsidRDefault="005E1973" w:rsidP="00223025">
      <w:pPr>
        <w:spacing w:line="480" w:lineRule="auto"/>
        <w:jc w:val="right"/>
        <w:rPr>
          <w:rFonts w:ascii="Arial" w:hAnsi="Arial" w:cs="Arial"/>
        </w:rPr>
      </w:pPr>
      <w:r w:rsidRPr="001A4FB3">
        <w:rPr>
          <w:rFonts w:ascii="Arial" w:hAnsi="Arial" w:cs="Arial"/>
        </w:rPr>
        <w:t xml:space="preserve">Original research article </w:t>
      </w:r>
    </w:p>
    <w:p w14:paraId="738EACCC" w14:textId="77777777" w:rsidR="00F32F43" w:rsidRDefault="0015725A" w:rsidP="00303C9E">
      <w:pPr>
        <w:spacing w:line="240" w:lineRule="auto"/>
        <w:jc w:val="both"/>
        <w:rPr>
          <w:rFonts w:ascii="Arial" w:hAnsi="Arial" w:cs="Arial"/>
          <w:b/>
        </w:rPr>
      </w:pPr>
      <w:r w:rsidRPr="00303C9E">
        <w:rPr>
          <w:rFonts w:ascii="Arial" w:hAnsi="Arial" w:cs="Arial"/>
          <w: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F32F43" w:rsidRPr="001E44FE" w14:paraId="3E4A1F66" w14:textId="77777777" w:rsidTr="00140757">
        <w:tc>
          <w:tcPr>
            <w:tcW w:w="9576" w:type="dxa"/>
            <w:shd w:val="clear" w:color="auto" w:fill="F2F2F2"/>
          </w:tcPr>
          <w:p w14:paraId="4387FBE1" w14:textId="77777777" w:rsidR="00F32F43" w:rsidRPr="00303C9E" w:rsidRDefault="00F32F43" w:rsidP="00140757">
            <w:pPr>
              <w:spacing w:line="240" w:lineRule="auto"/>
              <w:jc w:val="both"/>
              <w:rPr>
                <w:rFonts w:ascii="Arial" w:hAnsi="Arial" w:cs="Arial"/>
                <w:b/>
              </w:rPr>
            </w:pPr>
            <w:r w:rsidRPr="00303C9E">
              <w:rPr>
                <w:rFonts w:ascii="Arial" w:hAnsi="Arial" w:cs="Arial"/>
                <w:b/>
              </w:rPr>
              <w:t>Aim:</w:t>
            </w:r>
            <w:r>
              <w:rPr>
                <w:rFonts w:ascii="Arial" w:hAnsi="Arial" w:cs="Arial"/>
                <w:b/>
              </w:rPr>
              <w:t xml:space="preserve"> </w:t>
            </w:r>
            <w:r w:rsidRPr="00303C9E">
              <w:rPr>
                <w:rFonts w:ascii="Arial" w:hAnsi="Arial" w:cs="Arial"/>
              </w:rPr>
              <w:t xml:space="preserve">This study investigated the effects of oral administration of ethyl acetate leaf extract of </w:t>
            </w:r>
            <w:r w:rsidRPr="007F521A">
              <w:rPr>
                <w:rFonts w:ascii="Arial" w:hAnsi="Arial" w:cs="Arial"/>
                <w:i/>
              </w:rPr>
              <w:t>Gliricidia sepium</w:t>
            </w:r>
            <w:r w:rsidRPr="00303C9E">
              <w:rPr>
                <w:rFonts w:ascii="Arial" w:hAnsi="Arial" w:cs="Arial"/>
              </w:rPr>
              <w:t xml:space="preserve"> on thyroid and reproductive hormone profiles in Wistar rats.</w:t>
            </w:r>
          </w:p>
          <w:p w14:paraId="52D6C49F" w14:textId="77777777" w:rsidR="00F32F43" w:rsidRPr="00303C9E" w:rsidRDefault="00F32F43" w:rsidP="00140757">
            <w:pPr>
              <w:spacing w:line="240" w:lineRule="auto"/>
              <w:jc w:val="both"/>
              <w:rPr>
                <w:rFonts w:ascii="Arial" w:hAnsi="Arial" w:cs="Arial"/>
                <w:b/>
              </w:rPr>
            </w:pPr>
            <w:r w:rsidRPr="00303C9E">
              <w:rPr>
                <w:rFonts w:ascii="Arial" w:hAnsi="Arial" w:cs="Arial"/>
                <w:b/>
              </w:rPr>
              <w:t>Study Design:</w:t>
            </w:r>
            <w:r>
              <w:rPr>
                <w:rFonts w:ascii="Arial" w:hAnsi="Arial" w:cs="Arial"/>
                <w:b/>
              </w:rPr>
              <w:t xml:space="preserve"> </w:t>
            </w:r>
            <w:r w:rsidRPr="00303C9E">
              <w:rPr>
                <w:rFonts w:ascii="Arial" w:hAnsi="Arial" w:cs="Arial"/>
              </w:rPr>
              <w:t>Completely randomized controlled experimental study.</w:t>
            </w:r>
          </w:p>
          <w:p w14:paraId="1441F875" w14:textId="77777777" w:rsidR="00F32F43" w:rsidRPr="00303C9E" w:rsidRDefault="00F32F43" w:rsidP="00140757">
            <w:pPr>
              <w:spacing w:line="240" w:lineRule="auto"/>
              <w:jc w:val="both"/>
              <w:rPr>
                <w:rFonts w:ascii="Arial" w:hAnsi="Arial" w:cs="Arial"/>
                <w:b/>
              </w:rPr>
            </w:pPr>
            <w:r w:rsidRPr="00303C9E">
              <w:rPr>
                <w:rFonts w:ascii="Arial" w:hAnsi="Arial" w:cs="Arial"/>
                <w:b/>
              </w:rPr>
              <w:t>Place and Duration of Study:</w:t>
            </w:r>
            <w:r>
              <w:rPr>
                <w:rFonts w:ascii="Arial" w:hAnsi="Arial" w:cs="Arial"/>
                <w:b/>
              </w:rPr>
              <w:t xml:space="preserve"> </w:t>
            </w:r>
            <w:r w:rsidRPr="00303C9E">
              <w:rPr>
                <w:rFonts w:ascii="Arial" w:hAnsi="Arial" w:cs="Arial"/>
              </w:rPr>
              <w:t>The study was conducted at the Animal House, Faculty of Pharmaceutical Sciences, and the Chemical Pathology Laboratory, School of Medical Laboratory Science, Usmanu Danfodiyo University, Sokoto, Nigeria, between May 2024 and October 2025.</w:t>
            </w:r>
          </w:p>
          <w:p w14:paraId="41E55B2C" w14:textId="30608611" w:rsidR="00F32F43" w:rsidRPr="00303C9E" w:rsidRDefault="00F32F43" w:rsidP="00140757">
            <w:pPr>
              <w:spacing w:line="240" w:lineRule="auto"/>
              <w:jc w:val="both"/>
              <w:rPr>
                <w:rFonts w:ascii="Arial" w:hAnsi="Arial" w:cs="Arial"/>
                <w:b/>
              </w:rPr>
            </w:pPr>
            <w:r w:rsidRPr="00303C9E">
              <w:rPr>
                <w:rFonts w:ascii="Arial" w:hAnsi="Arial" w:cs="Arial"/>
                <w:b/>
              </w:rPr>
              <w:t>Methodology:</w:t>
            </w:r>
            <w:r>
              <w:rPr>
                <w:rFonts w:ascii="Arial" w:hAnsi="Arial" w:cs="Arial"/>
                <w:b/>
              </w:rPr>
              <w:t xml:space="preserve"> </w:t>
            </w:r>
            <w:r w:rsidR="000D1821">
              <w:rPr>
                <w:rFonts w:ascii="Arial" w:hAnsi="Arial" w:cs="Arial"/>
              </w:rPr>
              <w:t xml:space="preserve">The ethyl acetate fraction was obtained from a crude methanol extract. </w:t>
            </w:r>
            <w:r w:rsidRPr="00303C9E">
              <w:rPr>
                <w:rFonts w:ascii="Arial" w:hAnsi="Arial" w:cs="Arial"/>
              </w:rPr>
              <w:t xml:space="preserve">Acute oral toxicity was assessed using </w:t>
            </w:r>
            <w:proofErr w:type="spellStart"/>
            <w:r w:rsidRPr="00303C9E">
              <w:rPr>
                <w:rFonts w:ascii="Arial" w:hAnsi="Arial" w:cs="Arial"/>
              </w:rPr>
              <w:t>Lorke’s</w:t>
            </w:r>
            <w:proofErr w:type="spellEnd"/>
            <w:r w:rsidRPr="00303C9E">
              <w:rPr>
                <w:rFonts w:ascii="Arial" w:hAnsi="Arial" w:cs="Arial"/>
              </w:rPr>
              <w:t xml:space="preserve"> method. Twelve male Wistar rats were assigned into four groups. In Phase I, groups I–III received 10, 100, and 1000 mg/kg body weight of the extract, respectively, while group IV served as the control. In Phase II, three rats received single oral doses of 1600, 2900, and 5000 mg/kg body weight.</w:t>
            </w:r>
          </w:p>
          <w:p w14:paraId="16E78971" w14:textId="051182FE" w:rsidR="00F32F43" w:rsidRPr="00303C9E" w:rsidRDefault="00F32F43" w:rsidP="00140757">
            <w:pPr>
              <w:spacing w:line="240" w:lineRule="auto"/>
              <w:jc w:val="both"/>
              <w:rPr>
                <w:rFonts w:ascii="Arial" w:hAnsi="Arial" w:cs="Arial"/>
              </w:rPr>
            </w:pPr>
            <w:r w:rsidRPr="00303C9E">
              <w:rPr>
                <w:rFonts w:ascii="Arial" w:hAnsi="Arial" w:cs="Arial"/>
              </w:rPr>
              <w:t>For the sub-chronic toxicity study, forty-eight adult Wistar rats (24 males and 24 females) were divided into four groups. Group I received normal saline, while Groups II–IV received 500, 1000, and 1500 mg/kg body weight of the extract daily for 28 days. Blood samples were collected for hormonal analysis.</w:t>
            </w:r>
            <w:r w:rsidR="005E1973" w:rsidRPr="005E1973">
              <w:rPr>
                <w:rFonts w:ascii="Arial" w:hAnsi="Arial" w:cs="Arial"/>
                <w:sz w:val="20"/>
                <w:szCs w:val="20"/>
              </w:rPr>
              <w:t xml:space="preserve"> </w:t>
            </w:r>
            <w:r w:rsidR="005E1973">
              <w:rPr>
                <w:rFonts w:ascii="Arial" w:hAnsi="Arial" w:cs="Arial"/>
              </w:rPr>
              <w:t>Hormones</w:t>
            </w:r>
            <w:r w:rsidR="005E1973" w:rsidRPr="005E1973">
              <w:rPr>
                <w:rFonts w:ascii="Arial" w:hAnsi="Arial" w:cs="Arial"/>
              </w:rPr>
              <w:t xml:space="preserve"> levels were determined using a microplate enzyme-linked immunosor</w:t>
            </w:r>
            <w:r w:rsidR="005E1973">
              <w:rPr>
                <w:rFonts w:ascii="Arial" w:hAnsi="Arial" w:cs="Arial"/>
              </w:rPr>
              <w:t>bent assay (ELISA) method.</w:t>
            </w:r>
            <w:r w:rsidR="000D1821" w:rsidRPr="000D1821">
              <w:rPr>
                <w:rFonts w:ascii="Times New Roman" w:eastAsia="Times New Roman" w:hAnsi="Times New Roman" w:cs="Times New Roman"/>
                <w:sz w:val="24"/>
                <w:szCs w:val="24"/>
                <w:lang w:val="en-US"/>
              </w:rPr>
              <w:t xml:space="preserve"> </w:t>
            </w:r>
            <w:r w:rsidR="000D1821" w:rsidRPr="000D1821">
              <w:rPr>
                <w:rFonts w:ascii="Arial" w:hAnsi="Arial" w:cs="Arial"/>
                <w:lang w:val="en-US"/>
              </w:rPr>
              <w:t>The data obtained from this study were analyzed using Statistical Package for Social Science (SPSS) for Windows, version 23.0 (SPSS Inc., Chicago, IL, USA)</w:t>
            </w:r>
          </w:p>
          <w:p w14:paraId="4B908174" w14:textId="77777777" w:rsidR="00F32F43" w:rsidRPr="00303C9E" w:rsidRDefault="00F32F43" w:rsidP="00140757">
            <w:pPr>
              <w:spacing w:line="240" w:lineRule="auto"/>
              <w:jc w:val="both"/>
              <w:rPr>
                <w:rFonts w:ascii="Arial" w:hAnsi="Arial" w:cs="Arial"/>
                <w:b/>
              </w:rPr>
            </w:pPr>
            <w:r w:rsidRPr="00303C9E">
              <w:rPr>
                <w:rFonts w:ascii="Arial" w:hAnsi="Arial" w:cs="Arial"/>
                <w:b/>
              </w:rPr>
              <w:t>Results:</w:t>
            </w:r>
            <w:r>
              <w:rPr>
                <w:rFonts w:ascii="Arial" w:hAnsi="Arial" w:cs="Arial"/>
                <w:b/>
              </w:rPr>
              <w:t xml:space="preserve"> </w:t>
            </w:r>
            <w:r w:rsidRPr="00303C9E">
              <w:rPr>
                <w:rFonts w:ascii="Arial" w:hAnsi="Arial" w:cs="Arial"/>
              </w:rPr>
              <w:t>The oral median lethal dose (LD</w:t>
            </w:r>
            <w:r w:rsidRPr="00303C9E">
              <w:rPr>
                <w:rFonts w:ascii="Cambria Math" w:hAnsi="Cambria Math" w:cs="Cambria Math"/>
              </w:rPr>
              <w:t>₅₀</w:t>
            </w:r>
            <w:r w:rsidRPr="00303C9E">
              <w:rPr>
                <w:rFonts w:ascii="Arial" w:hAnsi="Arial" w:cs="Arial"/>
              </w:rPr>
              <w:t>) of the extract was greater than 5000 mg/kg body weight. Sub-chronic administration did not produce significant changes (p &gt; 0.05) in TSH, T</w:t>
            </w:r>
            <w:r w:rsidRPr="00303C9E">
              <w:rPr>
                <w:rFonts w:ascii="Cambria Math" w:hAnsi="Cambria Math" w:cs="Cambria Math"/>
              </w:rPr>
              <w:t>₃</w:t>
            </w:r>
            <w:r w:rsidRPr="00303C9E">
              <w:rPr>
                <w:rFonts w:ascii="Arial" w:hAnsi="Arial" w:cs="Arial"/>
              </w:rPr>
              <w:t>, T</w:t>
            </w:r>
            <w:r w:rsidRPr="00303C9E">
              <w:rPr>
                <w:rFonts w:ascii="Cambria Math" w:hAnsi="Cambria Math" w:cs="Cambria Math"/>
              </w:rPr>
              <w:t>₄</w:t>
            </w:r>
            <w:r w:rsidRPr="00303C9E">
              <w:rPr>
                <w:rFonts w:ascii="Arial" w:hAnsi="Arial" w:cs="Arial"/>
              </w:rPr>
              <w:t xml:space="preserve">, testosterone, progesterone, prolactin, and FSH levels. Variations observed in LH and </w:t>
            </w:r>
            <w:proofErr w:type="spellStart"/>
            <w:r w:rsidRPr="00303C9E">
              <w:rPr>
                <w:rFonts w:ascii="Arial" w:hAnsi="Arial" w:cs="Arial"/>
              </w:rPr>
              <w:t>estradiol</w:t>
            </w:r>
            <w:proofErr w:type="spellEnd"/>
            <w:r w:rsidRPr="00303C9E">
              <w:rPr>
                <w:rFonts w:ascii="Arial" w:hAnsi="Arial" w:cs="Arial"/>
              </w:rPr>
              <w:t xml:space="preserve"> levels were attributable to physiological sex-related differences.</w:t>
            </w:r>
          </w:p>
          <w:p w14:paraId="01C30AF9" w14:textId="77777777" w:rsidR="00F32F43" w:rsidRPr="00303C9E" w:rsidRDefault="00F32F43" w:rsidP="00140757">
            <w:pPr>
              <w:spacing w:line="240" w:lineRule="auto"/>
              <w:jc w:val="both"/>
              <w:rPr>
                <w:rFonts w:ascii="Arial" w:hAnsi="Arial" w:cs="Arial"/>
                <w:b/>
              </w:rPr>
            </w:pPr>
            <w:r w:rsidRPr="00303C9E">
              <w:rPr>
                <w:rFonts w:ascii="Arial" w:hAnsi="Arial" w:cs="Arial"/>
                <w:b/>
              </w:rPr>
              <w:t>Conclusion:</w:t>
            </w:r>
            <w:r>
              <w:rPr>
                <w:rFonts w:ascii="Arial" w:hAnsi="Arial" w:cs="Arial"/>
                <w:b/>
              </w:rPr>
              <w:t xml:space="preserve"> </w:t>
            </w:r>
            <w:r w:rsidRPr="00303C9E">
              <w:rPr>
                <w:rFonts w:ascii="Arial" w:hAnsi="Arial" w:cs="Arial"/>
              </w:rPr>
              <w:t xml:space="preserve">Oral administration of ethyl acetate leaf extract of </w:t>
            </w:r>
            <w:r w:rsidRPr="004F4DB2">
              <w:rPr>
                <w:rFonts w:ascii="Arial" w:hAnsi="Arial" w:cs="Arial"/>
                <w:i/>
              </w:rPr>
              <w:t>Gliricidia sepium</w:t>
            </w:r>
            <w:r w:rsidRPr="00303C9E">
              <w:rPr>
                <w:rFonts w:ascii="Arial" w:hAnsi="Arial" w:cs="Arial"/>
              </w:rPr>
              <w:t xml:space="preserve"> at therapeutic doses appears relatively safe and does not adversely affect thyroid or reproductive hormone function in Wistar rats.</w:t>
            </w:r>
          </w:p>
          <w:p w14:paraId="32889F0A" w14:textId="77777777" w:rsidR="00F32F43" w:rsidRPr="00BA1B01" w:rsidRDefault="00F32F43" w:rsidP="00140757">
            <w:pPr>
              <w:pStyle w:val="Body"/>
              <w:spacing w:after="0"/>
              <w:rPr>
                <w:rFonts w:ascii="Arial" w:eastAsia="Calibri" w:hAnsi="Arial" w:cs="Arial"/>
                <w:szCs w:val="22"/>
              </w:rPr>
            </w:pPr>
          </w:p>
        </w:tc>
      </w:tr>
    </w:tbl>
    <w:p w14:paraId="3CA35197" w14:textId="77777777" w:rsidR="0015725A" w:rsidRPr="00303C9E" w:rsidRDefault="0015725A" w:rsidP="00303C9E">
      <w:pPr>
        <w:spacing w:line="240" w:lineRule="auto"/>
        <w:jc w:val="both"/>
        <w:rPr>
          <w:rFonts w:ascii="Arial" w:hAnsi="Arial" w:cs="Arial"/>
        </w:rPr>
      </w:pPr>
      <w:r w:rsidRPr="00303C9E">
        <w:rPr>
          <w:rFonts w:ascii="Arial" w:hAnsi="Arial" w:cs="Arial"/>
          <w:b/>
        </w:rPr>
        <w:t>Keywords:</w:t>
      </w:r>
      <w:r w:rsidR="00303C9E">
        <w:rPr>
          <w:rFonts w:ascii="Arial" w:hAnsi="Arial" w:cs="Arial"/>
        </w:rPr>
        <w:t xml:space="preserve"> </w:t>
      </w:r>
      <w:r w:rsidRPr="007F521A">
        <w:rPr>
          <w:rFonts w:ascii="Arial" w:hAnsi="Arial" w:cs="Arial"/>
          <w:i/>
        </w:rPr>
        <w:t>Gliricidia sepium</w:t>
      </w:r>
      <w:r w:rsidRPr="00303C9E">
        <w:rPr>
          <w:rFonts w:ascii="Arial" w:hAnsi="Arial" w:cs="Arial"/>
        </w:rPr>
        <w:t>, thyroid hormones, reproductive hormones, toxicity, Wistar rats.</w:t>
      </w:r>
    </w:p>
    <w:p w14:paraId="607DD6E9" w14:textId="77777777" w:rsidR="0015725A" w:rsidRPr="00223025" w:rsidRDefault="0015725A" w:rsidP="0015725A">
      <w:pPr>
        <w:spacing w:line="480" w:lineRule="auto"/>
        <w:jc w:val="both"/>
        <w:rPr>
          <w:rFonts w:ascii="Arial" w:hAnsi="Arial" w:cs="Arial"/>
        </w:rPr>
      </w:pPr>
    </w:p>
    <w:p w14:paraId="56AA864E" w14:textId="77777777" w:rsidR="0015725A" w:rsidRPr="00223025" w:rsidRDefault="0015725A" w:rsidP="0015725A">
      <w:pPr>
        <w:spacing w:line="480" w:lineRule="auto"/>
        <w:jc w:val="both"/>
        <w:rPr>
          <w:rFonts w:ascii="Arial" w:hAnsi="Arial" w:cs="Arial"/>
          <w:b/>
        </w:rPr>
      </w:pPr>
      <w:r w:rsidRPr="00223025">
        <w:rPr>
          <w:rFonts w:ascii="Arial" w:hAnsi="Arial" w:cs="Arial"/>
          <w:b/>
        </w:rPr>
        <w:t>1. INTRODUCTION</w:t>
      </w:r>
    </w:p>
    <w:p w14:paraId="66EF3A1F"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lastRenderedPageBreak/>
        <w:t>Herbal medicine continues to play an important role in global healthcare systems, serving both as a primary source of treatment for many populations and as a foundation for the development of modern pharmaceuticals [1]. It is estimated that nearly 60% of the world’s population utilizes traditional medicine, while approximately 80% of people in developing countries depend largely on herbal remedies for their primary healthcare needs [2]. The sustained patronage of herbal medicine has been attributed to its affordability, accessibility, cultural acceptance, and the perception that herbal products possess minimal adverse effects [3].</w:t>
      </w:r>
    </w:p>
    <w:p w14:paraId="0295A4A9"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t xml:space="preserve">Despite their widespread use, the safety and efficacy of many medicinal plants have not been sufficiently validated through scientific investigation, raising concerns among researchers and regulatory authorities [4]. </w:t>
      </w:r>
      <w:r w:rsidRPr="004F4DB2">
        <w:rPr>
          <w:rFonts w:ascii="Arial" w:hAnsi="Arial" w:cs="Arial"/>
          <w:i/>
          <w:sz w:val="20"/>
          <w:szCs w:val="20"/>
        </w:rPr>
        <w:t>Gliricidia sepium,</w:t>
      </w:r>
      <w:r w:rsidRPr="006D71E5">
        <w:rPr>
          <w:rFonts w:ascii="Arial" w:hAnsi="Arial" w:cs="Arial"/>
          <w:sz w:val="20"/>
          <w:szCs w:val="20"/>
        </w:rPr>
        <w:t xml:space="preserve"> a member of the Fabaceae family, is among the medicinal plants commonly used by local communities in Nigeria for the management of various ailments [5].</w:t>
      </w:r>
    </w:p>
    <w:p w14:paraId="41DAA25D" w14:textId="77777777" w:rsidR="006D71E5" w:rsidRPr="006D71E5" w:rsidRDefault="006D71E5" w:rsidP="006D71E5">
      <w:pPr>
        <w:spacing w:line="480" w:lineRule="auto"/>
        <w:jc w:val="both"/>
        <w:rPr>
          <w:rFonts w:ascii="Arial" w:hAnsi="Arial" w:cs="Arial"/>
          <w:sz w:val="20"/>
          <w:szCs w:val="20"/>
        </w:rPr>
      </w:pPr>
      <w:r w:rsidRPr="007F521A">
        <w:rPr>
          <w:rFonts w:ascii="Arial" w:hAnsi="Arial" w:cs="Arial"/>
          <w:i/>
          <w:sz w:val="20"/>
          <w:szCs w:val="20"/>
        </w:rPr>
        <w:t>Gliricidia sepium</w:t>
      </w:r>
      <w:r w:rsidRPr="006D71E5">
        <w:rPr>
          <w:rFonts w:ascii="Arial" w:hAnsi="Arial" w:cs="Arial"/>
          <w:sz w:val="20"/>
          <w:szCs w:val="20"/>
        </w:rPr>
        <w:t xml:space="preserve"> is a multipurpose leguminous plant of considerable economic and medicinal value. The Fabaceae family, to which it belongs, is one of the largest families of flowering plants, comprising over 700 genera and approximately 20,000 species [6]. The plant is commonly referred to as “mother of cocoa” and is locally known as </w:t>
      </w:r>
      <w:proofErr w:type="spellStart"/>
      <w:r w:rsidRPr="006D71E5">
        <w:rPr>
          <w:rFonts w:ascii="Arial" w:hAnsi="Arial" w:cs="Arial"/>
          <w:sz w:val="20"/>
          <w:szCs w:val="20"/>
        </w:rPr>
        <w:t>Agunmaniye</w:t>
      </w:r>
      <w:proofErr w:type="spellEnd"/>
      <w:r w:rsidRPr="006D71E5">
        <w:rPr>
          <w:rFonts w:ascii="Arial" w:hAnsi="Arial" w:cs="Arial"/>
          <w:sz w:val="20"/>
          <w:szCs w:val="20"/>
        </w:rPr>
        <w:t xml:space="preserve"> among the Yoruba-speaking population of southwestern Nigeria [7]. It is native to Central America and is now widely distributed across tropical and subtropical regions worldwide [8].</w:t>
      </w:r>
    </w:p>
    <w:p w14:paraId="7B93A1C0"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t>The plant thrives in tropical climates with temperatures between 20°C and 29°C and annual rainfall ranging from 900 to 1500 mm. It tolerates a wide range of soil conditions but is sensitive to frost and prolonged exposure to low temperatures [8].</w:t>
      </w:r>
    </w:p>
    <w:p w14:paraId="69B13D08" w14:textId="77777777" w:rsidR="006D71E5" w:rsidRPr="004F4DB2" w:rsidRDefault="006D71E5" w:rsidP="006D71E5">
      <w:pPr>
        <w:spacing w:line="480" w:lineRule="auto"/>
        <w:jc w:val="both"/>
        <w:rPr>
          <w:rFonts w:ascii="Arial" w:hAnsi="Arial" w:cs="Arial"/>
          <w:sz w:val="20"/>
          <w:szCs w:val="20"/>
        </w:rPr>
      </w:pPr>
    </w:p>
    <w:p w14:paraId="4F7F4687" w14:textId="521BBC84" w:rsidR="006D71E5" w:rsidRDefault="006D71E5" w:rsidP="006D71E5">
      <w:pPr>
        <w:spacing w:line="480" w:lineRule="auto"/>
        <w:jc w:val="both"/>
        <w:rPr>
          <w:rFonts w:ascii="Arial" w:hAnsi="Arial" w:cs="Arial"/>
          <w:sz w:val="20"/>
          <w:szCs w:val="20"/>
        </w:rPr>
      </w:pPr>
      <w:r w:rsidRPr="006D71E5">
        <w:rPr>
          <w:rFonts w:ascii="Arial" w:hAnsi="Arial" w:cs="Arial"/>
          <w:sz w:val="20"/>
          <w:szCs w:val="20"/>
        </w:rPr>
        <w:t xml:space="preserve">Previous studies have reported that the leaves of </w:t>
      </w:r>
      <w:r w:rsidR="004F4DB2">
        <w:rPr>
          <w:rFonts w:ascii="Arial" w:hAnsi="Arial" w:cs="Arial"/>
          <w:i/>
          <w:sz w:val="20"/>
          <w:szCs w:val="20"/>
        </w:rPr>
        <w:t>Gliricidia</w:t>
      </w:r>
      <w:r w:rsidR="004F4DB2" w:rsidRPr="004F4DB2">
        <w:rPr>
          <w:rFonts w:ascii="Arial" w:hAnsi="Arial" w:cs="Arial"/>
          <w:i/>
          <w:sz w:val="20"/>
          <w:szCs w:val="20"/>
        </w:rPr>
        <w:t xml:space="preserve"> </w:t>
      </w:r>
      <w:r w:rsidRPr="004F4DB2">
        <w:rPr>
          <w:rFonts w:ascii="Arial" w:hAnsi="Arial" w:cs="Arial"/>
          <w:i/>
          <w:sz w:val="20"/>
          <w:szCs w:val="20"/>
        </w:rPr>
        <w:t>sepium</w:t>
      </w:r>
      <w:r w:rsidRPr="006D71E5">
        <w:rPr>
          <w:rFonts w:ascii="Arial" w:hAnsi="Arial" w:cs="Arial"/>
          <w:sz w:val="20"/>
          <w:szCs w:val="20"/>
        </w:rPr>
        <w:t xml:space="preserve"> possess anti-inflammatory, antibacterial, and antioxidant properties, largely attributed to their phytochemical constituents, particularly flavonoids [8]. However, there is limited scientific information on the toxicological effects of </w:t>
      </w:r>
      <w:r w:rsidR="004F4DB2">
        <w:rPr>
          <w:rFonts w:ascii="Arial" w:hAnsi="Arial" w:cs="Arial"/>
          <w:i/>
          <w:sz w:val="20"/>
          <w:szCs w:val="20"/>
        </w:rPr>
        <w:t>Gliricidia</w:t>
      </w:r>
      <w:r w:rsidR="004F4DB2" w:rsidRPr="004F4DB2">
        <w:rPr>
          <w:rFonts w:ascii="Arial" w:hAnsi="Arial" w:cs="Arial"/>
          <w:i/>
          <w:sz w:val="20"/>
          <w:szCs w:val="20"/>
        </w:rPr>
        <w:t xml:space="preserve"> </w:t>
      </w:r>
      <w:r w:rsidRPr="004F4DB2">
        <w:rPr>
          <w:rFonts w:ascii="Arial" w:hAnsi="Arial" w:cs="Arial"/>
          <w:i/>
          <w:sz w:val="20"/>
          <w:szCs w:val="20"/>
        </w:rPr>
        <w:t>sepium</w:t>
      </w:r>
      <w:r w:rsidRPr="006D71E5">
        <w:rPr>
          <w:rFonts w:ascii="Arial" w:hAnsi="Arial" w:cs="Arial"/>
          <w:sz w:val="20"/>
          <w:szCs w:val="20"/>
        </w:rPr>
        <w:t xml:space="preserve">, particularly with respect to endocrine and metabolic functions. Therefore, this study was undertaken to evaluate the potential effects of ethyl acetate leaf extract of </w:t>
      </w:r>
      <w:r w:rsidR="004F4DB2">
        <w:rPr>
          <w:rFonts w:ascii="Arial" w:hAnsi="Arial" w:cs="Arial"/>
          <w:i/>
          <w:sz w:val="20"/>
          <w:szCs w:val="20"/>
        </w:rPr>
        <w:t>Gliricidia</w:t>
      </w:r>
      <w:r w:rsidR="004F4DB2" w:rsidRPr="004F4DB2">
        <w:rPr>
          <w:rFonts w:ascii="Arial" w:hAnsi="Arial" w:cs="Arial"/>
          <w:i/>
          <w:sz w:val="20"/>
          <w:szCs w:val="20"/>
        </w:rPr>
        <w:t xml:space="preserve"> </w:t>
      </w:r>
      <w:r w:rsidRPr="004F4DB2">
        <w:rPr>
          <w:rFonts w:ascii="Arial" w:hAnsi="Arial" w:cs="Arial"/>
          <w:i/>
          <w:sz w:val="20"/>
          <w:szCs w:val="20"/>
        </w:rPr>
        <w:t>sepium</w:t>
      </w:r>
      <w:r w:rsidRPr="006D71E5">
        <w:rPr>
          <w:rFonts w:ascii="Arial" w:hAnsi="Arial" w:cs="Arial"/>
          <w:sz w:val="20"/>
          <w:szCs w:val="20"/>
        </w:rPr>
        <w:t xml:space="preserve"> on thyroid and reproductive hormone profiles in male and female Wistar rats.</w:t>
      </w:r>
    </w:p>
    <w:p w14:paraId="60C19516" w14:textId="77777777" w:rsidR="0015725A" w:rsidRPr="00223025" w:rsidRDefault="0015725A" w:rsidP="006D71E5">
      <w:pPr>
        <w:spacing w:line="480" w:lineRule="auto"/>
        <w:jc w:val="both"/>
        <w:rPr>
          <w:rFonts w:ascii="Arial" w:hAnsi="Arial" w:cs="Arial"/>
          <w:b/>
        </w:rPr>
      </w:pPr>
      <w:r w:rsidRPr="00223025">
        <w:rPr>
          <w:rFonts w:ascii="Arial" w:hAnsi="Arial" w:cs="Arial"/>
          <w:b/>
        </w:rPr>
        <w:t>2. MATERIALS AND METHODS</w:t>
      </w:r>
    </w:p>
    <w:p w14:paraId="7D816A58" w14:textId="77777777" w:rsidR="0015725A" w:rsidRPr="00223025" w:rsidRDefault="0015725A" w:rsidP="0015725A">
      <w:pPr>
        <w:spacing w:line="480" w:lineRule="auto"/>
        <w:jc w:val="both"/>
        <w:rPr>
          <w:rFonts w:ascii="Arial" w:hAnsi="Arial" w:cs="Arial"/>
          <w:b/>
        </w:rPr>
      </w:pPr>
      <w:r w:rsidRPr="00223025">
        <w:rPr>
          <w:rFonts w:ascii="Arial" w:hAnsi="Arial" w:cs="Arial"/>
          <w:b/>
        </w:rPr>
        <w:lastRenderedPageBreak/>
        <w:t>2.1 Plant Collection and Identification</w:t>
      </w:r>
    </w:p>
    <w:p w14:paraId="68D9ADC0" w14:textId="3BAA51A5" w:rsidR="0015725A" w:rsidRPr="00303C9E" w:rsidRDefault="0015725A" w:rsidP="0015725A">
      <w:pPr>
        <w:spacing w:line="480" w:lineRule="auto"/>
        <w:jc w:val="both"/>
        <w:rPr>
          <w:rFonts w:ascii="Arial" w:hAnsi="Arial" w:cs="Arial"/>
          <w:sz w:val="20"/>
          <w:szCs w:val="20"/>
        </w:rPr>
      </w:pPr>
      <w:r w:rsidRPr="00303C9E">
        <w:rPr>
          <w:rFonts w:ascii="Arial" w:hAnsi="Arial" w:cs="Arial"/>
          <w:sz w:val="20"/>
          <w:szCs w:val="20"/>
        </w:rPr>
        <w:t xml:space="preserve">Fresh leaves of </w:t>
      </w:r>
      <w:r w:rsidR="004F4DB2">
        <w:rPr>
          <w:rFonts w:ascii="Arial" w:hAnsi="Arial" w:cs="Arial"/>
          <w:i/>
          <w:sz w:val="20"/>
          <w:szCs w:val="20"/>
        </w:rPr>
        <w:t>Gliricidia</w:t>
      </w:r>
      <w:r w:rsidR="004F4DB2" w:rsidRPr="004F4DB2">
        <w:rPr>
          <w:rFonts w:ascii="Arial" w:hAnsi="Arial" w:cs="Arial"/>
          <w:i/>
          <w:sz w:val="20"/>
          <w:szCs w:val="20"/>
        </w:rPr>
        <w:t xml:space="preserve"> </w:t>
      </w:r>
      <w:r w:rsidRPr="004F4DB2">
        <w:rPr>
          <w:rFonts w:ascii="Arial" w:hAnsi="Arial" w:cs="Arial"/>
          <w:i/>
          <w:sz w:val="20"/>
          <w:szCs w:val="20"/>
        </w:rPr>
        <w:t>sepium</w:t>
      </w:r>
      <w:r w:rsidRPr="00303C9E">
        <w:rPr>
          <w:rFonts w:ascii="Arial" w:hAnsi="Arial" w:cs="Arial"/>
          <w:sz w:val="20"/>
          <w:szCs w:val="20"/>
        </w:rPr>
        <w:t xml:space="preserve"> were collected from Osogbo metropolis, Osun State, Nigeria. Botanical identification and authentication were carried out at the Herbarium Unit, Department of Botany, Obafemi Awolowo University, Ile-Ife. A voucher specimen (IFE/17460) was deposited for reference</w:t>
      </w:r>
      <w:r w:rsidR="00D264B9" w:rsidRPr="00303C9E">
        <w:rPr>
          <w:rFonts w:ascii="Arial" w:hAnsi="Arial" w:cs="Arial"/>
          <w:sz w:val="20"/>
          <w:szCs w:val="20"/>
        </w:rPr>
        <w:t xml:space="preserve"> (5)</w:t>
      </w:r>
      <w:r w:rsidRPr="00303C9E">
        <w:rPr>
          <w:rFonts w:ascii="Arial" w:hAnsi="Arial" w:cs="Arial"/>
          <w:sz w:val="20"/>
          <w:szCs w:val="20"/>
        </w:rPr>
        <w:t>.</w:t>
      </w:r>
    </w:p>
    <w:p w14:paraId="01EB7B4A" w14:textId="77777777" w:rsidR="0015725A" w:rsidRPr="00223025" w:rsidRDefault="0015725A" w:rsidP="0015725A">
      <w:pPr>
        <w:spacing w:line="480" w:lineRule="auto"/>
        <w:jc w:val="both"/>
        <w:rPr>
          <w:rFonts w:ascii="Arial" w:hAnsi="Arial" w:cs="Arial"/>
          <w:b/>
        </w:rPr>
      </w:pPr>
      <w:r w:rsidRPr="00223025">
        <w:rPr>
          <w:rFonts w:ascii="Arial" w:hAnsi="Arial" w:cs="Arial"/>
          <w:b/>
        </w:rPr>
        <w:t>2.2 Plant Extraction</w:t>
      </w:r>
    </w:p>
    <w:p w14:paraId="41E585DF" w14:textId="679A1F5B"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t>The collected leaves were shade-dried at room temperature for six weeks and pulverized into fine powder using a mortar and pestle. A 1000 g portion of the powdered material was macerated in 5 L of 90% methanol for 48 hours with intermittent stirrin</w:t>
      </w:r>
      <w:r w:rsidR="007F7906">
        <w:rPr>
          <w:rFonts w:ascii="Arial" w:hAnsi="Arial" w:cs="Arial"/>
          <w:sz w:val="20"/>
          <w:szCs w:val="20"/>
        </w:rPr>
        <w:t>g.</w:t>
      </w:r>
      <w:r w:rsidRPr="006D71E5">
        <w:rPr>
          <w:rFonts w:ascii="Arial" w:hAnsi="Arial" w:cs="Arial"/>
          <w:sz w:val="20"/>
          <w:szCs w:val="20"/>
        </w:rPr>
        <w:t xml:space="preserve"> The mixture was filtered using Whatman No. 1 filter paper, and the filtrate was concentrated at 40°C to dryness.</w:t>
      </w:r>
    </w:p>
    <w:p w14:paraId="1D4D9A80" w14:textId="77777777" w:rsidR="006D71E5" w:rsidRDefault="006D71E5" w:rsidP="006D71E5">
      <w:pPr>
        <w:spacing w:line="480" w:lineRule="auto"/>
        <w:jc w:val="both"/>
        <w:rPr>
          <w:rFonts w:ascii="Arial" w:hAnsi="Arial" w:cs="Arial"/>
          <w:sz w:val="20"/>
          <w:szCs w:val="20"/>
        </w:rPr>
      </w:pPr>
      <w:r w:rsidRPr="006D71E5">
        <w:rPr>
          <w:rFonts w:ascii="Arial" w:hAnsi="Arial" w:cs="Arial"/>
          <w:sz w:val="20"/>
          <w:szCs w:val="20"/>
        </w:rPr>
        <w:t>A portion (200 g) of the crude extract was dissolved in distilled water and successively partitioned with n-hexane, ethyl acetate, and n-butanol to obtain the respective fractions.</w:t>
      </w:r>
    </w:p>
    <w:p w14:paraId="452CECDA" w14:textId="77777777" w:rsidR="0015725A" w:rsidRPr="00223025" w:rsidRDefault="0015725A" w:rsidP="006D71E5">
      <w:pPr>
        <w:spacing w:line="480" w:lineRule="auto"/>
        <w:jc w:val="both"/>
        <w:rPr>
          <w:rFonts w:ascii="Arial" w:hAnsi="Arial" w:cs="Arial"/>
          <w:b/>
        </w:rPr>
      </w:pPr>
      <w:r w:rsidRPr="00223025">
        <w:rPr>
          <w:rFonts w:ascii="Arial" w:hAnsi="Arial" w:cs="Arial"/>
          <w:b/>
        </w:rPr>
        <w:t>2.3 Experimental Animals</w:t>
      </w:r>
    </w:p>
    <w:p w14:paraId="6787448E" w14:textId="77777777" w:rsidR="00142243" w:rsidRDefault="00142243" w:rsidP="0015725A">
      <w:pPr>
        <w:spacing w:line="480" w:lineRule="auto"/>
        <w:jc w:val="both"/>
        <w:rPr>
          <w:rFonts w:ascii="Arial" w:hAnsi="Arial" w:cs="Arial"/>
          <w:sz w:val="20"/>
          <w:szCs w:val="20"/>
        </w:rPr>
      </w:pPr>
      <w:r w:rsidRPr="00142243">
        <w:rPr>
          <w:rFonts w:ascii="Arial" w:hAnsi="Arial" w:cs="Arial"/>
          <w:sz w:val="20"/>
          <w:szCs w:val="20"/>
        </w:rPr>
        <w:t>Healthy male and female Wistar rats aged 8–12 weeks (120–140 g) were obtained from the Animal House, Faculty of Pharmaceutical Sciences, Usmanu Danfodiyo University, Sokoto. The animals were housed under standard laboratory conditions (25 ± 2°C, 12-hour light/dark cycle) and allowed free access to standard feed and water. All experimental procedures complied with international guidelines for laboratory animal care</w:t>
      </w:r>
      <w:r>
        <w:rPr>
          <w:rFonts w:ascii="Arial" w:hAnsi="Arial" w:cs="Arial"/>
          <w:sz w:val="20"/>
          <w:szCs w:val="20"/>
        </w:rPr>
        <w:t xml:space="preserve"> (9)</w:t>
      </w:r>
      <w:r w:rsidRPr="00142243">
        <w:rPr>
          <w:rFonts w:ascii="Arial" w:hAnsi="Arial" w:cs="Arial"/>
          <w:sz w:val="20"/>
          <w:szCs w:val="20"/>
        </w:rPr>
        <w:t>.</w:t>
      </w:r>
    </w:p>
    <w:p w14:paraId="4B5DE1DD" w14:textId="77777777" w:rsidR="0015725A" w:rsidRPr="00223025" w:rsidRDefault="0015725A" w:rsidP="0015725A">
      <w:pPr>
        <w:spacing w:line="480" w:lineRule="auto"/>
        <w:jc w:val="both"/>
        <w:rPr>
          <w:rFonts w:ascii="Arial" w:hAnsi="Arial" w:cs="Arial"/>
          <w:b/>
        </w:rPr>
      </w:pPr>
      <w:r w:rsidRPr="00223025">
        <w:rPr>
          <w:rFonts w:ascii="Arial" w:hAnsi="Arial" w:cs="Arial"/>
          <w:b/>
        </w:rPr>
        <w:t>2.4 Experimental Design</w:t>
      </w:r>
    </w:p>
    <w:p w14:paraId="6BAEB2CD" w14:textId="77777777" w:rsidR="0015725A" w:rsidRPr="00CF6EFE" w:rsidRDefault="0015725A" w:rsidP="0015725A">
      <w:pPr>
        <w:spacing w:line="480" w:lineRule="auto"/>
        <w:jc w:val="both"/>
        <w:rPr>
          <w:rFonts w:ascii="Arial" w:hAnsi="Arial" w:cs="Arial"/>
          <w:b/>
          <w:sz w:val="20"/>
          <w:szCs w:val="20"/>
        </w:rPr>
      </w:pPr>
      <w:r w:rsidRPr="00CF6EFE">
        <w:rPr>
          <w:rFonts w:ascii="Arial" w:hAnsi="Arial" w:cs="Arial"/>
          <w:b/>
          <w:sz w:val="20"/>
          <w:szCs w:val="20"/>
        </w:rPr>
        <w:t>2.4.1 Acute Oral Toxicity Study</w:t>
      </w:r>
    </w:p>
    <w:p w14:paraId="280E424F" w14:textId="77777777" w:rsidR="0015725A" w:rsidRPr="00303C9E" w:rsidRDefault="00142243" w:rsidP="0015725A">
      <w:pPr>
        <w:spacing w:line="480" w:lineRule="auto"/>
        <w:jc w:val="both"/>
        <w:rPr>
          <w:rFonts w:ascii="Arial" w:hAnsi="Arial" w:cs="Arial"/>
          <w:sz w:val="20"/>
          <w:szCs w:val="20"/>
        </w:rPr>
      </w:pPr>
      <w:r w:rsidRPr="00142243">
        <w:rPr>
          <w:rFonts w:ascii="Arial" w:hAnsi="Arial" w:cs="Arial"/>
          <w:sz w:val="20"/>
          <w:szCs w:val="20"/>
        </w:rPr>
        <w:t xml:space="preserve">Acute toxicity was evaluated using </w:t>
      </w:r>
      <w:proofErr w:type="spellStart"/>
      <w:r w:rsidRPr="00142243">
        <w:rPr>
          <w:rFonts w:ascii="Arial" w:hAnsi="Arial" w:cs="Arial"/>
          <w:sz w:val="20"/>
          <w:szCs w:val="20"/>
        </w:rPr>
        <w:t>Lorke’s</w:t>
      </w:r>
      <w:proofErr w:type="spellEnd"/>
      <w:r w:rsidRPr="00142243">
        <w:rPr>
          <w:rFonts w:ascii="Arial" w:hAnsi="Arial" w:cs="Arial"/>
          <w:sz w:val="20"/>
          <w:szCs w:val="20"/>
        </w:rPr>
        <w:t xml:space="preserve"> method. In Phase I, nine male rats were divided into three groups and administered 10, 100, and 1000 mg/kg body weight of the extract. In Phase II, three rats received 1600, 2900, and 5000 mg/kg body weight, respectively. Animals were monitored for clinical signs of toxicity and mortality.</w:t>
      </w:r>
      <w:r w:rsidR="00B6528F">
        <w:rPr>
          <w:rFonts w:ascii="Arial" w:hAnsi="Arial" w:cs="Arial"/>
          <w:sz w:val="20"/>
          <w:szCs w:val="20"/>
        </w:rPr>
        <w:t xml:space="preserve"> (10</w:t>
      </w:r>
      <w:r w:rsidR="00443DDA">
        <w:rPr>
          <w:rFonts w:ascii="Arial" w:hAnsi="Arial" w:cs="Arial"/>
          <w:sz w:val="20"/>
          <w:szCs w:val="20"/>
        </w:rPr>
        <w:t>, 11 and 12</w:t>
      </w:r>
      <w:r w:rsidR="00574360" w:rsidRPr="00303C9E">
        <w:rPr>
          <w:rFonts w:ascii="Arial" w:hAnsi="Arial" w:cs="Arial"/>
          <w:sz w:val="20"/>
          <w:szCs w:val="20"/>
        </w:rPr>
        <w:t>)</w:t>
      </w:r>
      <w:r w:rsidR="0015725A" w:rsidRPr="00303C9E">
        <w:rPr>
          <w:rFonts w:ascii="Arial" w:hAnsi="Arial" w:cs="Arial"/>
          <w:sz w:val="20"/>
          <w:szCs w:val="20"/>
        </w:rPr>
        <w:t>.</w:t>
      </w:r>
    </w:p>
    <w:p w14:paraId="46129077" w14:textId="77777777" w:rsidR="00142243" w:rsidRDefault="00142243" w:rsidP="0015725A">
      <w:pPr>
        <w:spacing w:line="480" w:lineRule="auto"/>
        <w:jc w:val="both"/>
        <w:rPr>
          <w:rFonts w:ascii="Arial" w:hAnsi="Arial" w:cs="Arial"/>
          <w:b/>
          <w:sz w:val="20"/>
          <w:szCs w:val="20"/>
        </w:rPr>
      </w:pPr>
    </w:p>
    <w:p w14:paraId="513CEECF" w14:textId="77777777" w:rsidR="00142243" w:rsidRDefault="00142243" w:rsidP="0015725A">
      <w:pPr>
        <w:spacing w:line="480" w:lineRule="auto"/>
        <w:jc w:val="both"/>
        <w:rPr>
          <w:rFonts w:ascii="Arial" w:hAnsi="Arial" w:cs="Arial"/>
          <w:b/>
          <w:sz w:val="20"/>
          <w:szCs w:val="20"/>
        </w:rPr>
      </w:pPr>
    </w:p>
    <w:p w14:paraId="29A26347" w14:textId="77777777" w:rsidR="0015725A" w:rsidRPr="00CF6EFE" w:rsidRDefault="0015725A" w:rsidP="0015725A">
      <w:pPr>
        <w:spacing w:line="480" w:lineRule="auto"/>
        <w:jc w:val="both"/>
        <w:rPr>
          <w:rFonts w:ascii="Arial" w:hAnsi="Arial" w:cs="Arial"/>
          <w:b/>
          <w:sz w:val="20"/>
          <w:szCs w:val="20"/>
        </w:rPr>
      </w:pPr>
      <w:r w:rsidRPr="00CF6EFE">
        <w:rPr>
          <w:rFonts w:ascii="Arial" w:hAnsi="Arial" w:cs="Arial"/>
          <w:b/>
          <w:sz w:val="20"/>
          <w:szCs w:val="20"/>
        </w:rPr>
        <w:t>2.4.2 Sub-chronic Toxicity Study</w:t>
      </w:r>
    </w:p>
    <w:p w14:paraId="55C759BB" w14:textId="77777777" w:rsidR="00C476E8" w:rsidRDefault="006D71E5" w:rsidP="0015725A">
      <w:pPr>
        <w:spacing w:line="480" w:lineRule="auto"/>
        <w:jc w:val="both"/>
        <w:rPr>
          <w:rFonts w:ascii="Arial" w:hAnsi="Arial" w:cs="Arial"/>
          <w:sz w:val="20"/>
          <w:szCs w:val="20"/>
        </w:rPr>
      </w:pPr>
      <w:r w:rsidRPr="006D71E5">
        <w:rPr>
          <w:rFonts w:ascii="Arial" w:hAnsi="Arial" w:cs="Arial"/>
          <w:sz w:val="20"/>
          <w:szCs w:val="20"/>
        </w:rPr>
        <w:lastRenderedPageBreak/>
        <w:t>For the sub-chronic toxicity assessment, forty-eight adult Wistar rats (24 males and 24 females) were randomly assigned into four groups of twelve rats each. Group I received normal saline, while Groups II–IV were administered 500, 1000, and 1500 mg/kg body weight of the extract, respectively, for 28 consecutive days</w:t>
      </w:r>
      <w:r w:rsidR="00443DDA">
        <w:rPr>
          <w:rFonts w:ascii="Arial" w:hAnsi="Arial" w:cs="Arial"/>
          <w:sz w:val="20"/>
          <w:szCs w:val="20"/>
        </w:rPr>
        <w:t xml:space="preserve"> (13)</w:t>
      </w:r>
      <w:r w:rsidRPr="006D71E5">
        <w:rPr>
          <w:rFonts w:ascii="Arial" w:hAnsi="Arial" w:cs="Arial"/>
          <w:sz w:val="20"/>
          <w:szCs w:val="20"/>
        </w:rPr>
        <w:t xml:space="preserve">. </w:t>
      </w:r>
    </w:p>
    <w:p w14:paraId="5BCA4AF3" w14:textId="77777777" w:rsidR="0015725A" w:rsidRPr="00CF6EFE" w:rsidRDefault="0015725A" w:rsidP="0015725A">
      <w:pPr>
        <w:spacing w:line="480" w:lineRule="auto"/>
        <w:jc w:val="both"/>
        <w:rPr>
          <w:rFonts w:ascii="Arial" w:hAnsi="Arial" w:cs="Arial"/>
          <w:b/>
          <w:i/>
          <w:sz w:val="20"/>
          <w:szCs w:val="20"/>
          <w:u w:val="single"/>
        </w:rPr>
      </w:pPr>
      <w:r w:rsidRPr="00CF6EFE">
        <w:rPr>
          <w:rFonts w:ascii="Arial" w:hAnsi="Arial" w:cs="Arial"/>
          <w:b/>
          <w:i/>
          <w:sz w:val="20"/>
          <w:szCs w:val="20"/>
          <w:u w:val="single"/>
        </w:rPr>
        <w:t>2.4.2.1 Sample Collection and Processing</w:t>
      </w:r>
    </w:p>
    <w:p w14:paraId="7AAA3B51" w14:textId="77777777" w:rsidR="00C476E8" w:rsidRDefault="00C476E8" w:rsidP="0015725A">
      <w:pPr>
        <w:spacing w:line="480" w:lineRule="auto"/>
        <w:jc w:val="both"/>
        <w:rPr>
          <w:rFonts w:ascii="Arial" w:hAnsi="Arial" w:cs="Arial"/>
          <w:sz w:val="20"/>
          <w:szCs w:val="20"/>
        </w:rPr>
      </w:pPr>
      <w:r w:rsidRPr="00C476E8">
        <w:rPr>
          <w:rFonts w:ascii="Arial" w:hAnsi="Arial" w:cs="Arial"/>
          <w:sz w:val="20"/>
          <w:szCs w:val="20"/>
        </w:rPr>
        <w:t>At the end of the 28-day treatment period, the rats were fasted overnight with unrestricted access to water. Anaesthesia was induced using a ketamine–xylazine combination (50:10 mg/kg, respectively). Blood samples were obtained by cardiac puncture into lithi</w:t>
      </w:r>
      <w:r w:rsidR="00B6528F">
        <w:rPr>
          <w:rFonts w:ascii="Arial" w:hAnsi="Arial" w:cs="Arial"/>
          <w:sz w:val="20"/>
          <w:szCs w:val="20"/>
        </w:rPr>
        <w:t xml:space="preserve">um heparin tubes for thyroid </w:t>
      </w:r>
      <w:r w:rsidR="00B6528F" w:rsidRPr="00C476E8">
        <w:rPr>
          <w:rFonts w:ascii="Arial" w:hAnsi="Arial" w:cs="Arial"/>
          <w:sz w:val="20"/>
          <w:szCs w:val="20"/>
        </w:rPr>
        <w:t>and</w:t>
      </w:r>
      <w:r w:rsidRPr="00C476E8">
        <w:rPr>
          <w:rFonts w:ascii="Arial" w:hAnsi="Arial" w:cs="Arial"/>
          <w:sz w:val="20"/>
          <w:szCs w:val="20"/>
        </w:rPr>
        <w:t xml:space="preserve"> </w:t>
      </w:r>
      <w:r w:rsidR="00B6528F">
        <w:rPr>
          <w:rFonts w:ascii="Arial" w:hAnsi="Arial" w:cs="Arial"/>
          <w:sz w:val="20"/>
          <w:szCs w:val="20"/>
        </w:rPr>
        <w:t>reproductive hormones</w:t>
      </w:r>
      <w:r w:rsidRPr="00C476E8">
        <w:rPr>
          <w:rFonts w:ascii="Arial" w:hAnsi="Arial" w:cs="Arial"/>
          <w:sz w:val="20"/>
          <w:szCs w:val="20"/>
        </w:rPr>
        <w:t xml:space="preserve"> analyses.</w:t>
      </w:r>
    </w:p>
    <w:p w14:paraId="6FB299F8" w14:textId="77777777" w:rsidR="0015725A" w:rsidRPr="00223025" w:rsidRDefault="0015725A" w:rsidP="0015725A">
      <w:pPr>
        <w:spacing w:line="480" w:lineRule="auto"/>
        <w:jc w:val="both"/>
        <w:rPr>
          <w:rFonts w:ascii="Arial" w:hAnsi="Arial" w:cs="Arial"/>
          <w:b/>
        </w:rPr>
      </w:pPr>
      <w:r w:rsidRPr="00223025">
        <w:rPr>
          <w:rFonts w:ascii="Arial" w:hAnsi="Arial" w:cs="Arial"/>
          <w:b/>
        </w:rPr>
        <w:t>2.5 Hormonal Analysis</w:t>
      </w:r>
    </w:p>
    <w:p w14:paraId="31C9AF90" w14:textId="77777777" w:rsidR="00C476E8" w:rsidRDefault="00C476E8" w:rsidP="0015725A">
      <w:pPr>
        <w:spacing w:line="480" w:lineRule="auto"/>
        <w:jc w:val="both"/>
        <w:rPr>
          <w:rFonts w:ascii="Arial" w:hAnsi="Arial" w:cs="Arial"/>
          <w:sz w:val="20"/>
          <w:szCs w:val="20"/>
        </w:rPr>
      </w:pPr>
      <w:r w:rsidRPr="00C476E8">
        <w:rPr>
          <w:rFonts w:ascii="Arial" w:hAnsi="Arial" w:cs="Arial"/>
          <w:sz w:val="20"/>
          <w:szCs w:val="20"/>
        </w:rPr>
        <w:t>Plasma thyroid-stimulating hormone (TSH) levels were determined using a microplate enzyme-linked immunosorbent assay (ELISA) method as des</w:t>
      </w:r>
      <w:r w:rsidR="00443DDA">
        <w:rPr>
          <w:rFonts w:ascii="Arial" w:hAnsi="Arial" w:cs="Arial"/>
          <w:sz w:val="20"/>
          <w:szCs w:val="20"/>
        </w:rPr>
        <w:t xml:space="preserve">cribed by Hopton and </w:t>
      </w:r>
      <w:proofErr w:type="spellStart"/>
      <w:r w:rsidR="00443DDA">
        <w:rPr>
          <w:rFonts w:ascii="Arial" w:hAnsi="Arial" w:cs="Arial"/>
          <w:sz w:val="20"/>
          <w:szCs w:val="20"/>
        </w:rPr>
        <w:t>Harrap</w:t>
      </w:r>
      <w:proofErr w:type="spellEnd"/>
      <w:r w:rsidR="00443DDA">
        <w:rPr>
          <w:rFonts w:ascii="Arial" w:hAnsi="Arial" w:cs="Arial"/>
          <w:sz w:val="20"/>
          <w:szCs w:val="20"/>
        </w:rPr>
        <w:t xml:space="preserve"> (14</w:t>
      </w:r>
      <w:r w:rsidRPr="00C476E8">
        <w:rPr>
          <w:rFonts w:ascii="Arial" w:hAnsi="Arial" w:cs="Arial"/>
          <w:sz w:val="20"/>
          <w:szCs w:val="20"/>
        </w:rPr>
        <w:t xml:space="preserve">) with commercial kits obtained from </w:t>
      </w:r>
      <w:proofErr w:type="spellStart"/>
      <w:r w:rsidRPr="00C476E8">
        <w:rPr>
          <w:rFonts w:ascii="Arial" w:hAnsi="Arial" w:cs="Arial"/>
          <w:sz w:val="20"/>
          <w:szCs w:val="20"/>
        </w:rPr>
        <w:t>Monobind</w:t>
      </w:r>
      <w:proofErr w:type="spellEnd"/>
      <w:r w:rsidRPr="00C476E8">
        <w:rPr>
          <w:rFonts w:ascii="Arial" w:hAnsi="Arial" w:cs="Arial"/>
          <w:sz w:val="20"/>
          <w:szCs w:val="20"/>
        </w:rPr>
        <w:t xml:space="preserve"> Inc. (Lake Forest, CA, USA). Triiodothyronine (T</w:t>
      </w:r>
      <w:r w:rsidRPr="00C476E8">
        <w:rPr>
          <w:rFonts w:ascii="Cambria Math" w:hAnsi="Cambria Math" w:cs="Cambria Math"/>
          <w:sz w:val="20"/>
          <w:szCs w:val="20"/>
        </w:rPr>
        <w:t>₃</w:t>
      </w:r>
      <w:r w:rsidRPr="00C476E8">
        <w:rPr>
          <w:rFonts w:ascii="Arial" w:hAnsi="Arial" w:cs="Arial"/>
          <w:sz w:val="20"/>
          <w:szCs w:val="20"/>
        </w:rPr>
        <w:t xml:space="preserve">) was estimated using the ELISA technique </w:t>
      </w:r>
      <w:r w:rsidR="00443DDA">
        <w:rPr>
          <w:rFonts w:ascii="Arial" w:hAnsi="Arial" w:cs="Arial"/>
          <w:sz w:val="20"/>
          <w:szCs w:val="20"/>
        </w:rPr>
        <w:t>described by Gharib et al. (15</w:t>
      </w:r>
      <w:r w:rsidRPr="00C476E8">
        <w:rPr>
          <w:rFonts w:ascii="Arial" w:hAnsi="Arial" w:cs="Arial"/>
          <w:sz w:val="20"/>
          <w:szCs w:val="20"/>
        </w:rPr>
        <w:t>), while thyroxine (T</w:t>
      </w:r>
      <w:r w:rsidRPr="00C476E8">
        <w:rPr>
          <w:rFonts w:ascii="Cambria Math" w:hAnsi="Cambria Math" w:cs="Cambria Math"/>
          <w:sz w:val="20"/>
          <w:szCs w:val="20"/>
        </w:rPr>
        <w:t>₄</w:t>
      </w:r>
      <w:r w:rsidRPr="00C476E8">
        <w:rPr>
          <w:rFonts w:ascii="Arial" w:hAnsi="Arial" w:cs="Arial"/>
          <w:sz w:val="20"/>
          <w:szCs w:val="20"/>
        </w:rPr>
        <w:t>) was quantified foll</w:t>
      </w:r>
      <w:r w:rsidR="00443DDA">
        <w:rPr>
          <w:rFonts w:ascii="Arial" w:hAnsi="Arial" w:cs="Arial"/>
          <w:sz w:val="20"/>
          <w:szCs w:val="20"/>
        </w:rPr>
        <w:t>owing the method of Barker (16</w:t>
      </w:r>
      <w:r w:rsidRPr="00C476E8">
        <w:rPr>
          <w:rFonts w:ascii="Arial" w:hAnsi="Arial" w:cs="Arial"/>
          <w:sz w:val="20"/>
          <w:szCs w:val="20"/>
        </w:rPr>
        <w:t xml:space="preserve">), using </w:t>
      </w:r>
      <w:proofErr w:type="spellStart"/>
      <w:r w:rsidRPr="00C476E8">
        <w:rPr>
          <w:rFonts w:ascii="Arial" w:hAnsi="Arial" w:cs="Arial"/>
          <w:sz w:val="20"/>
          <w:szCs w:val="20"/>
        </w:rPr>
        <w:t>Monobind</w:t>
      </w:r>
      <w:proofErr w:type="spellEnd"/>
      <w:r w:rsidRPr="00C476E8">
        <w:rPr>
          <w:rFonts w:ascii="Arial" w:hAnsi="Arial" w:cs="Arial"/>
          <w:sz w:val="20"/>
          <w:szCs w:val="20"/>
        </w:rPr>
        <w:t xml:space="preserve"> diagnostic kits.</w:t>
      </w:r>
      <w:r>
        <w:rPr>
          <w:rFonts w:ascii="Arial" w:hAnsi="Arial" w:cs="Arial"/>
          <w:sz w:val="20"/>
          <w:szCs w:val="20"/>
        </w:rPr>
        <w:t xml:space="preserve"> </w:t>
      </w:r>
      <w:r w:rsidRPr="00C476E8">
        <w:rPr>
          <w:rFonts w:ascii="Arial" w:hAnsi="Arial" w:cs="Arial"/>
          <w:sz w:val="20"/>
          <w:szCs w:val="20"/>
        </w:rPr>
        <w:t>Serum testosterone (17β-hydroxy-4-androstene-3-one), prolactin (PRL), and follicle-stimulating hormone (FSH) levels were measured using ELISA procedures</w:t>
      </w:r>
      <w:r w:rsidR="00443DDA">
        <w:rPr>
          <w:rFonts w:ascii="Arial" w:hAnsi="Arial" w:cs="Arial"/>
          <w:sz w:val="20"/>
          <w:szCs w:val="20"/>
        </w:rPr>
        <w:t xml:space="preserve"> described by Odell et al. (17</w:t>
      </w:r>
      <w:r w:rsidRPr="00C476E8">
        <w:rPr>
          <w:rFonts w:ascii="Arial" w:hAnsi="Arial" w:cs="Arial"/>
          <w:sz w:val="20"/>
          <w:szCs w:val="20"/>
        </w:rPr>
        <w:t>). Luteinizing hormone (LH) was determined foll</w:t>
      </w:r>
      <w:r w:rsidR="00443DDA">
        <w:rPr>
          <w:rFonts w:ascii="Arial" w:hAnsi="Arial" w:cs="Arial"/>
          <w:sz w:val="20"/>
          <w:szCs w:val="20"/>
        </w:rPr>
        <w:t xml:space="preserve">owing the method of </w:t>
      </w:r>
      <w:proofErr w:type="spellStart"/>
      <w:r w:rsidR="00443DDA">
        <w:rPr>
          <w:rFonts w:ascii="Arial" w:hAnsi="Arial" w:cs="Arial"/>
          <w:sz w:val="20"/>
          <w:szCs w:val="20"/>
        </w:rPr>
        <w:t>Kosasa</w:t>
      </w:r>
      <w:proofErr w:type="spellEnd"/>
      <w:r w:rsidR="00443DDA">
        <w:rPr>
          <w:rFonts w:ascii="Arial" w:hAnsi="Arial" w:cs="Arial"/>
          <w:sz w:val="20"/>
          <w:szCs w:val="20"/>
        </w:rPr>
        <w:t xml:space="preserve"> (18</w:t>
      </w:r>
      <w:r w:rsidRPr="00C476E8">
        <w:rPr>
          <w:rFonts w:ascii="Arial" w:hAnsi="Arial" w:cs="Arial"/>
          <w:sz w:val="20"/>
          <w:szCs w:val="20"/>
        </w:rPr>
        <w:t xml:space="preserve">), while </w:t>
      </w:r>
      <w:proofErr w:type="spellStart"/>
      <w:r w:rsidRPr="00C476E8">
        <w:rPr>
          <w:rFonts w:ascii="Arial" w:hAnsi="Arial" w:cs="Arial"/>
          <w:sz w:val="20"/>
          <w:szCs w:val="20"/>
        </w:rPr>
        <w:t>estradiol</w:t>
      </w:r>
      <w:proofErr w:type="spellEnd"/>
      <w:r w:rsidRPr="00C476E8">
        <w:rPr>
          <w:rFonts w:ascii="Arial" w:hAnsi="Arial" w:cs="Arial"/>
          <w:sz w:val="20"/>
          <w:szCs w:val="20"/>
        </w:rPr>
        <w:t xml:space="preserve"> (E</w:t>
      </w:r>
      <w:r w:rsidRPr="00C476E8">
        <w:rPr>
          <w:rFonts w:ascii="Cambria Math" w:hAnsi="Cambria Math" w:cs="Cambria Math"/>
          <w:sz w:val="20"/>
          <w:szCs w:val="20"/>
        </w:rPr>
        <w:t>₂</w:t>
      </w:r>
      <w:r w:rsidRPr="00C476E8">
        <w:rPr>
          <w:rFonts w:ascii="Arial" w:hAnsi="Arial" w:cs="Arial"/>
          <w:sz w:val="20"/>
          <w:szCs w:val="20"/>
        </w:rPr>
        <w:t>) was estimated acc</w:t>
      </w:r>
      <w:r w:rsidR="00443DDA">
        <w:rPr>
          <w:rFonts w:ascii="Arial" w:hAnsi="Arial" w:cs="Arial"/>
          <w:sz w:val="20"/>
          <w:szCs w:val="20"/>
        </w:rPr>
        <w:t>ording to Corker and Exley (19</w:t>
      </w:r>
      <w:r w:rsidRPr="00C476E8">
        <w:rPr>
          <w:rFonts w:ascii="Arial" w:hAnsi="Arial" w:cs="Arial"/>
          <w:sz w:val="20"/>
          <w:szCs w:val="20"/>
        </w:rPr>
        <w:t xml:space="preserve">). All analyses were performed using </w:t>
      </w:r>
      <w:proofErr w:type="spellStart"/>
      <w:r w:rsidRPr="00C476E8">
        <w:rPr>
          <w:rFonts w:ascii="Arial" w:hAnsi="Arial" w:cs="Arial"/>
          <w:sz w:val="20"/>
          <w:szCs w:val="20"/>
        </w:rPr>
        <w:t>Monobind</w:t>
      </w:r>
      <w:proofErr w:type="spellEnd"/>
      <w:r w:rsidRPr="00C476E8">
        <w:rPr>
          <w:rFonts w:ascii="Arial" w:hAnsi="Arial" w:cs="Arial"/>
          <w:sz w:val="20"/>
          <w:szCs w:val="20"/>
        </w:rPr>
        <w:t xml:space="preserve"> ELISA reagent kits.</w:t>
      </w:r>
    </w:p>
    <w:p w14:paraId="2160F384" w14:textId="77777777" w:rsidR="0015725A" w:rsidRPr="00223025" w:rsidRDefault="0015725A" w:rsidP="0015725A">
      <w:pPr>
        <w:spacing w:line="480" w:lineRule="auto"/>
        <w:jc w:val="both"/>
        <w:rPr>
          <w:rFonts w:ascii="Arial" w:hAnsi="Arial" w:cs="Arial"/>
          <w:b/>
        </w:rPr>
      </w:pPr>
      <w:r w:rsidRPr="00223025">
        <w:rPr>
          <w:rFonts w:ascii="Arial" w:hAnsi="Arial" w:cs="Arial"/>
          <w:b/>
        </w:rPr>
        <w:t>2.6 Statistical Analysis</w:t>
      </w:r>
    </w:p>
    <w:p w14:paraId="1F6ADE61" w14:textId="77777777" w:rsidR="00C476E8" w:rsidRDefault="00C476E8" w:rsidP="0015725A">
      <w:pPr>
        <w:spacing w:line="480" w:lineRule="auto"/>
        <w:jc w:val="both"/>
        <w:rPr>
          <w:rFonts w:ascii="Arial" w:hAnsi="Arial" w:cs="Arial"/>
          <w:sz w:val="20"/>
          <w:szCs w:val="20"/>
        </w:rPr>
      </w:pPr>
      <w:r w:rsidRPr="00C476E8">
        <w:rPr>
          <w:rFonts w:ascii="Arial" w:hAnsi="Arial" w:cs="Arial"/>
          <w:sz w:val="20"/>
          <w:szCs w:val="20"/>
        </w:rPr>
        <w:t>Data were analysed using Statistical Package for Social Sciences (SPSS) software version 23.0 (SPSS Inc., Chicago, IL, USA). Results were expressed as mean ± standard error of the mean (SEM). Data normality was assessed using the Shapiro–Wilk test. Group comparisons were performed using two-way analysis of variance (ANOVA), followed by least significant difference (LSD) post hoc test where appropriate. Statistical significance was accepted at p ≤ 0.05.</w:t>
      </w:r>
    </w:p>
    <w:p w14:paraId="61E1F764" w14:textId="77777777" w:rsidR="00C476E8" w:rsidRDefault="00C476E8" w:rsidP="0015725A">
      <w:pPr>
        <w:spacing w:line="480" w:lineRule="auto"/>
        <w:jc w:val="both"/>
        <w:rPr>
          <w:rFonts w:ascii="Arial" w:hAnsi="Arial" w:cs="Arial"/>
          <w:sz w:val="20"/>
          <w:szCs w:val="20"/>
        </w:rPr>
      </w:pPr>
    </w:p>
    <w:p w14:paraId="34DCB476" w14:textId="77777777" w:rsidR="0015725A" w:rsidRPr="00223025" w:rsidRDefault="0015725A" w:rsidP="0015725A">
      <w:pPr>
        <w:spacing w:line="480" w:lineRule="auto"/>
        <w:jc w:val="both"/>
        <w:rPr>
          <w:rFonts w:ascii="Arial" w:hAnsi="Arial" w:cs="Arial"/>
          <w:b/>
        </w:rPr>
      </w:pPr>
      <w:r w:rsidRPr="00223025">
        <w:rPr>
          <w:rFonts w:ascii="Arial" w:hAnsi="Arial" w:cs="Arial"/>
          <w:b/>
        </w:rPr>
        <w:t>3. RESULTS AND DISCUSSION</w:t>
      </w:r>
    </w:p>
    <w:p w14:paraId="1203D362" w14:textId="77777777" w:rsidR="00C476E8" w:rsidRPr="00C476E8" w:rsidRDefault="00C476E8" w:rsidP="00C476E8">
      <w:pPr>
        <w:spacing w:line="480" w:lineRule="auto"/>
        <w:jc w:val="both"/>
        <w:rPr>
          <w:rFonts w:ascii="Arial" w:hAnsi="Arial" w:cs="Arial"/>
          <w:sz w:val="20"/>
          <w:szCs w:val="20"/>
        </w:rPr>
      </w:pPr>
      <w:r w:rsidRPr="00C476E8">
        <w:rPr>
          <w:rFonts w:ascii="Arial" w:hAnsi="Arial" w:cs="Arial"/>
          <w:sz w:val="20"/>
          <w:szCs w:val="20"/>
        </w:rPr>
        <w:lastRenderedPageBreak/>
        <w:t>The grouping of male Wistar rats used for the determination of the median lethal dose (LD</w:t>
      </w:r>
      <w:r w:rsidRPr="00C476E8">
        <w:rPr>
          <w:rFonts w:ascii="Cambria Math" w:hAnsi="Cambria Math" w:cs="Cambria Math"/>
          <w:sz w:val="20"/>
          <w:szCs w:val="20"/>
        </w:rPr>
        <w:t>₅₀</w:t>
      </w:r>
      <w:r w:rsidRPr="00C476E8">
        <w:rPr>
          <w:rFonts w:ascii="Arial" w:hAnsi="Arial" w:cs="Arial"/>
          <w:sz w:val="20"/>
          <w:szCs w:val="20"/>
        </w:rPr>
        <w:t xml:space="preserve">) of the ethyl acetate leaf extract of </w:t>
      </w:r>
      <w:r w:rsidRPr="007F521A">
        <w:rPr>
          <w:rFonts w:ascii="Arial" w:hAnsi="Arial" w:cs="Arial"/>
          <w:i/>
          <w:sz w:val="20"/>
          <w:szCs w:val="20"/>
        </w:rPr>
        <w:t>Gliricidia sepium</w:t>
      </w:r>
      <w:r w:rsidRPr="00C476E8">
        <w:rPr>
          <w:rFonts w:ascii="Arial" w:hAnsi="Arial" w:cs="Arial"/>
          <w:sz w:val="20"/>
          <w:szCs w:val="20"/>
        </w:rPr>
        <w:t xml:space="preserve"> is presented in Table 1. No mortality or observable behavioural abnormalities were recorded in any of the animals during both phases of the acute toxicity study. These findings indicate that the oral LD</w:t>
      </w:r>
      <w:r w:rsidRPr="00C476E8">
        <w:rPr>
          <w:rFonts w:ascii="Cambria Math" w:hAnsi="Cambria Math" w:cs="Cambria Math"/>
          <w:sz w:val="20"/>
          <w:szCs w:val="20"/>
        </w:rPr>
        <w:t>₅₀</w:t>
      </w:r>
      <w:r w:rsidRPr="00C476E8">
        <w:rPr>
          <w:rFonts w:ascii="Arial" w:hAnsi="Arial" w:cs="Arial"/>
          <w:sz w:val="20"/>
          <w:szCs w:val="20"/>
        </w:rPr>
        <w:t xml:space="preserve"> of the extract is greater than 5000 mg/kg body weight.</w:t>
      </w:r>
    </w:p>
    <w:p w14:paraId="37D11924" w14:textId="4D9328F7" w:rsidR="00C476E8" w:rsidRPr="00C476E8" w:rsidRDefault="00C476E8" w:rsidP="00C476E8">
      <w:pPr>
        <w:spacing w:line="480" w:lineRule="auto"/>
        <w:jc w:val="both"/>
        <w:rPr>
          <w:rFonts w:ascii="Arial" w:hAnsi="Arial" w:cs="Arial"/>
          <w:sz w:val="20"/>
          <w:szCs w:val="20"/>
        </w:rPr>
      </w:pPr>
      <w:r w:rsidRPr="00C476E8">
        <w:rPr>
          <w:rFonts w:ascii="Arial" w:hAnsi="Arial" w:cs="Arial"/>
          <w:sz w:val="20"/>
          <w:szCs w:val="20"/>
        </w:rPr>
        <w:t xml:space="preserve">Acute toxicity testing is a fundamental step in the toxicological evaluation of plant extracts. In the present study, administration of single oral doses of </w:t>
      </w:r>
      <w:r w:rsidR="007F7906">
        <w:rPr>
          <w:rFonts w:ascii="Arial" w:hAnsi="Arial" w:cs="Arial"/>
          <w:i/>
          <w:sz w:val="20"/>
          <w:szCs w:val="20"/>
        </w:rPr>
        <w:t>Gliricidia</w:t>
      </w:r>
      <w:r w:rsidR="007F7906" w:rsidRPr="007F521A">
        <w:rPr>
          <w:rFonts w:ascii="Arial" w:hAnsi="Arial" w:cs="Arial"/>
          <w:i/>
          <w:sz w:val="20"/>
          <w:szCs w:val="20"/>
        </w:rPr>
        <w:t xml:space="preserve"> </w:t>
      </w:r>
      <w:r w:rsidRPr="007F521A">
        <w:rPr>
          <w:rFonts w:ascii="Arial" w:hAnsi="Arial" w:cs="Arial"/>
          <w:i/>
          <w:sz w:val="20"/>
          <w:szCs w:val="20"/>
        </w:rPr>
        <w:t>sepium</w:t>
      </w:r>
      <w:r w:rsidRPr="00C476E8">
        <w:rPr>
          <w:rFonts w:ascii="Arial" w:hAnsi="Arial" w:cs="Arial"/>
          <w:sz w:val="20"/>
          <w:szCs w:val="20"/>
        </w:rPr>
        <w:t xml:space="preserve"> extract up to 5000 mg/kg body weight did not elicit any signs of toxicity or mortality, suggesting a wide margin of safety. Based on the Globally Harmonized System (GHS) for chemical classification</w:t>
      </w:r>
      <w:r w:rsidR="000D21E1">
        <w:rPr>
          <w:rFonts w:ascii="Arial" w:hAnsi="Arial" w:cs="Arial"/>
          <w:sz w:val="20"/>
          <w:szCs w:val="20"/>
        </w:rPr>
        <w:t xml:space="preserve"> (</w:t>
      </w:r>
      <w:r w:rsidR="00443DDA">
        <w:rPr>
          <w:rFonts w:ascii="Arial" w:hAnsi="Arial" w:cs="Arial"/>
          <w:sz w:val="20"/>
          <w:szCs w:val="20"/>
        </w:rPr>
        <w:t>20</w:t>
      </w:r>
      <w:r w:rsidR="000D21E1">
        <w:rPr>
          <w:rFonts w:ascii="Arial" w:hAnsi="Arial" w:cs="Arial"/>
          <w:sz w:val="20"/>
          <w:szCs w:val="20"/>
        </w:rPr>
        <w:t>)</w:t>
      </w:r>
      <w:r w:rsidRPr="00C476E8">
        <w:rPr>
          <w:rFonts w:ascii="Arial" w:hAnsi="Arial" w:cs="Arial"/>
          <w:sz w:val="20"/>
          <w:szCs w:val="20"/>
        </w:rPr>
        <w:t>, the extract may therefore be categorized as having low acute toxicity.</w:t>
      </w:r>
    </w:p>
    <w:p w14:paraId="6BBE38F1" w14:textId="77777777" w:rsidR="0015725A" w:rsidRDefault="00C476E8" w:rsidP="00C476E8">
      <w:pPr>
        <w:spacing w:line="480" w:lineRule="auto"/>
        <w:jc w:val="both"/>
        <w:rPr>
          <w:rFonts w:ascii="Arial" w:hAnsi="Arial" w:cs="Arial"/>
          <w:sz w:val="20"/>
          <w:szCs w:val="20"/>
        </w:rPr>
      </w:pPr>
      <w:r w:rsidRPr="00C476E8">
        <w:rPr>
          <w:rFonts w:ascii="Arial" w:hAnsi="Arial" w:cs="Arial"/>
          <w:sz w:val="20"/>
          <w:szCs w:val="20"/>
        </w:rPr>
        <w:t>The sub-chronic toxicity study further demonstrated that repeated oral administration of the extract for 28 days did not produce mortality or adverse clinical signs. All treated animals remained active and exhibited normal behavioural responses throughout the experimental period. Repeated-dose toxicity studies are essential for identifying potential target organ toxicity and evaluating the long-term saf</w:t>
      </w:r>
      <w:r w:rsidR="000D21E1">
        <w:rPr>
          <w:rFonts w:ascii="Arial" w:hAnsi="Arial" w:cs="Arial"/>
          <w:sz w:val="20"/>
          <w:szCs w:val="20"/>
        </w:rPr>
        <w:t xml:space="preserve">ety profile of test substances. </w:t>
      </w:r>
    </w:p>
    <w:p w14:paraId="7B9B5E99" w14:textId="77777777" w:rsidR="002503A2" w:rsidRDefault="002503A2" w:rsidP="00C476E8">
      <w:pPr>
        <w:spacing w:line="480" w:lineRule="auto"/>
        <w:jc w:val="both"/>
        <w:rPr>
          <w:rFonts w:ascii="Arial" w:hAnsi="Arial" w:cs="Arial"/>
          <w:sz w:val="20"/>
          <w:szCs w:val="20"/>
        </w:rPr>
      </w:pPr>
    </w:p>
    <w:p w14:paraId="128906E6" w14:textId="77777777" w:rsidR="002503A2" w:rsidRDefault="002503A2" w:rsidP="00C476E8">
      <w:pPr>
        <w:spacing w:line="480" w:lineRule="auto"/>
        <w:jc w:val="both"/>
        <w:rPr>
          <w:rFonts w:ascii="Arial" w:hAnsi="Arial" w:cs="Arial"/>
          <w:sz w:val="20"/>
          <w:szCs w:val="20"/>
        </w:rPr>
      </w:pPr>
    </w:p>
    <w:p w14:paraId="2DDA6E03" w14:textId="77777777" w:rsidR="002503A2" w:rsidRDefault="002503A2" w:rsidP="00C476E8">
      <w:pPr>
        <w:spacing w:line="480" w:lineRule="auto"/>
        <w:jc w:val="both"/>
        <w:rPr>
          <w:rFonts w:ascii="Arial" w:hAnsi="Arial" w:cs="Arial"/>
          <w:sz w:val="20"/>
          <w:szCs w:val="20"/>
        </w:rPr>
      </w:pPr>
    </w:p>
    <w:p w14:paraId="2FBB355E" w14:textId="77777777" w:rsidR="002503A2" w:rsidRDefault="002503A2" w:rsidP="00C476E8">
      <w:pPr>
        <w:spacing w:line="480" w:lineRule="auto"/>
        <w:jc w:val="both"/>
        <w:rPr>
          <w:rFonts w:ascii="Arial" w:hAnsi="Arial" w:cs="Arial"/>
          <w:sz w:val="20"/>
          <w:szCs w:val="20"/>
        </w:rPr>
      </w:pPr>
    </w:p>
    <w:p w14:paraId="3BFB2D8B" w14:textId="77777777" w:rsidR="002503A2" w:rsidRDefault="002503A2" w:rsidP="00C476E8">
      <w:pPr>
        <w:spacing w:line="480" w:lineRule="auto"/>
        <w:jc w:val="both"/>
        <w:rPr>
          <w:rFonts w:ascii="Arial" w:hAnsi="Arial" w:cs="Arial"/>
          <w:sz w:val="20"/>
          <w:szCs w:val="20"/>
        </w:rPr>
      </w:pPr>
    </w:p>
    <w:p w14:paraId="2E0EF188" w14:textId="77777777" w:rsidR="002503A2" w:rsidRDefault="002503A2" w:rsidP="00C476E8">
      <w:pPr>
        <w:spacing w:line="480" w:lineRule="auto"/>
        <w:jc w:val="both"/>
        <w:rPr>
          <w:rFonts w:ascii="Arial" w:hAnsi="Arial" w:cs="Arial"/>
          <w:sz w:val="20"/>
          <w:szCs w:val="20"/>
        </w:rPr>
      </w:pPr>
    </w:p>
    <w:p w14:paraId="0E54C58D" w14:textId="77777777" w:rsidR="002503A2" w:rsidRDefault="002503A2" w:rsidP="00C476E8">
      <w:pPr>
        <w:spacing w:line="480" w:lineRule="auto"/>
        <w:jc w:val="both"/>
        <w:rPr>
          <w:rFonts w:ascii="Arial" w:hAnsi="Arial" w:cs="Arial"/>
          <w:sz w:val="20"/>
          <w:szCs w:val="20"/>
        </w:rPr>
      </w:pPr>
    </w:p>
    <w:p w14:paraId="652B6F36" w14:textId="77777777" w:rsidR="002503A2" w:rsidRDefault="002503A2" w:rsidP="00C476E8">
      <w:pPr>
        <w:spacing w:line="480" w:lineRule="auto"/>
        <w:jc w:val="both"/>
        <w:rPr>
          <w:rFonts w:ascii="Arial" w:hAnsi="Arial" w:cs="Arial"/>
          <w:sz w:val="20"/>
          <w:szCs w:val="20"/>
        </w:rPr>
      </w:pPr>
    </w:p>
    <w:p w14:paraId="4E566546" w14:textId="77777777" w:rsidR="002503A2" w:rsidRDefault="002503A2" w:rsidP="00C476E8">
      <w:pPr>
        <w:spacing w:line="480" w:lineRule="auto"/>
        <w:jc w:val="both"/>
        <w:rPr>
          <w:rFonts w:ascii="Arial" w:hAnsi="Arial" w:cs="Arial"/>
          <w:sz w:val="20"/>
          <w:szCs w:val="20"/>
        </w:rPr>
      </w:pPr>
    </w:p>
    <w:p w14:paraId="63781587" w14:textId="77777777" w:rsidR="002503A2" w:rsidRPr="00303C9E" w:rsidRDefault="002503A2" w:rsidP="00C476E8">
      <w:pPr>
        <w:spacing w:line="480" w:lineRule="auto"/>
        <w:jc w:val="both"/>
        <w:rPr>
          <w:rFonts w:ascii="Arial" w:hAnsi="Arial" w:cs="Arial"/>
          <w:sz w:val="20"/>
          <w:szCs w:val="20"/>
        </w:rPr>
      </w:pPr>
    </w:p>
    <w:p w14:paraId="10DED9DA" w14:textId="2F46553A" w:rsidR="001C3C17" w:rsidRPr="00223025" w:rsidRDefault="001C3C17" w:rsidP="001C3C17">
      <w:pPr>
        <w:spacing w:line="480" w:lineRule="auto"/>
        <w:rPr>
          <w:rFonts w:ascii="Arial" w:hAnsi="Arial" w:cs="Arial"/>
          <w:b/>
        </w:rPr>
      </w:pPr>
      <w:r w:rsidRPr="00223025">
        <w:rPr>
          <w:rFonts w:ascii="Arial" w:hAnsi="Arial" w:cs="Arial"/>
          <w:b/>
        </w:rPr>
        <w:t>Table 1: Acute toxicity profile (LD</w:t>
      </w:r>
      <w:r w:rsidRPr="00223025">
        <w:rPr>
          <w:rFonts w:ascii="Arial" w:hAnsi="Arial" w:cs="Arial"/>
          <w:b/>
          <w:vertAlign w:val="subscript"/>
        </w:rPr>
        <w:t>50</w:t>
      </w:r>
      <w:r w:rsidRPr="00223025">
        <w:rPr>
          <w:rFonts w:ascii="Arial" w:hAnsi="Arial" w:cs="Arial"/>
          <w:b/>
        </w:rPr>
        <w:t xml:space="preserve">) of </w:t>
      </w:r>
      <w:r w:rsidR="007F7906">
        <w:rPr>
          <w:rFonts w:ascii="Arial" w:hAnsi="Arial" w:cs="Arial"/>
          <w:b/>
          <w:i/>
        </w:rPr>
        <w:t>Gliricidia</w:t>
      </w:r>
      <w:r w:rsidR="007F7906" w:rsidRPr="00223025">
        <w:rPr>
          <w:rFonts w:ascii="Arial" w:hAnsi="Arial" w:cs="Arial"/>
          <w:b/>
          <w:i/>
        </w:rPr>
        <w:t xml:space="preserve"> </w:t>
      </w:r>
      <w:r w:rsidRPr="00223025">
        <w:rPr>
          <w:rFonts w:ascii="Arial" w:hAnsi="Arial" w:cs="Arial"/>
          <w:b/>
          <w:i/>
        </w:rPr>
        <w:t xml:space="preserve">sepium    </w:t>
      </w:r>
      <w:r w:rsidRPr="00223025">
        <w:rPr>
          <w:rFonts w:ascii="Arial" w:hAnsi="Arial" w:cs="Arial"/>
          <w:b/>
        </w:rPr>
        <w:t xml:space="preserve"> ethyl acetate leaves extract in male Wistar rats.</w:t>
      </w:r>
      <w:r w:rsidR="001D50E1">
        <w:rPr>
          <w:rFonts w:ascii="Arial" w:hAnsi="Arial" w:cs="Arial"/>
          <w:b/>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1721"/>
        <w:gridCol w:w="1737"/>
        <w:gridCol w:w="1922"/>
        <w:gridCol w:w="1837"/>
        <w:gridCol w:w="1809"/>
      </w:tblGrid>
      <w:tr w:rsidR="001C3C17" w:rsidRPr="00223025" w14:paraId="22ACB575" w14:textId="77777777" w:rsidTr="00140757">
        <w:tc>
          <w:tcPr>
            <w:tcW w:w="1721" w:type="dxa"/>
            <w:tcBorders>
              <w:bottom w:val="single" w:sz="4" w:space="0" w:color="auto"/>
            </w:tcBorders>
          </w:tcPr>
          <w:p w14:paraId="505832B2" w14:textId="77777777" w:rsidR="001C3C17" w:rsidRPr="00223025" w:rsidRDefault="001C3C17" w:rsidP="00140757">
            <w:pPr>
              <w:spacing w:line="480" w:lineRule="auto"/>
              <w:rPr>
                <w:rFonts w:ascii="Arial" w:hAnsi="Arial" w:cs="Arial"/>
                <w:b/>
              </w:rPr>
            </w:pPr>
            <w:r w:rsidRPr="00223025">
              <w:rPr>
                <w:rFonts w:ascii="Arial" w:hAnsi="Arial" w:cs="Arial"/>
                <w:b/>
              </w:rPr>
              <w:lastRenderedPageBreak/>
              <w:t>Dose (mg/kg)</w:t>
            </w:r>
          </w:p>
        </w:tc>
        <w:tc>
          <w:tcPr>
            <w:tcW w:w="1737" w:type="dxa"/>
            <w:tcBorders>
              <w:bottom w:val="single" w:sz="4" w:space="0" w:color="auto"/>
            </w:tcBorders>
          </w:tcPr>
          <w:p w14:paraId="629DC0D6" w14:textId="77777777" w:rsidR="001C3C17" w:rsidRPr="00223025" w:rsidRDefault="001C3C17" w:rsidP="00140757">
            <w:pPr>
              <w:spacing w:line="480" w:lineRule="auto"/>
              <w:rPr>
                <w:rFonts w:ascii="Arial" w:hAnsi="Arial" w:cs="Arial"/>
                <w:b/>
              </w:rPr>
            </w:pPr>
            <w:r w:rsidRPr="00223025">
              <w:rPr>
                <w:rFonts w:ascii="Arial" w:hAnsi="Arial" w:cs="Arial"/>
                <w:b/>
              </w:rPr>
              <w:t>Number of rats used</w:t>
            </w:r>
          </w:p>
        </w:tc>
        <w:tc>
          <w:tcPr>
            <w:tcW w:w="1922" w:type="dxa"/>
            <w:tcBorders>
              <w:bottom w:val="single" w:sz="4" w:space="0" w:color="auto"/>
            </w:tcBorders>
          </w:tcPr>
          <w:p w14:paraId="58FBBA57" w14:textId="77777777" w:rsidR="001C3C17" w:rsidRPr="00223025" w:rsidRDefault="001C3C17" w:rsidP="00140757">
            <w:pPr>
              <w:spacing w:line="480" w:lineRule="auto"/>
              <w:rPr>
                <w:rFonts w:ascii="Arial" w:hAnsi="Arial" w:cs="Arial"/>
                <w:b/>
              </w:rPr>
            </w:pPr>
            <w:r w:rsidRPr="00223025">
              <w:rPr>
                <w:rFonts w:ascii="Arial" w:hAnsi="Arial" w:cs="Arial"/>
                <w:b/>
              </w:rPr>
              <w:t>Observation period</w:t>
            </w:r>
          </w:p>
        </w:tc>
        <w:tc>
          <w:tcPr>
            <w:tcW w:w="1837" w:type="dxa"/>
            <w:tcBorders>
              <w:bottom w:val="single" w:sz="4" w:space="0" w:color="auto"/>
            </w:tcBorders>
          </w:tcPr>
          <w:p w14:paraId="4C288B53" w14:textId="77777777" w:rsidR="001C3C17" w:rsidRPr="00223025" w:rsidRDefault="001C3C17" w:rsidP="00140757">
            <w:pPr>
              <w:spacing w:line="480" w:lineRule="auto"/>
              <w:rPr>
                <w:rFonts w:ascii="Arial" w:hAnsi="Arial" w:cs="Arial"/>
                <w:b/>
              </w:rPr>
            </w:pPr>
            <w:proofErr w:type="spellStart"/>
            <w:r w:rsidRPr="00223025">
              <w:rPr>
                <w:rFonts w:ascii="Arial" w:hAnsi="Arial" w:cs="Arial"/>
                <w:b/>
                <w:bCs/>
              </w:rPr>
              <w:t>Behavioral</w:t>
            </w:r>
            <w:proofErr w:type="spellEnd"/>
            <w:r w:rsidRPr="00223025">
              <w:rPr>
                <w:rFonts w:ascii="Arial" w:hAnsi="Arial" w:cs="Arial"/>
                <w:b/>
                <w:bCs/>
              </w:rPr>
              <w:t xml:space="preserve"> changes </w:t>
            </w:r>
          </w:p>
        </w:tc>
        <w:tc>
          <w:tcPr>
            <w:tcW w:w="1809" w:type="dxa"/>
            <w:tcBorders>
              <w:bottom w:val="single" w:sz="4" w:space="0" w:color="auto"/>
            </w:tcBorders>
          </w:tcPr>
          <w:p w14:paraId="4A75C253" w14:textId="77777777" w:rsidR="001C3C17" w:rsidRPr="00223025" w:rsidRDefault="001C3C17" w:rsidP="00140757">
            <w:pPr>
              <w:spacing w:line="480" w:lineRule="auto"/>
              <w:rPr>
                <w:rFonts w:ascii="Arial" w:hAnsi="Arial" w:cs="Arial"/>
                <w:b/>
              </w:rPr>
            </w:pPr>
            <w:r w:rsidRPr="00223025">
              <w:rPr>
                <w:rFonts w:ascii="Arial" w:hAnsi="Arial" w:cs="Arial"/>
                <w:b/>
              </w:rPr>
              <w:t>Mortality</w:t>
            </w:r>
          </w:p>
        </w:tc>
      </w:tr>
      <w:tr w:rsidR="001C3C17" w:rsidRPr="00223025" w14:paraId="631136C6" w14:textId="77777777" w:rsidTr="00140757">
        <w:tc>
          <w:tcPr>
            <w:tcW w:w="1721" w:type="dxa"/>
            <w:tcBorders>
              <w:top w:val="single" w:sz="4" w:space="0" w:color="auto"/>
              <w:bottom w:val="nil"/>
            </w:tcBorders>
          </w:tcPr>
          <w:p w14:paraId="56BA1209" w14:textId="77777777" w:rsidR="001C3C17" w:rsidRPr="00223025" w:rsidRDefault="001C3C17" w:rsidP="00140757">
            <w:pPr>
              <w:rPr>
                <w:rFonts w:ascii="Arial" w:hAnsi="Arial" w:cs="Arial"/>
                <w:b/>
              </w:rPr>
            </w:pPr>
          </w:p>
          <w:p w14:paraId="3B52B684" w14:textId="77777777" w:rsidR="001C3C17" w:rsidRPr="00223025" w:rsidRDefault="001C3C17" w:rsidP="00140757">
            <w:pPr>
              <w:rPr>
                <w:rFonts w:ascii="Arial" w:hAnsi="Arial" w:cs="Arial"/>
                <w:b/>
              </w:rPr>
            </w:pPr>
            <w:r w:rsidRPr="00223025">
              <w:rPr>
                <w:rFonts w:ascii="Arial" w:hAnsi="Arial" w:cs="Arial"/>
                <w:b/>
              </w:rPr>
              <w:t>10</w:t>
            </w:r>
          </w:p>
          <w:p w14:paraId="6F30B839" w14:textId="77777777" w:rsidR="001C3C17" w:rsidRPr="00223025" w:rsidRDefault="001C3C17" w:rsidP="00140757">
            <w:pPr>
              <w:rPr>
                <w:rFonts w:ascii="Arial" w:hAnsi="Arial" w:cs="Arial"/>
                <w:b/>
              </w:rPr>
            </w:pPr>
          </w:p>
        </w:tc>
        <w:tc>
          <w:tcPr>
            <w:tcW w:w="1737" w:type="dxa"/>
            <w:tcBorders>
              <w:top w:val="single" w:sz="4" w:space="0" w:color="auto"/>
              <w:bottom w:val="nil"/>
            </w:tcBorders>
          </w:tcPr>
          <w:p w14:paraId="3B184D7B" w14:textId="77777777" w:rsidR="001C3C17" w:rsidRPr="00223025" w:rsidRDefault="001C3C17" w:rsidP="00140757">
            <w:pPr>
              <w:rPr>
                <w:rFonts w:ascii="Arial" w:hAnsi="Arial" w:cs="Arial"/>
              </w:rPr>
            </w:pPr>
          </w:p>
          <w:p w14:paraId="2E613B61" w14:textId="77777777" w:rsidR="001C3C17" w:rsidRPr="00223025" w:rsidRDefault="001C3C17" w:rsidP="00140757">
            <w:pPr>
              <w:rPr>
                <w:rFonts w:ascii="Arial" w:hAnsi="Arial" w:cs="Arial"/>
              </w:rPr>
            </w:pPr>
            <w:r w:rsidRPr="00223025">
              <w:rPr>
                <w:rFonts w:ascii="Arial" w:hAnsi="Arial" w:cs="Arial"/>
              </w:rPr>
              <w:t>3</w:t>
            </w:r>
          </w:p>
        </w:tc>
        <w:tc>
          <w:tcPr>
            <w:tcW w:w="1922" w:type="dxa"/>
            <w:tcBorders>
              <w:top w:val="single" w:sz="4" w:space="0" w:color="auto"/>
              <w:bottom w:val="nil"/>
            </w:tcBorders>
          </w:tcPr>
          <w:p w14:paraId="632FCDF4" w14:textId="77777777" w:rsidR="001C3C17" w:rsidRPr="00223025" w:rsidRDefault="001C3C17" w:rsidP="00140757">
            <w:pPr>
              <w:rPr>
                <w:rFonts w:ascii="Arial" w:hAnsi="Arial" w:cs="Arial"/>
              </w:rPr>
            </w:pPr>
          </w:p>
          <w:p w14:paraId="3BFD020D" w14:textId="77777777" w:rsidR="001C3C17" w:rsidRPr="00223025" w:rsidRDefault="001C3C17" w:rsidP="00140757">
            <w:pPr>
              <w:rPr>
                <w:rFonts w:ascii="Arial" w:hAnsi="Arial" w:cs="Arial"/>
              </w:rPr>
            </w:pPr>
            <w:r w:rsidRPr="00223025">
              <w:rPr>
                <w:rFonts w:ascii="Arial" w:hAnsi="Arial" w:cs="Arial"/>
              </w:rPr>
              <w:t>24 hours</w:t>
            </w:r>
          </w:p>
          <w:p w14:paraId="74448296" w14:textId="77777777" w:rsidR="001C3C17" w:rsidRPr="00223025" w:rsidRDefault="001C3C17" w:rsidP="00140757">
            <w:pPr>
              <w:rPr>
                <w:rFonts w:ascii="Arial" w:hAnsi="Arial" w:cs="Arial"/>
              </w:rPr>
            </w:pPr>
          </w:p>
        </w:tc>
        <w:tc>
          <w:tcPr>
            <w:tcW w:w="1837" w:type="dxa"/>
            <w:tcBorders>
              <w:top w:val="single" w:sz="4" w:space="0" w:color="auto"/>
              <w:bottom w:val="nil"/>
            </w:tcBorders>
          </w:tcPr>
          <w:p w14:paraId="0352BAD8" w14:textId="77777777" w:rsidR="001C3C17" w:rsidRPr="00223025" w:rsidRDefault="001C3C17" w:rsidP="00140757">
            <w:pPr>
              <w:rPr>
                <w:rFonts w:ascii="Arial" w:hAnsi="Arial" w:cs="Arial"/>
              </w:rPr>
            </w:pPr>
          </w:p>
          <w:p w14:paraId="17D697CF" w14:textId="77777777" w:rsidR="001C3C17" w:rsidRPr="00223025" w:rsidRDefault="001C3C17" w:rsidP="00140757">
            <w:pPr>
              <w:rPr>
                <w:rFonts w:ascii="Arial" w:hAnsi="Arial" w:cs="Arial"/>
              </w:rPr>
            </w:pPr>
            <w:r w:rsidRPr="00223025">
              <w:rPr>
                <w:rFonts w:ascii="Arial" w:hAnsi="Arial" w:cs="Arial"/>
              </w:rPr>
              <w:t xml:space="preserve">None </w:t>
            </w:r>
          </w:p>
        </w:tc>
        <w:tc>
          <w:tcPr>
            <w:tcW w:w="1809" w:type="dxa"/>
            <w:tcBorders>
              <w:top w:val="single" w:sz="4" w:space="0" w:color="auto"/>
              <w:bottom w:val="nil"/>
            </w:tcBorders>
          </w:tcPr>
          <w:p w14:paraId="1E8AA18B" w14:textId="77777777" w:rsidR="001C3C17" w:rsidRPr="00223025" w:rsidRDefault="001C3C17" w:rsidP="00140757">
            <w:pPr>
              <w:rPr>
                <w:rFonts w:ascii="Arial" w:hAnsi="Arial" w:cs="Arial"/>
              </w:rPr>
            </w:pPr>
          </w:p>
          <w:p w14:paraId="47640499" w14:textId="77777777" w:rsidR="001C3C17" w:rsidRPr="00223025" w:rsidRDefault="001C3C17" w:rsidP="00140757">
            <w:pPr>
              <w:rPr>
                <w:rFonts w:ascii="Arial" w:hAnsi="Arial" w:cs="Arial"/>
              </w:rPr>
            </w:pPr>
            <w:r w:rsidRPr="00223025">
              <w:rPr>
                <w:rFonts w:ascii="Arial" w:hAnsi="Arial" w:cs="Arial"/>
              </w:rPr>
              <w:t>0/3</w:t>
            </w:r>
          </w:p>
        </w:tc>
      </w:tr>
      <w:tr w:rsidR="001C3C17" w:rsidRPr="00223025" w14:paraId="0E2AE9EE" w14:textId="77777777" w:rsidTr="00140757">
        <w:tc>
          <w:tcPr>
            <w:tcW w:w="1721" w:type="dxa"/>
            <w:tcBorders>
              <w:top w:val="nil"/>
              <w:bottom w:val="nil"/>
            </w:tcBorders>
          </w:tcPr>
          <w:p w14:paraId="266F37ED" w14:textId="77777777" w:rsidR="001C3C17" w:rsidRPr="00223025" w:rsidRDefault="001C3C17" w:rsidP="00140757">
            <w:pPr>
              <w:rPr>
                <w:rFonts w:ascii="Arial" w:hAnsi="Arial" w:cs="Arial"/>
                <w:b/>
              </w:rPr>
            </w:pPr>
            <w:r w:rsidRPr="00223025">
              <w:rPr>
                <w:rFonts w:ascii="Arial" w:hAnsi="Arial" w:cs="Arial"/>
                <w:b/>
              </w:rPr>
              <w:t>100</w:t>
            </w:r>
          </w:p>
        </w:tc>
        <w:tc>
          <w:tcPr>
            <w:tcW w:w="1737" w:type="dxa"/>
            <w:tcBorders>
              <w:top w:val="nil"/>
              <w:bottom w:val="nil"/>
            </w:tcBorders>
          </w:tcPr>
          <w:p w14:paraId="13C14B74" w14:textId="77777777" w:rsidR="001C3C17" w:rsidRPr="00223025" w:rsidRDefault="001C3C17" w:rsidP="00140757">
            <w:pPr>
              <w:rPr>
                <w:rFonts w:ascii="Arial" w:hAnsi="Arial" w:cs="Arial"/>
              </w:rPr>
            </w:pPr>
            <w:r w:rsidRPr="00223025">
              <w:rPr>
                <w:rFonts w:ascii="Arial" w:hAnsi="Arial" w:cs="Arial"/>
              </w:rPr>
              <w:t>3</w:t>
            </w:r>
          </w:p>
        </w:tc>
        <w:tc>
          <w:tcPr>
            <w:tcW w:w="1922" w:type="dxa"/>
            <w:tcBorders>
              <w:top w:val="nil"/>
              <w:bottom w:val="nil"/>
            </w:tcBorders>
          </w:tcPr>
          <w:p w14:paraId="79785823" w14:textId="77777777" w:rsidR="001C3C17" w:rsidRPr="00223025" w:rsidRDefault="001C3C17" w:rsidP="00140757">
            <w:pPr>
              <w:rPr>
                <w:rFonts w:ascii="Arial" w:hAnsi="Arial" w:cs="Arial"/>
              </w:rPr>
            </w:pPr>
            <w:r w:rsidRPr="00223025">
              <w:rPr>
                <w:rFonts w:ascii="Arial" w:hAnsi="Arial" w:cs="Arial"/>
              </w:rPr>
              <w:t>24 hours</w:t>
            </w:r>
          </w:p>
          <w:p w14:paraId="18DA1CFF" w14:textId="77777777" w:rsidR="001C3C17" w:rsidRPr="00223025" w:rsidRDefault="001C3C17" w:rsidP="00140757">
            <w:pPr>
              <w:rPr>
                <w:rFonts w:ascii="Arial" w:hAnsi="Arial" w:cs="Arial"/>
              </w:rPr>
            </w:pPr>
          </w:p>
        </w:tc>
        <w:tc>
          <w:tcPr>
            <w:tcW w:w="1837" w:type="dxa"/>
            <w:tcBorders>
              <w:top w:val="nil"/>
              <w:bottom w:val="nil"/>
            </w:tcBorders>
          </w:tcPr>
          <w:p w14:paraId="029713DE" w14:textId="77777777" w:rsidR="001C3C17" w:rsidRPr="00223025" w:rsidRDefault="001C3C17" w:rsidP="00140757">
            <w:pPr>
              <w:rPr>
                <w:rFonts w:ascii="Arial" w:hAnsi="Arial" w:cs="Arial"/>
              </w:rPr>
            </w:pPr>
            <w:r w:rsidRPr="00223025">
              <w:rPr>
                <w:rFonts w:ascii="Arial" w:hAnsi="Arial" w:cs="Arial"/>
              </w:rPr>
              <w:t>None</w:t>
            </w:r>
          </w:p>
        </w:tc>
        <w:tc>
          <w:tcPr>
            <w:tcW w:w="1809" w:type="dxa"/>
            <w:tcBorders>
              <w:top w:val="nil"/>
              <w:bottom w:val="nil"/>
            </w:tcBorders>
          </w:tcPr>
          <w:p w14:paraId="78E1EC15" w14:textId="77777777" w:rsidR="001C3C17" w:rsidRPr="00223025" w:rsidRDefault="001C3C17" w:rsidP="00140757">
            <w:pPr>
              <w:rPr>
                <w:rFonts w:ascii="Arial" w:hAnsi="Arial" w:cs="Arial"/>
              </w:rPr>
            </w:pPr>
            <w:r w:rsidRPr="00223025">
              <w:rPr>
                <w:rFonts w:ascii="Arial" w:hAnsi="Arial" w:cs="Arial"/>
              </w:rPr>
              <w:t>0/3</w:t>
            </w:r>
          </w:p>
        </w:tc>
      </w:tr>
      <w:tr w:rsidR="001C3C17" w:rsidRPr="00223025" w14:paraId="0B24D1FF" w14:textId="77777777" w:rsidTr="00140757">
        <w:tc>
          <w:tcPr>
            <w:tcW w:w="1721" w:type="dxa"/>
            <w:tcBorders>
              <w:top w:val="nil"/>
              <w:bottom w:val="nil"/>
            </w:tcBorders>
          </w:tcPr>
          <w:p w14:paraId="1F5D0317" w14:textId="77777777" w:rsidR="001C3C17" w:rsidRPr="00223025" w:rsidRDefault="001C3C17" w:rsidP="00140757">
            <w:pPr>
              <w:rPr>
                <w:rFonts w:ascii="Arial" w:hAnsi="Arial" w:cs="Arial"/>
                <w:b/>
              </w:rPr>
            </w:pPr>
            <w:r w:rsidRPr="00223025">
              <w:rPr>
                <w:rFonts w:ascii="Arial" w:hAnsi="Arial" w:cs="Arial"/>
                <w:b/>
              </w:rPr>
              <w:t>1000</w:t>
            </w:r>
          </w:p>
        </w:tc>
        <w:tc>
          <w:tcPr>
            <w:tcW w:w="1737" w:type="dxa"/>
            <w:tcBorders>
              <w:top w:val="nil"/>
              <w:bottom w:val="nil"/>
            </w:tcBorders>
          </w:tcPr>
          <w:p w14:paraId="4E4C429A" w14:textId="77777777" w:rsidR="001C3C17" w:rsidRPr="00223025" w:rsidRDefault="001C3C17" w:rsidP="00140757">
            <w:pPr>
              <w:rPr>
                <w:rFonts w:ascii="Arial" w:hAnsi="Arial" w:cs="Arial"/>
              </w:rPr>
            </w:pPr>
            <w:r w:rsidRPr="00223025">
              <w:rPr>
                <w:rFonts w:ascii="Arial" w:hAnsi="Arial" w:cs="Arial"/>
              </w:rPr>
              <w:t>3</w:t>
            </w:r>
          </w:p>
        </w:tc>
        <w:tc>
          <w:tcPr>
            <w:tcW w:w="1922" w:type="dxa"/>
            <w:tcBorders>
              <w:top w:val="nil"/>
              <w:bottom w:val="nil"/>
            </w:tcBorders>
          </w:tcPr>
          <w:p w14:paraId="5EA3DF17" w14:textId="77777777" w:rsidR="001C3C17" w:rsidRPr="00223025" w:rsidRDefault="001C3C17" w:rsidP="00140757">
            <w:pPr>
              <w:rPr>
                <w:rFonts w:ascii="Arial" w:hAnsi="Arial" w:cs="Arial"/>
              </w:rPr>
            </w:pPr>
            <w:r w:rsidRPr="00223025">
              <w:rPr>
                <w:rFonts w:ascii="Arial" w:hAnsi="Arial" w:cs="Arial"/>
              </w:rPr>
              <w:t>24 hours</w:t>
            </w:r>
          </w:p>
          <w:p w14:paraId="4FB26AB1" w14:textId="77777777" w:rsidR="001C3C17" w:rsidRPr="00223025" w:rsidRDefault="001C3C17" w:rsidP="00140757">
            <w:pPr>
              <w:rPr>
                <w:rFonts w:ascii="Arial" w:hAnsi="Arial" w:cs="Arial"/>
              </w:rPr>
            </w:pPr>
          </w:p>
        </w:tc>
        <w:tc>
          <w:tcPr>
            <w:tcW w:w="1837" w:type="dxa"/>
            <w:tcBorders>
              <w:top w:val="nil"/>
              <w:bottom w:val="nil"/>
            </w:tcBorders>
          </w:tcPr>
          <w:p w14:paraId="0AB3F360" w14:textId="77777777" w:rsidR="001C3C17" w:rsidRPr="00223025" w:rsidRDefault="001C3C17" w:rsidP="00140757">
            <w:pPr>
              <w:rPr>
                <w:rFonts w:ascii="Arial" w:hAnsi="Arial" w:cs="Arial"/>
              </w:rPr>
            </w:pPr>
            <w:r w:rsidRPr="00223025">
              <w:rPr>
                <w:rFonts w:ascii="Arial" w:hAnsi="Arial" w:cs="Arial"/>
              </w:rPr>
              <w:t>None</w:t>
            </w:r>
          </w:p>
        </w:tc>
        <w:tc>
          <w:tcPr>
            <w:tcW w:w="1809" w:type="dxa"/>
            <w:tcBorders>
              <w:top w:val="nil"/>
              <w:bottom w:val="nil"/>
            </w:tcBorders>
          </w:tcPr>
          <w:p w14:paraId="348C7302" w14:textId="77777777" w:rsidR="001C3C17" w:rsidRPr="00223025" w:rsidRDefault="001C3C17" w:rsidP="00140757">
            <w:pPr>
              <w:rPr>
                <w:rFonts w:ascii="Arial" w:hAnsi="Arial" w:cs="Arial"/>
              </w:rPr>
            </w:pPr>
            <w:r w:rsidRPr="00223025">
              <w:rPr>
                <w:rFonts w:ascii="Arial" w:hAnsi="Arial" w:cs="Arial"/>
              </w:rPr>
              <w:t>0/3</w:t>
            </w:r>
          </w:p>
        </w:tc>
      </w:tr>
      <w:tr w:rsidR="001C3C17" w:rsidRPr="00223025" w14:paraId="443ED599" w14:textId="77777777" w:rsidTr="00140757">
        <w:tc>
          <w:tcPr>
            <w:tcW w:w="1721" w:type="dxa"/>
            <w:tcBorders>
              <w:top w:val="nil"/>
            </w:tcBorders>
          </w:tcPr>
          <w:p w14:paraId="1E98D4F1" w14:textId="77777777" w:rsidR="001C3C17" w:rsidRPr="00223025" w:rsidRDefault="001C3C17" w:rsidP="00140757">
            <w:pPr>
              <w:rPr>
                <w:rFonts w:ascii="Arial" w:hAnsi="Arial" w:cs="Arial"/>
                <w:b/>
              </w:rPr>
            </w:pPr>
            <w:r w:rsidRPr="00223025">
              <w:rPr>
                <w:rFonts w:ascii="Arial" w:hAnsi="Arial" w:cs="Arial"/>
                <w:b/>
              </w:rPr>
              <w:t>1600</w:t>
            </w:r>
          </w:p>
        </w:tc>
        <w:tc>
          <w:tcPr>
            <w:tcW w:w="1737" w:type="dxa"/>
            <w:tcBorders>
              <w:top w:val="nil"/>
            </w:tcBorders>
          </w:tcPr>
          <w:p w14:paraId="682DE8F5" w14:textId="77777777" w:rsidR="001C3C17" w:rsidRPr="00223025" w:rsidRDefault="001C3C17" w:rsidP="00140757">
            <w:pPr>
              <w:rPr>
                <w:rFonts w:ascii="Arial" w:hAnsi="Arial" w:cs="Arial"/>
              </w:rPr>
            </w:pPr>
            <w:r w:rsidRPr="00223025">
              <w:rPr>
                <w:rFonts w:ascii="Arial" w:hAnsi="Arial" w:cs="Arial"/>
              </w:rPr>
              <w:t>2</w:t>
            </w:r>
          </w:p>
        </w:tc>
        <w:tc>
          <w:tcPr>
            <w:tcW w:w="1922" w:type="dxa"/>
            <w:tcBorders>
              <w:top w:val="nil"/>
            </w:tcBorders>
          </w:tcPr>
          <w:p w14:paraId="444EDCD0" w14:textId="77777777" w:rsidR="001C3C17" w:rsidRPr="00223025" w:rsidRDefault="001C3C17" w:rsidP="00140757">
            <w:pPr>
              <w:rPr>
                <w:rFonts w:ascii="Arial" w:hAnsi="Arial" w:cs="Arial"/>
              </w:rPr>
            </w:pPr>
            <w:r w:rsidRPr="00223025">
              <w:rPr>
                <w:rFonts w:ascii="Arial" w:hAnsi="Arial" w:cs="Arial"/>
              </w:rPr>
              <w:t>24 hours</w:t>
            </w:r>
          </w:p>
          <w:p w14:paraId="207A014A" w14:textId="77777777" w:rsidR="001C3C17" w:rsidRPr="00223025" w:rsidRDefault="001C3C17" w:rsidP="00140757">
            <w:pPr>
              <w:rPr>
                <w:rFonts w:ascii="Arial" w:hAnsi="Arial" w:cs="Arial"/>
              </w:rPr>
            </w:pPr>
          </w:p>
        </w:tc>
        <w:tc>
          <w:tcPr>
            <w:tcW w:w="1837" w:type="dxa"/>
            <w:tcBorders>
              <w:top w:val="nil"/>
            </w:tcBorders>
          </w:tcPr>
          <w:p w14:paraId="039032AD" w14:textId="77777777" w:rsidR="001C3C17" w:rsidRPr="00223025" w:rsidRDefault="001C3C17" w:rsidP="00140757">
            <w:pPr>
              <w:rPr>
                <w:rFonts w:ascii="Arial" w:hAnsi="Arial" w:cs="Arial"/>
              </w:rPr>
            </w:pPr>
            <w:r w:rsidRPr="00223025">
              <w:rPr>
                <w:rFonts w:ascii="Arial" w:hAnsi="Arial" w:cs="Arial"/>
              </w:rPr>
              <w:t>None</w:t>
            </w:r>
          </w:p>
        </w:tc>
        <w:tc>
          <w:tcPr>
            <w:tcW w:w="1809" w:type="dxa"/>
            <w:tcBorders>
              <w:top w:val="nil"/>
            </w:tcBorders>
          </w:tcPr>
          <w:p w14:paraId="4DF4D291" w14:textId="77777777" w:rsidR="001C3C17" w:rsidRPr="00223025" w:rsidRDefault="001C3C17" w:rsidP="00140757">
            <w:pPr>
              <w:rPr>
                <w:rFonts w:ascii="Arial" w:hAnsi="Arial" w:cs="Arial"/>
              </w:rPr>
            </w:pPr>
            <w:r w:rsidRPr="00223025">
              <w:rPr>
                <w:rFonts w:ascii="Arial" w:hAnsi="Arial" w:cs="Arial"/>
              </w:rPr>
              <w:t>0/2</w:t>
            </w:r>
          </w:p>
        </w:tc>
      </w:tr>
      <w:tr w:rsidR="001C3C17" w:rsidRPr="00223025" w14:paraId="5B79D3D9" w14:textId="77777777" w:rsidTr="00140757">
        <w:tc>
          <w:tcPr>
            <w:tcW w:w="1721" w:type="dxa"/>
          </w:tcPr>
          <w:p w14:paraId="39952F04" w14:textId="77777777" w:rsidR="001C3C17" w:rsidRPr="00223025" w:rsidRDefault="001C3C17" w:rsidP="00140757">
            <w:pPr>
              <w:rPr>
                <w:rFonts w:ascii="Arial" w:hAnsi="Arial" w:cs="Arial"/>
                <w:b/>
              </w:rPr>
            </w:pPr>
            <w:r w:rsidRPr="00223025">
              <w:rPr>
                <w:rFonts w:ascii="Arial" w:hAnsi="Arial" w:cs="Arial"/>
                <w:b/>
              </w:rPr>
              <w:t>2900</w:t>
            </w:r>
          </w:p>
        </w:tc>
        <w:tc>
          <w:tcPr>
            <w:tcW w:w="1737" w:type="dxa"/>
          </w:tcPr>
          <w:p w14:paraId="2B397D87" w14:textId="77777777" w:rsidR="001C3C17" w:rsidRPr="00223025" w:rsidRDefault="001C3C17" w:rsidP="00140757">
            <w:pPr>
              <w:rPr>
                <w:rFonts w:ascii="Arial" w:hAnsi="Arial" w:cs="Arial"/>
              </w:rPr>
            </w:pPr>
            <w:r w:rsidRPr="00223025">
              <w:rPr>
                <w:rFonts w:ascii="Arial" w:hAnsi="Arial" w:cs="Arial"/>
              </w:rPr>
              <w:t>2</w:t>
            </w:r>
          </w:p>
        </w:tc>
        <w:tc>
          <w:tcPr>
            <w:tcW w:w="1922" w:type="dxa"/>
          </w:tcPr>
          <w:p w14:paraId="57916C0C" w14:textId="77777777" w:rsidR="001C3C17" w:rsidRPr="00223025" w:rsidRDefault="001C3C17" w:rsidP="00140757">
            <w:pPr>
              <w:rPr>
                <w:rFonts w:ascii="Arial" w:hAnsi="Arial" w:cs="Arial"/>
              </w:rPr>
            </w:pPr>
            <w:r w:rsidRPr="00223025">
              <w:rPr>
                <w:rFonts w:ascii="Arial" w:hAnsi="Arial" w:cs="Arial"/>
              </w:rPr>
              <w:t>24 hours</w:t>
            </w:r>
          </w:p>
          <w:p w14:paraId="00EAF78F" w14:textId="77777777" w:rsidR="001C3C17" w:rsidRPr="00223025" w:rsidRDefault="001C3C17" w:rsidP="00140757">
            <w:pPr>
              <w:rPr>
                <w:rFonts w:ascii="Arial" w:hAnsi="Arial" w:cs="Arial"/>
              </w:rPr>
            </w:pPr>
          </w:p>
        </w:tc>
        <w:tc>
          <w:tcPr>
            <w:tcW w:w="1837" w:type="dxa"/>
          </w:tcPr>
          <w:p w14:paraId="5127CB57" w14:textId="77777777" w:rsidR="001C3C17" w:rsidRPr="00223025" w:rsidRDefault="001C3C17" w:rsidP="00140757">
            <w:pPr>
              <w:rPr>
                <w:rFonts w:ascii="Arial" w:hAnsi="Arial" w:cs="Arial"/>
              </w:rPr>
            </w:pPr>
            <w:r w:rsidRPr="00223025">
              <w:rPr>
                <w:rFonts w:ascii="Arial" w:hAnsi="Arial" w:cs="Arial"/>
              </w:rPr>
              <w:t>None</w:t>
            </w:r>
          </w:p>
        </w:tc>
        <w:tc>
          <w:tcPr>
            <w:tcW w:w="1809" w:type="dxa"/>
          </w:tcPr>
          <w:p w14:paraId="7EB0B0C1" w14:textId="77777777" w:rsidR="001C3C17" w:rsidRPr="00223025" w:rsidRDefault="001C3C17" w:rsidP="00140757">
            <w:pPr>
              <w:rPr>
                <w:rFonts w:ascii="Arial" w:hAnsi="Arial" w:cs="Arial"/>
              </w:rPr>
            </w:pPr>
            <w:r w:rsidRPr="00223025">
              <w:rPr>
                <w:rFonts w:ascii="Arial" w:hAnsi="Arial" w:cs="Arial"/>
              </w:rPr>
              <w:t>0/2</w:t>
            </w:r>
          </w:p>
        </w:tc>
      </w:tr>
      <w:tr w:rsidR="001C3C17" w:rsidRPr="00223025" w14:paraId="78EC19C9" w14:textId="77777777" w:rsidTr="00140757">
        <w:tc>
          <w:tcPr>
            <w:tcW w:w="1721" w:type="dxa"/>
          </w:tcPr>
          <w:p w14:paraId="6BC10FDC" w14:textId="77777777" w:rsidR="001C3C17" w:rsidRPr="00223025" w:rsidRDefault="001C3C17" w:rsidP="00140757">
            <w:pPr>
              <w:rPr>
                <w:rFonts w:ascii="Arial" w:hAnsi="Arial" w:cs="Arial"/>
                <w:b/>
              </w:rPr>
            </w:pPr>
            <w:r w:rsidRPr="00223025">
              <w:rPr>
                <w:rFonts w:ascii="Arial" w:hAnsi="Arial" w:cs="Arial"/>
                <w:b/>
              </w:rPr>
              <w:t>5000</w:t>
            </w:r>
          </w:p>
        </w:tc>
        <w:tc>
          <w:tcPr>
            <w:tcW w:w="1737" w:type="dxa"/>
          </w:tcPr>
          <w:p w14:paraId="688A5791" w14:textId="77777777" w:rsidR="001C3C17" w:rsidRPr="00223025" w:rsidRDefault="001C3C17" w:rsidP="00140757">
            <w:pPr>
              <w:rPr>
                <w:rFonts w:ascii="Arial" w:hAnsi="Arial" w:cs="Arial"/>
              </w:rPr>
            </w:pPr>
            <w:r w:rsidRPr="00223025">
              <w:rPr>
                <w:rFonts w:ascii="Arial" w:hAnsi="Arial" w:cs="Arial"/>
              </w:rPr>
              <w:t>2</w:t>
            </w:r>
          </w:p>
        </w:tc>
        <w:tc>
          <w:tcPr>
            <w:tcW w:w="1922" w:type="dxa"/>
          </w:tcPr>
          <w:p w14:paraId="1E4E3E34" w14:textId="77777777" w:rsidR="001C3C17" w:rsidRPr="00223025" w:rsidRDefault="001C3C17" w:rsidP="00140757">
            <w:pPr>
              <w:rPr>
                <w:rFonts w:ascii="Arial" w:hAnsi="Arial" w:cs="Arial"/>
              </w:rPr>
            </w:pPr>
            <w:r w:rsidRPr="00223025">
              <w:rPr>
                <w:rFonts w:ascii="Arial" w:hAnsi="Arial" w:cs="Arial"/>
              </w:rPr>
              <w:t>24 hours</w:t>
            </w:r>
          </w:p>
          <w:p w14:paraId="3AB51347" w14:textId="77777777" w:rsidR="001C3C17" w:rsidRPr="00223025" w:rsidRDefault="001C3C17" w:rsidP="00140757">
            <w:pPr>
              <w:rPr>
                <w:rFonts w:ascii="Arial" w:hAnsi="Arial" w:cs="Arial"/>
              </w:rPr>
            </w:pPr>
          </w:p>
        </w:tc>
        <w:tc>
          <w:tcPr>
            <w:tcW w:w="1837" w:type="dxa"/>
          </w:tcPr>
          <w:p w14:paraId="4FB16215" w14:textId="77777777" w:rsidR="001C3C17" w:rsidRPr="00223025" w:rsidRDefault="001C3C17" w:rsidP="00140757">
            <w:pPr>
              <w:rPr>
                <w:rFonts w:ascii="Arial" w:hAnsi="Arial" w:cs="Arial"/>
              </w:rPr>
            </w:pPr>
            <w:r w:rsidRPr="00223025">
              <w:rPr>
                <w:rFonts w:ascii="Arial" w:hAnsi="Arial" w:cs="Arial"/>
              </w:rPr>
              <w:t>None</w:t>
            </w:r>
          </w:p>
        </w:tc>
        <w:tc>
          <w:tcPr>
            <w:tcW w:w="1809" w:type="dxa"/>
          </w:tcPr>
          <w:p w14:paraId="630CB0EB" w14:textId="77777777" w:rsidR="001C3C17" w:rsidRPr="00223025" w:rsidRDefault="001C3C17" w:rsidP="00140757">
            <w:pPr>
              <w:rPr>
                <w:rFonts w:ascii="Arial" w:hAnsi="Arial" w:cs="Arial"/>
              </w:rPr>
            </w:pPr>
            <w:r w:rsidRPr="00223025">
              <w:rPr>
                <w:rFonts w:ascii="Arial" w:hAnsi="Arial" w:cs="Arial"/>
              </w:rPr>
              <w:t>0/2</w:t>
            </w:r>
          </w:p>
        </w:tc>
      </w:tr>
    </w:tbl>
    <w:p w14:paraId="14A61BE0" w14:textId="77777777" w:rsidR="001C3C17" w:rsidRPr="00223025" w:rsidRDefault="001C3C17" w:rsidP="00CF6EFE">
      <w:pPr>
        <w:spacing w:line="480" w:lineRule="auto"/>
        <w:rPr>
          <w:rFonts w:ascii="Arial" w:hAnsi="Arial" w:cs="Arial"/>
        </w:rPr>
        <w:sectPr w:rsidR="001C3C17" w:rsidRPr="00223025" w:rsidSect="001C3C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43880A8F" w14:textId="77777777" w:rsidR="009121FA" w:rsidRPr="009121FA" w:rsidRDefault="009121FA" w:rsidP="009121FA">
      <w:pPr>
        <w:spacing w:line="480" w:lineRule="auto"/>
        <w:jc w:val="both"/>
        <w:rPr>
          <w:rFonts w:ascii="Arial" w:hAnsi="Arial" w:cs="Arial"/>
          <w:sz w:val="20"/>
          <w:szCs w:val="20"/>
        </w:rPr>
      </w:pPr>
      <w:r w:rsidRPr="009121FA">
        <w:rPr>
          <w:rFonts w:ascii="Arial" w:hAnsi="Arial" w:cs="Arial"/>
          <w:sz w:val="20"/>
          <w:szCs w:val="20"/>
        </w:rPr>
        <w:lastRenderedPageBreak/>
        <w:t xml:space="preserve">Sub-chronic oral administration of the ethyl acetate leaf extract of </w:t>
      </w:r>
      <w:r w:rsidRPr="007F521A">
        <w:rPr>
          <w:rFonts w:ascii="Arial" w:hAnsi="Arial" w:cs="Arial"/>
          <w:i/>
          <w:sz w:val="20"/>
          <w:szCs w:val="20"/>
        </w:rPr>
        <w:t>Gliricidia sepium</w:t>
      </w:r>
      <w:r w:rsidRPr="009121FA">
        <w:rPr>
          <w:rFonts w:ascii="Arial" w:hAnsi="Arial" w:cs="Arial"/>
          <w:sz w:val="20"/>
          <w:szCs w:val="20"/>
        </w:rPr>
        <w:t xml:space="preserve"> for 28 days did not result in mortality or observable clinical signs of toxicity in rats. Evaluation of thyroid hormone profiles showed no significant differences (p &gt; 0.05) in serum TSH, T</w:t>
      </w:r>
      <w:r w:rsidRPr="009121FA">
        <w:rPr>
          <w:rFonts w:ascii="Cambria Math" w:hAnsi="Cambria Math" w:cs="Cambria Math"/>
          <w:sz w:val="20"/>
          <w:szCs w:val="20"/>
        </w:rPr>
        <w:t>₃</w:t>
      </w:r>
      <w:r w:rsidRPr="009121FA">
        <w:rPr>
          <w:rFonts w:ascii="Arial" w:hAnsi="Arial" w:cs="Arial"/>
          <w:sz w:val="20"/>
          <w:szCs w:val="20"/>
        </w:rPr>
        <w:t>, and T</w:t>
      </w:r>
      <w:r w:rsidRPr="009121FA">
        <w:rPr>
          <w:rFonts w:ascii="Cambria Math" w:hAnsi="Cambria Math" w:cs="Cambria Math"/>
          <w:sz w:val="20"/>
          <w:szCs w:val="20"/>
        </w:rPr>
        <w:t>₄</w:t>
      </w:r>
      <w:r w:rsidRPr="009121FA">
        <w:rPr>
          <w:rFonts w:ascii="Arial" w:hAnsi="Arial" w:cs="Arial"/>
          <w:sz w:val="20"/>
          <w:szCs w:val="20"/>
        </w:rPr>
        <w:t xml:space="preserve"> levels between treated and control groups in both sexes, indicating that the extract did not impair thyroid function. Thyroid hormones are essential regulators of metabolic processes, thermogenesis, oxygen consumption, and energy utilization through their action on nuclear receptors</w:t>
      </w:r>
      <w:r>
        <w:rPr>
          <w:rFonts w:ascii="Arial" w:hAnsi="Arial" w:cs="Arial"/>
          <w:sz w:val="20"/>
          <w:szCs w:val="20"/>
        </w:rPr>
        <w:t xml:space="preserve"> (21)</w:t>
      </w:r>
      <w:r w:rsidRPr="009121FA">
        <w:rPr>
          <w:rFonts w:ascii="Arial" w:hAnsi="Arial" w:cs="Arial"/>
          <w:sz w:val="20"/>
          <w:szCs w:val="20"/>
        </w:rPr>
        <w:t>. Although they influence carbohydrate metabolism, they do not directly regulate blood glucose levels, further supporting the metabolic safety of the extract</w:t>
      </w:r>
      <w:r>
        <w:rPr>
          <w:rFonts w:ascii="Arial" w:hAnsi="Arial" w:cs="Arial"/>
          <w:sz w:val="20"/>
          <w:szCs w:val="20"/>
        </w:rPr>
        <w:t xml:space="preserve"> (21)</w:t>
      </w:r>
      <w:r w:rsidRPr="009121FA">
        <w:rPr>
          <w:rFonts w:ascii="Arial" w:hAnsi="Arial" w:cs="Arial"/>
          <w:sz w:val="20"/>
          <w:szCs w:val="20"/>
        </w:rPr>
        <w:t>.</w:t>
      </w:r>
    </w:p>
    <w:p w14:paraId="5C731EC3" w14:textId="77777777" w:rsidR="00DF55A1" w:rsidRPr="00DF55A1" w:rsidRDefault="00DF55A1" w:rsidP="00DF55A1">
      <w:pPr>
        <w:spacing w:line="480" w:lineRule="auto"/>
        <w:jc w:val="both"/>
        <w:rPr>
          <w:rFonts w:ascii="Arial" w:hAnsi="Arial" w:cs="Arial"/>
          <w:sz w:val="20"/>
          <w:szCs w:val="20"/>
        </w:rPr>
      </w:pPr>
      <w:r w:rsidRPr="00DF55A1">
        <w:rPr>
          <w:rFonts w:ascii="Arial" w:hAnsi="Arial" w:cs="Arial"/>
          <w:sz w:val="20"/>
          <w:szCs w:val="20"/>
        </w:rPr>
        <w:t xml:space="preserve">The absence of statistically significant differences (p &gt; 0.05) in serum testosterone, progesterone, prolactin, follicle-stimulating hormone (FSH), luteinizing hormone (LH), and </w:t>
      </w:r>
      <w:proofErr w:type="spellStart"/>
      <w:r w:rsidRPr="00DF55A1">
        <w:rPr>
          <w:rFonts w:ascii="Arial" w:hAnsi="Arial" w:cs="Arial"/>
          <w:sz w:val="20"/>
          <w:szCs w:val="20"/>
        </w:rPr>
        <w:t>estradiol</w:t>
      </w:r>
      <w:proofErr w:type="spellEnd"/>
      <w:r w:rsidRPr="00DF55A1">
        <w:rPr>
          <w:rFonts w:ascii="Arial" w:hAnsi="Arial" w:cs="Arial"/>
          <w:sz w:val="20"/>
          <w:szCs w:val="20"/>
        </w:rPr>
        <w:t xml:space="preserve"> levels among rats administered graded doses of the extract compared with the control contrasts with earlier reports by (22, 23). This discrepancy may be attributed to the fact that the administered doses neither exerted beneficial nor deleterious effects on the reproductive endocrine system of the rats. Reproductive hormones play critical roles in fertility and overall reproductive health, and their imbalance may result in infertility (24).</w:t>
      </w:r>
    </w:p>
    <w:p w14:paraId="477012E7" w14:textId="7FD51F07" w:rsidR="00DF55A1" w:rsidRPr="00DF55A1" w:rsidRDefault="00DF55A1" w:rsidP="00DF55A1">
      <w:pPr>
        <w:spacing w:line="480" w:lineRule="auto"/>
        <w:jc w:val="both"/>
        <w:rPr>
          <w:rFonts w:ascii="Arial" w:hAnsi="Arial" w:cs="Arial"/>
          <w:sz w:val="20"/>
          <w:szCs w:val="20"/>
        </w:rPr>
      </w:pPr>
      <w:r w:rsidRPr="00DF55A1">
        <w:rPr>
          <w:rFonts w:ascii="Arial" w:hAnsi="Arial" w:cs="Arial"/>
          <w:sz w:val="20"/>
          <w:szCs w:val="20"/>
        </w:rPr>
        <w:t xml:space="preserve">Across all experimental groups, testosterone concentrations were consistently higher in male rats, whereas progesterone, prolactin, FSH, LH, and </w:t>
      </w:r>
      <w:proofErr w:type="spellStart"/>
      <w:r w:rsidRPr="00DF55A1">
        <w:rPr>
          <w:rFonts w:ascii="Arial" w:hAnsi="Arial" w:cs="Arial"/>
          <w:sz w:val="20"/>
          <w:szCs w:val="20"/>
        </w:rPr>
        <w:t>estradiol</w:t>
      </w:r>
      <w:proofErr w:type="spellEnd"/>
      <w:r w:rsidRPr="00DF55A1">
        <w:rPr>
          <w:rFonts w:ascii="Arial" w:hAnsi="Arial" w:cs="Arial"/>
          <w:sz w:val="20"/>
          <w:szCs w:val="20"/>
        </w:rPr>
        <w:t xml:space="preserve"> levels were higher in females. This distribution reflects normal physiological endocrine patterns and suggests that the extract did not disrupt reproductive hormonal homeostasis. Testosterone is essential for spermatogenesis and male reproductive function, while progesterone plays key roles in ovulation, implantation, and the maintenance of early pregnancy (25, 26). Prolactin, although necessary for lactation, may impair fertility when excessively secreted by supp</w:t>
      </w:r>
      <w:r w:rsidR="00C70084">
        <w:rPr>
          <w:rFonts w:ascii="Arial" w:hAnsi="Arial" w:cs="Arial"/>
          <w:sz w:val="20"/>
          <w:szCs w:val="20"/>
        </w:rPr>
        <w:t>ressing gonadotropin release (26</w:t>
      </w:r>
      <w:r w:rsidRPr="00DF55A1">
        <w:rPr>
          <w:rFonts w:ascii="Arial" w:hAnsi="Arial" w:cs="Arial"/>
          <w:sz w:val="20"/>
          <w:szCs w:val="20"/>
        </w:rPr>
        <w:t xml:space="preserve">). </w:t>
      </w:r>
      <w:proofErr w:type="spellStart"/>
      <w:r w:rsidRPr="00DF55A1">
        <w:rPr>
          <w:rFonts w:ascii="Arial" w:hAnsi="Arial" w:cs="Arial"/>
          <w:sz w:val="20"/>
          <w:szCs w:val="20"/>
        </w:rPr>
        <w:t>Estradiol</w:t>
      </w:r>
      <w:proofErr w:type="spellEnd"/>
      <w:r w:rsidRPr="00DF55A1">
        <w:rPr>
          <w:rFonts w:ascii="Arial" w:hAnsi="Arial" w:cs="Arial"/>
          <w:sz w:val="20"/>
          <w:szCs w:val="20"/>
        </w:rPr>
        <w:t xml:space="preserve"> also contributes significantly to female reproductive function and male sexual health.</w:t>
      </w:r>
    </w:p>
    <w:p w14:paraId="31920F9F" w14:textId="77777777" w:rsidR="00DF55A1" w:rsidRPr="00DF55A1" w:rsidRDefault="00DF55A1" w:rsidP="00DF55A1">
      <w:pPr>
        <w:spacing w:line="480" w:lineRule="auto"/>
        <w:jc w:val="both"/>
        <w:rPr>
          <w:rFonts w:ascii="Arial" w:hAnsi="Arial" w:cs="Arial"/>
          <w:sz w:val="20"/>
          <w:szCs w:val="20"/>
        </w:rPr>
      </w:pPr>
      <w:r w:rsidRPr="00DF55A1">
        <w:rPr>
          <w:rFonts w:ascii="Arial" w:hAnsi="Arial" w:cs="Arial"/>
          <w:sz w:val="20"/>
          <w:szCs w:val="20"/>
        </w:rPr>
        <w:t xml:space="preserve">Overall, the absence of significant alterations in thyroid and reproductive hormone profiles indicates that sub-chronic exposure to </w:t>
      </w:r>
      <w:r w:rsidRPr="00DF55A1">
        <w:rPr>
          <w:rFonts w:ascii="Arial" w:hAnsi="Arial" w:cs="Arial"/>
          <w:i/>
          <w:sz w:val="20"/>
          <w:szCs w:val="20"/>
        </w:rPr>
        <w:t>Gliricidia sepium</w:t>
      </w:r>
      <w:r w:rsidRPr="00DF55A1">
        <w:rPr>
          <w:rFonts w:ascii="Arial" w:hAnsi="Arial" w:cs="Arial"/>
          <w:sz w:val="20"/>
          <w:szCs w:val="20"/>
        </w:rPr>
        <w:t xml:space="preserve"> leaf extract is unlikely to exert endocrine-disrupting effects at the tested doses.</w:t>
      </w:r>
    </w:p>
    <w:p w14:paraId="4B6E0939" w14:textId="77777777" w:rsidR="00DF55A1" w:rsidRPr="00DF55A1" w:rsidRDefault="00DF55A1" w:rsidP="00DF55A1">
      <w:pPr>
        <w:spacing w:line="480" w:lineRule="auto"/>
        <w:jc w:val="both"/>
        <w:rPr>
          <w:rFonts w:ascii="Arial" w:hAnsi="Arial" w:cs="Arial"/>
          <w:sz w:val="20"/>
          <w:szCs w:val="20"/>
        </w:rPr>
      </w:pPr>
    </w:p>
    <w:p w14:paraId="5764ADF7" w14:textId="77777777" w:rsidR="00DF55A1" w:rsidRPr="00DF55A1" w:rsidRDefault="00DF55A1" w:rsidP="00DF55A1">
      <w:pPr>
        <w:spacing w:line="480" w:lineRule="auto"/>
        <w:jc w:val="both"/>
        <w:rPr>
          <w:rFonts w:ascii="Arial" w:hAnsi="Arial" w:cs="Arial"/>
          <w:sz w:val="20"/>
          <w:szCs w:val="20"/>
        </w:rPr>
      </w:pPr>
    </w:p>
    <w:p w14:paraId="24C0E7EC" w14:textId="23F00207" w:rsidR="007C5575" w:rsidRPr="00223025" w:rsidRDefault="00444368" w:rsidP="007C5575">
      <w:pPr>
        <w:spacing w:line="240" w:lineRule="auto"/>
        <w:rPr>
          <w:rFonts w:ascii="Arial" w:hAnsi="Arial" w:cs="Arial"/>
        </w:rPr>
      </w:pPr>
      <w:r w:rsidRPr="00387C92">
        <w:rPr>
          <w:noProof/>
          <w:lang w:eastAsia="en-GB"/>
        </w:rPr>
        <w:lastRenderedPageBreak/>
        <w:drawing>
          <wp:inline distT="0" distB="0" distL="0" distR="0" wp14:anchorId="498A80D6" wp14:editId="617D77B8">
            <wp:extent cx="5654675" cy="475869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54675" cy="4758690"/>
                    </a:xfrm>
                    <a:prstGeom prst="rect">
                      <a:avLst/>
                    </a:prstGeom>
                  </pic:spPr>
                </pic:pic>
              </a:graphicData>
            </a:graphic>
          </wp:inline>
        </w:drawing>
      </w:r>
    </w:p>
    <w:p w14:paraId="178E0581" w14:textId="77777777" w:rsidR="007C5575" w:rsidRPr="00707CFF" w:rsidRDefault="007C5575" w:rsidP="002503A2">
      <w:pPr>
        <w:spacing w:line="480" w:lineRule="auto"/>
        <w:jc w:val="both"/>
        <w:rPr>
          <w:rFonts w:ascii="Arial" w:hAnsi="Arial" w:cs="Arial"/>
          <w:sz w:val="20"/>
          <w:szCs w:val="20"/>
        </w:rPr>
      </w:pPr>
      <w:r w:rsidRPr="00707CFF">
        <w:rPr>
          <w:rFonts w:ascii="Arial" w:hAnsi="Arial" w:cs="Arial"/>
          <w:b/>
          <w:sz w:val="20"/>
          <w:szCs w:val="20"/>
        </w:rPr>
        <w:t xml:space="preserve">Figure 1: </w:t>
      </w:r>
      <w:r w:rsidRPr="00707CFF">
        <w:rPr>
          <w:rFonts w:ascii="Arial" w:hAnsi="Arial" w:cs="Arial"/>
          <w:sz w:val="20"/>
          <w:szCs w:val="20"/>
        </w:rPr>
        <w:t xml:space="preserve">TSH level of male and female Wistar rats administered </w:t>
      </w:r>
      <w:r w:rsidRPr="00707CFF">
        <w:rPr>
          <w:rFonts w:ascii="Arial" w:hAnsi="Arial" w:cs="Arial"/>
          <w:i/>
          <w:sz w:val="20"/>
          <w:szCs w:val="20"/>
        </w:rPr>
        <w:t xml:space="preserve">Gliricidia sepium </w:t>
      </w:r>
      <w:r w:rsidRPr="00707CFF">
        <w:rPr>
          <w:rFonts w:ascii="Arial" w:hAnsi="Arial" w:cs="Arial"/>
          <w:sz w:val="20"/>
          <w:szCs w:val="20"/>
        </w:rPr>
        <w:t>ethyl acetate leaves extract in sub-chronic oral toxicity study</w:t>
      </w:r>
    </w:p>
    <w:p w14:paraId="3E75E541" w14:textId="77777777" w:rsidR="007C5575" w:rsidRPr="00707CFF" w:rsidRDefault="007C5575" w:rsidP="002503A2">
      <w:pPr>
        <w:spacing w:line="480" w:lineRule="auto"/>
        <w:jc w:val="both"/>
        <w:rPr>
          <w:rFonts w:ascii="Arial" w:hAnsi="Arial" w:cs="Arial"/>
          <w:sz w:val="20"/>
          <w:szCs w:val="20"/>
        </w:rPr>
      </w:pPr>
      <w:r w:rsidRPr="00707CFF">
        <w:rPr>
          <w:rFonts w:ascii="Arial" w:hAnsi="Arial" w:cs="Arial"/>
          <w:b/>
          <w:sz w:val="20"/>
          <w:szCs w:val="20"/>
        </w:rPr>
        <w:t xml:space="preserve">Key: </w:t>
      </w:r>
      <w:r w:rsidRPr="00707CFF">
        <w:rPr>
          <w:rFonts w:ascii="Arial" w:hAnsi="Arial" w:cs="Arial"/>
          <w:sz w:val="20"/>
          <w:szCs w:val="20"/>
        </w:rPr>
        <w:t>TSH= thyroid stimulating hormone, control=group I, 500 mg/kg=group II, 1000 mg/kg= group III, 1500 mg/kg= group IV. Bars represent Mean±SEM, the values are not significantly different (p&gt;0.05) when compared to control group, using two way analysis of variance SPSS version 23.0</w:t>
      </w:r>
    </w:p>
    <w:p w14:paraId="4BE8BBB7" w14:textId="77777777" w:rsidR="007C5575" w:rsidRPr="00707CFF" w:rsidRDefault="007C5575" w:rsidP="002503A2">
      <w:pPr>
        <w:autoSpaceDE w:val="0"/>
        <w:autoSpaceDN w:val="0"/>
        <w:adjustRightInd w:val="0"/>
        <w:spacing w:line="480" w:lineRule="auto"/>
        <w:jc w:val="both"/>
        <w:rPr>
          <w:rFonts w:ascii="Arial" w:hAnsi="Arial" w:cs="Arial"/>
          <w:sz w:val="20"/>
          <w:szCs w:val="20"/>
        </w:rPr>
      </w:pPr>
    </w:p>
    <w:p w14:paraId="3A7631CC" w14:textId="77777777" w:rsidR="007C5575" w:rsidRPr="00223025" w:rsidRDefault="007C5575" w:rsidP="007C5575">
      <w:pPr>
        <w:autoSpaceDE w:val="0"/>
        <w:autoSpaceDN w:val="0"/>
        <w:adjustRightInd w:val="0"/>
        <w:spacing w:line="240" w:lineRule="auto"/>
        <w:rPr>
          <w:rFonts w:ascii="Arial" w:hAnsi="Arial" w:cs="Arial"/>
        </w:rPr>
      </w:pPr>
    </w:p>
    <w:p w14:paraId="6361428A" w14:textId="564565FB" w:rsidR="007C5575" w:rsidRPr="00223025" w:rsidRDefault="001A4FB3" w:rsidP="007C5575">
      <w:pPr>
        <w:autoSpaceDE w:val="0"/>
        <w:autoSpaceDN w:val="0"/>
        <w:adjustRightInd w:val="0"/>
        <w:spacing w:line="240" w:lineRule="auto"/>
        <w:rPr>
          <w:rFonts w:ascii="Arial" w:hAnsi="Arial" w:cs="Arial"/>
        </w:rPr>
      </w:pPr>
      <w:r w:rsidRPr="00387C92">
        <w:rPr>
          <w:noProof/>
          <w:lang w:eastAsia="en-GB"/>
        </w:rPr>
        <w:lastRenderedPageBreak/>
        <w:drawing>
          <wp:inline distT="0" distB="0" distL="0" distR="0" wp14:anchorId="3F6630B7" wp14:editId="4E67B0D9">
            <wp:extent cx="5654675" cy="4758690"/>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54675" cy="4758690"/>
                    </a:xfrm>
                    <a:prstGeom prst="rect">
                      <a:avLst/>
                    </a:prstGeom>
                  </pic:spPr>
                </pic:pic>
              </a:graphicData>
            </a:graphic>
          </wp:inline>
        </w:drawing>
      </w:r>
    </w:p>
    <w:p w14:paraId="25428366" w14:textId="77777777" w:rsidR="007C5575" w:rsidRPr="00707CFF" w:rsidRDefault="007C5575" w:rsidP="002503A2">
      <w:pPr>
        <w:spacing w:line="480" w:lineRule="auto"/>
        <w:jc w:val="both"/>
        <w:rPr>
          <w:rFonts w:ascii="Arial" w:hAnsi="Arial" w:cs="Arial"/>
          <w:sz w:val="20"/>
          <w:szCs w:val="20"/>
        </w:rPr>
      </w:pPr>
      <w:r w:rsidRPr="00707CFF">
        <w:rPr>
          <w:rFonts w:ascii="Arial" w:hAnsi="Arial" w:cs="Arial"/>
          <w:b/>
          <w:sz w:val="20"/>
          <w:szCs w:val="20"/>
        </w:rPr>
        <w:t xml:space="preserve">Figure 2: </w:t>
      </w:r>
      <w:r w:rsidRPr="00707CFF">
        <w:rPr>
          <w:rFonts w:ascii="Arial" w:hAnsi="Arial" w:cs="Arial"/>
          <w:sz w:val="20"/>
          <w:szCs w:val="20"/>
        </w:rPr>
        <w:t xml:space="preserve">T3 level of male and female Wistar rats administered </w:t>
      </w:r>
      <w:r w:rsidRPr="00707CFF">
        <w:rPr>
          <w:rFonts w:ascii="Arial" w:hAnsi="Arial" w:cs="Arial"/>
          <w:i/>
          <w:sz w:val="20"/>
          <w:szCs w:val="20"/>
        </w:rPr>
        <w:t xml:space="preserve">Gliricidia sepium </w:t>
      </w:r>
      <w:r w:rsidRPr="00707CFF">
        <w:rPr>
          <w:rFonts w:ascii="Arial" w:hAnsi="Arial" w:cs="Arial"/>
          <w:sz w:val="20"/>
          <w:szCs w:val="20"/>
        </w:rPr>
        <w:t>ethyl acetate leaves extract in sub-chronic oral toxicity study</w:t>
      </w:r>
    </w:p>
    <w:p w14:paraId="03B79CAD" w14:textId="77777777" w:rsidR="007C5575" w:rsidRPr="00707CFF" w:rsidRDefault="007C5575" w:rsidP="002503A2">
      <w:pPr>
        <w:autoSpaceDE w:val="0"/>
        <w:autoSpaceDN w:val="0"/>
        <w:adjustRightInd w:val="0"/>
        <w:spacing w:line="480" w:lineRule="auto"/>
        <w:jc w:val="both"/>
        <w:rPr>
          <w:rFonts w:ascii="Arial" w:hAnsi="Arial" w:cs="Arial"/>
          <w:sz w:val="20"/>
          <w:szCs w:val="20"/>
        </w:rPr>
      </w:pPr>
      <w:r w:rsidRPr="00707CFF">
        <w:rPr>
          <w:rFonts w:ascii="Arial" w:hAnsi="Arial" w:cs="Arial"/>
          <w:b/>
          <w:sz w:val="20"/>
          <w:szCs w:val="20"/>
        </w:rPr>
        <w:t xml:space="preserve">Key: </w:t>
      </w:r>
      <w:r w:rsidRPr="00707CFF">
        <w:rPr>
          <w:rFonts w:ascii="Arial" w:hAnsi="Arial" w:cs="Arial"/>
          <w:sz w:val="20"/>
          <w:szCs w:val="20"/>
        </w:rPr>
        <w:t>T</w:t>
      </w:r>
      <w:r w:rsidRPr="00707CFF">
        <w:rPr>
          <w:rFonts w:ascii="Arial" w:hAnsi="Arial" w:cs="Arial"/>
          <w:sz w:val="20"/>
          <w:szCs w:val="20"/>
          <w:vertAlign w:val="subscript"/>
        </w:rPr>
        <w:t>3</w:t>
      </w:r>
      <w:r w:rsidRPr="00707CFF">
        <w:rPr>
          <w:rFonts w:ascii="Arial" w:hAnsi="Arial" w:cs="Arial"/>
          <w:sz w:val="20"/>
          <w:szCs w:val="20"/>
        </w:rPr>
        <w:t xml:space="preserve">= </w:t>
      </w:r>
      <w:proofErr w:type="spellStart"/>
      <w:r w:rsidRPr="00707CFF">
        <w:rPr>
          <w:rFonts w:ascii="Arial" w:hAnsi="Arial" w:cs="Arial"/>
          <w:sz w:val="20"/>
          <w:szCs w:val="20"/>
        </w:rPr>
        <w:t>triiodothyroxin</w:t>
      </w:r>
      <w:proofErr w:type="spellEnd"/>
      <w:r w:rsidRPr="00707CFF">
        <w:rPr>
          <w:rFonts w:ascii="Arial" w:hAnsi="Arial" w:cs="Arial"/>
          <w:sz w:val="20"/>
          <w:szCs w:val="20"/>
        </w:rPr>
        <w:t>, control=group I, 500 mg/kg=group II, 1000 mg/kg= group III, 1500 mg/kg= group IV. Bars represent Mean±SEM, the values are not significantly different (p&gt;0.05) when compared to control group, using two way analysis of variance SPSS version 23.0</w:t>
      </w:r>
    </w:p>
    <w:p w14:paraId="36024A4D" w14:textId="77777777" w:rsidR="007C5575" w:rsidRPr="00707CFF" w:rsidRDefault="00707CFF" w:rsidP="002503A2">
      <w:pPr>
        <w:tabs>
          <w:tab w:val="left" w:pos="2610"/>
        </w:tabs>
        <w:autoSpaceDE w:val="0"/>
        <w:autoSpaceDN w:val="0"/>
        <w:adjustRightInd w:val="0"/>
        <w:spacing w:line="480" w:lineRule="auto"/>
        <w:jc w:val="both"/>
        <w:rPr>
          <w:rFonts w:ascii="Arial" w:hAnsi="Arial" w:cs="Arial"/>
          <w:sz w:val="20"/>
          <w:szCs w:val="20"/>
        </w:rPr>
      </w:pPr>
      <w:r w:rsidRPr="00707CFF">
        <w:rPr>
          <w:rFonts w:ascii="Arial" w:hAnsi="Arial" w:cs="Arial"/>
          <w:sz w:val="20"/>
          <w:szCs w:val="20"/>
        </w:rPr>
        <w:tab/>
      </w:r>
    </w:p>
    <w:p w14:paraId="10E94152" w14:textId="77777777" w:rsidR="007C5575" w:rsidRPr="00223025" w:rsidRDefault="007C5575" w:rsidP="007C5575">
      <w:pPr>
        <w:spacing w:line="240" w:lineRule="auto"/>
        <w:rPr>
          <w:rFonts w:ascii="Arial" w:hAnsi="Arial" w:cs="Arial"/>
          <w:b/>
        </w:rPr>
      </w:pPr>
    </w:p>
    <w:p w14:paraId="5F7B95FE" w14:textId="77777777" w:rsidR="007C5575" w:rsidRPr="00223025" w:rsidRDefault="007C5575" w:rsidP="007C5575">
      <w:pPr>
        <w:autoSpaceDE w:val="0"/>
        <w:autoSpaceDN w:val="0"/>
        <w:adjustRightInd w:val="0"/>
        <w:spacing w:line="240" w:lineRule="auto"/>
        <w:rPr>
          <w:rFonts w:ascii="Arial" w:hAnsi="Arial" w:cs="Arial"/>
        </w:rPr>
      </w:pPr>
    </w:p>
    <w:p w14:paraId="23361BC0" w14:textId="77777777" w:rsidR="007C5575" w:rsidRPr="00223025" w:rsidRDefault="007C5575" w:rsidP="007C5575">
      <w:pPr>
        <w:autoSpaceDE w:val="0"/>
        <w:autoSpaceDN w:val="0"/>
        <w:adjustRightInd w:val="0"/>
        <w:spacing w:line="240" w:lineRule="auto"/>
        <w:rPr>
          <w:rFonts w:ascii="Arial" w:hAnsi="Arial" w:cs="Arial"/>
        </w:rPr>
      </w:pPr>
    </w:p>
    <w:p w14:paraId="6DD34C7F" w14:textId="77777777" w:rsidR="007C5575" w:rsidRPr="00223025" w:rsidRDefault="007C5575" w:rsidP="007C5575">
      <w:pPr>
        <w:autoSpaceDE w:val="0"/>
        <w:autoSpaceDN w:val="0"/>
        <w:adjustRightInd w:val="0"/>
        <w:spacing w:line="400" w:lineRule="atLeast"/>
        <w:rPr>
          <w:rFonts w:ascii="Arial" w:hAnsi="Arial" w:cs="Arial"/>
        </w:rPr>
      </w:pPr>
    </w:p>
    <w:p w14:paraId="5E2A835E" w14:textId="77777777" w:rsidR="007C5575" w:rsidRPr="00223025" w:rsidRDefault="007C5575" w:rsidP="007C5575">
      <w:pPr>
        <w:spacing w:line="240" w:lineRule="auto"/>
        <w:rPr>
          <w:rFonts w:ascii="Arial" w:hAnsi="Arial" w:cs="Arial"/>
          <w:b/>
        </w:rPr>
      </w:pPr>
    </w:p>
    <w:p w14:paraId="1FFEA842" w14:textId="77777777" w:rsidR="007C5575" w:rsidRPr="00223025" w:rsidRDefault="007C5575" w:rsidP="007C5575">
      <w:pPr>
        <w:spacing w:line="240" w:lineRule="auto"/>
        <w:rPr>
          <w:rFonts w:ascii="Arial" w:hAnsi="Arial" w:cs="Arial"/>
          <w:b/>
        </w:rPr>
      </w:pPr>
    </w:p>
    <w:p w14:paraId="0789B02A" w14:textId="77777777" w:rsidR="007C5575" w:rsidRPr="00223025" w:rsidRDefault="007C5575" w:rsidP="007C5575">
      <w:pPr>
        <w:spacing w:line="240" w:lineRule="auto"/>
        <w:rPr>
          <w:rFonts w:ascii="Arial" w:hAnsi="Arial" w:cs="Arial"/>
          <w:b/>
        </w:rPr>
      </w:pPr>
    </w:p>
    <w:p w14:paraId="4837F9F9" w14:textId="77777777" w:rsidR="007C5575" w:rsidRPr="00223025" w:rsidRDefault="007C5575" w:rsidP="007C5575">
      <w:pPr>
        <w:spacing w:line="240" w:lineRule="auto"/>
        <w:rPr>
          <w:rFonts w:ascii="Arial" w:hAnsi="Arial" w:cs="Arial"/>
          <w:b/>
        </w:rPr>
      </w:pPr>
    </w:p>
    <w:p w14:paraId="267DA092" w14:textId="77777777" w:rsidR="007C5575" w:rsidRPr="00223025" w:rsidRDefault="007C5575" w:rsidP="007C5575">
      <w:pPr>
        <w:spacing w:line="240" w:lineRule="auto"/>
        <w:rPr>
          <w:rFonts w:ascii="Arial" w:hAnsi="Arial" w:cs="Arial"/>
          <w:b/>
        </w:rPr>
      </w:pPr>
    </w:p>
    <w:p w14:paraId="3C85D615" w14:textId="77777777" w:rsidR="007C5575" w:rsidRPr="00223025" w:rsidRDefault="007C5575" w:rsidP="007C5575">
      <w:pPr>
        <w:spacing w:line="240" w:lineRule="auto"/>
        <w:rPr>
          <w:rFonts w:ascii="Arial" w:hAnsi="Arial" w:cs="Arial"/>
          <w:b/>
        </w:rPr>
      </w:pPr>
    </w:p>
    <w:p w14:paraId="7572C3AF" w14:textId="0FC5AAFB" w:rsidR="007C5575" w:rsidRPr="00223025" w:rsidRDefault="001A4FB3" w:rsidP="007C5575">
      <w:pPr>
        <w:autoSpaceDE w:val="0"/>
        <w:autoSpaceDN w:val="0"/>
        <w:adjustRightInd w:val="0"/>
        <w:spacing w:line="240" w:lineRule="auto"/>
        <w:rPr>
          <w:rFonts w:ascii="Arial" w:hAnsi="Arial" w:cs="Arial"/>
        </w:rPr>
      </w:pPr>
      <w:r w:rsidRPr="002E4EE1">
        <w:rPr>
          <w:noProof/>
          <w:lang w:eastAsia="en-GB"/>
        </w:rPr>
        <w:drawing>
          <wp:inline distT="0" distB="0" distL="0" distR="0" wp14:anchorId="2D3D20BF" wp14:editId="1D1E16C1">
            <wp:extent cx="5654675" cy="4758690"/>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54675" cy="4758690"/>
                    </a:xfrm>
                    <a:prstGeom prst="rect">
                      <a:avLst/>
                    </a:prstGeom>
                  </pic:spPr>
                </pic:pic>
              </a:graphicData>
            </a:graphic>
          </wp:inline>
        </w:drawing>
      </w:r>
    </w:p>
    <w:p w14:paraId="4ECA0B88" w14:textId="77777777" w:rsidR="007C5575" w:rsidRPr="00707CFF" w:rsidRDefault="007C5575" w:rsidP="002503A2">
      <w:pPr>
        <w:spacing w:line="480" w:lineRule="auto"/>
        <w:rPr>
          <w:rFonts w:ascii="Arial" w:hAnsi="Arial" w:cs="Arial"/>
          <w:b/>
          <w:sz w:val="20"/>
          <w:szCs w:val="20"/>
        </w:rPr>
      </w:pPr>
      <w:r w:rsidRPr="00707CFF">
        <w:rPr>
          <w:rFonts w:ascii="Arial" w:hAnsi="Arial" w:cs="Arial"/>
          <w:b/>
          <w:sz w:val="20"/>
          <w:szCs w:val="20"/>
        </w:rPr>
        <w:t xml:space="preserve">Figure 3: </w:t>
      </w:r>
      <w:r w:rsidRPr="00707CFF">
        <w:rPr>
          <w:rFonts w:ascii="Arial" w:hAnsi="Arial" w:cs="Arial"/>
          <w:sz w:val="20"/>
          <w:szCs w:val="20"/>
        </w:rPr>
        <w:t>T</w:t>
      </w:r>
      <w:r w:rsidRPr="00707CFF">
        <w:rPr>
          <w:rFonts w:ascii="Arial" w:hAnsi="Arial" w:cs="Arial"/>
          <w:sz w:val="20"/>
          <w:szCs w:val="20"/>
          <w:vertAlign w:val="subscript"/>
        </w:rPr>
        <w:t>4</w:t>
      </w:r>
      <w:r w:rsidRPr="00707CFF">
        <w:rPr>
          <w:rFonts w:ascii="Arial" w:hAnsi="Arial" w:cs="Arial"/>
          <w:sz w:val="20"/>
          <w:szCs w:val="20"/>
        </w:rPr>
        <w:t xml:space="preserve"> level of male and female Wistar rats administered </w:t>
      </w:r>
      <w:r w:rsidRPr="00707CFF">
        <w:rPr>
          <w:rFonts w:ascii="Arial" w:hAnsi="Arial" w:cs="Arial"/>
          <w:i/>
          <w:sz w:val="20"/>
          <w:szCs w:val="20"/>
        </w:rPr>
        <w:t xml:space="preserve">Gliricidia sepium </w:t>
      </w:r>
      <w:r w:rsidRPr="00707CFF">
        <w:rPr>
          <w:rFonts w:ascii="Arial" w:hAnsi="Arial" w:cs="Arial"/>
          <w:sz w:val="20"/>
          <w:szCs w:val="20"/>
        </w:rPr>
        <w:t>ethyl acetate leaves extract in sub-chronic oral toxicity study</w:t>
      </w:r>
    </w:p>
    <w:p w14:paraId="38293D18" w14:textId="77777777" w:rsidR="007C5575" w:rsidRPr="00707CFF" w:rsidRDefault="007C5575" w:rsidP="002503A2">
      <w:pPr>
        <w:autoSpaceDE w:val="0"/>
        <w:autoSpaceDN w:val="0"/>
        <w:adjustRightInd w:val="0"/>
        <w:spacing w:line="480" w:lineRule="auto"/>
        <w:rPr>
          <w:rFonts w:ascii="Arial" w:hAnsi="Arial" w:cs="Arial"/>
          <w:sz w:val="20"/>
          <w:szCs w:val="20"/>
        </w:rPr>
      </w:pPr>
      <w:r w:rsidRPr="00707CFF">
        <w:rPr>
          <w:rFonts w:ascii="Arial" w:hAnsi="Arial" w:cs="Arial"/>
          <w:b/>
          <w:sz w:val="20"/>
          <w:szCs w:val="20"/>
        </w:rPr>
        <w:t>Key:</w:t>
      </w:r>
      <w:r w:rsidRPr="00707CFF">
        <w:rPr>
          <w:rFonts w:ascii="Arial" w:hAnsi="Arial" w:cs="Arial"/>
          <w:sz w:val="20"/>
          <w:szCs w:val="20"/>
        </w:rPr>
        <w:t xml:space="preserve"> </w:t>
      </w:r>
      <w:r w:rsidRPr="00707CFF">
        <w:rPr>
          <w:rFonts w:ascii="Arial" w:hAnsi="Arial" w:cs="Arial"/>
          <w:bCs/>
          <w:sz w:val="20"/>
          <w:szCs w:val="20"/>
        </w:rPr>
        <w:t>T</w:t>
      </w:r>
      <w:r w:rsidRPr="00707CFF">
        <w:rPr>
          <w:rFonts w:ascii="Arial" w:hAnsi="Arial" w:cs="Arial"/>
          <w:bCs/>
          <w:sz w:val="20"/>
          <w:szCs w:val="20"/>
          <w:vertAlign w:val="subscript"/>
        </w:rPr>
        <w:t>4</w:t>
      </w:r>
      <w:r w:rsidRPr="00707CFF">
        <w:rPr>
          <w:rFonts w:ascii="Arial" w:hAnsi="Arial" w:cs="Arial"/>
          <w:bCs/>
          <w:sz w:val="20"/>
          <w:szCs w:val="20"/>
        </w:rPr>
        <w:t>= thyroxin, control=group I, 500 mg/kg=group II, 1000 mg/kg= group III, 1500 mg/kg= group IV. Bars represent Mean±SEM, the values are not significantly different (p&gt;0.05) when compared to control group, using two way analysis of variance SPSS version 23.0</w:t>
      </w:r>
    </w:p>
    <w:p w14:paraId="21198FA5" w14:textId="77777777" w:rsidR="007C5575" w:rsidRPr="00707CFF" w:rsidRDefault="007C5575" w:rsidP="002503A2">
      <w:pPr>
        <w:spacing w:line="480" w:lineRule="auto"/>
        <w:rPr>
          <w:rFonts w:ascii="Arial" w:hAnsi="Arial" w:cs="Arial"/>
          <w:sz w:val="20"/>
          <w:szCs w:val="20"/>
        </w:rPr>
      </w:pPr>
    </w:p>
    <w:p w14:paraId="6CA8832E" w14:textId="77777777" w:rsidR="007C5575" w:rsidRPr="00707CFF" w:rsidRDefault="007C5575" w:rsidP="007C5575">
      <w:pPr>
        <w:spacing w:line="240" w:lineRule="auto"/>
        <w:rPr>
          <w:rFonts w:ascii="Arial" w:hAnsi="Arial" w:cs="Arial"/>
          <w:sz w:val="20"/>
          <w:szCs w:val="20"/>
        </w:rPr>
      </w:pPr>
    </w:p>
    <w:p w14:paraId="17BD7E8A" w14:textId="77777777" w:rsidR="007C5575" w:rsidRPr="00223025" w:rsidRDefault="007C5575" w:rsidP="007C5575">
      <w:pPr>
        <w:spacing w:line="240" w:lineRule="auto"/>
        <w:rPr>
          <w:rFonts w:ascii="Arial" w:hAnsi="Arial" w:cs="Arial"/>
          <w:b/>
        </w:rPr>
      </w:pPr>
    </w:p>
    <w:p w14:paraId="5BAC2D4D" w14:textId="77777777" w:rsidR="007C5575" w:rsidRPr="00223025" w:rsidRDefault="007C5575" w:rsidP="007C5575">
      <w:pPr>
        <w:spacing w:line="240" w:lineRule="auto"/>
        <w:rPr>
          <w:rFonts w:ascii="Arial" w:hAnsi="Arial" w:cs="Arial"/>
          <w:b/>
        </w:rPr>
      </w:pPr>
    </w:p>
    <w:p w14:paraId="7752D383" w14:textId="77777777" w:rsidR="007C5575" w:rsidRPr="00223025" w:rsidRDefault="007C5575" w:rsidP="007C5575">
      <w:pPr>
        <w:spacing w:line="240" w:lineRule="auto"/>
        <w:rPr>
          <w:rFonts w:ascii="Arial" w:hAnsi="Arial" w:cs="Arial"/>
          <w:b/>
        </w:rPr>
      </w:pPr>
    </w:p>
    <w:p w14:paraId="3F89420D" w14:textId="77777777" w:rsidR="007C5575" w:rsidRPr="00223025" w:rsidRDefault="007C5575" w:rsidP="007C5575">
      <w:pPr>
        <w:spacing w:line="240" w:lineRule="auto"/>
        <w:rPr>
          <w:rFonts w:ascii="Arial" w:hAnsi="Arial" w:cs="Arial"/>
          <w:b/>
        </w:rPr>
      </w:pPr>
    </w:p>
    <w:p w14:paraId="0FB7B123" w14:textId="77777777" w:rsidR="007C5575" w:rsidRPr="00223025" w:rsidRDefault="007C5575" w:rsidP="007C5575">
      <w:pPr>
        <w:spacing w:line="240" w:lineRule="auto"/>
        <w:rPr>
          <w:rFonts w:ascii="Arial" w:hAnsi="Arial" w:cs="Arial"/>
          <w:b/>
        </w:rPr>
      </w:pPr>
    </w:p>
    <w:p w14:paraId="151338F9" w14:textId="77777777" w:rsidR="007C5575" w:rsidRPr="00223025" w:rsidRDefault="007C5575" w:rsidP="007C5575">
      <w:pPr>
        <w:spacing w:line="240" w:lineRule="auto"/>
        <w:rPr>
          <w:rFonts w:ascii="Arial" w:hAnsi="Arial" w:cs="Arial"/>
          <w:b/>
        </w:rPr>
      </w:pPr>
    </w:p>
    <w:p w14:paraId="1D7D7736" w14:textId="77777777" w:rsidR="007C5575" w:rsidRPr="00223025" w:rsidRDefault="007C5575" w:rsidP="007C5575">
      <w:pPr>
        <w:spacing w:line="240" w:lineRule="auto"/>
        <w:rPr>
          <w:rFonts w:ascii="Arial" w:hAnsi="Arial" w:cs="Arial"/>
          <w:b/>
        </w:rPr>
      </w:pPr>
    </w:p>
    <w:p w14:paraId="7153026B" w14:textId="77777777" w:rsidR="007C5575" w:rsidRPr="00223025" w:rsidRDefault="007C5575" w:rsidP="007C5575">
      <w:pPr>
        <w:spacing w:line="240" w:lineRule="auto"/>
        <w:rPr>
          <w:rFonts w:ascii="Arial" w:hAnsi="Arial" w:cs="Arial"/>
          <w:b/>
        </w:rPr>
      </w:pPr>
    </w:p>
    <w:p w14:paraId="1890BEBB" w14:textId="77777777" w:rsidR="007C5575" w:rsidRPr="00223025" w:rsidRDefault="007C5575" w:rsidP="007C5575">
      <w:pPr>
        <w:spacing w:line="240" w:lineRule="auto"/>
        <w:rPr>
          <w:rFonts w:ascii="Arial" w:hAnsi="Arial" w:cs="Arial"/>
          <w:b/>
        </w:rPr>
      </w:pPr>
    </w:p>
    <w:p w14:paraId="03F1C927" w14:textId="6DB7E546" w:rsidR="007C5575" w:rsidRPr="00223025" w:rsidRDefault="001A4FB3" w:rsidP="007C5575">
      <w:pPr>
        <w:spacing w:line="240" w:lineRule="auto"/>
        <w:rPr>
          <w:rFonts w:ascii="Arial" w:hAnsi="Arial" w:cs="Arial"/>
          <w:b/>
        </w:rPr>
      </w:pPr>
      <w:r>
        <w:rPr>
          <w:noProof/>
          <w:lang w:eastAsia="en-GB"/>
        </w:rPr>
        <w:drawing>
          <wp:inline distT="0" distB="0" distL="0" distR="0" wp14:anchorId="42E3A6FD" wp14:editId="328A1BCA">
            <wp:extent cx="4610100" cy="43719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10100" cy="4371975"/>
                    </a:xfrm>
                    <a:prstGeom prst="rect">
                      <a:avLst/>
                    </a:prstGeom>
                  </pic:spPr>
                </pic:pic>
              </a:graphicData>
            </a:graphic>
          </wp:inline>
        </w:drawing>
      </w:r>
    </w:p>
    <w:p w14:paraId="6DBEA000" w14:textId="77777777" w:rsidR="007C5575" w:rsidRPr="006E5967" w:rsidRDefault="007C5575" w:rsidP="002503A2">
      <w:pPr>
        <w:spacing w:line="480" w:lineRule="auto"/>
        <w:rPr>
          <w:rFonts w:ascii="Arial" w:hAnsi="Arial" w:cs="Arial"/>
          <w:sz w:val="20"/>
          <w:szCs w:val="20"/>
        </w:rPr>
      </w:pPr>
      <w:r w:rsidRPr="006E5967">
        <w:rPr>
          <w:rFonts w:ascii="Arial" w:hAnsi="Arial" w:cs="Arial"/>
          <w:b/>
          <w:sz w:val="20"/>
          <w:szCs w:val="20"/>
        </w:rPr>
        <w:t>Figure 4:</w:t>
      </w:r>
      <w:r w:rsidRPr="006E5967">
        <w:rPr>
          <w:rFonts w:ascii="Arial" w:hAnsi="Arial" w:cs="Arial"/>
          <w:sz w:val="20"/>
          <w:szCs w:val="20"/>
        </w:rPr>
        <w:t xml:space="preserve"> Testosterone level of male and female Wistar rats administered </w:t>
      </w:r>
      <w:r w:rsidRPr="006E5967">
        <w:rPr>
          <w:rFonts w:ascii="Arial" w:hAnsi="Arial" w:cs="Arial"/>
          <w:i/>
          <w:sz w:val="20"/>
          <w:szCs w:val="20"/>
        </w:rPr>
        <w:t xml:space="preserve">Gliricidia </w:t>
      </w:r>
      <w:r w:rsidR="006E5967" w:rsidRPr="006E5967">
        <w:rPr>
          <w:rFonts w:ascii="Arial" w:hAnsi="Arial" w:cs="Arial"/>
          <w:i/>
          <w:sz w:val="20"/>
          <w:szCs w:val="20"/>
        </w:rPr>
        <w:t xml:space="preserve">sepium </w:t>
      </w:r>
      <w:r w:rsidR="006E5967" w:rsidRPr="006E5967">
        <w:rPr>
          <w:rFonts w:ascii="Arial" w:hAnsi="Arial" w:cs="Arial"/>
          <w:sz w:val="20"/>
          <w:szCs w:val="20"/>
        </w:rPr>
        <w:t>ethyl</w:t>
      </w:r>
      <w:r w:rsidRPr="006E5967">
        <w:rPr>
          <w:rFonts w:ascii="Arial" w:hAnsi="Arial" w:cs="Arial"/>
          <w:sz w:val="20"/>
          <w:szCs w:val="20"/>
        </w:rPr>
        <w:t xml:space="preserve"> acetate </w:t>
      </w:r>
      <w:r w:rsidR="006E5967" w:rsidRPr="006E5967">
        <w:rPr>
          <w:rFonts w:ascii="Arial" w:hAnsi="Arial" w:cs="Arial"/>
          <w:sz w:val="20"/>
          <w:szCs w:val="20"/>
        </w:rPr>
        <w:t>leaves extract</w:t>
      </w:r>
      <w:r w:rsidRPr="006E5967">
        <w:rPr>
          <w:rFonts w:ascii="Arial" w:hAnsi="Arial" w:cs="Arial"/>
          <w:sz w:val="20"/>
          <w:szCs w:val="20"/>
        </w:rPr>
        <w:t xml:space="preserve"> in sub-chronic oral toxicity study</w:t>
      </w:r>
    </w:p>
    <w:p w14:paraId="450D211A" w14:textId="77777777" w:rsidR="007C5575" w:rsidRPr="006E5967" w:rsidRDefault="007C5575" w:rsidP="002503A2">
      <w:pPr>
        <w:spacing w:line="480" w:lineRule="auto"/>
        <w:rPr>
          <w:rFonts w:ascii="Arial" w:hAnsi="Arial" w:cs="Arial"/>
          <w:sz w:val="20"/>
          <w:szCs w:val="20"/>
        </w:rPr>
      </w:pPr>
      <w:r w:rsidRPr="006E5967">
        <w:rPr>
          <w:rFonts w:ascii="Arial" w:hAnsi="Arial" w:cs="Arial"/>
          <w:b/>
          <w:sz w:val="20"/>
          <w:szCs w:val="20"/>
        </w:rPr>
        <w:t xml:space="preserve">Key: </w:t>
      </w:r>
      <w:r w:rsidRPr="006E5967">
        <w:rPr>
          <w:rFonts w:ascii="Arial" w:hAnsi="Arial" w:cs="Arial"/>
          <w:sz w:val="20"/>
          <w:szCs w:val="20"/>
        </w:rPr>
        <w:t>control=group I, 500 mg/kg=group II, 1000 mg/kg= group III, 1500 mg/kg= group IV. Bars represent Mean±SEM, bars with different letters are significantly different (p&lt;0.05), using two way analysis of variance SPSS version 23.0</w:t>
      </w:r>
    </w:p>
    <w:p w14:paraId="23BBBB16" w14:textId="77777777" w:rsidR="007C5575" w:rsidRPr="00223025" w:rsidRDefault="007C5575" w:rsidP="002503A2">
      <w:pPr>
        <w:spacing w:line="480" w:lineRule="auto"/>
        <w:rPr>
          <w:rFonts w:ascii="Arial" w:hAnsi="Arial" w:cs="Arial"/>
          <w:b/>
        </w:rPr>
      </w:pPr>
    </w:p>
    <w:p w14:paraId="74051042" w14:textId="77777777" w:rsidR="007C5575" w:rsidRPr="00223025" w:rsidRDefault="007C5575" w:rsidP="007C5575">
      <w:pPr>
        <w:spacing w:line="240" w:lineRule="auto"/>
        <w:rPr>
          <w:rFonts w:ascii="Arial" w:hAnsi="Arial" w:cs="Arial"/>
          <w:b/>
        </w:rPr>
      </w:pPr>
    </w:p>
    <w:p w14:paraId="014DA8F2" w14:textId="77777777" w:rsidR="007C5575" w:rsidRPr="00223025" w:rsidRDefault="007C5575" w:rsidP="007C5575">
      <w:pPr>
        <w:spacing w:line="240" w:lineRule="auto"/>
        <w:rPr>
          <w:rFonts w:ascii="Arial" w:hAnsi="Arial" w:cs="Arial"/>
          <w:b/>
        </w:rPr>
      </w:pPr>
    </w:p>
    <w:p w14:paraId="1B56EDDC" w14:textId="77777777" w:rsidR="007C5575" w:rsidRPr="00223025" w:rsidRDefault="007C5575" w:rsidP="007C5575">
      <w:pPr>
        <w:spacing w:line="240" w:lineRule="auto"/>
        <w:rPr>
          <w:rFonts w:ascii="Arial" w:hAnsi="Arial" w:cs="Arial"/>
          <w:b/>
        </w:rPr>
      </w:pPr>
    </w:p>
    <w:p w14:paraId="70EFCF43" w14:textId="77777777" w:rsidR="007C5575" w:rsidRPr="00223025" w:rsidRDefault="007C5575" w:rsidP="007C5575">
      <w:pPr>
        <w:spacing w:line="240" w:lineRule="auto"/>
        <w:rPr>
          <w:rFonts w:ascii="Arial" w:hAnsi="Arial" w:cs="Arial"/>
          <w:b/>
        </w:rPr>
      </w:pPr>
    </w:p>
    <w:p w14:paraId="3AEF277A" w14:textId="77777777" w:rsidR="007C5575" w:rsidRPr="00223025" w:rsidRDefault="007C5575" w:rsidP="007C5575">
      <w:pPr>
        <w:spacing w:line="240" w:lineRule="auto"/>
        <w:rPr>
          <w:rFonts w:ascii="Arial" w:hAnsi="Arial" w:cs="Arial"/>
          <w:b/>
        </w:rPr>
      </w:pPr>
    </w:p>
    <w:p w14:paraId="03CA455F" w14:textId="77777777" w:rsidR="007C5575" w:rsidRPr="00223025" w:rsidRDefault="007C5575" w:rsidP="007C5575">
      <w:pPr>
        <w:spacing w:line="240" w:lineRule="auto"/>
        <w:rPr>
          <w:rFonts w:ascii="Arial" w:hAnsi="Arial" w:cs="Arial"/>
          <w:b/>
        </w:rPr>
      </w:pPr>
    </w:p>
    <w:p w14:paraId="01D3FD05" w14:textId="77777777" w:rsidR="007C5575" w:rsidRPr="00223025" w:rsidRDefault="007C5575" w:rsidP="007C5575">
      <w:pPr>
        <w:spacing w:line="240" w:lineRule="auto"/>
        <w:rPr>
          <w:rFonts w:ascii="Arial" w:hAnsi="Arial" w:cs="Arial"/>
          <w:b/>
        </w:rPr>
      </w:pPr>
    </w:p>
    <w:p w14:paraId="3C9E6270" w14:textId="77777777" w:rsidR="007C5575" w:rsidRPr="00223025" w:rsidRDefault="007C5575" w:rsidP="007C5575">
      <w:pPr>
        <w:spacing w:line="240" w:lineRule="auto"/>
        <w:rPr>
          <w:rFonts w:ascii="Arial" w:hAnsi="Arial" w:cs="Arial"/>
          <w:b/>
        </w:rPr>
      </w:pPr>
    </w:p>
    <w:p w14:paraId="23333051" w14:textId="77777777" w:rsidR="007C5575" w:rsidRPr="00223025" w:rsidRDefault="007C5575" w:rsidP="007C5575">
      <w:pPr>
        <w:spacing w:line="240" w:lineRule="auto"/>
        <w:rPr>
          <w:rFonts w:ascii="Arial" w:hAnsi="Arial" w:cs="Arial"/>
          <w:b/>
        </w:rPr>
      </w:pPr>
    </w:p>
    <w:p w14:paraId="7DD164CB" w14:textId="77777777" w:rsidR="007C5575" w:rsidRPr="00223025" w:rsidRDefault="007C5575" w:rsidP="007C5575">
      <w:pPr>
        <w:spacing w:line="240" w:lineRule="auto"/>
        <w:rPr>
          <w:rFonts w:ascii="Arial" w:hAnsi="Arial" w:cs="Arial"/>
          <w:b/>
        </w:rPr>
      </w:pPr>
    </w:p>
    <w:p w14:paraId="6514C9FD" w14:textId="77777777" w:rsidR="007C5575" w:rsidRPr="00223025" w:rsidRDefault="007C5575" w:rsidP="007C5575">
      <w:pPr>
        <w:spacing w:line="240" w:lineRule="auto"/>
        <w:rPr>
          <w:rFonts w:ascii="Arial" w:hAnsi="Arial" w:cs="Arial"/>
          <w:b/>
        </w:rPr>
      </w:pPr>
    </w:p>
    <w:p w14:paraId="6995CDB1" w14:textId="72A3A8E5" w:rsidR="007C5575" w:rsidRPr="00223025" w:rsidRDefault="001A4FB3" w:rsidP="007C5575">
      <w:pPr>
        <w:autoSpaceDE w:val="0"/>
        <w:autoSpaceDN w:val="0"/>
        <w:adjustRightInd w:val="0"/>
        <w:spacing w:line="240" w:lineRule="auto"/>
        <w:rPr>
          <w:rFonts w:ascii="Arial" w:hAnsi="Arial" w:cs="Arial"/>
          <w:noProof/>
          <w:lang w:eastAsia="en-GB"/>
        </w:rPr>
      </w:pPr>
      <w:r>
        <w:rPr>
          <w:noProof/>
          <w:lang w:eastAsia="en-GB"/>
        </w:rPr>
        <w:drawing>
          <wp:inline distT="0" distB="0" distL="0" distR="0" wp14:anchorId="0B934B9C" wp14:editId="2CC8613C">
            <wp:extent cx="4543425" cy="42957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43425" cy="4295775"/>
                    </a:xfrm>
                    <a:prstGeom prst="rect">
                      <a:avLst/>
                    </a:prstGeom>
                  </pic:spPr>
                </pic:pic>
              </a:graphicData>
            </a:graphic>
          </wp:inline>
        </w:drawing>
      </w:r>
    </w:p>
    <w:p w14:paraId="3300F6E3" w14:textId="77777777" w:rsidR="007C5575" w:rsidRPr="006E5967" w:rsidRDefault="007C5575" w:rsidP="002503A2">
      <w:pPr>
        <w:spacing w:line="480" w:lineRule="auto"/>
        <w:jc w:val="both"/>
        <w:rPr>
          <w:rFonts w:ascii="Arial" w:hAnsi="Arial" w:cs="Arial"/>
          <w:sz w:val="20"/>
          <w:szCs w:val="20"/>
        </w:rPr>
      </w:pPr>
      <w:r w:rsidRPr="006E5967">
        <w:rPr>
          <w:rFonts w:ascii="Arial" w:hAnsi="Arial" w:cs="Arial"/>
          <w:b/>
          <w:sz w:val="20"/>
          <w:szCs w:val="20"/>
        </w:rPr>
        <w:t xml:space="preserve">Figure 5: </w:t>
      </w:r>
      <w:r w:rsidRPr="006E5967">
        <w:rPr>
          <w:rFonts w:ascii="Arial" w:hAnsi="Arial" w:cs="Arial"/>
          <w:sz w:val="20"/>
          <w:szCs w:val="20"/>
        </w:rPr>
        <w:t xml:space="preserve">Progesterone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470C3868"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Key:</w:t>
      </w:r>
      <w:r w:rsidRPr="006E5967">
        <w:rPr>
          <w:rFonts w:ascii="Arial" w:hAnsi="Arial" w:cs="Arial"/>
          <w:sz w:val="20"/>
          <w:szCs w:val="20"/>
        </w:rPr>
        <w:t xml:space="preserve"> control=group I, 500 mg/kg=group II, 1000 mg/kg= group III, 1500 mg/kg= group IV. Bars represent Mean±SEM, bars with different letters are significantly different (p&lt;0.05), using two way analysis of variance SPSS version 23.0</w:t>
      </w:r>
    </w:p>
    <w:p w14:paraId="3ADCD4BC" w14:textId="77777777" w:rsidR="007C5575" w:rsidRPr="006E5967" w:rsidRDefault="007C5575" w:rsidP="007C5575">
      <w:pPr>
        <w:autoSpaceDE w:val="0"/>
        <w:autoSpaceDN w:val="0"/>
        <w:adjustRightInd w:val="0"/>
        <w:spacing w:line="240" w:lineRule="auto"/>
        <w:rPr>
          <w:rFonts w:ascii="Arial" w:hAnsi="Arial" w:cs="Arial"/>
          <w:sz w:val="20"/>
          <w:szCs w:val="20"/>
        </w:rPr>
      </w:pPr>
    </w:p>
    <w:p w14:paraId="44D9F9CD" w14:textId="77777777" w:rsidR="007C5575" w:rsidRPr="00223025" w:rsidRDefault="007C5575" w:rsidP="007C5575">
      <w:pPr>
        <w:autoSpaceDE w:val="0"/>
        <w:autoSpaceDN w:val="0"/>
        <w:adjustRightInd w:val="0"/>
        <w:spacing w:line="240" w:lineRule="auto"/>
        <w:rPr>
          <w:rFonts w:ascii="Arial" w:hAnsi="Arial" w:cs="Arial"/>
        </w:rPr>
      </w:pPr>
    </w:p>
    <w:p w14:paraId="79510E94" w14:textId="77777777" w:rsidR="007C5575" w:rsidRPr="00223025" w:rsidRDefault="007C5575" w:rsidP="007C5575">
      <w:pPr>
        <w:autoSpaceDE w:val="0"/>
        <w:autoSpaceDN w:val="0"/>
        <w:adjustRightInd w:val="0"/>
        <w:spacing w:line="400" w:lineRule="atLeast"/>
        <w:rPr>
          <w:rFonts w:ascii="Arial" w:hAnsi="Arial" w:cs="Arial"/>
        </w:rPr>
      </w:pPr>
    </w:p>
    <w:p w14:paraId="35A92D31" w14:textId="77777777" w:rsidR="007C5575" w:rsidRPr="00223025" w:rsidRDefault="007C5575" w:rsidP="007C5575">
      <w:pPr>
        <w:spacing w:line="240" w:lineRule="auto"/>
        <w:rPr>
          <w:rFonts w:ascii="Arial" w:hAnsi="Arial" w:cs="Arial"/>
          <w:b/>
        </w:rPr>
      </w:pPr>
    </w:p>
    <w:p w14:paraId="36377A28" w14:textId="77777777" w:rsidR="007C5575" w:rsidRPr="00223025" w:rsidRDefault="007C5575" w:rsidP="007C5575">
      <w:pPr>
        <w:spacing w:line="240" w:lineRule="auto"/>
        <w:rPr>
          <w:rFonts w:ascii="Arial" w:hAnsi="Arial" w:cs="Arial"/>
          <w:b/>
        </w:rPr>
      </w:pPr>
    </w:p>
    <w:p w14:paraId="095623B5" w14:textId="77777777" w:rsidR="007C5575" w:rsidRPr="00223025" w:rsidRDefault="007C5575" w:rsidP="007C5575">
      <w:pPr>
        <w:spacing w:line="240" w:lineRule="auto"/>
        <w:rPr>
          <w:rFonts w:ascii="Arial" w:hAnsi="Arial" w:cs="Arial"/>
          <w:b/>
        </w:rPr>
      </w:pPr>
    </w:p>
    <w:p w14:paraId="48A47BB1" w14:textId="77777777" w:rsidR="007C5575" w:rsidRPr="00223025" w:rsidRDefault="007C5575" w:rsidP="007C5575">
      <w:pPr>
        <w:spacing w:line="240" w:lineRule="auto"/>
        <w:rPr>
          <w:rFonts w:ascii="Arial" w:hAnsi="Arial" w:cs="Arial"/>
          <w:b/>
        </w:rPr>
      </w:pPr>
    </w:p>
    <w:p w14:paraId="692A2431" w14:textId="77777777" w:rsidR="007C5575" w:rsidRPr="00223025" w:rsidRDefault="007C5575" w:rsidP="007C5575">
      <w:pPr>
        <w:spacing w:line="240" w:lineRule="auto"/>
        <w:rPr>
          <w:rFonts w:ascii="Arial" w:hAnsi="Arial" w:cs="Arial"/>
          <w:b/>
        </w:rPr>
      </w:pPr>
    </w:p>
    <w:p w14:paraId="10BB656A" w14:textId="77777777" w:rsidR="007C5575" w:rsidRPr="00223025" w:rsidRDefault="007C5575" w:rsidP="007C5575">
      <w:pPr>
        <w:spacing w:line="240" w:lineRule="auto"/>
        <w:rPr>
          <w:rFonts w:ascii="Arial" w:hAnsi="Arial" w:cs="Arial"/>
          <w:b/>
        </w:rPr>
      </w:pPr>
    </w:p>
    <w:p w14:paraId="002E3F6C" w14:textId="77777777" w:rsidR="007C5575" w:rsidRPr="00223025" w:rsidRDefault="007C5575" w:rsidP="007C5575">
      <w:pPr>
        <w:spacing w:line="240" w:lineRule="auto"/>
        <w:rPr>
          <w:rFonts w:ascii="Arial" w:hAnsi="Arial" w:cs="Arial"/>
          <w:b/>
        </w:rPr>
      </w:pPr>
    </w:p>
    <w:p w14:paraId="0943B049" w14:textId="77777777" w:rsidR="007C5575" w:rsidRPr="00223025" w:rsidRDefault="007C5575" w:rsidP="007C5575">
      <w:pPr>
        <w:spacing w:line="240" w:lineRule="auto"/>
        <w:rPr>
          <w:rFonts w:ascii="Arial" w:hAnsi="Arial" w:cs="Arial"/>
          <w:b/>
        </w:rPr>
      </w:pPr>
    </w:p>
    <w:p w14:paraId="04CE8DC8" w14:textId="2CF003DE" w:rsidR="007C5575" w:rsidRPr="00223025" w:rsidRDefault="001A4FB3" w:rsidP="007C5575">
      <w:pPr>
        <w:spacing w:line="240" w:lineRule="auto"/>
        <w:rPr>
          <w:rFonts w:ascii="Arial" w:hAnsi="Arial" w:cs="Arial"/>
          <w:b/>
        </w:rPr>
      </w:pPr>
      <w:r>
        <w:rPr>
          <w:noProof/>
          <w:lang w:eastAsia="en-GB"/>
        </w:rPr>
        <w:drawing>
          <wp:inline distT="0" distB="0" distL="0" distR="0" wp14:anchorId="0ED120F6" wp14:editId="07EA3185">
            <wp:extent cx="4629150" cy="45529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29150" cy="4552950"/>
                    </a:xfrm>
                    <a:prstGeom prst="rect">
                      <a:avLst/>
                    </a:prstGeom>
                  </pic:spPr>
                </pic:pic>
              </a:graphicData>
            </a:graphic>
          </wp:inline>
        </w:drawing>
      </w:r>
    </w:p>
    <w:p w14:paraId="0321E86C" w14:textId="1E47122A" w:rsidR="007C5575" w:rsidRPr="006E5967" w:rsidRDefault="007C5575" w:rsidP="002503A2">
      <w:pPr>
        <w:spacing w:line="480" w:lineRule="auto"/>
        <w:jc w:val="both"/>
        <w:rPr>
          <w:rFonts w:ascii="Arial" w:hAnsi="Arial" w:cs="Arial"/>
          <w:b/>
          <w:sz w:val="20"/>
          <w:szCs w:val="20"/>
        </w:rPr>
      </w:pPr>
      <w:r w:rsidRPr="006E5967">
        <w:rPr>
          <w:rFonts w:ascii="Arial" w:hAnsi="Arial" w:cs="Arial"/>
          <w:b/>
          <w:sz w:val="20"/>
          <w:szCs w:val="20"/>
        </w:rPr>
        <w:t xml:space="preserve">Figure 6: </w:t>
      </w:r>
      <w:r w:rsidRPr="006E5967">
        <w:rPr>
          <w:rFonts w:ascii="Arial" w:hAnsi="Arial" w:cs="Arial"/>
          <w:sz w:val="20"/>
          <w:szCs w:val="20"/>
        </w:rPr>
        <w:t xml:space="preserve">Prolactin level of male and female Wistar rats administered </w:t>
      </w:r>
      <w:r w:rsidRPr="006E5967">
        <w:rPr>
          <w:rFonts w:ascii="Arial" w:hAnsi="Arial" w:cs="Arial"/>
          <w:i/>
          <w:sz w:val="20"/>
          <w:szCs w:val="20"/>
        </w:rPr>
        <w:t>Gliricidia sepium</w:t>
      </w:r>
      <w:r w:rsidRPr="006E5967">
        <w:rPr>
          <w:rFonts w:ascii="Arial" w:hAnsi="Arial" w:cs="Arial"/>
          <w:sz w:val="20"/>
          <w:szCs w:val="20"/>
        </w:rPr>
        <w:t xml:space="preserve"> ethyl acetate leaves extract in sub-chronic oral toxicity study.</w:t>
      </w:r>
    </w:p>
    <w:p w14:paraId="46DE3959"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Key:</w:t>
      </w:r>
      <w:r w:rsidRPr="006E5967">
        <w:rPr>
          <w:rFonts w:ascii="Arial" w:hAnsi="Arial" w:cs="Arial"/>
          <w:sz w:val="20"/>
          <w:szCs w:val="20"/>
        </w:rPr>
        <w:t xml:space="preserve"> control=group I, 500 mg/kg=group II, 1000 mg/kg= group III, 1500 mg/kg= group IV. Bars represent Mean±SEM, bars with different letters are significantly different (p&lt;0.05), using two way analysis of variance SPSS version 23.0</w:t>
      </w:r>
    </w:p>
    <w:p w14:paraId="564AF486" w14:textId="77777777" w:rsidR="007C5575" w:rsidRPr="00223025" w:rsidRDefault="007C5575" w:rsidP="007C5575">
      <w:pPr>
        <w:autoSpaceDE w:val="0"/>
        <w:autoSpaceDN w:val="0"/>
        <w:adjustRightInd w:val="0"/>
        <w:spacing w:line="240" w:lineRule="auto"/>
        <w:rPr>
          <w:rFonts w:ascii="Arial" w:hAnsi="Arial" w:cs="Arial"/>
        </w:rPr>
      </w:pPr>
    </w:p>
    <w:p w14:paraId="14939B23" w14:textId="77777777" w:rsidR="007C5575" w:rsidRPr="00223025" w:rsidRDefault="007C5575" w:rsidP="007C5575">
      <w:pPr>
        <w:autoSpaceDE w:val="0"/>
        <w:autoSpaceDN w:val="0"/>
        <w:adjustRightInd w:val="0"/>
        <w:spacing w:line="400" w:lineRule="atLeast"/>
        <w:rPr>
          <w:rFonts w:ascii="Arial" w:hAnsi="Arial" w:cs="Arial"/>
        </w:rPr>
      </w:pPr>
    </w:p>
    <w:p w14:paraId="7DB35B1D" w14:textId="77777777" w:rsidR="007C5575" w:rsidRPr="00223025" w:rsidRDefault="007C5575" w:rsidP="007C5575">
      <w:pPr>
        <w:spacing w:line="240" w:lineRule="auto"/>
        <w:rPr>
          <w:rFonts w:ascii="Arial" w:hAnsi="Arial" w:cs="Arial"/>
          <w:b/>
        </w:rPr>
      </w:pPr>
    </w:p>
    <w:p w14:paraId="64BB59B9" w14:textId="77777777" w:rsidR="007C5575" w:rsidRPr="00223025" w:rsidRDefault="007C5575" w:rsidP="007C5575">
      <w:pPr>
        <w:spacing w:line="240" w:lineRule="auto"/>
        <w:rPr>
          <w:rFonts w:ascii="Arial" w:hAnsi="Arial" w:cs="Arial"/>
          <w:b/>
        </w:rPr>
      </w:pPr>
    </w:p>
    <w:p w14:paraId="026E0785" w14:textId="77777777" w:rsidR="007C5575" w:rsidRPr="00223025" w:rsidRDefault="007C5575" w:rsidP="007C5575">
      <w:pPr>
        <w:spacing w:line="240" w:lineRule="auto"/>
        <w:rPr>
          <w:rFonts w:ascii="Arial" w:hAnsi="Arial" w:cs="Arial"/>
          <w:b/>
        </w:rPr>
      </w:pPr>
    </w:p>
    <w:p w14:paraId="52232FB7" w14:textId="77777777" w:rsidR="007C5575" w:rsidRPr="00223025" w:rsidRDefault="007C5575" w:rsidP="007C5575">
      <w:pPr>
        <w:spacing w:line="240" w:lineRule="auto"/>
        <w:rPr>
          <w:rFonts w:ascii="Arial" w:hAnsi="Arial" w:cs="Arial"/>
          <w:b/>
        </w:rPr>
      </w:pPr>
    </w:p>
    <w:p w14:paraId="2AEA5461" w14:textId="77777777" w:rsidR="007C5575" w:rsidRPr="00223025" w:rsidRDefault="007C5575" w:rsidP="007C5575">
      <w:pPr>
        <w:spacing w:line="240" w:lineRule="auto"/>
        <w:rPr>
          <w:rFonts w:ascii="Arial" w:hAnsi="Arial" w:cs="Arial"/>
          <w:b/>
        </w:rPr>
      </w:pPr>
    </w:p>
    <w:p w14:paraId="7AB3CFFF" w14:textId="77777777" w:rsidR="007C5575" w:rsidRPr="00223025" w:rsidRDefault="007C5575" w:rsidP="007C5575">
      <w:pPr>
        <w:spacing w:line="240" w:lineRule="auto"/>
        <w:rPr>
          <w:rFonts w:ascii="Arial" w:hAnsi="Arial" w:cs="Arial"/>
          <w:b/>
        </w:rPr>
      </w:pPr>
    </w:p>
    <w:p w14:paraId="5F3F63C5" w14:textId="77777777" w:rsidR="007C5575" w:rsidRPr="00223025" w:rsidRDefault="007C5575" w:rsidP="007C5575">
      <w:pPr>
        <w:spacing w:line="240" w:lineRule="auto"/>
        <w:rPr>
          <w:rFonts w:ascii="Arial" w:hAnsi="Arial" w:cs="Arial"/>
          <w:b/>
        </w:rPr>
      </w:pPr>
    </w:p>
    <w:p w14:paraId="1DE35968" w14:textId="77777777" w:rsidR="007C5575" w:rsidRPr="00223025" w:rsidRDefault="007C5575" w:rsidP="007C5575">
      <w:pPr>
        <w:spacing w:line="240" w:lineRule="auto"/>
        <w:rPr>
          <w:rFonts w:ascii="Arial" w:hAnsi="Arial" w:cs="Arial"/>
          <w:b/>
        </w:rPr>
      </w:pPr>
    </w:p>
    <w:p w14:paraId="35E9A048" w14:textId="77777777" w:rsidR="007C5575" w:rsidRPr="00223025" w:rsidRDefault="007C5575" w:rsidP="007C5575">
      <w:pPr>
        <w:spacing w:line="240" w:lineRule="auto"/>
        <w:rPr>
          <w:rFonts w:ascii="Arial" w:hAnsi="Arial" w:cs="Arial"/>
          <w:b/>
        </w:rPr>
      </w:pPr>
    </w:p>
    <w:p w14:paraId="5EB6B828" w14:textId="77777777" w:rsidR="007C5575" w:rsidRPr="00223025" w:rsidRDefault="007C5575" w:rsidP="007C5575">
      <w:pPr>
        <w:spacing w:line="240" w:lineRule="auto"/>
        <w:rPr>
          <w:rFonts w:ascii="Arial" w:hAnsi="Arial" w:cs="Arial"/>
          <w:b/>
        </w:rPr>
      </w:pPr>
    </w:p>
    <w:p w14:paraId="22C3B3BF" w14:textId="7B9D587D" w:rsidR="007C5575" w:rsidRPr="00223025" w:rsidRDefault="001A4FB3" w:rsidP="007C5575">
      <w:pPr>
        <w:autoSpaceDE w:val="0"/>
        <w:autoSpaceDN w:val="0"/>
        <w:adjustRightInd w:val="0"/>
        <w:spacing w:line="240" w:lineRule="auto"/>
        <w:rPr>
          <w:rFonts w:ascii="Arial" w:hAnsi="Arial" w:cs="Arial"/>
          <w:b/>
        </w:rPr>
      </w:pPr>
      <w:r>
        <w:rPr>
          <w:noProof/>
          <w:lang w:eastAsia="en-GB"/>
        </w:rPr>
        <w:drawing>
          <wp:inline distT="0" distB="0" distL="0" distR="0" wp14:anchorId="5E58A586" wp14:editId="09D2F819">
            <wp:extent cx="4724400" cy="44100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24400" cy="4410075"/>
                    </a:xfrm>
                    <a:prstGeom prst="rect">
                      <a:avLst/>
                    </a:prstGeom>
                  </pic:spPr>
                </pic:pic>
              </a:graphicData>
            </a:graphic>
          </wp:inline>
        </w:drawing>
      </w:r>
    </w:p>
    <w:p w14:paraId="48D3585D"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 xml:space="preserve">Figure 7: </w:t>
      </w:r>
      <w:r w:rsidRPr="006E5967">
        <w:rPr>
          <w:rFonts w:ascii="Arial" w:hAnsi="Arial" w:cs="Arial"/>
          <w:sz w:val="20"/>
          <w:szCs w:val="20"/>
        </w:rPr>
        <w:t xml:space="preserve">FSH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6EF1C78A"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lastRenderedPageBreak/>
        <w:t>Key:</w:t>
      </w:r>
      <w:r w:rsidRPr="006E5967">
        <w:rPr>
          <w:rFonts w:ascii="Arial" w:hAnsi="Arial" w:cs="Arial"/>
          <w:sz w:val="20"/>
          <w:szCs w:val="20"/>
        </w:rPr>
        <w:t xml:space="preserve"> FSH= follicle stimulating hormone, control=group I, 500 mg/kg=group II, 1000 mg/kg= group III, 1500 mg/kg= group IV. Bars represent Mean±SEM, bars with different letters are significantly different (p&lt;0.05), using two way analysis of variance SPSS version 23.0</w:t>
      </w:r>
    </w:p>
    <w:p w14:paraId="4C80FE94" w14:textId="77777777" w:rsidR="007C5575" w:rsidRPr="006E5967" w:rsidRDefault="007C5575" w:rsidP="007C5575">
      <w:pPr>
        <w:autoSpaceDE w:val="0"/>
        <w:autoSpaceDN w:val="0"/>
        <w:adjustRightInd w:val="0"/>
        <w:spacing w:line="240" w:lineRule="auto"/>
        <w:rPr>
          <w:rFonts w:ascii="Arial" w:hAnsi="Arial" w:cs="Arial"/>
          <w:sz w:val="20"/>
          <w:szCs w:val="20"/>
        </w:rPr>
      </w:pPr>
    </w:p>
    <w:p w14:paraId="5166EE53" w14:textId="77777777" w:rsidR="007C5575" w:rsidRPr="00223025" w:rsidRDefault="007C5575" w:rsidP="007C5575">
      <w:pPr>
        <w:spacing w:line="240" w:lineRule="auto"/>
        <w:rPr>
          <w:rFonts w:ascii="Arial" w:hAnsi="Arial" w:cs="Arial"/>
          <w:b/>
        </w:rPr>
      </w:pPr>
    </w:p>
    <w:p w14:paraId="74D1CDDA" w14:textId="77777777" w:rsidR="007C5575" w:rsidRPr="00223025" w:rsidRDefault="007C5575" w:rsidP="007C5575">
      <w:pPr>
        <w:spacing w:line="240" w:lineRule="auto"/>
        <w:rPr>
          <w:rFonts w:ascii="Arial" w:hAnsi="Arial" w:cs="Arial"/>
          <w:b/>
        </w:rPr>
      </w:pPr>
    </w:p>
    <w:p w14:paraId="2FD30D05" w14:textId="77777777" w:rsidR="007C5575" w:rsidRPr="00223025" w:rsidRDefault="007C5575" w:rsidP="007C5575">
      <w:pPr>
        <w:spacing w:line="240" w:lineRule="auto"/>
        <w:rPr>
          <w:rFonts w:ascii="Arial" w:hAnsi="Arial" w:cs="Arial"/>
          <w:b/>
        </w:rPr>
      </w:pPr>
    </w:p>
    <w:p w14:paraId="4EA75727" w14:textId="7640FD7A" w:rsidR="007C5575" w:rsidRPr="00223025" w:rsidRDefault="001A4FB3" w:rsidP="007C5575">
      <w:pPr>
        <w:autoSpaceDE w:val="0"/>
        <w:autoSpaceDN w:val="0"/>
        <w:adjustRightInd w:val="0"/>
        <w:spacing w:line="240" w:lineRule="auto"/>
        <w:rPr>
          <w:rFonts w:ascii="Arial" w:hAnsi="Arial" w:cs="Arial"/>
          <w:b/>
        </w:rPr>
      </w:pPr>
      <w:r>
        <w:rPr>
          <w:noProof/>
          <w:lang w:eastAsia="en-GB"/>
        </w:rPr>
        <w:drawing>
          <wp:inline distT="0" distB="0" distL="0" distR="0" wp14:anchorId="36492769" wp14:editId="2F79A4D0">
            <wp:extent cx="4648200" cy="43815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48200" cy="4381500"/>
                    </a:xfrm>
                    <a:prstGeom prst="rect">
                      <a:avLst/>
                    </a:prstGeom>
                  </pic:spPr>
                </pic:pic>
              </a:graphicData>
            </a:graphic>
          </wp:inline>
        </w:drawing>
      </w:r>
    </w:p>
    <w:p w14:paraId="04C740F3" w14:textId="77777777" w:rsidR="007C5575" w:rsidRPr="006E5967" w:rsidRDefault="007C5575" w:rsidP="002503A2">
      <w:pPr>
        <w:autoSpaceDE w:val="0"/>
        <w:autoSpaceDN w:val="0"/>
        <w:adjustRightInd w:val="0"/>
        <w:spacing w:line="480" w:lineRule="auto"/>
        <w:jc w:val="both"/>
        <w:rPr>
          <w:rFonts w:ascii="Arial" w:hAnsi="Arial" w:cs="Arial"/>
          <w:b/>
          <w:sz w:val="20"/>
          <w:szCs w:val="20"/>
        </w:rPr>
      </w:pPr>
      <w:r w:rsidRPr="006E5967">
        <w:rPr>
          <w:rFonts w:ascii="Arial" w:hAnsi="Arial" w:cs="Arial"/>
          <w:b/>
          <w:sz w:val="20"/>
          <w:szCs w:val="20"/>
        </w:rPr>
        <w:t>Figure 8</w:t>
      </w:r>
      <w:r w:rsidRPr="006E5967">
        <w:rPr>
          <w:rFonts w:ascii="Arial" w:hAnsi="Arial" w:cs="Arial"/>
          <w:sz w:val="20"/>
          <w:szCs w:val="20"/>
        </w:rPr>
        <w:t xml:space="preserve">: LH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6B134C38"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Key:</w:t>
      </w:r>
      <w:r w:rsidRPr="006E5967">
        <w:rPr>
          <w:rFonts w:ascii="Arial" w:hAnsi="Arial" w:cs="Arial"/>
          <w:sz w:val="20"/>
          <w:szCs w:val="20"/>
        </w:rPr>
        <w:t xml:space="preserve"> LH = luteinizing hormone, control=group I, 500 mg/kg=group II, 1000 mg/kg= group III, 1500 mg/kg= group IV. Bars represent Mean±SEM, bars with different letters are significantly different (p&lt;0.05), using two way analysis of variance SPSS version 23.0</w:t>
      </w:r>
    </w:p>
    <w:p w14:paraId="5E5FE50C" w14:textId="77777777" w:rsidR="007C5575" w:rsidRPr="006E5967" w:rsidRDefault="007C5575" w:rsidP="002503A2">
      <w:pPr>
        <w:autoSpaceDE w:val="0"/>
        <w:autoSpaceDN w:val="0"/>
        <w:adjustRightInd w:val="0"/>
        <w:spacing w:line="480" w:lineRule="auto"/>
        <w:jc w:val="both"/>
        <w:rPr>
          <w:rFonts w:ascii="Arial" w:hAnsi="Arial" w:cs="Arial"/>
          <w:sz w:val="20"/>
          <w:szCs w:val="20"/>
        </w:rPr>
      </w:pPr>
    </w:p>
    <w:p w14:paraId="005FCCAC" w14:textId="77777777" w:rsidR="007C5575" w:rsidRPr="00223025" w:rsidRDefault="007C5575" w:rsidP="007C5575">
      <w:pPr>
        <w:spacing w:line="240" w:lineRule="auto"/>
        <w:rPr>
          <w:rFonts w:ascii="Arial" w:hAnsi="Arial" w:cs="Arial"/>
          <w:b/>
        </w:rPr>
      </w:pPr>
    </w:p>
    <w:p w14:paraId="763B968E" w14:textId="77777777" w:rsidR="007C5575" w:rsidRPr="00223025" w:rsidRDefault="007C5575" w:rsidP="007C5575">
      <w:pPr>
        <w:spacing w:line="240" w:lineRule="auto"/>
        <w:rPr>
          <w:rFonts w:ascii="Arial" w:hAnsi="Arial" w:cs="Arial"/>
          <w:b/>
        </w:rPr>
      </w:pPr>
    </w:p>
    <w:p w14:paraId="670BCF01" w14:textId="77777777" w:rsidR="007C5575" w:rsidRPr="00223025" w:rsidRDefault="007C5575" w:rsidP="007C5575">
      <w:pPr>
        <w:spacing w:line="240" w:lineRule="auto"/>
        <w:rPr>
          <w:rFonts w:ascii="Arial" w:hAnsi="Arial" w:cs="Arial"/>
          <w:b/>
        </w:rPr>
      </w:pPr>
    </w:p>
    <w:p w14:paraId="4B114689" w14:textId="07F566C8" w:rsidR="007C5575" w:rsidRPr="00223025" w:rsidRDefault="001A4FB3" w:rsidP="007C5575">
      <w:pPr>
        <w:autoSpaceDE w:val="0"/>
        <w:autoSpaceDN w:val="0"/>
        <w:adjustRightInd w:val="0"/>
        <w:spacing w:line="240" w:lineRule="auto"/>
        <w:rPr>
          <w:rFonts w:ascii="Arial" w:hAnsi="Arial" w:cs="Arial"/>
        </w:rPr>
      </w:pPr>
      <w:r>
        <w:rPr>
          <w:noProof/>
          <w:lang w:eastAsia="en-GB"/>
        </w:rPr>
        <w:drawing>
          <wp:inline distT="0" distB="0" distL="0" distR="0" wp14:anchorId="6C74CAFD" wp14:editId="579C3EED">
            <wp:extent cx="4695825" cy="43624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95825" cy="4362450"/>
                    </a:xfrm>
                    <a:prstGeom prst="rect">
                      <a:avLst/>
                    </a:prstGeom>
                  </pic:spPr>
                </pic:pic>
              </a:graphicData>
            </a:graphic>
          </wp:inline>
        </w:drawing>
      </w:r>
    </w:p>
    <w:p w14:paraId="70CBC232" w14:textId="77777777" w:rsidR="007C5575" w:rsidRPr="006E5967" w:rsidRDefault="007C5575" w:rsidP="002503A2">
      <w:pPr>
        <w:spacing w:line="480" w:lineRule="auto"/>
        <w:jc w:val="both"/>
        <w:rPr>
          <w:rFonts w:ascii="Arial" w:hAnsi="Arial" w:cs="Arial"/>
          <w:b/>
          <w:sz w:val="20"/>
          <w:szCs w:val="20"/>
        </w:rPr>
      </w:pPr>
      <w:r w:rsidRPr="006E5967">
        <w:rPr>
          <w:rFonts w:ascii="Arial" w:hAnsi="Arial" w:cs="Arial"/>
          <w:b/>
          <w:sz w:val="20"/>
          <w:szCs w:val="20"/>
        </w:rPr>
        <w:t xml:space="preserve">Figure 9: </w:t>
      </w:r>
      <w:proofErr w:type="spellStart"/>
      <w:r w:rsidRPr="006E5967">
        <w:rPr>
          <w:rFonts w:ascii="Arial" w:hAnsi="Arial" w:cs="Arial"/>
          <w:sz w:val="20"/>
          <w:szCs w:val="20"/>
        </w:rPr>
        <w:t>Estradiol</w:t>
      </w:r>
      <w:proofErr w:type="spellEnd"/>
      <w:r w:rsidRPr="006E5967">
        <w:rPr>
          <w:rFonts w:ascii="Arial" w:hAnsi="Arial" w:cs="Arial"/>
          <w:sz w:val="20"/>
          <w:szCs w:val="20"/>
        </w:rPr>
        <w:t xml:space="preserve">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53E5DC7E"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 xml:space="preserve">Keys: </w:t>
      </w:r>
      <w:r w:rsidRPr="006E5967">
        <w:rPr>
          <w:rFonts w:ascii="Arial" w:hAnsi="Arial" w:cs="Arial"/>
          <w:sz w:val="20"/>
          <w:szCs w:val="20"/>
        </w:rPr>
        <w:t>control=group I, 500 mg/kg=group II, 1000 mg/kg= group III, 1500 mg/kg= group IV. Bars represent Mean±SEM, bars with different letters are significantly different (p&lt;0.05), using two way analysis of variance SPSS version 23.0</w:t>
      </w:r>
    </w:p>
    <w:p w14:paraId="3448B001" w14:textId="77777777" w:rsidR="007C5575" w:rsidRPr="006E5967" w:rsidRDefault="007C5575" w:rsidP="007C5575">
      <w:pPr>
        <w:autoSpaceDE w:val="0"/>
        <w:autoSpaceDN w:val="0"/>
        <w:adjustRightInd w:val="0"/>
        <w:spacing w:line="240" w:lineRule="auto"/>
        <w:rPr>
          <w:rFonts w:ascii="Arial" w:hAnsi="Arial" w:cs="Arial"/>
          <w:sz w:val="20"/>
          <w:szCs w:val="20"/>
        </w:rPr>
      </w:pPr>
    </w:p>
    <w:p w14:paraId="6394F538" w14:textId="77777777" w:rsidR="0015725A" w:rsidRPr="00223025" w:rsidRDefault="0015725A" w:rsidP="0015725A">
      <w:pPr>
        <w:spacing w:line="480" w:lineRule="auto"/>
        <w:jc w:val="both"/>
        <w:rPr>
          <w:rFonts w:ascii="Arial" w:hAnsi="Arial" w:cs="Arial"/>
          <w:b/>
        </w:rPr>
      </w:pPr>
      <w:r w:rsidRPr="00223025">
        <w:rPr>
          <w:rFonts w:ascii="Arial" w:hAnsi="Arial" w:cs="Arial"/>
          <w:b/>
        </w:rPr>
        <w:t>4. CONCLUSION</w:t>
      </w:r>
    </w:p>
    <w:p w14:paraId="649063E5" w14:textId="77777777" w:rsidR="00B6528F" w:rsidRDefault="00B6528F" w:rsidP="0015725A">
      <w:pPr>
        <w:spacing w:line="480" w:lineRule="auto"/>
        <w:jc w:val="both"/>
        <w:rPr>
          <w:rFonts w:ascii="Arial" w:hAnsi="Arial" w:cs="Arial"/>
          <w:sz w:val="20"/>
          <w:szCs w:val="20"/>
        </w:rPr>
      </w:pPr>
      <w:r w:rsidRPr="006E5967">
        <w:rPr>
          <w:rFonts w:ascii="Arial" w:hAnsi="Arial" w:cs="Arial"/>
          <w:sz w:val="20"/>
          <w:szCs w:val="20"/>
        </w:rPr>
        <w:t>The oral median lethal dose (LD</w:t>
      </w:r>
      <w:r w:rsidRPr="006E5967">
        <w:rPr>
          <w:rFonts w:ascii="Cambria Math" w:hAnsi="Cambria Math" w:cs="Cambria Math"/>
          <w:sz w:val="20"/>
          <w:szCs w:val="20"/>
        </w:rPr>
        <w:t>₅₀</w:t>
      </w:r>
      <w:r w:rsidRPr="006E5967">
        <w:rPr>
          <w:rFonts w:ascii="Arial" w:hAnsi="Arial" w:cs="Arial"/>
          <w:sz w:val="20"/>
          <w:szCs w:val="20"/>
        </w:rPr>
        <w:t xml:space="preserve">) of the ethyl acetate leaf extract of </w:t>
      </w:r>
      <w:r w:rsidRPr="00444368">
        <w:rPr>
          <w:rFonts w:ascii="Arial" w:hAnsi="Arial" w:cs="Arial"/>
          <w:i/>
          <w:sz w:val="20"/>
          <w:szCs w:val="20"/>
        </w:rPr>
        <w:t>Gliricidia sepium</w:t>
      </w:r>
      <w:r w:rsidRPr="006E5967">
        <w:rPr>
          <w:rFonts w:ascii="Arial" w:hAnsi="Arial" w:cs="Arial"/>
          <w:sz w:val="20"/>
          <w:szCs w:val="20"/>
        </w:rPr>
        <w:t xml:space="preserve"> was found to be greater than 5000 mg/kg body weight in Wistar rats, indicating low acute toxicity. Furthermore, sub-chronic oral administration of the extract at doses of 500, 1000, and 1500 mg/kg for 28 days did not produce adverse effects on thyroid or reproductive hormone profiles in either male or female rats. These findings suggest that the extract is relatively safe at the tested doses.</w:t>
      </w:r>
    </w:p>
    <w:p w14:paraId="61FF524A" w14:textId="102251BE" w:rsidR="00334F40" w:rsidRPr="00334F40" w:rsidRDefault="00334F40" w:rsidP="0015725A">
      <w:pPr>
        <w:spacing w:line="480" w:lineRule="auto"/>
        <w:jc w:val="both"/>
        <w:rPr>
          <w:rFonts w:ascii="Arial" w:hAnsi="Arial" w:cs="Arial"/>
          <w:b/>
        </w:rPr>
      </w:pPr>
      <w:r w:rsidRPr="00334F40">
        <w:rPr>
          <w:rFonts w:ascii="Arial" w:hAnsi="Arial" w:cs="Arial"/>
          <w:b/>
        </w:rPr>
        <w:lastRenderedPageBreak/>
        <w:t xml:space="preserve">5. Limitations </w:t>
      </w:r>
    </w:p>
    <w:p w14:paraId="0A868937" w14:textId="77777777" w:rsidR="00334F40" w:rsidRPr="00334F40" w:rsidRDefault="00334F40" w:rsidP="00334F40">
      <w:pPr>
        <w:spacing w:line="480" w:lineRule="auto"/>
        <w:jc w:val="both"/>
        <w:rPr>
          <w:rFonts w:ascii="Arial" w:hAnsi="Arial" w:cs="Arial"/>
          <w:sz w:val="20"/>
          <w:szCs w:val="20"/>
          <w:lang w:val="en-US"/>
        </w:rPr>
      </w:pPr>
      <w:r w:rsidRPr="00334F40">
        <w:rPr>
          <w:rFonts w:ascii="Arial" w:hAnsi="Arial" w:cs="Arial"/>
          <w:sz w:val="20"/>
          <w:szCs w:val="20"/>
          <w:lang w:val="en-US"/>
        </w:rPr>
        <w:t xml:space="preserve">This study had a shorter duration than typical pre-chronic toxicity studies recommended by regulatory guidelines. Therefore, it should be taken into consideration that longer exposure periods of 90 days, for example, may also yield different results. </w:t>
      </w:r>
    </w:p>
    <w:p w14:paraId="218FE4F5" w14:textId="77777777" w:rsidR="00334F40" w:rsidRPr="006E5967" w:rsidRDefault="00334F40" w:rsidP="0015725A">
      <w:pPr>
        <w:spacing w:line="480" w:lineRule="auto"/>
        <w:jc w:val="both"/>
        <w:rPr>
          <w:rFonts w:ascii="Arial" w:hAnsi="Arial" w:cs="Arial"/>
          <w:sz w:val="20"/>
          <w:szCs w:val="20"/>
        </w:rPr>
      </w:pPr>
    </w:p>
    <w:p w14:paraId="6E5E79FC" w14:textId="77777777" w:rsidR="0015725A" w:rsidRPr="00223025" w:rsidRDefault="0015725A" w:rsidP="0015725A">
      <w:pPr>
        <w:spacing w:line="480" w:lineRule="auto"/>
        <w:jc w:val="both"/>
        <w:rPr>
          <w:rFonts w:ascii="Arial" w:hAnsi="Arial" w:cs="Arial"/>
          <w:b/>
        </w:rPr>
      </w:pPr>
      <w:r w:rsidRPr="00223025">
        <w:rPr>
          <w:rFonts w:ascii="Arial" w:hAnsi="Arial" w:cs="Arial"/>
          <w:b/>
        </w:rPr>
        <w:t>ETHICAL APPROVAL</w:t>
      </w:r>
    </w:p>
    <w:p w14:paraId="397AB0A8" w14:textId="2699D869" w:rsidR="0015725A" w:rsidRDefault="0015725A" w:rsidP="0015725A">
      <w:pPr>
        <w:spacing w:line="480" w:lineRule="auto"/>
        <w:jc w:val="both"/>
        <w:rPr>
          <w:rFonts w:ascii="Arial" w:hAnsi="Arial" w:cs="Arial"/>
          <w:sz w:val="20"/>
          <w:szCs w:val="20"/>
        </w:rPr>
      </w:pPr>
      <w:r w:rsidRPr="006E5967">
        <w:rPr>
          <w:rFonts w:ascii="Arial" w:hAnsi="Arial" w:cs="Arial"/>
          <w:sz w:val="20"/>
          <w:szCs w:val="20"/>
        </w:rPr>
        <w:t>Ethical approval was obtained from the Health and Biomedical Research Ethics Committee (HBREC), Usmanu Danfodiyo University, Sokoto. Approval number: NHREC/UDU-HREC/25/06/2023.</w:t>
      </w:r>
    </w:p>
    <w:p w14:paraId="3AC720B7" w14:textId="043EDA69" w:rsidR="00312FF7" w:rsidRDefault="00312FF7" w:rsidP="0015725A">
      <w:pPr>
        <w:spacing w:line="480" w:lineRule="auto"/>
        <w:jc w:val="both"/>
        <w:rPr>
          <w:rFonts w:ascii="Arial" w:hAnsi="Arial" w:cs="Arial"/>
          <w:sz w:val="20"/>
          <w:szCs w:val="20"/>
        </w:rPr>
      </w:pPr>
    </w:p>
    <w:p w14:paraId="417F93A4" w14:textId="77777777" w:rsidR="00312FF7" w:rsidRPr="00A3165B" w:rsidRDefault="00312FF7" w:rsidP="00312FF7">
      <w:pPr>
        <w:spacing w:after="0" w:line="240" w:lineRule="auto"/>
        <w:rPr>
          <w:rFonts w:ascii="Arial" w:eastAsia="Calibri" w:hAnsi="Arial" w:cs="Arial"/>
          <w:b/>
          <w:kern w:val="2"/>
          <w:lang w:val="en-US"/>
          <w14:ligatures w14:val="standardContextual"/>
        </w:rPr>
      </w:pPr>
      <w:bookmarkStart w:id="2" w:name="_Hlk198031404"/>
      <w:r w:rsidRPr="00A3165B">
        <w:rPr>
          <w:rFonts w:ascii="Arial" w:eastAsia="Calibri" w:hAnsi="Arial" w:cs="Arial"/>
          <w:b/>
          <w:kern w:val="2"/>
          <w:lang w:val="en-US"/>
          <w14:ligatures w14:val="standardContextual"/>
        </w:rPr>
        <w:t>Disclaimer (Artificial intelligence)</w:t>
      </w:r>
    </w:p>
    <w:p w14:paraId="564FD670" w14:textId="77777777" w:rsidR="00312FF7" w:rsidRPr="00A3165B" w:rsidRDefault="00312FF7" w:rsidP="00312FF7">
      <w:pPr>
        <w:spacing w:after="0" w:line="240" w:lineRule="auto"/>
        <w:rPr>
          <w:rFonts w:ascii="Arial" w:eastAsia="Calibri" w:hAnsi="Arial" w:cs="Arial"/>
          <w:kern w:val="2"/>
          <w:lang w:val="en-US"/>
          <w14:ligatures w14:val="standardContextual"/>
        </w:rPr>
      </w:pPr>
    </w:p>
    <w:p w14:paraId="4FE27B0D" w14:textId="77777777" w:rsidR="00312FF7" w:rsidRPr="00A3165B" w:rsidRDefault="00312FF7" w:rsidP="00A3165B">
      <w:pPr>
        <w:spacing w:after="0" w:line="480" w:lineRule="auto"/>
        <w:jc w:val="both"/>
        <w:rPr>
          <w:rFonts w:ascii="Arial" w:eastAsia="Calibri" w:hAnsi="Arial" w:cs="Arial"/>
          <w:kern w:val="2"/>
          <w:lang w:val="en-US"/>
          <w14:ligatures w14:val="standardContextual"/>
        </w:rPr>
      </w:pPr>
      <w:r w:rsidRPr="00A3165B">
        <w:rPr>
          <w:rFonts w:ascii="Arial" w:eastAsia="Calibri" w:hAnsi="Arial" w:cs="Arial"/>
          <w:kern w:val="2"/>
          <w:lang w:val="en-US"/>
          <w14:ligatures w14:val="standardContextual"/>
        </w:rPr>
        <w:t>Author(s) hereby declare that NO generative AI technologies such as Large Language Models (</w:t>
      </w:r>
      <w:proofErr w:type="spellStart"/>
      <w:r w:rsidRPr="00A3165B">
        <w:rPr>
          <w:rFonts w:ascii="Arial" w:eastAsia="Calibri" w:hAnsi="Arial" w:cs="Arial"/>
          <w:kern w:val="2"/>
          <w:lang w:val="en-US"/>
          <w14:ligatures w14:val="standardContextual"/>
        </w:rPr>
        <w:t>ChatGPT</w:t>
      </w:r>
      <w:proofErr w:type="spellEnd"/>
      <w:r w:rsidRPr="00A3165B">
        <w:rPr>
          <w:rFonts w:ascii="Arial" w:eastAsia="Calibri" w:hAnsi="Arial" w:cs="Arial"/>
          <w:kern w:val="2"/>
          <w:lang w:val="en-US"/>
          <w14:ligatures w14:val="standardContextual"/>
        </w:rPr>
        <w:t xml:space="preserve">, COPILOT, etc.) and text-to-image generators have been used during the writing or editing of this manuscript. </w:t>
      </w:r>
    </w:p>
    <w:bookmarkEnd w:id="2"/>
    <w:p w14:paraId="7A4D9E05" w14:textId="77777777" w:rsidR="00312FF7" w:rsidRPr="006E5967" w:rsidRDefault="00312FF7" w:rsidP="0015725A">
      <w:pPr>
        <w:spacing w:line="480" w:lineRule="auto"/>
        <w:jc w:val="both"/>
        <w:rPr>
          <w:rFonts w:ascii="Arial" w:hAnsi="Arial" w:cs="Arial"/>
          <w:sz w:val="20"/>
          <w:szCs w:val="20"/>
        </w:rPr>
      </w:pPr>
    </w:p>
    <w:p w14:paraId="32D7FD77" w14:textId="77777777" w:rsidR="001C3C17" w:rsidRPr="00223025" w:rsidRDefault="001C3C17" w:rsidP="001C3C17">
      <w:pPr>
        <w:pStyle w:val="ReferHead"/>
        <w:spacing w:after="0"/>
        <w:jc w:val="both"/>
        <w:rPr>
          <w:rFonts w:ascii="Arial" w:hAnsi="Arial" w:cs="Arial"/>
          <w:szCs w:val="22"/>
        </w:rPr>
      </w:pPr>
      <w:r w:rsidRPr="00223025">
        <w:rPr>
          <w:rFonts w:ascii="Arial" w:hAnsi="Arial" w:cs="Arial"/>
          <w:szCs w:val="22"/>
        </w:rPr>
        <w:t>References</w:t>
      </w:r>
    </w:p>
    <w:p w14:paraId="23238F4E" w14:textId="77777777" w:rsidR="001C3C17" w:rsidRPr="00223025" w:rsidRDefault="001C3C17" w:rsidP="001C3C17">
      <w:pPr>
        <w:rPr>
          <w:rFonts w:ascii="Arial" w:hAnsi="Arial" w:cs="Arial"/>
          <w:b/>
        </w:rPr>
      </w:pPr>
    </w:p>
    <w:p w14:paraId="263D6B58"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shd w:val="clear" w:color="auto" w:fill="FFFFFF"/>
        </w:rPr>
      </w:pPr>
      <w:r w:rsidRPr="007B47DA">
        <w:rPr>
          <w:rFonts w:ascii="Arial" w:hAnsi="Arial" w:cs="Arial"/>
          <w:sz w:val="20"/>
          <w:szCs w:val="20"/>
          <w:shd w:val="clear" w:color="auto" w:fill="FFFFFF"/>
        </w:rPr>
        <w:t>Pathak, A., Gupta, A.P. &amp; Pandey, P. (2025). Herbal Medicine and Sustainable Development Challenges and Opportunities. In S.C., Izah, M.C., Ogwu, M. Akram, (eds.), Herbal Medicine Phytochemistry (pp. 48). Reference Series in Phytochemistry: Springer, Cham.</w:t>
      </w:r>
    </w:p>
    <w:p w14:paraId="1D4BD7CD" w14:textId="77777777" w:rsidR="001C3C17" w:rsidRPr="007B47DA" w:rsidRDefault="001C3C17" w:rsidP="007B47DA">
      <w:pPr>
        <w:pStyle w:val="Heading1"/>
        <w:numPr>
          <w:ilvl w:val="0"/>
          <w:numId w:val="2"/>
        </w:numPr>
        <w:shd w:val="clear" w:color="auto" w:fill="FFFFFF"/>
        <w:spacing w:after="240"/>
        <w:rPr>
          <w:rFonts w:ascii="Arial" w:hAnsi="Arial" w:cs="Arial"/>
          <w:b w:val="0"/>
          <w:sz w:val="20"/>
          <w:szCs w:val="20"/>
        </w:rPr>
      </w:pPr>
      <w:bookmarkStart w:id="3" w:name="_Toc210353452"/>
      <w:bookmarkStart w:id="4" w:name="_Toc218007222"/>
      <w:r w:rsidRPr="007B47DA">
        <w:rPr>
          <w:rFonts w:ascii="Arial" w:hAnsi="Arial" w:cs="Arial"/>
          <w:b w:val="0"/>
          <w:sz w:val="20"/>
          <w:szCs w:val="20"/>
        </w:rPr>
        <w:t xml:space="preserve">Mapunda, P.E. </w:t>
      </w:r>
      <w:r w:rsidRPr="007B47DA">
        <w:rPr>
          <w:rFonts w:ascii="Arial" w:hAnsi="Arial" w:cs="Arial"/>
          <w:b w:val="0"/>
          <w:sz w:val="20"/>
          <w:szCs w:val="20"/>
          <w:shd w:val="clear" w:color="auto" w:fill="FFFFFF"/>
        </w:rPr>
        <w:t>&amp;</w:t>
      </w:r>
      <w:r w:rsidRPr="007B47DA">
        <w:rPr>
          <w:rFonts w:ascii="Arial" w:hAnsi="Arial" w:cs="Arial"/>
          <w:b w:val="0"/>
          <w:sz w:val="20"/>
          <w:szCs w:val="20"/>
        </w:rPr>
        <w:t xml:space="preserve"> </w:t>
      </w:r>
      <w:proofErr w:type="spellStart"/>
      <w:r w:rsidRPr="007B47DA">
        <w:rPr>
          <w:rFonts w:ascii="Arial" w:hAnsi="Arial" w:cs="Arial"/>
          <w:b w:val="0"/>
          <w:sz w:val="20"/>
          <w:szCs w:val="20"/>
        </w:rPr>
        <w:t>Mramba</w:t>
      </w:r>
      <w:proofErr w:type="spellEnd"/>
      <w:r w:rsidRPr="007B47DA">
        <w:rPr>
          <w:rFonts w:ascii="Arial" w:hAnsi="Arial" w:cs="Arial"/>
          <w:b w:val="0"/>
          <w:sz w:val="20"/>
          <w:szCs w:val="20"/>
        </w:rPr>
        <w:t>, R.P. (2025). Medicinal plant use and conservation in Tanzania: perspectives from university of Dodoma students. </w:t>
      </w:r>
      <w:r w:rsidRPr="007B47DA">
        <w:rPr>
          <w:rFonts w:ascii="Arial" w:hAnsi="Arial" w:cs="Arial"/>
          <w:b w:val="0"/>
          <w:iCs/>
          <w:sz w:val="20"/>
          <w:szCs w:val="20"/>
        </w:rPr>
        <w:t>Discover Social Science &amp; Health,</w:t>
      </w:r>
      <w:r w:rsidRPr="007B47DA">
        <w:rPr>
          <w:rFonts w:ascii="Arial" w:hAnsi="Arial" w:cs="Arial"/>
          <w:b w:val="0"/>
          <w:sz w:val="20"/>
          <w:szCs w:val="20"/>
        </w:rPr>
        <w:t> 5, 77.</w:t>
      </w:r>
      <w:bookmarkEnd w:id="3"/>
      <w:bookmarkEnd w:id="4"/>
    </w:p>
    <w:p w14:paraId="01A29C3B" w14:textId="77777777" w:rsidR="001C3C17" w:rsidRPr="007B47DA" w:rsidRDefault="001C3C17" w:rsidP="007B47DA">
      <w:pPr>
        <w:pStyle w:val="ListParagraph"/>
        <w:numPr>
          <w:ilvl w:val="0"/>
          <w:numId w:val="2"/>
        </w:numPr>
        <w:spacing w:after="240" w:line="480" w:lineRule="auto"/>
        <w:jc w:val="both"/>
        <w:rPr>
          <w:rFonts w:ascii="Arial" w:hAnsi="Arial" w:cs="Arial"/>
          <w:color w:val="FF0000"/>
          <w:sz w:val="20"/>
          <w:szCs w:val="20"/>
        </w:rPr>
      </w:pPr>
      <w:r w:rsidRPr="007B47DA">
        <w:rPr>
          <w:rFonts w:ascii="Arial" w:hAnsi="Arial" w:cs="Arial"/>
          <w:sz w:val="20"/>
          <w:szCs w:val="20"/>
        </w:rPr>
        <w:t xml:space="preserve">Belayneh, Y.M., Yoseph, T. &amp; Ahmed, S. (2022). A cross-sectional study of herbal medicine use and contributing factors among pregnant women on antenatal care follow-up at Dessie Referral Hospital, Northeast Ethiopia. BMC Complementary Medicine and Therapies, 22(1), 146. </w:t>
      </w:r>
    </w:p>
    <w:p w14:paraId="56504538" w14:textId="2BDD28F5" w:rsidR="001C3C17" w:rsidRPr="007B47DA" w:rsidRDefault="001C3C17" w:rsidP="007B47DA">
      <w:pPr>
        <w:pStyle w:val="Heading1"/>
        <w:numPr>
          <w:ilvl w:val="0"/>
          <w:numId w:val="2"/>
        </w:numPr>
        <w:shd w:val="clear" w:color="auto" w:fill="FFFFFF"/>
        <w:spacing w:after="240"/>
        <w:rPr>
          <w:rFonts w:ascii="Arial" w:hAnsi="Arial" w:cs="Arial"/>
          <w:b w:val="0"/>
          <w:sz w:val="20"/>
          <w:szCs w:val="20"/>
        </w:rPr>
      </w:pPr>
      <w:bookmarkStart w:id="5" w:name="_Toc210353445"/>
      <w:bookmarkStart w:id="6" w:name="_Toc218007216"/>
      <w:proofErr w:type="spellStart"/>
      <w:r w:rsidRPr="007B47DA">
        <w:rPr>
          <w:rFonts w:ascii="Arial" w:hAnsi="Arial" w:cs="Arial"/>
          <w:b w:val="0"/>
          <w:sz w:val="20"/>
          <w:szCs w:val="20"/>
        </w:rPr>
        <w:lastRenderedPageBreak/>
        <w:t>Dubale</w:t>
      </w:r>
      <w:proofErr w:type="spellEnd"/>
      <w:r w:rsidRPr="007B47DA">
        <w:rPr>
          <w:rFonts w:ascii="Arial" w:hAnsi="Arial" w:cs="Arial"/>
          <w:b w:val="0"/>
          <w:sz w:val="20"/>
          <w:szCs w:val="20"/>
        </w:rPr>
        <w:t xml:space="preserve">, S., Usure, R. E., </w:t>
      </w:r>
      <w:proofErr w:type="spellStart"/>
      <w:r w:rsidRPr="007B47DA">
        <w:rPr>
          <w:rFonts w:ascii="Arial" w:hAnsi="Arial" w:cs="Arial"/>
          <w:b w:val="0"/>
          <w:sz w:val="20"/>
          <w:szCs w:val="20"/>
        </w:rPr>
        <w:t>Mekasha</w:t>
      </w:r>
      <w:proofErr w:type="spellEnd"/>
      <w:r w:rsidRPr="007B47DA">
        <w:rPr>
          <w:rFonts w:ascii="Arial" w:hAnsi="Arial" w:cs="Arial"/>
          <w:b w:val="0"/>
          <w:sz w:val="20"/>
          <w:szCs w:val="20"/>
        </w:rPr>
        <w:t xml:space="preserve">, Y. T., </w:t>
      </w:r>
      <w:proofErr w:type="spellStart"/>
      <w:r w:rsidRPr="007B47DA">
        <w:rPr>
          <w:rFonts w:ascii="Arial" w:hAnsi="Arial" w:cs="Arial"/>
          <w:b w:val="0"/>
          <w:sz w:val="20"/>
          <w:szCs w:val="20"/>
        </w:rPr>
        <w:t>Hasen</w:t>
      </w:r>
      <w:proofErr w:type="spellEnd"/>
      <w:r w:rsidRPr="007B47DA">
        <w:rPr>
          <w:rFonts w:ascii="Arial" w:hAnsi="Arial" w:cs="Arial"/>
          <w:b w:val="0"/>
          <w:sz w:val="20"/>
          <w:szCs w:val="20"/>
        </w:rPr>
        <w:t xml:space="preserve">, </w:t>
      </w:r>
      <w:r w:rsidR="007F7906">
        <w:rPr>
          <w:rFonts w:ascii="Arial" w:hAnsi="Arial" w:cs="Arial"/>
          <w:b w:val="0"/>
          <w:sz w:val="20"/>
          <w:szCs w:val="20"/>
        </w:rPr>
        <w:t>G.</w:t>
      </w:r>
      <w:r w:rsidRPr="007B47DA">
        <w:rPr>
          <w:rFonts w:ascii="Arial" w:hAnsi="Arial" w:cs="Arial"/>
          <w:b w:val="0"/>
          <w:sz w:val="20"/>
          <w:szCs w:val="20"/>
        </w:rPr>
        <w:t xml:space="preserve">, Hafiz, F., </w:t>
      </w:r>
      <w:proofErr w:type="spellStart"/>
      <w:r w:rsidRPr="007B47DA">
        <w:rPr>
          <w:rFonts w:ascii="Arial" w:hAnsi="Arial" w:cs="Arial"/>
          <w:b w:val="0"/>
          <w:sz w:val="20"/>
          <w:szCs w:val="20"/>
        </w:rPr>
        <w:t>Kebebe</w:t>
      </w:r>
      <w:proofErr w:type="spellEnd"/>
      <w:r w:rsidRPr="007B47DA">
        <w:rPr>
          <w:rFonts w:ascii="Arial" w:hAnsi="Arial" w:cs="Arial"/>
          <w:b w:val="0"/>
          <w:sz w:val="20"/>
          <w:szCs w:val="20"/>
        </w:rPr>
        <w:t xml:space="preserve">, D. et al. (2025). Traditional herbal medicine legislative and regulatory framework: A cross-sectional quantitative study and archival review perspectives. </w:t>
      </w:r>
      <w:r w:rsidRPr="007B47DA">
        <w:rPr>
          <w:rFonts w:ascii="Arial" w:hAnsi="Arial" w:cs="Arial"/>
          <w:b w:val="0"/>
          <w:iCs/>
          <w:sz w:val="20"/>
          <w:szCs w:val="20"/>
        </w:rPr>
        <w:t>Frontiers in Pharmacology</w:t>
      </w:r>
      <w:r w:rsidRPr="007B47DA">
        <w:rPr>
          <w:rFonts w:ascii="Arial" w:hAnsi="Arial" w:cs="Arial"/>
          <w:b w:val="0"/>
          <w:sz w:val="20"/>
          <w:szCs w:val="20"/>
        </w:rPr>
        <w:t xml:space="preserve">, </w:t>
      </w:r>
      <w:r w:rsidRPr="007B47DA">
        <w:rPr>
          <w:rFonts w:ascii="Arial" w:hAnsi="Arial" w:cs="Arial"/>
          <w:b w:val="0"/>
          <w:iCs/>
          <w:sz w:val="20"/>
          <w:szCs w:val="20"/>
        </w:rPr>
        <w:t>16</w:t>
      </w:r>
      <w:r w:rsidRPr="007B47DA">
        <w:rPr>
          <w:rFonts w:ascii="Arial" w:hAnsi="Arial" w:cs="Arial"/>
          <w:b w:val="0"/>
          <w:sz w:val="20"/>
          <w:szCs w:val="20"/>
        </w:rPr>
        <w:t>, 1475297.</w:t>
      </w:r>
      <w:bookmarkEnd w:id="5"/>
      <w:bookmarkEnd w:id="6"/>
      <w:r w:rsidRPr="007B47DA">
        <w:rPr>
          <w:rFonts w:ascii="Arial" w:hAnsi="Arial" w:cs="Arial"/>
          <w:b w:val="0"/>
          <w:sz w:val="20"/>
          <w:szCs w:val="20"/>
        </w:rPr>
        <w:t xml:space="preserve"> </w:t>
      </w:r>
    </w:p>
    <w:p w14:paraId="607C619D"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rPr>
      </w:pPr>
      <w:r w:rsidRPr="007B47DA">
        <w:rPr>
          <w:rFonts w:ascii="Arial" w:hAnsi="Arial" w:cs="Arial"/>
          <w:sz w:val="20"/>
          <w:szCs w:val="20"/>
        </w:rPr>
        <w:t xml:space="preserve">Oduola, T., </w:t>
      </w:r>
      <w:proofErr w:type="spellStart"/>
      <w:r w:rsidRPr="007B47DA">
        <w:rPr>
          <w:rFonts w:ascii="Arial" w:hAnsi="Arial" w:cs="Arial"/>
          <w:sz w:val="20"/>
          <w:szCs w:val="20"/>
        </w:rPr>
        <w:t>Dallatu</w:t>
      </w:r>
      <w:proofErr w:type="spellEnd"/>
      <w:r w:rsidRPr="007B47DA">
        <w:rPr>
          <w:rFonts w:ascii="Arial" w:hAnsi="Arial" w:cs="Arial"/>
          <w:sz w:val="20"/>
          <w:szCs w:val="20"/>
        </w:rPr>
        <w:t xml:space="preserve">, M.K., Muhammed, A.O., </w:t>
      </w:r>
      <w:proofErr w:type="spellStart"/>
      <w:r w:rsidRPr="007B47DA">
        <w:rPr>
          <w:rFonts w:ascii="Arial" w:hAnsi="Arial" w:cs="Arial"/>
          <w:sz w:val="20"/>
          <w:szCs w:val="20"/>
        </w:rPr>
        <w:t>Ndakotsu</w:t>
      </w:r>
      <w:proofErr w:type="spellEnd"/>
      <w:r w:rsidRPr="007B47DA">
        <w:rPr>
          <w:rFonts w:ascii="Arial" w:hAnsi="Arial" w:cs="Arial"/>
          <w:sz w:val="20"/>
          <w:szCs w:val="20"/>
        </w:rPr>
        <w:t xml:space="preserve">, M.A., Adebisi, I.M. &amp; Hassan, S.W. (2016). </w:t>
      </w:r>
      <w:r w:rsidRPr="007B47DA">
        <w:rPr>
          <w:rFonts w:ascii="Arial" w:hAnsi="Arial" w:cs="Arial"/>
          <w:i/>
          <w:sz w:val="20"/>
          <w:szCs w:val="20"/>
        </w:rPr>
        <w:t xml:space="preserve">Gliricidia sepium </w:t>
      </w:r>
      <w:r w:rsidRPr="007B47DA">
        <w:rPr>
          <w:rFonts w:ascii="Arial" w:hAnsi="Arial" w:cs="Arial"/>
          <w:sz w:val="20"/>
          <w:szCs w:val="20"/>
        </w:rPr>
        <w:t xml:space="preserve">Aqueous Leaves Extract Possesses Antisickling Property. International Blood Research and Review, 5(3), 1-6. </w:t>
      </w:r>
    </w:p>
    <w:p w14:paraId="1EB9BB66" w14:textId="77777777" w:rsidR="001C3C17" w:rsidRPr="007B47DA" w:rsidRDefault="001C3C17" w:rsidP="007B47DA">
      <w:pPr>
        <w:pStyle w:val="ListParagraph"/>
        <w:numPr>
          <w:ilvl w:val="0"/>
          <w:numId w:val="2"/>
        </w:numPr>
        <w:spacing w:after="240" w:line="480" w:lineRule="auto"/>
        <w:jc w:val="both"/>
        <w:rPr>
          <w:rFonts w:ascii="Arial" w:hAnsi="Arial" w:cs="Arial"/>
          <w:i/>
          <w:sz w:val="20"/>
          <w:szCs w:val="20"/>
        </w:rPr>
      </w:pPr>
      <w:proofErr w:type="spellStart"/>
      <w:r w:rsidRPr="007B47DA">
        <w:rPr>
          <w:rFonts w:ascii="Arial" w:hAnsi="Arial" w:cs="Arial"/>
          <w:sz w:val="20"/>
          <w:szCs w:val="20"/>
        </w:rPr>
        <w:t>Wafaey</w:t>
      </w:r>
      <w:proofErr w:type="spellEnd"/>
      <w:r w:rsidRPr="007B47DA">
        <w:rPr>
          <w:rFonts w:ascii="Arial" w:hAnsi="Arial" w:cs="Arial"/>
          <w:sz w:val="20"/>
          <w:szCs w:val="20"/>
        </w:rPr>
        <w:t>, A.A., El-</w:t>
      </w:r>
      <w:proofErr w:type="spellStart"/>
      <w:r w:rsidRPr="007B47DA">
        <w:rPr>
          <w:rFonts w:ascii="Arial" w:hAnsi="Arial" w:cs="Arial"/>
          <w:sz w:val="20"/>
          <w:szCs w:val="20"/>
        </w:rPr>
        <w:t>Hawary</w:t>
      </w:r>
      <w:proofErr w:type="spellEnd"/>
      <w:r w:rsidRPr="007B47DA">
        <w:rPr>
          <w:rFonts w:ascii="Arial" w:hAnsi="Arial" w:cs="Arial"/>
          <w:sz w:val="20"/>
          <w:szCs w:val="20"/>
        </w:rPr>
        <w:t xml:space="preserve">, S.S., Kirollos, F.N. &amp; </w:t>
      </w:r>
      <w:proofErr w:type="spellStart"/>
      <w:r w:rsidRPr="007B47DA">
        <w:rPr>
          <w:rFonts w:ascii="Arial" w:hAnsi="Arial" w:cs="Arial"/>
          <w:sz w:val="20"/>
          <w:szCs w:val="20"/>
        </w:rPr>
        <w:t>Abdelhameed</w:t>
      </w:r>
      <w:proofErr w:type="spellEnd"/>
      <w:r w:rsidRPr="007B47DA">
        <w:rPr>
          <w:rFonts w:ascii="Arial" w:hAnsi="Arial" w:cs="Arial"/>
          <w:sz w:val="20"/>
          <w:szCs w:val="20"/>
        </w:rPr>
        <w:t xml:space="preserve">, M.F. (2023). An Overview on </w:t>
      </w:r>
      <w:r w:rsidRPr="00444368">
        <w:rPr>
          <w:rFonts w:ascii="Arial" w:hAnsi="Arial" w:cs="Arial"/>
          <w:i/>
          <w:sz w:val="20"/>
          <w:szCs w:val="20"/>
        </w:rPr>
        <w:t>Gliricidia Sepium</w:t>
      </w:r>
      <w:r w:rsidRPr="007B47DA">
        <w:rPr>
          <w:rFonts w:ascii="Arial" w:hAnsi="Arial" w:cs="Arial"/>
          <w:sz w:val="20"/>
          <w:szCs w:val="20"/>
        </w:rPr>
        <w:t xml:space="preserve"> in the Pharmaceutical Aspect: A Review Article Egyptian Journal of Chemistry,</w:t>
      </w:r>
      <w:r w:rsidRPr="007B47DA">
        <w:rPr>
          <w:rFonts w:ascii="Arial" w:hAnsi="Arial" w:cs="Arial"/>
          <w:b/>
          <w:sz w:val="20"/>
          <w:szCs w:val="20"/>
        </w:rPr>
        <w:t xml:space="preserve"> </w:t>
      </w:r>
      <w:r w:rsidRPr="007B47DA">
        <w:rPr>
          <w:rFonts w:ascii="Arial" w:hAnsi="Arial" w:cs="Arial"/>
          <w:sz w:val="20"/>
          <w:szCs w:val="20"/>
        </w:rPr>
        <w:t>66(1), 479-496.</w:t>
      </w:r>
    </w:p>
    <w:p w14:paraId="5656F917"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rPr>
      </w:pPr>
      <w:r w:rsidRPr="007B47DA">
        <w:rPr>
          <w:rFonts w:ascii="Arial" w:hAnsi="Arial" w:cs="Arial"/>
          <w:sz w:val="20"/>
          <w:szCs w:val="20"/>
        </w:rPr>
        <w:t xml:space="preserve">Oduola, T., Umar, R.A., Isah, B.A., Bello, M., </w:t>
      </w:r>
      <w:proofErr w:type="spellStart"/>
      <w:r w:rsidRPr="007B47DA">
        <w:rPr>
          <w:rFonts w:ascii="Arial" w:hAnsi="Arial" w:cs="Arial"/>
          <w:sz w:val="20"/>
          <w:szCs w:val="20"/>
        </w:rPr>
        <w:t>Aiyelabegan</w:t>
      </w:r>
      <w:proofErr w:type="spellEnd"/>
      <w:r w:rsidRPr="007B47DA">
        <w:rPr>
          <w:rFonts w:ascii="Arial" w:hAnsi="Arial" w:cs="Arial"/>
          <w:sz w:val="20"/>
          <w:szCs w:val="20"/>
        </w:rPr>
        <w:t xml:space="preserve">, F., Isa, L.O. et al. (2018). Use of </w:t>
      </w:r>
      <w:r w:rsidRPr="007B47DA">
        <w:rPr>
          <w:rFonts w:ascii="Arial" w:hAnsi="Arial" w:cs="Arial"/>
          <w:i/>
          <w:sz w:val="20"/>
          <w:szCs w:val="20"/>
        </w:rPr>
        <w:t xml:space="preserve">Gliricidia sepium </w:t>
      </w:r>
      <w:r w:rsidRPr="007B47DA">
        <w:rPr>
          <w:rFonts w:ascii="Arial" w:hAnsi="Arial" w:cs="Arial"/>
          <w:sz w:val="20"/>
          <w:szCs w:val="20"/>
        </w:rPr>
        <w:t xml:space="preserve">Aqueous Leaves Extract as an Antisickling Agent: Oxidative stress biomarkers in </w:t>
      </w:r>
      <w:proofErr w:type="spellStart"/>
      <w:r w:rsidRPr="007B47DA">
        <w:rPr>
          <w:rFonts w:ascii="Arial" w:hAnsi="Arial" w:cs="Arial"/>
          <w:sz w:val="20"/>
          <w:szCs w:val="20"/>
        </w:rPr>
        <w:t>wistar</w:t>
      </w:r>
      <w:proofErr w:type="spellEnd"/>
      <w:r w:rsidRPr="007B47DA">
        <w:rPr>
          <w:rFonts w:ascii="Arial" w:hAnsi="Arial" w:cs="Arial"/>
          <w:sz w:val="20"/>
          <w:szCs w:val="20"/>
        </w:rPr>
        <w:t xml:space="preserve"> rats exposed to the extract. International Journal of Medical and Health Research, 4(8), 79-83.</w:t>
      </w:r>
    </w:p>
    <w:p w14:paraId="619EDAAB" w14:textId="777777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proofErr w:type="spellStart"/>
      <w:r w:rsidRPr="007B47DA">
        <w:rPr>
          <w:rFonts w:ascii="Arial" w:hAnsi="Arial" w:cs="Arial"/>
          <w:sz w:val="20"/>
          <w:szCs w:val="20"/>
        </w:rPr>
        <w:t>Aulanni’am</w:t>
      </w:r>
      <w:proofErr w:type="spellEnd"/>
      <w:r w:rsidRPr="007B47DA">
        <w:rPr>
          <w:rFonts w:ascii="Arial" w:hAnsi="Arial" w:cs="Arial"/>
          <w:sz w:val="20"/>
          <w:szCs w:val="20"/>
        </w:rPr>
        <w:t xml:space="preserve">, A., Ora, K.M., </w:t>
      </w:r>
      <w:proofErr w:type="spellStart"/>
      <w:r w:rsidRPr="007B47DA">
        <w:rPr>
          <w:rFonts w:ascii="Arial" w:hAnsi="Arial" w:cs="Arial"/>
          <w:sz w:val="20"/>
          <w:szCs w:val="20"/>
        </w:rPr>
        <w:t>Ariandini</w:t>
      </w:r>
      <w:proofErr w:type="spellEnd"/>
      <w:r w:rsidRPr="007B47DA">
        <w:rPr>
          <w:rFonts w:ascii="Arial" w:hAnsi="Arial" w:cs="Arial"/>
          <w:sz w:val="20"/>
          <w:szCs w:val="20"/>
        </w:rPr>
        <w:t xml:space="preserve">, N.A., </w:t>
      </w:r>
      <w:proofErr w:type="spellStart"/>
      <w:r w:rsidRPr="007B47DA">
        <w:rPr>
          <w:rFonts w:ascii="Arial" w:hAnsi="Arial" w:cs="Arial"/>
          <w:sz w:val="20"/>
          <w:szCs w:val="20"/>
        </w:rPr>
        <w:t>Wuragil</w:t>
      </w:r>
      <w:proofErr w:type="spellEnd"/>
      <w:r w:rsidRPr="007B47DA">
        <w:rPr>
          <w:rFonts w:ascii="Arial" w:hAnsi="Arial" w:cs="Arial"/>
          <w:sz w:val="20"/>
          <w:szCs w:val="20"/>
        </w:rPr>
        <w:t xml:space="preserve">, D.K., Permata, F.S. and </w:t>
      </w:r>
      <w:proofErr w:type="spellStart"/>
      <w:r w:rsidRPr="007B47DA">
        <w:rPr>
          <w:rFonts w:ascii="Arial" w:hAnsi="Arial" w:cs="Arial"/>
          <w:sz w:val="20"/>
          <w:szCs w:val="20"/>
        </w:rPr>
        <w:t>Riawan</w:t>
      </w:r>
      <w:proofErr w:type="spellEnd"/>
      <w:r w:rsidRPr="007B47DA">
        <w:rPr>
          <w:rFonts w:ascii="Arial" w:hAnsi="Arial" w:cs="Arial"/>
          <w:sz w:val="20"/>
          <w:szCs w:val="20"/>
        </w:rPr>
        <w:t xml:space="preserve">, W. et al. (2021). Wound healing properties of </w:t>
      </w:r>
      <w:r w:rsidRPr="007B47DA">
        <w:rPr>
          <w:rFonts w:ascii="Arial" w:hAnsi="Arial" w:cs="Arial"/>
          <w:i/>
          <w:sz w:val="20"/>
          <w:szCs w:val="20"/>
        </w:rPr>
        <w:t xml:space="preserve">Gliricidia sepium </w:t>
      </w:r>
      <w:r w:rsidRPr="007B47DA">
        <w:rPr>
          <w:rFonts w:ascii="Arial" w:hAnsi="Arial" w:cs="Arial"/>
          <w:sz w:val="20"/>
          <w:szCs w:val="20"/>
        </w:rPr>
        <w:t>leaves from Indonesia and the Philippines in rats (</w:t>
      </w:r>
      <w:r w:rsidRPr="00334F40">
        <w:rPr>
          <w:rFonts w:ascii="Arial" w:hAnsi="Arial" w:cs="Arial"/>
          <w:i/>
          <w:sz w:val="20"/>
          <w:szCs w:val="20"/>
        </w:rPr>
        <w:t>Rattus norvegicus</w:t>
      </w:r>
      <w:r w:rsidRPr="007B47DA">
        <w:rPr>
          <w:rFonts w:ascii="Arial" w:hAnsi="Arial" w:cs="Arial"/>
          <w:sz w:val="20"/>
          <w:szCs w:val="20"/>
        </w:rPr>
        <w:t>), Veterinary World,</w:t>
      </w:r>
      <w:r w:rsidRPr="007B47DA">
        <w:rPr>
          <w:rFonts w:ascii="Arial" w:hAnsi="Arial" w:cs="Arial"/>
          <w:b/>
          <w:sz w:val="20"/>
          <w:szCs w:val="20"/>
        </w:rPr>
        <w:t xml:space="preserve"> </w:t>
      </w:r>
      <w:r w:rsidRPr="007B47DA">
        <w:rPr>
          <w:rFonts w:ascii="Arial" w:hAnsi="Arial" w:cs="Arial"/>
          <w:sz w:val="20"/>
          <w:szCs w:val="20"/>
        </w:rPr>
        <w:t xml:space="preserve">14, 820–824.  </w:t>
      </w:r>
    </w:p>
    <w:p w14:paraId="2637C0DE" w14:textId="5757C69C" w:rsidR="001C3C17" w:rsidRPr="007B47DA" w:rsidRDefault="001C3C17" w:rsidP="007B47DA">
      <w:pPr>
        <w:pStyle w:val="ListParagraph"/>
        <w:numPr>
          <w:ilvl w:val="0"/>
          <w:numId w:val="2"/>
        </w:numPr>
        <w:spacing w:after="240" w:line="480" w:lineRule="auto"/>
        <w:jc w:val="both"/>
        <w:rPr>
          <w:rFonts w:ascii="Arial" w:hAnsi="Arial" w:cs="Arial"/>
          <w:sz w:val="20"/>
          <w:szCs w:val="20"/>
        </w:rPr>
      </w:pPr>
      <w:r w:rsidRPr="007B47DA">
        <w:rPr>
          <w:rFonts w:ascii="Arial" w:hAnsi="Arial" w:cs="Arial"/>
          <w:sz w:val="20"/>
          <w:szCs w:val="20"/>
        </w:rPr>
        <w:t xml:space="preserve">OECD, (2008). Test No. 407: Repeated Dose 28-Day Oral Toxicity Study in Rodents, Organization for Economic Co-operation and Development </w:t>
      </w:r>
      <w:proofErr w:type="spellStart"/>
      <w:r w:rsidRPr="007B47DA">
        <w:rPr>
          <w:rFonts w:ascii="Arial" w:hAnsi="Arial" w:cs="Arial"/>
          <w:sz w:val="20"/>
          <w:szCs w:val="20"/>
        </w:rPr>
        <w:t>Publishin</w:t>
      </w:r>
      <w:r w:rsidR="004F4DB2">
        <w:rPr>
          <w:rFonts w:ascii="Arial" w:hAnsi="Arial" w:cs="Arial"/>
          <w:sz w:val="20"/>
          <w:szCs w:val="20"/>
        </w:rPr>
        <w:t>Gliricidia</w:t>
      </w:r>
      <w:proofErr w:type="spellEnd"/>
    </w:p>
    <w:p w14:paraId="43EEC9F5" w14:textId="7650D4FA" w:rsidR="001C3C17" w:rsidRPr="007B47DA" w:rsidRDefault="001C3C17" w:rsidP="007B47DA">
      <w:pPr>
        <w:pStyle w:val="ListParagraph"/>
        <w:numPr>
          <w:ilvl w:val="0"/>
          <w:numId w:val="2"/>
        </w:numPr>
        <w:spacing w:after="240" w:line="480" w:lineRule="auto"/>
        <w:jc w:val="both"/>
        <w:rPr>
          <w:rFonts w:ascii="Arial" w:hAnsi="Arial" w:cs="Arial"/>
          <w:sz w:val="20"/>
          <w:szCs w:val="20"/>
        </w:rPr>
      </w:pPr>
      <w:proofErr w:type="spellStart"/>
      <w:r w:rsidRPr="007B47DA">
        <w:rPr>
          <w:rFonts w:ascii="Arial" w:hAnsi="Arial" w:cs="Arial"/>
          <w:sz w:val="20"/>
          <w:szCs w:val="20"/>
        </w:rPr>
        <w:t>Lorke</w:t>
      </w:r>
      <w:proofErr w:type="spellEnd"/>
      <w:r w:rsidRPr="007B47DA">
        <w:rPr>
          <w:rFonts w:ascii="Arial" w:hAnsi="Arial" w:cs="Arial"/>
          <w:sz w:val="20"/>
          <w:szCs w:val="20"/>
        </w:rPr>
        <w:t xml:space="preserve">, D. (1983). A new approach to practical acute toxicity </w:t>
      </w:r>
      <w:proofErr w:type="spellStart"/>
      <w:r w:rsidRPr="007B47DA">
        <w:rPr>
          <w:rFonts w:ascii="Arial" w:hAnsi="Arial" w:cs="Arial"/>
          <w:sz w:val="20"/>
          <w:szCs w:val="20"/>
        </w:rPr>
        <w:t>testin</w:t>
      </w:r>
      <w:r w:rsidR="004F4DB2">
        <w:rPr>
          <w:rFonts w:ascii="Arial" w:hAnsi="Arial" w:cs="Arial"/>
          <w:sz w:val="20"/>
          <w:szCs w:val="20"/>
        </w:rPr>
        <w:t>Gliricidia</w:t>
      </w:r>
      <w:proofErr w:type="spellEnd"/>
      <w:r w:rsidRPr="007B47DA">
        <w:rPr>
          <w:rFonts w:ascii="Arial" w:hAnsi="Arial" w:cs="Arial"/>
          <w:sz w:val="20"/>
          <w:szCs w:val="20"/>
        </w:rPr>
        <w:t xml:space="preserve"> </w:t>
      </w:r>
      <w:r w:rsidRPr="007B47DA">
        <w:rPr>
          <w:rFonts w:ascii="Arial" w:hAnsi="Arial" w:cs="Arial"/>
          <w:i/>
          <w:sz w:val="20"/>
          <w:szCs w:val="20"/>
        </w:rPr>
        <w:t>Archives of Toxicology,</w:t>
      </w:r>
      <w:r w:rsidRPr="007B47DA">
        <w:rPr>
          <w:rFonts w:ascii="Arial" w:hAnsi="Arial" w:cs="Arial"/>
          <w:sz w:val="20"/>
          <w:szCs w:val="20"/>
        </w:rPr>
        <w:t xml:space="preserve"> 54, 275–287.</w:t>
      </w:r>
    </w:p>
    <w:p w14:paraId="3AC69685" w14:textId="777777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proofErr w:type="spellStart"/>
      <w:r w:rsidRPr="007B47DA">
        <w:rPr>
          <w:rFonts w:ascii="Arial" w:hAnsi="Arial" w:cs="Arial"/>
          <w:sz w:val="20"/>
          <w:szCs w:val="20"/>
        </w:rPr>
        <w:t>Enegide</w:t>
      </w:r>
      <w:proofErr w:type="spellEnd"/>
      <w:r w:rsidRPr="007B47DA">
        <w:rPr>
          <w:rFonts w:ascii="Arial" w:hAnsi="Arial" w:cs="Arial"/>
          <w:sz w:val="20"/>
          <w:szCs w:val="20"/>
        </w:rPr>
        <w:t>, C., David, A. &amp; Fidelis, S.A. (2013). A New Method for Determining Acute Toxicity in Animal Models. Toxicology International</w:t>
      </w:r>
      <w:r w:rsidRPr="007B47DA">
        <w:rPr>
          <w:rFonts w:ascii="Arial" w:hAnsi="Arial" w:cs="Arial"/>
          <w:i/>
          <w:sz w:val="20"/>
          <w:szCs w:val="20"/>
        </w:rPr>
        <w:t xml:space="preserve">, </w:t>
      </w:r>
      <w:r w:rsidRPr="007B47DA">
        <w:rPr>
          <w:rFonts w:ascii="Arial" w:hAnsi="Arial" w:cs="Arial"/>
          <w:sz w:val="20"/>
          <w:szCs w:val="20"/>
        </w:rPr>
        <w:t xml:space="preserve">20(3), 224–226 </w:t>
      </w:r>
    </w:p>
    <w:p w14:paraId="6F892FF9" w14:textId="777777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r w:rsidRPr="007B47DA">
        <w:rPr>
          <w:rFonts w:ascii="Arial" w:hAnsi="Arial" w:cs="Arial"/>
          <w:sz w:val="20"/>
          <w:szCs w:val="20"/>
        </w:rPr>
        <w:t xml:space="preserve">Bulgheroni, A., </w:t>
      </w:r>
      <w:proofErr w:type="spellStart"/>
      <w:r w:rsidRPr="007B47DA">
        <w:rPr>
          <w:rFonts w:ascii="Arial" w:hAnsi="Arial" w:cs="Arial"/>
          <w:sz w:val="20"/>
          <w:szCs w:val="20"/>
        </w:rPr>
        <w:t>Kinsner-Ovaskainen</w:t>
      </w:r>
      <w:proofErr w:type="spellEnd"/>
      <w:r w:rsidRPr="007B47DA">
        <w:rPr>
          <w:rFonts w:ascii="Arial" w:hAnsi="Arial" w:cs="Arial"/>
          <w:sz w:val="20"/>
          <w:szCs w:val="20"/>
        </w:rPr>
        <w:t>, A., Hofmann, S., Hartung, T. &amp; Prieto P. (2009). Estimation of acute oral toxicity using the No observed adverse effect level (NOAEL) from the 28-day repeated dose toxicity studies in rats. Regulatory Toxicology and Pharmacology, 53 (1), 16–9.</w:t>
      </w:r>
    </w:p>
    <w:p w14:paraId="7D02647B" w14:textId="74C482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proofErr w:type="spellStart"/>
      <w:r w:rsidRPr="007B47DA">
        <w:rPr>
          <w:rFonts w:ascii="Arial" w:hAnsi="Arial" w:cs="Arial"/>
          <w:sz w:val="20"/>
          <w:szCs w:val="20"/>
        </w:rPr>
        <w:t>Lidji</w:t>
      </w:r>
      <w:proofErr w:type="spellEnd"/>
      <w:r w:rsidRPr="007B47DA">
        <w:rPr>
          <w:rFonts w:ascii="Arial" w:hAnsi="Arial" w:cs="Arial"/>
          <w:sz w:val="20"/>
          <w:szCs w:val="20"/>
        </w:rPr>
        <w:t xml:space="preserve">, C.J.S.R., </w:t>
      </w:r>
      <w:proofErr w:type="spellStart"/>
      <w:r w:rsidRPr="007B47DA">
        <w:rPr>
          <w:rFonts w:ascii="Arial" w:hAnsi="Arial" w:cs="Arial"/>
          <w:sz w:val="20"/>
          <w:szCs w:val="20"/>
        </w:rPr>
        <w:t>Bolou</w:t>
      </w:r>
      <w:proofErr w:type="spellEnd"/>
      <w:r w:rsidRPr="007B47DA">
        <w:rPr>
          <w:rFonts w:ascii="Arial" w:hAnsi="Arial" w:cs="Arial"/>
          <w:sz w:val="20"/>
          <w:szCs w:val="20"/>
        </w:rPr>
        <w:t xml:space="preserve">, </w:t>
      </w:r>
      <w:r w:rsidR="001D1F0A">
        <w:rPr>
          <w:rFonts w:ascii="Arial" w:hAnsi="Arial" w:cs="Arial"/>
          <w:sz w:val="20"/>
          <w:szCs w:val="20"/>
        </w:rPr>
        <w:t>G.</w:t>
      </w:r>
      <w:r w:rsidRPr="007B47DA">
        <w:rPr>
          <w:rFonts w:ascii="Arial" w:hAnsi="Arial" w:cs="Arial"/>
          <w:sz w:val="20"/>
          <w:szCs w:val="20"/>
        </w:rPr>
        <w:t xml:space="preserve">K., </w:t>
      </w:r>
      <w:proofErr w:type="spellStart"/>
      <w:r w:rsidRPr="007B47DA">
        <w:rPr>
          <w:rFonts w:ascii="Arial" w:hAnsi="Arial" w:cs="Arial"/>
          <w:sz w:val="20"/>
          <w:szCs w:val="20"/>
        </w:rPr>
        <w:t>Droubly-Bouagnon</w:t>
      </w:r>
      <w:proofErr w:type="spellEnd"/>
      <w:r w:rsidRPr="007B47DA">
        <w:rPr>
          <w:rFonts w:ascii="Arial" w:hAnsi="Arial" w:cs="Arial"/>
          <w:sz w:val="20"/>
          <w:szCs w:val="20"/>
        </w:rPr>
        <w:t xml:space="preserve">, J.J.R., Konan, </w:t>
      </w:r>
      <w:r w:rsidR="007F7906">
        <w:rPr>
          <w:rFonts w:ascii="Arial" w:hAnsi="Arial" w:cs="Arial"/>
          <w:sz w:val="20"/>
          <w:szCs w:val="20"/>
        </w:rPr>
        <w:t>G.</w:t>
      </w:r>
      <w:r w:rsidRPr="007B47DA">
        <w:rPr>
          <w:rFonts w:ascii="Arial" w:hAnsi="Arial" w:cs="Arial"/>
          <w:sz w:val="20"/>
          <w:szCs w:val="20"/>
        </w:rPr>
        <w:t xml:space="preserve">K.N.A., Kamo, I.L.B.E., N’Guessan, J. D. et al. (2024). Evaluation of the antiviral activity of different extracts of </w:t>
      </w:r>
      <w:proofErr w:type="spellStart"/>
      <w:r w:rsidRPr="00444368">
        <w:rPr>
          <w:rFonts w:ascii="Arial" w:hAnsi="Arial" w:cs="Arial"/>
          <w:i/>
          <w:sz w:val="20"/>
          <w:szCs w:val="20"/>
        </w:rPr>
        <w:t>Gliricidia</w:t>
      </w:r>
      <w:proofErr w:type="spellEnd"/>
      <w:r w:rsidRPr="00444368">
        <w:rPr>
          <w:rFonts w:ascii="Arial" w:hAnsi="Arial" w:cs="Arial"/>
          <w:i/>
          <w:sz w:val="20"/>
          <w:szCs w:val="20"/>
        </w:rPr>
        <w:t xml:space="preserve"> </w:t>
      </w:r>
      <w:proofErr w:type="spellStart"/>
      <w:r w:rsidRPr="00444368">
        <w:rPr>
          <w:rFonts w:ascii="Arial" w:hAnsi="Arial" w:cs="Arial"/>
          <w:i/>
          <w:sz w:val="20"/>
          <w:szCs w:val="20"/>
        </w:rPr>
        <w:t>sepium</w:t>
      </w:r>
      <w:proofErr w:type="spellEnd"/>
      <w:r w:rsidRPr="007B47DA">
        <w:rPr>
          <w:rFonts w:ascii="Arial" w:hAnsi="Arial" w:cs="Arial"/>
          <w:sz w:val="20"/>
          <w:szCs w:val="20"/>
        </w:rPr>
        <w:t xml:space="preserve"> and </w:t>
      </w:r>
      <w:proofErr w:type="spellStart"/>
      <w:r w:rsidRPr="007B47DA">
        <w:rPr>
          <w:rFonts w:ascii="Arial" w:hAnsi="Arial" w:cs="Arial"/>
          <w:sz w:val="20"/>
          <w:szCs w:val="20"/>
        </w:rPr>
        <w:t>Xylopia</w:t>
      </w:r>
      <w:proofErr w:type="spellEnd"/>
      <w:r w:rsidRPr="007B47DA">
        <w:rPr>
          <w:rFonts w:ascii="Arial" w:hAnsi="Arial" w:cs="Arial"/>
          <w:sz w:val="20"/>
          <w:szCs w:val="20"/>
        </w:rPr>
        <w:t xml:space="preserve"> aethiopica on </w:t>
      </w:r>
      <w:proofErr w:type="spellStart"/>
      <w:r w:rsidRPr="007B47DA">
        <w:rPr>
          <w:rFonts w:ascii="Arial" w:hAnsi="Arial" w:cs="Arial"/>
          <w:sz w:val="20"/>
          <w:szCs w:val="20"/>
        </w:rPr>
        <w:t>entero</w:t>
      </w:r>
      <w:proofErr w:type="spellEnd"/>
      <w:r w:rsidRPr="007B47DA">
        <w:rPr>
          <w:rFonts w:ascii="Arial" w:hAnsi="Arial" w:cs="Arial"/>
          <w:sz w:val="20"/>
          <w:szCs w:val="20"/>
        </w:rPr>
        <w:t xml:space="preserve"> viruses isolated in Côte d'Ivoire, Journal of Drug Delivery and Therapeutics, 14(10), 64-69 </w:t>
      </w:r>
    </w:p>
    <w:p w14:paraId="5FD5BACB" w14:textId="77777777" w:rsidR="00BA470D" w:rsidRPr="007B47DA" w:rsidRDefault="00443DDA" w:rsidP="007B47DA">
      <w:pPr>
        <w:pStyle w:val="ListParagraph"/>
        <w:numPr>
          <w:ilvl w:val="0"/>
          <w:numId w:val="2"/>
        </w:numPr>
        <w:tabs>
          <w:tab w:val="left" w:pos="3374"/>
        </w:tabs>
        <w:spacing w:after="240" w:line="480" w:lineRule="auto"/>
        <w:jc w:val="both"/>
        <w:rPr>
          <w:rFonts w:ascii="Arial" w:hAnsi="Arial" w:cs="Arial"/>
          <w:sz w:val="20"/>
          <w:szCs w:val="20"/>
        </w:rPr>
      </w:pPr>
      <w:r w:rsidRPr="007B47DA">
        <w:rPr>
          <w:rFonts w:ascii="Arial" w:hAnsi="Arial" w:cs="Arial"/>
          <w:sz w:val="20"/>
          <w:szCs w:val="20"/>
        </w:rPr>
        <w:lastRenderedPageBreak/>
        <w:t xml:space="preserve">Hopton, M., R. &amp; </w:t>
      </w:r>
      <w:proofErr w:type="spellStart"/>
      <w:r w:rsidRPr="007B47DA">
        <w:rPr>
          <w:rFonts w:ascii="Arial" w:hAnsi="Arial" w:cs="Arial"/>
          <w:sz w:val="20"/>
          <w:szCs w:val="20"/>
        </w:rPr>
        <w:t>Harrap</w:t>
      </w:r>
      <w:proofErr w:type="spellEnd"/>
      <w:r w:rsidRPr="007B47DA">
        <w:rPr>
          <w:rFonts w:ascii="Arial" w:hAnsi="Arial" w:cs="Arial"/>
          <w:sz w:val="20"/>
          <w:szCs w:val="20"/>
        </w:rPr>
        <w:t>, J., J. (1986). Immunoradiometric assay of thyrotropin as a first line thyroid function test in the routine laboratory. Clinical chemistry, 32:691.</w:t>
      </w:r>
    </w:p>
    <w:p w14:paraId="256BDE2E" w14:textId="77777777" w:rsidR="00BA470D" w:rsidRPr="007B47DA" w:rsidRDefault="00836A89"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 xml:space="preserve">Gharib, </w:t>
      </w:r>
      <w:proofErr w:type="spellStart"/>
      <w:proofErr w:type="gramStart"/>
      <w:r w:rsidRPr="007B47DA">
        <w:rPr>
          <w:rFonts w:ascii="Arial" w:hAnsi="Arial" w:cs="Arial"/>
          <w:sz w:val="20"/>
          <w:szCs w:val="20"/>
        </w:rPr>
        <w:t>H.,Ryan</w:t>
      </w:r>
      <w:proofErr w:type="spellEnd"/>
      <w:proofErr w:type="gramEnd"/>
      <w:r w:rsidRPr="007B47DA">
        <w:rPr>
          <w:rFonts w:ascii="Arial" w:hAnsi="Arial" w:cs="Arial"/>
          <w:sz w:val="20"/>
          <w:szCs w:val="20"/>
        </w:rPr>
        <w:t>, R., J., Mayberry, W., E., &amp; Hackett, T. (1971). Radioimmunoassay for triiodothyronine (T3): affinity and specificity of antibody for T3. Journal of clinical endocrinology. 33: 506</w:t>
      </w:r>
    </w:p>
    <w:p w14:paraId="36375BC9" w14:textId="77777777" w:rsidR="00836A89" w:rsidRPr="007B47DA" w:rsidRDefault="00836A89"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 xml:space="preserve">Barker, S., B. (1948). Determination of protein bound iodine. Journal of biological chemistry; 173:715  </w:t>
      </w:r>
    </w:p>
    <w:p w14:paraId="04C8F608" w14:textId="170EFCB6" w:rsidR="007B47DA" w:rsidRPr="007B47DA" w:rsidRDefault="007B47DA"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 xml:space="preserve">Odell, W., U., Parlow, A., Oster, </w:t>
      </w:r>
      <w:r w:rsidR="007F7906">
        <w:rPr>
          <w:rFonts w:ascii="Arial" w:hAnsi="Arial" w:cs="Arial"/>
          <w:sz w:val="20"/>
          <w:szCs w:val="20"/>
        </w:rPr>
        <w:t>G.</w:t>
      </w:r>
      <w:r w:rsidRPr="007B47DA">
        <w:rPr>
          <w:rFonts w:ascii="Arial" w:hAnsi="Arial" w:cs="Arial"/>
          <w:sz w:val="20"/>
          <w:szCs w:val="20"/>
        </w:rPr>
        <w:t xml:space="preserve">, </w:t>
      </w:r>
      <w:proofErr w:type="spellStart"/>
      <w:r w:rsidRPr="007B47DA">
        <w:rPr>
          <w:rFonts w:ascii="Arial" w:hAnsi="Arial" w:cs="Arial"/>
          <w:sz w:val="20"/>
          <w:szCs w:val="20"/>
        </w:rPr>
        <w:t>Alberch</w:t>
      </w:r>
      <w:proofErr w:type="spellEnd"/>
      <w:r w:rsidRPr="007B47DA">
        <w:rPr>
          <w:rFonts w:ascii="Arial" w:hAnsi="Arial" w:cs="Arial"/>
          <w:sz w:val="20"/>
          <w:szCs w:val="20"/>
        </w:rPr>
        <w:t xml:space="preserve">, B. and Burnside, B. (1981). Journal of clinical. </w:t>
      </w:r>
    </w:p>
    <w:p w14:paraId="2C933360" w14:textId="77777777" w:rsidR="00836A89" w:rsidRPr="007B47DA" w:rsidRDefault="007B47DA" w:rsidP="00D96EA2">
      <w:pPr>
        <w:pStyle w:val="ListParagraph"/>
        <w:spacing w:line="480" w:lineRule="auto"/>
        <w:jc w:val="both"/>
        <w:rPr>
          <w:rFonts w:ascii="Arial" w:hAnsi="Arial" w:cs="Arial"/>
          <w:sz w:val="20"/>
          <w:szCs w:val="20"/>
        </w:rPr>
      </w:pPr>
      <w:r w:rsidRPr="007B47DA">
        <w:rPr>
          <w:rFonts w:ascii="Arial" w:hAnsi="Arial" w:cs="Arial"/>
          <w:sz w:val="20"/>
          <w:szCs w:val="20"/>
        </w:rPr>
        <w:t>Investigation, 4: 2551.</w:t>
      </w:r>
    </w:p>
    <w:p w14:paraId="2626B2A2" w14:textId="77777777" w:rsidR="00836A89" w:rsidRPr="007B47DA" w:rsidRDefault="00836A89" w:rsidP="007B47DA">
      <w:pPr>
        <w:pStyle w:val="ListParagraph"/>
        <w:numPr>
          <w:ilvl w:val="0"/>
          <w:numId w:val="2"/>
        </w:numPr>
        <w:spacing w:line="480" w:lineRule="auto"/>
        <w:jc w:val="both"/>
        <w:rPr>
          <w:rFonts w:ascii="Arial" w:hAnsi="Arial" w:cs="Arial"/>
          <w:sz w:val="20"/>
          <w:szCs w:val="20"/>
        </w:rPr>
      </w:pPr>
      <w:proofErr w:type="spellStart"/>
      <w:r w:rsidRPr="007B47DA">
        <w:rPr>
          <w:rFonts w:ascii="Arial" w:hAnsi="Arial" w:cs="Arial"/>
          <w:sz w:val="20"/>
          <w:szCs w:val="20"/>
        </w:rPr>
        <w:t>Kosasa</w:t>
      </w:r>
      <w:proofErr w:type="spellEnd"/>
      <w:r w:rsidRPr="007B47DA">
        <w:rPr>
          <w:rFonts w:ascii="Arial" w:hAnsi="Arial" w:cs="Arial"/>
          <w:sz w:val="20"/>
          <w:szCs w:val="20"/>
        </w:rPr>
        <w:t>, T., S. (1981). Measurement of Human Luteinizing Hormone. Journal of reproductive medicine, 26: 201-2</w:t>
      </w:r>
      <w:r w:rsidRPr="007B47DA">
        <w:rPr>
          <w:sz w:val="20"/>
          <w:szCs w:val="20"/>
        </w:rPr>
        <w:t xml:space="preserve"> </w:t>
      </w:r>
    </w:p>
    <w:p w14:paraId="359FB2A4" w14:textId="77777777" w:rsidR="00836A89" w:rsidRPr="007B47DA" w:rsidRDefault="00836A89"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Corker, C.S. &amp; Exley, D. (1970).The determination of plasma estradiol-17β by competitive protein binding radio assay. Steroids; 5(4): 469-694.06.</w:t>
      </w:r>
    </w:p>
    <w:p w14:paraId="4A95037C" w14:textId="77777777" w:rsidR="00BA470D" w:rsidRPr="007B47DA" w:rsidRDefault="00BA470D"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 xml:space="preserve">OECD (2025). Guidance on Good Practices and </w:t>
      </w:r>
      <w:proofErr w:type="spellStart"/>
      <w:r w:rsidRPr="007B47DA">
        <w:rPr>
          <w:rFonts w:ascii="Arial" w:hAnsi="Arial" w:cs="Arial"/>
          <w:sz w:val="20"/>
          <w:szCs w:val="20"/>
        </w:rPr>
        <w:t>Standardisation</w:t>
      </w:r>
      <w:proofErr w:type="spellEnd"/>
      <w:r w:rsidRPr="007B47DA">
        <w:rPr>
          <w:rFonts w:ascii="Arial" w:hAnsi="Arial" w:cs="Arial"/>
          <w:sz w:val="20"/>
          <w:szCs w:val="20"/>
        </w:rPr>
        <w:t xml:space="preserve"> of Sample Collection for Omics Analysis. Series on Testing and Assessment, No. 405. OECD Publishing, Paris</w:t>
      </w:r>
    </w:p>
    <w:p w14:paraId="164A4D33" w14:textId="46771596" w:rsidR="001D1F0A" w:rsidRDefault="00836A89" w:rsidP="001D1F0A">
      <w:pPr>
        <w:pStyle w:val="ListParagraph"/>
        <w:numPr>
          <w:ilvl w:val="0"/>
          <w:numId w:val="2"/>
        </w:numPr>
        <w:spacing w:line="480" w:lineRule="auto"/>
        <w:rPr>
          <w:rFonts w:ascii="Arial" w:hAnsi="Arial" w:cs="Arial"/>
          <w:sz w:val="20"/>
          <w:szCs w:val="20"/>
          <w:lang w:val="en-GB"/>
        </w:rPr>
      </w:pPr>
      <w:r w:rsidRPr="007B47DA">
        <w:rPr>
          <w:rFonts w:ascii="Arial" w:hAnsi="Arial" w:cs="Arial"/>
          <w:sz w:val="20"/>
          <w:szCs w:val="20"/>
        </w:rPr>
        <w:t xml:space="preserve">Shahid, M.A., Ashraf, M.A. &amp; Sharma, S. (2023). Physiology, Thyroid Hormone. [Updated 2023 Jun 5]. In: </w:t>
      </w:r>
      <w:proofErr w:type="spellStart"/>
      <w:r w:rsidRPr="007B47DA">
        <w:rPr>
          <w:rFonts w:ascii="Arial" w:hAnsi="Arial" w:cs="Arial"/>
          <w:sz w:val="20"/>
          <w:szCs w:val="20"/>
        </w:rPr>
        <w:t>StatPearls</w:t>
      </w:r>
      <w:proofErr w:type="spellEnd"/>
      <w:r w:rsidRPr="007B47DA">
        <w:rPr>
          <w:rFonts w:ascii="Arial" w:hAnsi="Arial" w:cs="Arial"/>
          <w:sz w:val="20"/>
          <w:szCs w:val="20"/>
        </w:rPr>
        <w:t xml:space="preserve"> [Internet]. Treasure Island (FL): </w:t>
      </w:r>
      <w:proofErr w:type="spellStart"/>
      <w:r w:rsidRPr="007B47DA">
        <w:rPr>
          <w:rFonts w:ascii="Arial" w:hAnsi="Arial" w:cs="Arial"/>
          <w:sz w:val="20"/>
          <w:szCs w:val="20"/>
        </w:rPr>
        <w:t>StatPearls</w:t>
      </w:r>
      <w:proofErr w:type="spellEnd"/>
      <w:r w:rsidRPr="007B47DA">
        <w:rPr>
          <w:rFonts w:ascii="Arial" w:hAnsi="Arial" w:cs="Arial"/>
          <w:sz w:val="20"/>
          <w:szCs w:val="20"/>
        </w:rPr>
        <w:t xml:space="preserve"> </w:t>
      </w:r>
      <w:proofErr w:type="spellStart"/>
      <w:r w:rsidRPr="007B47DA">
        <w:rPr>
          <w:rFonts w:ascii="Arial" w:hAnsi="Arial" w:cs="Arial"/>
          <w:sz w:val="20"/>
          <w:szCs w:val="20"/>
        </w:rPr>
        <w:t>Publishin</w:t>
      </w:r>
      <w:r w:rsidR="004F4DB2">
        <w:rPr>
          <w:rFonts w:ascii="Arial" w:hAnsi="Arial" w:cs="Arial"/>
          <w:sz w:val="20"/>
          <w:szCs w:val="20"/>
        </w:rPr>
        <w:t>Gliricidia</w:t>
      </w:r>
      <w:proofErr w:type="spellEnd"/>
      <w:r w:rsidR="001D1F0A" w:rsidRPr="001D1F0A">
        <w:rPr>
          <w:rFonts w:ascii="Arial" w:hAnsi="Arial" w:cs="Arial"/>
          <w:sz w:val="20"/>
          <w:szCs w:val="20"/>
          <w:lang w:val="en-GB"/>
        </w:rPr>
        <w:t xml:space="preserve"> </w:t>
      </w:r>
    </w:p>
    <w:p w14:paraId="2CBF89BA" w14:textId="6183FA80" w:rsidR="001D1F0A" w:rsidRDefault="001D1F0A" w:rsidP="001D1F0A">
      <w:pPr>
        <w:pStyle w:val="ListParagraph"/>
        <w:numPr>
          <w:ilvl w:val="0"/>
          <w:numId w:val="2"/>
        </w:numPr>
        <w:spacing w:line="480" w:lineRule="auto"/>
        <w:rPr>
          <w:rFonts w:ascii="Arial" w:hAnsi="Arial" w:cs="Arial"/>
          <w:sz w:val="20"/>
          <w:szCs w:val="20"/>
          <w:lang w:val="en-GB"/>
        </w:rPr>
      </w:pPr>
      <w:proofErr w:type="spellStart"/>
      <w:r w:rsidRPr="001D1F0A">
        <w:rPr>
          <w:rFonts w:ascii="Arial" w:hAnsi="Arial" w:cs="Arial"/>
          <w:sz w:val="20"/>
          <w:szCs w:val="20"/>
          <w:lang w:val="en-GB"/>
        </w:rPr>
        <w:t>Ngwu</w:t>
      </w:r>
      <w:proofErr w:type="spellEnd"/>
      <w:r w:rsidRPr="001D1F0A">
        <w:rPr>
          <w:rFonts w:ascii="Arial" w:hAnsi="Arial" w:cs="Arial"/>
          <w:sz w:val="20"/>
          <w:szCs w:val="20"/>
          <w:lang w:val="en-GB"/>
        </w:rPr>
        <w:t>, O., &amp; Okoye, J. I. (2019). A Comparative Evaluation of Selected Medicinal Plants on Male Fertility Indices (Reproductive Hormones and Sperm Profile) of Albino Wistar Rats: An Animal Case Study. </w:t>
      </w:r>
      <w:r w:rsidRPr="001D1F0A">
        <w:rPr>
          <w:rFonts w:ascii="Arial" w:hAnsi="Arial" w:cs="Arial"/>
          <w:iCs/>
          <w:sz w:val="20"/>
          <w:szCs w:val="20"/>
          <w:lang w:val="en-GB"/>
        </w:rPr>
        <w:t>International Journal of Plant &amp; Soil Science</w:t>
      </w:r>
      <w:r w:rsidRPr="001D1F0A">
        <w:rPr>
          <w:rFonts w:ascii="Arial" w:hAnsi="Arial" w:cs="Arial"/>
          <w:sz w:val="20"/>
          <w:szCs w:val="20"/>
          <w:lang w:val="en-GB"/>
        </w:rPr>
        <w:t>, </w:t>
      </w:r>
      <w:r w:rsidRPr="001D1F0A">
        <w:rPr>
          <w:rFonts w:ascii="Arial" w:hAnsi="Arial" w:cs="Arial"/>
          <w:i/>
          <w:iCs/>
          <w:sz w:val="20"/>
          <w:szCs w:val="20"/>
          <w:lang w:val="en-GB"/>
        </w:rPr>
        <w:t>29</w:t>
      </w:r>
      <w:r w:rsidRPr="001D1F0A">
        <w:rPr>
          <w:rFonts w:ascii="Arial" w:hAnsi="Arial" w:cs="Arial"/>
          <w:sz w:val="20"/>
          <w:szCs w:val="20"/>
          <w:lang w:val="en-GB"/>
        </w:rPr>
        <w:t>(2), 1–6</w:t>
      </w:r>
    </w:p>
    <w:p w14:paraId="2A4F9870" w14:textId="6A0C0C40" w:rsidR="001D1F0A" w:rsidRPr="001D1F0A" w:rsidRDefault="001D1F0A" w:rsidP="001D1F0A">
      <w:pPr>
        <w:pStyle w:val="ListParagraph"/>
        <w:numPr>
          <w:ilvl w:val="0"/>
          <w:numId w:val="2"/>
        </w:numPr>
        <w:spacing w:line="480" w:lineRule="auto"/>
        <w:rPr>
          <w:rFonts w:ascii="Arial" w:hAnsi="Arial" w:cs="Arial"/>
          <w:sz w:val="20"/>
          <w:szCs w:val="20"/>
          <w:lang w:val="en-GB"/>
        </w:rPr>
      </w:pPr>
      <w:proofErr w:type="spellStart"/>
      <w:r w:rsidRPr="001D1F0A">
        <w:rPr>
          <w:rFonts w:ascii="Arial" w:hAnsi="Arial" w:cs="Arial"/>
          <w:sz w:val="20"/>
          <w:szCs w:val="20"/>
          <w:lang w:val="en-GB"/>
        </w:rPr>
        <w:t>Nda-Wonodi</w:t>
      </w:r>
      <w:proofErr w:type="spellEnd"/>
      <w:r w:rsidRPr="001D1F0A">
        <w:rPr>
          <w:rFonts w:ascii="Arial" w:hAnsi="Arial" w:cs="Arial"/>
          <w:sz w:val="20"/>
          <w:szCs w:val="20"/>
          <w:lang w:val="en-GB"/>
        </w:rPr>
        <w:t xml:space="preserve">, W., </w:t>
      </w:r>
      <w:proofErr w:type="spellStart"/>
      <w:r w:rsidRPr="001D1F0A">
        <w:rPr>
          <w:rFonts w:ascii="Arial" w:hAnsi="Arial" w:cs="Arial"/>
          <w:sz w:val="20"/>
          <w:szCs w:val="20"/>
          <w:lang w:val="en-GB"/>
        </w:rPr>
        <w:t>Ukamaka</w:t>
      </w:r>
      <w:proofErr w:type="spellEnd"/>
      <w:r w:rsidRPr="001D1F0A">
        <w:rPr>
          <w:rFonts w:ascii="Arial" w:hAnsi="Arial" w:cs="Arial"/>
          <w:sz w:val="20"/>
          <w:szCs w:val="20"/>
          <w:lang w:val="en-GB"/>
        </w:rPr>
        <w:t xml:space="preserve">, I., </w:t>
      </w:r>
      <w:proofErr w:type="spellStart"/>
      <w:r w:rsidRPr="001D1F0A">
        <w:rPr>
          <w:rFonts w:ascii="Arial" w:hAnsi="Arial" w:cs="Arial"/>
          <w:sz w:val="20"/>
          <w:szCs w:val="20"/>
          <w:lang w:val="en-GB"/>
        </w:rPr>
        <w:t>Odey</w:t>
      </w:r>
      <w:proofErr w:type="spellEnd"/>
      <w:r w:rsidRPr="001D1F0A">
        <w:rPr>
          <w:rFonts w:ascii="Arial" w:hAnsi="Arial" w:cs="Arial"/>
          <w:sz w:val="20"/>
          <w:szCs w:val="20"/>
          <w:lang w:val="en-GB"/>
        </w:rPr>
        <w:t xml:space="preserve">, P.O., &amp; </w:t>
      </w:r>
      <w:proofErr w:type="spellStart"/>
      <w:r w:rsidRPr="001D1F0A">
        <w:rPr>
          <w:rFonts w:ascii="Arial" w:hAnsi="Arial" w:cs="Arial"/>
          <w:sz w:val="20"/>
          <w:szCs w:val="20"/>
          <w:lang w:val="en-GB"/>
        </w:rPr>
        <w:t>Amadi</w:t>
      </w:r>
      <w:proofErr w:type="spellEnd"/>
      <w:r w:rsidRPr="001D1F0A">
        <w:rPr>
          <w:rFonts w:ascii="Arial" w:hAnsi="Arial" w:cs="Arial"/>
          <w:sz w:val="20"/>
          <w:szCs w:val="20"/>
          <w:lang w:val="en-GB"/>
        </w:rPr>
        <w:t>, B.A. (2025). “Effects of Three Brands of Herbal Cocktails on Reproductive Hormones in Wistar Rats”. Asian Journal of Research in Biochemistry 15 (6)</w:t>
      </w:r>
      <w:r w:rsidRPr="001D1F0A">
        <w:rPr>
          <w:rFonts w:ascii="Arial" w:hAnsi="Arial" w:cs="Arial"/>
          <w:sz w:val="20"/>
          <w:szCs w:val="20"/>
        </w:rPr>
        <w:t>, 136</w:t>
      </w:r>
      <w:r w:rsidRPr="001D1F0A">
        <w:rPr>
          <w:rFonts w:ascii="Arial" w:hAnsi="Arial" w:cs="Arial"/>
          <w:sz w:val="20"/>
          <w:szCs w:val="20"/>
          <w:lang w:val="en-GB"/>
        </w:rPr>
        <w:t xml:space="preserve">–141. </w:t>
      </w:r>
    </w:p>
    <w:p w14:paraId="71D8E7F7" w14:textId="77777777" w:rsidR="00AE2F4A" w:rsidRPr="001D1F0A" w:rsidRDefault="00AE2F4A" w:rsidP="001D1F0A">
      <w:pPr>
        <w:pStyle w:val="ListParagraph"/>
        <w:numPr>
          <w:ilvl w:val="0"/>
          <w:numId w:val="2"/>
        </w:numPr>
        <w:spacing w:line="480" w:lineRule="auto"/>
        <w:jc w:val="both"/>
        <w:rPr>
          <w:rFonts w:ascii="Arial" w:hAnsi="Arial" w:cs="Arial"/>
          <w:sz w:val="20"/>
          <w:szCs w:val="20"/>
        </w:rPr>
      </w:pPr>
      <w:r w:rsidRPr="001D1F0A">
        <w:rPr>
          <w:rFonts w:ascii="Arial" w:hAnsi="Arial" w:cs="Arial"/>
          <w:sz w:val="20"/>
          <w:szCs w:val="20"/>
        </w:rPr>
        <w:t>Lee</w:t>
      </w:r>
      <w:r w:rsidR="00771E73" w:rsidRPr="001D1F0A">
        <w:rPr>
          <w:rFonts w:ascii="Arial" w:hAnsi="Arial" w:cs="Arial"/>
          <w:sz w:val="20"/>
          <w:szCs w:val="20"/>
        </w:rPr>
        <w:t>,</w:t>
      </w:r>
      <w:r w:rsidRPr="001D1F0A">
        <w:rPr>
          <w:rFonts w:ascii="Arial" w:hAnsi="Arial" w:cs="Arial"/>
          <w:sz w:val="20"/>
          <w:szCs w:val="20"/>
        </w:rPr>
        <w:t xml:space="preserve"> K</w:t>
      </w:r>
      <w:r w:rsidR="00771E73" w:rsidRPr="001D1F0A">
        <w:rPr>
          <w:rFonts w:ascii="Arial" w:hAnsi="Arial" w:cs="Arial"/>
          <w:sz w:val="20"/>
          <w:szCs w:val="20"/>
        </w:rPr>
        <w:t>.</w:t>
      </w:r>
      <w:r w:rsidRPr="001D1F0A">
        <w:rPr>
          <w:rFonts w:ascii="Arial" w:hAnsi="Arial" w:cs="Arial"/>
          <w:sz w:val="20"/>
          <w:szCs w:val="20"/>
        </w:rPr>
        <w:t>J</w:t>
      </w:r>
      <w:r w:rsidR="00771E73" w:rsidRPr="001D1F0A">
        <w:rPr>
          <w:rFonts w:ascii="Arial" w:hAnsi="Arial" w:cs="Arial"/>
          <w:sz w:val="20"/>
          <w:szCs w:val="20"/>
        </w:rPr>
        <w:t>.</w:t>
      </w:r>
      <w:r w:rsidRPr="001D1F0A">
        <w:rPr>
          <w:rFonts w:ascii="Arial" w:hAnsi="Arial" w:cs="Arial"/>
          <w:sz w:val="20"/>
          <w:szCs w:val="20"/>
        </w:rPr>
        <w:t>, Choi</w:t>
      </w:r>
      <w:r w:rsidR="00771E73" w:rsidRPr="001D1F0A">
        <w:rPr>
          <w:rFonts w:ascii="Arial" w:hAnsi="Arial" w:cs="Arial"/>
          <w:sz w:val="20"/>
          <w:szCs w:val="20"/>
        </w:rPr>
        <w:t>,</w:t>
      </w:r>
      <w:r w:rsidRPr="001D1F0A">
        <w:rPr>
          <w:rFonts w:ascii="Arial" w:hAnsi="Arial" w:cs="Arial"/>
          <w:sz w:val="20"/>
          <w:szCs w:val="20"/>
        </w:rPr>
        <w:t xml:space="preserve"> C</w:t>
      </w:r>
      <w:r w:rsidR="00771E73" w:rsidRPr="001D1F0A">
        <w:rPr>
          <w:rFonts w:ascii="Arial" w:hAnsi="Arial" w:cs="Arial"/>
          <w:sz w:val="20"/>
          <w:szCs w:val="20"/>
        </w:rPr>
        <w:t>.</w:t>
      </w:r>
      <w:r w:rsidRPr="001D1F0A">
        <w:rPr>
          <w:rFonts w:ascii="Arial" w:hAnsi="Arial" w:cs="Arial"/>
          <w:sz w:val="20"/>
          <w:szCs w:val="20"/>
        </w:rPr>
        <w:t>Y</w:t>
      </w:r>
      <w:r w:rsidR="00771E73" w:rsidRPr="001D1F0A">
        <w:rPr>
          <w:rFonts w:ascii="Arial" w:hAnsi="Arial" w:cs="Arial"/>
          <w:sz w:val="20"/>
          <w:szCs w:val="20"/>
        </w:rPr>
        <w:t>.</w:t>
      </w:r>
      <w:r w:rsidRPr="001D1F0A">
        <w:rPr>
          <w:rFonts w:ascii="Arial" w:hAnsi="Arial" w:cs="Arial"/>
          <w:sz w:val="20"/>
          <w:szCs w:val="20"/>
        </w:rPr>
        <w:t>, Chung</w:t>
      </w:r>
      <w:r w:rsidR="00771E73" w:rsidRPr="001D1F0A">
        <w:rPr>
          <w:rFonts w:ascii="Arial" w:hAnsi="Arial" w:cs="Arial"/>
          <w:sz w:val="20"/>
          <w:szCs w:val="20"/>
        </w:rPr>
        <w:t>,</w:t>
      </w:r>
      <w:r w:rsidRPr="001D1F0A">
        <w:rPr>
          <w:rFonts w:ascii="Arial" w:hAnsi="Arial" w:cs="Arial"/>
          <w:sz w:val="20"/>
          <w:szCs w:val="20"/>
        </w:rPr>
        <w:t xml:space="preserve"> Y</w:t>
      </w:r>
      <w:r w:rsidR="00771E73" w:rsidRPr="001D1F0A">
        <w:rPr>
          <w:rFonts w:ascii="Arial" w:hAnsi="Arial" w:cs="Arial"/>
          <w:sz w:val="20"/>
          <w:szCs w:val="20"/>
        </w:rPr>
        <w:t>.</w:t>
      </w:r>
      <w:r w:rsidRPr="001D1F0A">
        <w:rPr>
          <w:rFonts w:ascii="Arial" w:hAnsi="Arial" w:cs="Arial"/>
          <w:sz w:val="20"/>
          <w:szCs w:val="20"/>
        </w:rPr>
        <w:t>C</w:t>
      </w:r>
      <w:r w:rsidR="00771E73" w:rsidRPr="001D1F0A">
        <w:rPr>
          <w:rFonts w:ascii="Arial" w:hAnsi="Arial" w:cs="Arial"/>
          <w:sz w:val="20"/>
          <w:szCs w:val="20"/>
        </w:rPr>
        <w:t>.</w:t>
      </w:r>
      <w:r w:rsidRPr="001D1F0A">
        <w:rPr>
          <w:rFonts w:ascii="Arial" w:hAnsi="Arial" w:cs="Arial"/>
          <w:sz w:val="20"/>
          <w:szCs w:val="20"/>
        </w:rPr>
        <w:t>, Kim</w:t>
      </w:r>
      <w:r w:rsidR="00771E73" w:rsidRPr="001D1F0A">
        <w:rPr>
          <w:rFonts w:ascii="Arial" w:hAnsi="Arial" w:cs="Arial"/>
          <w:sz w:val="20"/>
          <w:szCs w:val="20"/>
        </w:rPr>
        <w:t>,</w:t>
      </w:r>
      <w:r w:rsidRPr="001D1F0A">
        <w:rPr>
          <w:rFonts w:ascii="Arial" w:hAnsi="Arial" w:cs="Arial"/>
          <w:sz w:val="20"/>
          <w:szCs w:val="20"/>
        </w:rPr>
        <w:t xml:space="preserve"> Y</w:t>
      </w:r>
      <w:r w:rsidR="00771E73" w:rsidRPr="001D1F0A">
        <w:rPr>
          <w:rFonts w:ascii="Arial" w:hAnsi="Arial" w:cs="Arial"/>
          <w:sz w:val="20"/>
          <w:szCs w:val="20"/>
        </w:rPr>
        <w:t>.</w:t>
      </w:r>
      <w:r w:rsidRPr="001D1F0A">
        <w:rPr>
          <w:rFonts w:ascii="Arial" w:hAnsi="Arial" w:cs="Arial"/>
          <w:sz w:val="20"/>
          <w:szCs w:val="20"/>
        </w:rPr>
        <w:t>S</w:t>
      </w:r>
      <w:r w:rsidR="00771E73" w:rsidRPr="001D1F0A">
        <w:rPr>
          <w:rFonts w:ascii="Arial" w:hAnsi="Arial" w:cs="Arial"/>
          <w:sz w:val="20"/>
          <w:szCs w:val="20"/>
        </w:rPr>
        <w:t>.</w:t>
      </w:r>
      <w:r w:rsidRPr="001D1F0A">
        <w:rPr>
          <w:rFonts w:ascii="Arial" w:hAnsi="Arial" w:cs="Arial"/>
          <w:sz w:val="20"/>
          <w:szCs w:val="20"/>
        </w:rPr>
        <w:t>, Ryu</w:t>
      </w:r>
      <w:r w:rsidR="00771E73" w:rsidRPr="001D1F0A">
        <w:rPr>
          <w:rFonts w:ascii="Arial" w:hAnsi="Arial" w:cs="Arial"/>
          <w:sz w:val="20"/>
          <w:szCs w:val="20"/>
        </w:rPr>
        <w:t>,</w:t>
      </w:r>
      <w:r w:rsidRPr="001D1F0A">
        <w:rPr>
          <w:rFonts w:ascii="Arial" w:hAnsi="Arial" w:cs="Arial"/>
          <w:sz w:val="20"/>
          <w:szCs w:val="20"/>
        </w:rPr>
        <w:t xml:space="preserve"> S</w:t>
      </w:r>
      <w:r w:rsidR="00771E73" w:rsidRPr="001D1F0A">
        <w:rPr>
          <w:rFonts w:ascii="Arial" w:hAnsi="Arial" w:cs="Arial"/>
          <w:sz w:val="20"/>
          <w:szCs w:val="20"/>
        </w:rPr>
        <w:t>.</w:t>
      </w:r>
      <w:r w:rsidRPr="001D1F0A">
        <w:rPr>
          <w:rFonts w:ascii="Arial" w:hAnsi="Arial" w:cs="Arial"/>
          <w:sz w:val="20"/>
          <w:szCs w:val="20"/>
        </w:rPr>
        <w:t>Y</w:t>
      </w:r>
      <w:r w:rsidR="00771E73" w:rsidRPr="001D1F0A">
        <w:rPr>
          <w:rFonts w:ascii="Arial" w:hAnsi="Arial" w:cs="Arial"/>
          <w:sz w:val="20"/>
          <w:szCs w:val="20"/>
        </w:rPr>
        <w:t>. (2004).</w:t>
      </w:r>
      <w:r w:rsidRPr="001D1F0A">
        <w:rPr>
          <w:rFonts w:ascii="Arial" w:hAnsi="Arial" w:cs="Arial"/>
          <w:sz w:val="20"/>
          <w:szCs w:val="20"/>
        </w:rPr>
        <w:t xml:space="preserve"> Protective effect of saponins derived from roots of </w:t>
      </w:r>
      <w:proofErr w:type="spellStart"/>
      <w:r w:rsidRPr="001D1F0A">
        <w:rPr>
          <w:rFonts w:ascii="Arial" w:hAnsi="Arial" w:cs="Arial"/>
          <w:sz w:val="20"/>
          <w:szCs w:val="20"/>
        </w:rPr>
        <w:t>Platycodongrandiflorum</w:t>
      </w:r>
      <w:proofErr w:type="spellEnd"/>
      <w:r w:rsidRPr="001D1F0A">
        <w:rPr>
          <w:rFonts w:ascii="Arial" w:hAnsi="Arial" w:cs="Arial"/>
          <w:sz w:val="20"/>
          <w:szCs w:val="20"/>
        </w:rPr>
        <w:t xml:space="preserve"> on </w:t>
      </w:r>
      <w:proofErr w:type="spellStart"/>
      <w:r w:rsidRPr="001D1F0A">
        <w:rPr>
          <w:rFonts w:ascii="Arial" w:hAnsi="Arial" w:cs="Arial"/>
          <w:sz w:val="20"/>
          <w:szCs w:val="20"/>
        </w:rPr>
        <w:t>tertbutylhydroperoxide</w:t>
      </w:r>
      <w:proofErr w:type="spellEnd"/>
      <w:r w:rsidRPr="001D1F0A">
        <w:rPr>
          <w:rFonts w:ascii="Arial" w:hAnsi="Arial" w:cs="Arial"/>
          <w:sz w:val="20"/>
          <w:szCs w:val="20"/>
        </w:rPr>
        <w:t>-induced oxidative hep</w:t>
      </w:r>
      <w:r w:rsidR="00771E73" w:rsidRPr="001D1F0A">
        <w:rPr>
          <w:rFonts w:ascii="Arial" w:hAnsi="Arial" w:cs="Arial"/>
          <w:sz w:val="20"/>
          <w:szCs w:val="20"/>
        </w:rPr>
        <w:t>atotoxicity. Toxicology letters; 147:271</w:t>
      </w:r>
      <w:r w:rsidRPr="001D1F0A">
        <w:rPr>
          <w:rFonts w:ascii="Arial" w:hAnsi="Arial" w:cs="Arial"/>
          <w:sz w:val="20"/>
          <w:szCs w:val="20"/>
        </w:rPr>
        <w:t>-82.</w:t>
      </w:r>
    </w:p>
    <w:p w14:paraId="2947F2C1" w14:textId="77777777" w:rsidR="00771E73" w:rsidRDefault="00AE2F4A" w:rsidP="00771E73">
      <w:pPr>
        <w:pStyle w:val="ListParagraph"/>
        <w:numPr>
          <w:ilvl w:val="0"/>
          <w:numId w:val="2"/>
        </w:numPr>
        <w:spacing w:line="480" w:lineRule="auto"/>
        <w:jc w:val="both"/>
        <w:rPr>
          <w:rFonts w:ascii="Arial" w:hAnsi="Arial" w:cs="Arial"/>
          <w:sz w:val="20"/>
          <w:szCs w:val="20"/>
        </w:rPr>
      </w:pPr>
      <w:r w:rsidRPr="00AE2F4A">
        <w:rPr>
          <w:rFonts w:ascii="Arial" w:hAnsi="Arial" w:cs="Arial"/>
          <w:sz w:val="20"/>
          <w:szCs w:val="20"/>
        </w:rPr>
        <w:t>Wirth</w:t>
      </w:r>
      <w:r w:rsidR="00771E73">
        <w:rPr>
          <w:rFonts w:ascii="Arial" w:hAnsi="Arial" w:cs="Arial"/>
          <w:sz w:val="20"/>
          <w:szCs w:val="20"/>
        </w:rPr>
        <w:t>,</w:t>
      </w:r>
      <w:r w:rsidRPr="00AE2F4A">
        <w:rPr>
          <w:rFonts w:ascii="Arial" w:hAnsi="Arial" w:cs="Arial"/>
          <w:sz w:val="20"/>
          <w:szCs w:val="20"/>
        </w:rPr>
        <w:t xml:space="preserve"> J</w:t>
      </w:r>
      <w:r w:rsidR="00771E73">
        <w:rPr>
          <w:rFonts w:ascii="Arial" w:hAnsi="Arial" w:cs="Arial"/>
          <w:sz w:val="20"/>
          <w:szCs w:val="20"/>
        </w:rPr>
        <w:t>.</w:t>
      </w:r>
      <w:r w:rsidRPr="00AE2F4A">
        <w:rPr>
          <w:rFonts w:ascii="Arial" w:hAnsi="Arial" w:cs="Arial"/>
          <w:sz w:val="20"/>
          <w:szCs w:val="20"/>
        </w:rPr>
        <w:t>J</w:t>
      </w:r>
      <w:r w:rsidR="00771E73">
        <w:rPr>
          <w:rFonts w:ascii="Arial" w:hAnsi="Arial" w:cs="Arial"/>
          <w:sz w:val="20"/>
          <w:szCs w:val="20"/>
        </w:rPr>
        <w:t>.</w:t>
      </w:r>
      <w:r w:rsidRPr="00AE2F4A">
        <w:rPr>
          <w:rFonts w:ascii="Arial" w:hAnsi="Arial" w:cs="Arial"/>
          <w:sz w:val="20"/>
          <w:szCs w:val="20"/>
        </w:rPr>
        <w:t>, Mijal</w:t>
      </w:r>
      <w:r w:rsidR="00771E73">
        <w:rPr>
          <w:rFonts w:ascii="Arial" w:hAnsi="Arial" w:cs="Arial"/>
          <w:sz w:val="20"/>
          <w:szCs w:val="20"/>
        </w:rPr>
        <w:t>,</w:t>
      </w:r>
      <w:r w:rsidRPr="00AE2F4A">
        <w:rPr>
          <w:rFonts w:ascii="Arial" w:hAnsi="Arial" w:cs="Arial"/>
          <w:sz w:val="20"/>
          <w:szCs w:val="20"/>
        </w:rPr>
        <w:t xml:space="preserve"> R</w:t>
      </w:r>
      <w:r w:rsidR="00771E73">
        <w:rPr>
          <w:rFonts w:ascii="Arial" w:hAnsi="Arial" w:cs="Arial"/>
          <w:sz w:val="20"/>
          <w:szCs w:val="20"/>
        </w:rPr>
        <w:t>.</w:t>
      </w:r>
      <w:r w:rsidRPr="00AE2F4A">
        <w:rPr>
          <w:rFonts w:ascii="Arial" w:hAnsi="Arial" w:cs="Arial"/>
          <w:sz w:val="20"/>
          <w:szCs w:val="20"/>
        </w:rPr>
        <w:t xml:space="preserve">S. </w:t>
      </w:r>
      <w:r w:rsidR="00771E73">
        <w:rPr>
          <w:rFonts w:ascii="Arial" w:hAnsi="Arial" w:cs="Arial"/>
          <w:sz w:val="20"/>
          <w:szCs w:val="20"/>
        </w:rPr>
        <w:t xml:space="preserve">(2010). </w:t>
      </w:r>
      <w:r w:rsidRPr="00AE2F4A">
        <w:rPr>
          <w:rFonts w:ascii="Arial" w:hAnsi="Arial" w:cs="Arial"/>
          <w:sz w:val="20"/>
          <w:szCs w:val="20"/>
        </w:rPr>
        <w:t>Adverse Effects of Low</w:t>
      </w:r>
      <w:r>
        <w:rPr>
          <w:rFonts w:ascii="Arial" w:hAnsi="Arial" w:cs="Arial"/>
          <w:sz w:val="20"/>
          <w:szCs w:val="20"/>
        </w:rPr>
        <w:t xml:space="preserve"> </w:t>
      </w:r>
      <w:r w:rsidRPr="00AE2F4A">
        <w:rPr>
          <w:rFonts w:ascii="Arial" w:hAnsi="Arial" w:cs="Arial"/>
          <w:sz w:val="20"/>
          <w:szCs w:val="20"/>
        </w:rPr>
        <w:t>Level Heavy Metal Exposure on Male</w:t>
      </w:r>
      <w:r>
        <w:rPr>
          <w:rFonts w:ascii="Arial" w:hAnsi="Arial" w:cs="Arial"/>
          <w:sz w:val="20"/>
          <w:szCs w:val="20"/>
        </w:rPr>
        <w:t xml:space="preserve"> </w:t>
      </w:r>
      <w:r w:rsidRPr="00AE2F4A">
        <w:rPr>
          <w:rFonts w:ascii="Arial" w:hAnsi="Arial" w:cs="Arial"/>
          <w:sz w:val="20"/>
          <w:szCs w:val="20"/>
        </w:rPr>
        <w:t>Re</w:t>
      </w:r>
      <w:r w:rsidR="00771E73">
        <w:rPr>
          <w:rFonts w:ascii="Arial" w:hAnsi="Arial" w:cs="Arial"/>
          <w:sz w:val="20"/>
          <w:szCs w:val="20"/>
        </w:rPr>
        <w:t>productive Function, Syst. Biology and</w:t>
      </w:r>
      <w:r>
        <w:rPr>
          <w:rFonts w:ascii="Arial" w:hAnsi="Arial" w:cs="Arial"/>
          <w:sz w:val="20"/>
          <w:szCs w:val="20"/>
        </w:rPr>
        <w:t xml:space="preserve"> </w:t>
      </w:r>
      <w:r w:rsidR="00771E73">
        <w:rPr>
          <w:rFonts w:ascii="Arial" w:hAnsi="Arial" w:cs="Arial"/>
          <w:sz w:val="20"/>
          <w:szCs w:val="20"/>
        </w:rPr>
        <w:t>Reproductive Medicine</w:t>
      </w:r>
      <w:r w:rsidRPr="00AE2F4A">
        <w:rPr>
          <w:rFonts w:ascii="Arial" w:hAnsi="Arial" w:cs="Arial"/>
          <w:sz w:val="20"/>
          <w:szCs w:val="20"/>
        </w:rPr>
        <w:t>; 56 (2):147–67.</w:t>
      </w:r>
    </w:p>
    <w:p w14:paraId="4838B20D" w14:textId="5700F7FE" w:rsidR="00AE2F4A" w:rsidRPr="00771E73" w:rsidRDefault="00AE2F4A" w:rsidP="00771E73">
      <w:pPr>
        <w:pStyle w:val="ListParagraph"/>
        <w:numPr>
          <w:ilvl w:val="0"/>
          <w:numId w:val="2"/>
        </w:numPr>
        <w:spacing w:line="480" w:lineRule="auto"/>
        <w:jc w:val="both"/>
        <w:rPr>
          <w:rFonts w:ascii="Arial" w:hAnsi="Arial" w:cs="Arial"/>
          <w:sz w:val="20"/>
          <w:szCs w:val="20"/>
        </w:rPr>
      </w:pPr>
      <w:r w:rsidRPr="00771E73">
        <w:rPr>
          <w:rFonts w:ascii="Arial" w:hAnsi="Arial" w:cs="Arial"/>
          <w:sz w:val="20"/>
          <w:szCs w:val="20"/>
        </w:rPr>
        <w:lastRenderedPageBreak/>
        <w:t>Montaserti</w:t>
      </w:r>
      <w:r w:rsidR="00771E73">
        <w:rPr>
          <w:rFonts w:ascii="Arial" w:hAnsi="Arial" w:cs="Arial"/>
          <w:sz w:val="20"/>
          <w:szCs w:val="20"/>
        </w:rPr>
        <w:t>,</w:t>
      </w:r>
      <w:r w:rsidRPr="00771E73">
        <w:rPr>
          <w:rFonts w:ascii="Arial" w:hAnsi="Arial" w:cs="Arial"/>
          <w:sz w:val="20"/>
          <w:szCs w:val="20"/>
        </w:rPr>
        <w:t xml:space="preserve"> A</w:t>
      </w:r>
      <w:r w:rsidR="00771E73">
        <w:rPr>
          <w:rFonts w:ascii="Arial" w:hAnsi="Arial" w:cs="Arial"/>
          <w:sz w:val="20"/>
          <w:szCs w:val="20"/>
        </w:rPr>
        <w:t>.</w:t>
      </w:r>
      <w:r w:rsidRPr="00771E73">
        <w:rPr>
          <w:rFonts w:ascii="Arial" w:hAnsi="Arial" w:cs="Arial"/>
          <w:sz w:val="20"/>
          <w:szCs w:val="20"/>
        </w:rPr>
        <w:t xml:space="preserve">, </w:t>
      </w:r>
      <w:proofErr w:type="spellStart"/>
      <w:r w:rsidRPr="00771E73">
        <w:rPr>
          <w:rFonts w:ascii="Arial" w:hAnsi="Arial" w:cs="Arial"/>
          <w:sz w:val="20"/>
          <w:szCs w:val="20"/>
        </w:rPr>
        <w:t>Pourheydar</w:t>
      </w:r>
      <w:proofErr w:type="spellEnd"/>
      <w:r w:rsidR="00771E73">
        <w:rPr>
          <w:rFonts w:ascii="Arial" w:hAnsi="Arial" w:cs="Arial"/>
          <w:sz w:val="20"/>
          <w:szCs w:val="20"/>
        </w:rPr>
        <w:t>,</w:t>
      </w:r>
      <w:r w:rsidRPr="00771E73">
        <w:rPr>
          <w:rFonts w:ascii="Arial" w:hAnsi="Arial" w:cs="Arial"/>
          <w:sz w:val="20"/>
          <w:szCs w:val="20"/>
        </w:rPr>
        <w:t xml:space="preserve"> M</w:t>
      </w:r>
      <w:r w:rsidR="00771E73">
        <w:rPr>
          <w:rFonts w:ascii="Arial" w:hAnsi="Arial" w:cs="Arial"/>
          <w:sz w:val="20"/>
          <w:szCs w:val="20"/>
        </w:rPr>
        <w:t>.</w:t>
      </w:r>
      <w:r w:rsidRPr="00771E73">
        <w:rPr>
          <w:rFonts w:ascii="Arial" w:hAnsi="Arial" w:cs="Arial"/>
          <w:sz w:val="20"/>
          <w:szCs w:val="20"/>
        </w:rPr>
        <w:t>, Khazaei</w:t>
      </w:r>
      <w:r w:rsidR="00771E73">
        <w:rPr>
          <w:rFonts w:ascii="Arial" w:hAnsi="Arial" w:cs="Arial"/>
          <w:sz w:val="20"/>
          <w:szCs w:val="20"/>
        </w:rPr>
        <w:t>,</w:t>
      </w:r>
      <w:r w:rsidRPr="00771E73">
        <w:rPr>
          <w:rFonts w:ascii="Arial" w:hAnsi="Arial" w:cs="Arial"/>
          <w:sz w:val="20"/>
          <w:szCs w:val="20"/>
        </w:rPr>
        <w:t xml:space="preserve"> M</w:t>
      </w:r>
      <w:r w:rsidR="00771E73">
        <w:rPr>
          <w:rFonts w:ascii="Arial" w:hAnsi="Arial" w:cs="Arial"/>
          <w:sz w:val="20"/>
          <w:szCs w:val="20"/>
        </w:rPr>
        <w:t>.</w:t>
      </w:r>
      <w:r w:rsidRPr="00771E73">
        <w:rPr>
          <w:rFonts w:ascii="Arial" w:hAnsi="Arial" w:cs="Arial"/>
          <w:sz w:val="20"/>
          <w:szCs w:val="20"/>
        </w:rPr>
        <w:t>,</w:t>
      </w:r>
      <w:r w:rsidR="00771E73">
        <w:rPr>
          <w:rFonts w:ascii="Arial" w:hAnsi="Arial" w:cs="Arial"/>
          <w:sz w:val="20"/>
          <w:szCs w:val="20"/>
        </w:rPr>
        <w:t xml:space="preserve"> </w:t>
      </w:r>
      <w:r w:rsidRPr="00771E73">
        <w:rPr>
          <w:rFonts w:ascii="Arial" w:hAnsi="Arial" w:cs="Arial"/>
          <w:sz w:val="20"/>
          <w:szCs w:val="20"/>
        </w:rPr>
        <w:t>Ghorbani</w:t>
      </w:r>
      <w:r w:rsidR="00771E73">
        <w:rPr>
          <w:rFonts w:ascii="Arial" w:hAnsi="Arial" w:cs="Arial"/>
          <w:sz w:val="20"/>
          <w:szCs w:val="20"/>
        </w:rPr>
        <w:t>,</w:t>
      </w:r>
      <w:r w:rsidRPr="00771E73">
        <w:rPr>
          <w:rFonts w:ascii="Arial" w:hAnsi="Arial" w:cs="Arial"/>
          <w:sz w:val="20"/>
          <w:szCs w:val="20"/>
        </w:rPr>
        <w:t xml:space="preserve"> R. </w:t>
      </w:r>
      <w:r w:rsidR="00771E73">
        <w:rPr>
          <w:rFonts w:ascii="Arial" w:hAnsi="Arial" w:cs="Arial"/>
          <w:sz w:val="20"/>
          <w:szCs w:val="20"/>
        </w:rPr>
        <w:t xml:space="preserve">(2007). </w:t>
      </w:r>
      <w:r w:rsidRPr="00771E73">
        <w:rPr>
          <w:rFonts w:ascii="Arial" w:hAnsi="Arial" w:cs="Arial"/>
          <w:sz w:val="20"/>
          <w:szCs w:val="20"/>
        </w:rPr>
        <w:t>Anti-Fertility Effects of</w:t>
      </w:r>
      <w:r w:rsidR="00771E73">
        <w:rPr>
          <w:rFonts w:ascii="Arial" w:hAnsi="Arial" w:cs="Arial"/>
          <w:sz w:val="20"/>
          <w:szCs w:val="20"/>
        </w:rPr>
        <w:t xml:space="preserve"> </w:t>
      </w:r>
      <w:r w:rsidRPr="007F7906">
        <w:rPr>
          <w:rFonts w:ascii="Arial" w:hAnsi="Arial" w:cs="Arial"/>
          <w:i/>
          <w:sz w:val="20"/>
          <w:szCs w:val="20"/>
        </w:rPr>
        <w:t>Physalis</w:t>
      </w:r>
      <w:r w:rsidR="00771E73" w:rsidRPr="007F7906">
        <w:rPr>
          <w:rFonts w:ascii="Arial" w:hAnsi="Arial" w:cs="Arial"/>
          <w:i/>
          <w:sz w:val="20"/>
          <w:szCs w:val="20"/>
        </w:rPr>
        <w:t xml:space="preserve"> </w:t>
      </w:r>
      <w:proofErr w:type="spellStart"/>
      <w:r w:rsidR="007F7906" w:rsidRPr="007F7906">
        <w:rPr>
          <w:rFonts w:ascii="Arial" w:hAnsi="Arial" w:cs="Arial"/>
          <w:i/>
          <w:sz w:val="20"/>
          <w:szCs w:val="20"/>
        </w:rPr>
        <w:t>alkekengi</w:t>
      </w:r>
      <w:proofErr w:type="spellEnd"/>
      <w:r w:rsidR="007F7906" w:rsidRPr="00771E73">
        <w:rPr>
          <w:rFonts w:ascii="Arial" w:hAnsi="Arial" w:cs="Arial"/>
          <w:sz w:val="20"/>
          <w:szCs w:val="20"/>
        </w:rPr>
        <w:t xml:space="preserve"> </w:t>
      </w:r>
      <w:r w:rsidRPr="00771E73">
        <w:rPr>
          <w:rFonts w:ascii="Arial" w:hAnsi="Arial" w:cs="Arial"/>
          <w:sz w:val="20"/>
          <w:szCs w:val="20"/>
        </w:rPr>
        <w:t>Alcoholic Extract in</w:t>
      </w:r>
      <w:r w:rsidR="00771E73">
        <w:rPr>
          <w:rFonts w:ascii="Arial" w:hAnsi="Arial" w:cs="Arial"/>
          <w:sz w:val="20"/>
          <w:szCs w:val="20"/>
        </w:rPr>
        <w:t xml:space="preserve"> </w:t>
      </w:r>
      <w:r w:rsidRPr="00771E73">
        <w:rPr>
          <w:rFonts w:ascii="Arial" w:hAnsi="Arial" w:cs="Arial"/>
          <w:sz w:val="20"/>
          <w:szCs w:val="20"/>
        </w:rPr>
        <w:t>Female Rat. Iranian Journal of</w:t>
      </w:r>
      <w:r w:rsidR="00771E73">
        <w:rPr>
          <w:rFonts w:ascii="Arial" w:hAnsi="Arial" w:cs="Arial"/>
          <w:sz w:val="20"/>
          <w:szCs w:val="20"/>
        </w:rPr>
        <w:t xml:space="preserve"> Reproductive Medicine</w:t>
      </w:r>
      <w:r w:rsidRPr="00771E73">
        <w:rPr>
          <w:rFonts w:ascii="Arial" w:hAnsi="Arial" w:cs="Arial"/>
          <w:sz w:val="20"/>
          <w:szCs w:val="20"/>
        </w:rPr>
        <w:t>;</w:t>
      </w:r>
      <w:r w:rsidR="00771E73">
        <w:rPr>
          <w:rFonts w:ascii="Arial" w:hAnsi="Arial" w:cs="Arial"/>
          <w:sz w:val="20"/>
          <w:szCs w:val="20"/>
        </w:rPr>
        <w:t xml:space="preserve"> </w:t>
      </w:r>
      <w:r w:rsidRPr="00771E73">
        <w:rPr>
          <w:rFonts w:ascii="Arial" w:hAnsi="Arial" w:cs="Arial"/>
          <w:sz w:val="20"/>
          <w:szCs w:val="20"/>
        </w:rPr>
        <w:t>5(1):</w:t>
      </w:r>
      <w:r w:rsidR="00771E73">
        <w:rPr>
          <w:rFonts w:ascii="Arial" w:hAnsi="Arial" w:cs="Arial"/>
          <w:sz w:val="20"/>
          <w:szCs w:val="20"/>
        </w:rPr>
        <w:t xml:space="preserve"> </w:t>
      </w:r>
      <w:r w:rsidRPr="00771E73">
        <w:rPr>
          <w:rFonts w:ascii="Arial" w:hAnsi="Arial" w:cs="Arial"/>
          <w:sz w:val="20"/>
          <w:szCs w:val="20"/>
        </w:rPr>
        <w:t>13-16.</w:t>
      </w:r>
    </w:p>
    <w:p w14:paraId="421371B1" w14:textId="77777777" w:rsidR="00AE2F4A" w:rsidRPr="007B47DA" w:rsidRDefault="00AE2F4A" w:rsidP="007B47DA">
      <w:pPr>
        <w:pStyle w:val="ListParagraph"/>
        <w:tabs>
          <w:tab w:val="left" w:pos="3374"/>
        </w:tabs>
        <w:spacing w:after="240" w:line="480" w:lineRule="auto"/>
        <w:jc w:val="both"/>
        <w:rPr>
          <w:rFonts w:ascii="Arial" w:hAnsi="Arial" w:cs="Arial"/>
          <w:sz w:val="20"/>
          <w:szCs w:val="20"/>
        </w:rPr>
      </w:pPr>
    </w:p>
    <w:p w14:paraId="7EFD6C63" w14:textId="77777777" w:rsidR="001C3C17" w:rsidRPr="00223025" w:rsidRDefault="001C3C17" w:rsidP="001C3C17">
      <w:pPr>
        <w:tabs>
          <w:tab w:val="left" w:pos="3374"/>
        </w:tabs>
        <w:spacing w:after="240" w:line="480" w:lineRule="auto"/>
        <w:ind w:left="360"/>
        <w:jc w:val="both"/>
        <w:rPr>
          <w:rFonts w:ascii="Arial" w:hAnsi="Arial" w:cs="Arial"/>
        </w:rPr>
      </w:pPr>
    </w:p>
    <w:p w14:paraId="5B34110B" w14:textId="77777777" w:rsidR="0015725A" w:rsidRPr="00223025" w:rsidRDefault="0015725A" w:rsidP="0015725A">
      <w:pPr>
        <w:spacing w:line="480" w:lineRule="auto"/>
        <w:jc w:val="both"/>
        <w:rPr>
          <w:rFonts w:ascii="Arial" w:hAnsi="Arial" w:cs="Arial"/>
        </w:rPr>
      </w:pPr>
    </w:p>
    <w:sectPr w:rsidR="0015725A" w:rsidRPr="002230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7D56D" w14:textId="77777777" w:rsidR="008B0B73" w:rsidRDefault="008B0B73" w:rsidP="00F74D76">
      <w:pPr>
        <w:spacing w:after="0" w:line="240" w:lineRule="auto"/>
      </w:pPr>
      <w:r>
        <w:separator/>
      </w:r>
    </w:p>
  </w:endnote>
  <w:endnote w:type="continuationSeparator" w:id="0">
    <w:p w14:paraId="4FCCC2FD" w14:textId="77777777" w:rsidR="008B0B73" w:rsidRDefault="008B0B73" w:rsidP="00F7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D117" w14:textId="77777777" w:rsidR="00F74D76" w:rsidRDefault="00F74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BA10" w14:textId="77777777" w:rsidR="00F74D76" w:rsidRDefault="00F74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64F4" w14:textId="77777777" w:rsidR="00F74D76" w:rsidRDefault="00F7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634F9" w14:textId="77777777" w:rsidR="008B0B73" w:rsidRDefault="008B0B73" w:rsidP="00F74D76">
      <w:pPr>
        <w:spacing w:after="0" w:line="240" w:lineRule="auto"/>
      </w:pPr>
      <w:r>
        <w:separator/>
      </w:r>
    </w:p>
  </w:footnote>
  <w:footnote w:type="continuationSeparator" w:id="0">
    <w:p w14:paraId="03F26C90" w14:textId="77777777" w:rsidR="008B0B73" w:rsidRDefault="008B0B73" w:rsidP="00F74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86FA" w14:textId="2C58C7D2" w:rsidR="00F74D76" w:rsidRDefault="008B0B73">
    <w:pPr>
      <w:pStyle w:val="Header"/>
    </w:pPr>
    <w:r>
      <w:rPr>
        <w:noProof/>
      </w:rPr>
      <w:pict w14:anchorId="16B4A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800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7137" w14:textId="6E63E29D" w:rsidR="00F74D76" w:rsidRDefault="008B0B73">
    <w:pPr>
      <w:pStyle w:val="Header"/>
    </w:pPr>
    <w:r>
      <w:rPr>
        <w:noProof/>
      </w:rPr>
      <w:pict w14:anchorId="7C6FF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800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F3F3" w14:textId="65B9F0A2" w:rsidR="00F74D76" w:rsidRDefault="008B0B73">
    <w:pPr>
      <w:pStyle w:val="Header"/>
    </w:pPr>
    <w:r>
      <w:rPr>
        <w:noProof/>
      </w:rPr>
      <w:pict w14:anchorId="5D8F8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800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BF0FDB"/>
    <w:multiLevelType w:val="hybridMultilevel"/>
    <w:tmpl w:val="7CCC2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26336E"/>
    <w:multiLevelType w:val="multilevel"/>
    <w:tmpl w:val="C6BE133C"/>
    <w:lvl w:ilvl="0">
      <w:start w:val="1"/>
      <w:numFmt w:val="decimal"/>
      <w:pStyle w:val="Heading1"/>
      <w:lvlText w:val="%1.0"/>
      <w:lvlJc w:val="left"/>
      <w:pPr>
        <w:ind w:left="720" w:hanging="720"/>
      </w:pPr>
      <w:rPr>
        <w:rFonts w:hint="default"/>
        <w:b/>
      </w:rPr>
    </w:lvl>
    <w:lvl w:ilvl="1">
      <w:start w:val="1"/>
      <w:numFmt w:val="decimal"/>
      <w:pStyle w:val="Heading2"/>
      <w:lvlText w:val="%1.%2"/>
      <w:lvlJc w:val="left"/>
      <w:pPr>
        <w:ind w:left="720" w:hanging="720"/>
      </w:pPr>
      <w:rPr>
        <w:rFonts w:hint="default"/>
        <w:i w: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995193E"/>
    <w:multiLevelType w:val="hybridMultilevel"/>
    <w:tmpl w:val="1B980C0A"/>
    <w:lvl w:ilvl="0" w:tplc="34E209C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5A"/>
    <w:rsid w:val="00080ABA"/>
    <w:rsid w:val="000D1821"/>
    <w:rsid w:val="000D21E1"/>
    <w:rsid w:val="000E4546"/>
    <w:rsid w:val="00140757"/>
    <w:rsid w:val="00142243"/>
    <w:rsid w:val="0015725A"/>
    <w:rsid w:val="001A4FB3"/>
    <w:rsid w:val="001C3C17"/>
    <w:rsid w:val="001D1F0A"/>
    <w:rsid w:val="001D33F2"/>
    <w:rsid w:val="001D50E1"/>
    <w:rsid w:val="00223025"/>
    <w:rsid w:val="002503A2"/>
    <w:rsid w:val="00303C9E"/>
    <w:rsid w:val="00312FF7"/>
    <w:rsid w:val="00334F40"/>
    <w:rsid w:val="003938F0"/>
    <w:rsid w:val="00443DDA"/>
    <w:rsid w:val="00444368"/>
    <w:rsid w:val="00496F91"/>
    <w:rsid w:val="004F4DB2"/>
    <w:rsid w:val="00570D6C"/>
    <w:rsid w:val="00574360"/>
    <w:rsid w:val="005E1973"/>
    <w:rsid w:val="005F37DD"/>
    <w:rsid w:val="006D71E5"/>
    <w:rsid w:val="006E5967"/>
    <w:rsid w:val="006F559B"/>
    <w:rsid w:val="00707CFF"/>
    <w:rsid w:val="00723EE4"/>
    <w:rsid w:val="00771E73"/>
    <w:rsid w:val="00773A64"/>
    <w:rsid w:val="007B47DA"/>
    <w:rsid w:val="007C5575"/>
    <w:rsid w:val="007F521A"/>
    <w:rsid w:val="007F7906"/>
    <w:rsid w:val="008137AE"/>
    <w:rsid w:val="00836787"/>
    <w:rsid w:val="00836A89"/>
    <w:rsid w:val="008B0B73"/>
    <w:rsid w:val="008C6157"/>
    <w:rsid w:val="009035F6"/>
    <w:rsid w:val="00904BAA"/>
    <w:rsid w:val="009121FA"/>
    <w:rsid w:val="00A3165B"/>
    <w:rsid w:val="00AA3C58"/>
    <w:rsid w:val="00AA7FF5"/>
    <w:rsid w:val="00AE2F4A"/>
    <w:rsid w:val="00B6528F"/>
    <w:rsid w:val="00B94550"/>
    <w:rsid w:val="00BA470D"/>
    <w:rsid w:val="00BD1D34"/>
    <w:rsid w:val="00C476E8"/>
    <w:rsid w:val="00C70084"/>
    <w:rsid w:val="00CF6EFE"/>
    <w:rsid w:val="00D264B9"/>
    <w:rsid w:val="00D96EA2"/>
    <w:rsid w:val="00DA2E3C"/>
    <w:rsid w:val="00DE6E27"/>
    <w:rsid w:val="00DF55A1"/>
    <w:rsid w:val="00E05493"/>
    <w:rsid w:val="00EA3116"/>
    <w:rsid w:val="00F32F43"/>
    <w:rsid w:val="00F741A6"/>
    <w:rsid w:val="00F74D76"/>
    <w:rsid w:val="00F9135E"/>
    <w:rsid w:val="00FC5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50D93"/>
  <w15:chartTrackingRefBased/>
  <w15:docId w15:val="{A4FFAEC4-650A-4854-B170-F94BBC81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25A"/>
  </w:style>
  <w:style w:type="paragraph" w:styleId="Heading1">
    <w:name w:val="heading 1"/>
    <w:basedOn w:val="Normal"/>
    <w:next w:val="Normal"/>
    <w:link w:val="Heading1Char"/>
    <w:uiPriority w:val="9"/>
    <w:qFormat/>
    <w:rsid w:val="001C3C17"/>
    <w:pPr>
      <w:numPr>
        <w:numId w:val="1"/>
      </w:numPr>
      <w:spacing w:after="0" w:line="480" w:lineRule="auto"/>
      <w:jc w:val="both"/>
      <w:outlineLvl w:val="0"/>
    </w:pPr>
    <w:rPr>
      <w:rFonts w:ascii="Times New Roman" w:eastAsia="Times New Roman" w:hAnsi="Times New Roman" w:cs="Times New Roman"/>
      <w:b/>
      <w:sz w:val="24"/>
      <w:szCs w:val="24"/>
      <w:lang w:val="en-US"/>
    </w:rPr>
  </w:style>
  <w:style w:type="paragraph" w:styleId="Heading2">
    <w:name w:val="heading 2"/>
    <w:basedOn w:val="Normal"/>
    <w:next w:val="Normal"/>
    <w:link w:val="Heading2Char"/>
    <w:uiPriority w:val="9"/>
    <w:unhideWhenUsed/>
    <w:qFormat/>
    <w:rsid w:val="001C3C17"/>
    <w:pPr>
      <w:numPr>
        <w:ilvl w:val="1"/>
        <w:numId w:val="1"/>
      </w:numPr>
      <w:spacing w:after="0" w:line="480" w:lineRule="auto"/>
      <w:jc w:val="both"/>
      <w:outlineLvl w:val="1"/>
    </w:pPr>
    <w:rPr>
      <w:rFonts w:ascii="Times New Roman" w:eastAsia="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1C3C17"/>
    <w:pPr>
      <w:numPr>
        <w:ilvl w:val="2"/>
        <w:numId w:val="1"/>
      </w:numPr>
      <w:spacing w:after="0" w:line="480" w:lineRule="auto"/>
      <w:jc w:val="both"/>
      <w:outlineLvl w:val="2"/>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C17"/>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rsid w:val="001C3C17"/>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uiPriority w:val="9"/>
    <w:rsid w:val="001C3C17"/>
    <w:rPr>
      <w:rFonts w:ascii="Times New Roman" w:eastAsia="Times New Roman" w:hAnsi="Times New Roman" w:cs="Times New Roman"/>
      <w:b/>
      <w:sz w:val="24"/>
      <w:szCs w:val="24"/>
      <w:lang w:val="en-US"/>
    </w:rPr>
  </w:style>
  <w:style w:type="paragraph" w:styleId="ListParagraph">
    <w:name w:val="List Paragraph"/>
    <w:basedOn w:val="Normal"/>
    <w:link w:val="ListParagraphChar"/>
    <w:uiPriority w:val="34"/>
    <w:qFormat/>
    <w:rsid w:val="001C3C17"/>
    <w:pPr>
      <w:ind w:left="720"/>
      <w:contextualSpacing/>
    </w:pPr>
    <w:rPr>
      <w:lang w:val="en-US"/>
    </w:rPr>
  </w:style>
  <w:style w:type="character" w:customStyle="1" w:styleId="ListParagraphChar">
    <w:name w:val="List Paragraph Char"/>
    <w:basedOn w:val="DefaultParagraphFont"/>
    <w:link w:val="ListParagraph"/>
    <w:uiPriority w:val="34"/>
    <w:locked/>
    <w:rsid w:val="001C3C17"/>
    <w:rPr>
      <w:lang w:val="en-US"/>
    </w:rPr>
  </w:style>
  <w:style w:type="paragraph" w:customStyle="1" w:styleId="ReferHead">
    <w:name w:val="Refer Head"/>
    <w:basedOn w:val="Normal"/>
    <w:rsid w:val="001C3C17"/>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F32F43"/>
    <w:pPr>
      <w:spacing w:after="240" w:line="240" w:lineRule="auto"/>
      <w:jc w:val="both"/>
    </w:pPr>
    <w:rPr>
      <w:rFonts w:ascii="Helvetica" w:eastAsia="Times New Roman" w:hAnsi="Helvetica" w:cs="Times New Roman"/>
      <w:sz w:val="20"/>
      <w:szCs w:val="20"/>
      <w:lang w:val="en-US"/>
    </w:rPr>
  </w:style>
  <w:style w:type="character" w:styleId="Hyperlink">
    <w:name w:val="Hyperlink"/>
    <w:basedOn w:val="DefaultParagraphFont"/>
    <w:uiPriority w:val="99"/>
    <w:unhideWhenUsed/>
    <w:rsid w:val="009035F6"/>
    <w:rPr>
      <w:color w:val="0563C1" w:themeColor="hyperlink"/>
      <w:u w:val="single"/>
    </w:rPr>
  </w:style>
  <w:style w:type="character" w:customStyle="1" w:styleId="UnresolvedMention1">
    <w:name w:val="Unresolved Mention1"/>
    <w:basedOn w:val="DefaultParagraphFont"/>
    <w:uiPriority w:val="99"/>
    <w:semiHidden/>
    <w:unhideWhenUsed/>
    <w:rsid w:val="009035F6"/>
    <w:rPr>
      <w:color w:val="605E5C"/>
      <w:shd w:val="clear" w:color="auto" w:fill="E1DFDD"/>
    </w:rPr>
  </w:style>
  <w:style w:type="paragraph" w:styleId="Header">
    <w:name w:val="header"/>
    <w:basedOn w:val="Normal"/>
    <w:link w:val="HeaderChar"/>
    <w:uiPriority w:val="99"/>
    <w:unhideWhenUsed/>
    <w:rsid w:val="00F74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76"/>
  </w:style>
  <w:style w:type="paragraph" w:styleId="Footer">
    <w:name w:val="footer"/>
    <w:basedOn w:val="Normal"/>
    <w:link w:val="FooterChar"/>
    <w:uiPriority w:val="99"/>
    <w:unhideWhenUsed/>
    <w:rsid w:val="00F74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20</Pages>
  <Words>3405</Words>
  <Characters>19412</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Mapunda, P.E. &amp; Mramba, R.P. (2025). Medicinal plant use and conservation in Tan</vt:lpstr>
      <vt:lpstr>Dubale, S., Usure, R. E., Mekasha, Y. T., Hasen, G., Hafiz, F., Kebebe, D. et al</vt:lpstr>
    </vt:vector>
  </TitlesOfParts>
  <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dc:creator>
  <cp:keywords/>
  <dc:description/>
  <cp:lastModifiedBy>SDI 1186</cp:lastModifiedBy>
  <cp:revision>18</cp:revision>
  <dcterms:created xsi:type="dcterms:W3CDTF">2026-01-14T11:10:00Z</dcterms:created>
  <dcterms:modified xsi:type="dcterms:W3CDTF">2026-02-05T06:46:00Z</dcterms:modified>
</cp:coreProperties>
</file>