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8965A" w14:textId="46025FE6" w:rsidR="00DC1F3D" w:rsidRPr="009904E0" w:rsidRDefault="009904E0">
      <w:pPr>
        <w:spacing w:before="120" w:after="120"/>
        <w:rPr>
          <w:b/>
        </w:rPr>
      </w:pPr>
      <w:r w:rsidRPr="009904E0">
        <w:rPr>
          <w:b/>
          <w:lang w:val="en-GB"/>
        </w:rPr>
        <w:t>COMPARATIVE EFFECTS OF SPROUTING AND FERMENTATION ON THE NUTRIENT AND ANTI-NUTRIENT COMPOSITION OF SOYBEANS (</w:t>
      </w:r>
      <w:r w:rsidRPr="009904E0">
        <w:rPr>
          <w:b/>
          <w:i/>
          <w:iCs/>
          <w:lang w:val="en-GB"/>
        </w:rPr>
        <w:t>GLYCINE MAX</w:t>
      </w:r>
      <w:r w:rsidRPr="009904E0">
        <w:rPr>
          <w:b/>
          <w:lang w:val="en-GB"/>
        </w:rPr>
        <w:t>)</w:t>
      </w:r>
    </w:p>
    <w:p w14:paraId="593CE970" w14:textId="77777777" w:rsidR="00DC1F3D" w:rsidRPr="00CB33C0" w:rsidRDefault="00A90421" w:rsidP="00CB33C0">
      <w:pPr>
        <w:pStyle w:val="Heading1"/>
        <w:keepNext w:val="0"/>
        <w:keepLines w:val="0"/>
        <w:spacing w:before="480" w:after="240"/>
        <w:jc w:val="both"/>
        <w:rPr>
          <w:sz w:val="24"/>
          <w:szCs w:val="24"/>
        </w:rPr>
      </w:pPr>
      <w:r w:rsidRPr="00CB33C0">
        <w:rPr>
          <w:color w:val="auto"/>
          <w:sz w:val="24"/>
          <w:szCs w:val="24"/>
        </w:rPr>
        <w:t>ABSTRACT</w:t>
      </w:r>
    </w:p>
    <w:p w14:paraId="10D45983" w14:textId="77777777" w:rsidR="00DC1F3D" w:rsidRPr="00CB33C0" w:rsidRDefault="00A90421" w:rsidP="00CB33C0">
      <w:pPr>
        <w:spacing w:before="120" w:after="120"/>
        <w:jc w:val="both"/>
      </w:pPr>
      <w:r w:rsidRPr="00CB33C0">
        <w:t>Sprouting and fermentation are traditional methods used to make legumes more nutritious by increasing nutrient availability and reducing antinutrients. In this study, we looked at how sprouting (for 24, 48, 72, and 96 hours) and spontaneous solid-state fermentation (for 24 to 72 hours) affected the basic composition, mineral and vitamin content, and antinutritional factors of soybeans (</w:t>
      </w:r>
      <w:r w:rsidRPr="00CB33C0">
        <w:rPr>
          <w:i/>
          <w:iCs/>
        </w:rPr>
        <w:t>Glycine max</w:t>
      </w:r>
      <w:r w:rsidRPr="00CB33C0">
        <w:t xml:space="preserve">) from </w:t>
      </w:r>
      <w:proofErr w:type="spellStart"/>
      <w:r w:rsidRPr="00CB33C0">
        <w:t>Bida</w:t>
      </w:r>
      <w:proofErr w:type="spellEnd"/>
      <w:r w:rsidRPr="00CB33C0">
        <w:t xml:space="preserve"> New Market. Unsprouted and unfermented soybeans served as controls. Sprouting gradually raised moisture (5.47–5.73%), fat (3.13–4.22%), and protein (37.41–39.09%), while carbohydrate (61.31–53.93%) and fiber (5.15–5.34%) decreased compared to the control. Antinutrients also dropped as sprouting time increased: tannins (151.91 to 137.19 mg), phytates (21.76 to 17.12 mg), and oxalates (6.37 to 3.90 mg). Fermentation increased protein (35.13±0.01%) and ash (3.43±0.04%) but lowered carbohydrate (33.64±0.09%), fat (15.36±0.2%), fiber (9.46±0.04%), and moisture (2.98±0.01%). Minerals like calcium (18.56±0.00 mg), potassium (28.01±0.01 mg), sodium (9.02±0.01 mg), iron (8.98±0.01 mg), zinc (16.30±0.01 mg), and magnesium (23.62±0.01 mg) all increased. Vitamins such as thiamine (1.88±0.22 mg), riboflavin (1.75±0.07 mg), and niacin (2.72±0.01 mg) were also higher. These results show that both sprouting and fermentation can improve the nutritional value of soybeans and reduce antinutrients. Fermentation in particular boosts mineral and vitamin content, making soybeans a better plant-based protein. These findings suggest that these traditional methods are sustainable and affordable ways to improve legume nutrition and support food security, especially where soybeans are a main protein source.</w:t>
      </w:r>
    </w:p>
    <w:p w14:paraId="3D7AB8AD" w14:textId="77777777" w:rsidR="00DC1F3D" w:rsidRPr="00CB33C0" w:rsidRDefault="00A90421" w:rsidP="00CB33C0">
      <w:pPr>
        <w:spacing w:before="120" w:after="120"/>
        <w:jc w:val="both"/>
      </w:pPr>
      <w:r w:rsidRPr="00CB33C0">
        <w:rPr>
          <w:b/>
          <w:bCs/>
        </w:rPr>
        <w:t>Keywords:</w:t>
      </w:r>
    </w:p>
    <w:p w14:paraId="280BA6A2" w14:textId="77777777" w:rsidR="00DC1F3D" w:rsidRPr="00CB33C0" w:rsidRDefault="00A90421" w:rsidP="00CB33C0">
      <w:pPr>
        <w:spacing w:before="120" w:after="120"/>
        <w:jc w:val="both"/>
      </w:pPr>
      <w:r w:rsidRPr="00CB33C0">
        <w:t>Nutrient bioavailability; Proximate analysis; Antinutrient reduction; Mineral enhancement; Vitamin enrichment; Plant-based protein</w:t>
      </w:r>
    </w:p>
    <w:p w14:paraId="620449E6" w14:textId="77777777" w:rsidR="00DC1F3D" w:rsidRPr="00CB33C0" w:rsidRDefault="00DC1F3D" w:rsidP="00CB33C0">
      <w:pPr>
        <w:spacing w:before="120" w:after="120"/>
        <w:jc w:val="both"/>
      </w:pPr>
    </w:p>
    <w:p w14:paraId="5993ED78" w14:textId="77777777" w:rsidR="00DC1F3D" w:rsidRPr="00CB33C0" w:rsidRDefault="00A90421" w:rsidP="00CB33C0">
      <w:pPr>
        <w:spacing w:before="120" w:after="120"/>
        <w:jc w:val="both"/>
      </w:pPr>
      <w:r w:rsidRPr="00CB33C0">
        <w:rPr>
          <w:b/>
          <w:bCs/>
        </w:rPr>
        <w:t>INTRODUCTION</w:t>
      </w:r>
    </w:p>
    <w:p w14:paraId="1B0A0A89" w14:textId="12434881" w:rsidR="00DC1F3D" w:rsidRPr="00CB33C0" w:rsidRDefault="00A90421" w:rsidP="00CB33C0">
      <w:pPr>
        <w:spacing w:before="120" w:after="120"/>
        <w:jc w:val="both"/>
      </w:pPr>
      <w:r w:rsidRPr="00CB33C0">
        <w:t>Soybean (</w:t>
      </w:r>
      <w:r w:rsidR="00CB33C0" w:rsidRPr="00CB33C0">
        <w:rPr>
          <w:i/>
          <w:iCs/>
        </w:rPr>
        <w:t>Glycine max L.</w:t>
      </w:r>
      <w:r w:rsidRPr="00CB33C0">
        <w:t>) is a key legume crop worldwide, valued for its high protein, good oil yield, and contribution to dietary micronutrients. On a dry weight basis, soybeans usually have about 38–42% protein and 18–22% lipids, making them a major source of plant protein for people and animals, especially in developing regions where animal protein is scarce (</w:t>
      </w:r>
      <w:proofErr w:type="spellStart"/>
      <w:r w:rsidRPr="00CB33C0">
        <w:t>Adeyeye</w:t>
      </w:r>
      <w:proofErr w:type="spellEnd"/>
      <w:r w:rsidRPr="00CB33C0">
        <w:t xml:space="preserve"> </w:t>
      </w:r>
      <w:r w:rsidR="00CB33C0" w:rsidRPr="00CB33C0">
        <w:rPr>
          <w:i/>
          <w:iCs/>
        </w:rPr>
        <w:t>et al</w:t>
      </w:r>
      <w:r w:rsidRPr="00CB33C0">
        <w:t xml:space="preserve">., 2020; Kumar </w:t>
      </w:r>
      <w:r w:rsidR="00CB33C0" w:rsidRPr="00CB33C0">
        <w:rPr>
          <w:i/>
          <w:iCs/>
        </w:rPr>
        <w:t>et al</w:t>
      </w:r>
      <w:r w:rsidRPr="00CB33C0">
        <w:t xml:space="preserve">., 2020; Li </w:t>
      </w:r>
      <w:r w:rsidR="00CB33C0" w:rsidRPr="00CB33C0">
        <w:rPr>
          <w:i/>
          <w:iCs/>
        </w:rPr>
        <w:t>et al</w:t>
      </w:r>
      <w:r w:rsidRPr="00CB33C0">
        <w:t xml:space="preserve">., 2022). However, using soybean nutrients effectively is often limited by anti-nutritional factors like phytic acid, trypsin inhibitors, tannins, and saponins. These compounds interfere with protein digestion and mineral absorption, which lowers the overall nutritional quality of soybean foods (Kumar </w:t>
      </w:r>
      <w:r w:rsidR="00CB33C0" w:rsidRPr="00CB33C0">
        <w:rPr>
          <w:i/>
          <w:iCs/>
        </w:rPr>
        <w:t>et al</w:t>
      </w:r>
      <w:r w:rsidRPr="00CB33C0">
        <w:t xml:space="preserve">., 2020; Gupta </w:t>
      </w:r>
      <w:r w:rsidR="00CB33C0" w:rsidRPr="00CB33C0">
        <w:rPr>
          <w:i/>
          <w:iCs/>
        </w:rPr>
        <w:t>et al</w:t>
      </w:r>
      <w:r w:rsidRPr="00CB33C0">
        <w:t>., 2021).</w:t>
      </w:r>
    </w:p>
    <w:p w14:paraId="6B42D97F" w14:textId="39FD2A56" w:rsidR="00DC1F3D" w:rsidRPr="00CB33C0" w:rsidRDefault="00A90421" w:rsidP="00CB33C0">
      <w:pPr>
        <w:spacing w:before="120" w:after="120"/>
        <w:jc w:val="both"/>
      </w:pPr>
      <w:r w:rsidRPr="00CB33C0">
        <w:t>Traditional processing methods like sprouting (germination) and fermentation have been used to overcome these problems and improve nutrient bioavailability</w:t>
      </w:r>
      <w:r w:rsidR="00135214">
        <w:t xml:space="preserve"> (</w:t>
      </w:r>
      <w:proofErr w:type="spellStart"/>
      <w:r w:rsidR="00135214" w:rsidRPr="00135214">
        <w:t>Chidalu</w:t>
      </w:r>
      <w:proofErr w:type="spellEnd"/>
      <w:r w:rsidR="00135214" w:rsidRPr="00135214">
        <w:t xml:space="preserve"> et al., 2025; Susan et al., 2025</w:t>
      </w:r>
      <w:r w:rsidR="00135214">
        <w:t>)</w:t>
      </w:r>
      <w:r w:rsidRPr="00CB33C0">
        <w:t xml:space="preserve">. During sprouting, natural enzymes such as phytases and proteases break down some phytic acid and protein inhibitors, thereby making minerals more available and proteins easier to digest (Hassan </w:t>
      </w:r>
      <w:r w:rsidR="00CB33C0" w:rsidRPr="00CB33C0">
        <w:rPr>
          <w:i/>
          <w:iCs/>
        </w:rPr>
        <w:t>et al</w:t>
      </w:r>
      <w:r w:rsidRPr="00CB33C0">
        <w:t xml:space="preserve">., 2021; Gupta </w:t>
      </w:r>
      <w:r w:rsidR="00CB33C0" w:rsidRPr="00CB33C0">
        <w:rPr>
          <w:i/>
          <w:iCs/>
        </w:rPr>
        <w:t>et al</w:t>
      </w:r>
      <w:r w:rsidRPr="00CB33C0">
        <w:t>., 2021). Germination also increases soluble proteins, free amino acids, and some bioactive compounds, such as phenolics, which may boost antioxidant capacity (</w:t>
      </w:r>
      <w:proofErr w:type="spellStart"/>
      <w:r w:rsidRPr="00CB33C0">
        <w:t>Zinia</w:t>
      </w:r>
      <w:proofErr w:type="spellEnd"/>
      <w:r w:rsidRPr="00CB33C0">
        <w:t xml:space="preserve"> </w:t>
      </w:r>
      <w:r w:rsidR="00CB33C0" w:rsidRPr="00CB33C0">
        <w:rPr>
          <w:i/>
          <w:iCs/>
        </w:rPr>
        <w:t>et al</w:t>
      </w:r>
      <w:r w:rsidRPr="00CB33C0">
        <w:t xml:space="preserve">., 2022; Hassan </w:t>
      </w:r>
      <w:r w:rsidR="00CB33C0" w:rsidRPr="00CB33C0">
        <w:rPr>
          <w:i/>
          <w:iCs/>
        </w:rPr>
        <w:t>et al</w:t>
      </w:r>
      <w:r w:rsidRPr="00CB33C0">
        <w:t xml:space="preserve">., 2021). These changes happen as the seed uses its stored nutrients to support early growth. </w:t>
      </w:r>
    </w:p>
    <w:p w14:paraId="7E9ED205" w14:textId="52F51C63" w:rsidR="00DC1F3D" w:rsidRPr="00CB33C0" w:rsidRDefault="00A90421" w:rsidP="00CB33C0">
      <w:pPr>
        <w:spacing w:before="120" w:after="120"/>
        <w:jc w:val="both"/>
      </w:pPr>
      <w:r w:rsidRPr="00CB33C0">
        <w:lastRenderedPageBreak/>
        <w:t>Fermentation is an additional, and often more extensive, strategy for improving the nutritional quality of soybeans. Microbial fermentation is another, often more thorough, way to improve the nutritional quality of soybeans</w:t>
      </w:r>
      <w:r w:rsidR="00135214">
        <w:t xml:space="preserve"> </w:t>
      </w:r>
      <w:r w:rsidR="00135214" w:rsidRPr="00135214">
        <w:t xml:space="preserve">(Tamang et al., 2016; </w:t>
      </w:r>
      <w:proofErr w:type="spellStart"/>
      <w:r w:rsidR="00135214" w:rsidRPr="00135214">
        <w:t>Zinia</w:t>
      </w:r>
      <w:proofErr w:type="spellEnd"/>
      <w:r w:rsidR="00135214" w:rsidRPr="00135214">
        <w:t xml:space="preserve"> et al., 2022; </w:t>
      </w:r>
      <w:proofErr w:type="spellStart"/>
      <w:r w:rsidR="00135214" w:rsidRPr="00135214">
        <w:t>Naz</w:t>
      </w:r>
      <w:proofErr w:type="spellEnd"/>
      <w:r w:rsidR="00135214" w:rsidRPr="00135214">
        <w:t xml:space="preserve"> et al., 2025; Di et al., 2025</w:t>
      </w:r>
      <w:r w:rsidR="00135214">
        <w:t>)</w:t>
      </w:r>
      <w:r w:rsidRPr="00CB33C0">
        <w:t xml:space="preserve">. During fermentation, microbes produce enzymes such as phytases, proteases, and </w:t>
      </w:r>
      <w:proofErr w:type="spellStart"/>
      <w:r w:rsidRPr="00CB33C0">
        <w:t>carbohydrases</w:t>
      </w:r>
      <w:proofErr w:type="spellEnd"/>
      <w:r w:rsidRPr="00CB33C0">
        <w:t xml:space="preserve">, which further break down anti-nutritional factors and alter macronutrients and micronutrients (Li </w:t>
      </w:r>
      <w:r w:rsidR="00CB33C0" w:rsidRPr="00CB33C0">
        <w:rPr>
          <w:i/>
          <w:iCs/>
        </w:rPr>
        <w:t>et al</w:t>
      </w:r>
      <w:r w:rsidRPr="00CB33C0">
        <w:t xml:space="preserve">., 2022; Kumar </w:t>
      </w:r>
      <w:r w:rsidR="00CB33C0" w:rsidRPr="00CB33C0">
        <w:rPr>
          <w:i/>
          <w:iCs/>
        </w:rPr>
        <w:t>et al</w:t>
      </w:r>
      <w:r w:rsidRPr="00CB33C0">
        <w:t>., 2020). Many studies show that fermentation can significantly reduce phytate, tannins, and trypsin inhibitor activity, thereby improving protein digestibility and mineral bioavailability (</w:t>
      </w:r>
      <w:proofErr w:type="spellStart"/>
      <w:r w:rsidRPr="00CB33C0">
        <w:t>Nkhata</w:t>
      </w:r>
      <w:proofErr w:type="spellEnd"/>
      <w:r w:rsidRPr="00CB33C0">
        <w:t xml:space="preserve"> </w:t>
      </w:r>
      <w:r w:rsidR="00CB33C0" w:rsidRPr="00CB33C0">
        <w:rPr>
          <w:i/>
          <w:iCs/>
        </w:rPr>
        <w:t>et al</w:t>
      </w:r>
      <w:r w:rsidRPr="00CB33C0">
        <w:t xml:space="preserve">., 2018; </w:t>
      </w:r>
      <w:proofErr w:type="spellStart"/>
      <w:r w:rsidRPr="00CB33C0">
        <w:t>Adeyeye</w:t>
      </w:r>
      <w:proofErr w:type="spellEnd"/>
      <w:r w:rsidRPr="00CB33C0">
        <w:t xml:space="preserve"> </w:t>
      </w:r>
      <w:r w:rsidR="00CB33C0" w:rsidRPr="00CB33C0">
        <w:rPr>
          <w:i/>
          <w:iCs/>
        </w:rPr>
        <w:t>et al</w:t>
      </w:r>
      <w:r w:rsidRPr="00CB33C0">
        <w:t xml:space="preserve">., 2020; Gupta </w:t>
      </w:r>
      <w:r w:rsidR="00CB33C0" w:rsidRPr="00CB33C0">
        <w:rPr>
          <w:i/>
          <w:iCs/>
        </w:rPr>
        <w:t>et al</w:t>
      </w:r>
      <w:r w:rsidRPr="00CB33C0">
        <w:t>., 2021</w:t>
      </w:r>
      <w:r w:rsidR="00135214">
        <w:t xml:space="preserve">; </w:t>
      </w:r>
      <w:r w:rsidR="00135214" w:rsidRPr="00135214">
        <w:t xml:space="preserve">Tamang et al., 2016; </w:t>
      </w:r>
      <w:proofErr w:type="spellStart"/>
      <w:r w:rsidR="00135214" w:rsidRPr="00135214">
        <w:t>Zinia</w:t>
      </w:r>
      <w:proofErr w:type="spellEnd"/>
      <w:r w:rsidR="00135214" w:rsidRPr="00135214">
        <w:t xml:space="preserve"> et al., 2022</w:t>
      </w:r>
      <w:r w:rsidRPr="00CB33C0">
        <w:t xml:space="preserve">). In traditional food systems, spontaneous fermentation, which relies on natural microflora, is especially important because it often creates a wider range of metabolites than controlled, single-strain fermentations (Tamang </w:t>
      </w:r>
      <w:r w:rsidR="00CB33C0" w:rsidRPr="00CB33C0">
        <w:rPr>
          <w:i/>
          <w:iCs/>
        </w:rPr>
        <w:t>et al</w:t>
      </w:r>
      <w:r w:rsidRPr="00CB33C0">
        <w:t xml:space="preserve">., 2016; </w:t>
      </w:r>
      <w:proofErr w:type="spellStart"/>
      <w:r w:rsidRPr="00CB33C0">
        <w:t>Nkhata</w:t>
      </w:r>
      <w:proofErr w:type="spellEnd"/>
      <w:r w:rsidRPr="00CB33C0">
        <w:t xml:space="preserve"> </w:t>
      </w:r>
      <w:r w:rsidR="00CB33C0" w:rsidRPr="00CB33C0">
        <w:rPr>
          <w:i/>
          <w:iCs/>
        </w:rPr>
        <w:t>et al</w:t>
      </w:r>
      <w:r w:rsidRPr="00CB33C0">
        <w:t>., 2018).</w:t>
      </w:r>
      <w:r w:rsidR="00CB33C0">
        <w:t xml:space="preserve"> </w:t>
      </w:r>
      <w:r w:rsidRPr="00CB33C0">
        <w:t xml:space="preserve">especially B-complex vitamins synthesized by fermentative microorganisms, notably Bacillus species. Increases in vitamins such as riboflavin, niacin, and biotin have been reported in several fermented soybean products, contributing to their nutritional and functional value (Park </w:t>
      </w:r>
      <w:r w:rsidR="00CB33C0" w:rsidRPr="00CB33C0">
        <w:rPr>
          <w:i/>
          <w:iCs/>
        </w:rPr>
        <w:t>et al</w:t>
      </w:r>
      <w:r w:rsidRPr="00CB33C0">
        <w:t xml:space="preserve">., 2023; Li </w:t>
      </w:r>
      <w:r w:rsidR="00CB33C0" w:rsidRPr="00CB33C0">
        <w:rPr>
          <w:i/>
          <w:iCs/>
        </w:rPr>
        <w:t>et al</w:t>
      </w:r>
      <w:r w:rsidRPr="00CB33C0">
        <w:t xml:space="preserve">., 2022; </w:t>
      </w:r>
      <w:proofErr w:type="spellStart"/>
      <w:r w:rsidRPr="00CB33C0">
        <w:t>Adeyeye</w:t>
      </w:r>
      <w:proofErr w:type="spellEnd"/>
      <w:r w:rsidRPr="00CB33C0">
        <w:t xml:space="preserve"> </w:t>
      </w:r>
      <w:r w:rsidR="00CB33C0" w:rsidRPr="00CB33C0">
        <w:rPr>
          <w:i/>
          <w:iCs/>
        </w:rPr>
        <w:t>et al</w:t>
      </w:r>
      <w:r w:rsidRPr="00CB33C0">
        <w:t>., 2020). From a food security perspective, fermented soybeans are an affordable, nutrient-dense food that can help improve protein quality, mineral utilization, and micronutrient intake among low-income populations.</w:t>
      </w:r>
    </w:p>
    <w:p w14:paraId="2DEC17CF" w14:textId="31B3F402" w:rsidR="00DC1F3D" w:rsidRPr="00CB33C0" w:rsidRDefault="00A90421" w:rsidP="00CB33C0">
      <w:pPr>
        <w:spacing w:before="120" w:after="120"/>
        <w:jc w:val="both"/>
      </w:pPr>
      <w:r w:rsidRPr="00CB33C0">
        <w:t>Despite the long history of soybean fermentation, relatively few studies have systematically examined the time-dependent biochemic</w:t>
      </w:r>
      <w:r w:rsidR="00CB33C0">
        <w:t xml:space="preserve">. </w:t>
      </w:r>
      <w:r w:rsidRPr="00CB33C0">
        <w:t>Although soybean fermentation has a long history, few studies have closely examined how nutrients and antinutrients change over time during spontaneous fermentation under controlled conditions</w:t>
      </w:r>
      <w:r w:rsidR="00135214">
        <w:t xml:space="preserve"> (</w:t>
      </w:r>
      <w:proofErr w:type="spellStart"/>
      <w:r w:rsidR="00135214" w:rsidRPr="00135214">
        <w:t>Naz</w:t>
      </w:r>
      <w:proofErr w:type="spellEnd"/>
      <w:r w:rsidR="00135214" w:rsidRPr="00135214">
        <w:t xml:space="preserve"> et al., 2025; Di et al., 2025</w:t>
      </w:r>
      <w:r w:rsidR="00135214">
        <w:t>)</w:t>
      </w:r>
      <w:r w:rsidRPr="00CB33C0">
        <w:t>. There is still limited information on how macronutrients, minerals, vitamins, and antinutritional factors shift at different fermentation stages. This study was designed to examine how sprouting and spontaneous fermentation affect the nutritional composition of soybean seeds. We tracked changes in basic composition, mineral content, vitamin levels, and antinutritional factors during set sprouting times and after 24, 48, and 72 hours of fermentation. The goal is to provide clearer scientific insight into the nutritional effects of these traditional methods and to help optimize their use to improve diet quality and food security.gn materials. The cleaned seeds were washed several times with distilled water to remove surface dust and impurities before further processing.</w:t>
      </w:r>
    </w:p>
    <w:p w14:paraId="6C5E7B13" w14:textId="77777777" w:rsidR="00CB33C0" w:rsidRPr="00CB33C0" w:rsidRDefault="00CB33C0" w:rsidP="00CB33C0">
      <w:pPr>
        <w:pStyle w:val="Heading2"/>
        <w:spacing w:before="0" w:after="120"/>
        <w:jc w:val="both"/>
        <w:rPr>
          <w:b w:val="0"/>
          <w:bCs w:val="0"/>
          <w:color w:val="auto"/>
          <w:sz w:val="24"/>
          <w:szCs w:val="24"/>
        </w:rPr>
      </w:pPr>
      <w:r w:rsidRPr="00CB33C0">
        <w:rPr>
          <w:rStyle w:val="Strong"/>
          <w:b/>
          <w:bCs/>
          <w:color w:val="auto"/>
          <w:sz w:val="24"/>
          <w:szCs w:val="24"/>
        </w:rPr>
        <w:t>MATERIALS AND METHODS</w:t>
      </w:r>
    </w:p>
    <w:p w14:paraId="7FA489F9" w14:textId="77777777" w:rsidR="00CB33C0" w:rsidRPr="00CB33C0" w:rsidRDefault="00CB33C0" w:rsidP="00CB33C0">
      <w:pPr>
        <w:pStyle w:val="Heading3"/>
        <w:spacing w:before="0" w:after="120"/>
        <w:jc w:val="both"/>
        <w:rPr>
          <w:b w:val="0"/>
          <w:bCs w:val="0"/>
          <w:sz w:val="24"/>
          <w:szCs w:val="24"/>
        </w:rPr>
      </w:pPr>
      <w:r w:rsidRPr="00CB33C0">
        <w:rPr>
          <w:rStyle w:val="Strong"/>
          <w:b/>
          <w:bCs/>
          <w:sz w:val="24"/>
          <w:szCs w:val="24"/>
        </w:rPr>
        <w:t>Materials</w:t>
      </w:r>
    </w:p>
    <w:p w14:paraId="664E223F" w14:textId="77777777" w:rsidR="00CB33C0" w:rsidRPr="00196413" w:rsidRDefault="00CB33C0" w:rsidP="00CB33C0">
      <w:pPr>
        <w:pStyle w:val="NormalWeb"/>
        <w:spacing w:before="0" w:beforeAutospacing="0" w:after="120" w:afterAutospacing="0"/>
        <w:jc w:val="both"/>
      </w:pPr>
      <w:r w:rsidRPr="00196413">
        <w:t>Dry soybean (</w:t>
      </w:r>
      <w:r w:rsidRPr="00196413">
        <w:rPr>
          <w:rStyle w:val="Emphasis"/>
          <w:rFonts w:eastAsiaTheme="majorEastAsia"/>
        </w:rPr>
        <w:t>Glycine max</w:t>
      </w:r>
      <w:r w:rsidRPr="00196413">
        <w:t>) seeds were obtained from a local market and transported to the laboratory in clean polyethylene bags. All reagents and chemicals used for analysis were of analytical grade and were obtained from standard laboratory suppliers. Distilled water was used throughout the study. Glassware and equipment were thoroughly cleaned and sterilized where necessary prior to use.</w:t>
      </w:r>
    </w:p>
    <w:p w14:paraId="5E84B06A" w14:textId="77777777" w:rsidR="00CB33C0" w:rsidRPr="00CB33C0" w:rsidRDefault="00CB33C0" w:rsidP="00CB33C0">
      <w:pPr>
        <w:pStyle w:val="Heading3"/>
        <w:spacing w:before="0" w:after="120"/>
        <w:jc w:val="both"/>
        <w:rPr>
          <w:b w:val="0"/>
          <w:bCs w:val="0"/>
          <w:sz w:val="24"/>
          <w:szCs w:val="24"/>
        </w:rPr>
      </w:pPr>
      <w:r w:rsidRPr="00CB33C0">
        <w:rPr>
          <w:rStyle w:val="Strong"/>
          <w:b/>
          <w:bCs/>
          <w:sz w:val="24"/>
          <w:szCs w:val="24"/>
        </w:rPr>
        <w:t>Sample Preparation</w:t>
      </w:r>
    </w:p>
    <w:p w14:paraId="2370B112" w14:textId="77777777" w:rsidR="00CB33C0" w:rsidRPr="00CB33C0" w:rsidRDefault="00CB33C0" w:rsidP="00CB33C0">
      <w:pPr>
        <w:pStyle w:val="Heading4"/>
        <w:spacing w:before="0" w:after="120"/>
        <w:jc w:val="both"/>
        <w:rPr>
          <w:b w:val="0"/>
          <w:bCs w:val="0"/>
          <w:i/>
          <w:color w:val="auto"/>
        </w:rPr>
      </w:pPr>
      <w:r w:rsidRPr="00CB33C0">
        <w:rPr>
          <w:rStyle w:val="Strong"/>
          <w:b/>
          <w:bCs/>
          <w:color w:val="auto"/>
        </w:rPr>
        <w:t>Sorting and Cleaning</w:t>
      </w:r>
    </w:p>
    <w:p w14:paraId="3545BBDB" w14:textId="77777777" w:rsidR="00CB33C0" w:rsidRPr="00196413" w:rsidRDefault="00CB33C0" w:rsidP="00CB33C0">
      <w:pPr>
        <w:pStyle w:val="NormalWeb"/>
        <w:spacing w:before="0" w:beforeAutospacing="0" w:after="120" w:afterAutospacing="0"/>
        <w:jc w:val="both"/>
      </w:pPr>
      <w:r w:rsidRPr="00196413">
        <w:t>The soybean seeds were manually sorted to remove stones, broken seeds, and other foreign materials. The cleaned seeds were washed several times with distilled water to remove surface dust and impurities before further processing.</w:t>
      </w:r>
    </w:p>
    <w:p w14:paraId="555A1BC4" w14:textId="77777777" w:rsidR="00DC1F3D" w:rsidRPr="00CB33C0" w:rsidRDefault="00A90421" w:rsidP="00CB33C0">
      <w:pPr>
        <w:pStyle w:val="Heading3"/>
        <w:keepNext w:val="0"/>
        <w:keepLines w:val="0"/>
        <w:spacing w:before="281" w:after="140"/>
        <w:jc w:val="both"/>
        <w:rPr>
          <w:sz w:val="24"/>
          <w:szCs w:val="24"/>
        </w:rPr>
      </w:pPr>
      <w:r w:rsidRPr="00CB33C0">
        <w:rPr>
          <w:color w:val="auto"/>
          <w:sz w:val="24"/>
          <w:szCs w:val="24"/>
        </w:rPr>
        <w:t>Sprouting (Germination) Procedure</w:t>
      </w:r>
    </w:p>
    <w:p w14:paraId="7CE8178D" w14:textId="77777777" w:rsidR="00DC1F3D" w:rsidRPr="00CB33C0" w:rsidRDefault="00A90421" w:rsidP="00CB33C0">
      <w:pPr>
        <w:spacing w:before="120" w:after="120"/>
        <w:jc w:val="both"/>
      </w:pPr>
      <w:r w:rsidRPr="00CB33C0">
        <w:t xml:space="preserve">The cleaned soybean seeds were soaked in distilled water at room temperature for 12 hours. After soaking, the water was drained, and the seeds were spread evenly on clean trays lined </w:t>
      </w:r>
      <w:r w:rsidRPr="00CB33C0">
        <w:lastRenderedPageBreak/>
        <w:t>with moist cloth. The seeds were allowed to germinate at ambient temperature for 48 hours, during which they were regularly moistened to prevent drying. At the end of the germination period, the sprouted seeds were dried at low temperature, milled into flour, and stored in airtight containers until analysis.</w:t>
      </w:r>
    </w:p>
    <w:p w14:paraId="6EDC64E5" w14:textId="77777777" w:rsidR="00DC1F3D" w:rsidRPr="00CB33C0" w:rsidRDefault="00A90421" w:rsidP="00CB33C0">
      <w:pPr>
        <w:spacing w:before="120" w:after="120"/>
        <w:jc w:val="both"/>
      </w:pPr>
      <w:r w:rsidRPr="00CB33C0">
        <w:t>Non</w:t>
      </w:r>
      <w:r w:rsidRPr="00CB33C0">
        <w:noBreakHyphen/>
        <w:t>sprouted seeds served as controls and were analyzed directly without germination or fermentation.</w:t>
      </w:r>
    </w:p>
    <w:p w14:paraId="18179BF5" w14:textId="77777777" w:rsidR="00DC1F3D" w:rsidRPr="00CB33C0" w:rsidRDefault="00A90421" w:rsidP="00CB33C0">
      <w:pPr>
        <w:pStyle w:val="Heading3"/>
        <w:keepNext w:val="0"/>
        <w:keepLines w:val="0"/>
        <w:spacing w:before="281" w:after="140"/>
        <w:jc w:val="both"/>
        <w:rPr>
          <w:sz w:val="24"/>
          <w:szCs w:val="24"/>
        </w:rPr>
      </w:pPr>
      <w:r w:rsidRPr="00CB33C0">
        <w:rPr>
          <w:color w:val="auto"/>
          <w:sz w:val="24"/>
          <w:szCs w:val="24"/>
        </w:rPr>
        <w:t>Spontaneous Fermentation</w:t>
      </w:r>
    </w:p>
    <w:p w14:paraId="5CC6B5BB" w14:textId="77777777" w:rsidR="00DC1F3D" w:rsidRPr="00CB33C0" w:rsidRDefault="00A90421" w:rsidP="00CB33C0">
      <w:pPr>
        <w:spacing w:before="120" w:after="120"/>
        <w:jc w:val="both"/>
      </w:pPr>
      <w:r w:rsidRPr="00CB33C0">
        <w:t>After germination, portions of the sprouted soybean seeds were subjected to spontaneous fermentation. These samples are referred to as sprouted</w:t>
      </w:r>
      <w:r w:rsidRPr="00CB33C0">
        <w:noBreakHyphen/>
        <w:t>and</w:t>
      </w:r>
      <w:r w:rsidRPr="00CB33C0">
        <w:noBreakHyphen/>
        <w:t>fermented; non</w:t>
      </w:r>
      <w:r w:rsidRPr="00CB33C0">
        <w:noBreakHyphen/>
        <w:t>sprouted seeds were not fermented.</w:t>
      </w:r>
    </w:p>
    <w:p w14:paraId="4E36BBD2" w14:textId="77777777" w:rsidR="00DC1F3D" w:rsidRPr="00CB33C0" w:rsidRDefault="00A90421" w:rsidP="00CB33C0">
      <w:pPr>
        <w:pStyle w:val="Heading3"/>
        <w:keepNext w:val="0"/>
        <w:keepLines w:val="0"/>
        <w:spacing w:before="281" w:after="140"/>
        <w:jc w:val="both"/>
        <w:rPr>
          <w:sz w:val="24"/>
          <w:szCs w:val="24"/>
        </w:rPr>
      </w:pPr>
      <w:r w:rsidRPr="00CB33C0">
        <w:rPr>
          <w:color w:val="auto"/>
          <w:sz w:val="24"/>
          <w:szCs w:val="24"/>
        </w:rPr>
        <w:t>Proximate Analysis</w:t>
      </w:r>
    </w:p>
    <w:p w14:paraId="24D04EEB" w14:textId="77777777" w:rsidR="00DC1F3D" w:rsidRPr="00CB33C0" w:rsidRDefault="00A90421" w:rsidP="00CB33C0">
      <w:pPr>
        <w:spacing w:before="120" w:after="120"/>
        <w:jc w:val="both"/>
      </w:pPr>
      <w:r w:rsidRPr="00CB33C0">
        <w:t>Proximate composition, including moisture content, crude protein, crude fat, ash, crude fiber, and carbohydrate (by difference), was determined using standard methods described by AOAC International (2008). All analyses were performed in triplicate, and results were expressed on a dry-weight basis.</w:t>
      </w:r>
    </w:p>
    <w:p w14:paraId="667048DD" w14:textId="77777777" w:rsidR="00DC1F3D" w:rsidRPr="00CB33C0" w:rsidRDefault="00A90421" w:rsidP="00CB33C0">
      <w:pPr>
        <w:pStyle w:val="Heading3"/>
        <w:keepNext w:val="0"/>
        <w:keepLines w:val="0"/>
        <w:spacing w:before="281" w:after="140"/>
        <w:jc w:val="both"/>
        <w:rPr>
          <w:sz w:val="24"/>
          <w:szCs w:val="24"/>
        </w:rPr>
      </w:pPr>
      <w:r w:rsidRPr="00CB33C0">
        <w:rPr>
          <w:color w:val="auto"/>
          <w:sz w:val="24"/>
          <w:szCs w:val="24"/>
        </w:rPr>
        <w:t>Mineral Analysis</w:t>
      </w:r>
    </w:p>
    <w:p w14:paraId="7CA828AA" w14:textId="77777777" w:rsidR="00DC1F3D" w:rsidRPr="00CB33C0" w:rsidRDefault="00A90421" w:rsidP="00CB33C0">
      <w:pPr>
        <w:spacing w:before="120" w:after="120"/>
        <w:jc w:val="both"/>
      </w:pPr>
      <w:r w:rsidRPr="00CB33C0">
        <w:t xml:space="preserve">Mineral elements such as calcium, iron, magnesium, zinc, and phosphorus were determined after dry </w:t>
      </w:r>
      <w:proofErr w:type="spellStart"/>
      <w:r w:rsidRPr="00CB33C0">
        <w:t>ashing</w:t>
      </w:r>
      <w:proofErr w:type="spellEnd"/>
      <w:r w:rsidRPr="00CB33C0">
        <w:t xml:space="preserve"> of the samples. The ash was dissolved in dilute acid, and mineral concentrations were quantified using appropriate analytical techniques as. Results were expressed in milligrams per 100 grams of sample.</w:t>
      </w:r>
    </w:p>
    <w:p w14:paraId="5A2CEE8D" w14:textId="77777777" w:rsidR="00DC1F3D" w:rsidRPr="00CB33C0" w:rsidRDefault="00A90421" w:rsidP="00CB33C0">
      <w:pPr>
        <w:pStyle w:val="Heading3"/>
        <w:keepNext w:val="0"/>
        <w:keepLines w:val="0"/>
        <w:spacing w:before="281" w:after="140"/>
        <w:jc w:val="both"/>
        <w:rPr>
          <w:sz w:val="24"/>
          <w:szCs w:val="24"/>
        </w:rPr>
      </w:pPr>
      <w:r w:rsidRPr="00CB33C0">
        <w:rPr>
          <w:color w:val="auto"/>
          <w:sz w:val="24"/>
          <w:szCs w:val="24"/>
        </w:rPr>
        <w:t>Vitamin Analysis</w:t>
      </w:r>
    </w:p>
    <w:p w14:paraId="08C88D8A" w14:textId="77777777" w:rsidR="00DC1F3D" w:rsidRPr="00CB33C0" w:rsidRDefault="00A90421" w:rsidP="00CB33C0">
      <w:pPr>
        <w:spacing w:before="120" w:after="120"/>
        <w:jc w:val="both"/>
      </w:pPr>
      <w:r w:rsidRPr="00CB33C0">
        <w:t>Selected vitamins were determined using standard analytical procedures. Water-soluble vitamins were extracted and analyzed following established laboratory methods, while fat-soluble vitamins were determined after appropriate solvent extraction. Vitamin contents were expressed in milligrams per 100 grams of sample.</w:t>
      </w:r>
    </w:p>
    <w:p w14:paraId="10EA9358" w14:textId="77777777" w:rsidR="00DC1F3D" w:rsidRPr="00CB33C0" w:rsidRDefault="00A90421" w:rsidP="00CB33C0">
      <w:pPr>
        <w:pStyle w:val="Heading3"/>
        <w:keepNext w:val="0"/>
        <w:keepLines w:val="0"/>
        <w:spacing w:before="281" w:after="140"/>
        <w:jc w:val="both"/>
        <w:rPr>
          <w:sz w:val="24"/>
          <w:szCs w:val="24"/>
        </w:rPr>
      </w:pPr>
      <w:r w:rsidRPr="00CB33C0">
        <w:rPr>
          <w:color w:val="auto"/>
          <w:sz w:val="24"/>
          <w:szCs w:val="24"/>
        </w:rPr>
        <w:t>Determination of Anti-Nutritional Factors</w:t>
      </w:r>
    </w:p>
    <w:p w14:paraId="122350E4" w14:textId="77777777" w:rsidR="00DC1F3D" w:rsidRPr="00CB33C0" w:rsidRDefault="00A90421" w:rsidP="00CB33C0">
      <w:pPr>
        <w:spacing w:before="120" w:after="120"/>
        <w:jc w:val="both"/>
      </w:pPr>
      <w:r w:rsidRPr="00CB33C0">
        <w:t>Anti-nutritional factors, including phytic acid, tannins, and trypsin inhibitor activity, were determined using established analytical methods. Phytic acid content was analyzed using colorimetric procedures, while tannins and trypsin inhibitors were quantified according to standard laboratory protocols described in the literature.</w:t>
      </w:r>
    </w:p>
    <w:p w14:paraId="6FE2FDF6" w14:textId="77777777" w:rsidR="00DC1F3D" w:rsidRPr="00CB33C0" w:rsidRDefault="00A90421" w:rsidP="00CB33C0">
      <w:pPr>
        <w:pStyle w:val="Heading3"/>
        <w:keepNext w:val="0"/>
        <w:keepLines w:val="0"/>
        <w:spacing w:before="281" w:after="140"/>
        <w:jc w:val="both"/>
        <w:rPr>
          <w:sz w:val="24"/>
          <w:szCs w:val="24"/>
        </w:rPr>
      </w:pPr>
      <w:r w:rsidRPr="00CB33C0">
        <w:rPr>
          <w:color w:val="auto"/>
          <w:sz w:val="24"/>
          <w:szCs w:val="24"/>
        </w:rPr>
        <w:t>Statistical Analysis</w:t>
      </w:r>
    </w:p>
    <w:p w14:paraId="7235BCFA" w14:textId="77777777" w:rsidR="00DC1F3D" w:rsidRPr="00CB33C0" w:rsidRDefault="00A90421" w:rsidP="00CB33C0">
      <w:pPr>
        <w:spacing w:before="120" w:after="120"/>
        <w:jc w:val="both"/>
      </w:pPr>
      <w:r w:rsidRPr="00CB33C0">
        <w:t>All analyses were conducted in triplicate. Data were expressed as mean ± standard deviation. One-way analysis of variance (ANOVA) was used to compare means among treatments, and significant differences (p &lt; 0.05) were separated using Tukey’s honest significant difference test. Statistical analyses were performed using SPSS version 25.0 (IBM Corp., Armonk, NY, USA).</w:t>
      </w:r>
    </w:p>
    <w:p w14:paraId="129FB158" w14:textId="77777777" w:rsidR="00DC1F3D" w:rsidRPr="00CB33C0" w:rsidRDefault="00A90421" w:rsidP="00CB33C0">
      <w:pPr>
        <w:pStyle w:val="Heading3"/>
        <w:keepNext w:val="0"/>
        <w:keepLines w:val="0"/>
        <w:spacing w:before="281" w:after="140"/>
        <w:jc w:val="both"/>
        <w:rPr>
          <w:sz w:val="24"/>
          <w:szCs w:val="24"/>
        </w:rPr>
      </w:pPr>
      <w:r w:rsidRPr="00CB33C0">
        <w:rPr>
          <w:color w:val="auto"/>
          <w:sz w:val="24"/>
          <w:szCs w:val="24"/>
        </w:rPr>
        <w:t>Bio-accessibility Estimation</w:t>
      </w:r>
    </w:p>
    <w:p w14:paraId="13632D73" w14:textId="7B0FD20E" w:rsidR="00DC1F3D" w:rsidRPr="00CB33C0" w:rsidRDefault="00A90421" w:rsidP="00CB33C0">
      <w:pPr>
        <w:spacing w:before="120" w:after="120"/>
        <w:jc w:val="both"/>
      </w:pPr>
      <w:r w:rsidRPr="00CB33C0">
        <w:t xml:space="preserve">Mineral bio-accessibility was estimated using the phytate-to-mineral molar ratio. The moles of phytic acid were calculated from the phytic acid content using a molecular weight of 660.3 </w:t>
      </w:r>
      <w:r w:rsidRPr="00CB33C0">
        <w:lastRenderedPageBreak/>
        <w:t>g/mol, while moles of calcium, iron, and zinc were obtained by dividing mineral contents (mg/100g) by their atomic weights (40.08, 55.85, and 65.38 g/mol, respectively). The ratio of phytic acid moles to mineral moles (</w:t>
      </w:r>
      <w:proofErr w:type="spellStart"/>
      <w:r w:rsidRPr="00CB33C0">
        <w:t>Phy</w:t>
      </w:r>
      <w:proofErr w:type="spellEnd"/>
      <w:r w:rsidRPr="00CB33C0">
        <w:t>:</w:t>
      </w:r>
      <w:r w:rsidR="00E5603A">
        <w:t xml:space="preserve"> </w:t>
      </w:r>
      <w:r w:rsidRPr="00CB33C0">
        <w:t>Mineral) was then computed for each fermentation time. Ratios less than 1 for iron, less than 15 for zinc, and less than 0.17 for calcium indicate good bioavailability</w:t>
      </w:r>
      <w:r w:rsidR="00E5603A">
        <w:t xml:space="preserve"> </w:t>
      </w:r>
      <w:r w:rsidRPr="00CB33C0">
        <w:t xml:space="preserve">(Castro-Alba </w:t>
      </w:r>
      <w:r w:rsidR="00CB33C0" w:rsidRPr="00CB33C0">
        <w:rPr>
          <w:i/>
          <w:iCs/>
        </w:rPr>
        <w:t>et al</w:t>
      </w:r>
      <w:r w:rsidRPr="00CB33C0">
        <w:t>., 2019).</w:t>
      </w:r>
    </w:p>
    <w:p w14:paraId="5ED35C42" w14:textId="525AA011" w:rsidR="00DC1F3D" w:rsidRPr="00CB33C0" w:rsidRDefault="00A90421" w:rsidP="00CB33C0">
      <w:pPr>
        <w:spacing w:before="120" w:after="120"/>
        <w:jc w:val="both"/>
      </w:pPr>
      <w:r w:rsidRPr="00CB33C0">
        <w:t xml:space="preserve">The calculated </w:t>
      </w:r>
      <w:proofErr w:type="spellStart"/>
      <w:proofErr w:type="gramStart"/>
      <w:r w:rsidRPr="00CB33C0">
        <w:t>Phy:Fe</w:t>
      </w:r>
      <w:proofErr w:type="spellEnd"/>
      <w:proofErr w:type="gramEnd"/>
      <w:r w:rsidRPr="00CB33C0">
        <w:t xml:space="preserve">, </w:t>
      </w:r>
      <w:proofErr w:type="spellStart"/>
      <w:r w:rsidRPr="00CB33C0">
        <w:t>Phy:Zn</w:t>
      </w:r>
      <w:proofErr w:type="spellEnd"/>
      <w:r w:rsidRPr="00CB33C0">
        <w:t xml:space="preserve">, and </w:t>
      </w:r>
      <w:proofErr w:type="spellStart"/>
      <w:r w:rsidRPr="00CB33C0">
        <w:t>Phy:Ca</w:t>
      </w:r>
      <w:proofErr w:type="spellEnd"/>
      <w:r w:rsidRPr="00CB33C0">
        <w:t xml:space="preserve"> molar ratios for 0, 24, 48, and 72h fermentation were 0.22, 0.18, 0.16, and 0.12 for iron; 0.11, 0.10, 0.09, and 0.08 for zinc; and 0.06, 0.05, 0.05, and 0.04 for calcium, respectively. These values are well below the key thresholds, denoting increased mineral </w:t>
      </w:r>
      <w:proofErr w:type="spellStart"/>
      <w:r w:rsidRPr="00CB33C0">
        <w:t>bioaccessibility</w:t>
      </w:r>
      <w:proofErr w:type="spellEnd"/>
      <w:r w:rsidRPr="00CB33C0">
        <w:t xml:space="preserve"> during fermentation (Castro-Alba </w:t>
      </w:r>
      <w:r w:rsidR="00CB33C0" w:rsidRPr="00CB33C0">
        <w:rPr>
          <w:i/>
          <w:iCs/>
        </w:rPr>
        <w:t>et al</w:t>
      </w:r>
      <w:r w:rsidRPr="00CB33C0">
        <w:t>., 2019).</w:t>
      </w:r>
    </w:p>
    <w:p w14:paraId="6D8734C1" w14:textId="77777777" w:rsidR="00DC1F3D" w:rsidRPr="00CB33C0" w:rsidRDefault="00DC1F3D" w:rsidP="00CB33C0">
      <w:pPr>
        <w:spacing w:before="120" w:after="120"/>
        <w:jc w:val="both"/>
      </w:pPr>
    </w:p>
    <w:p w14:paraId="76FFB5B7" w14:textId="118A7F5B" w:rsidR="00DC1F3D" w:rsidRPr="00CB33C0" w:rsidRDefault="00A90421" w:rsidP="00CB33C0">
      <w:pPr>
        <w:pStyle w:val="Heading3"/>
        <w:keepNext w:val="0"/>
        <w:keepLines w:val="0"/>
        <w:spacing w:before="281" w:after="140"/>
        <w:jc w:val="both"/>
        <w:rPr>
          <w:sz w:val="24"/>
          <w:szCs w:val="24"/>
        </w:rPr>
      </w:pPr>
      <w:r w:rsidRPr="00CB33C0">
        <w:rPr>
          <w:color w:val="auto"/>
          <w:sz w:val="24"/>
          <w:szCs w:val="24"/>
        </w:rPr>
        <w:t>RESULTS</w:t>
      </w:r>
      <w:r w:rsidR="00B4188B">
        <w:rPr>
          <w:color w:val="auto"/>
          <w:sz w:val="24"/>
          <w:szCs w:val="24"/>
        </w:rPr>
        <w:t xml:space="preserve"> AND </w:t>
      </w:r>
      <w:r w:rsidR="00B4188B" w:rsidRPr="00B4188B">
        <w:rPr>
          <w:color w:val="auto"/>
          <w:sz w:val="24"/>
          <w:szCs w:val="24"/>
        </w:rPr>
        <w:t>DISCUSSION</w:t>
      </w:r>
    </w:p>
    <w:p w14:paraId="4AEB1302" w14:textId="77777777" w:rsidR="00DC1F3D" w:rsidRPr="00CB33C0" w:rsidRDefault="00A90421" w:rsidP="00CB33C0">
      <w:pPr>
        <w:pStyle w:val="Heading3"/>
        <w:keepNext w:val="0"/>
        <w:keepLines w:val="0"/>
        <w:spacing w:before="140" w:after="140"/>
        <w:jc w:val="both"/>
        <w:rPr>
          <w:sz w:val="24"/>
          <w:szCs w:val="24"/>
        </w:rPr>
      </w:pPr>
      <w:r w:rsidRPr="00CB33C0">
        <w:rPr>
          <w:color w:val="auto"/>
          <w:sz w:val="24"/>
          <w:szCs w:val="24"/>
        </w:rPr>
        <w:t>Effects of sprouting and fermentation on proximate composition</w:t>
      </w:r>
    </w:p>
    <w:p w14:paraId="3745125D" w14:textId="77777777" w:rsidR="00DC1F3D" w:rsidRPr="00CB33C0" w:rsidRDefault="00A90421" w:rsidP="00CB33C0">
      <w:pPr>
        <w:spacing w:before="120" w:after="120"/>
        <w:jc w:val="both"/>
      </w:pPr>
      <w:r w:rsidRPr="00CB33C0">
        <w:t>Proximate analysis of soybean samples revealed that both sprouting and fermentation significantly altered the macronutrient profile (Tables 1 and 2). Sprouting resulted in a gradual increase in crude protein and ash content, accompanied by a reduction in fiber and carbohydrate.</w:t>
      </w:r>
    </w:p>
    <w:p w14:paraId="6FDE3D11" w14:textId="77777777" w:rsidR="00DC1F3D" w:rsidRPr="00CB33C0" w:rsidRDefault="00A90421" w:rsidP="00CB33C0">
      <w:pPr>
        <w:spacing w:before="120" w:after="120"/>
        <w:jc w:val="both"/>
      </w:pPr>
      <w:r w:rsidRPr="00CB33C0">
        <w:t>Fermentation similarly increased protein and ash but caused larger reductions in fiber and carbohydrate, with a slight decrease in moisture content.</w:t>
      </w:r>
    </w:p>
    <w:p w14:paraId="3BD9B9B9" w14:textId="1B870906" w:rsidR="00DC1F3D" w:rsidRDefault="00A90421" w:rsidP="00AC0BA3">
      <w:pPr>
        <w:jc w:val="both"/>
        <w:rPr>
          <w:b/>
          <w:bCs/>
        </w:rPr>
      </w:pPr>
      <w:r w:rsidRPr="00CB33C0">
        <w:rPr>
          <w:b/>
          <w:bCs/>
        </w:rPr>
        <w:t>Table 1: Proximate composition of non-sprouted and sprouted soybean flour</w:t>
      </w:r>
    </w:p>
    <w:tbl>
      <w:tblPr>
        <w:tblW w:w="0" w:type="auto"/>
        <w:tblCellMar>
          <w:top w:w="15" w:type="dxa"/>
          <w:left w:w="57" w:type="dxa"/>
          <w:bottom w:w="15" w:type="dxa"/>
          <w:right w:w="57" w:type="dxa"/>
        </w:tblCellMar>
        <w:tblLook w:val="04A0" w:firstRow="1" w:lastRow="0" w:firstColumn="1" w:lastColumn="0" w:noHBand="0" w:noVBand="1"/>
      </w:tblPr>
      <w:tblGrid>
        <w:gridCol w:w="1840"/>
        <w:gridCol w:w="1528"/>
        <w:gridCol w:w="1326"/>
        <w:gridCol w:w="1326"/>
        <w:gridCol w:w="1326"/>
        <w:gridCol w:w="1326"/>
      </w:tblGrid>
      <w:tr w:rsidR="00BC10CF" w:rsidRPr="00196413" w14:paraId="2363FDE0" w14:textId="77777777" w:rsidTr="00DE6A00">
        <w:trPr>
          <w:trHeight w:val="262"/>
          <w:tblHeader/>
        </w:trPr>
        <w:tc>
          <w:tcPr>
            <w:tcW w:w="0" w:type="auto"/>
            <w:vMerge w:val="restart"/>
            <w:tcBorders>
              <w:top w:val="single" w:sz="4" w:space="0" w:color="auto"/>
            </w:tcBorders>
            <w:vAlign w:val="center"/>
            <w:hideMark/>
          </w:tcPr>
          <w:p w14:paraId="6EB60BA8" w14:textId="77777777" w:rsidR="00BC10CF" w:rsidRPr="00196413" w:rsidRDefault="00BC10CF" w:rsidP="00DE6A00">
            <w:pPr>
              <w:jc w:val="both"/>
              <w:rPr>
                <w:b/>
                <w:bCs/>
              </w:rPr>
            </w:pPr>
            <w:r w:rsidRPr="00196413">
              <w:rPr>
                <w:b/>
                <w:bCs/>
              </w:rPr>
              <w:t>Parameter</w:t>
            </w:r>
          </w:p>
        </w:tc>
        <w:tc>
          <w:tcPr>
            <w:tcW w:w="0" w:type="auto"/>
            <w:vMerge w:val="restart"/>
            <w:tcBorders>
              <w:top w:val="single" w:sz="4" w:space="0" w:color="auto"/>
            </w:tcBorders>
            <w:vAlign w:val="center"/>
            <w:hideMark/>
          </w:tcPr>
          <w:p w14:paraId="58EA2C4F" w14:textId="77777777" w:rsidR="00BC10CF" w:rsidRPr="00196413" w:rsidRDefault="00BC10CF" w:rsidP="00DE6A00">
            <w:pPr>
              <w:jc w:val="both"/>
              <w:rPr>
                <w:b/>
                <w:bCs/>
              </w:rPr>
            </w:pPr>
            <w:r w:rsidRPr="00196413">
              <w:rPr>
                <w:b/>
                <w:bCs/>
              </w:rPr>
              <w:t>Non-sprouted</w:t>
            </w:r>
          </w:p>
        </w:tc>
        <w:tc>
          <w:tcPr>
            <w:tcW w:w="0" w:type="auto"/>
            <w:gridSpan w:val="4"/>
            <w:tcBorders>
              <w:top w:val="single" w:sz="4" w:space="0" w:color="auto"/>
            </w:tcBorders>
            <w:vAlign w:val="center"/>
            <w:hideMark/>
          </w:tcPr>
          <w:p w14:paraId="2AB2AB57" w14:textId="77777777" w:rsidR="00BC10CF" w:rsidRPr="00196413" w:rsidRDefault="00BC10CF" w:rsidP="00DE6A00">
            <w:pPr>
              <w:jc w:val="center"/>
              <w:rPr>
                <w:b/>
                <w:bCs/>
              </w:rPr>
            </w:pPr>
            <w:r w:rsidRPr="00196413">
              <w:rPr>
                <w:b/>
                <w:bCs/>
              </w:rPr>
              <w:t xml:space="preserve">Sprouted </w:t>
            </w:r>
          </w:p>
        </w:tc>
      </w:tr>
      <w:tr w:rsidR="00BC10CF" w:rsidRPr="00196413" w14:paraId="36295A73" w14:textId="77777777" w:rsidTr="00DE6A00">
        <w:trPr>
          <w:trHeight w:val="262"/>
          <w:tblHeader/>
        </w:trPr>
        <w:tc>
          <w:tcPr>
            <w:tcW w:w="0" w:type="auto"/>
            <w:vMerge/>
            <w:tcBorders>
              <w:bottom w:val="single" w:sz="4" w:space="0" w:color="auto"/>
            </w:tcBorders>
            <w:vAlign w:val="center"/>
          </w:tcPr>
          <w:p w14:paraId="4E0F48F9" w14:textId="77777777" w:rsidR="00BC10CF" w:rsidRPr="00196413" w:rsidRDefault="00BC10CF" w:rsidP="00DE6A00">
            <w:pPr>
              <w:jc w:val="both"/>
              <w:rPr>
                <w:b/>
                <w:bCs/>
              </w:rPr>
            </w:pPr>
          </w:p>
        </w:tc>
        <w:tc>
          <w:tcPr>
            <w:tcW w:w="0" w:type="auto"/>
            <w:vMerge/>
            <w:tcBorders>
              <w:bottom w:val="single" w:sz="4" w:space="0" w:color="auto"/>
            </w:tcBorders>
            <w:vAlign w:val="center"/>
          </w:tcPr>
          <w:p w14:paraId="3B6F670D" w14:textId="77777777" w:rsidR="00BC10CF" w:rsidRPr="00196413" w:rsidRDefault="00BC10CF" w:rsidP="00DE6A00">
            <w:pPr>
              <w:jc w:val="both"/>
              <w:rPr>
                <w:b/>
                <w:bCs/>
              </w:rPr>
            </w:pPr>
          </w:p>
        </w:tc>
        <w:tc>
          <w:tcPr>
            <w:tcW w:w="0" w:type="auto"/>
            <w:tcBorders>
              <w:bottom w:val="single" w:sz="4" w:space="0" w:color="auto"/>
            </w:tcBorders>
            <w:vAlign w:val="center"/>
          </w:tcPr>
          <w:p w14:paraId="3BD13B75" w14:textId="77777777" w:rsidR="00BC10CF" w:rsidRPr="00196413" w:rsidRDefault="00BC10CF" w:rsidP="00DE6A00">
            <w:pPr>
              <w:jc w:val="center"/>
              <w:rPr>
                <w:b/>
                <w:bCs/>
              </w:rPr>
            </w:pPr>
            <w:r w:rsidRPr="00196413">
              <w:rPr>
                <w:b/>
                <w:bCs/>
              </w:rPr>
              <w:t>Day 1</w:t>
            </w:r>
          </w:p>
        </w:tc>
        <w:tc>
          <w:tcPr>
            <w:tcW w:w="0" w:type="auto"/>
            <w:tcBorders>
              <w:bottom w:val="single" w:sz="4" w:space="0" w:color="auto"/>
            </w:tcBorders>
            <w:vAlign w:val="center"/>
          </w:tcPr>
          <w:p w14:paraId="64E2DA42" w14:textId="77777777" w:rsidR="00BC10CF" w:rsidRPr="00196413" w:rsidRDefault="00BC10CF" w:rsidP="00DE6A00">
            <w:pPr>
              <w:jc w:val="center"/>
              <w:rPr>
                <w:b/>
                <w:bCs/>
              </w:rPr>
            </w:pPr>
            <w:r w:rsidRPr="00196413">
              <w:rPr>
                <w:b/>
                <w:bCs/>
              </w:rPr>
              <w:t>Day 2</w:t>
            </w:r>
          </w:p>
        </w:tc>
        <w:tc>
          <w:tcPr>
            <w:tcW w:w="0" w:type="auto"/>
            <w:tcBorders>
              <w:bottom w:val="single" w:sz="4" w:space="0" w:color="auto"/>
            </w:tcBorders>
            <w:vAlign w:val="center"/>
          </w:tcPr>
          <w:p w14:paraId="6DDBFF40" w14:textId="77777777" w:rsidR="00BC10CF" w:rsidRPr="00196413" w:rsidRDefault="00BC10CF" w:rsidP="00DE6A00">
            <w:pPr>
              <w:jc w:val="center"/>
              <w:rPr>
                <w:b/>
                <w:bCs/>
              </w:rPr>
            </w:pPr>
            <w:r w:rsidRPr="00196413">
              <w:rPr>
                <w:b/>
                <w:bCs/>
              </w:rPr>
              <w:t>Day 3</w:t>
            </w:r>
          </w:p>
        </w:tc>
        <w:tc>
          <w:tcPr>
            <w:tcW w:w="0" w:type="auto"/>
            <w:tcBorders>
              <w:bottom w:val="single" w:sz="4" w:space="0" w:color="auto"/>
            </w:tcBorders>
            <w:vAlign w:val="center"/>
          </w:tcPr>
          <w:p w14:paraId="2BDC1BF5" w14:textId="77777777" w:rsidR="00BC10CF" w:rsidRPr="00196413" w:rsidRDefault="00BC10CF" w:rsidP="00DE6A00">
            <w:pPr>
              <w:jc w:val="center"/>
              <w:rPr>
                <w:b/>
                <w:bCs/>
              </w:rPr>
            </w:pPr>
            <w:r w:rsidRPr="00196413">
              <w:rPr>
                <w:b/>
                <w:bCs/>
              </w:rPr>
              <w:t>Day 4</w:t>
            </w:r>
          </w:p>
        </w:tc>
      </w:tr>
      <w:tr w:rsidR="00BC10CF" w:rsidRPr="00196413" w14:paraId="7E20E72D" w14:textId="77777777" w:rsidTr="008522AF">
        <w:trPr>
          <w:trHeight w:val="214"/>
        </w:trPr>
        <w:tc>
          <w:tcPr>
            <w:tcW w:w="0" w:type="auto"/>
            <w:tcBorders>
              <w:top w:val="single" w:sz="4" w:space="0" w:color="auto"/>
            </w:tcBorders>
            <w:hideMark/>
          </w:tcPr>
          <w:p w14:paraId="6B7FBC73" w14:textId="20034A68" w:rsidR="00BC10CF" w:rsidRPr="00196413" w:rsidRDefault="00BC10CF" w:rsidP="00BC10CF">
            <w:pPr>
              <w:jc w:val="both"/>
            </w:pPr>
            <w:r w:rsidRPr="00CB33C0">
              <w:rPr>
                <w:color w:val="000000"/>
              </w:rPr>
              <w:t>Ash (%)</w:t>
            </w:r>
          </w:p>
        </w:tc>
        <w:tc>
          <w:tcPr>
            <w:tcW w:w="0" w:type="auto"/>
            <w:tcBorders>
              <w:top w:val="single" w:sz="4" w:space="0" w:color="auto"/>
            </w:tcBorders>
            <w:hideMark/>
          </w:tcPr>
          <w:p w14:paraId="1E6D7D58" w14:textId="6E89C7B7" w:rsidR="00BC10CF" w:rsidRPr="00196413" w:rsidRDefault="00BC10CF" w:rsidP="00BC10CF">
            <w:pPr>
              <w:jc w:val="right"/>
            </w:pPr>
            <w:r w:rsidRPr="00CB33C0">
              <w:rPr>
                <w:color w:val="000000"/>
              </w:rPr>
              <w:t>2.21 ± 0.06</w:t>
            </w:r>
          </w:p>
        </w:tc>
        <w:tc>
          <w:tcPr>
            <w:tcW w:w="0" w:type="auto"/>
            <w:tcBorders>
              <w:top w:val="single" w:sz="4" w:space="0" w:color="auto"/>
            </w:tcBorders>
            <w:hideMark/>
          </w:tcPr>
          <w:p w14:paraId="696E4C4B" w14:textId="6FA0F83D" w:rsidR="00BC10CF" w:rsidRPr="00196413" w:rsidRDefault="00BC10CF" w:rsidP="00BC10CF">
            <w:pPr>
              <w:jc w:val="right"/>
            </w:pPr>
            <w:r w:rsidRPr="00CB33C0">
              <w:rPr>
                <w:color w:val="000000"/>
              </w:rPr>
              <w:t>2.24 ± 0.06</w:t>
            </w:r>
          </w:p>
        </w:tc>
        <w:tc>
          <w:tcPr>
            <w:tcW w:w="0" w:type="auto"/>
            <w:tcBorders>
              <w:top w:val="single" w:sz="4" w:space="0" w:color="auto"/>
            </w:tcBorders>
            <w:hideMark/>
          </w:tcPr>
          <w:p w14:paraId="4771C358" w14:textId="3DDF05A4" w:rsidR="00BC10CF" w:rsidRPr="00196413" w:rsidRDefault="00BC10CF" w:rsidP="00BC10CF">
            <w:pPr>
              <w:jc w:val="right"/>
            </w:pPr>
            <w:r w:rsidRPr="00CB33C0">
              <w:rPr>
                <w:color w:val="000000"/>
              </w:rPr>
              <w:t>3.08 ± 0.08</w:t>
            </w:r>
          </w:p>
        </w:tc>
        <w:tc>
          <w:tcPr>
            <w:tcW w:w="0" w:type="auto"/>
            <w:tcBorders>
              <w:top w:val="single" w:sz="4" w:space="0" w:color="auto"/>
            </w:tcBorders>
            <w:hideMark/>
          </w:tcPr>
          <w:p w14:paraId="725FE899" w14:textId="7C1F7B7F" w:rsidR="00BC10CF" w:rsidRPr="00196413" w:rsidRDefault="00BC10CF" w:rsidP="00BC10CF">
            <w:pPr>
              <w:jc w:val="right"/>
            </w:pPr>
            <w:r w:rsidRPr="00CB33C0">
              <w:rPr>
                <w:color w:val="000000"/>
              </w:rPr>
              <w:t>3.09 ± 0.07</w:t>
            </w:r>
          </w:p>
        </w:tc>
        <w:tc>
          <w:tcPr>
            <w:tcW w:w="0" w:type="auto"/>
            <w:tcBorders>
              <w:top w:val="single" w:sz="4" w:space="0" w:color="auto"/>
            </w:tcBorders>
            <w:hideMark/>
          </w:tcPr>
          <w:p w14:paraId="646B296B" w14:textId="2D4B4399" w:rsidR="00BC10CF" w:rsidRPr="00196413" w:rsidRDefault="00BC10CF" w:rsidP="00BC10CF">
            <w:pPr>
              <w:jc w:val="right"/>
            </w:pPr>
            <w:r w:rsidRPr="00CB33C0">
              <w:rPr>
                <w:color w:val="000000"/>
              </w:rPr>
              <w:t>4.13 ± 0.08</w:t>
            </w:r>
          </w:p>
        </w:tc>
      </w:tr>
      <w:tr w:rsidR="00BC10CF" w:rsidRPr="00196413" w14:paraId="760C5CBD" w14:textId="77777777" w:rsidTr="008522AF">
        <w:tc>
          <w:tcPr>
            <w:tcW w:w="0" w:type="auto"/>
            <w:hideMark/>
          </w:tcPr>
          <w:p w14:paraId="4F51AC79" w14:textId="6482836A" w:rsidR="00BC10CF" w:rsidRPr="00196413" w:rsidRDefault="00BC10CF" w:rsidP="00BC10CF">
            <w:pPr>
              <w:jc w:val="both"/>
            </w:pPr>
            <w:r w:rsidRPr="00CB33C0">
              <w:rPr>
                <w:color w:val="000000"/>
              </w:rPr>
              <w:t>Fat (%)</w:t>
            </w:r>
          </w:p>
        </w:tc>
        <w:tc>
          <w:tcPr>
            <w:tcW w:w="0" w:type="auto"/>
            <w:hideMark/>
          </w:tcPr>
          <w:p w14:paraId="0B527301" w14:textId="3B23A92F" w:rsidR="00BC10CF" w:rsidRPr="00196413" w:rsidRDefault="00BC10CF" w:rsidP="00BC10CF">
            <w:pPr>
              <w:jc w:val="right"/>
            </w:pPr>
            <w:r w:rsidRPr="00CB33C0">
              <w:rPr>
                <w:color w:val="000000"/>
              </w:rPr>
              <w:t>3.06 ± 0.10</w:t>
            </w:r>
          </w:p>
        </w:tc>
        <w:tc>
          <w:tcPr>
            <w:tcW w:w="0" w:type="auto"/>
            <w:hideMark/>
          </w:tcPr>
          <w:p w14:paraId="7512A70E" w14:textId="3FEC5D55" w:rsidR="00BC10CF" w:rsidRPr="00196413" w:rsidRDefault="00BC10CF" w:rsidP="00BC10CF">
            <w:pPr>
              <w:jc w:val="right"/>
            </w:pPr>
            <w:r w:rsidRPr="00CB33C0">
              <w:rPr>
                <w:color w:val="000000"/>
              </w:rPr>
              <w:t>3.13 ± 0.07</w:t>
            </w:r>
          </w:p>
        </w:tc>
        <w:tc>
          <w:tcPr>
            <w:tcW w:w="0" w:type="auto"/>
            <w:hideMark/>
          </w:tcPr>
          <w:p w14:paraId="679FBF0B" w14:textId="563A8D64" w:rsidR="00BC10CF" w:rsidRPr="00196413" w:rsidRDefault="00BC10CF" w:rsidP="00BC10CF">
            <w:pPr>
              <w:jc w:val="right"/>
            </w:pPr>
            <w:r w:rsidRPr="00CB33C0">
              <w:rPr>
                <w:color w:val="000000"/>
              </w:rPr>
              <w:t>3.90 ± 0.13</w:t>
            </w:r>
          </w:p>
        </w:tc>
        <w:tc>
          <w:tcPr>
            <w:tcW w:w="0" w:type="auto"/>
            <w:hideMark/>
          </w:tcPr>
          <w:p w14:paraId="7670E5AE" w14:textId="38AF2327" w:rsidR="00BC10CF" w:rsidRPr="00196413" w:rsidRDefault="00BC10CF" w:rsidP="00BC10CF">
            <w:pPr>
              <w:jc w:val="right"/>
            </w:pPr>
            <w:r w:rsidRPr="00CB33C0">
              <w:rPr>
                <w:color w:val="000000"/>
              </w:rPr>
              <w:t>3.70 ± 0.25</w:t>
            </w:r>
          </w:p>
        </w:tc>
        <w:tc>
          <w:tcPr>
            <w:tcW w:w="0" w:type="auto"/>
            <w:hideMark/>
          </w:tcPr>
          <w:p w14:paraId="6428387F" w14:textId="23217D74" w:rsidR="00BC10CF" w:rsidRPr="00196413" w:rsidRDefault="00BC10CF" w:rsidP="00BC10CF">
            <w:pPr>
              <w:jc w:val="right"/>
            </w:pPr>
            <w:r w:rsidRPr="00CB33C0">
              <w:rPr>
                <w:color w:val="000000"/>
              </w:rPr>
              <w:t>4.22 ± 0.06</w:t>
            </w:r>
          </w:p>
        </w:tc>
      </w:tr>
      <w:tr w:rsidR="00BC10CF" w:rsidRPr="00196413" w14:paraId="730B070B" w14:textId="77777777" w:rsidTr="008522AF">
        <w:tc>
          <w:tcPr>
            <w:tcW w:w="0" w:type="auto"/>
            <w:hideMark/>
          </w:tcPr>
          <w:p w14:paraId="534EC17C" w14:textId="7E0941F7" w:rsidR="00BC10CF" w:rsidRPr="00196413" w:rsidRDefault="00BC10CF" w:rsidP="00BC10CF">
            <w:pPr>
              <w:jc w:val="both"/>
            </w:pPr>
            <w:r w:rsidRPr="00CB33C0">
              <w:rPr>
                <w:color w:val="000000"/>
              </w:rPr>
              <w:t>Protein (%)</w:t>
            </w:r>
          </w:p>
        </w:tc>
        <w:tc>
          <w:tcPr>
            <w:tcW w:w="0" w:type="auto"/>
            <w:hideMark/>
          </w:tcPr>
          <w:p w14:paraId="0F619195" w14:textId="2EAAA9A1" w:rsidR="00BC10CF" w:rsidRPr="00196413" w:rsidRDefault="00BC10CF" w:rsidP="00BC10CF">
            <w:pPr>
              <w:jc w:val="right"/>
            </w:pPr>
            <w:r w:rsidRPr="00CB33C0">
              <w:rPr>
                <w:color w:val="000000"/>
              </w:rPr>
              <w:t>19.49 ± 0.57</w:t>
            </w:r>
          </w:p>
        </w:tc>
        <w:tc>
          <w:tcPr>
            <w:tcW w:w="0" w:type="auto"/>
            <w:hideMark/>
          </w:tcPr>
          <w:p w14:paraId="2D1ACB4F" w14:textId="2C2BE4ED" w:rsidR="00BC10CF" w:rsidRPr="00196413" w:rsidRDefault="00BC10CF" w:rsidP="00BC10CF">
            <w:pPr>
              <w:jc w:val="right"/>
            </w:pPr>
            <w:r w:rsidRPr="00CB33C0">
              <w:rPr>
                <w:color w:val="000000"/>
              </w:rPr>
              <w:t>21.15 ± 0.57</w:t>
            </w:r>
          </w:p>
        </w:tc>
        <w:tc>
          <w:tcPr>
            <w:tcW w:w="0" w:type="auto"/>
            <w:hideMark/>
          </w:tcPr>
          <w:p w14:paraId="77F668CB" w14:textId="57B45FE4" w:rsidR="00BC10CF" w:rsidRPr="00196413" w:rsidRDefault="00BC10CF" w:rsidP="00BC10CF">
            <w:pPr>
              <w:jc w:val="right"/>
            </w:pPr>
            <w:r w:rsidRPr="00CB33C0">
              <w:rPr>
                <w:color w:val="000000"/>
              </w:rPr>
              <w:t>22.62 ± 0.35</w:t>
            </w:r>
          </w:p>
        </w:tc>
        <w:tc>
          <w:tcPr>
            <w:tcW w:w="0" w:type="auto"/>
            <w:hideMark/>
          </w:tcPr>
          <w:p w14:paraId="431F1E72" w14:textId="5D01E363" w:rsidR="00BC10CF" w:rsidRPr="00196413" w:rsidRDefault="00BC10CF" w:rsidP="00BC10CF">
            <w:pPr>
              <w:jc w:val="right"/>
            </w:pPr>
            <w:r w:rsidRPr="00CB33C0">
              <w:rPr>
                <w:color w:val="000000"/>
              </w:rPr>
              <w:t>23.74 ± 0.37</w:t>
            </w:r>
          </w:p>
        </w:tc>
        <w:tc>
          <w:tcPr>
            <w:tcW w:w="0" w:type="auto"/>
            <w:hideMark/>
          </w:tcPr>
          <w:p w14:paraId="1BDFC811" w14:textId="5AF57F99" w:rsidR="00BC10CF" w:rsidRPr="00196413" w:rsidRDefault="00BC10CF" w:rsidP="00BC10CF">
            <w:pPr>
              <w:jc w:val="right"/>
            </w:pPr>
            <w:r w:rsidRPr="00CB33C0">
              <w:rPr>
                <w:color w:val="000000"/>
              </w:rPr>
              <w:t>25.67 ± 0.40</w:t>
            </w:r>
          </w:p>
        </w:tc>
      </w:tr>
      <w:tr w:rsidR="00BC10CF" w:rsidRPr="00196413" w14:paraId="5CE000CA" w14:textId="77777777" w:rsidTr="008522AF">
        <w:tc>
          <w:tcPr>
            <w:tcW w:w="0" w:type="auto"/>
            <w:hideMark/>
          </w:tcPr>
          <w:p w14:paraId="091A2D28" w14:textId="32F8CE16" w:rsidR="00BC10CF" w:rsidRPr="00196413" w:rsidRDefault="00BC10CF" w:rsidP="00BC10CF">
            <w:pPr>
              <w:jc w:val="both"/>
            </w:pPr>
            <w:r w:rsidRPr="00CB33C0">
              <w:rPr>
                <w:color w:val="000000"/>
              </w:rPr>
              <w:t>Moisture (%)</w:t>
            </w:r>
          </w:p>
        </w:tc>
        <w:tc>
          <w:tcPr>
            <w:tcW w:w="0" w:type="auto"/>
            <w:hideMark/>
          </w:tcPr>
          <w:p w14:paraId="4C430A42" w14:textId="3B34A05B" w:rsidR="00BC10CF" w:rsidRPr="00196413" w:rsidRDefault="00BC10CF" w:rsidP="00BC10CF">
            <w:pPr>
              <w:jc w:val="right"/>
            </w:pPr>
            <w:r w:rsidRPr="00CB33C0">
              <w:rPr>
                <w:color w:val="000000"/>
              </w:rPr>
              <w:t>4.18 ± 0.11</w:t>
            </w:r>
          </w:p>
        </w:tc>
        <w:tc>
          <w:tcPr>
            <w:tcW w:w="0" w:type="auto"/>
            <w:hideMark/>
          </w:tcPr>
          <w:p w14:paraId="42ED5EB1" w14:textId="17D05EEE" w:rsidR="00BC10CF" w:rsidRPr="00196413" w:rsidRDefault="00BC10CF" w:rsidP="00BC10CF">
            <w:pPr>
              <w:jc w:val="right"/>
            </w:pPr>
            <w:r w:rsidRPr="00CB33C0">
              <w:rPr>
                <w:color w:val="000000"/>
              </w:rPr>
              <w:t>5.47 ± 0.01</w:t>
            </w:r>
          </w:p>
        </w:tc>
        <w:tc>
          <w:tcPr>
            <w:tcW w:w="0" w:type="auto"/>
            <w:hideMark/>
          </w:tcPr>
          <w:p w14:paraId="2756888A" w14:textId="53D55CC1" w:rsidR="00BC10CF" w:rsidRPr="00196413" w:rsidRDefault="00BC10CF" w:rsidP="00BC10CF">
            <w:pPr>
              <w:jc w:val="right"/>
            </w:pPr>
            <w:r w:rsidRPr="00CB33C0">
              <w:rPr>
                <w:color w:val="000000"/>
              </w:rPr>
              <w:t>5.53 ± 0.21</w:t>
            </w:r>
          </w:p>
        </w:tc>
        <w:tc>
          <w:tcPr>
            <w:tcW w:w="0" w:type="auto"/>
            <w:hideMark/>
          </w:tcPr>
          <w:p w14:paraId="3DC0E09D" w14:textId="2A68D428" w:rsidR="00BC10CF" w:rsidRPr="00196413" w:rsidRDefault="00BC10CF" w:rsidP="00BC10CF">
            <w:pPr>
              <w:jc w:val="right"/>
            </w:pPr>
            <w:r w:rsidRPr="00CB33C0">
              <w:rPr>
                <w:color w:val="000000"/>
              </w:rPr>
              <w:t>5.53 ± 0.21</w:t>
            </w:r>
          </w:p>
        </w:tc>
        <w:tc>
          <w:tcPr>
            <w:tcW w:w="0" w:type="auto"/>
            <w:hideMark/>
          </w:tcPr>
          <w:p w14:paraId="2B75AFA4" w14:textId="168E9FF3" w:rsidR="00BC10CF" w:rsidRPr="00196413" w:rsidRDefault="00BC10CF" w:rsidP="00BC10CF">
            <w:pPr>
              <w:jc w:val="right"/>
            </w:pPr>
            <w:r w:rsidRPr="00CB33C0">
              <w:rPr>
                <w:color w:val="000000"/>
              </w:rPr>
              <w:t>5.73 ± 0.04</w:t>
            </w:r>
          </w:p>
        </w:tc>
      </w:tr>
      <w:tr w:rsidR="00BC10CF" w:rsidRPr="00196413" w14:paraId="68427BAB" w14:textId="77777777" w:rsidTr="008522AF">
        <w:tc>
          <w:tcPr>
            <w:tcW w:w="0" w:type="auto"/>
            <w:hideMark/>
          </w:tcPr>
          <w:p w14:paraId="188B39E6" w14:textId="6AB8463F" w:rsidR="00BC10CF" w:rsidRPr="00196413" w:rsidRDefault="00BC10CF" w:rsidP="00BC10CF">
            <w:pPr>
              <w:jc w:val="both"/>
            </w:pPr>
            <w:proofErr w:type="spellStart"/>
            <w:r w:rsidRPr="00CB33C0">
              <w:rPr>
                <w:color w:val="000000"/>
              </w:rPr>
              <w:t>Fibre</w:t>
            </w:r>
            <w:proofErr w:type="spellEnd"/>
            <w:r w:rsidRPr="00CB33C0">
              <w:rPr>
                <w:color w:val="000000"/>
              </w:rPr>
              <w:t xml:space="preserve"> (%)</w:t>
            </w:r>
          </w:p>
        </w:tc>
        <w:tc>
          <w:tcPr>
            <w:tcW w:w="0" w:type="auto"/>
            <w:hideMark/>
          </w:tcPr>
          <w:p w14:paraId="3038F157" w14:textId="541E6C46" w:rsidR="00BC10CF" w:rsidRPr="00196413" w:rsidRDefault="00BC10CF" w:rsidP="00BC10CF">
            <w:pPr>
              <w:jc w:val="right"/>
            </w:pPr>
            <w:r w:rsidRPr="00CB33C0">
              <w:rPr>
                <w:color w:val="000000"/>
              </w:rPr>
              <w:t>7.17 ± 0.13</w:t>
            </w:r>
          </w:p>
        </w:tc>
        <w:tc>
          <w:tcPr>
            <w:tcW w:w="0" w:type="auto"/>
            <w:hideMark/>
          </w:tcPr>
          <w:p w14:paraId="138F66B5" w14:textId="7EAD54A6" w:rsidR="00BC10CF" w:rsidRPr="00196413" w:rsidRDefault="00BC10CF" w:rsidP="00BC10CF">
            <w:pPr>
              <w:jc w:val="right"/>
            </w:pPr>
            <w:r w:rsidRPr="00CB33C0">
              <w:rPr>
                <w:color w:val="000000"/>
              </w:rPr>
              <w:t>5.15 ± 0.29</w:t>
            </w:r>
          </w:p>
        </w:tc>
        <w:tc>
          <w:tcPr>
            <w:tcW w:w="0" w:type="auto"/>
            <w:hideMark/>
          </w:tcPr>
          <w:p w14:paraId="7F63E7E5" w14:textId="30A51C52" w:rsidR="00BC10CF" w:rsidRPr="00196413" w:rsidRDefault="00BC10CF" w:rsidP="00BC10CF">
            <w:pPr>
              <w:jc w:val="right"/>
            </w:pPr>
            <w:r w:rsidRPr="00CB33C0">
              <w:rPr>
                <w:color w:val="000000"/>
              </w:rPr>
              <w:t>5.24 ± 0.31</w:t>
            </w:r>
          </w:p>
        </w:tc>
        <w:tc>
          <w:tcPr>
            <w:tcW w:w="0" w:type="auto"/>
            <w:hideMark/>
          </w:tcPr>
          <w:p w14:paraId="36C43A99" w14:textId="25C57355" w:rsidR="00BC10CF" w:rsidRPr="00196413" w:rsidRDefault="00BC10CF" w:rsidP="00BC10CF">
            <w:pPr>
              <w:jc w:val="right"/>
            </w:pPr>
            <w:r w:rsidRPr="00CB33C0">
              <w:rPr>
                <w:color w:val="000000"/>
              </w:rPr>
              <w:t>5.24 ± 0.07</w:t>
            </w:r>
          </w:p>
        </w:tc>
        <w:tc>
          <w:tcPr>
            <w:tcW w:w="0" w:type="auto"/>
            <w:hideMark/>
          </w:tcPr>
          <w:p w14:paraId="2108C38B" w14:textId="76D7B95B" w:rsidR="00BC10CF" w:rsidRPr="00196413" w:rsidRDefault="00BC10CF" w:rsidP="00BC10CF">
            <w:pPr>
              <w:jc w:val="right"/>
            </w:pPr>
            <w:r w:rsidRPr="00CB33C0">
              <w:rPr>
                <w:color w:val="000000"/>
              </w:rPr>
              <w:t>5.34 ± 0.01</w:t>
            </w:r>
          </w:p>
        </w:tc>
      </w:tr>
      <w:tr w:rsidR="00BC10CF" w:rsidRPr="00196413" w14:paraId="0CA48462" w14:textId="77777777" w:rsidTr="008522AF">
        <w:tc>
          <w:tcPr>
            <w:tcW w:w="0" w:type="auto"/>
            <w:tcBorders>
              <w:bottom w:val="single" w:sz="4" w:space="0" w:color="auto"/>
            </w:tcBorders>
            <w:hideMark/>
          </w:tcPr>
          <w:p w14:paraId="598F3699" w14:textId="7E7E9B9A" w:rsidR="00BC10CF" w:rsidRPr="00196413" w:rsidRDefault="00BC10CF" w:rsidP="00BC10CF">
            <w:pPr>
              <w:jc w:val="both"/>
            </w:pPr>
            <w:r w:rsidRPr="00CB33C0">
              <w:rPr>
                <w:color w:val="000000"/>
              </w:rPr>
              <w:t>Carbohydrate (%)</w:t>
            </w:r>
          </w:p>
        </w:tc>
        <w:tc>
          <w:tcPr>
            <w:tcW w:w="0" w:type="auto"/>
            <w:tcBorders>
              <w:bottom w:val="single" w:sz="4" w:space="0" w:color="auto"/>
            </w:tcBorders>
            <w:hideMark/>
          </w:tcPr>
          <w:p w14:paraId="662E5F80" w14:textId="41A612FF" w:rsidR="00BC10CF" w:rsidRPr="00196413" w:rsidRDefault="00BC10CF" w:rsidP="00BC10CF">
            <w:pPr>
              <w:jc w:val="right"/>
            </w:pPr>
            <w:r w:rsidRPr="00CB33C0">
              <w:rPr>
                <w:color w:val="000000"/>
              </w:rPr>
              <w:t>62.33 ± 0.59</w:t>
            </w:r>
          </w:p>
        </w:tc>
        <w:tc>
          <w:tcPr>
            <w:tcW w:w="0" w:type="auto"/>
            <w:tcBorders>
              <w:bottom w:val="single" w:sz="4" w:space="0" w:color="auto"/>
            </w:tcBorders>
            <w:hideMark/>
          </w:tcPr>
          <w:p w14:paraId="1C129C20" w14:textId="25CE2B17" w:rsidR="00BC10CF" w:rsidRPr="00196413" w:rsidRDefault="00BC10CF" w:rsidP="00BC10CF">
            <w:pPr>
              <w:jc w:val="right"/>
            </w:pPr>
            <w:r w:rsidRPr="00CB33C0">
              <w:rPr>
                <w:color w:val="000000"/>
              </w:rPr>
              <w:t>61.31 ± 0.55</w:t>
            </w:r>
          </w:p>
        </w:tc>
        <w:tc>
          <w:tcPr>
            <w:tcW w:w="0" w:type="auto"/>
            <w:tcBorders>
              <w:bottom w:val="single" w:sz="4" w:space="0" w:color="auto"/>
            </w:tcBorders>
            <w:hideMark/>
          </w:tcPr>
          <w:p w14:paraId="10FC3D50" w14:textId="5082C167" w:rsidR="00BC10CF" w:rsidRPr="00196413" w:rsidRDefault="00BC10CF" w:rsidP="00BC10CF">
            <w:pPr>
              <w:jc w:val="right"/>
            </w:pPr>
            <w:r w:rsidRPr="00CB33C0">
              <w:rPr>
                <w:color w:val="000000"/>
              </w:rPr>
              <w:t>58.32 ± 0.24</w:t>
            </w:r>
          </w:p>
        </w:tc>
        <w:tc>
          <w:tcPr>
            <w:tcW w:w="0" w:type="auto"/>
            <w:tcBorders>
              <w:bottom w:val="single" w:sz="4" w:space="0" w:color="auto"/>
            </w:tcBorders>
            <w:hideMark/>
          </w:tcPr>
          <w:p w14:paraId="37C8D6B1" w14:textId="654E442A" w:rsidR="00BC10CF" w:rsidRPr="00196413" w:rsidRDefault="00BC10CF" w:rsidP="00BC10CF">
            <w:pPr>
              <w:jc w:val="right"/>
            </w:pPr>
            <w:r w:rsidRPr="00CB33C0">
              <w:rPr>
                <w:color w:val="000000"/>
              </w:rPr>
              <w:t>57.41 ± 0.34</w:t>
            </w:r>
          </w:p>
        </w:tc>
        <w:tc>
          <w:tcPr>
            <w:tcW w:w="0" w:type="auto"/>
            <w:tcBorders>
              <w:bottom w:val="single" w:sz="4" w:space="0" w:color="auto"/>
            </w:tcBorders>
            <w:hideMark/>
          </w:tcPr>
          <w:p w14:paraId="2EE119B8" w14:textId="59918A14" w:rsidR="00BC10CF" w:rsidRPr="00196413" w:rsidRDefault="00BC10CF" w:rsidP="00BC10CF">
            <w:pPr>
              <w:jc w:val="right"/>
            </w:pPr>
            <w:r w:rsidRPr="00CB33C0">
              <w:rPr>
                <w:color w:val="000000"/>
              </w:rPr>
              <w:t>53.93 ± 0.39</w:t>
            </w:r>
          </w:p>
        </w:tc>
      </w:tr>
    </w:tbl>
    <w:p w14:paraId="2671DCA2" w14:textId="77777777" w:rsidR="00BC10CF" w:rsidRPr="00CB33C0" w:rsidRDefault="00BC10CF" w:rsidP="00AC0BA3">
      <w:pPr>
        <w:jc w:val="both"/>
      </w:pPr>
    </w:p>
    <w:p w14:paraId="54313659" w14:textId="77777777" w:rsidR="00BC10CF" w:rsidRPr="00196413" w:rsidRDefault="00BC10CF" w:rsidP="00BC10CF">
      <w:pPr>
        <w:pStyle w:val="NormalWeb"/>
        <w:spacing w:before="0" w:beforeAutospacing="0" w:after="0" w:afterAutospacing="0"/>
        <w:jc w:val="both"/>
      </w:pPr>
      <w:r w:rsidRPr="00196413">
        <w:rPr>
          <w:rStyle w:val="Strong"/>
        </w:rPr>
        <w:t xml:space="preserve">Table </w:t>
      </w:r>
      <w:r>
        <w:rPr>
          <w:rStyle w:val="Strong"/>
        </w:rPr>
        <w:t>2</w:t>
      </w:r>
      <w:r w:rsidRPr="00196413">
        <w:rPr>
          <w:rStyle w:val="Strong"/>
        </w:rPr>
        <w:t>: Proximate composition (%) of fermented soybean seeds</w:t>
      </w:r>
    </w:p>
    <w:tbl>
      <w:tblPr>
        <w:tblW w:w="0" w:type="auto"/>
        <w:tblCellMar>
          <w:top w:w="15" w:type="dxa"/>
          <w:left w:w="57" w:type="dxa"/>
          <w:bottom w:w="15" w:type="dxa"/>
          <w:right w:w="57" w:type="dxa"/>
        </w:tblCellMar>
        <w:tblLook w:val="04A0" w:firstRow="1" w:lastRow="0" w:firstColumn="1" w:lastColumn="0" w:noHBand="0" w:noVBand="1"/>
      </w:tblPr>
      <w:tblGrid>
        <w:gridCol w:w="2184"/>
        <w:gridCol w:w="1701"/>
        <w:gridCol w:w="1701"/>
        <w:gridCol w:w="1701"/>
        <w:gridCol w:w="1417"/>
      </w:tblGrid>
      <w:tr w:rsidR="00BC10CF" w:rsidRPr="00196413" w14:paraId="17EF5B48" w14:textId="77777777" w:rsidTr="00DE6A00">
        <w:trPr>
          <w:tblHeader/>
        </w:trPr>
        <w:tc>
          <w:tcPr>
            <w:tcW w:w="2184" w:type="dxa"/>
            <w:tcBorders>
              <w:top w:val="single" w:sz="4" w:space="0" w:color="auto"/>
              <w:bottom w:val="single" w:sz="4" w:space="0" w:color="auto"/>
            </w:tcBorders>
            <w:vAlign w:val="center"/>
            <w:hideMark/>
          </w:tcPr>
          <w:p w14:paraId="7EFED210" w14:textId="77777777" w:rsidR="00BC10CF" w:rsidRPr="00196413" w:rsidRDefault="00BC10CF" w:rsidP="00DE6A00">
            <w:pPr>
              <w:jc w:val="both"/>
              <w:rPr>
                <w:b/>
                <w:bCs/>
              </w:rPr>
            </w:pPr>
            <w:r w:rsidRPr="00196413">
              <w:rPr>
                <w:b/>
                <w:bCs/>
              </w:rPr>
              <w:t>Parameter</w:t>
            </w:r>
          </w:p>
        </w:tc>
        <w:tc>
          <w:tcPr>
            <w:tcW w:w="1701" w:type="dxa"/>
            <w:tcBorders>
              <w:top w:val="single" w:sz="4" w:space="0" w:color="auto"/>
              <w:bottom w:val="single" w:sz="4" w:space="0" w:color="auto"/>
            </w:tcBorders>
            <w:vAlign w:val="center"/>
            <w:hideMark/>
          </w:tcPr>
          <w:p w14:paraId="10CDB8EF" w14:textId="77777777" w:rsidR="00BC10CF" w:rsidRPr="00196413" w:rsidRDefault="00BC10CF" w:rsidP="00DE6A00">
            <w:pPr>
              <w:jc w:val="center"/>
              <w:rPr>
                <w:b/>
                <w:bCs/>
              </w:rPr>
            </w:pPr>
            <w:r w:rsidRPr="00196413">
              <w:rPr>
                <w:b/>
                <w:bCs/>
              </w:rPr>
              <w:t>0 h</w:t>
            </w:r>
          </w:p>
        </w:tc>
        <w:tc>
          <w:tcPr>
            <w:tcW w:w="1701" w:type="dxa"/>
            <w:tcBorders>
              <w:top w:val="single" w:sz="4" w:space="0" w:color="auto"/>
              <w:bottom w:val="single" w:sz="4" w:space="0" w:color="auto"/>
            </w:tcBorders>
            <w:vAlign w:val="center"/>
            <w:hideMark/>
          </w:tcPr>
          <w:p w14:paraId="3F3C6BE3" w14:textId="77777777" w:rsidR="00BC10CF" w:rsidRPr="00196413" w:rsidRDefault="00BC10CF" w:rsidP="00DE6A00">
            <w:pPr>
              <w:jc w:val="center"/>
              <w:rPr>
                <w:b/>
                <w:bCs/>
              </w:rPr>
            </w:pPr>
            <w:r w:rsidRPr="00196413">
              <w:rPr>
                <w:b/>
                <w:bCs/>
              </w:rPr>
              <w:t>24 h</w:t>
            </w:r>
          </w:p>
        </w:tc>
        <w:tc>
          <w:tcPr>
            <w:tcW w:w="1701" w:type="dxa"/>
            <w:tcBorders>
              <w:top w:val="single" w:sz="4" w:space="0" w:color="auto"/>
              <w:bottom w:val="single" w:sz="4" w:space="0" w:color="auto"/>
            </w:tcBorders>
            <w:vAlign w:val="center"/>
            <w:hideMark/>
          </w:tcPr>
          <w:p w14:paraId="0C03ACC0" w14:textId="77777777" w:rsidR="00BC10CF" w:rsidRPr="00196413" w:rsidRDefault="00BC10CF" w:rsidP="00DE6A00">
            <w:pPr>
              <w:jc w:val="center"/>
              <w:rPr>
                <w:b/>
                <w:bCs/>
              </w:rPr>
            </w:pPr>
            <w:r w:rsidRPr="00196413">
              <w:rPr>
                <w:b/>
                <w:bCs/>
              </w:rPr>
              <w:t>48 h</w:t>
            </w:r>
          </w:p>
        </w:tc>
        <w:tc>
          <w:tcPr>
            <w:tcW w:w="1417" w:type="dxa"/>
            <w:tcBorders>
              <w:top w:val="single" w:sz="4" w:space="0" w:color="auto"/>
              <w:bottom w:val="single" w:sz="4" w:space="0" w:color="auto"/>
            </w:tcBorders>
            <w:vAlign w:val="center"/>
            <w:hideMark/>
          </w:tcPr>
          <w:p w14:paraId="0406E798" w14:textId="77777777" w:rsidR="00BC10CF" w:rsidRPr="00196413" w:rsidRDefault="00BC10CF" w:rsidP="00DE6A00">
            <w:pPr>
              <w:jc w:val="center"/>
              <w:rPr>
                <w:b/>
                <w:bCs/>
              </w:rPr>
            </w:pPr>
            <w:r w:rsidRPr="00196413">
              <w:rPr>
                <w:b/>
                <w:bCs/>
              </w:rPr>
              <w:t>72 h</w:t>
            </w:r>
          </w:p>
        </w:tc>
      </w:tr>
      <w:tr w:rsidR="00BC10CF" w:rsidRPr="00196413" w14:paraId="5E0A4128" w14:textId="77777777" w:rsidTr="00DE6A00">
        <w:tc>
          <w:tcPr>
            <w:tcW w:w="2184" w:type="dxa"/>
            <w:tcBorders>
              <w:top w:val="single" w:sz="4" w:space="0" w:color="auto"/>
            </w:tcBorders>
            <w:vAlign w:val="center"/>
            <w:hideMark/>
          </w:tcPr>
          <w:p w14:paraId="548DA150" w14:textId="77777777" w:rsidR="00BC10CF" w:rsidRPr="00196413" w:rsidRDefault="00BC10CF" w:rsidP="00DE6A00">
            <w:pPr>
              <w:jc w:val="both"/>
            </w:pPr>
            <w:r w:rsidRPr="00196413">
              <w:t>Moisture (%)</w:t>
            </w:r>
          </w:p>
        </w:tc>
        <w:tc>
          <w:tcPr>
            <w:tcW w:w="1701" w:type="dxa"/>
            <w:tcBorders>
              <w:top w:val="single" w:sz="4" w:space="0" w:color="auto"/>
            </w:tcBorders>
            <w:vAlign w:val="center"/>
            <w:hideMark/>
          </w:tcPr>
          <w:p w14:paraId="587250D4" w14:textId="77777777" w:rsidR="00BC10CF" w:rsidRPr="00196413" w:rsidRDefault="00BC10CF" w:rsidP="00DE6A00">
            <w:pPr>
              <w:jc w:val="right"/>
            </w:pPr>
            <w:r w:rsidRPr="00196413">
              <w:t>4.07 ± 0.45</w:t>
            </w:r>
          </w:p>
        </w:tc>
        <w:tc>
          <w:tcPr>
            <w:tcW w:w="1701" w:type="dxa"/>
            <w:tcBorders>
              <w:top w:val="single" w:sz="4" w:space="0" w:color="auto"/>
            </w:tcBorders>
            <w:vAlign w:val="center"/>
            <w:hideMark/>
          </w:tcPr>
          <w:p w14:paraId="3493BBE5" w14:textId="77777777" w:rsidR="00BC10CF" w:rsidRPr="00196413" w:rsidRDefault="00BC10CF" w:rsidP="00DE6A00">
            <w:pPr>
              <w:jc w:val="right"/>
            </w:pPr>
            <w:r w:rsidRPr="00196413">
              <w:t>4.37 ± 0.21</w:t>
            </w:r>
          </w:p>
        </w:tc>
        <w:tc>
          <w:tcPr>
            <w:tcW w:w="1701" w:type="dxa"/>
            <w:tcBorders>
              <w:top w:val="single" w:sz="4" w:space="0" w:color="auto"/>
            </w:tcBorders>
            <w:vAlign w:val="center"/>
            <w:hideMark/>
          </w:tcPr>
          <w:p w14:paraId="229C02BB" w14:textId="77777777" w:rsidR="00BC10CF" w:rsidRPr="00196413" w:rsidRDefault="00BC10CF" w:rsidP="00DE6A00">
            <w:pPr>
              <w:jc w:val="right"/>
            </w:pPr>
            <w:r w:rsidRPr="00196413">
              <w:t>3.32 ± 0.03</w:t>
            </w:r>
          </w:p>
        </w:tc>
        <w:tc>
          <w:tcPr>
            <w:tcW w:w="1417" w:type="dxa"/>
            <w:tcBorders>
              <w:top w:val="single" w:sz="4" w:space="0" w:color="auto"/>
            </w:tcBorders>
            <w:vAlign w:val="center"/>
            <w:hideMark/>
          </w:tcPr>
          <w:p w14:paraId="56217ECC" w14:textId="77777777" w:rsidR="00BC10CF" w:rsidRPr="00196413" w:rsidRDefault="00BC10CF" w:rsidP="00DE6A00">
            <w:pPr>
              <w:jc w:val="right"/>
            </w:pPr>
            <w:r w:rsidRPr="00196413">
              <w:t>2.98 ± 0.01</w:t>
            </w:r>
          </w:p>
        </w:tc>
      </w:tr>
      <w:tr w:rsidR="00BC10CF" w:rsidRPr="00196413" w14:paraId="541AB854" w14:textId="77777777" w:rsidTr="00DE6A00">
        <w:tc>
          <w:tcPr>
            <w:tcW w:w="2184" w:type="dxa"/>
            <w:vAlign w:val="center"/>
            <w:hideMark/>
          </w:tcPr>
          <w:p w14:paraId="4A728EB2" w14:textId="77777777" w:rsidR="00BC10CF" w:rsidRPr="00196413" w:rsidRDefault="00BC10CF" w:rsidP="00DE6A00">
            <w:pPr>
              <w:jc w:val="both"/>
            </w:pPr>
            <w:r w:rsidRPr="00196413">
              <w:t>Fat (%)</w:t>
            </w:r>
          </w:p>
        </w:tc>
        <w:tc>
          <w:tcPr>
            <w:tcW w:w="1701" w:type="dxa"/>
            <w:vAlign w:val="center"/>
            <w:hideMark/>
          </w:tcPr>
          <w:p w14:paraId="27D92379" w14:textId="77777777" w:rsidR="00BC10CF" w:rsidRPr="00196413" w:rsidRDefault="00BC10CF" w:rsidP="00DE6A00">
            <w:pPr>
              <w:jc w:val="right"/>
            </w:pPr>
            <w:r w:rsidRPr="00196413">
              <w:t>16.06 ± 0.01</w:t>
            </w:r>
          </w:p>
        </w:tc>
        <w:tc>
          <w:tcPr>
            <w:tcW w:w="1701" w:type="dxa"/>
            <w:vAlign w:val="center"/>
            <w:hideMark/>
          </w:tcPr>
          <w:p w14:paraId="5032A682" w14:textId="77777777" w:rsidR="00BC10CF" w:rsidRPr="00196413" w:rsidRDefault="00BC10CF" w:rsidP="00DE6A00">
            <w:pPr>
              <w:jc w:val="right"/>
            </w:pPr>
            <w:r w:rsidRPr="00196413">
              <w:t>15.12 ± 0.05</w:t>
            </w:r>
          </w:p>
        </w:tc>
        <w:tc>
          <w:tcPr>
            <w:tcW w:w="1701" w:type="dxa"/>
            <w:vAlign w:val="center"/>
            <w:hideMark/>
          </w:tcPr>
          <w:p w14:paraId="422AA2FE" w14:textId="77777777" w:rsidR="00BC10CF" w:rsidRPr="00196413" w:rsidRDefault="00BC10CF" w:rsidP="00DE6A00">
            <w:pPr>
              <w:jc w:val="right"/>
            </w:pPr>
            <w:r w:rsidRPr="00196413">
              <w:t>15.95 ± 0.20</w:t>
            </w:r>
          </w:p>
        </w:tc>
        <w:tc>
          <w:tcPr>
            <w:tcW w:w="1417" w:type="dxa"/>
            <w:vAlign w:val="center"/>
            <w:hideMark/>
          </w:tcPr>
          <w:p w14:paraId="78BBB4F9" w14:textId="77777777" w:rsidR="00BC10CF" w:rsidRPr="00196413" w:rsidRDefault="00BC10CF" w:rsidP="00DE6A00">
            <w:pPr>
              <w:jc w:val="right"/>
            </w:pPr>
            <w:r w:rsidRPr="00196413">
              <w:t>15.36 ± 0.02</w:t>
            </w:r>
          </w:p>
        </w:tc>
      </w:tr>
      <w:tr w:rsidR="00BC10CF" w:rsidRPr="00196413" w14:paraId="2BFDC452" w14:textId="77777777" w:rsidTr="00DE6A00">
        <w:tc>
          <w:tcPr>
            <w:tcW w:w="2184" w:type="dxa"/>
            <w:vAlign w:val="center"/>
            <w:hideMark/>
          </w:tcPr>
          <w:p w14:paraId="201E62BB" w14:textId="77777777" w:rsidR="00BC10CF" w:rsidRPr="00196413" w:rsidRDefault="00BC10CF" w:rsidP="00DE6A00">
            <w:pPr>
              <w:jc w:val="both"/>
            </w:pPr>
            <w:proofErr w:type="spellStart"/>
            <w:r w:rsidRPr="00196413">
              <w:t>Fibre</w:t>
            </w:r>
            <w:proofErr w:type="spellEnd"/>
            <w:r w:rsidRPr="00196413">
              <w:t xml:space="preserve"> (%)</w:t>
            </w:r>
          </w:p>
        </w:tc>
        <w:tc>
          <w:tcPr>
            <w:tcW w:w="1701" w:type="dxa"/>
            <w:vAlign w:val="center"/>
            <w:hideMark/>
          </w:tcPr>
          <w:p w14:paraId="48BE6F35" w14:textId="77777777" w:rsidR="00BC10CF" w:rsidRPr="00196413" w:rsidRDefault="00BC10CF" w:rsidP="00DE6A00">
            <w:pPr>
              <w:jc w:val="right"/>
            </w:pPr>
            <w:r w:rsidRPr="00196413">
              <w:t>14.03 ± 0.03</w:t>
            </w:r>
          </w:p>
        </w:tc>
        <w:tc>
          <w:tcPr>
            <w:tcW w:w="1701" w:type="dxa"/>
            <w:vAlign w:val="center"/>
            <w:hideMark/>
          </w:tcPr>
          <w:p w14:paraId="4CBD24D6" w14:textId="77777777" w:rsidR="00BC10CF" w:rsidRPr="00196413" w:rsidRDefault="00BC10CF" w:rsidP="00DE6A00">
            <w:pPr>
              <w:jc w:val="right"/>
            </w:pPr>
            <w:r w:rsidRPr="00196413">
              <w:t>10.62 ± 0.04</w:t>
            </w:r>
          </w:p>
        </w:tc>
        <w:tc>
          <w:tcPr>
            <w:tcW w:w="1701" w:type="dxa"/>
            <w:vAlign w:val="center"/>
            <w:hideMark/>
          </w:tcPr>
          <w:p w14:paraId="0F3B04C1" w14:textId="77777777" w:rsidR="00BC10CF" w:rsidRPr="00196413" w:rsidRDefault="00BC10CF" w:rsidP="00DE6A00">
            <w:pPr>
              <w:jc w:val="right"/>
            </w:pPr>
            <w:r w:rsidRPr="00196413">
              <w:t>9.97 ± 0.04</w:t>
            </w:r>
          </w:p>
        </w:tc>
        <w:tc>
          <w:tcPr>
            <w:tcW w:w="1417" w:type="dxa"/>
            <w:vAlign w:val="center"/>
            <w:hideMark/>
          </w:tcPr>
          <w:p w14:paraId="66321FE0" w14:textId="77777777" w:rsidR="00BC10CF" w:rsidRPr="00196413" w:rsidRDefault="00BC10CF" w:rsidP="00DE6A00">
            <w:pPr>
              <w:jc w:val="right"/>
            </w:pPr>
            <w:r w:rsidRPr="00196413">
              <w:t>9.46 ± 0.04</w:t>
            </w:r>
          </w:p>
        </w:tc>
      </w:tr>
      <w:tr w:rsidR="00BC10CF" w:rsidRPr="00196413" w14:paraId="40A2292F" w14:textId="77777777" w:rsidTr="00DE6A00">
        <w:tc>
          <w:tcPr>
            <w:tcW w:w="2184" w:type="dxa"/>
            <w:vAlign w:val="center"/>
            <w:hideMark/>
          </w:tcPr>
          <w:p w14:paraId="41613F80" w14:textId="77777777" w:rsidR="00BC10CF" w:rsidRPr="00196413" w:rsidRDefault="00BC10CF" w:rsidP="00DE6A00">
            <w:pPr>
              <w:jc w:val="both"/>
            </w:pPr>
            <w:r w:rsidRPr="00196413">
              <w:t>Ash (%)</w:t>
            </w:r>
          </w:p>
        </w:tc>
        <w:tc>
          <w:tcPr>
            <w:tcW w:w="1701" w:type="dxa"/>
            <w:vAlign w:val="center"/>
            <w:hideMark/>
          </w:tcPr>
          <w:p w14:paraId="4ACDF6CD" w14:textId="77777777" w:rsidR="00BC10CF" w:rsidRPr="00196413" w:rsidRDefault="00BC10CF" w:rsidP="00DE6A00">
            <w:pPr>
              <w:jc w:val="right"/>
            </w:pPr>
            <w:r w:rsidRPr="00196413">
              <w:t>2.84 ± 0.01</w:t>
            </w:r>
          </w:p>
        </w:tc>
        <w:tc>
          <w:tcPr>
            <w:tcW w:w="1701" w:type="dxa"/>
            <w:vAlign w:val="center"/>
            <w:hideMark/>
          </w:tcPr>
          <w:p w14:paraId="5A82067D" w14:textId="77777777" w:rsidR="00BC10CF" w:rsidRPr="00196413" w:rsidRDefault="00BC10CF" w:rsidP="00DE6A00">
            <w:pPr>
              <w:jc w:val="right"/>
            </w:pPr>
            <w:r w:rsidRPr="00196413">
              <w:t>2.89 ± 0.02</w:t>
            </w:r>
          </w:p>
        </w:tc>
        <w:tc>
          <w:tcPr>
            <w:tcW w:w="1701" w:type="dxa"/>
            <w:vAlign w:val="center"/>
            <w:hideMark/>
          </w:tcPr>
          <w:p w14:paraId="493FD874" w14:textId="77777777" w:rsidR="00BC10CF" w:rsidRPr="00196413" w:rsidRDefault="00BC10CF" w:rsidP="00DE6A00">
            <w:pPr>
              <w:jc w:val="right"/>
            </w:pPr>
            <w:r w:rsidRPr="00196413">
              <w:t>2.88 ± 0.02</w:t>
            </w:r>
          </w:p>
        </w:tc>
        <w:tc>
          <w:tcPr>
            <w:tcW w:w="1417" w:type="dxa"/>
            <w:vAlign w:val="center"/>
            <w:hideMark/>
          </w:tcPr>
          <w:p w14:paraId="315FBB53" w14:textId="77777777" w:rsidR="00BC10CF" w:rsidRPr="00196413" w:rsidRDefault="00BC10CF" w:rsidP="00DE6A00">
            <w:pPr>
              <w:jc w:val="right"/>
            </w:pPr>
            <w:r w:rsidRPr="00196413">
              <w:t>3.43 ± 0.04</w:t>
            </w:r>
          </w:p>
        </w:tc>
      </w:tr>
      <w:tr w:rsidR="00BC10CF" w:rsidRPr="00196413" w14:paraId="4A1DE239" w14:textId="77777777" w:rsidTr="00DE6A00">
        <w:tc>
          <w:tcPr>
            <w:tcW w:w="2184" w:type="dxa"/>
            <w:vAlign w:val="center"/>
            <w:hideMark/>
          </w:tcPr>
          <w:p w14:paraId="2812B53C" w14:textId="77777777" w:rsidR="00BC10CF" w:rsidRPr="00196413" w:rsidRDefault="00BC10CF" w:rsidP="00DE6A00">
            <w:pPr>
              <w:jc w:val="both"/>
            </w:pPr>
            <w:r w:rsidRPr="00196413">
              <w:t>Protein (%)</w:t>
            </w:r>
          </w:p>
        </w:tc>
        <w:tc>
          <w:tcPr>
            <w:tcW w:w="1701" w:type="dxa"/>
            <w:vAlign w:val="center"/>
            <w:hideMark/>
          </w:tcPr>
          <w:p w14:paraId="70BF8B5F" w14:textId="77777777" w:rsidR="00BC10CF" w:rsidRPr="00196413" w:rsidRDefault="00BC10CF" w:rsidP="00DE6A00">
            <w:pPr>
              <w:jc w:val="right"/>
            </w:pPr>
            <w:r w:rsidRPr="00196413">
              <w:t>25.37 ± 0.02</w:t>
            </w:r>
          </w:p>
        </w:tc>
        <w:tc>
          <w:tcPr>
            <w:tcW w:w="1701" w:type="dxa"/>
            <w:vAlign w:val="center"/>
            <w:hideMark/>
          </w:tcPr>
          <w:p w14:paraId="7F52ADC6" w14:textId="77777777" w:rsidR="00BC10CF" w:rsidRPr="00196413" w:rsidRDefault="00BC10CF" w:rsidP="00DE6A00">
            <w:pPr>
              <w:jc w:val="right"/>
            </w:pPr>
            <w:r w:rsidRPr="00196413">
              <w:t>30.93 ± 0.02</w:t>
            </w:r>
          </w:p>
        </w:tc>
        <w:tc>
          <w:tcPr>
            <w:tcW w:w="1701" w:type="dxa"/>
            <w:vAlign w:val="center"/>
            <w:hideMark/>
          </w:tcPr>
          <w:p w14:paraId="21E18549" w14:textId="77777777" w:rsidR="00BC10CF" w:rsidRPr="00196413" w:rsidRDefault="00BC10CF" w:rsidP="00DE6A00">
            <w:pPr>
              <w:jc w:val="right"/>
            </w:pPr>
            <w:r w:rsidRPr="00196413">
              <w:t>32.45 ± 0.02</w:t>
            </w:r>
          </w:p>
        </w:tc>
        <w:tc>
          <w:tcPr>
            <w:tcW w:w="1417" w:type="dxa"/>
            <w:vAlign w:val="center"/>
            <w:hideMark/>
          </w:tcPr>
          <w:p w14:paraId="63C2FAD6" w14:textId="77777777" w:rsidR="00BC10CF" w:rsidRPr="00196413" w:rsidRDefault="00BC10CF" w:rsidP="00DE6A00">
            <w:pPr>
              <w:jc w:val="right"/>
            </w:pPr>
            <w:r w:rsidRPr="00196413">
              <w:t>35.13 ± 0.01</w:t>
            </w:r>
          </w:p>
        </w:tc>
      </w:tr>
      <w:tr w:rsidR="00BC10CF" w:rsidRPr="00196413" w14:paraId="5CAEB19F" w14:textId="77777777" w:rsidTr="00DE6A00">
        <w:tc>
          <w:tcPr>
            <w:tcW w:w="2184" w:type="dxa"/>
            <w:tcBorders>
              <w:bottom w:val="single" w:sz="4" w:space="0" w:color="auto"/>
            </w:tcBorders>
            <w:vAlign w:val="center"/>
            <w:hideMark/>
          </w:tcPr>
          <w:p w14:paraId="777C6F8F" w14:textId="77777777" w:rsidR="00BC10CF" w:rsidRPr="00196413" w:rsidRDefault="00BC10CF" w:rsidP="00DE6A00">
            <w:pPr>
              <w:jc w:val="both"/>
            </w:pPr>
            <w:r w:rsidRPr="00196413">
              <w:t>Carbohydrate (%)</w:t>
            </w:r>
          </w:p>
        </w:tc>
        <w:tc>
          <w:tcPr>
            <w:tcW w:w="1701" w:type="dxa"/>
            <w:tcBorders>
              <w:bottom w:val="single" w:sz="4" w:space="0" w:color="auto"/>
            </w:tcBorders>
            <w:vAlign w:val="center"/>
            <w:hideMark/>
          </w:tcPr>
          <w:p w14:paraId="7BD0AC65" w14:textId="77777777" w:rsidR="00BC10CF" w:rsidRPr="00196413" w:rsidRDefault="00BC10CF" w:rsidP="00DE6A00">
            <w:pPr>
              <w:jc w:val="right"/>
            </w:pPr>
            <w:r w:rsidRPr="00196413">
              <w:t>37.09 ± 0.44</w:t>
            </w:r>
          </w:p>
        </w:tc>
        <w:tc>
          <w:tcPr>
            <w:tcW w:w="1701" w:type="dxa"/>
            <w:tcBorders>
              <w:bottom w:val="single" w:sz="4" w:space="0" w:color="auto"/>
            </w:tcBorders>
            <w:vAlign w:val="center"/>
            <w:hideMark/>
          </w:tcPr>
          <w:p w14:paraId="0F728AD1" w14:textId="77777777" w:rsidR="00BC10CF" w:rsidRPr="00196413" w:rsidRDefault="00BC10CF" w:rsidP="00DE6A00">
            <w:pPr>
              <w:jc w:val="right"/>
            </w:pPr>
            <w:r w:rsidRPr="00196413">
              <w:t>36.18 ± 0.20</w:t>
            </w:r>
          </w:p>
        </w:tc>
        <w:tc>
          <w:tcPr>
            <w:tcW w:w="1701" w:type="dxa"/>
            <w:tcBorders>
              <w:bottom w:val="single" w:sz="4" w:space="0" w:color="auto"/>
            </w:tcBorders>
            <w:vAlign w:val="center"/>
            <w:hideMark/>
          </w:tcPr>
          <w:p w14:paraId="38442B99" w14:textId="77777777" w:rsidR="00BC10CF" w:rsidRPr="00196413" w:rsidRDefault="00BC10CF" w:rsidP="00DE6A00">
            <w:pPr>
              <w:jc w:val="right"/>
            </w:pPr>
            <w:r w:rsidRPr="00196413">
              <w:t>35.43 ± 0.20</w:t>
            </w:r>
          </w:p>
        </w:tc>
        <w:tc>
          <w:tcPr>
            <w:tcW w:w="1417" w:type="dxa"/>
            <w:tcBorders>
              <w:bottom w:val="single" w:sz="4" w:space="0" w:color="auto"/>
            </w:tcBorders>
            <w:vAlign w:val="center"/>
            <w:hideMark/>
          </w:tcPr>
          <w:p w14:paraId="2A4964D9" w14:textId="77777777" w:rsidR="00BC10CF" w:rsidRPr="00196413" w:rsidRDefault="00BC10CF" w:rsidP="00DE6A00">
            <w:pPr>
              <w:jc w:val="right"/>
            </w:pPr>
            <w:r w:rsidRPr="00196413">
              <w:t>33.64 ± 0.09</w:t>
            </w:r>
          </w:p>
        </w:tc>
      </w:tr>
    </w:tbl>
    <w:p w14:paraId="34E103F8" w14:textId="77777777" w:rsidR="00BC10CF" w:rsidRPr="00196413" w:rsidRDefault="00BC10CF" w:rsidP="00BC10CF">
      <w:pPr>
        <w:pStyle w:val="Heading4"/>
        <w:spacing w:before="0" w:after="120"/>
        <w:jc w:val="both"/>
        <w:rPr>
          <w:color w:val="auto"/>
        </w:rPr>
      </w:pPr>
    </w:p>
    <w:p w14:paraId="437FB0AF" w14:textId="295FF28D" w:rsidR="00DC1F3D" w:rsidRPr="00CB33C0" w:rsidRDefault="00A90421" w:rsidP="00973E58">
      <w:pPr>
        <w:pStyle w:val="Heading3"/>
        <w:keepNext w:val="0"/>
        <w:keepLines w:val="0"/>
        <w:spacing w:before="140" w:after="140"/>
        <w:jc w:val="both"/>
        <w:rPr>
          <w:sz w:val="24"/>
          <w:szCs w:val="24"/>
        </w:rPr>
      </w:pPr>
      <w:r w:rsidRPr="00CB33C0">
        <w:rPr>
          <w:color w:val="auto"/>
          <w:sz w:val="24"/>
          <w:szCs w:val="24"/>
        </w:rPr>
        <w:t>Effects on mineral composition (Fermentation)</w:t>
      </w:r>
    </w:p>
    <w:p w14:paraId="14AA03A4" w14:textId="77777777" w:rsidR="00DC1F3D" w:rsidRPr="00CB33C0" w:rsidRDefault="00A90421" w:rsidP="00973E58">
      <w:pPr>
        <w:spacing w:before="120" w:after="120"/>
        <w:jc w:val="both"/>
      </w:pPr>
      <w:r w:rsidRPr="00CB33C0">
        <w:t>Fermentation enhanced mineral content, with calcium, potassium, sodium, iron, zinc, and magnesium all increasing progressively throughout the fermentation process (Table 3). Mineral data for sprouted soybeans were unavailable, so a direct comparison was not possible.</w:t>
      </w:r>
    </w:p>
    <w:p w14:paraId="28F67D40" w14:textId="77777777" w:rsidR="00E5603A" w:rsidRDefault="00E5603A">
      <w:pPr>
        <w:rPr>
          <w:rStyle w:val="Strong"/>
          <w:lang w:val="en-GB" w:eastAsia="en-GB"/>
        </w:rPr>
      </w:pPr>
      <w:r>
        <w:rPr>
          <w:rStyle w:val="Strong"/>
        </w:rPr>
        <w:br w:type="page"/>
      </w:r>
    </w:p>
    <w:p w14:paraId="4C114BE4" w14:textId="28FA64B7" w:rsidR="00BC10CF" w:rsidRPr="00196413" w:rsidRDefault="00BC10CF" w:rsidP="00BC10CF">
      <w:pPr>
        <w:pStyle w:val="NormalWeb"/>
        <w:spacing w:before="0" w:beforeAutospacing="0" w:after="0" w:afterAutospacing="0"/>
        <w:jc w:val="both"/>
      </w:pPr>
      <w:r w:rsidRPr="00196413">
        <w:rPr>
          <w:rStyle w:val="Strong"/>
        </w:rPr>
        <w:lastRenderedPageBreak/>
        <w:t xml:space="preserve">Table </w:t>
      </w:r>
      <w:r>
        <w:rPr>
          <w:rStyle w:val="Strong"/>
        </w:rPr>
        <w:t>3</w:t>
      </w:r>
      <w:r w:rsidRPr="00196413">
        <w:rPr>
          <w:rStyle w:val="Strong"/>
        </w:rPr>
        <w:t>: Mineral profile of fermented soybean seeds (mg/100 g)</w:t>
      </w:r>
    </w:p>
    <w:tbl>
      <w:tblPr>
        <w:tblW w:w="0" w:type="auto"/>
        <w:tblCellMar>
          <w:top w:w="15" w:type="dxa"/>
          <w:left w:w="57" w:type="dxa"/>
          <w:bottom w:w="15" w:type="dxa"/>
          <w:right w:w="57" w:type="dxa"/>
        </w:tblCellMar>
        <w:tblLook w:val="04A0" w:firstRow="1" w:lastRow="0" w:firstColumn="1" w:lastColumn="0" w:noHBand="0" w:noVBand="1"/>
      </w:tblPr>
      <w:tblGrid>
        <w:gridCol w:w="2467"/>
        <w:gridCol w:w="1559"/>
        <w:gridCol w:w="1701"/>
        <w:gridCol w:w="1560"/>
        <w:gridCol w:w="1417"/>
      </w:tblGrid>
      <w:tr w:rsidR="00BC10CF" w:rsidRPr="00196413" w14:paraId="4C34E2F0" w14:textId="77777777" w:rsidTr="00DE6A00">
        <w:trPr>
          <w:tblHeader/>
        </w:trPr>
        <w:tc>
          <w:tcPr>
            <w:tcW w:w="2467" w:type="dxa"/>
            <w:tcBorders>
              <w:top w:val="single" w:sz="4" w:space="0" w:color="auto"/>
              <w:bottom w:val="single" w:sz="4" w:space="0" w:color="auto"/>
            </w:tcBorders>
            <w:vAlign w:val="center"/>
            <w:hideMark/>
          </w:tcPr>
          <w:p w14:paraId="4E993E6C" w14:textId="77777777" w:rsidR="00BC10CF" w:rsidRPr="00196413" w:rsidRDefault="00BC10CF" w:rsidP="00DE6A00">
            <w:pPr>
              <w:jc w:val="both"/>
              <w:rPr>
                <w:b/>
                <w:bCs/>
              </w:rPr>
            </w:pPr>
            <w:r w:rsidRPr="00196413">
              <w:rPr>
                <w:b/>
                <w:bCs/>
              </w:rPr>
              <w:t>Mineral</w:t>
            </w:r>
          </w:p>
        </w:tc>
        <w:tc>
          <w:tcPr>
            <w:tcW w:w="1559" w:type="dxa"/>
            <w:tcBorders>
              <w:top w:val="single" w:sz="4" w:space="0" w:color="auto"/>
              <w:bottom w:val="single" w:sz="4" w:space="0" w:color="auto"/>
            </w:tcBorders>
            <w:vAlign w:val="center"/>
            <w:hideMark/>
          </w:tcPr>
          <w:p w14:paraId="67FC91D8" w14:textId="77777777" w:rsidR="00BC10CF" w:rsidRPr="00196413" w:rsidRDefault="00BC10CF" w:rsidP="00DE6A00">
            <w:pPr>
              <w:jc w:val="center"/>
              <w:rPr>
                <w:b/>
                <w:bCs/>
              </w:rPr>
            </w:pPr>
            <w:r w:rsidRPr="00196413">
              <w:rPr>
                <w:b/>
                <w:bCs/>
              </w:rPr>
              <w:t>0 h</w:t>
            </w:r>
          </w:p>
        </w:tc>
        <w:tc>
          <w:tcPr>
            <w:tcW w:w="1701" w:type="dxa"/>
            <w:tcBorders>
              <w:top w:val="single" w:sz="4" w:space="0" w:color="auto"/>
              <w:bottom w:val="single" w:sz="4" w:space="0" w:color="auto"/>
            </w:tcBorders>
            <w:vAlign w:val="center"/>
            <w:hideMark/>
          </w:tcPr>
          <w:p w14:paraId="5F73F8CA" w14:textId="77777777" w:rsidR="00BC10CF" w:rsidRPr="00196413" w:rsidRDefault="00BC10CF" w:rsidP="00DE6A00">
            <w:pPr>
              <w:jc w:val="center"/>
              <w:rPr>
                <w:b/>
                <w:bCs/>
              </w:rPr>
            </w:pPr>
            <w:r w:rsidRPr="00196413">
              <w:rPr>
                <w:b/>
                <w:bCs/>
              </w:rPr>
              <w:t>24 h</w:t>
            </w:r>
          </w:p>
        </w:tc>
        <w:tc>
          <w:tcPr>
            <w:tcW w:w="1560" w:type="dxa"/>
            <w:tcBorders>
              <w:top w:val="single" w:sz="4" w:space="0" w:color="auto"/>
              <w:bottom w:val="single" w:sz="4" w:space="0" w:color="auto"/>
            </w:tcBorders>
            <w:vAlign w:val="center"/>
            <w:hideMark/>
          </w:tcPr>
          <w:p w14:paraId="7F1C37BE" w14:textId="77777777" w:rsidR="00BC10CF" w:rsidRPr="00196413" w:rsidRDefault="00BC10CF" w:rsidP="00DE6A00">
            <w:pPr>
              <w:jc w:val="center"/>
              <w:rPr>
                <w:b/>
                <w:bCs/>
              </w:rPr>
            </w:pPr>
            <w:r w:rsidRPr="00196413">
              <w:rPr>
                <w:b/>
                <w:bCs/>
              </w:rPr>
              <w:t>48 h</w:t>
            </w:r>
          </w:p>
        </w:tc>
        <w:tc>
          <w:tcPr>
            <w:tcW w:w="1417" w:type="dxa"/>
            <w:tcBorders>
              <w:top w:val="single" w:sz="4" w:space="0" w:color="auto"/>
              <w:bottom w:val="single" w:sz="4" w:space="0" w:color="auto"/>
            </w:tcBorders>
            <w:vAlign w:val="center"/>
            <w:hideMark/>
          </w:tcPr>
          <w:p w14:paraId="78937678" w14:textId="77777777" w:rsidR="00BC10CF" w:rsidRPr="00196413" w:rsidRDefault="00BC10CF" w:rsidP="00DE6A00">
            <w:pPr>
              <w:jc w:val="center"/>
              <w:rPr>
                <w:b/>
                <w:bCs/>
              </w:rPr>
            </w:pPr>
            <w:r w:rsidRPr="00196413">
              <w:rPr>
                <w:b/>
                <w:bCs/>
              </w:rPr>
              <w:t>72 h</w:t>
            </w:r>
          </w:p>
        </w:tc>
      </w:tr>
      <w:tr w:rsidR="00BC10CF" w:rsidRPr="00196413" w14:paraId="3537E2EB" w14:textId="77777777" w:rsidTr="00DE6A00">
        <w:tc>
          <w:tcPr>
            <w:tcW w:w="2467" w:type="dxa"/>
            <w:tcBorders>
              <w:top w:val="single" w:sz="4" w:space="0" w:color="auto"/>
            </w:tcBorders>
            <w:vAlign w:val="center"/>
            <w:hideMark/>
          </w:tcPr>
          <w:p w14:paraId="23F2E915" w14:textId="77777777" w:rsidR="00BC10CF" w:rsidRPr="00196413" w:rsidRDefault="00BC10CF" w:rsidP="00DE6A00">
            <w:pPr>
              <w:jc w:val="both"/>
            </w:pPr>
            <w:r w:rsidRPr="00196413">
              <w:t>Calcium</w:t>
            </w:r>
          </w:p>
        </w:tc>
        <w:tc>
          <w:tcPr>
            <w:tcW w:w="1559" w:type="dxa"/>
            <w:tcBorders>
              <w:top w:val="single" w:sz="4" w:space="0" w:color="auto"/>
            </w:tcBorders>
            <w:vAlign w:val="center"/>
            <w:hideMark/>
          </w:tcPr>
          <w:p w14:paraId="38E48094" w14:textId="77777777" w:rsidR="00BC10CF" w:rsidRPr="00196413" w:rsidRDefault="00BC10CF" w:rsidP="00DE6A00">
            <w:pPr>
              <w:jc w:val="right"/>
            </w:pPr>
            <w:r w:rsidRPr="00196413">
              <w:t>16.66 ± 0.01</w:t>
            </w:r>
          </w:p>
        </w:tc>
        <w:tc>
          <w:tcPr>
            <w:tcW w:w="1701" w:type="dxa"/>
            <w:tcBorders>
              <w:top w:val="single" w:sz="4" w:space="0" w:color="auto"/>
            </w:tcBorders>
            <w:vAlign w:val="center"/>
            <w:hideMark/>
          </w:tcPr>
          <w:p w14:paraId="31257F37" w14:textId="77777777" w:rsidR="00BC10CF" w:rsidRPr="00196413" w:rsidRDefault="00BC10CF" w:rsidP="00DE6A00">
            <w:pPr>
              <w:jc w:val="right"/>
            </w:pPr>
            <w:r w:rsidRPr="00196413">
              <w:t>17.45 ± 0.00</w:t>
            </w:r>
          </w:p>
        </w:tc>
        <w:tc>
          <w:tcPr>
            <w:tcW w:w="1560" w:type="dxa"/>
            <w:tcBorders>
              <w:top w:val="single" w:sz="4" w:space="0" w:color="auto"/>
            </w:tcBorders>
            <w:vAlign w:val="center"/>
            <w:hideMark/>
          </w:tcPr>
          <w:p w14:paraId="068E2578" w14:textId="77777777" w:rsidR="00BC10CF" w:rsidRPr="00196413" w:rsidRDefault="00BC10CF" w:rsidP="00DE6A00">
            <w:pPr>
              <w:jc w:val="right"/>
            </w:pPr>
            <w:r w:rsidRPr="00196413">
              <w:t>18.06 ± 0.01</w:t>
            </w:r>
          </w:p>
        </w:tc>
        <w:tc>
          <w:tcPr>
            <w:tcW w:w="1417" w:type="dxa"/>
            <w:tcBorders>
              <w:top w:val="single" w:sz="4" w:space="0" w:color="auto"/>
            </w:tcBorders>
            <w:vAlign w:val="center"/>
            <w:hideMark/>
          </w:tcPr>
          <w:p w14:paraId="164020D2" w14:textId="77777777" w:rsidR="00BC10CF" w:rsidRPr="00196413" w:rsidRDefault="00BC10CF" w:rsidP="00DE6A00">
            <w:pPr>
              <w:jc w:val="right"/>
            </w:pPr>
            <w:r w:rsidRPr="00196413">
              <w:t>18.56 ± 0.00</w:t>
            </w:r>
          </w:p>
        </w:tc>
      </w:tr>
      <w:tr w:rsidR="00BC10CF" w:rsidRPr="00196413" w14:paraId="50B51E1D" w14:textId="77777777" w:rsidTr="00DE6A00">
        <w:tc>
          <w:tcPr>
            <w:tcW w:w="2467" w:type="dxa"/>
            <w:vAlign w:val="center"/>
            <w:hideMark/>
          </w:tcPr>
          <w:p w14:paraId="3C0927EA" w14:textId="77777777" w:rsidR="00BC10CF" w:rsidRPr="00196413" w:rsidRDefault="00BC10CF" w:rsidP="00DE6A00">
            <w:pPr>
              <w:jc w:val="both"/>
            </w:pPr>
            <w:r w:rsidRPr="00196413">
              <w:t>Potassium</w:t>
            </w:r>
          </w:p>
        </w:tc>
        <w:tc>
          <w:tcPr>
            <w:tcW w:w="1559" w:type="dxa"/>
            <w:vAlign w:val="center"/>
            <w:hideMark/>
          </w:tcPr>
          <w:p w14:paraId="464D0DFB" w14:textId="77777777" w:rsidR="00BC10CF" w:rsidRPr="00196413" w:rsidRDefault="00BC10CF" w:rsidP="00DE6A00">
            <w:pPr>
              <w:jc w:val="right"/>
            </w:pPr>
            <w:r w:rsidRPr="00196413">
              <w:t>26.12 ± 0.01</w:t>
            </w:r>
          </w:p>
        </w:tc>
        <w:tc>
          <w:tcPr>
            <w:tcW w:w="1701" w:type="dxa"/>
            <w:vAlign w:val="center"/>
            <w:hideMark/>
          </w:tcPr>
          <w:p w14:paraId="151E2516" w14:textId="77777777" w:rsidR="00BC10CF" w:rsidRPr="00196413" w:rsidRDefault="00BC10CF" w:rsidP="00DE6A00">
            <w:pPr>
              <w:jc w:val="right"/>
            </w:pPr>
            <w:r w:rsidRPr="00196413">
              <w:t>26.81 ± 0.01</w:t>
            </w:r>
          </w:p>
        </w:tc>
        <w:tc>
          <w:tcPr>
            <w:tcW w:w="1560" w:type="dxa"/>
            <w:vAlign w:val="center"/>
            <w:hideMark/>
          </w:tcPr>
          <w:p w14:paraId="40817ABC" w14:textId="77777777" w:rsidR="00BC10CF" w:rsidRPr="00196413" w:rsidRDefault="00BC10CF" w:rsidP="00DE6A00">
            <w:pPr>
              <w:jc w:val="right"/>
            </w:pPr>
            <w:r w:rsidRPr="00196413">
              <w:t>27.12 ± 0.01</w:t>
            </w:r>
          </w:p>
        </w:tc>
        <w:tc>
          <w:tcPr>
            <w:tcW w:w="1417" w:type="dxa"/>
            <w:vAlign w:val="center"/>
            <w:hideMark/>
          </w:tcPr>
          <w:p w14:paraId="424E4B8C" w14:textId="77777777" w:rsidR="00BC10CF" w:rsidRPr="00196413" w:rsidRDefault="00BC10CF" w:rsidP="00DE6A00">
            <w:pPr>
              <w:jc w:val="right"/>
            </w:pPr>
            <w:r w:rsidRPr="00196413">
              <w:t>28.01 ± 0.01</w:t>
            </w:r>
          </w:p>
        </w:tc>
      </w:tr>
      <w:tr w:rsidR="00BC10CF" w:rsidRPr="00196413" w14:paraId="500D2416" w14:textId="77777777" w:rsidTr="00DE6A00">
        <w:tc>
          <w:tcPr>
            <w:tcW w:w="2467" w:type="dxa"/>
            <w:vAlign w:val="center"/>
            <w:hideMark/>
          </w:tcPr>
          <w:p w14:paraId="4F5119B9" w14:textId="77777777" w:rsidR="00BC10CF" w:rsidRPr="00196413" w:rsidRDefault="00BC10CF" w:rsidP="00DE6A00">
            <w:pPr>
              <w:jc w:val="both"/>
            </w:pPr>
            <w:r w:rsidRPr="00196413">
              <w:t>Sodium</w:t>
            </w:r>
          </w:p>
        </w:tc>
        <w:tc>
          <w:tcPr>
            <w:tcW w:w="1559" w:type="dxa"/>
            <w:vAlign w:val="center"/>
            <w:hideMark/>
          </w:tcPr>
          <w:p w14:paraId="7554AA37" w14:textId="77777777" w:rsidR="00BC10CF" w:rsidRPr="00196413" w:rsidRDefault="00BC10CF" w:rsidP="00DE6A00">
            <w:pPr>
              <w:jc w:val="right"/>
            </w:pPr>
            <w:r w:rsidRPr="00196413">
              <w:t>7.12 ± 0.01</w:t>
            </w:r>
          </w:p>
        </w:tc>
        <w:tc>
          <w:tcPr>
            <w:tcW w:w="1701" w:type="dxa"/>
            <w:vAlign w:val="center"/>
            <w:hideMark/>
          </w:tcPr>
          <w:p w14:paraId="4C130248" w14:textId="77777777" w:rsidR="00BC10CF" w:rsidRPr="00196413" w:rsidRDefault="00BC10CF" w:rsidP="00DE6A00">
            <w:pPr>
              <w:jc w:val="right"/>
            </w:pPr>
            <w:r w:rsidRPr="00196413">
              <w:t>8.21 ± 0.02</w:t>
            </w:r>
          </w:p>
        </w:tc>
        <w:tc>
          <w:tcPr>
            <w:tcW w:w="1560" w:type="dxa"/>
            <w:vAlign w:val="center"/>
            <w:hideMark/>
          </w:tcPr>
          <w:p w14:paraId="104B5934" w14:textId="77777777" w:rsidR="00BC10CF" w:rsidRPr="00196413" w:rsidRDefault="00BC10CF" w:rsidP="00DE6A00">
            <w:pPr>
              <w:jc w:val="right"/>
            </w:pPr>
            <w:r w:rsidRPr="00196413">
              <w:t>8.82 ± 0.02</w:t>
            </w:r>
          </w:p>
        </w:tc>
        <w:tc>
          <w:tcPr>
            <w:tcW w:w="1417" w:type="dxa"/>
            <w:vAlign w:val="center"/>
            <w:hideMark/>
          </w:tcPr>
          <w:p w14:paraId="35A9D996" w14:textId="77777777" w:rsidR="00BC10CF" w:rsidRPr="00196413" w:rsidRDefault="00BC10CF" w:rsidP="00DE6A00">
            <w:pPr>
              <w:jc w:val="right"/>
            </w:pPr>
            <w:r w:rsidRPr="00196413">
              <w:t>9.02 ± 0.01</w:t>
            </w:r>
          </w:p>
        </w:tc>
      </w:tr>
      <w:tr w:rsidR="00BC10CF" w:rsidRPr="00196413" w14:paraId="3C2D96BC" w14:textId="77777777" w:rsidTr="00DE6A00">
        <w:tc>
          <w:tcPr>
            <w:tcW w:w="2467" w:type="dxa"/>
            <w:vAlign w:val="center"/>
            <w:hideMark/>
          </w:tcPr>
          <w:p w14:paraId="232E3C9B" w14:textId="77777777" w:rsidR="00BC10CF" w:rsidRPr="00196413" w:rsidRDefault="00BC10CF" w:rsidP="00DE6A00">
            <w:pPr>
              <w:jc w:val="both"/>
            </w:pPr>
            <w:r w:rsidRPr="00196413">
              <w:t>Iron</w:t>
            </w:r>
          </w:p>
        </w:tc>
        <w:tc>
          <w:tcPr>
            <w:tcW w:w="1559" w:type="dxa"/>
            <w:vAlign w:val="center"/>
            <w:hideMark/>
          </w:tcPr>
          <w:p w14:paraId="3FD7CD44" w14:textId="77777777" w:rsidR="00BC10CF" w:rsidRPr="00196413" w:rsidRDefault="00BC10CF" w:rsidP="00DE6A00">
            <w:pPr>
              <w:jc w:val="right"/>
            </w:pPr>
            <w:r w:rsidRPr="00196413">
              <w:t>6.27 ± 0.45</w:t>
            </w:r>
          </w:p>
        </w:tc>
        <w:tc>
          <w:tcPr>
            <w:tcW w:w="1701" w:type="dxa"/>
            <w:vAlign w:val="center"/>
            <w:hideMark/>
          </w:tcPr>
          <w:p w14:paraId="54EA8411" w14:textId="77777777" w:rsidR="00BC10CF" w:rsidRPr="00196413" w:rsidRDefault="00BC10CF" w:rsidP="00DE6A00">
            <w:pPr>
              <w:jc w:val="right"/>
            </w:pPr>
            <w:r w:rsidRPr="00196413">
              <w:t>6.97 ± 0.21</w:t>
            </w:r>
          </w:p>
        </w:tc>
        <w:tc>
          <w:tcPr>
            <w:tcW w:w="1560" w:type="dxa"/>
            <w:vAlign w:val="center"/>
            <w:hideMark/>
          </w:tcPr>
          <w:p w14:paraId="43D95C43" w14:textId="77777777" w:rsidR="00BC10CF" w:rsidRPr="00196413" w:rsidRDefault="00BC10CF" w:rsidP="00DE6A00">
            <w:pPr>
              <w:jc w:val="right"/>
            </w:pPr>
            <w:r w:rsidRPr="00196413">
              <w:t>7.21 ± 0.03</w:t>
            </w:r>
          </w:p>
        </w:tc>
        <w:tc>
          <w:tcPr>
            <w:tcW w:w="1417" w:type="dxa"/>
            <w:vAlign w:val="center"/>
            <w:hideMark/>
          </w:tcPr>
          <w:p w14:paraId="04B55940" w14:textId="77777777" w:rsidR="00BC10CF" w:rsidRPr="00196413" w:rsidRDefault="00BC10CF" w:rsidP="00DE6A00">
            <w:pPr>
              <w:jc w:val="right"/>
            </w:pPr>
            <w:r w:rsidRPr="00196413">
              <w:t>8.98 ± 0.01</w:t>
            </w:r>
          </w:p>
        </w:tc>
      </w:tr>
      <w:tr w:rsidR="00BC10CF" w:rsidRPr="00196413" w14:paraId="1FF98EBF" w14:textId="77777777" w:rsidTr="00DE6A00">
        <w:tc>
          <w:tcPr>
            <w:tcW w:w="2467" w:type="dxa"/>
            <w:vAlign w:val="center"/>
            <w:hideMark/>
          </w:tcPr>
          <w:p w14:paraId="3BFC83C3" w14:textId="77777777" w:rsidR="00BC10CF" w:rsidRPr="00196413" w:rsidRDefault="00BC10CF" w:rsidP="00DE6A00">
            <w:pPr>
              <w:jc w:val="both"/>
            </w:pPr>
            <w:r w:rsidRPr="00196413">
              <w:t>Zinc</w:t>
            </w:r>
          </w:p>
        </w:tc>
        <w:tc>
          <w:tcPr>
            <w:tcW w:w="1559" w:type="dxa"/>
            <w:vAlign w:val="center"/>
            <w:hideMark/>
          </w:tcPr>
          <w:p w14:paraId="6157A508" w14:textId="77777777" w:rsidR="00BC10CF" w:rsidRPr="00196413" w:rsidRDefault="00BC10CF" w:rsidP="00DE6A00">
            <w:pPr>
              <w:jc w:val="right"/>
            </w:pPr>
            <w:r w:rsidRPr="00196413">
              <w:t>14.95 ± 0.02</w:t>
            </w:r>
          </w:p>
        </w:tc>
        <w:tc>
          <w:tcPr>
            <w:tcW w:w="1701" w:type="dxa"/>
            <w:vAlign w:val="center"/>
            <w:hideMark/>
          </w:tcPr>
          <w:p w14:paraId="7A6311E6" w14:textId="77777777" w:rsidR="00BC10CF" w:rsidRPr="00196413" w:rsidRDefault="00BC10CF" w:rsidP="00DE6A00">
            <w:pPr>
              <w:jc w:val="right"/>
            </w:pPr>
            <w:r w:rsidRPr="00196413">
              <w:t>15.12 ± 0.05</w:t>
            </w:r>
          </w:p>
        </w:tc>
        <w:tc>
          <w:tcPr>
            <w:tcW w:w="1560" w:type="dxa"/>
            <w:vAlign w:val="center"/>
            <w:hideMark/>
          </w:tcPr>
          <w:p w14:paraId="45B29745" w14:textId="77777777" w:rsidR="00BC10CF" w:rsidRPr="00196413" w:rsidRDefault="00BC10CF" w:rsidP="00DE6A00">
            <w:pPr>
              <w:jc w:val="right"/>
            </w:pPr>
            <w:r w:rsidRPr="00196413">
              <w:t>15.36 ± 0.20</w:t>
            </w:r>
          </w:p>
        </w:tc>
        <w:tc>
          <w:tcPr>
            <w:tcW w:w="1417" w:type="dxa"/>
            <w:vAlign w:val="center"/>
            <w:hideMark/>
          </w:tcPr>
          <w:p w14:paraId="6F620F80" w14:textId="77777777" w:rsidR="00BC10CF" w:rsidRPr="00196413" w:rsidRDefault="00BC10CF" w:rsidP="00DE6A00">
            <w:pPr>
              <w:jc w:val="right"/>
            </w:pPr>
            <w:r w:rsidRPr="00196413">
              <w:t>16.36 ± 0.01</w:t>
            </w:r>
          </w:p>
        </w:tc>
      </w:tr>
      <w:tr w:rsidR="00BC10CF" w:rsidRPr="00196413" w14:paraId="6CAB1B72" w14:textId="77777777" w:rsidTr="00DE6A00">
        <w:tc>
          <w:tcPr>
            <w:tcW w:w="2467" w:type="dxa"/>
            <w:tcBorders>
              <w:bottom w:val="single" w:sz="4" w:space="0" w:color="auto"/>
            </w:tcBorders>
            <w:vAlign w:val="center"/>
            <w:hideMark/>
          </w:tcPr>
          <w:p w14:paraId="43E608EF" w14:textId="77777777" w:rsidR="00BC10CF" w:rsidRPr="00196413" w:rsidRDefault="00BC10CF" w:rsidP="00DE6A00">
            <w:pPr>
              <w:jc w:val="both"/>
            </w:pPr>
            <w:r w:rsidRPr="00196413">
              <w:t>Magnesium</w:t>
            </w:r>
          </w:p>
        </w:tc>
        <w:tc>
          <w:tcPr>
            <w:tcW w:w="1559" w:type="dxa"/>
            <w:tcBorders>
              <w:bottom w:val="single" w:sz="4" w:space="0" w:color="auto"/>
            </w:tcBorders>
            <w:vAlign w:val="center"/>
            <w:hideMark/>
          </w:tcPr>
          <w:p w14:paraId="6AF1809A" w14:textId="77777777" w:rsidR="00BC10CF" w:rsidRPr="00196413" w:rsidRDefault="00BC10CF" w:rsidP="00DE6A00">
            <w:pPr>
              <w:jc w:val="right"/>
            </w:pPr>
            <w:r w:rsidRPr="00196413">
              <w:t>20.02 ± 0.01</w:t>
            </w:r>
          </w:p>
        </w:tc>
        <w:tc>
          <w:tcPr>
            <w:tcW w:w="1701" w:type="dxa"/>
            <w:tcBorders>
              <w:bottom w:val="single" w:sz="4" w:space="0" w:color="auto"/>
            </w:tcBorders>
            <w:vAlign w:val="center"/>
            <w:hideMark/>
          </w:tcPr>
          <w:p w14:paraId="4DDF9499" w14:textId="77777777" w:rsidR="00BC10CF" w:rsidRPr="00196413" w:rsidRDefault="00BC10CF" w:rsidP="00DE6A00">
            <w:pPr>
              <w:jc w:val="right"/>
            </w:pPr>
            <w:r w:rsidRPr="00196413">
              <w:t>21.05 ± 0.01</w:t>
            </w:r>
          </w:p>
        </w:tc>
        <w:tc>
          <w:tcPr>
            <w:tcW w:w="1560" w:type="dxa"/>
            <w:tcBorders>
              <w:bottom w:val="single" w:sz="4" w:space="0" w:color="auto"/>
            </w:tcBorders>
            <w:vAlign w:val="center"/>
            <w:hideMark/>
          </w:tcPr>
          <w:p w14:paraId="155486C7" w14:textId="77777777" w:rsidR="00BC10CF" w:rsidRPr="00196413" w:rsidRDefault="00BC10CF" w:rsidP="00DE6A00">
            <w:pPr>
              <w:jc w:val="right"/>
            </w:pPr>
            <w:r w:rsidRPr="00196413">
              <w:t>22.52 ± 0.01</w:t>
            </w:r>
          </w:p>
        </w:tc>
        <w:tc>
          <w:tcPr>
            <w:tcW w:w="1417" w:type="dxa"/>
            <w:tcBorders>
              <w:bottom w:val="single" w:sz="4" w:space="0" w:color="auto"/>
            </w:tcBorders>
            <w:vAlign w:val="center"/>
            <w:hideMark/>
          </w:tcPr>
          <w:p w14:paraId="66C347EC" w14:textId="77777777" w:rsidR="00BC10CF" w:rsidRPr="00196413" w:rsidRDefault="00BC10CF" w:rsidP="00DE6A00">
            <w:pPr>
              <w:jc w:val="right"/>
            </w:pPr>
            <w:r w:rsidRPr="00196413">
              <w:t>23.62 ± 0.01</w:t>
            </w:r>
          </w:p>
        </w:tc>
      </w:tr>
    </w:tbl>
    <w:p w14:paraId="7B48E822" w14:textId="77777777" w:rsidR="00BC10CF" w:rsidRPr="00196413" w:rsidRDefault="00BC10CF" w:rsidP="00BC10CF">
      <w:pPr>
        <w:pStyle w:val="Heading4"/>
        <w:spacing w:before="0" w:after="120"/>
        <w:jc w:val="both"/>
        <w:rPr>
          <w:color w:val="auto"/>
        </w:rPr>
      </w:pPr>
    </w:p>
    <w:p w14:paraId="09570690" w14:textId="77777777" w:rsidR="00DC1F3D" w:rsidRPr="00CB33C0" w:rsidRDefault="00A90421">
      <w:pPr>
        <w:pStyle w:val="Heading3"/>
        <w:keepNext w:val="0"/>
        <w:keepLines w:val="0"/>
        <w:spacing w:before="140" w:after="140"/>
        <w:rPr>
          <w:sz w:val="24"/>
          <w:szCs w:val="24"/>
        </w:rPr>
      </w:pPr>
      <w:r w:rsidRPr="00CB33C0">
        <w:rPr>
          <w:color w:val="auto"/>
          <w:sz w:val="24"/>
          <w:szCs w:val="24"/>
        </w:rPr>
        <w:t>Effects on vitamin composition (Fermentation)</w:t>
      </w:r>
    </w:p>
    <w:p w14:paraId="6AA36B12" w14:textId="77777777" w:rsidR="00DC1F3D" w:rsidRPr="00CB33C0" w:rsidRDefault="00A90421" w:rsidP="00973E58">
      <w:pPr>
        <w:spacing w:before="120" w:after="120"/>
        <w:jc w:val="both"/>
      </w:pPr>
      <w:r w:rsidRPr="00CB33C0">
        <w:t>Fermentation increased levels of B-vitamins, notably thiamine, riboflavin, and niacin (Table 4). Vitamin data for sprouted soybeans were not available.</w:t>
      </w:r>
    </w:p>
    <w:p w14:paraId="2B5CF2AE" w14:textId="77777777" w:rsidR="00BC10CF" w:rsidRPr="00196413" w:rsidRDefault="00BC10CF" w:rsidP="00BC10CF">
      <w:pPr>
        <w:pStyle w:val="NormalWeb"/>
        <w:spacing w:before="0" w:beforeAutospacing="0" w:after="0" w:afterAutospacing="0"/>
        <w:jc w:val="both"/>
      </w:pPr>
      <w:r w:rsidRPr="00196413">
        <w:rPr>
          <w:rStyle w:val="Strong"/>
        </w:rPr>
        <w:t xml:space="preserve">Table </w:t>
      </w:r>
      <w:r>
        <w:rPr>
          <w:rStyle w:val="Strong"/>
        </w:rPr>
        <w:t>4</w:t>
      </w:r>
      <w:r w:rsidRPr="00196413">
        <w:rPr>
          <w:rStyle w:val="Strong"/>
        </w:rPr>
        <w:t>: Vitamin profile of fermented soybean seeds (mg/100 g)</w:t>
      </w:r>
    </w:p>
    <w:tbl>
      <w:tblPr>
        <w:tblW w:w="0" w:type="auto"/>
        <w:tblCellMar>
          <w:top w:w="15" w:type="dxa"/>
          <w:left w:w="57" w:type="dxa"/>
          <w:bottom w:w="15" w:type="dxa"/>
          <w:right w:w="57" w:type="dxa"/>
        </w:tblCellMar>
        <w:tblLook w:val="04A0" w:firstRow="1" w:lastRow="0" w:firstColumn="1" w:lastColumn="0" w:noHBand="0" w:noVBand="1"/>
      </w:tblPr>
      <w:tblGrid>
        <w:gridCol w:w="2892"/>
        <w:gridCol w:w="1418"/>
        <w:gridCol w:w="1417"/>
        <w:gridCol w:w="1418"/>
        <w:gridCol w:w="1559"/>
      </w:tblGrid>
      <w:tr w:rsidR="00BC10CF" w:rsidRPr="00196413" w14:paraId="70F34DFF" w14:textId="77777777" w:rsidTr="00DE6A00">
        <w:trPr>
          <w:tblHeader/>
        </w:trPr>
        <w:tc>
          <w:tcPr>
            <w:tcW w:w="2892" w:type="dxa"/>
            <w:tcBorders>
              <w:top w:val="single" w:sz="4" w:space="0" w:color="auto"/>
              <w:bottom w:val="single" w:sz="4" w:space="0" w:color="auto"/>
            </w:tcBorders>
            <w:vAlign w:val="center"/>
            <w:hideMark/>
          </w:tcPr>
          <w:p w14:paraId="27D6CF1C" w14:textId="77777777" w:rsidR="00BC10CF" w:rsidRPr="00196413" w:rsidRDefault="00BC10CF" w:rsidP="00DE6A00">
            <w:pPr>
              <w:jc w:val="both"/>
              <w:rPr>
                <w:b/>
                <w:bCs/>
              </w:rPr>
            </w:pPr>
            <w:r w:rsidRPr="00196413">
              <w:rPr>
                <w:b/>
                <w:bCs/>
              </w:rPr>
              <w:t>Vitamin</w:t>
            </w:r>
          </w:p>
        </w:tc>
        <w:tc>
          <w:tcPr>
            <w:tcW w:w="1418" w:type="dxa"/>
            <w:tcBorders>
              <w:top w:val="single" w:sz="4" w:space="0" w:color="auto"/>
              <w:bottom w:val="single" w:sz="4" w:space="0" w:color="auto"/>
            </w:tcBorders>
            <w:vAlign w:val="center"/>
            <w:hideMark/>
          </w:tcPr>
          <w:p w14:paraId="76D42D1A" w14:textId="77777777" w:rsidR="00BC10CF" w:rsidRPr="00196413" w:rsidRDefault="00BC10CF" w:rsidP="00DE6A00">
            <w:pPr>
              <w:jc w:val="center"/>
              <w:rPr>
                <w:b/>
                <w:bCs/>
              </w:rPr>
            </w:pPr>
            <w:r w:rsidRPr="00196413">
              <w:rPr>
                <w:b/>
                <w:bCs/>
              </w:rPr>
              <w:t>0 h</w:t>
            </w:r>
          </w:p>
        </w:tc>
        <w:tc>
          <w:tcPr>
            <w:tcW w:w="1417" w:type="dxa"/>
            <w:tcBorders>
              <w:top w:val="single" w:sz="4" w:space="0" w:color="auto"/>
              <w:bottom w:val="single" w:sz="4" w:space="0" w:color="auto"/>
            </w:tcBorders>
            <w:vAlign w:val="center"/>
            <w:hideMark/>
          </w:tcPr>
          <w:p w14:paraId="44D326AC" w14:textId="77777777" w:rsidR="00BC10CF" w:rsidRPr="00196413" w:rsidRDefault="00BC10CF" w:rsidP="00DE6A00">
            <w:pPr>
              <w:jc w:val="center"/>
              <w:rPr>
                <w:b/>
                <w:bCs/>
              </w:rPr>
            </w:pPr>
            <w:r w:rsidRPr="00196413">
              <w:rPr>
                <w:b/>
                <w:bCs/>
              </w:rPr>
              <w:t>24 h</w:t>
            </w:r>
          </w:p>
        </w:tc>
        <w:tc>
          <w:tcPr>
            <w:tcW w:w="1418" w:type="dxa"/>
            <w:tcBorders>
              <w:top w:val="single" w:sz="4" w:space="0" w:color="auto"/>
              <w:bottom w:val="single" w:sz="4" w:space="0" w:color="auto"/>
            </w:tcBorders>
            <w:vAlign w:val="center"/>
            <w:hideMark/>
          </w:tcPr>
          <w:p w14:paraId="737F616F" w14:textId="77777777" w:rsidR="00BC10CF" w:rsidRPr="00196413" w:rsidRDefault="00BC10CF" w:rsidP="00DE6A00">
            <w:pPr>
              <w:jc w:val="center"/>
              <w:rPr>
                <w:b/>
                <w:bCs/>
              </w:rPr>
            </w:pPr>
            <w:r w:rsidRPr="00196413">
              <w:rPr>
                <w:b/>
                <w:bCs/>
              </w:rPr>
              <w:t>48 h</w:t>
            </w:r>
          </w:p>
        </w:tc>
        <w:tc>
          <w:tcPr>
            <w:tcW w:w="1559" w:type="dxa"/>
            <w:tcBorders>
              <w:top w:val="single" w:sz="4" w:space="0" w:color="auto"/>
              <w:bottom w:val="single" w:sz="4" w:space="0" w:color="auto"/>
            </w:tcBorders>
            <w:vAlign w:val="center"/>
            <w:hideMark/>
          </w:tcPr>
          <w:p w14:paraId="78C9CE11" w14:textId="77777777" w:rsidR="00BC10CF" w:rsidRPr="00196413" w:rsidRDefault="00BC10CF" w:rsidP="00DE6A00">
            <w:pPr>
              <w:jc w:val="center"/>
              <w:rPr>
                <w:b/>
                <w:bCs/>
              </w:rPr>
            </w:pPr>
            <w:r w:rsidRPr="00196413">
              <w:rPr>
                <w:b/>
                <w:bCs/>
              </w:rPr>
              <w:t>72 h</w:t>
            </w:r>
          </w:p>
        </w:tc>
      </w:tr>
      <w:tr w:rsidR="00BC10CF" w:rsidRPr="00196413" w14:paraId="64E663FB" w14:textId="77777777" w:rsidTr="00DE6A00">
        <w:tc>
          <w:tcPr>
            <w:tcW w:w="2892" w:type="dxa"/>
            <w:tcBorders>
              <w:top w:val="single" w:sz="4" w:space="0" w:color="auto"/>
            </w:tcBorders>
            <w:vAlign w:val="center"/>
            <w:hideMark/>
          </w:tcPr>
          <w:p w14:paraId="41041829" w14:textId="77777777" w:rsidR="00BC10CF" w:rsidRPr="00196413" w:rsidRDefault="00BC10CF" w:rsidP="00DE6A00">
            <w:pPr>
              <w:jc w:val="both"/>
            </w:pPr>
            <w:r w:rsidRPr="00196413">
              <w:t>Thiamine</w:t>
            </w:r>
          </w:p>
        </w:tc>
        <w:tc>
          <w:tcPr>
            <w:tcW w:w="1418" w:type="dxa"/>
            <w:tcBorders>
              <w:top w:val="single" w:sz="4" w:space="0" w:color="auto"/>
            </w:tcBorders>
            <w:vAlign w:val="center"/>
            <w:hideMark/>
          </w:tcPr>
          <w:p w14:paraId="551FC5B8" w14:textId="77777777" w:rsidR="00BC10CF" w:rsidRPr="00196413" w:rsidRDefault="00BC10CF" w:rsidP="00DE6A00">
            <w:pPr>
              <w:jc w:val="right"/>
            </w:pPr>
            <w:r w:rsidRPr="00196413">
              <w:t>1.59 ± 0.15</w:t>
            </w:r>
          </w:p>
        </w:tc>
        <w:tc>
          <w:tcPr>
            <w:tcW w:w="1417" w:type="dxa"/>
            <w:tcBorders>
              <w:top w:val="single" w:sz="4" w:space="0" w:color="auto"/>
            </w:tcBorders>
            <w:vAlign w:val="center"/>
            <w:hideMark/>
          </w:tcPr>
          <w:p w14:paraId="3EF1021B" w14:textId="77777777" w:rsidR="00BC10CF" w:rsidRPr="00196413" w:rsidRDefault="00BC10CF" w:rsidP="00DE6A00">
            <w:pPr>
              <w:jc w:val="right"/>
            </w:pPr>
            <w:r w:rsidRPr="00196413">
              <w:t>1.67 ± 0.51</w:t>
            </w:r>
          </w:p>
        </w:tc>
        <w:tc>
          <w:tcPr>
            <w:tcW w:w="1418" w:type="dxa"/>
            <w:tcBorders>
              <w:top w:val="single" w:sz="4" w:space="0" w:color="auto"/>
            </w:tcBorders>
            <w:vAlign w:val="center"/>
            <w:hideMark/>
          </w:tcPr>
          <w:p w14:paraId="3EEA8C9E" w14:textId="77777777" w:rsidR="00BC10CF" w:rsidRPr="00196413" w:rsidRDefault="00BC10CF" w:rsidP="00DE6A00">
            <w:pPr>
              <w:jc w:val="right"/>
            </w:pPr>
            <w:r w:rsidRPr="00196413">
              <w:t>1.71 ± 0.24</w:t>
            </w:r>
          </w:p>
        </w:tc>
        <w:tc>
          <w:tcPr>
            <w:tcW w:w="1559" w:type="dxa"/>
            <w:tcBorders>
              <w:top w:val="single" w:sz="4" w:space="0" w:color="auto"/>
            </w:tcBorders>
            <w:vAlign w:val="center"/>
            <w:hideMark/>
          </w:tcPr>
          <w:p w14:paraId="472155D3" w14:textId="77777777" w:rsidR="00BC10CF" w:rsidRPr="00196413" w:rsidRDefault="00BC10CF" w:rsidP="00DE6A00">
            <w:pPr>
              <w:jc w:val="right"/>
            </w:pPr>
            <w:r w:rsidRPr="00196413">
              <w:t>1.88 ± 0.22</w:t>
            </w:r>
          </w:p>
        </w:tc>
      </w:tr>
      <w:tr w:rsidR="00BC10CF" w:rsidRPr="00196413" w14:paraId="68238B60" w14:textId="77777777" w:rsidTr="00DE6A00">
        <w:tc>
          <w:tcPr>
            <w:tcW w:w="2892" w:type="dxa"/>
            <w:vAlign w:val="center"/>
            <w:hideMark/>
          </w:tcPr>
          <w:p w14:paraId="75967656" w14:textId="77777777" w:rsidR="00BC10CF" w:rsidRPr="00196413" w:rsidRDefault="00BC10CF" w:rsidP="00DE6A00">
            <w:pPr>
              <w:jc w:val="both"/>
            </w:pPr>
            <w:r w:rsidRPr="00196413">
              <w:t>Riboflavin</w:t>
            </w:r>
          </w:p>
        </w:tc>
        <w:tc>
          <w:tcPr>
            <w:tcW w:w="1418" w:type="dxa"/>
            <w:vAlign w:val="center"/>
            <w:hideMark/>
          </w:tcPr>
          <w:p w14:paraId="2846BF80" w14:textId="77777777" w:rsidR="00BC10CF" w:rsidRPr="00196413" w:rsidRDefault="00BC10CF" w:rsidP="00DE6A00">
            <w:pPr>
              <w:jc w:val="right"/>
            </w:pPr>
            <w:r w:rsidRPr="00196413">
              <w:t>1.36 ± 0.01</w:t>
            </w:r>
          </w:p>
        </w:tc>
        <w:tc>
          <w:tcPr>
            <w:tcW w:w="1417" w:type="dxa"/>
            <w:vAlign w:val="center"/>
            <w:hideMark/>
          </w:tcPr>
          <w:p w14:paraId="3D2D4786" w14:textId="77777777" w:rsidR="00BC10CF" w:rsidRPr="00196413" w:rsidRDefault="00BC10CF" w:rsidP="00DE6A00">
            <w:pPr>
              <w:jc w:val="right"/>
            </w:pPr>
            <w:r w:rsidRPr="00196413">
              <w:t>1.42 ± 0.05</w:t>
            </w:r>
          </w:p>
        </w:tc>
        <w:tc>
          <w:tcPr>
            <w:tcW w:w="1418" w:type="dxa"/>
            <w:vAlign w:val="center"/>
            <w:hideMark/>
          </w:tcPr>
          <w:p w14:paraId="0D1DB819" w14:textId="77777777" w:rsidR="00BC10CF" w:rsidRPr="00196413" w:rsidRDefault="00BC10CF" w:rsidP="00DE6A00">
            <w:pPr>
              <w:jc w:val="right"/>
            </w:pPr>
            <w:r w:rsidRPr="00196413">
              <w:t>1.63 ± 0.20</w:t>
            </w:r>
          </w:p>
        </w:tc>
        <w:tc>
          <w:tcPr>
            <w:tcW w:w="1559" w:type="dxa"/>
            <w:vAlign w:val="center"/>
            <w:hideMark/>
          </w:tcPr>
          <w:p w14:paraId="482C5772" w14:textId="77777777" w:rsidR="00BC10CF" w:rsidRPr="00196413" w:rsidRDefault="00BC10CF" w:rsidP="00DE6A00">
            <w:pPr>
              <w:jc w:val="right"/>
            </w:pPr>
            <w:r w:rsidRPr="00196413">
              <w:t>1.75 ± 0.07</w:t>
            </w:r>
          </w:p>
        </w:tc>
      </w:tr>
      <w:tr w:rsidR="00BC10CF" w:rsidRPr="00196413" w14:paraId="0D9C9AEA" w14:textId="77777777" w:rsidTr="00DE6A00">
        <w:tc>
          <w:tcPr>
            <w:tcW w:w="2892" w:type="dxa"/>
            <w:tcBorders>
              <w:bottom w:val="single" w:sz="4" w:space="0" w:color="auto"/>
            </w:tcBorders>
            <w:vAlign w:val="center"/>
            <w:hideMark/>
          </w:tcPr>
          <w:p w14:paraId="36A6CF59" w14:textId="77777777" w:rsidR="00BC10CF" w:rsidRPr="00196413" w:rsidRDefault="00BC10CF" w:rsidP="00DE6A00">
            <w:pPr>
              <w:jc w:val="both"/>
            </w:pPr>
            <w:r w:rsidRPr="00196413">
              <w:t>Niacin</w:t>
            </w:r>
          </w:p>
        </w:tc>
        <w:tc>
          <w:tcPr>
            <w:tcW w:w="1418" w:type="dxa"/>
            <w:tcBorders>
              <w:bottom w:val="single" w:sz="4" w:space="0" w:color="auto"/>
            </w:tcBorders>
            <w:vAlign w:val="center"/>
            <w:hideMark/>
          </w:tcPr>
          <w:p w14:paraId="386D4B45" w14:textId="77777777" w:rsidR="00BC10CF" w:rsidRPr="00196413" w:rsidRDefault="00BC10CF" w:rsidP="00DE6A00">
            <w:pPr>
              <w:jc w:val="right"/>
            </w:pPr>
            <w:r w:rsidRPr="00196413">
              <w:t>1.26 ± 0.01</w:t>
            </w:r>
          </w:p>
        </w:tc>
        <w:tc>
          <w:tcPr>
            <w:tcW w:w="1417" w:type="dxa"/>
            <w:tcBorders>
              <w:bottom w:val="single" w:sz="4" w:space="0" w:color="auto"/>
            </w:tcBorders>
            <w:vAlign w:val="center"/>
            <w:hideMark/>
          </w:tcPr>
          <w:p w14:paraId="53ED69E9" w14:textId="77777777" w:rsidR="00BC10CF" w:rsidRPr="00196413" w:rsidRDefault="00BC10CF" w:rsidP="00DE6A00">
            <w:pPr>
              <w:jc w:val="right"/>
            </w:pPr>
            <w:r w:rsidRPr="00196413">
              <w:t>2.31 ± 0.01</w:t>
            </w:r>
          </w:p>
        </w:tc>
        <w:tc>
          <w:tcPr>
            <w:tcW w:w="1418" w:type="dxa"/>
            <w:tcBorders>
              <w:bottom w:val="single" w:sz="4" w:space="0" w:color="auto"/>
            </w:tcBorders>
            <w:vAlign w:val="center"/>
            <w:hideMark/>
          </w:tcPr>
          <w:p w14:paraId="5604F34C" w14:textId="77777777" w:rsidR="00BC10CF" w:rsidRPr="00196413" w:rsidRDefault="00BC10CF" w:rsidP="00DE6A00">
            <w:pPr>
              <w:jc w:val="right"/>
            </w:pPr>
            <w:r w:rsidRPr="00196413">
              <w:t>2.55 ± 0.01</w:t>
            </w:r>
          </w:p>
        </w:tc>
        <w:tc>
          <w:tcPr>
            <w:tcW w:w="1559" w:type="dxa"/>
            <w:tcBorders>
              <w:bottom w:val="single" w:sz="4" w:space="0" w:color="auto"/>
            </w:tcBorders>
            <w:vAlign w:val="center"/>
            <w:hideMark/>
          </w:tcPr>
          <w:p w14:paraId="16F69AC8" w14:textId="77777777" w:rsidR="00BC10CF" w:rsidRPr="00196413" w:rsidRDefault="00BC10CF" w:rsidP="00DE6A00">
            <w:pPr>
              <w:jc w:val="right"/>
            </w:pPr>
            <w:r w:rsidRPr="00196413">
              <w:t>2.72 ± 0.01</w:t>
            </w:r>
          </w:p>
        </w:tc>
      </w:tr>
    </w:tbl>
    <w:p w14:paraId="1FCD12BD" w14:textId="77777777" w:rsidR="00DC1F3D" w:rsidRPr="00CB33C0" w:rsidRDefault="00A90421">
      <w:pPr>
        <w:pStyle w:val="Heading3"/>
        <w:keepNext w:val="0"/>
        <w:keepLines w:val="0"/>
        <w:spacing w:before="140" w:after="140"/>
        <w:rPr>
          <w:sz w:val="24"/>
          <w:szCs w:val="24"/>
        </w:rPr>
      </w:pPr>
      <w:r w:rsidRPr="00CB33C0">
        <w:rPr>
          <w:color w:val="auto"/>
          <w:sz w:val="24"/>
          <w:szCs w:val="24"/>
        </w:rPr>
        <w:t>Effects on anti-nutritional factors</w:t>
      </w:r>
    </w:p>
    <w:p w14:paraId="1954996E" w14:textId="77777777" w:rsidR="00DC1F3D" w:rsidRPr="00CB33C0" w:rsidRDefault="00A90421" w:rsidP="00973E58">
      <w:pPr>
        <w:spacing w:before="120" w:after="120"/>
        <w:jc w:val="both"/>
      </w:pPr>
      <w:r w:rsidRPr="00CB33C0">
        <w:t>Both sprouting and fermentation reduced anti-nutritional factors, though fermentation produced larger decreases (Tables 5 and 6).</w:t>
      </w:r>
    </w:p>
    <w:p w14:paraId="6201B390" w14:textId="77777777" w:rsidR="00BC10CF" w:rsidRPr="00196413" w:rsidRDefault="00BC10CF" w:rsidP="00BC10CF">
      <w:pPr>
        <w:pStyle w:val="NormalWeb"/>
        <w:spacing w:before="0" w:beforeAutospacing="0" w:after="0" w:afterAutospacing="0"/>
        <w:jc w:val="both"/>
      </w:pPr>
      <w:r w:rsidRPr="00196413">
        <w:rPr>
          <w:rStyle w:val="Strong"/>
        </w:rPr>
        <w:t xml:space="preserve">Table </w:t>
      </w:r>
      <w:r>
        <w:rPr>
          <w:rStyle w:val="Strong"/>
        </w:rPr>
        <w:t>5</w:t>
      </w:r>
      <w:r w:rsidRPr="00196413">
        <w:rPr>
          <w:rStyle w:val="Strong"/>
        </w:rPr>
        <w:t>: Anti-nutrient composition of non-sprouted and sprouted soybean flour</w:t>
      </w:r>
    </w:p>
    <w:tbl>
      <w:tblPr>
        <w:tblW w:w="9129" w:type="dxa"/>
        <w:tblLayout w:type="fixed"/>
        <w:tblCellMar>
          <w:top w:w="15" w:type="dxa"/>
          <w:left w:w="57" w:type="dxa"/>
          <w:bottom w:w="15" w:type="dxa"/>
          <w:right w:w="57" w:type="dxa"/>
        </w:tblCellMar>
        <w:tblLook w:val="04A0" w:firstRow="1" w:lastRow="0" w:firstColumn="1" w:lastColumn="0" w:noHBand="0" w:noVBand="1"/>
      </w:tblPr>
      <w:tblGrid>
        <w:gridCol w:w="1985"/>
        <w:gridCol w:w="1559"/>
        <w:gridCol w:w="1418"/>
        <w:gridCol w:w="1417"/>
        <w:gridCol w:w="1418"/>
        <w:gridCol w:w="1332"/>
      </w:tblGrid>
      <w:tr w:rsidR="00BC10CF" w:rsidRPr="00196413" w14:paraId="1F2CB735" w14:textId="77777777" w:rsidTr="00E5603A">
        <w:trPr>
          <w:trHeight w:val="173"/>
          <w:tblHeader/>
        </w:trPr>
        <w:tc>
          <w:tcPr>
            <w:tcW w:w="1985" w:type="dxa"/>
            <w:vMerge w:val="restart"/>
            <w:tcBorders>
              <w:top w:val="single" w:sz="4" w:space="0" w:color="auto"/>
              <w:bottom w:val="single" w:sz="4" w:space="0" w:color="auto"/>
            </w:tcBorders>
            <w:vAlign w:val="center"/>
            <w:hideMark/>
          </w:tcPr>
          <w:p w14:paraId="765284A9" w14:textId="77777777" w:rsidR="00BC10CF" w:rsidRPr="00196413" w:rsidRDefault="00BC10CF" w:rsidP="00DE6A00">
            <w:pPr>
              <w:jc w:val="both"/>
              <w:rPr>
                <w:b/>
                <w:bCs/>
              </w:rPr>
            </w:pPr>
            <w:r w:rsidRPr="00196413">
              <w:rPr>
                <w:b/>
                <w:bCs/>
              </w:rPr>
              <w:t>Parameter</w:t>
            </w:r>
          </w:p>
        </w:tc>
        <w:tc>
          <w:tcPr>
            <w:tcW w:w="1559" w:type="dxa"/>
            <w:vMerge w:val="restart"/>
            <w:tcBorders>
              <w:top w:val="single" w:sz="4" w:space="0" w:color="auto"/>
              <w:bottom w:val="single" w:sz="4" w:space="0" w:color="auto"/>
            </w:tcBorders>
            <w:vAlign w:val="center"/>
            <w:hideMark/>
          </w:tcPr>
          <w:p w14:paraId="56B83011" w14:textId="77777777" w:rsidR="00BC10CF" w:rsidRPr="00196413" w:rsidRDefault="00BC10CF" w:rsidP="00DE6A00">
            <w:pPr>
              <w:jc w:val="both"/>
              <w:rPr>
                <w:b/>
                <w:bCs/>
              </w:rPr>
            </w:pPr>
            <w:r w:rsidRPr="00196413">
              <w:rPr>
                <w:b/>
                <w:bCs/>
              </w:rPr>
              <w:t>Non-sprouted</w:t>
            </w:r>
          </w:p>
        </w:tc>
        <w:tc>
          <w:tcPr>
            <w:tcW w:w="5585" w:type="dxa"/>
            <w:gridSpan w:val="4"/>
            <w:tcBorders>
              <w:top w:val="single" w:sz="4" w:space="0" w:color="auto"/>
              <w:bottom w:val="single" w:sz="4" w:space="0" w:color="auto"/>
            </w:tcBorders>
            <w:vAlign w:val="center"/>
            <w:hideMark/>
          </w:tcPr>
          <w:p w14:paraId="7318F2EF" w14:textId="77777777" w:rsidR="00BC10CF" w:rsidRPr="00196413" w:rsidRDefault="00BC10CF" w:rsidP="00DE6A00">
            <w:pPr>
              <w:jc w:val="center"/>
              <w:rPr>
                <w:b/>
                <w:bCs/>
              </w:rPr>
            </w:pPr>
            <w:r w:rsidRPr="00196413">
              <w:rPr>
                <w:b/>
                <w:bCs/>
              </w:rPr>
              <w:t>Sprouted</w:t>
            </w:r>
          </w:p>
        </w:tc>
      </w:tr>
      <w:tr w:rsidR="00BC10CF" w:rsidRPr="00196413" w14:paraId="64B33AE6" w14:textId="77777777" w:rsidTr="00E5603A">
        <w:trPr>
          <w:trHeight w:val="173"/>
          <w:tblHeader/>
        </w:trPr>
        <w:tc>
          <w:tcPr>
            <w:tcW w:w="1985" w:type="dxa"/>
            <w:vMerge/>
            <w:tcBorders>
              <w:top w:val="single" w:sz="4" w:space="0" w:color="auto"/>
              <w:bottom w:val="single" w:sz="4" w:space="0" w:color="auto"/>
            </w:tcBorders>
            <w:vAlign w:val="center"/>
          </w:tcPr>
          <w:p w14:paraId="117D33D0" w14:textId="77777777" w:rsidR="00BC10CF" w:rsidRPr="00196413" w:rsidRDefault="00BC10CF" w:rsidP="00DE6A00">
            <w:pPr>
              <w:jc w:val="both"/>
              <w:rPr>
                <w:b/>
                <w:bCs/>
              </w:rPr>
            </w:pPr>
          </w:p>
        </w:tc>
        <w:tc>
          <w:tcPr>
            <w:tcW w:w="1559" w:type="dxa"/>
            <w:vMerge/>
            <w:tcBorders>
              <w:top w:val="single" w:sz="4" w:space="0" w:color="auto"/>
              <w:bottom w:val="single" w:sz="4" w:space="0" w:color="auto"/>
            </w:tcBorders>
            <w:vAlign w:val="center"/>
          </w:tcPr>
          <w:p w14:paraId="0B3977F3" w14:textId="77777777" w:rsidR="00BC10CF" w:rsidRPr="00196413" w:rsidRDefault="00BC10CF" w:rsidP="00DE6A00">
            <w:pPr>
              <w:jc w:val="both"/>
              <w:rPr>
                <w:b/>
                <w:bCs/>
              </w:rPr>
            </w:pPr>
          </w:p>
        </w:tc>
        <w:tc>
          <w:tcPr>
            <w:tcW w:w="1418" w:type="dxa"/>
            <w:tcBorders>
              <w:top w:val="single" w:sz="4" w:space="0" w:color="auto"/>
              <w:bottom w:val="single" w:sz="4" w:space="0" w:color="auto"/>
            </w:tcBorders>
            <w:vAlign w:val="center"/>
          </w:tcPr>
          <w:p w14:paraId="36BB6066" w14:textId="77777777" w:rsidR="00BC10CF" w:rsidRPr="00196413" w:rsidRDefault="00BC10CF" w:rsidP="00DE6A00">
            <w:pPr>
              <w:jc w:val="center"/>
              <w:rPr>
                <w:b/>
                <w:bCs/>
              </w:rPr>
            </w:pPr>
            <w:r w:rsidRPr="00196413">
              <w:rPr>
                <w:b/>
                <w:bCs/>
              </w:rPr>
              <w:t>Day 1</w:t>
            </w:r>
          </w:p>
        </w:tc>
        <w:tc>
          <w:tcPr>
            <w:tcW w:w="1417" w:type="dxa"/>
            <w:tcBorders>
              <w:top w:val="single" w:sz="4" w:space="0" w:color="auto"/>
              <w:bottom w:val="single" w:sz="4" w:space="0" w:color="auto"/>
            </w:tcBorders>
            <w:vAlign w:val="center"/>
          </w:tcPr>
          <w:p w14:paraId="4D6DE898" w14:textId="77777777" w:rsidR="00BC10CF" w:rsidRPr="00196413" w:rsidRDefault="00BC10CF" w:rsidP="00DE6A00">
            <w:pPr>
              <w:jc w:val="center"/>
              <w:rPr>
                <w:b/>
                <w:bCs/>
              </w:rPr>
            </w:pPr>
            <w:r w:rsidRPr="00196413">
              <w:rPr>
                <w:b/>
                <w:bCs/>
              </w:rPr>
              <w:t>Day 2</w:t>
            </w:r>
          </w:p>
        </w:tc>
        <w:tc>
          <w:tcPr>
            <w:tcW w:w="1418" w:type="dxa"/>
            <w:tcBorders>
              <w:top w:val="single" w:sz="4" w:space="0" w:color="auto"/>
              <w:bottom w:val="single" w:sz="4" w:space="0" w:color="auto"/>
            </w:tcBorders>
            <w:vAlign w:val="center"/>
          </w:tcPr>
          <w:p w14:paraId="0C80EA43" w14:textId="77777777" w:rsidR="00BC10CF" w:rsidRPr="00196413" w:rsidRDefault="00BC10CF" w:rsidP="00DE6A00">
            <w:pPr>
              <w:jc w:val="center"/>
              <w:rPr>
                <w:b/>
                <w:bCs/>
              </w:rPr>
            </w:pPr>
            <w:r w:rsidRPr="00196413">
              <w:rPr>
                <w:b/>
                <w:bCs/>
              </w:rPr>
              <w:t>Day 3</w:t>
            </w:r>
          </w:p>
        </w:tc>
        <w:tc>
          <w:tcPr>
            <w:tcW w:w="1332" w:type="dxa"/>
            <w:tcBorders>
              <w:top w:val="single" w:sz="4" w:space="0" w:color="auto"/>
              <w:bottom w:val="single" w:sz="4" w:space="0" w:color="auto"/>
            </w:tcBorders>
            <w:vAlign w:val="center"/>
          </w:tcPr>
          <w:p w14:paraId="48A7B40D" w14:textId="77777777" w:rsidR="00BC10CF" w:rsidRPr="00196413" w:rsidRDefault="00BC10CF" w:rsidP="00DE6A00">
            <w:pPr>
              <w:jc w:val="center"/>
              <w:rPr>
                <w:b/>
                <w:bCs/>
              </w:rPr>
            </w:pPr>
            <w:r w:rsidRPr="00196413">
              <w:rPr>
                <w:b/>
                <w:bCs/>
              </w:rPr>
              <w:t>Day 4</w:t>
            </w:r>
          </w:p>
        </w:tc>
      </w:tr>
      <w:tr w:rsidR="00BC10CF" w:rsidRPr="00196413" w14:paraId="3712D09C" w14:textId="77777777" w:rsidTr="00E5603A">
        <w:tc>
          <w:tcPr>
            <w:tcW w:w="1985" w:type="dxa"/>
            <w:tcBorders>
              <w:top w:val="single" w:sz="4" w:space="0" w:color="auto"/>
            </w:tcBorders>
            <w:vAlign w:val="center"/>
            <w:hideMark/>
          </w:tcPr>
          <w:p w14:paraId="4AE78423" w14:textId="77777777" w:rsidR="00BC10CF" w:rsidRDefault="00BC10CF" w:rsidP="00DE6A00">
            <w:r>
              <w:t>Phytate (mg/100 g)</w:t>
            </w:r>
          </w:p>
        </w:tc>
        <w:tc>
          <w:tcPr>
            <w:tcW w:w="1559" w:type="dxa"/>
            <w:tcBorders>
              <w:top w:val="single" w:sz="4" w:space="0" w:color="auto"/>
            </w:tcBorders>
            <w:vAlign w:val="center"/>
            <w:hideMark/>
          </w:tcPr>
          <w:p w14:paraId="2EC512D9" w14:textId="77777777" w:rsidR="00BC10CF" w:rsidRPr="00196413" w:rsidRDefault="00BC10CF" w:rsidP="00DE6A00">
            <w:pPr>
              <w:jc w:val="right"/>
            </w:pPr>
            <w:r w:rsidRPr="00196413">
              <w:t>21.76±0.24</w:t>
            </w:r>
          </w:p>
        </w:tc>
        <w:tc>
          <w:tcPr>
            <w:tcW w:w="1418" w:type="dxa"/>
            <w:tcBorders>
              <w:top w:val="single" w:sz="4" w:space="0" w:color="auto"/>
            </w:tcBorders>
            <w:vAlign w:val="center"/>
            <w:hideMark/>
          </w:tcPr>
          <w:p w14:paraId="5970EA65" w14:textId="77777777" w:rsidR="00BC10CF" w:rsidRPr="00196413" w:rsidRDefault="00BC10CF" w:rsidP="00DE6A00">
            <w:pPr>
              <w:jc w:val="right"/>
            </w:pPr>
            <w:r w:rsidRPr="00196413">
              <w:t>20.01±0.12</w:t>
            </w:r>
          </w:p>
        </w:tc>
        <w:tc>
          <w:tcPr>
            <w:tcW w:w="1417" w:type="dxa"/>
            <w:tcBorders>
              <w:top w:val="single" w:sz="4" w:space="0" w:color="auto"/>
            </w:tcBorders>
            <w:vAlign w:val="center"/>
            <w:hideMark/>
          </w:tcPr>
          <w:p w14:paraId="5BDCFD2E" w14:textId="77777777" w:rsidR="00BC10CF" w:rsidRPr="00196413" w:rsidRDefault="00BC10CF" w:rsidP="00DE6A00">
            <w:pPr>
              <w:jc w:val="right"/>
            </w:pPr>
            <w:r w:rsidRPr="00196413">
              <w:t>18.72±0.18</w:t>
            </w:r>
          </w:p>
        </w:tc>
        <w:tc>
          <w:tcPr>
            <w:tcW w:w="1418" w:type="dxa"/>
            <w:tcBorders>
              <w:top w:val="single" w:sz="4" w:space="0" w:color="auto"/>
            </w:tcBorders>
            <w:vAlign w:val="center"/>
            <w:hideMark/>
          </w:tcPr>
          <w:p w14:paraId="47E9BB68" w14:textId="77777777" w:rsidR="00BC10CF" w:rsidRPr="00196413" w:rsidRDefault="00BC10CF" w:rsidP="00DE6A00">
            <w:pPr>
              <w:jc w:val="right"/>
            </w:pPr>
            <w:r w:rsidRPr="00196413">
              <w:t>17.92±0.06</w:t>
            </w:r>
          </w:p>
        </w:tc>
        <w:tc>
          <w:tcPr>
            <w:tcW w:w="1332" w:type="dxa"/>
            <w:tcBorders>
              <w:top w:val="single" w:sz="4" w:space="0" w:color="auto"/>
            </w:tcBorders>
            <w:vAlign w:val="center"/>
            <w:hideMark/>
          </w:tcPr>
          <w:p w14:paraId="6CC75B9F" w14:textId="77777777" w:rsidR="00BC10CF" w:rsidRPr="00196413" w:rsidRDefault="00BC10CF" w:rsidP="00DE6A00">
            <w:pPr>
              <w:jc w:val="right"/>
            </w:pPr>
            <w:r w:rsidRPr="00196413">
              <w:t>17.12±0.05</w:t>
            </w:r>
          </w:p>
        </w:tc>
      </w:tr>
      <w:tr w:rsidR="00BC10CF" w:rsidRPr="00196413" w14:paraId="5D3006F7" w14:textId="77777777" w:rsidTr="00E5603A">
        <w:tc>
          <w:tcPr>
            <w:tcW w:w="1985" w:type="dxa"/>
            <w:vAlign w:val="center"/>
            <w:hideMark/>
          </w:tcPr>
          <w:p w14:paraId="67D9AF3C" w14:textId="77777777" w:rsidR="00BC10CF" w:rsidRPr="00196413" w:rsidRDefault="00BC10CF" w:rsidP="00DE6A00">
            <w:pPr>
              <w:jc w:val="both"/>
            </w:pPr>
            <w:r w:rsidRPr="00196413">
              <w:t>Oxalate (mg/g)</w:t>
            </w:r>
          </w:p>
        </w:tc>
        <w:tc>
          <w:tcPr>
            <w:tcW w:w="1559" w:type="dxa"/>
            <w:vAlign w:val="center"/>
            <w:hideMark/>
          </w:tcPr>
          <w:p w14:paraId="25248457" w14:textId="77777777" w:rsidR="00BC10CF" w:rsidRPr="00196413" w:rsidRDefault="00BC10CF" w:rsidP="00DE6A00">
            <w:pPr>
              <w:jc w:val="right"/>
            </w:pPr>
            <w:r w:rsidRPr="00196413">
              <w:t>6.37±0.10</w:t>
            </w:r>
          </w:p>
        </w:tc>
        <w:tc>
          <w:tcPr>
            <w:tcW w:w="1418" w:type="dxa"/>
            <w:vAlign w:val="center"/>
            <w:hideMark/>
          </w:tcPr>
          <w:p w14:paraId="04F5B488" w14:textId="77777777" w:rsidR="00BC10CF" w:rsidRPr="00196413" w:rsidRDefault="00BC10CF" w:rsidP="00DE6A00">
            <w:pPr>
              <w:jc w:val="right"/>
            </w:pPr>
            <w:r w:rsidRPr="00196413">
              <w:t>5.60±0.11</w:t>
            </w:r>
          </w:p>
        </w:tc>
        <w:tc>
          <w:tcPr>
            <w:tcW w:w="1417" w:type="dxa"/>
            <w:vAlign w:val="center"/>
            <w:hideMark/>
          </w:tcPr>
          <w:p w14:paraId="611B7E5A" w14:textId="77777777" w:rsidR="00BC10CF" w:rsidRPr="00196413" w:rsidRDefault="00BC10CF" w:rsidP="00DE6A00">
            <w:pPr>
              <w:jc w:val="right"/>
            </w:pPr>
            <w:r w:rsidRPr="00196413">
              <w:t>4.99±0.11</w:t>
            </w:r>
          </w:p>
        </w:tc>
        <w:tc>
          <w:tcPr>
            <w:tcW w:w="1418" w:type="dxa"/>
            <w:vAlign w:val="center"/>
            <w:hideMark/>
          </w:tcPr>
          <w:p w14:paraId="76CB1E54" w14:textId="77777777" w:rsidR="00BC10CF" w:rsidRPr="00196413" w:rsidRDefault="00BC10CF" w:rsidP="00DE6A00">
            <w:pPr>
              <w:jc w:val="right"/>
            </w:pPr>
            <w:r w:rsidRPr="00196413">
              <w:t>4.11±0.06</w:t>
            </w:r>
          </w:p>
        </w:tc>
        <w:tc>
          <w:tcPr>
            <w:tcW w:w="1332" w:type="dxa"/>
            <w:vAlign w:val="center"/>
            <w:hideMark/>
          </w:tcPr>
          <w:p w14:paraId="69578256" w14:textId="77777777" w:rsidR="00BC10CF" w:rsidRPr="00196413" w:rsidRDefault="00BC10CF" w:rsidP="00DE6A00">
            <w:pPr>
              <w:jc w:val="right"/>
            </w:pPr>
            <w:r w:rsidRPr="00196413">
              <w:t>3.90±0.10</w:t>
            </w:r>
          </w:p>
        </w:tc>
      </w:tr>
      <w:tr w:rsidR="00BC10CF" w:rsidRPr="00196413" w14:paraId="4AE08AB7" w14:textId="77777777" w:rsidTr="00E5603A">
        <w:tc>
          <w:tcPr>
            <w:tcW w:w="1985" w:type="dxa"/>
            <w:tcBorders>
              <w:bottom w:val="single" w:sz="4" w:space="0" w:color="auto"/>
            </w:tcBorders>
            <w:vAlign w:val="center"/>
            <w:hideMark/>
          </w:tcPr>
          <w:p w14:paraId="168816E3" w14:textId="77777777" w:rsidR="00BC10CF" w:rsidRPr="00196413" w:rsidRDefault="00BC10CF" w:rsidP="00DE6A00">
            <w:pPr>
              <w:jc w:val="both"/>
            </w:pPr>
            <w:r w:rsidRPr="00196413">
              <w:t>Tannin (mg/100 g)</w:t>
            </w:r>
          </w:p>
        </w:tc>
        <w:tc>
          <w:tcPr>
            <w:tcW w:w="1559" w:type="dxa"/>
            <w:tcBorders>
              <w:bottom w:val="single" w:sz="4" w:space="0" w:color="auto"/>
            </w:tcBorders>
            <w:vAlign w:val="center"/>
            <w:hideMark/>
          </w:tcPr>
          <w:p w14:paraId="7DE2BE2E" w14:textId="77777777" w:rsidR="00BC10CF" w:rsidRPr="00196413" w:rsidRDefault="00BC10CF" w:rsidP="00DE6A00">
            <w:pPr>
              <w:jc w:val="right"/>
            </w:pPr>
            <w:r w:rsidRPr="00196413">
              <w:t>151.91±2.87</w:t>
            </w:r>
          </w:p>
        </w:tc>
        <w:tc>
          <w:tcPr>
            <w:tcW w:w="1418" w:type="dxa"/>
            <w:tcBorders>
              <w:bottom w:val="single" w:sz="4" w:space="0" w:color="auto"/>
            </w:tcBorders>
            <w:vAlign w:val="center"/>
            <w:hideMark/>
          </w:tcPr>
          <w:p w14:paraId="7EA6E1FE" w14:textId="77777777" w:rsidR="00BC10CF" w:rsidRPr="00196413" w:rsidRDefault="00BC10CF" w:rsidP="00DE6A00">
            <w:pPr>
              <w:jc w:val="right"/>
            </w:pPr>
            <w:r w:rsidRPr="00196413">
              <w:t>141.52±1.11</w:t>
            </w:r>
          </w:p>
        </w:tc>
        <w:tc>
          <w:tcPr>
            <w:tcW w:w="1417" w:type="dxa"/>
            <w:tcBorders>
              <w:bottom w:val="single" w:sz="4" w:space="0" w:color="auto"/>
            </w:tcBorders>
            <w:vAlign w:val="center"/>
            <w:hideMark/>
          </w:tcPr>
          <w:p w14:paraId="6338D411" w14:textId="77777777" w:rsidR="00BC10CF" w:rsidRPr="00196413" w:rsidRDefault="00BC10CF" w:rsidP="00DE6A00">
            <w:pPr>
              <w:jc w:val="right"/>
            </w:pPr>
            <w:r w:rsidRPr="00196413">
              <w:t>142.14±3.58</w:t>
            </w:r>
          </w:p>
        </w:tc>
        <w:tc>
          <w:tcPr>
            <w:tcW w:w="1418" w:type="dxa"/>
            <w:tcBorders>
              <w:bottom w:val="single" w:sz="4" w:space="0" w:color="auto"/>
            </w:tcBorders>
            <w:vAlign w:val="center"/>
            <w:hideMark/>
          </w:tcPr>
          <w:p w14:paraId="162C87B0" w14:textId="77777777" w:rsidR="00BC10CF" w:rsidRPr="00196413" w:rsidRDefault="00BC10CF" w:rsidP="00DE6A00">
            <w:pPr>
              <w:jc w:val="right"/>
            </w:pPr>
            <w:r w:rsidRPr="00196413">
              <w:t>143.12±3.46</w:t>
            </w:r>
          </w:p>
        </w:tc>
        <w:tc>
          <w:tcPr>
            <w:tcW w:w="1332" w:type="dxa"/>
            <w:tcBorders>
              <w:bottom w:val="single" w:sz="4" w:space="0" w:color="auto"/>
            </w:tcBorders>
            <w:vAlign w:val="center"/>
            <w:hideMark/>
          </w:tcPr>
          <w:p w14:paraId="455E39E9" w14:textId="77777777" w:rsidR="00BC10CF" w:rsidRPr="00196413" w:rsidRDefault="00BC10CF" w:rsidP="00DE6A00">
            <w:pPr>
              <w:jc w:val="right"/>
            </w:pPr>
            <w:r w:rsidRPr="00196413">
              <w:t>137.19±2.95</w:t>
            </w:r>
          </w:p>
        </w:tc>
      </w:tr>
    </w:tbl>
    <w:p w14:paraId="23367DFA" w14:textId="77777777" w:rsidR="00BC10CF" w:rsidRPr="00196413" w:rsidRDefault="00BC10CF" w:rsidP="00BC10CF">
      <w:pPr>
        <w:pStyle w:val="NormalWeb"/>
        <w:spacing w:before="0" w:beforeAutospacing="0" w:after="120" w:afterAutospacing="0"/>
        <w:jc w:val="both"/>
        <w:rPr>
          <w:rStyle w:val="Strong"/>
        </w:rPr>
      </w:pPr>
    </w:p>
    <w:p w14:paraId="7C8B9E15" w14:textId="77777777" w:rsidR="00BC10CF" w:rsidRPr="00196413" w:rsidRDefault="00BC10CF" w:rsidP="00BC10CF">
      <w:pPr>
        <w:pStyle w:val="NormalWeb"/>
        <w:spacing w:before="0" w:beforeAutospacing="0" w:after="0" w:afterAutospacing="0"/>
        <w:jc w:val="both"/>
      </w:pPr>
      <w:r w:rsidRPr="00196413">
        <w:rPr>
          <w:rStyle w:val="Strong"/>
        </w:rPr>
        <w:t xml:space="preserve">Table </w:t>
      </w:r>
      <w:r>
        <w:rPr>
          <w:rStyle w:val="Strong"/>
        </w:rPr>
        <w:t>6</w:t>
      </w:r>
      <w:r w:rsidRPr="00196413">
        <w:rPr>
          <w:rStyle w:val="Strong"/>
        </w:rPr>
        <w:t>: Anti-nutrient profile of fermented soybeans (g/100 g)</w:t>
      </w:r>
    </w:p>
    <w:tbl>
      <w:tblPr>
        <w:tblW w:w="0" w:type="auto"/>
        <w:tblCellMar>
          <w:top w:w="15" w:type="dxa"/>
          <w:left w:w="57" w:type="dxa"/>
          <w:bottom w:w="15" w:type="dxa"/>
          <w:right w:w="57" w:type="dxa"/>
        </w:tblCellMar>
        <w:tblLook w:val="04A0" w:firstRow="1" w:lastRow="0" w:firstColumn="1" w:lastColumn="0" w:noHBand="0" w:noVBand="1"/>
      </w:tblPr>
      <w:tblGrid>
        <w:gridCol w:w="2892"/>
        <w:gridCol w:w="1560"/>
        <w:gridCol w:w="1417"/>
        <w:gridCol w:w="1418"/>
        <w:gridCol w:w="1417"/>
      </w:tblGrid>
      <w:tr w:rsidR="00BC10CF" w:rsidRPr="00196413" w14:paraId="1C8BEFA6" w14:textId="77777777" w:rsidTr="00DE6A00">
        <w:trPr>
          <w:tblHeader/>
        </w:trPr>
        <w:tc>
          <w:tcPr>
            <w:tcW w:w="2892" w:type="dxa"/>
            <w:tcBorders>
              <w:top w:val="single" w:sz="4" w:space="0" w:color="auto"/>
              <w:bottom w:val="single" w:sz="4" w:space="0" w:color="auto"/>
            </w:tcBorders>
            <w:vAlign w:val="center"/>
            <w:hideMark/>
          </w:tcPr>
          <w:p w14:paraId="133C89A9" w14:textId="77777777" w:rsidR="00BC10CF" w:rsidRDefault="00BC10CF" w:rsidP="00DE6A00">
            <w:r>
              <w:t>Parameter (mg/100 g)</w:t>
            </w:r>
          </w:p>
        </w:tc>
        <w:tc>
          <w:tcPr>
            <w:tcW w:w="1560" w:type="dxa"/>
            <w:tcBorders>
              <w:top w:val="single" w:sz="4" w:space="0" w:color="auto"/>
              <w:bottom w:val="single" w:sz="4" w:space="0" w:color="auto"/>
            </w:tcBorders>
            <w:vAlign w:val="center"/>
            <w:hideMark/>
          </w:tcPr>
          <w:p w14:paraId="1479DFF4" w14:textId="77777777" w:rsidR="00BC10CF" w:rsidRPr="00196413" w:rsidRDefault="00BC10CF" w:rsidP="00DE6A00">
            <w:pPr>
              <w:jc w:val="center"/>
              <w:rPr>
                <w:b/>
                <w:bCs/>
              </w:rPr>
            </w:pPr>
            <w:r w:rsidRPr="00196413">
              <w:rPr>
                <w:b/>
                <w:bCs/>
              </w:rPr>
              <w:t>0 h</w:t>
            </w:r>
          </w:p>
        </w:tc>
        <w:tc>
          <w:tcPr>
            <w:tcW w:w="1417" w:type="dxa"/>
            <w:tcBorders>
              <w:top w:val="single" w:sz="4" w:space="0" w:color="auto"/>
              <w:bottom w:val="single" w:sz="4" w:space="0" w:color="auto"/>
            </w:tcBorders>
            <w:vAlign w:val="center"/>
            <w:hideMark/>
          </w:tcPr>
          <w:p w14:paraId="22915907" w14:textId="77777777" w:rsidR="00BC10CF" w:rsidRPr="00196413" w:rsidRDefault="00BC10CF" w:rsidP="00DE6A00">
            <w:pPr>
              <w:jc w:val="center"/>
              <w:rPr>
                <w:b/>
                <w:bCs/>
              </w:rPr>
            </w:pPr>
            <w:r w:rsidRPr="00196413">
              <w:rPr>
                <w:b/>
                <w:bCs/>
              </w:rPr>
              <w:t>24 h</w:t>
            </w:r>
          </w:p>
        </w:tc>
        <w:tc>
          <w:tcPr>
            <w:tcW w:w="1418" w:type="dxa"/>
            <w:tcBorders>
              <w:top w:val="single" w:sz="4" w:space="0" w:color="auto"/>
              <w:bottom w:val="single" w:sz="4" w:space="0" w:color="auto"/>
            </w:tcBorders>
            <w:vAlign w:val="center"/>
            <w:hideMark/>
          </w:tcPr>
          <w:p w14:paraId="3D111CA9" w14:textId="77777777" w:rsidR="00BC10CF" w:rsidRPr="00196413" w:rsidRDefault="00BC10CF" w:rsidP="00DE6A00">
            <w:pPr>
              <w:jc w:val="center"/>
              <w:rPr>
                <w:b/>
                <w:bCs/>
              </w:rPr>
            </w:pPr>
            <w:r w:rsidRPr="00196413">
              <w:rPr>
                <w:b/>
                <w:bCs/>
              </w:rPr>
              <w:t>48 h</w:t>
            </w:r>
          </w:p>
        </w:tc>
        <w:tc>
          <w:tcPr>
            <w:tcW w:w="1417" w:type="dxa"/>
            <w:tcBorders>
              <w:top w:val="single" w:sz="4" w:space="0" w:color="auto"/>
              <w:bottom w:val="single" w:sz="4" w:space="0" w:color="auto"/>
            </w:tcBorders>
            <w:vAlign w:val="center"/>
            <w:hideMark/>
          </w:tcPr>
          <w:p w14:paraId="5485654C" w14:textId="77777777" w:rsidR="00BC10CF" w:rsidRPr="00196413" w:rsidRDefault="00BC10CF" w:rsidP="00DE6A00">
            <w:pPr>
              <w:jc w:val="center"/>
              <w:rPr>
                <w:b/>
                <w:bCs/>
              </w:rPr>
            </w:pPr>
            <w:r w:rsidRPr="00196413">
              <w:rPr>
                <w:b/>
                <w:bCs/>
              </w:rPr>
              <w:t>72 h</w:t>
            </w:r>
          </w:p>
        </w:tc>
      </w:tr>
      <w:tr w:rsidR="00BC10CF" w:rsidRPr="00196413" w14:paraId="5E45C418" w14:textId="77777777" w:rsidTr="00DE6A00">
        <w:tc>
          <w:tcPr>
            <w:tcW w:w="2892" w:type="dxa"/>
            <w:tcBorders>
              <w:top w:val="single" w:sz="4" w:space="0" w:color="auto"/>
            </w:tcBorders>
            <w:vAlign w:val="center"/>
            <w:hideMark/>
          </w:tcPr>
          <w:p w14:paraId="3F758161" w14:textId="77777777" w:rsidR="00BC10CF" w:rsidRDefault="00BC10CF" w:rsidP="00DE6A00">
            <w:r>
              <w:t>Tannin (mg/100 g)</w:t>
            </w:r>
          </w:p>
        </w:tc>
        <w:tc>
          <w:tcPr>
            <w:tcW w:w="1560" w:type="dxa"/>
            <w:tcBorders>
              <w:top w:val="single" w:sz="4" w:space="0" w:color="auto"/>
            </w:tcBorders>
            <w:vAlign w:val="center"/>
            <w:hideMark/>
          </w:tcPr>
          <w:p w14:paraId="19F14A6C" w14:textId="77777777" w:rsidR="00BC10CF" w:rsidRPr="00196413" w:rsidRDefault="00BC10CF" w:rsidP="00DE6A00">
            <w:pPr>
              <w:jc w:val="right"/>
            </w:pPr>
            <w:r w:rsidRPr="00196413">
              <w:t>1.27 ± 0.45</w:t>
            </w:r>
          </w:p>
        </w:tc>
        <w:tc>
          <w:tcPr>
            <w:tcW w:w="1417" w:type="dxa"/>
            <w:tcBorders>
              <w:top w:val="single" w:sz="4" w:space="0" w:color="auto"/>
            </w:tcBorders>
            <w:vAlign w:val="center"/>
            <w:hideMark/>
          </w:tcPr>
          <w:p w14:paraId="58C0BF17" w14:textId="77777777" w:rsidR="00BC10CF" w:rsidRPr="00196413" w:rsidRDefault="00BC10CF" w:rsidP="00DE6A00">
            <w:pPr>
              <w:jc w:val="right"/>
            </w:pPr>
            <w:r w:rsidRPr="00196413">
              <w:t>1.15 ± 0.21</w:t>
            </w:r>
          </w:p>
        </w:tc>
        <w:tc>
          <w:tcPr>
            <w:tcW w:w="1418" w:type="dxa"/>
            <w:tcBorders>
              <w:top w:val="single" w:sz="4" w:space="0" w:color="auto"/>
            </w:tcBorders>
            <w:vAlign w:val="center"/>
            <w:hideMark/>
          </w:tcPr>
          <w:p w14:paraId="756FB57C" w14:textId="77777777" w:rsidR="00BC10CF" w:rsidRPr="00196413" w:rsidRDefault="00BC10CF" w:rsidP="00DE6A00">
            <w:pPr>
              <w:jc w:val="right"/>
            </w:pPr>
            <w:r w:rsidRPr="00196413">
              <w:t>0.68 ± 0.03</w:t>
            </w:r>
          </w:p>
        </w:tc>
        <w:tc>
          <w:tcPr>
            <w:tcW w:w="1417" w:type="dxa"/>
            <w:tcBorders>
              <w:top w:val="single" w:sz="4" w:space="0" w:color="auto"/>
            </w:tcBorders>
            <w:vAlign w:val="center"/>
            <w:hideMark/>
          </w:tcPr>
          <w:p w14:paraId="599257F9" w14:textId="77777777" w:rsidR="00BC10CF" w:rsidRPr="00196413" w:rsidRDefault="00BC10CF" w:rsidP="00DE6A00">
            <w:pPr>
              <w:jc w:val="right"/>
            </w:pPr>
            <w:r w:rsidRPr="00196413">
              <w:t>0.63 ± 0.20</w:t>
            </w:r>
          </w:p>
        </w:tc>
      </w:tr>
      <w:tr w:rsidR="00BC10CF" w:rsidRPr="00196413" w14:paraId="70210A32" w14:textId="77777777" w:rsidTr="00DE6A00">
        <w:tc>
          <w:tcPr>
            <w:tcW w:w="2892" w:type="dxa"/>
            <w:vAlign w:val="center"/>
            <w:hideMark/>
          </w:tcPr>
          <w:p w14:paraId="3580C85A" w14:textId="77777777" w:rsidR="00BC10CF" w:rsidRDefault="00BC10CF" w:rsidP="00DE6A00">
            <w:r>
              <w:t>Phytic acid (mg/100 g)</w:t>
            </w:r>
          </w:p>
        </w:tc>
        <w:tc>
          <w:tcPr>
            <w:tcW w:w="1560" w:type="dxa"/>
            <w:vAlign w:val="center"/>
            <w:hideMark/>
          </w:tcPr>
          <w:p w14:paraId="2892F34C" w14:textId="77777777" w:rsidR="00BC10CF" w:rsidRPr="00196413" w:rsidRDefault="00BC10CF" w:rsidP="00DE6A00">
            <w:pPr>
              <w:jc w:val="right"/>
            </w:pPr>
            <w:r w:rsidRPr="00196413">
              <w:t>16.36 ± 0.01</w:t>
            </w:r>
          </w:p>
        </w:tc>
        <w:tc>
          <w:tcPr>
            <w:tcW w:w="1417" w:type="dxa"/>
            <w:vAlign w:val="center"/>
            <w:hideMark/>
          </w:tcPr>
          <w:p w14:paraId="288C72D8" w14:textId="77777777" w:rsidR="00BC10CF" w:rsidRPr="00196413" w:rsidRDefault="00BC10CF" w:rsidP="00DE6A00">
            <w:pPr>
              <w:jc w:val="right"/>
            </w:pPr>
            <w:r w:rsidRPr="00196413">
              <w:t>15.12 ± 0.05</w:t>
            </w:r>
          </w:p>
        </w:tc>
        <w:tc>
          <w:tcPr>
            <w:tcW w:w="1418" w:type="dxa"/>
            <w:vAlign w:val="center"/>
            <w:hideMark/>
          </w:tcPr>
          <w:p w14:paraId="2F1E7FD8" w14:textId="77777777" w:rsidR="00BC10CF" w:rsidRPr="00196413" w:rsidRDefault="00BC10CF" w:rsidP="00DE6A00">
            <w:pPr>
              <w:jc w:val="right"/>
            </w:pPr>
            <w:r w:rsidRPr="00196413">
              <w:t>13.63 ± 0.20</w:t>
            </w:r>
          </w:p>
        </w:tc>
        <w:tc>
          <w:tcPr>
            <w:tcW w:w="1417" w:type="dxa"/>
            <w:vAlign w:val="center"/>
            <w:hideMark/>
          </w:tcPr>
          <w:p w14:paraId="401B3DDC" w14:textId="77777777" w:rsidR="00BC10CF" w:rsidRPr="00196413" w:rsidRDefault="00BC10CF" w:rsidP="00DE6A00">
            <w:pPr>
              <w:jc w:val="right"/>
            </w:pPr>
            <w:r w:rsidRPr="00196413">
              <w:t>13.15 ± 0.07</w:t>
            </w:r>
          </w:p>
        </w:tc>
      </w:tr>
      <w:tr w:rsidR="00BC10CF" w:rsidRPr="00196413" w14:paraId="20CB951C" w14:textId="77777777" w:rsidTr="00DE6A00">
        <w:tc>
          <w:tcPr>
            <w:tcW w:w="2892" w:type="dxa"/>
            <w:tcBorders>
              <w:bottom w:val="single" w:sz="4" w:space="0" w:color="auto"/>
            </w:tcBorders>
            <w:vAlign w:val="center"/>
            <w:hideMark/>
          </w:tcPr>
          <w:p w14:paraId="3E9101DF" w14:textId="77777777" w:rsidR="00BC10CF" w:rsidRDefault="00BC10CF" w:rsidP="00DE6A00">
            <w:r>
              <w:t>Oxalate (mg/100 g)</w:t>
            </w:r>
          </w:p>
        </w:tc>
        <w:tc>
          <w:tcPr>
            <w:tcW w:w="1560" w:type="dxa"/>
            <w:tcBorders>
              <w:bottom w:val="single" w:sz="4" w:space="0" w:color="auto"/>
            </w:tcBorders>
            <w:vAlign w:val="center"/>
            <w:hideMark/>
          </w:tcPr>
          <w:p w14:paraId="5C019C74" w14:textId="77777777" w:rsidR="00BC10CF" w:rsidRPr="00196413" w:rsidRDefault="00BC10CF" w:rsidP="00DE6A00">
            <w:pPr>
              <w:jc w:val="right"/>
            </w:pPr>
            <w:r w:rsidRPr="00196413">
              <w:t>1.36 ± 0.01</w:t>
            </w:r>
          </w:p>
        </w:tc>
        <w:tc>
          <w:tcPr>
            <w:tcW w:w="1417" w:type="dxa"/>
            <w:tcBorders>
              <w:bottom w:val="single" w:sz="4" w:space="0" w:color="auto"/>
            </w:tcBorders>
            <w:vAlign w:val="center"/>
            <w:hideMark/>
          </w:tcPr>
          <w:p w14:paraId="44DC032E" w14:textId="77777777" w:rsidR="00BC10CF" w:rsidRPr="00196413" w:rsidRDefault="00BC10CF" w:rsidP="00DE6A00">
            <w:pPr>
              <w:jc w:val="right"/>
            </w:pPr>
            <w:r w:rsidRPr="00196413">
              <w:t>1.21 ± 0.01</w:t>
            </w:r>
          </w:p>
        </w:tc>
        <w:tc>
          <w:tcPr>
            <w:tcW w:w="1418" w:type="dxa"/>
            <w:tcBorders>
              <w:bottom w:val="single" w:sz="4" w:space="0" w:color="auto"/>
            </w:tcBorders>
            <w:vAlign w:val="center"/>
            <w:hideMark/>
          </w:tcPr>
          <w:p w14:paraId="4772CAE9" w14:textId="77777777" w:rsidR="00BC10CF" w:rsidRPr="00196413" w:rsidRDefault="00BC10CF" w:rsidP="00DE6A00">
            <w:pPr>
              <w:jc w:val="right"/>
            </w:pPr>
            <w:r w:rsidRPr="00196413">
              <w:t>1.05 ± 0.01</w:t>
            </w:r>
          </w:p>
        </w:tc>
        <w:tc>
          <w:tcPr>
            <w:tcW w:w="1417" w:type="dxa"/>
            <w:tcBorders>
              <w:bottom w:val="single" w:sz="4" w:space="0" w:color="auto"/>
            </w:tcBorders>
            <w:vAlign w:val="center"/>
            <w:hideMark/>
          </w:tcPr>
          <w:p w14:paraId="19DF2643" w14:textId="77777777" w:rsidR="00BC10CF" w:rsidRPr="00196413" w:rsidRDefault="00BC10CF" w:rsidP="00DE6A00">
            <w:pPr>
              <w:jc w:val="right"/>
            </w:pPr>
            <w:r w:rsidRPr="00196413">
              <w:t>1.02 ± 0.01</w:t>
            </w:r>
          </w:p>
        </w:tc>
      </w:tr>
    </w:tbl>
    <w:p w14:paraId="0FD83739" w14:textId="6D7C63C8" w:rsidR="00AC0BA3" w:rsidRDefault="00AC0BA3">
      <w:pPr>
        <w:rPr>
          <w:b/>
          <w:bCs/>
        </w:rPr>
      </w:pPr>
    </w:p>
    <w:p w14:paraId="2517A4E3" w14:textId="2EDFA51B" w:rsidR="00DC1F3D" w:rsidRPr="00CB33C0" w:rsidRDefault="00A90421" w:rsidP="00CB33C0">
      <w:pPr>
        <w:spacing w:before="120" w:after="120"/>
        <w:jc w:val="both"/>
      </w:pPr>
      <w:r w:rsidRPr="00CB33C0">
        <w:t>Both germination (sprouting) and microbial fermentation significantly improve the nutritional profiles of soybeans. In both processes, protein content increased while carbohydrate and fiber decreased, showing the utilization of seed carbohydrate reserves and nutrient concentration as dry matter is metabolized (</w:t>
      </w:r>
      <w:proofErr w:type="spellStart"/>
      <w:r w:rsidRPr="00CB33C0">
        <w:t>Adeyeye</w:t>
      </w:r>
      <w:proofErr w:type="spellEnd"/>
      <w:r w:rsidRPr="00CB33C0">
        <w:t xml:space="preserve"> </w:t>
      </w:r>
      <w:r w:rsidR="00CB33C0" w:rsidRPr="00CB33C0">
        <w:rPr>
          <w:i/>
          <w:iCs/>
        </w:rPr>
        <w:t>et al</w:t>
      </w:r>
      <w:r w:rsidRPr="00CB33C0">
        <w:t xml:space="preserve">., 2020; </w:t>
      </w:r>
      <w:proofErr w:type="spellStart"/>
      <w:r w:rsidRPr="00CB33C0">
        <w:t>Zinia</w:t>
      </w:r>
      <w:proofErr w:type="spellEnd"/>
      <w:r w:rsidRPr="00CB33C0">
        <w:t xml:space="preserve"> </w:t>
      </w:r>
      <w:r w:rsidR="00CB33C0" w:rsidRPr="00CB33C0">
        <w:rPr>
          <w:i/>
          <w:iCs/>
        </w:rPr>
        <w:t>et al</w:t>
      </w:r>
      <w:r w:rsidRPr="00CB33C0">
        <w:t xml:space="preserve">., 2022). Fermentation generally caused greater decreases in carbohydrate and fiber than sprouting, consistent with microbial breakdown of polysaccharides (Kumar </w:t>
      </w:r>
      <w:r w:rsidR="00CB33C0" w:rsidRPr="00CB33C0">
        <w:rPr>
          <w:i/>
          <w:iCs/>
        </w:rPr>
        <w:t>et al</w:t>
      </w:r>
      <w:r w:rsidRPr="00CB33C0">
        <w:t>., 2020). Sprouting slightly increased fat and ash content, while fermentation stabilized or modestly increased fat and consistently improved ash (mineral) levels (</w:t>
      </w:r>
      <w:proofErr w:type="spellStart"/>
      <w:r w:rsidRPr="00CB33C0">
        <w:t>Adeyeye</w:t>
      </w:r>
      <w:proofErr w:type="spellEnd"/>
      <w:r w:rsidRPr="00CB33C0">
        <w:t xml:space="preserve"> </w:t>
      </w:r>
      <w:r w:rsidR="00CB33C0" w:rsidRPr="00CB33C0">
        <w:rPr>
          <w:i/>
          <w:iCs/>
        </w:rPr>
        <w:t>et al</w:t>
      </w:r>
      <w:r w:rsidRPr="00CB33C0">
        <w:t>., 2020).</w:t>
      </w:r>
    </w:p>
    <w:p w14:paraId="171D7168" w14:textId="76CA7A52" w:rsidR="00DC1F3D" w:rsidRPr="00CB33C0" w:rsidRDefault="00A90421" w:rsidP="00CB33C0">
      <w:pPr>
        <w:spacing w:before="120" w:after="120"/>
        <w:jc w:val="both"/>
      </w:pPr>
      <w:r w:rsidRPr="00CB33C0">
        <w:t xml:space="preserve">Both treatments reduced anti-nutritional factors such as phytate, tannins, and oxalate, with fermentation achieving larger reductions. Fermentation also increased B-vitamin levels due to </w:t>
      </w:r>
      <w:r w:rsidRPr="00CB33C0">
        <w:lastRenderedPageBreak/>
        <w:t>microbial synthesis (</w:t>
      </w:r>
      <w:proofErr w:type="spellStart"/>
      <w:r w:rsidRPr="00CB33C0">
        <w:t>Adeyeye</w:t>
      </w:r>
      <w:proofErr w:type="spellEnd"/>
      <w:r w:rsidRPr="00CB33C0">
        <w:t xml:space="preserve"> </w:t>
      </w:r>
      <w:r w:rsidR="00CB33C0" w:rsidRPr="00CB33C0">
        <w:rPr>
          <w:i/>
          <w:iCs/>
        </w:rPr>
        <w:t>et al</w:t>
      </w:r>
      <w:r w:rsidRPr="00CB33C0">
        <w:t>., 2020). These findings align with the literature reporting enhanced protein digestibility, mineral bioavailability, and vitamin content following these treatments.</w:t>
      </w:r>
    </w:p>
    <w:p w14:paraId="5F946D8F" w14:textId="62B3160F" w:rsidR="00DC1F3D" w:rsidRPr="00CB33C0" w:rsidRDefault="00A90421" w:rsidP="00CB33C0">
      <w:pPr>
        <w:spacing w:before="120" w:after="120"/>
        <w:jc w:val="both"/>
      </w:pPr>
      <w:r w:rsidRPr="00CB33C0">
        <w:t>Sprouting activates endogenous enzymes in soybeans, breaking down starches, proteins, and phytic acid while increasing free amino acids and minerals (</w:t>
      </w:r>
      <w:proofErr w:type="spellStart"/>
      <w:r w:rsidRPr="00CB33C0">
        <w:t>Zinia</w:t>
      </w:r>
      <w:proofErr w:type="spellEnd"/>
      <w:r w:rsidRPr="00CB33C0">
        <w:t xml:space="preserve"> </w:t>
      </w:r>
      <w:r w:rsidR="00CB33C0" w:rsidRPr="00CB33C0">
        <w:rPr>
          <w:i/>
          <w:iCs/>
        </w:rPr>
        <w:t>et al</w:t>
      </w:r>
      <w:r w:rsidRPr="00CB33C0">
        <w:t xml:space="preserve">., 2022). Fermentation introduces microbial enzymes that additionally degrade anti-nutrients and synthesize vitamins and proteins, often yielding superior nutrient improvements compared with sprouting alone (Kumar </w:t>
      </w:r>
      <w:r w:rsidR="00CB33C0" w:rsidRPr="00CB33C0">
        <w:rPr>
          <w:i/>
          <w:iCs/>
        </w:rPr>
        <w:t>et al</w:t>
      </w:r>
      <w:r w:rsidRPr="00CB33C0">
        <w:t>., 2020).</w:t>
      </w:r>
    </w:p>
    <w:p w14:paraId="5C3BEB6D" w14:textId="40198DDA" w:rsidR="00DC1F3D" w:rsidRPr="00CB33C0" w:rsidRDefault="00A90421" w:rsidP="00CB33C0">
      <w:pPr>
        <w:spacing w:before="120" w:after="120"/>
        <w:jc w:val="both"/>
      </w:pPr>
      <w:r w:rsidRPr="00CB33C0">
        <w:t>Sprouting and fermentation are low-cost, traditional techniques that can improve the nutritional quality of soybean products. These processes reduce anti-nutrients, enhance protein and mineral bioavailability, and improve digestibility and sensory properties. They are especially useful in resource-constrained regions, helping mitigate protein-energy malnutrition and micronutrient deficiencies (</w:t>
      </w:r>
      <w:proofErr w:type="spellStart"/>
      <w:r w:rsidRPr="00CB33C0">
        <w:t>Adeyeye</w:t>
      </w:r>
      <w:proofErr w:type="spellEnd"/>
      <w:r w:rsidRPr="00CB33C0">
        <w:t xml:space="preserve"> </w:t>
      </w:r>
      <w:r w:rsidR="00CB33C0" w:rsidRPr="00CB33C0">
        <w:rPr>
          <w:i/>
          <w:iCs/>
        </w:rPr>
        <w:t>et al</w:t>
      </w:r>
      <w:r w:rsidRPr="00CB33C0">
        <w:t xml:space="preserve">., 2020; Tamang </w:t>
      </w:r>
      <w:r w:rsidR="00CB33C0" w:rsidRPr="00CB33C0">
        <w:rPr>
          <w:i/>
          <w:iCs/>
        </w:rPr>
        <w:t>et al</w:t>
      </w:r>
      <w:r w:rsidRPr="00CB33C0">
        <w:t>., 2016).</w:t>
      </w:r>
    </w:p>
    <w:p w14:paraId="01C3A4B2" w14:textId="77777777" w:rsidR="00DC1F3D" w:rsidRPr="00CB33C0" w:rsidRDefault="00A90421" w:rsidP="00CB33C0">
      <w:pPr>
        <w:pStyle w:val="Heading3"/>
        <w:keepNext w:val="0"/>
        <w:keepLines w:val="0"/>
        <w:spacing w:before="281" w:after="140"/>
        <w:jc w:val="both"/>
        <w:rPr>
          <w:sz w:val="24"/>
          <w:szCs w:val="24"/>
        </w:rPr>
      </w:pPr>
      <w:r w:rsidRPr="00CB33C0">
        <w:rPr>
          <w:color w:val="auto"/>
          <w:sz w:val="24"/>
          <w:szCs w:val="24"/>
        </w:rPr>
        <w:t>CONCLUSION</w:t>
      </w:r>
    </w:p>
    <w:p w14:paraId="4991E9F3" w14:textId="3912CEAC" w:rsidR="00DC1F3D" w:rsidRDefault="00A90421" w:rsidP="00CB33C0">
      <w:pPr>
        <w:spacing w:before="120" w:after="120"/>
        <w:jc w:val="both"/>
      </w:pPr>
      <w:r w:rsidRPr="00CB33C0">
        <w:t>Sprouting and fermentation effectively improve the nutritional quality of soybeans. Fermentation generally produces superior improvements in protein, mineral, and vitamin content and greater reduction of anti-nutritional factors. Integrating germination and fermentation in soybean processing can produce nutrient-dense foods suitable for tackling malnutrition in at-risk populations.</w:t>
      </w:r>
    </w:p>
    <w:p w14:paraId="3451B4FA" w14:textId="77777777" w:rsidR="00A01725" w:rsidRDefault="00A01725" w:rsidP="00A01725">
      <w:pPr>
        <w:spacing w:before="120" w:after="120"/>
        <w:jc w:val="both"/>
      </w:pPr>
      <w:r>
        <w:t>Disclaimer (Artificial intelligence)</w:t>
      </w:r>
    </w:p>
    <w:p w14:paraId="218F635E" w14:textId="3D98A393" w:rsidR="00A01725" w:rsidRPr="00CB33C0" w:rsidRDefault="00A01725" w:rsidP="00A01725">
      <w:pPr>
        <w:spacing w:before="120" w:after="120"/>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bookmarkStart w:id="0" w:name="_GoBack"/>
      <w:bookmarkEnd w:id="0"/>
    </w:p>
    <w:p w14:paraId="7DC8EC56" w14:textId="77777777" w:rsidR="00DC1F3D" w:rsidRPr="00CB33C0" w:rsidRDefault="00DC1F3D">
      <w:pPr>
        <w:spacing w:before="120" w:after="120"/>
      </w:pPr>
    </w:p>
    <w:p w14:paraId="201FA704" w14:textId="77777777" w:rsidR="00DC1F3D" w:rsidRPr="00CB33C0" w:rsidRDefault="00A90421">
      <w:pPr>
        <w:spacing w:before="120" w:after="120"/>
      </w:pPr>
      <w:r w:rsidRPr="00CB33C0">
        <w:rPr>
          <w:b/>
          <w:bCs/>
        </w:rPr>
        <w:t>REFERENCES</w:t>
      </w:r>
    </w:p>
    <w:p w14:paraId="0E21BAD7" w14:textId="77777777" w:rsidR="00DC1F3D" w:rsidRPr="00CB33C0" w:rsidRDefault="00A90421" w:rsidP="00CB33C0">
      <w:pPr>
        <w:spacing w:before="120" w:after="120"/>
        <w:jc w:val="both"/>
      </w:pPr>
      <w:r w:rsidRPr="00CB33C0">
        <w:t>Association of Official Analytical Chemists (AOAC). (2008). Official methods of analysis of AOAC International (18th ed.). Gaithersburg, MD: AOAC International.</w:t>
      </w:r>
    </w:p>
    <w:p w14:paraId="104E7353" w14:textId="2255DC32" w:rsidR="00CB33C0" w:rsidRDefault="00CB33C0" w:rsidP="00CB33C0">
      <w:pPr>
        <w:spacing w:before="120" w:after="120"/>
        <w:jc w:val="both"/>
      </w:pPr>
      <w:proofErr w:type="spellStart"/>
      <w:r>
        <w:t>Adeyeye</w:t>
      </w:r>
      <w:proofErr w:type="spellEnd"/>
      <w:r>
        <w:t xml:space="preserve">, S. A. O., Bolaji, O. T., </w:t>
      </w:r>
      <w:proofErr w:type="spellStart"/>
      <w:r>
        <w:t>Abegunde</w:t>
      </w:r>
      <w:proofErr w:type="spellEnd"/>
      <w:r>
        <w:t xml:space="preserve">, T. A., </w:t>
      </w:r>
      <w:proofErr w:type="spellStart"/>
      <w:r>
        <w:t>Tiamiyu</w:t>
      </w:r>
      <w:proofErr w:type="spellEnd"/>
      <w:r>
        <w:t>, H. K., Adebayo-</w:t>
      </w:r>
      <w:proofErr w:type="spellStart"/>
      <w:r>
        <w:t>Oyetoro</w:t>
      </w:r>
      <w:proofErr w:type="spellEnd"/>
      <w:r>
        <w:t>, A. O., &amp; Idowu-Adebayo, F. (2020). Effect of natural fermentation on nutritional composition and anti-nutrients in soy-</w:t>
      </w:r>
      <w:proofErr w:type="spellStart"/>
      <w:r>
        <w:t>wara</w:t>
      </w:r>
      <w:proofErr w:type="spellEnd"/>
      <w:r>
        <w:t xml:space="preserve">. Food Research, 4(1), 152–160. </w:t>
      </w:r>
    </w:p>
    <w:p w14:paraId="35708338" w14:textId="77777777" w:rsidR="00CB33C0" w:rsidRDefault="00CB33C0" w:rsidP="00CB33C0">
      <w:pPr>
        <w:spacing w:before="120" w:after="120"/>
        <w:jc w:val="both"/>
      </w:pPr>
      <w:r>
        <w:t xml:space="preserve">Gupta, R. K., </w:t>
      </w:r>
      <w:proofErr w:type="spellStart"/>
      <w:r>
        <w:t>Gangoliya</w:t>
      </w:r>
      <w:proofErr w:type="spellEnd"/>
      <w:r>
        <w:t>, S. S., &amp; Singh, N. K. (2021). Reduction of phytic acid and enhancement of mineral bioavailability in legumes. Journal of Food Science and Technology, 58(3), 825–837. https://doi.org/10.1007/s13197-020-04641-9</w:t>
      </w:r>
    </w:p>
    <w:p w14:paraId="5B91A34E" w14:textId="77777777" w:rsidR="00CB33C0" w:rsidRDefault="00CB33C0" w:rsidP="00CB33C0">
      <w:pPr>
        <w:spacing w:before="120" w:after="120"/>
        <w:jc w:val="both"/>
      </w:pPr>
      <w:r>
        <w:t xml:space="preserve">Hassan, M. U., Sultana, B., Anwar, F., </w:t>
      </w:r>
      <w:proofErr w:type="spellStart"/>
      <w:r>
        <w:t>Saari</w:t>
      </w:r>
      <w:proofErr w:type="spellEnd"/>
      <w:r>
        <w:t>, N., &amp; Ashraf, M. (2021). Effect of germination on nutritional composition and bioactive compounds of legumes. Journal of Food Biochemistry, 45(9), e13803. https://doi.org/10.1111/jfbc.13803</w:t>
      </w:r>
    </w:p>
    <w:p w14:paraId="22A7A4CD" w14:textId="77777777" w:rsidR="00CB33C0" w:rsidRDefault="00CB33C0" w:rsidP="00CB33C0">
      <w:pPr>
        <w:spacing w:before="120" w:after="120"/>
        <w:jc w:val="both"/>
      </w:pPr>
      <w:r>
        <w:t xml:space="preserve">Kumar, V., Sinha, A. K., </w:t>
      </w:r>
      <w:proofErr w:type="spellStart"/>
      <w:r>
        <w:t>Makkar</w:t>
      </w:r>
      <w:proofErr w:type="spellEnd"/>
      <w:r>
        <w:t>, H. P. S., &amp; Becker, K. (2020). Dietary roles of phytate and phytase in human nutrition: A review. Critical Reviews in Food Science and Nutrition, 60(17), 2986–3004. https://doi.org/10.1080/10408398.2019.1671868</w:t>
      </w:r>
    </w:p>
    <w:p w14:paraId="44E57869" w14:textId="77777777" w:rsidR="00CB33C0" w:rsidRDefault="00CB33C0" w:rsidP="00CB33C0">
      <w:pPr>
        <w:spacing w:before="120" w:after="120"/>
        <w:jc w:val="both"/>
      </w:pPr>
      <w:r>
        <w:t>Li, Y., Zhang, L., &amp; Chen, H. (2022). Effects of solid-state fermentation on soybean nutritional quality and protein digestibility. LWT – Food Science and Technology, 154, 112723. https://doi.org/10.1016/j.lwt.2021.112723</w:t>
      </w:r>
    </w:p>
    <w:p w14:paraId="3C536FC5" w14:textId="77777777" w:rsidR="00CB33C0" w:rsidRDefault="00CB33C0" w:rsidP="00CB33C0">
      <w:pPr>
        <w:spacing w:before="120" w:after="120"/>
        <w:jc w:val="both"/>
      </w:pPr>
      <w:proofErr w:type="spellStart"/>
      <w:r>
        <w:lastRenderedPageBreak/>
        <w:t>Nkhata</w:t>
      </w:r>
      <w:proofErr w:type="spellEnd"/>
      <w:r>
        <w:t xml:space="preserve">, S. G., </w:t>
      </w:r>
      <w:proofErr w:type="spellStart"/>
      <w:r>
        <w:t>Ayua</w:t>
      </w:r>
      <w:proofErr w:type="spellEnd"/>
      <w:r>
        <w:t xml:space="preserve">, E., Kamau, E. H., &amp; </w:t>
      </w:r>
      <w:proofErr w:type="spellStart"/>
      <w:r>
        <w:t>Shingiro</w:t>
      </w:r>
      <w:proofErr w:type="spellEnd"/>
      <w:r>
        <w:t>, J. B. (2018). Fermentation and germination improve nutritional value of cereals and legumes. Food Research International, 103, 259–268. https://doi.org/10.1016/j.foodres.2017.10.018</w:t>
      </w:r>
    </w:p>
    <w:p w14:paraId="0CA83F18" w14:textId="291E95E0" w:rsidR="00CB33C0" w:rsidRDefault="00CB33C0" w:rsidP="00CB33C0">
      <w:pPr>
        <w:spacing w:before="120" w:after="120"/>
        <w:jc w:val="both"/>
      </w:pPr>
      <w:r>
        <w:t xml:space="preserve">Park, M. J., Kim, H. J., &amp; Lee, S. H. (2023). Changes in B-vitamin content and antioxidant activity of fermented soybean products. Foods, 12(4), 789. </w:t>
      </w:r>
    </w:p>
    <w:p w14:paraId="015D746E" w14:textId="15687F1B" w:rsidR="00CB33C0" w:rsidRDefault="00CB33C0" w:rsidP="00CB33C0">
      <w:pPr>
        <w:spacing w:before="120" w:after="120"/>
        <w:jc w:val="both"/>
      </w:pPr>
      <w:r>
        <w:t xml:space="preserve">Tamang, J. P., Watanabe, K., &amp; Holzapfel, W. H. (2016). Review: Diversity of microorganisms in global fermented foods and beverages. Frontiers in Microbiology, 7, 377. </w:t>
      </w:r>
    </w:p>
    <w:p w14:paraId="6C6EB50D" w14:textId="2D17D289" w:rsidR="000D5E9A" w:rsidRDefault="00CB33C0" w:rsidP="00CB33C0">
      <w:pPr>
        <w:spacing w:before="120" w:after="120"/>
        <w:jc w:val="both"/>
      </w:pPr>
      <w:proofErr w:type="spellStart"/>
      <w:r>
        <w:t>Zinia</w:t>
      </w:r>
      <w:proofErr w:type="spellEnd"/>
      <w:r>
        <w:t xml:space="preserve">, S. A. A., Rahman, M. S., &amp; Islam, M. N. (2022). Effects of sprouting of soybean on nutritional and sensory quality of tofu. </w:t>
      </w:r>
      <w:proofErr w:type="spellStart"/>
      <w:r>
        <w:t>Heliyon</w:t>
      </w:r>
      <w:proofErr w:type="spellEnd"/>
      <w:r>
        <w:t>, 8(10), e10878.</w:t>
      </w:r>
    </w:p>
    <w:p w14:paraId="05F4A23F" w14:textId="15010183" w:rsidR="00135214" w:rsidRDefault="00135214" w:rsidP="00CB33C0">
      <w:pPr>
        <w:spacing w:before="120" w:after="120"/>
        <w:jc w:val="both"/>
      </w:pPr>
    </w:p>
    <w:p w14:paraId="62A3C206" w14:textId="2ADEC85E" w:rsidR="00135214" w:rsidRDefault="00135214" w:rsidP="00CB33C0">
      <w:pPr>
        <w:spacing w:before="120" w:after="1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Naz</w:t>
      </w:r>
      <w:proofErr w:type="spellEnd"/>
      <w:r>
        <w:rPr>
          <w:rFonts w:ascii="Arial" w:hAnsi="Arial" w:cs="Arial"/>
          <w:color w:val="222222"/>
          <w:sz w:val="20"/>
          <w:szCs w:val="20"/>
          <w:shd w:val="clear" w:color="auto" w:fill="FFFFFF"/>
        </w:rPr>
        <w:t xml:space="preserve">, T., Sharif, M. K., </w:t>
      </w:r>
      <w:proofErr w:type="spellStart"/>
      <w:r>
        <w:rPr>
          <w:rFonts w:ascii="Arial" w:hAnsi="Arial" w:cs="Arial"/>
          <w:color w:val="222222"/>
          <w:sz w:val="20"/>
          <w:szCs w:val="20"/>
          <w:shd w:val="clear" w:color="auto" w:fill="FFFFFF"/>
        </w:rPr>
        <w:t>Shukat</w:t>
      </w:r>
      <w:proofErr w:type="spellEnd"/>
      <w:r>
        <w:rPr>
          <w:rFonts w:ascii="Arial" w:hAnsi="Arial" w:cs="Arial"/>
          <w:color w:val="222222"/>
          <w:sz w:val="20"/>
          <w:szCs w:val="20"/>
          <w:shd w:val="clear" w:color="auto" w:fill="FFFFFF"/>
        </w:rPr>
        <w:t>, R., &amp; Israr, B. (2025). Characterizing germination effects on nutrient and anti-nutrient profiles in cereal-based protein-enriched supplement. </w:t>
      </w:r>
      <w:r>
        <w:rPr>
          <w:rFonts w:ascii="Arial" w:hAnsi="Arial" w:cs="Arial"/>
          <w:i/>
          <w:iCs/>
          <w:color w:val="222222"/>
          <w:sz w:val="20"/>
          <w:szCs w:val="20"/>
          <w:shd w:val="clear" w:color="auto" w:fill="FFFFFF"/>
        </w:rPr>
        <w:t>Journal of Food Measurement and Characterization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(4), 2957-2969.</w:t>
      </w:r>
    </w:p>
    <w:p w14:paraId="3FB995D1" w14:textId="4DB53A55" w:rsidR="00135214" w:rsidRDefault="00135214" w:rsidP="00CB33C0">
      <w:pPr>
        <w:spacing w:before="120" w:after="120"/>
        <w:jc w:val="both"/>
      </w:pPr>
    </w:p>
    <w:p w14:paraId="3C8BACB1" w14:textId="536EB36D" w:rsidR="00135214" w:rsidRDefault="00135214" w:rsidP="00CB33C0">
      <w:pPr>
        <w:spacing w:before="120" w:after="1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Di, D., He, S., Zhang, R., Gao, K., </w:t>
      </w:r>
      <w:proofErr w:type="spellStart"/>
      <w:r>
        <w:rPr>
          <w:rFonts w:ascii="Arial" w:hAnsi="Arial" w:cs="Arial"/>
          <w:color w:val="222222"/>
          <w:sz w:val="20"/>
          <w:szCs w:val="20"/>
          <w:shd w:val="clear" w:color="auto" w:fill="FFFFFF"/>
        </w:rPr>
        <w:t>Qiu</w:t>
      </w:r>
      <w:proofErr w:type="spellEnd"/>
      <w:r>
        <w:rPr>
          <w:rFonts w:ascii="Arial" w:hAnsi="Arial" w:cs="Arial"/>
          <w:color w:val="222222"/>
          <w:sz w:val="20"/>
          <w:szCs w:val="20"/>
          <w:shd w:val="clear" w:color="auto" w:fill="FFFFFF"/>
        </w:rPr>
        <w:t>, M., Li, X., ... &amp; Shi, J. (2025). Exploring the dual role of anti-nutritional factors in soybeans: a comprehensive analysis of health risks and benefits. </w:t>
      </w:r>
      <w:r>
        <w:rPr>
          <w:rFonts w:ascii="Arial" w:hAnsi="Arial" w:cs="Arial"/>
          <w:i/>
          <w:iCs/>
          <w:color w:val="222222"/>
          <w:sz w:val="20"/>
          <w:szCs w:val="20"/>
          <w:shd w:val="clear" w:color="auto" w:fill="FFFFFF"/>
        </w:rPr>
        <w:t>Critical Reviews in Food Science and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65</w:t>
      </w:r>
      <w:r>
        <w:rPr>
          <w:rFonts w:ascii="Arial" w:hAnsi="Arial" w:cs="Arial"/>
          <w:color w:val="222222"/>
          <w:sz w:val="20"/>
          <w:szCs w:val="20"/>
          <w:shd w:val="clear" w:color="auto" w:fill="FFFFFF"/>
        </w:rPr>
        <w:t>(28), 5772-5789.</w:t>
      </w:r>
    </w:p>
    <w:p w14:paraId="58E64BB7" w14:textId="15F393A2" w:rsidR="00135214" w:rsidRDefault="00135214" w:rsidP="00CB33C0">
      <w:pPr>
        <w:spacing w:before="120" w:after="120"/>
        <w:jc w:val="both"/>
      </w:pPr>
    </w:p>
    <w:p w14:paraId="3C7373C3" w14:textId="29C5669D" w:rsidR="00135214" w:rsidRDefault="00135214" w:rsidP="00CB33C0">
      <w:pPr>
        <w:spacing w:before="120" w:after="1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Chidalu</w:t>
      </w:r>
      <w:proofErr w:type="spellEnd"/>
      <w:r>
        <w:rPr>
          <w:rFonts w:ascii="Arial" w:hAnsi="Arial" w:cs="Arial"/>
          <w:color w:val="222222"/>
          <w:sz w:val="20"/>
          <w:szCs w:val="20"/>
          <w:shd w:val="clear" w:color="auto" w:fill="FFFFFF"/>
        </w:rPr>
        <w:t>, N. D., Goodness, B. U. N., &amp; AC, A. J. (2025). Nutrient and Antinutrient Composition of Complementary Food Made from Fermented Millet, Sprouted Soybean and Carrot Blends. </w:t>
      </w:r>
      <w:r>
        <w:rPr>
          <w:rFonts w:ascii="Arial" w:hAnsi="Arial" w:cs="Arial"/>
          <w:i/>
          <w:iCs/>
          <w:color w:val="222222"/>
          <w:sz w:val="20"/>
          <w:szCs w:val="20"/>
          <w:shd w:val="clear" w:color="auto" w:fill="FFFFFF"/>
        </w:rPr>
        <w:t>Asian Journal of Food Research and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1519-1532.</w:t>
      </w:r>
    </w:p>
    <w:p w14:paraId="14FE5F38" w14:textId="7D979413" w:rsidR="00135214" w:rsidRDefault="00135214" w:rsidP="00CB33C0">
      <w:pPr>
        <w:spacing w:before="120" w:after="120"/>
        <w:jc w:val="both"/>
      </w:pPr>
    </w:p>
    <w:p w14:paraId="3B18879A" w14:textId="055D88B2" w:rsidR="00135214" w:rsidRDefault="00135214" w:rsidP="00CB33C0">
      <w:pPr>
        <w:spacing w:before="120" w:after="120"/>
        <w:jc w:val="both"/>
      </w:pPr>
      <w:r>
        <w:rPr>
          <w:rFonts w:ascii="Arial" w:hAnsi="Arial" w:cs="Arial"/>
          <w:color w:val="222222"/>
          <w:sz w:val="20"/>
          <w:szCs w:val="20"/>
          <w:shd w:val="clear" w:color="auto" w:fill="FFFFFF"/>
        </w:rPr>
        <w:t>Susan, M., Florence, W. W., &amp; Mambo, S. (2025). Evaluation of Sprouted and Un-Sprouted Cereal Based Flour Composites Fortified with Soybeans and Groundnuts. </w:t>
      </w:r>
      <w:r>
        <w:rPr>
          <w:rFonts w:ascii="Arial" w:hAnsi="Arial" w:cs="Arial"/>
          <w:i/>
          <w:iCs/>
          <w:color w:val="222222"/>
          <w:sz w:val="20"/>
          <w:szCs w:val="20"/>
          <w:shd w:val="clear" w:color="auto" w:fill="FFFFFF"/>
        </w:rPr>
        <w:t>European Journal of Agriculture and Food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(6), 7-15.</w:t>
      </w:r>
    </w:p>
    <w:sectPr w:rsidR="00135214" w:rsidSect="00CB33C0">
      <w:pgSz w:w="11907" w:h="16840" w:code="9"/>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0trCwNLI0MjEzNjRS0lEKTi0uzszPAykwqgUAc2w1MywAAAA="/>
  </w:docVars>
  <w:rsids>
    <w:rsidRoot w:val="00DC1F3D"/>
    <w:rsid w:val="000D5E9A"/>
    <w:rsid w:val="00135214"/>
    <w:rsid w:val="00973E58"/>
    <w:rsid w:val="009904E0"/>
    <w:rsid w:val="00A01725"/>
    <w:rsid w:val="00A90421"/>
    <w:rsid w:val="00AC0BA3"/>
    <w:rsid w:val="00B4188B"/>
    <w:rsid w:val="00BC10CF"/>
    <w:rsid w:val="00CB33C0"/>
    <w:rsid w:val="00DC1F3D"/>
    <w:rsid w:val="00E5603A"/>
    <w:rsid w:val="00E7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67EF"/>
  <w15:docId w15:val="{38ED6283-E0D2-42D7-81B3-7D48E72B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Strong">
    <w:name w:val="Strong"/>
    <w:basedOn w:val="DefaultParagraphFont"/>
    <w:uiPriority w:val="22"/>
    <w:qFormat/>
    <w:rsid w:val="00CB33C0"/>
    <w:rPr>
      <w:b/>
      <w:bCs/>
    </w:rPr>
  </w:style>
  <w:style w:type="paragraph" w:styleId="NormalWeb">
    <w:name w:val="Normal (Web)"/>
    <w:basedOn w:val="Normal"/>
    <w:uiPriority w:val="99"/>
    <w:unhideWhenUsed/>
    <w:rsid w:val="00CB33C0"/>
    <w:pPr>
      <w:spacing w:before="100" w:beforeAutospacing="1" w:after="100" w:afterAutospacing="1"/>
    </w:pPr>
    <w:rPr>
      <w:lang w:val="en-GB" w:eastAsia="en-GB"/>
    </w:rPr>
  </w:style>
  <w:style w:type="character" w:styleId="Emphasis">
    <w:name w:val="Emphasis"/>
    <w:basedOn w:val="DefaultParagraphFont"/>
    <w:uiPriority w:val="20"/>
    <w:qFormat/>
    <w:rsid w:val="00CB33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IAINAL_Journal_Ready_Updated</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IAINAL_Journal_Ready_Updated</dc:title>
  <dc:creator>H P</dc:creator>
  <cp:lastModifiedBy>SDI 1020</cp:lastModifiedBy>
  <cp:revision>8</cp:revision>
  <dcterms:created xsi:type="dcterms:W3CDTF">2026-02-17T00:27:00Z</dcterms:created>
  <dcterms:modified xsi:type="dcterms:W3CDTF">2026-02-21T10:21:00Z</dcterms:modified>
</cp:coreProperties>
</file>