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BD01B" w14:textId="77777777" w:rsidR="00945E71" w:rsidRPr="00945E71" w:rsidRDefault="00945E71" w:rsidP="007548A8">
      <w:pPr>
        <w:spacing w:after="0" w:line="360" w:lineRule="auto"/>
        <w:jc w:val="center"/>
        <w:rPr>
          <w:rStyle w:val="Strong"/>
          <w:rFonts w:ascii="Times New Roman" w:hAnsi="Times New Roman" w:cs="Times New Roman"/>
          <w:color w:val="1D1D1D"/>
          <w:shd w:val="clear" w:color="auto" w:fill="FFFFFF"/>
        </w:rPr>
      </w:pPr>
      <w:r w:rsidRPr="00945E71">
        <w:rPr>
          <w:rStyle w:val="Strong"/>
          <w:rFonts w:ascii="Times New Roman" w:hAnsi="Times New Roman" w:cs="Times New Roman"/>
          <w:color w:val="1D1D1D"/>
          <w:shd w:val="clear" w:color="auto" w:fill="FFFFFF"/>
        </w:rPr>
        <w:t>PRODUCTION OF BIOSURFACTANTS FROM HALOPHILIC BACTERIA ISOLATED FROM HYDROCARBON-CONTAMINATED SOILS AND THEIR APPLICATION IN SOIL RECOVERY</w:t>
      </w:r>
    </w:p>
    <w:p w14:paraId="7F2B739F" w14:textId="77777777" w:rsidR="00945E71" w:rsidRDefault="00945E71" w:rsidP="007548A8">
      <w:pPr>
        <w:spacing w:after="0" w:line="360" w:lineRule="auto"/>
        <w:jc w:val="center"/>
        <w:rPr>
          <w:rStyle w:val="Strong"/>
          <w:rFonts w:ascii="Helvetica" w:hAnsi="Helvetica" w:cs="Helvetica"/>
          <w:color w:val="1D1D1D"/>
          <w:sz w:val="20"/>
          <w:szCs w:val="20"/>
          <w:shd w:val="clear" w:color="auto" w:fill="FFFFFF"/>
        </w:rPr>
      </w:pPr>
    </w:p>
    <w:p w14:paraId="0D844957" w14:textId="77777777" w:rsidR="00F40CFA" w:rsidRPr="00383F89" w:rsidRDefault="00F40CFA" w:rsidP="007548A8">
      <w:pPr>
        <w:spacing w:after="0" w:line="360" w:lineRule="auto"/>
        <w:jc w:val="both"/>
        <w:rPr>
          <w:rFonts w:ascii="Times New Roman" w:hAnsi="Times New Roman"/>
          <w:b/>
          <w:sz w:val="20"/>
          <w:szCs w:val="20"/>
        </w:rPr>
      </w:pPr>
    </w:p>
    <w:p w14:paraId="0055096B" w14:textId="77777777" w:rsidR="007548A8" w:rsidRPr="00F5428D" w:rsidRDefault="007548A8" w:rsidP="00F5428D">
      <w:pPr>
        <w:jc w:val="center"/>
        <w:rPr>
          <w:rFonts w:ascii="Times New Roman" w:hAnsi="Times New Roman" w:cs="Times New Roman"/>
          <w:b/>
          <w:sz w:val="24"/>
          <w:szCs w:val="24"/>
        </w:rPr>
      </w:pPr>
    </w:p>
    <w:p w14:paraId="5956F8A7" w14:textId="77777777" w:rsidR="0082684E" w:rsidRPr="00F5428D" w:rsidRDefault="0082684E" w:rsidP="00F5428D">
      <w:pPr>
        <w:rPr>
          <w:rFonts w:ascii="Times New Roman" w:hAnsi="Times New Roman" w:cs="Times New Roman"/>
          <w:b/>
          <w:sz w:val="24"/>
          <w:szCs w:val="24"/>
        </w:rPr>
      </w:pPr>
      <w:r w:rsidRPr="00F5428D">
        <w:rPr>
          <w:rFonts w:ascii="Times New Roman" w:hAnsi="Times New Roman" w:cs="Times New Roman"/>
          <w:b/>
          <w:sz w:val="24"/>
          <w:szCs w:val="24"/>
        </w:rPr>
        <w:t>Abstract</w:t>
      </w:r>
    </w:p>
    <w:p w14:paraId="1B6149C4" w14:textId="77777777" w:rsidR="007A4E31" w:rsidRPr="007A4E31" w:rsidRDefault="007A4E31" w:rsidP="007A4E31">
      <w:pPr>
        <w:jc w:val="both"/>
        <w:rPr>
          <w:rFonts w:ascii="Times New Roman" w:hAnsi="Times New Roman" w:cs="Times New Roman"/>
          <w:sz w:val="24"/>
          <w:szCs w:val="24"/>
        </w:rPr>
      </w:pPr>
      <w:r w:rsidRPr="007A4E31">
        <w:rPr>
          <w:rFonts w:ascii="Times New Roman" w:hAnsi="Times New Roman" w:cs="Times New Roman"/>
          <w:sz w:val="24"/>
          <w:szCs w:val="24"/>
          <w:highlight w:val="yellow"/>
        </w:rPr>
        <w:t xml:space="preserve">This study investigated the potential of biosurfactant-producing halophilic bacteria isolated from hydrocarbon-contaminated soils and evaluated their application in soil recovery. Soil samples collected from contaminated sites and an uncontaminated control were analyzed for physicochemical properties, microbial population density, and plant growth response following biosurfactant treatment. The results shows that contaminated soils exhibited acidic to near-neutral pH (5.6–6.2), reduced organic matter content (1.9–2.3%), elevated electrical conductivity (3.6–4.1 </w:t>
      </w:r>
      <w:proofErr w:type="spellStart"/>
      <w:r w:rsidRPr="007A4E31">
        <w:rPr>
          <w:rFonts w:ascii="Times New Roman" w:hAnsi="Times New Roman" w:cs="Times New Roman"/>
          <w:sz w:val="24"/>
          <w:szCs w:val="24"/>
          <w:highlight w:val="yellow"/>
        </w:rPr>
        <w:t>dS</w:t>
      </w:r>
      <w:proofErr w:type="spellEnd"/>
      <w:r w:rsidRPr="007A4E31">
        <w:rPr>
          <w:rFonts w:ascii="Times New Roman" w:hAnsi="Times New Roman" w:cs="Times New Roman"/>
          <w:sz w:val="24"/>
          <w:szCs w:val="24"/>
          <w:highlight w:val="yellow"/>
        </w:rPr>
        <w:t xml:space="preserve">/m), and high total petroleum hydrocarbon concentrations compared with the control soil. Halophilic bacterial populations ranged from 5.6 × 10⁵ to 6.8 × 10⁵ CFU/g in contaminated soils and were significantly higher than the control (p &lt; 0.05). Biosurfactant-producing isolates were presumptively identified as </w:t>
      </w:r>
      <w:r w:rsidRPr="007A4E31">
        <w:rPr>
          <w:rStyle w:val="Emphasis"/>
          <w:rFonts w:ascii="Times New Roman" w:hAnsi="Times New Roman" w:cs="Times New Roman"/>
          <w:sz w:val="24"/>
          <w:szCs w:val="24"/>
          <w:highlight w:val="yellow"/>
        </w:rPr>
        <w:t>Bacillus</w:t>
      </w:r>
      <w:r w:rsidRPr="007A4E31">
        <w:rPr>
          <w:rFonts w:ascii="Times New Roman" w:hAnsi="Times New Roman" w:cs="Times New Roman"/>
          <w:sz w:val="24"/>
          <w:szCs w:val="24"/>
          <w:highlight w:val="yellow"/>
        </w:rPr>
        <w:t xml:space="preserve">, </w:t>
      </w:r>
      <w:r w:rsidRPr="007A4E31">
        <w:rPr>
          <w:rStyle w:val="Emphasis"/>
          <w:rFonts w:ascii="Times New Roman" w:hAnsi="Times New Roman" w:cs="Times New Roman"/>
          <w:sz w:val="24"/>
          <w:szCs w:val="24"/>
          <w:highlight w:val="yellow"/>
        </w:rPr>
        <w:t>Pseudomonas</w:t>
      </w:r>
      <w:r w:rsidRPr="007A4E31">
        <w:rPr>
          <w:rFonts w:ascii="Times New Roman" w:hAnsi="Times New Roman" w:cs="Times New Roman"/>
          <w:sz w:val="24"/>
          <w:szCs w:val="24"/>
          <w:highlight w:val="yellow"/>
        </w:rPr>
        <w:t xml:space="preserve">, and </w:t>
      </w:r>
      <w:proofErr w:type="spellStart"/>
      <w:r w:rsidRPr="007A4E31">
        <w:rPr>
          <w:rStyle w:val="Emphasis"/>
          <w:rFonts w:ascii="Times New Roman" w:hAnsi="Times New Roman" w:cs="Times New Roman"/>
          <w:sz w:val="24"/>
          <w:szCs w:val="24"/>
          <w:highlight w:val="yellow"/>
        </w:rPr>
        <w:t>Halomonas</w:t>
      </w:r>
      <w:proofErr w:type="spellEnd"/>
      <w:r w:rsidRPr="007A4E31">
        <w:rPr>
          <w:rFonts w:ascii="Times New Roman" w:hAnsi="Times New Roman" w:cs="Times New Roman"/>
          <w:sz w:val="24"/>
          <w:szCs w:val="24"/>
          <w:highlight w:val="yellow"/>
        </w:rPr>
        <w:t xml:space="preserve"> species. Application of biosurfactants significantly improved plant growth compared with untreated soils, with isolate-specific differences observed. Statistical analysis using one-way ANOVA revealed significant differences (p &lt; 0.05) between treated and control soils for key measured parameters. The findings demonstrate that biosurfactant-producing halophilic bacteria can enhance hydrocarbon-impacted soil recovery and support their potential application in environmentally sustainable remediation strategies.</w:t>
      </w:r>
    </w:p>
    <w:p w14:paraId="7DA263D2" w14:textId="77777777" w:rsidR="00B736C0" w:rsidRPr="00ED75E9" w:rsidRDefault="0082684E" w:rsidP="003C1B12">
      <w:pPr>
        <w:spacing w:before="100" w:beforeAutospacing="1" w:after="100" w:afterAutospacing="1" w:line="240" w:lineRule="auto"/>
        <w:jc w:val="both"/>
        <w:rPr>
          <w:rFonts w:ascii="Times New Roman" w:hAnsi="Times New Roman" w:cs="Times New Roman"/>
          <w:b/>
          <w:color w:val="000000" w:themeColor="text1"/>
          <w:sz w:val="20"/>
          <w:szCs w:val="20"/>
        </w:rPr>
      </w:pPr>
      <w:r w:rsidRPr="00ED75E9">
        <w:rPr>
          <w:rFonts w:ascii="Times New Roman" w:eastAsia="Times New Roman" w:hAnsi="Times New Roman" w:cs="Times New Roman"/>
          <w:b/>
          <w:color w:val="000000" w:themeColor="text1"/>
          <w:sz w:val="24"/>
          <w:szCs w:val="24"/>
        </w:rPr>
        <w:t xml:space="preserve">Keywords: </w:t>
      </w:r>
      <w:r w:rsidRPr="00ED75E9">
        <w:rPr>
          <w:color w:val="000000" w:themeColor="text1"/>
        </w:rPr>
        <w:t>Biosurfactant; Halophilic bacteria; Hydrocarbon-contaminated soil; Bioremediation; Environmental biotechnology; Plant growth</w:t>
      </w:r>
    </w:p>
    <w:p w14:paraId="59DC5A10" w14:textId="0D4A11E1" w:rsidR="0082684E" w:rsidRDefault="0082684E" w:rsidP="003C1B12">
      <w:pPr>
        <w:jc w:val="both"/>
        <w:rPr>
          <w:rFonts w:ascii="Times New Roman" w:hAnsi="Times New Roman" w:cs="Times New Roman"/>
          <w:b/>
          <w:color w:val="000000" w:themeColor="text1"/>
          <w:sz w:val="20"/>
          <w:szCs w:val="20"/>
        </w:rPr>
      </w:pPr>
    </w:p>
    <w:p w14:paraId="6D9CA4F3" w14:textId="2D70F1AB" w:rsidR="008660EC" w:rsidRDefault="008660EC" w:rsidP="003C1B12">
      <w:pPr>
        <w:jc w:val="both"/>
        <w:rPr>
          <w:rFonts w:ascii="Times New Roman" w:hAnsi="Times New Roman" w:cs="Times New Roman"/>
          <w:b/>
          <w:color w:val="000000" w:themeColor="text1"/>
          <w:sz w:val="20"/>
          <w:szCs w:val="20"/>
        </w:rPr>
      </w:pPr>
    </w:p>
    <w:p w14:paraId="60F3FC78" w14:textId="0B296F26" w:rsidR="008660EC" w:rsidRDefault="008660EC" w:rsidP="003C1B12">
      <w:pPr>
        <w:jc w:val="both"/>
        <w:rPr>
          <w:rFonts w:ascii="Times New Roman" w:hAnsi="Times New Roman" w:cs="Times New Roman"/>
          <w:b/>
          <w:color w:val="000000" w:themeColor="text1"/>
          <w:sz w:val="20"/>
          <w:szCs w:val="20"/>
        </w:rPr>
      </w:pPr>
    </w:p>
    <w:p w14:paraId="4F99B954" w14:textId="5767B204" w:rsidR="008660EC" w:rsidRDefault="008660EC" w:rsidP="003C1B12">
      <w:pPr>
        <w:jc w:val="both"/>
        <w:rPr>
          <w:rFonts w:ascii="Times New Roman" w:hAnsi="Times New Roman" w:cs="Times New Roman"/>
          <w:b/>
          <w:color w:val="000000" w:themeColor="text1"/>
          <w:sz w:val="20"/>
          <w:szCs w:val="20"/>
        </w:rPr>
      </w:pPr>
    </w:p>
    <w:p w14:paraId="40252FE0" w14:textId="6DAA77D8" w:rsidR="008660EC" w:rsidRDefault="008660EC" w:rsidP="003C1B12">
      <w:pPr>
        <w:jc w:val="both"/>
        <w:rPr>
          <w:rFonts w:ascii="Times New Roman" w:hAnsi="Times New Roman" w:cs="Times New Roman"/>
          <w:b/>
          <w:color w:val="000000" w:themeColor="text1"/>
          <w:sz w:val="20"/>
          <w:szCs w:val="20"/>
        </w:rPr>
      </w:pPr>
    </w:p>
    <w:p w14:paraId="3FC480A5" w14:textId="7088186C" w:rsidR="008660EC" w:rsidRDefault="008660EC" w:rsidP="003C1B12">
      <w:pPr>
        <w:jc w:val="both"/>
        <w:rPr>
          <w:rFonts w:ascii="Times New Roman" w:hAnsi="Times New Roman" w:cs="Times New Roman"/>
          <w:b/>
          <w:color w:val="000000" w:themeColor="text1"/>
          <w:sz w:val="20"/>
          <w:szCs w:val="20"/>
        </w:rPr>
      </w:pPr>
    </w:p>
    <w:p w14:paraId="301DE950" w14:textId="77777777" w:rsidR="008660EC" w:rsidRDefault="008660EC" w:rsidP="003C1B12">
      <w:pPr>
        <w:jc w:val="both"/>
        <w:rPr>
          <w:rFonts w:ascii="Times New Roman" w:hAnsi="Times New Roman" w:cs="Times New Roman"/>
          <w:b/>
          <w:color w:val="000000" w:themeColor="text1"/>
          <w:sz w:val="20"/>
          <w:szCs w:val="20"/>
        </w:rPr>
      </w:pPr>
    </w:p>
    <w:p w14:paraId="7577EB81" w14:textId="77777777" w:rsidR="00945E71" w:rsidRPr="00ED75E9" w:rsidRDefault="00945E71" w:rsidP="003C1B12">
      <w:pPr>
        <w:jc w:val="both"/>
        <w:rPr>
          <w:rFonts w:ascii="Times New Roman" w:hAnsi="Times New Roman" w:cs="Times New Roman"/>
          <w:b/>
          <w:color w:val="000000" w:themeColor="text1"/>
          <w:sz w:val="20"/>
          <w:szCs w:val="20"/>
        </w:rPr>
      </w:pPr>
    </w:p>
    <w:p w14:paraId="1492AFF3" w14:textId="77777777" w:rsidR="0082684E" w:rsidRPr="00ED75E9" w:rsidRDefault="0082684E" w:rsidP="003C1B12">
      <w:pPr>
        <w:jc w:val="both"/>
        <w:rPr>
          <w:rFonts w:ascii="Times New Roman" w:hAnsi="Times New Roman" w:cs="Times New Roman"/>
          <w:b/>
          <w:color w:val="000000" w:themeColor="text1"/>
          <w:sz w:val="20"/>
          <w:szCs w:val="20"/>
        </w:rPr>
      </w:pPr>
    </w:p>
    <w:p w14:paraId="5A74A8F6" w14:textId="77777777" w:rsidR="0082684E" w:rsidRPr="00ED75E9" w:rsidRDefault="0082684E" w:rsidP="003C1B12">
      <w:pPr>
        <w:spacing w:line="360" w:lineRule="auto"/>
        <w:jc w:val="both"/>
        <w:rPr>
          <w:rFonts w:ascii="Times New Roman" w:hAnsi="Times New Roman" w:cs="Times New Roman"/>
          <w:b/>
          <w:color w:val="000000" w:themeColor="text1"/>
          <w:sz w:val="24"/>
          <w:szCs w:val="24"/>
        </w:rPr>
      </w:pPr>
      <w:r w:rsidRPr="00ED75E9">
        <w:rPr>
          <w:rFonts w:ascii="Times New Roman" w:hAnsi="Times New Roman" w:cs="Times New Roman"/>
          <w:b/>
          <w:color w:val="000000" w:themeColor="text1"/>
          <w:sz w:val="24"/>
          <w:szCs w:val="24"/>
        </w:rPr>
        <w:t>1.0 Introduction</w:t>
      </w:r>
    </w:p>
    <w:p w14:paraId="4882BB3C"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Soil contamination by petroleum hydrocarbons is a major environmental problem with serious implications for ecosystem stability, agricultural productivity, and human health. Activities such as crude oil exploration, transportation, storage, and improper disposal of petroleum products have resulted in widespread hydrocarbon pollution of soils, particularly in developing countries where regulatory enforcement is often weak (Atlas &amp; Hazen, 2011). Hydrocarbon-contaminated soils are characterized by altered physicochemical properties, reduced nutrient availability, and impaired microbial activity, leading to long-term soil degradation and reduced crop yield (Das &amp; Chandran, 2011).</w:t>
      </w:r>
    </w:p>
    <w:p w14:paraId="5A55CCC7" w14:textId="77777777" w:rsidR="0082684E" w:rsidRDefault="0082684E" w:rsidP="003C1B12">
      <w:pPr>
        <w:spacing w:line="360" w:lineRule="auto"/>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Conventional remediation methods, including excavation, soil washing, and chemical treatment, are often expensive, disruptive, and environmentally unsustainable. Consequently, bioremediation has emerged as a cost-effective and eco-friendly alternative that exploits the metabolic capabilities of microorganisms to degrade petroleum hydrocarbons into less toxic compounds (</w:t>
      </w:r>
      <w:proofErr w:type="spellStart"/>
      <w:r w:rsidRPr="00ED75E9">
        <w:rPr>
          <w:rFonts w:ascii="Times New Roman" w:hAnsi="Times New Roman" w:cs="Times New Roman"/>
          <w:color w:val="000000" w:themeColor="text1"/>
          <w:sz w:val="24"/>
          <w:szCs w:val="24"/>
        </w:rPr>
        <w:t>Margesin</w:t>
      </w:r>
      <w:proofErr w:type="spellEnd"/>
      <w:r w:rsidRPr="00ED75E9">
        <w:rPr>
          <w:rFonts w:ascii="Times New Roman" w:hAnsi="Times New Roman" w:cs="Times New Roman"/>
          <w:color w:val="000000" w:themeColor="text1"/>
          <w:sz w:val="24"/>
          <w:szCs w:val="24"/>
        </w:rPr>
        <w:t xml:space="preserve"> &amp; Schinner, 2001). However, the effectiveness of microbial degradation is frequently limited by the low bioavailability of hydrophobic hydrocarbons in soil matrices.</w:t>
      </w:r>
    </w:p>
    <w:p w14:paraId="376423B7" w14:textId="2295BB2E" w:rsidR="004D30AC" w:rsidRPr="004D30AC" w:rsidRDefault="004D30AC" w:rsidP="004D30A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4D30AC">
        <w:rPr>
          <w:rFonts w:ascii="Times New Roman" w:hAnsi="Times New Roman" w:cs="Times New Roman"/>
          <w:color w:val="000000" w:themeColor="text1"/>
          <w:sz w:val="24"/>
          <w:szCs w:val="24"/>
        </w:rPr>
        <w:t>ecent studies have further emphasized the relevance of biosurfactants in the remediation of hydrocarbon-contaminated soils due to their environmental compatibility and multifunctional roles. Compared with synthetic surfactants, microbial biosurfactants exhibit higher biodegradability, lower toxicity, and effectiveness under extreme environmental conditions such as high salinity and temperature (</w:t>
      </w:r>
      <w:proofErr w:type="spellStart"/>
      <w:r w:rsidRPr="004D30AC">
        <w:rPr>
          <w:rFonts w:ascii="Times New Roman" w:hAnsi="Times New Roman" w:cs="Times New Roman"/>
          <w:color w:val="000000" w:themeColor="text1"/>
          <w:sz w:val="24"/>
          <w:szCs w:val="24"/>
        </w:rPr>
        <w:t>Satpute</w:t>
      </w:r>
      <w:proofErr w:type="spellEnd"/>
      <w:r w:rsidRPr="004D30AC">
        <w:rPr>
          <w:rFonts w:ascii="Times New Roman" w:hAnsi="Times New Roman" w:cs="Times New Roman"/>
          <w:color w:val="000000" w:themeColor="text1"/>
          <w:sz w:val="24"/>
          <w:szCs w:val="24"/>
        </w:rPr>
        <w:t xml:space="preserve"> et al., 2016; </w:t>
      </w:r>
      <w:proofErr w:type="spellStart"/>
      <w:r w:rsidRPr="004D30AC">
        <w:rPr>
          <w:rFonts w:ascii="Times New Roman" w:hAnsi="Times New Roman" w:cs="Times New Roman"/>
          <w:color w:val="000000" w:themeColor="text1"/>
          <w:sz w:val="24"/>
          <w:szCs w:val="24"/>
        </w:rPr>
        <w:t>Varjani</w:t>
      </w:r>
      <w:proofErr w:type="spellEnd"/>
      <w:r w:rsidRPr="004D30AC">
        <w:rPr>
          <w:rFonts w:ascii="Times New Roman" w:hAnsi="Times New Roman" w:cs="Times New Roman"/>
          <w:color w:val="000000" w:themeColor="text1"/>
          <w:sz w:val="24"/>
          <w:szCs w:val="24"/>
        </w:rPr>
        <w:t xml:space="preserve"> &amp; </w:t>
      </w:r>
      <w:proofErr w:type="spellStart"/>
      <w:r w:rsidRPr="004D30AC">
        <w:rPr>
          <w:rFonts w:ascii="Times New Roman" w:hAnsi="Times New Roman" w:cs="Times New Roman"/>
          <w:color w:val="000000" w:themeColor="text1"/>
          <w:sz w:val="24"/>
          <w:szCs w:val="24"/>
        </w:rPr>
        <w:t>Upasani</w:t>
      </w:r>
      <w:proofErr w:type="spellEnd"/>
      <w:r w:rsidRPr="004D30AC">
        <w:rPr>
          <w:rFonts w:ascii="Times New Roman" w:hAnsi="Times New Roman" w:cs="Times New Roman"/>
          <w:color w:val="000000" w:themeColor="text1"/>
          <w:sz w:val="24"/>
          <w:szCs w:val="24"/>
        </w:rPr>
        <w:t>, 2017). These properties make biosurfactants particularly suitable for application in oil-polluted soils commonly encountered in oil-producing regions.</w:t>
      </w:r>
    </w:p>
    <w:p w14:paraId="17BAFE72" w14:textId="77777777" w:rsidR="004D30AC" w:rsidRPr="004D30AC" w:rsidRDefault="004D30AC" w:rsidP="004D30AC">
      <w:pPr>
        <w:spacing w:line="360" w:lineRule="auto"/>
        <w:jc w:val="both"/>
        <w:rPr>
          <w:rFonts w:ascii="Times New Roman" w:hAnsi="Times New Roman" w:cs="Times New Roman"/>
          <w:color w:val="000000" w:themeColor="text1"/>
          <w:sz w:val="24"/>
          <w:szCs w:val="24"/>
        </w:rPr>
      </w:pPr>
    </w:p>
    <w:p w14:paraId="7BC02285" w14:textId="77777777" w:rsidR="004D30AC" w:rsidRPr="004D30AC" w:rsidRDefault="004D30AC" w:rsidP="004D30AC">
      <w:pPr>
        <w:spacing w:line="360" w:lineRule="auto"/>
        <w:jc w:val="both"/>
        <w:rPr>
          <w:rFonts w:ascii="Times New Roman" w:hAnsi="Times New Roman" w:cs="Times New Roman"/>
          <w:color w:val="000000" w:themeColor="text1"/>
          <w:sz w:val="24"/>
          <w:szCs w:val="24"/>
          <w:highlight w:val="yellow"/>
        </w:rPr>
      </w:pPr>
      <w:r w:rsidRPr="004D30AC">
        <w:rPr>
          <w:rFonts w:ascii="Times New Roman" w:hAnsi="Times New Roman" w:cs="Times New Roman"/>
          <w:color w:val="000000" w:themeColor="text1"/>
          <w:sz w:val="24"/>
          <w:szCs w:val="24"/>
          <w:highlight w:val="yellow"/>
        </w:rPr>
        <w:t xml:space="preserve">In recent years, increasing attention has been given to the use of indigenous microorganisms for bioremediation, as native isolates are better adapted to local environmental conditions and demonstrate improved survival and activity in </w:t>
      </w:r>
      <w:r w:rsidRPr="004D30AC">
        <w:rPr>
          <w:rFonts w:ascii="Times New Roman" w:hAnsi="Times New Roman" w:cs="Times New Roman"/>
          <w:color w:val="000000" w:themeColor="text1"/>
          <w:sz w:val="24"/>
          <w:szCs w:val="24"/>
          <w:highlight w:val="yellow"/>
        </w:rPr>
        <w:lastRenderedPageBreak/>
        <w:t>contaminated soils (</w:t>
      </w:r>
      <w:proofErr w:type="spellStart"/>
      <w:r w:rsidRPr="004D30AC">
        <w:rPr>
          <w:rFonts w:ascii="Times New Roman" w:hAnsi="Times New Roman" w:cs="Times New Roman"/>
          <w:color w:val="000000" w:themeColor="text1"/>
          <w:sz w:val="24"/>
          <w:szCs w:val="24"/>
          <w:highlight w:val="yellow"/>
        </w:rPr>
        <w:t>Asemoloye</w:t>
      </w:r>
      <w:proofErr w:type="spellEnd"/>
      <w:r w:rsidRPr="004D30AC">
        <w:rPr>
          <w:rFonts w:ascii="Times New Roman" w:hAnsi="Times New Roman" w:cs="Times New Roman"/>
          <w:color w:val="000000" w:themeColor="text1"/>
          <w:sz w:val="24"/>
          <w:szCs w:val="24"/>
          <w:highlight w:val="yellow"/>
        </w:rPr>
        <w:t xml:space="preserve"> et al., 2021). Halophilic bacteria isolated from hydrocarbon-impacted environments have been shown to produce biosurfactants with strong emulsification and hydrocarbon mobilization capacities, enhancing contaminant bioavailability and degradation (</w:t>
      </w:r>
      <w:proofErr w:type="spellStart"/>
      <w:r w:rsidRPr="004D30AC">
        <w:rPr>
          <w:rFonts w:ascii="Times New Roman" w:hAnsi="Times New Roman" w:cs="Times New Roman"/>
          <w:color w:val="000000" w:themeColor="text1"/>
          <w:sz w:val="24"/>
          <w:szCs w:val="24"/>
          <w:highlight w:val="yellow"/>
        </w:rPr>
        <w:t>Kosaric</w:t>
      </w:r>
      <w:proofErr w:type="spellEnd"/>
      <w:r w:rsidRPr="004D30AC">
        <w:rPr>
          <w:rFonts w:ascii="Times New Roman" w:hAnsi="Times New Roman" w:cs="Times New Roman"/>
          <w:color w:val="000000" w:themeColor="text1"/>
          <w:sz w:val="24"/>
          <w:szCs w:val="24"/>
          <w:highlight w:val="yellow"/>
        </w:rPr>
        <w:t xml:space="preserve"> &amp; </w:t>
      </w:r>
      <w:proofErr w:type="spellStart"/>
      <w:r w:rsidRPr="004D30AC">
        <w:rPr>
          <w:rFonts w:ascii="Times New Roman" w:hAnsi="Times New Roman" w:cs="Times New Roman"/>
          <w:color w:val="000000" w:themeColor="text1"/>
          <w:sz w:val="24"/>
          <w:szCs w:val="24"/>
          <w:highlight w:val="yellow"/>
        </w:rPr>
        <w:t>Sukan</w:t>
      </w:r>
      <w:proofErr w:type="spellEnd"/>
      <w:r w:rsidRPr="004D30AC">
        <w:rPr>
          <w:rFonts w:ascii="Times New Roman" w:hAnsi="Times New Roman" w:cs="Times New Roman"/>
          <w:color w:val="000000" w:themeColor="text1"/>
          <w:sz w:val="24"/>
          <w:szCs w:val="24"/>
          <w:highlight w:val="yellow"/>
        </w:rPr>
        <w:t>, 2015). However, most studies focus on laboratory strains, highlighting the need for site-specific investigations using local microbial resources.</w:t>
      </w:r>
    </w:p>
    <w:p w14:paraId="482EA02F" w14:textId="36CAF13E" w:rsidR="004D30AC" w:rsidRPr="00ED75E9" w:rsidRDefault="004D30AC" w:rsidP="004D30AC">
      <w:pPr>
        <w:spacing w:line="360" w:lineRule="auto"/>
        <w:jc w:val="both"/>
        <w:rPr>
          <w:rFonts w:ascii="Times New Roman" w:hAnsi="Times New Roman" w:cs="Times New Roman"/>
          <w:color w:val="000000" w:themeColor="text1"/>
          <w:sz w:val="24"/>
          <w:szCs w:val="24"/>
        </w:rPr>
      </w:pPr>
      <w:r w:rsidRPr="004D30AC">
        <w:rPr>
          <w:rFonts w:ascii="Times New Roman" w:hAnsi="Times New Roman" w:cs="Times New Roman"/>
          <w:color w:val="000000" w:themeColor="text1"/>
          <w:sz w:val="24"/>
          <w:szCs w:val="24"/>
          <w:highlight w:val="yellow"/>
        </w:rPr>
        <w:t>Furthermore, beyond hydrocarbon degradation, biosurfactants have been reported to reduce soil phytotoxicity and improve plant growth in remediated soils, indicating their potential role in restoring agricultural productivity in polluted environments (</w:t>
      </w:r>
      <w:proofErr w:type="spellStart"/>
      <w:r w:rsidRPr="004D30AC">
        <w:rPr>
          <w:rFonts w:ascii="Times New Roman" w:hAnsi="Times New Roman" w:cs="Times New Roman"/>
          <w:color w:val="000000" w:themeColor="text1"/>
          <w:sz w:val="24"/>
          <w:szCs w:val="24"/>
          <w:highlight w:val="yellow"/>
        </w:rPr>
        <w:t>Jimoh</w:t>
      </w:r>
      <w:proofErr w:type="spellEnd"/>
      <w:r w:rsidRPr="004D30AC">
        <w:rPr>
          <w:rFonts w:ascii="Times New Roman" w:hAnsi="Times New Roman" w:cs="Times New Roman"/>
          <w:color w:val="000000" w:themeColor="text1"/>
          <w:sz w:val="24"/>
          <w:szCs w:val="24"/>
          <w:highlight w:val="yellow"/>
        </w:rPr>
        <w:t xml:space="preserve"> et al., 2020). This underscores the importance of integrating biosurfactant production studies with soil quality and plant response assessments.</w:t>
      </w:r>
    </w:p>
    <w:p w14:paraId="289DE249" w14:textId="77777777" w:rsidR="0082684E" w:rsidRDefault="0082684E" w:rsidP="003C1B12">
      <w:pPr>
        <w:spacing w:line="360" w:lineRule="auto"/>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Biosurfactants—surface-active compounds produced by microorganisms—have been shown to enhance hydrocarbon bioavailability by reducing surface tension and emulsifying hydrophobic compounds (Mulligan, 2005). Among biosurfactant-producing microorganisms, halophilic and halotolerant bacteria are of particular interest due to their ability to survive and function under high salinity and environmental stress conditions commonly associated with oil-contaminated soils (Banat et al., 2014). These organisms not only tolerate harsh environments but also produce stable biosurfactants with high emulsification capacity.</w:t>
      </w:r>
    </w:p>
    <w:p w14:paraId="13B60650" w14:textId="77777777" w:rsidR="004D30AC" w:rsidRPr="00ED75E9" w:rsidRDefault="004D30AC" w:rsidP="003C1B12">
      <w:pPr>
        <w:spacing w:line="360" w:lineRule="auto"/>
        <w:jc w:val="both"/>
        <w:rPr>
          <w:rFonts w:ascii="Times New Roman" w:hAnsi="Times New Roman" w:cs="Times New Roman"/>
          <w:color w:val="000000" w:themeColor="text1"/>
          <w:sz w:val="24"/>
          <w:szCs w:val="24"/>
        </w:rPr>
      </w:pPr>
    </w:p>
    <w:p w14:paraId="4BFEC4E3"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Despite increasing global interest in biosurfactant-assisted bioremediation, empirical data on the potential of halophilic bacteria isolated from hydrocarbon-contaminated soils in Nigeria remain limited. This study therefore investigates the biosurfactant-producing potential of halophilic bacterial isolates and evaluates the effectiveness of biosurfactant application in hydrocarbon degradation and soil productivity improvement.</w:t>
      </w:r>
    </w:p>
    <w:p w14:paraId="653A9D83" w14:textId="77777777" w:rsidR="004D30AC" w:rsidRDefault="004D30AC" w:rsidP="003C1B12">
      <w:pPr>
        <w:spacing w:line="360" w:lineRule="auto"/>
        <w:jc w:val="both"/>
        <w:rPr>
          <w:rStyle w:val="Strong"/>
          <w:rFonts w:ascii="Times New Roman" w:hAnsi="Times New Roman" w:cs="Times New Roman"/>
          <w:bCs w:val="0"/>
          <w:color w:val="000000" w:themeColor="text1"/>
          <w:sz w:val="24"/>
          <w:szCs w:val="24"/>
        </w:rPr>
      </w:pPr>
    </w:p>
    <w:p w14:paraId="07D4256A"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r w:rsidRPr="00ED75E9">
        <w:rPr>
          <w:rStyle w:val="Strong"/>
          <w:rFonts w:ascii="Times New Roman" w:hAnsi="Times New Roman" w:cs="Times New Roman"/>
          <w:bCs w:val="0"/>
          <w:color w:val="000000" w:themeColor="text1"/>
          <w:sz w:val="24"/>
          <w:szCs w:val="24"/>
        </w:rPr>
        <w:t>Aim and Objectives</w:t>
      </w:r>
    </w:p>
    <w:p w14:paraId="70AC0B07" w14:textId="77777777" w:rsidR="0082684E" w:rsidRPr="00ED75E9" w:rsidRDefault="0082684E" w:rsidP="003C1B12">
      <w:pPr>
        <w:pStyle w:val="NormalWeb"/>
        <w:spacing w:line="360" w:lineRule="auto"/>
        <w:jc w:val="both"/>
        <w:rPr>
          <w:color w:val="000000" w:themeColor="text1"/>
        </w:rPr>
      </w:pPr>
      <w:r w:rsidRPr="00ED75E9">
        <w:rPr>
          <w:color w:val="000000" w:themeColor="text1"/>
        </w:rPr>
        <w:lastRenderedPageBreak/>
        <w:t xml:space="preserve">The aim of this study was to </w:t>
      </w:r>
      <w:r w:rsidRPr="00ED75E9">
        <w:rPr>
          <w:rStyle w:val="Strong"/>
          <w:b w:val="0"/>
          <w:color w:val="000000" w:themeColor="text1"/>
        </w:rPr>
        <w:t>isolate, presumptively identify, and evaluate biosurfactant-producing halophilic bacteria from hydrocarbon-contaminated soils, and to assess the effectiveness of their biosurfactants in hydrocarbon degradation and soil productivity improvement</w:t>
      </w:r>
      <w:r w:rsidRPr="00ED75E9">
        <w:rPr>
          <w:color w:val="000000" w:themeColor="text1"/>
        </w:rPr>
        <w:t>.</w:t>
      </w:r>
    </w:p>
    <w:p w14:paraId="132FFC3D" w14:textId="77777777" w:rsidR="0082684E" w:rsidRPr="00ED75E9" w:rsidRDefault="0082684E" w:rsidP="003C1B12">
      <w:pPr>
        <w:pStyle w:val="NormalWeb"/>
        <w:spacing w:line="360" w:lineRule="auto"/>
        <w:jc w:val="both"/>
        <w:rPr>
          <w:color w:val="000000" w:themeColor="text1"/>
        </w:rPr>
      </w:pPr>
      <w:r w:rsidRPr="00ED75E9">
        <w:rPr>
          <w:rStyle w:val="Strong"/>
          <w:bCs w:val="0"/>
          <w:color w:val="000000" w:themeColor="text1"/>
        </w:rPr>
        <w:t>Specific Objectives</w:t>
      </w:r>
    </w:p>
    <w:p w14:paraId="32EC6AD5"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isolate and presumptively identify halophilic bacterial isolates</w:t>
      </w:r>
      <w:r w:rsidRPr="00ED75E9">
        <w:rPr>
          <w:color w:val="000000" w:themeColor="text1"/>
        </w:rPr>
        <w:t xml:space="preserve"> from hydrocarbon-contaminated soils.</w:t>
      </w:r>
    </w:p>
    <w:p w14:paraId="32CB2979"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determine the physicochemical characteristics</w:t>
      </w:r>
      <w:r w:rsidRPr="00ED75E9">
        <w:rPr>
          <w:color w:val="000000" w:themeColor="text1"/>
        </w:rPr>
        <w:t xml:space="preserve"> of soil samples collected from different contaminated sites and a control site.</w:t>
      </w:r>
    </w:p>
    <w:p w14:paraId="3702D45C"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enumerate halophilic bacterial populations</w:t>
      </w:r>
      <w:r w:rsidRPr="00ED75E9">
        <w:rPr>
          <w:color w:val="000000" w:themeColor="text1"/>
        </w:rPr>
        <w:t xml:space="preserve"> across the sampling sites.</w:t>
      </w:r>
    </w:p>
    <w:p w14:paraId="02999941"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screen halophilic bacterial isolates for biosurfactant production</w:t>
      </w:r>
      <w:r w:rsidRPr="00ED75E9">
        <w:rPr>
          <w:color w:val="000000" w:themeColor="text1"/>
        </w:rPr>
        <w:t xml:space="preserve"> using standard qualitative and quantitative assays.</w:t>
      </w:r>
    </w:p>
    <w:p w14:paraId="5998FF32" w14:textId="77777777" w:rsidR="0082684E" w:rsidRPr="00ED75E9"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evaluate the effect of biosurfactant application on total petroleum hydrocarbon (TPH) degradation</w:t>
      </w:r>
      <w:r w:rsidRPr="00ED75E9">
        <w:rPr>
          <w:color w:val="000000" w:themeColor="text1"/>
        </w:rPr>
        <w:t xml:space="preserve"> in contaminated soils.</w:t>
      </w:r>
    </w:p>
    <w:p w14:paraId="5D82FDED" w14:textId="77777777" w:rsidR="000C0631" w:rsidRDefault="0082684E" w:rsidP="003C1B12">
      <w:pPr>
        <w:pStyle w:val="NormalWeb"/>
        <w:numPr>
          <w:ilvl w:val="0"/>
          <w:numId w:val="10"/>
        </w:numPr>
        <w:spacing w:line="360" w:lineRule="auto"/>
        <w:jc w:val="both"/>
        <w:rPr>
          <w:color w:val="000000" w:themeColor="text1"/>
        </w:rPr>
      </w:pPr>
      <w:r w:rsidRPr="00ED75E9">
        <w:rPr>
          <w:color w:val="000000" w:themeColor="text1"/>
        </w:rPr>
        <w:t xml:space="preserve">To </w:t>
      </w:r>
      <w:r w:rsidRPr="00ED75E9">
        <w:rPr>
          <w:rStyle w:val="Strong"/>
          <w:b w:val="0"/>
          <w:color w:val="000000" w:themeColor="text1"/>
        </w:rPr>
        <w:t>assess the impact of biosurfactant-treated soils on plant growth performance</w:t>
      </w:r>
      <w:r w:rsidRPr="00ED75E9">
        <w:rPr>
          <w:color w:val="000000" w:themeColor="text1"/>
        </w:rPr>
        <w:t>.</w:t>
      </w:r>
    </w:p>
    <w:p w14:paraId="05545900" w14:textId="23AEE491" w:rsidR="000C0631" w:rsidRDefault="000C0631" w:rsidP="003C1B12">
      <w:pPr>
        <w:pStyle w:val="NormalWeb"/>
        <w:spacing w:line="360" w:lineRule="auto"/>
        <w:jc w:val="both"/>
        <w:rPr>
          <w:rStyle w:val="Strong"/>
          <w:bCs w:val="0"/>
          <w:color w:val="000000" w:themeColor="text1"/>
        </w:rPr>
      </w:pPr>
      <w:r w:rsidRPr="00152781">
        <w:rPr>
          <w:rStyle w:val="Strong"/>
          <w:bCs w:val="0"/>
          <w:color w:val="000000" w:themeColor="text1"/>
          <w:highlight w:val="yellow"/>
        </w:rPr>
        <w:t xml:space="preserve">2.0 </w:t>
      </w:r>
      <w:r w:rsidR="00152781" w:rsidRPr="00152781">
        <w:rPr>
          <w:rStyle w:val="Strong"/>
          <w:bCs w:val="0"/>
          <w:color w:val="000000" w:themeColor="text1"/>
          <w:highlight w:val="yellow"/>
        </w:rPr>
        <w:t>Materials and Methods</w:t>
      </w:r>
    </w:p>
    <w:p w14:paraId="0FE6F7B2" w14:textId="77777777" w:rsidR="00ED75E9" w:rsidRPr="000C0631" w:rsidRDefault="000C0631" w:rsidP="003C1B12">
      <w:pPr>
        <w:pStyle w:val="NormalWeb"/>
        <w:spacing w:line="360" w:lineRule="auto"/>
        <w:jc w:val="both"/>
        <w:rPr>
          <w:b/>
          <w:color w:val="000000" w:themeColor="text1"/>
        </w:rPr>
      </w:pPr>
      <w:r w:rsidRPr="000C0631">
        <w:rPr>
          <w:b/>
          <w:color w:val="000000" w:themeColor="text1"/>
        </w:rPr>
        <w:t>2</w:t>
      </w:r>
      <w:r w:rsidR="00ED75E9" w:rsidRPr="000C0631">
        <w:rPr>
          <w:b/>
          <w:color w:val="000000" w:themeColor="text1"/>
        </w:rPr>
        <w:t>.1 Study area and sampling design</w:t>
      </w:r>
    </w:p>
    <w:p w14:paraId="2AB91EF6" w14:textId="1418B0A6" w:rsidR="000C0631" w:rsidRDefault="00ED75E9" w:rsidP="003C1B12">
      <w:pPr>
        <w:pStyle w:val="NormalWeb"/>
        <w:spacing w:line="360" w:lineRule="auto"/>
        <w:jc w:val="both"/>
        <w:rPr>
          <w:color w:val="000000" w:themeColor="text1"/>
        </w:rPr>
      </w:pPr>
      <w:r w:rsidRPr="00152781">
        <w:rPr>
          <w:color w:val="000000" w:themeColor="text1"/>
          <w:highlight w:val="yellow"/>
        </w:rPr>
        <w:t xml:space="preserve">Soil samples were collected from four hydrocarbon-contaminated sites (Sites A–D) within </w:t>
      </w:r>
      <w:proofErr w:type="spellStart"/>
      <w:r w:rsidRPr="00152781">
        <w:rPr>
          <w:color w:val="000000" w:themeColor="text1"/>
          <w:highlight w:val="yellow"/>
        </w:rPr>
        <w:t>Birnin</w:t>
      </w:r>
      <w:proofErr w:type="spellEnd"/>
      <w:r w:rsidRPr="00152781">
        <w:rPr>
          <w:color w:val="000000" w:themeColor="text1"/>
          <w:highlight w:val="yellow"/>
        </w:rPr>
        <w:t xml:space="preserve"> Kebbi, </w:t>
      </w:r>
      <w:r w:rsidR="00152781" w:rsidRPr="00152781">
        <w:rPr>
          <w:highlight w:val="yellow"/>
        </w:rPr>
        <w:t xml:space="preserve">Kebbi State, Northwestern Nigeria, located at approximately latitude </w:t>
      </w:r>
      <w:r w:rsidR="00152781" w:rsidRPr="00152781">
        <w:rPr>
          <w:rStyle w:val="Strong"/>
          <w:b w:val="0"/>
          <w:highlight w:val="yellow"/>
        </w:rPr>
        <w:t>12.4539° N</w:t>
      </w:r>
      <w:r w:rsidR="00152781" w:rsidRPr="00152781">
        <w:rPr>
          <w:highlight w:val="yellow"/>
        </w:rPr>
        <w:t xml:space="preserve"> and longitude </w:t>
      </w:r>
      <w:r w:rsidR="00152781" w:rsidRPr="00152781">
        <w:rPr>
          <w:rStyle w:val="Strong"/>
          <w:b w:val="0"/>
          <w:highlight w:val="yellow"/>
        </w:rPr>
        <w:t>4.1975° E</w:t>
      </w:r>
      <w:r w:rsidRPr="00ED75E9">
        <w:rPr>
          <w:color w:val="000000" w:themeColor="text1"/>
        </w:rPr>
        <w:t xml:space="preserve"> and from one nearby uncontaminated control </w:t>
      </w:r>
      <w:r w:rsidR="007E46D4">
        <w:rPr>
          <w:color w:val="000000" w:themeColor="text1"/>
        </w:rPr>
        <w:t xml:space="preserve">site. </w:t>
      </w:r>
      <w:r w:rsidR="007E46D4" w:rsidRPr="007E46D4">
        <w:rPr>
          <w:color w:val="000000" w:themeColor="text1"/>
          <w:highlight w:val="yellow"/>
        </w:rPr>
        <w:t xml:space="preserve">At each contaminated site, </w:t>
      </w:r>
      <w:r w:rsidR="007E46D4" w:rsidRPr="007E46D4">
        <w:rPr>
          <w:highlight w:val="yellow"/>
        </w:rPr>
        <w:t>Surface soil samples (0–15 cm depth) were collected using a sterile stainless-steel hand auger, while sterile spatulas were used where necessary. Samples were placed in sterile polyethylene bags, properly labeled, and transported to the laboratory for analysis</w:t>
      </w:r>
      <w:r w:rsidR="007E46D4">
        <w:t xml:space="preserve"> </w:t>
      </w:r>
      <w:r w:rsidRPr="00ED75E9">
        <w:rPr>
          <w:color w:val="000000" w:themeColor="text1"/>
        </w:rPr>
        <w:t>(</w:t>
      </w:r>
      <w:proofErr w:type="spellStart"/>
      <w:r w:rsidRPr="00ED75E9">
        <w:rPr>
          <w:color w:val="000000" w:themeColor="text1"/>
        </w:rPr>
        <w:t>Adetutu</w:t>
      </w:r>
      <w:proofErr w:type="spellEnd"/>
      <w:r w:rsidRPr="00ED75E9">
        <w:rPr>
          <w:color w:val="000000" w:themeColor="text1"/>
        </w:rPr>
        <w:t>, Ball, Osborn, &amp; Mazy, 2015). Control samples were collected at least 1 km from visible hydrocarbon contamination. All samples were placed in sterile polyethylene bags,</w:t>
      </w:r>
      <w:r w:rsidR="007E46D4">
        <w:rPr>
          <w:color w:val="000000" w:themeColor="text1"/>
        </w:rPr>
        <w:t xml:space="preserve"> </w:t>
      </w:r>
      <w:r w:rsidR="007E46D4" w:rsidRPr="007E46D4">
        <w:rPr>
          <w:color w:val="000000" w:themeColor="text1"/>
          <w:highlight w:val="yellow"/>
        </w:rPr>
        <w:t>labeled and</w:t>
      </w:r>
      <w:r w:rsidRPr="00ED75E9">
        <w:rPr>
          <w:color w:val="000000" w:themeColor="text1"/>
        </w:rPr>
        <w:t xml:space="preserve"> transported on ice </w:t>
      </w:r>
      <w:r w:rsidR="007E46D4" w:rsidRPr="007E46D4">
        <w:rPr>
          <w:color w:val="000000" w:themeColor="text1"/>
          <w:highlight w:val="yellow"/>
        </w:rPr>
        <w:t>pack</w:t>
      </w:r>
      <w:r w:rsidR="007E46D4">
        <w:rPr>
          <w:color w:val="000000" w:themeColor="text1"/>
        </w:rPr>
        <w:t xml:space="preserve"> </w:t>
      </w:r>
      <w:r w:rsidRPr="00ED75E9">
        <w:rPr>
          <w:color w:val="000000" w:themeColor="text1"/>
        </w:rPr>
        <w:t>to the laboratory, and processed within 24 hours (</w:t>
      </w:r>
      <w:proofErr w:type="spellStart"/>
      <w:r w:rsidRPr="00ED75E9">
        <w:rPr>
          <w:color w:val="000000" w:themeColor="text1"/>
        </w:rPr>
        <w:t>Urum</w:t>
      </w:r>
      <w:proofErr w:type="spellEnd"/>
      <w:r w:rsidRPr="00ED75E9">
        <w:rPr>
          <w:color w:val="000000" w:themeColor="text1"/>
        </w:rPr>
        <w:t xml:space="preserve">, </w:t>
      </w:r>
      <w:proofErr w:type="spellStart"/>
      <w:r w:rsidRPr="00ED75E9">
        <w:rPr>
          <w:color w:val="000000" w:themeColor="text1"/>
        </w:rPr>
        <w:t>Pekdemir</w:t>
      </w:r>
      <w:proofErr w:type="spellEnd"/>
      <w:r w:rsidRPr="00ED75E9">
        <w:rPr>
          <w:color w:val="000000" w:themeColor="text1"/>
        </w:rPr>
        <w:t xml:space="preserve">, &amp; </w:t>
      </w:r>
      <w:proofErr w:type="spellStart"/>
      <w:r w:rsidRPr="00ED75E9">
        <w:rPr>
          <w:color w:val="000000" w:themeColor="text1"/>
        </w:rPr>
        <w:t>Çopur</w:t>
      </w:r>
      <w:proofErr w:type="spellEnd"/>
      <w:r w:rsidRPr="00ED75E9">
        <w:rPr>
          <w:color w:val="000000" w:themeColor="text1"/>
        </w:rPr>
        <w:t>, 2004).</w:t>
      </w:r>
    </w:p>
    <w:p w14:paraId="1AE59F28" w14:textId="77777777" w:rsidR="000C0631" w:rsidRPr="000C0631" w:rsidRDefault="000C0631" w:rsidP="003C1B12">
      <w:pPr>
        <w:pStyle w:val="NormalWeb"/>
        <w:spacing w:line="360" w:lineRule="auto"/>
        <w:jc w:val="both"/>
        <w:rPr>
          <w:b/>
          <w:color w:val="000000" w:themeColor="text1"/>
        </w:rPr>
      </w:pPr>
      <w:r w:rsidRPr="000C0631">
        <w:rPr>
          <w:b/>
          <w:color w:val="000000" w:themeColor="text1"/>
        </w:rPr>
        <w:lastRenderedPageBreak/>
        <w:t xml:space="preserve">2.2 Isolation and enumeration of halophilic bacteria </w:t>
      </w:r>
    </w:p>
    <w:p w14:paraId="1433AAD7" w14:textId="7CA55C15" w:rsidR="00002CFD" w:rsidRDefault="00002CFD" w:rsidP="003C1B12">
      <w:pPr>
        <w:pStyle w:val="NormalWeb"/>
        <w:spacing w:line="360" w:lineRule="auto"/>
        <w:jc w:val="both"/>
      </w:pPr>
      <w:r w:rsidRPr="00002CFD">
        <w:rPr>
          <w:highlight w:val="yellow"/>
        </w:rPr>
        <w:t>T</w:t>
      </w:r>
      <w:r w:rsidR="007E46D4" w:rsidRPr="00002CFD">
        <w:rPr>
          <w:highlight w:val="yellow"/>
        </w:rPr>
        <w:t xml:space="preserve">en grams of soil sample were aseptically transferred into 90 mL of sterile saline solution (0.85% NaCl) to obtain a 10⁻¹ dilution. Serial ten-fold dilutions were subsequently prepared up to 10⁻⁶. Appropriate dilutions (10⁻³–10⁻⁶) were used for the isolation of halophilic bacteria using the </w:t>
      </w:r>
      <w:r w:rsidR="007E46D4" w:rsidRPr="00002CFD">
        <w:rPr>
          <w:rStyle w:val="Strong"/>
          <w:b w:val="0"/>
          <w:highlight w:val="yellow"/>
        </w:rPr>
        <w:t>pour plate method</w:t>
      </w:r>
      <w:r w:rsidR="007E46D4" w:rsidRPr="00002CFD">
        <w:rPr>
          <w:highlight w:val="yellow"/>
        </w:rPr>
        <w:t>, in which 1.0 mL of each dilution was mixed with molten salt-amended agar to selectively favor halophilic and halotolerant bacteria (</w:t>
      </w:r>
      <w:proofErr w:type="spellStart"/>
      <w:r w:rsidR="007E46D4" w:rsidRPr="00002CFD">
        <w:rPr>
          <w:highlight w:val="yellow"/>
        </w:rPr>
        <w:t>Margesin</w:t>
      </w:r>
      <w:proofErr w:type="spellEnd"/>
      <w:r w:rsidR="007E46D4" w:rsidRPr="00002CFD">
        <w:rPr>
          <w:highlight w:val="yellow"/>
        </w:rPr>
        <w:t xml:space="preserve"> &amp; Schinner, 2001). The plates were allowed to solidify and incubated at 30–37 °C for 48–72 h. After incubation, colonies were counted and results expressed as colony-forming units per gram of soil (CFU/g; mean ± SD). Morphologically distinct colonies were selected and purified by repeated streaking on fresh agar plates.</w:t>
      </w:r>
    </w:p>
    <w:p w14:paraId="7FDEDDA4" w14:textId="1D2DAF28" w:rsidR="000C0631" w:rsidRPr="007C225D" w:rsidRDefault="007C225D" w:rsidP="003C1B12">
      <w:pPr>
        <w:pStyle w:val="NormalWeb"/>
        <w:spacing w:line="360" w:lineRule="auto"/>
        <w:jc w:val="both"/>
        <w:rPr>
          <w:b/>
          <w:color w:val="000000" w:themeColor="text1"/>
        </w:rPr>
      </w:pPr>
      <w:r>
        <w:rPr>
          <w:b/>
          <w:color w:val="000000" w:themeColor="text1"/>
        </w:rPr>
        <w:t>2.3</w:t>
      </w:r>
      <w:r w:rsidR="000C0631" w:rsidRPr="007C225D">
        <w:rPr>
          <w:b/>
          <w:color w:val="000000" w:themeColor="text1"/>
        </w:rPr>
        <w:t xml:space="preserve"> Pres</w:t>
      </w:r>
      <w:r w:rsidRPr="007C225D">
        <w:rPr>
          <w:b/>
          <w:color w:val="000000" w:themeColor="text1"/>
        </w:rPr>
        <w:t>umptive identification</w:t>
      </w:r>
    </w:p>
    <w:p w14:paraId="23E9DAFC" w14:textId="77777777" w:rsidR="000C0631" w:rsidRPr="00ED75E9" w:rsidRDefault="000C0631" w:rsidP="003C1B12">
      <w:pPr>
        <w:pStyle w:val="NormalWeb"/>
        <w:spacing w:line="360" w:lineRule="auto"/>
        <w:jc w:val="both"/>
        <w:rPr>
          <w:color w:val="000000" w:themeColor="text1"/>
        </w:rPr>
      </w:pPr>
      <w:r w:rsidRPr="00ED75E9">
        <w:rPr>
          <w:color w:val="000000" w:themeColor="text1"/>
        </w:rPr>
        <w:t>Isolates were characterized by:</w:t>
      </w:r>
    </w:p>
    <w:p w14:paraId="5D82B981" w14:textId="77777777" w:rsidR="000C0631" w:rsidRPr="00ED75E9" w:rsidRDefault="000C0631" w:rsidP="003C1B12">
      <w:pPr>
        <w:pStyle w:val="NormalWeb"/>
        <w:numPr>
          <w:ilvl w:val="0"/>
          <w:numId w:val="12"/>
        </w:numPr>
        <w:spacing w:line="360" w:lineRule="auto"/>
        <w:jc w:val="both"/>
        <w:rPr>
          <w:color w:val="000000" w:themeColor="text1"/>
        </w:rPr>
      </w:pPr>
      <w:r w:rsidRPr="00ED75E9">
        <w:rPr>
          <w:color w:val="000000" w:themeColor="text1"/>
        </w:rPr>
        <w:t xml:space="preserve">Colony morphology (size, </w:t>
      </w:r>
      <w:proofErr w:type="spellStart"/>
      <w:r w:rsidRPr="00ED75E9">
        <w:rPr>
          <w:color w:val="000000" w:themeColor="text1"/>
        </w:rPr>
        <w:t>colour</w:t>
      </w:r>
      <w:proofErr w:type="spellEnd"/>
      <w:r w:rsidRPr="00ED75E9">
        <w:rPr>
          <w:color w:val="000000" w:themeColor="text1"/>
        </w:rPr>
        <w:t>, pigmentation)</w:t>
      </w:r>
    </w:p>
    <w:p w14:paraId="7B138066" w14:textId="77777777" w:rsidR="000C0631" w:rsidRPr="00ED75E9" w:rsidRDefault="000C0631" w:rsidP="003C1B12">
      <w:pPr>
        <w:pStyle w:val="NormalWeb"/>
        <w:numPr>
          <w:ilvl w:val="0"/>
          <w:numId w:val="12"/>
        </w:numPr>
        <w:spacing w:line="360" w:lineRule="auto"/>
        <w:jc w:val="both"/>
        <w:rPr>
          <w:color w:val="000000" w:themeColor="text1"/>
        </w:rPr>
      </w:pPr>
      <w:r w:rsidRPr="00ED75E9">
        <w:rPr>
          <w:color w:val="000000" w:themeColor="text1"/>
        </w:rPr>
        <w:t>Gram staining and cell morphology (rod/coccus)</w:t>
      </w:r>
    </w:p>
    <w:p w14:paraId="3631B088" w14:textId="77777777" w:rsidR="000C0631" w:rsidRPr="00ED75E9" w:rsidRDefault="000C0631" w:rsidP="003C1B12">
      <w:pPr>
        <w:pStyle w:val="NormalWeb"/>
        <w:numPr>
          <w:ilvl w:val="0"/>
          <w:numId w:val="12"/>
        </w:numPr>
        <w:spacing w:line="360" w:lineRule="auto"/>
        <w:jc w:val="both"/>
        <w:rPr>
          <w:color w:val="000000" w:themeColor="text1"/>
        </w:rPr>
      </w:pPr>
      <w:r w:rsidRPr="00ED75E9">
        <w:rPr>
          <w:color w:val="000000" w:themeColor="text1"/>
        </w:rPr>
        <w:t>Basic biochemical tests: catalase, oxidase, citrate utilization, indole, motility, and selected carbohydrate fermentation tests (Bergey’s Manual protocols) (Bergey &amp; Holt, 1994).</w:t>
      </w:r>
    </w:p>
    <w:p w14:paraId="2B4E2567" w14:textId="77777777" w:rsidR="007C225D" w:rsidRDefault="000C0631" w:rsidP="003C1B12">
      <w:pPr>
        <w:pStyle w:val="NormalWeb"/>
        <w:spacing w:line="360" w:lineRule="auto"/>
        <w:jc w:val="both"/>
        <w:rPr>
          <w:color w:val="000000" w:themeColor="text1"/>
        </w:rPr>
      </w:pPr>
      <w:r w:rsidRPr="00ED75E9">
        <w:rPr>
          <w:color w:val="000000" w:themeColor="text1"/>
        </w:rPr>
        <w:t xml:space="preserve">Using the combination of morphological and biochemical profiles, isolates were assigned a </w:t>
      </w:r>
      <w:r w:rsidRPr="00ED75E9">
        <w:rPr>
          <w:rStyle w:val="Strong"/>
          <w:b w:val="0"/>
          <w:color w:val="000000" w:themeColor="text1"/>
        </w:rPr>
        <w:t>presumptive genus-level identity</w:t>
      </w:r>
      <w:r w:rsidRPr="00ED75E9">
        <w:rPr>
          <w:color w:val="000000" w:themeColor="text1"/>
        </w:rPr>
        <w:t xml:space="preserve"> (e.g., </w:t>
      </w:r>
      <w:r w:rsidRPr="00ED75E9">
        <w:rPr>
          <w:rStyle w:val="Emphasis"/>
          <w:color w:val="000000" w:themeColor="text1"/>
        </w:rPr>
        <w:t>Bacillus</w:t>
      </w:r>
      <w:r w:rsidRPr="00ED75E9">
        <w:rPr>
          <w:color w:val="000000" w:themeColor="text1"/>
        </w:rPr>
        <w:t xml:space="preserve"> sp., </w:t>
      </w:r>
      <w:proofErr w:type="spellStart"/>
      <w:r w:rsidRPr="00ED75E9">
        <w:rPr>
          <w:rStyle w:val="Emphasis"/>
          <w:color w:val="000000" w:themeColor="text1"/>
        </w:rPr>
        <w:t>Halomonas</w:t>
      </w:r>
      <w:proofErr w:type="spellEnd"/>
      <w:r w:rsidRPr="00ED75E9">
        <w:rPr>
          <w:color w:val="000000" w:themeColor="text1"/>
        </w:rPr>
        <w:t xml:space="preserve"> sp., </w:t>
      </w:r>
      <w:r w:rsidRPr="00ED75E9">
        <w:rPr>
          <w:rStyle w:val="Emphasis"/>
          <w:color w:val="000000" w:themeColor="text1"/>
        </w:rPr>
        <w:t>Pseudomonas</w:t>
      </w:r>
      <w:r w:rsidR="007C225D">
        <w:rPr>
          <w:color w:val="000000" w:themeColor="text1"/>
        </w:rPr>
        <w:t xml:space="preserve"> sp.)</w:t>
      </w:r>
    </w:p>
    <w:p w14:paraId="6FFDABA5"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2.4</w:t>
      </w:r>
      <w:r w:rsidR="00ED75E9" w:rsidRPr="007C225D">
        <w:rPr>
          <w:b/>
          <w:color w:val="000000" w:themeColor="text1"/>
        </w:rPr>
        <w:t xml:space="preserve"> Ph</w:t>
      </w:r>
      <w:r w:rsidR="000C0631" w:rsidRPr="007C225D">
        <w:rPr>
          <w:b/>
          <w:color w:val="000000" w:themeColor="text1"/>
        </w:rPr>
        <w:t xml:space="preserve">ysicochemical analyses </w:t>
      </w:r>
    </w:p>
    <w:p w14:paraId="71AEC0DD" w14:textId="77777777" w:rsidR="00ED75E9" w:rsidRPr="00ED75E9" w:rsidRDefault="00ED75E9" w:rsidP="003C1B12">
      <w:pPr>
        <w:pStyle w:val="NormalWeb"/>
        <w:spacing w:line="360" w:lineRule="auto"/>
        <w:jc w:val="both"/>
        <w:rPr>
          <w:color w:val="000000" w:themeColor="text1"/>
        </w:rPr>
      </w:pPr>
      <w:r w:rsidRPr="00ED75E9">
        <w:rPr>
          <w:color w:val="000000" w:themeColor="text1"/>
        </w:rPr>
        <w:t>Each soil sample (triplicate subsamples per site) was air-dried, sieved (2 mm), and analyzed as follows:</w:t>
      </w:r>
    </w:p>
    <w:p w14:paraId="5829DC17" w14:textId="77777777" w:rsidR="00ED75E9" w:rsidRPr="00ED75E9" w:rsidRDefault="00ED75E9" w:rsidP="003C1B12">
      <w:pPr>
        <w:pStyle w:val="NormalWeb"/>
        <w:numPr>
          <w:ilvl w:val="0"/>
          <w:numId w:val="11"/>
        </w:numPr>
        <w:spacing w:line="360" w:lineRule="auto"/>
        <w:jc w:val="both"/>
        <w:rPr>
          <w:color w:val="000000" w:themeColor="text1"/>
        </w:rPr>
      </w:pPr>
      <w:r w:rsidRPr="00ED75E9">
        <w:rPr>
          <w:rStyle w:val="Strong"/>
          <w:b w:val="0"/>
          <w:color w:val="000000" w:themeColor="text1"/>
        </w:rPr>
        <w:t>pH:</w:t>
      </w:r>
      <w:r w:rsidRPr="00ED75E9">
        <w:rPr>
          <w:color w:val="000000" w:themeColor="text1"/>
        </w:rPr>
        <w:t xml:space="preserve"> measured in a 1:2.5 </w:t>
      </w:r>
      <w:proofErr w:type="spellStart"/>
      <w:proofErr w:type="gramStart"/>
      <w:r w:rsidRPr="00ED75E9">
        <w:rPr>
          <w:color w:val="000000" w:themeColor="text1"/>
        </w:rPr>
        <w:t>soil:water</w:t>
      </w:r>
      <w:proofErr w:type="spellEnd"/>
      <w:proofErr w:type="gramEnd"/>
      <w:r w:rsidRPr="00ED75E9">
        <w:rPr>
          <w:color w:val="000000" w:themeColor="text1"/>
        </w:rPr>
        <w:t xml:space="preserve"> suspension using a calibrated pH meter (ISO method) (Das &amp; Chandran, 2011).</w:t>
      </w:r>
    </w:p>
    <w:p w14:paraId="58ED374B" w14:textId="77777777" w:rsidR="00ED75E9" w:rsidRPr="00ED75E9" w:rsidRDefault="00ED75E9" w:rsidP="003C1B12">
      <w:pPr>
        <w:pStyle w:val="NormalWeb"/>
        <w:numPr>
          <w:ilvl w:val="0"/>
          <w:numId w:val="11"/>
        </w:numPr>
        <w:spacing w:line="360" w:lineRule="auto"/>
        <w:jc w:val="both"/>
        <w:rPr>
          <w:color w:val="000000" w:themeColor="text1"/>
        </w:rPr>
      </w:pPr>
      <w:r w:rsidRPr="00ED75E9">
        <w:rPr>
          <w:rStyle w:val="Strong"/>
          <w:b w:val="0"/>
          <w:color w:val="000000" w:themeColor="text1"/>
        </w:rPr>
        <w:lastRenderedPageBreak/>
        <w:t>Organic matter:</w:t>
      </w:r>
      <w:r w:rsidRPr="00ED75E9">
        <w:rPr>
          <w:color w:val="000000" w:themeColor="text1"/>
        </w:rPr>
        <w:t xml:space="preserve"> determined by the Walkley–Black wet oxidation method and reported as percent organic matter (Walkley &amp; Black, as cited in </w:t>
      </w:r>
      <w:proofErr w:type="spellStart"/>
      <w:r w:rsidRPr="00ED75E9">
        <w:rPr>
          <w:color w:val="000000" w:themeColor="text1"/>
        </w:rPr>
        <w:t>Margesin</w:t>
      </w:r>
      <w:proofErr w:type="spellEnd"/>
      <w:r w:rsidRPr="00ED75E9">
        <w:rPr>
          <w:color w:val="000000" w:themeColor="text1"/>
        </w:rPr>
        <w:t xml:space="preserve"> &amp; Schinner, 2001).</w:t>
      </w:r>
    </w:p>
    <w:p w14:paraId="1F6F2964" w14:textId="77777777" w:rsidR="00ED75E9" w:rsidRPr="00ED75E9" w:rsidRDefault="00ED75E9" w:rsidP="003C1B12">
      <w:pPr>
        <w:pStyle w:val="NormalWeb"/>
        <w:numPr>
          <w:ilvl w:val="0"/>
          <w:numId w:val="11"/>
        </w:numPr>
        <w:spacing w:line="360" w:lineRule="auto"/>
        <w:jc w:val="both"/>
        <w:rPr>
          <w:color w:val="000000" w:themeColor="text1"/>
        </w:rPr>
      </w:pPr>
      <w:r w:rsidRPr="00ED75E9">
        <w:rPr>
          <w:rStyle w:val="Strong"/>
          <w:b w:val="0"/>
          <w:color w:val="000000" w:themeColor="text1"/>
        </w:rPr>
        <w:t>Electrical conductivity (EC):</w:t>
      </w:r>
      <w:r w:rsidRPr="00ED75E9">
        <w:rPr>
          <w:color w:val="000000" w:themeColor="text1"/>
        </w:rPr>
        <w:t xml:space="preserve"> measured in a 1:5 </w:t>
      </w:r>
      <w:proofErr w:type="spellStart"/>
      <w:proofErr w:type="gramStart"/>
      <w:r w:rsidRPr="00ED75E9">
        <w:rPr>
          <w:color w:val="000000" w:themeColor="text1"/>
        </w:rPr>
        <w:t>soil:water</w:t>
      </w:r>
      <w:proofErr w:type="spellEnd"/>
      <w:proofErr w:type="gramEnd"/>
      <w:r w:rsidRPr="00ED75E9">
        <w:rPr>
          <w:color w:val="000000" w:themeColor="text1"/>
        </w:rPr>
        <w:t xml:space="preserve"> extract using a conductivity meter (</w:t>
      </w:r>
      <w:proofErr w:type="spellStart"/>
      <w:r w:rsidRPr="00ED75E9">
        <w:rPr>
          <w:color w:val="000000" w:themeColor="text1"/>
        </w:rPr>
        <w:t>dS</w:t>
      </w:r>
      <w:proofErr w:type="spellEnd"/>
      <w:r w:rsidRPr="00ED75E9">
        <w:rPr>
          <w:color w:val="000000" w:themeColor="text1"/>
        </w:rPr>
        <w:t>/m).</w:t>
      </w:r>
    </w:p>
    <w:p w14:paraId="06939F73" w14:textId="77777777" w:rsidR="007C225D" w:rsidRDefault="00ED75E9" w:rsidP="003C1B12">
      <w:pPr>
        <w:pStyle w:val="NormalWeb"/>
        <w:numPr>
          <w:ilvl w:val="0"/>
          <w:numId w:val="11"/>
        </w:numPr>
        <w:spacing w:line="360" w:lineRule="auto"/>
        <w:jc w:val="both"/>
        <w:rPr>
          <w:color w:val="000000" w:themeColor="text1"/>
        </w:rPr>
      </w:pPr>
      <w:r w:rsidRPr="00ED75E9">
        <w:rPr>
          <w:rStyle w:val="Strong"/>
          <w:b w:val="0"/>
          <w:color w:val="000000" w:themeColor="text1"/>
        </w:rPr>
        <w:t>Total petroleum hydrocarbons (TPH):</w:t>
      </w:r>
      <w:r w:rsidRPr="00ED75E9">
        <w:rPr>
          <w:color w:val="000000" w:themeColor="text1"/>
        </w:rPr>
        <w:t xml:space="preserve"> extracted with dichloromethane/hexane using Soxhlet or ultrasonic extraction; TPH quantified gravimetrically and by gas chromatography–flame ionization detection (GC-FID) for fingerprinting where required (</w:t>
      </w:r>
      <w:proofErr w:type="spellStart"/>
      <w:r w:rsidRPr="00ED75E9">
        <w:rPr>
          <w:color w:val="000000" w:themeColor="text1"/>
        </w:rPr>
        <w:t>Urum</w:t>
      </w:r>
      <w:proofErr w:type="spellEnd"/>
      <w:r w:rsidRPr="00ED75E9">
        <w:rPr>
          <w:color w:val="000000" w:themeColor="text1"/>
        </w:rPr>
        <w:t xml:space="preserve"> et al., 2004; Atlas &amp; Hazen, 2011). All measurements reported as mean ± SD of three replicates.</w:t>
      </w:r>
    </w:p>
    <w:p w14:paraId="6858A224"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.5 Biosurfactant</w:t>
      </w:r>
      <w:r w:rsidRPr="007C225D">
        <w:rPr>
          <w:b/>
          <w:color w:val="000000" w:themeColor="text1"/>
        </w:rPr>
        <w:t xml:space="preserve"> screening </w:t>
      </w:r>
    </w:p>
    <w:p w14:paraId="2B513517" w14:textId="77777777" w:rsidR="00ED75E9" w:rsidRPr="00ED75E9" w:rsidRDefault="00ED75E9" w:rsidP="003C1B12">
      <w:pPr>
        <w:pStyle w:val="NormalWeb"/>
        <w:spacing w:line="360" w:lineRule="auto"/>
        <w:jc w:val="both"/>
        <w:rPr>
          <w:color w:val="000000" w:themeColor="text1"/>
        </w:rPr>
      </w:pPr>
      <w:r w:rsidRPr="00ED75E9">
        <w:rPr>
          <w:color w:val="000000" w:themeColor="text1"/>
        </w:rPr>
        <w:t>Purified isolates were screened for biosurfactant production using standard qualitative and quantitative assays:</w:t>
      </w:r>
    </w:p>
    <w:p w14:paraId="656E906A" w14:textId="77777777" w:rsidR="00ED75E9" w:rsidRPr="00ED75E9" w:rsidRDefault="00ED75E9" w:rsidP="003C1B12">
      <w:pPr>
        <w:pStyle w:val="NormalWeb"/>
        <w:numPr>
          <w:ilvl w:val="0"/>
          <w:numId w:val="13"/>
        </w:numPr>
        <w:spacing w:line="360" w:lineRule="auto"/>
        <w:jc w:val="both"/>
        <w:rPr>
          <w:color w:val="000000" w:themeColor="text1"/>
        </w:rPr>
      </w:pPr>
      <w:r w:rsidRPr="00ED75E9">
        <w:rPr>
          <w:rStyle w:val="Strong"/>
          <w:b w:val="0"/>
          <w:color w:val="000000" w:themeColor="text1"/>
        </w:rPr>
        <w:t>Hemolysis test:</w:t>
      </w:r>
      <w:r w:rsidRPr="00ED75E9">
        <w:rPr>
          <w:color w:val="000000" w:themeColor="text1"/>
        </w:rPr>
        <w:t xml:space="preserve"> isolates streaked on blood agar; clear zones (β-hemolysis) indicate surfactant production (Banat et al., 2010).</w:t>
      </w:r>
    </w:p>
    <w:p w14:paraId="5DA72346" w14:textId="77777777" w:rsidR="00ED75E9" w:rsidRPr="00ED75E9" w:rsidRDefault="00ED75E9" w:rsidP="003C1B12">
      <w:pPr>
        <w:pStyle w:val="NormalWeb"/>
        <w:numPr>
          <w:ilvl w:val="0"/>
          <w:numId w:val="13"/>
        </w:numPr>
        <w:spacing w:line="360" w:lineRule="auto"/>
        <w:jc w:val="both"/>
        <w:rPr>
          <w:color w:val="000000" w:themeColor="text1"/>
        </w:rPr>
      </w:pPr>
      <w:r w:rsidRPr="00ED75E9">
        <w:rPr>
          <w:rStyle w:val="Strong"/>
          <w:b w:val="0"/>
          <w:color w:val="000000" w:themeColor="text1"/>
        </w:rPr>
        <w:t>Drop-collapse test:</w:t>
      </w:r>
      <w:r w:rsidRPr="00ED75E9">
        <w:rPr>
          <w:color w:val="000000" w:themeColor="text1"/>
        </w:rPr>
        <w:t xml:space="preserve"> 2 µL of cell-free culture supernatant on parafilm; collapse indicates surfactant presence (</w:t>
      </w:r>
      <w:proofErr w:type="spellStart"/>
      <w:r w:rsidRPr="00ED75E9">
        <w:rPr>
          <w:color w:val="000000" w:themeColor="text1"/>
        </w:rPr>
        <w:t>Cameotra</w:t>
      </w:r>
      <w:proofErr w:type="spellEnd"/>
      <w:r w:rsidRPr="00ED75E9">
        <w:rPr>
          <w:color w:val="000000" w:themeColor="text1"/>
        </w:rPr>
        <w:t xml:space="preserve"> &amp; </w:t>
      </w:r>
      <w:proofErr w:type="spellStart"/>
      <w:r w:rsidRPr="00ED75E9">
        <w:rPr>
          <w:color w:val="000000" w:themeColor="text1"/>
        </w:rPr>
        <w:t>Bollag</w:t>
      </w:r>
      <w:proofErr w:type="spellEnd"/>
      <w:r w:rsidRPr="00ED75E9">
        <w:rPr>
          <w:color w:val="000000" w:themeColor="text1"/>
        </w:rPr>
        <w:t>, 2003).</w:t>
      </w:r>
    </w:p>
    <w:p w14:paraId="70011C6D" w14:textId="77777777" w:rsidR="00ED75E9" w:rsidRPr="00ED75E9" w:rsidRDefault="00ED75E9" w:rsidP="003C1B12">
      <w:pPr>
        <w:pStyle w:val="NormalWeb"/>
        <w:numPr>
          <w:ilvl w:val="0"/>
          <w:numId w:val="13"/>
        </w:numPr>
        <w:spacing w:line="360" w:lineRule="auto"/>
        <w:jc w:val="both"/>
        <w:rPr>
          <w:color w:val="000000" w:themeColor="text1"/>
        </w:rPr>
      </w:pPr>
      <w:r w:rsidRPr="00ED75E9">
        <w:rPr>
          <w:rStyle w:val="Strong"/>
          <w:b w:val="0"/>
          <w:color w:val="000000" w:themeColor="text1"/>
        </w:rPr>
        <w:t>Oil displacement test:</w:t>
      </w:r>
      <w:r w:rsidRPr="00ED75E9">
        <w:rPr>
          <w:color w:val="000000" w:themeColor="text1"/>
        </w:rPr>
        <w:t xml:space="preserve"> 20 µL of culture supernatant placed on an oil-water surface; diameter of clearing measured (cm) (Mulligan, 2005).</w:t>
      </w:r>
    </w:p>
    <w:p w14:paraId="75AC864B" w14:textId="77777777" w:rsidR="00ED75E9" w:rsidRPr="00ED75E9" w:rsidRDefault="00ED75E9" w:rsidP="003C1B12">
      <w:pPr>
        <w:pStyle w:val="NormalWeb"/>
        <w:numPr>
          <w:ilvl w:val="0"/>
          <w:numId w:val="13"/>
        </w:numPr>
        <w:spacing w:line="360" w:lineRule="auto"/>
        <w:jc w:val="both"/>
        <w:rPr>
          <w:color w:val="000000" w:themeColor="text1"/>
        </w:rPr>
      </w:pPr>
      <w:r w:rsidRPr="00ED75E9">
        <w:rPr>
          <w:rStyle w:val="Strong"/>
          <w:b w:val="0"/>
          <w:color w:val="000000" w:themeColor="text1"/>
        </w:rPr>
        <w:t>Emulsification index (E24):</w:t>
      </w:r>
      <w:r w:rsidRPr="00ED75E9">
        <w:rPr>
          <w:color w:val="000000" w:themeColor="text1"/>
        </w:rPr>
        <w:t xml:space="preserve"> equal volumes of crude oil and culture supernatant vortexed 2 min; height of emulsion layer measured after 24 h and expressed as % (E24) (</w:t>
      </w:r>
      <w:proofErr w:type="spellStart"/>
      <w:r w:rsidRPr="00ED75E9">
        <w:rPr>
          <w:color w:val="000000" w:themeColor="text1"/>
        </w:rPr>
        <w:t>Pacwa-Płociniczak</w:t>
      </w:r>
      <w:proofErr w:type="spellEnd"/>
      <w:r w:rsidRPr="00ED75E9">
        <w:rPr>
          <w:color w:val="000000" w:themeColor="text1"/>
        </w:rPr>
        <w:t xml:space="preserve"> et al., 2011).</w:t>
      </w:r>
    </w:p>
    <w:p w14:paraId="76A8DF75" w14:textId="6ECA8790" w:rsidR="007C225D" w:rsidRDefault="00ED75E9" w:rsidP="003C1B12">
      <w:pPr>
        <w:pStyle w:val="NormalWeb"/>
        <w:spacing w:line="360" w:lineRule="auto"/>
        <w:jc w:val="both"/>
        <w:rPr>
          <w:color w:val="000000" w:themeColor="text1"/>
        </w:rPr>
      </w:pPr>
      <w:r w:rsidRPr="00ED75E9">
        <w:rPr>
          <w:color w:val="000000" w:themeColor="text1"/>
        </w:rPr>
        <w:t xml:space="preserve">Assays were performed in triplicate and mean values </w:t>
      </w:r>
      <w:r w:rsidR="00002CFD" w:rsidRPr="00002CFD">
        <w:rPr>
          <w:color w:val="000000" w:themeColor="text1"/>
          <w:highlight w:val="yellow"/>
        </w:rPr>
        <w:t>recorded</w:t>
      </w:r>
    </w:p>
    <w:p w14:paraId="04501EFF" w14:textId="27FFBC78" w:rsidR="00ED3946" w:rsidRDefault="00ED3946" w:rsidP="003C1B12">
      <w:pPr>
        <w:pStyle w:val="NormalWeb"/>
        <w:spacing w:line="360" w:lineRule="auto"/>
        <w:jc w:val="both"/>
        <w:rPr>
          <w:color w:val="000000" w:themeColor="text1"/>
        </w:rPr>
      </w:pPr>
      <w:r w:rsidRPr="00ED3946">
        <w:rPr>
          <w:highlight w:val="yellow"/>
        </w:rPr>
        <w:t>The use of culture-dependent techniques for isolating biosurfactant-producing bacteria remains a widely accepted approach for preliminary screening and functional assessment of microbial surfactant activity (</w:t>
      </w:r>
      <w:proofErr w:type="spellStart"/>
      <w:r w:rsidRPr="00ED3946">
        <w:rPr>
          <w:highlight w:val="yellow"/>
        </w:rPr>
        <w:t>Satpute</w:t>
      </w:r>
      <w:proofErr w:type="spellEnd"/>
      <w:r w:rsidRPr="00ED3946">
        <w:rPr>
          <w:highlight w:val="yellow"/>
        </w:rPr>
        <w:t xml:space="preserve"> et al., 2016). Although molecular identification and advanced chemical characterization methods provide higher resolution, phenotypic </w:t>
      </w:r>
      <w:r w:rsidRPr="00ED3946">
        <w:rPr>
          <w:highlight w:val="yellow"/>
        </w:rPr>
        <w:lastRenderedPageBreak/>
        <w:t>and biochemical characterization offers a practical foundation for evaluating biosurfactant potential in applied environmental studies.</w:t>
      </w:r>
    </w:p>
    <w:p w14:paraId="47918137"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.6 Biosurfactant production and extraction</w:t>
      </w:r>
    </w:p>
    <w:p w14:paraId="3417029B" w14:textId="77777777" w:rsidR="007C225D" w:rsidRDefault="00ED75E9" w:rsidP="003C1B12">
      <w:pPr>
        <w:pStyle w:val="NormalWeb"/>
        <w:spacing w:line="360" w:lineRule="auto"/>
        <w:jc w:val="both"/>
        <w:rPr>
          <w:color w:val="000000" w:themeColor="text1"/>
        </w:rPr>
      </w:pPr>
      <w:r w:rsidRPr="00ED75E9">
        <w:rPr>
          <w:color w:val="000000" w:themeColor="text1"/>
        </w:rPr>
        <w:t>High-performing isolates were grown in mineral salts medium supplemented with ap</w:t>
      </w:r>
      <w:r w:rsidR="007C225D">
        <w:rPr>
          <w:color w:val="000000" w:themeColor="text1"/>
        </w:rPr>
        <w:t xml:space="preserve">propriate carbon sources (1–2% glucose and </w:t>
      </w:r>
      <w:r w:rsidRPr="00ED75E9">
        <w:rPr>
          <w:color w:val="000000" w:themeColor="text1"/>
        </w:rPr>
        <w:t xml:space="preserve">vegetable oil) and 5% NaCl. Cultures incubated at 30 °C with shaking (150 rpm) for 5–7 days. Cell-free supernatants were obtained by centrifugation (8,000 × g, 15 min), acidified to pH 2 with HCl to precipitate biosurfactants, left overnight at 4 °C, and recovered by centrifugation. Crude biosurfactant was washed with cold distilled water, neutralized, and dried (Banat et al., 2010; </w:t>
      </w:r>
      <w:proofErr w:type="spellStart"/>
      <w:r w:rsidRPr="00ED75E9">
        <w:rPr>
          <w:color w:val="000000" w:themeColor="text1"/>
        </w:rPr>
        <w:t>Pacwa-Płociniczak</w:t>
      </w:r>
      <w:proofErr w:type="spellEnd"/>
      <w:r w:rsidRPr="00ED75E9">
        <w:rPr>
          <w:color w:val="000000" w:themeColor="text1"/>
        </w:rPr>
        <w:t xml:space="preserve"> et al., 2011).</w:t>
      </w:r>
    </w:p>
    <w:p w14:paraId="71CBD62A"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.7 Soil microcosm remed</w:t>
      </w:r>
      <w:r w:rsidRPr="007C225D">
        <w:rPr>
          <w:b/>
          <w:color w:val="000000" w:themeColor="text1"/>
        </w:rPr>
        <w:t>iation assay</w:t>
      </w:r>
    </w:p>
    <w:p w14:paraId="33E3EBA4" w14:textId="77777777" w:rsidR="00ED75E9" w:rsidRPr="00ED75E9" w:rsidRDefault="00ED75E9" w:rsidP="003C1B12">
      <w:pPr>
        <w:pStyle w:val="NormalWeb"/>
        <w:spacing w:line="360" w:lineRule="auto"/>
        <w:jc w:val="both"/>
        <w:rPr>
          <w:color w:val="000000" w:themeColor="text1"/>
        </w:rPr>
      </w:pPr>
      <w:r w:rsidRPr="00ED75E9">
        <w:rPr>
          <w:color w:val="000000" w:themeColor="text1"/>
        </w:rPr>
        <w:t>Contaminated soil (from a pooled composite of the four sites or per-site microcosms as reported) was placed into sterile glass jars (1 kg per jar). Treatments (in triplicate) comprised:</w:t>
      </w:r>
    </w:p>
    <w:p w14:paraId="49D3B916" w14:textId="77777777" w:rsidR="00CA5DD0" w:rsidRDefault="00CA5DD0" w:rsidP="003C1B12">
      <w:pPr>
        <w:pStyle w:val="NormalWeb"/>
        <w:spacing w:line="360" w:lineRule="auto"/>
        <w:jc w:val="both"/>
        <w:rPr>
          <w:color w:val="000000" w:themeColor="text1"/>
        </w:rPr>
      </w:pPr>
      <w:r>
        <w:t xml:space="preserve">Crude biosurfactants produced by selected halophilic bacterial isolates were applied to hydrocarbon-contaminated soils at three concentration levels: low (0.5% w/w), moderate (1.5% w/w), and high (3.0% w/w) for </w:t>
      </w:r>
      <w:r>
        <w:rPr>
          <w:rStyle w:val="Strong"/>
          <w:b w:val="0"/>
          <w:color w:val="000000" w:themeColor="text1"/>
        </w:rPr>
        <w:t xml:space="preserve">control, </w:t>
      </w:r>
      <w:r w:rsidRPr="00ED75E9">
        <w:rPr>
          <w:color w:val="000000" w:themeColor="text1"/>
        </w:rPr>
        <w:t>no treatment (natural attenuation).</w:t>
      </w:r>
    </w:p>
    <w:p w14:paraId="5A7057E8" w14:textId="77777777" w:rsidR="00ED75E9" w:rsidRPr="00ED75E9" w:rsidRDefault="00CA5DD0" w:rsidP="003C1B12">
      <w:pPr>
        <w:pStyle w:val="NormalWeb"/>
        <w:spacing w:line="360" w:lineRule="auto"/>
        <w:jc w:val="both"/>
        <w:rPr>
          <w:color w:val="000000" w:themeColor="text1"/>
        </w:rPr>
      </w:pPr>
      <w:r>
        <w:t xml:space="preserve">These concentrations were selected based on ranges commonly reported in biosurfactant-assisted soil bioremediation studies (Mulligan, 2005; </w:t>
      </w:r>
      <w:proofErr w:type="spellStart"/>
      <w:r>
        <w:t>Pacwa-Płociniczak</w:t>
      </w:r>
      <w:proofErr w:type="spellEnd"/>
      <w:r>
        <w:t xml:space="preserve"> et al., 2011). Treated soils were incubated under controlled laboratory conditions for 30 days prior to analysis.</w:t>
      </w:r>
    </w:p>
    <w:p w14:paraId="22E95419" w14:textId="77777777" w:rsidR="007C225D" w:rsidRDefault="00ED75E9" w:rsidP="003C1B12">
      <w:pPr>
        <w:pStyle w:val="NormalWeb"/>
        <w:spacing w:line="360" w:lineRule="auto"/>
        <w:jc w:val="both"/>
        <w:rPr>
          <w:color w:val="000000" w:themeColor="text1"/>
        </w:rPr>
      </w:pPr>
      <w:r w:rsidRPr="00ED75E9">
        <w:rPr>
          <w:color w:val="000000" w:themeColor="text1"/>
        </w:rPr>
        <w:t>Soils were mixed thoroughly, moisture adjusted to 60% water holding capacity, and incubated at 28–30 °C for 30 days. TPH concentrations were measured at Day 0 and Day 30 using GC-FID or gravimetric extraction; percent reduction calculated (</w:t>
      </w:r>
      <w:proofErr w:type="spellStart"/>
      <w:r w:rsidRPr="00ED75E9">
        <w:rPr>
          <w:color w:val="000000" w:themeColor="text1"/>
        </w:rPr>
        <w:t>Urum</w:t>
      </w:r>
      <w:proofErr w:type="spellEnd"/>
      <w:r w:rsidRPr="00ED75E9">
        <w:rPr>
          <w:color w:val="000000" w:themeColor="text1"/>
        </w:rPr>
        <w:t xml:space="preserve"> et al., 2004; Mulligan, 2005). Statistical differences among treatments were assessed by one-way ANOVA with post-hoc Tukey test (α = 0.05).</w:t>
      </w:r>
    </w:p>
    <w:p w14:paraId="6C4BFD60"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lastRenderedPageBreak/>
        <w:t>2</w:t>
      </w:r>
      <w:r w:rsidR="00ED75E9" w:rsidRPr="007C225D">
        <w:rPr>
          <w:b/>
          <w:color w:val="000000" w:themeColor="text1"/>
        </w:rPr>
        <w:t>.8 Plant growth (phytotoxicity / rec</w:t>
      </w:r>
      <w:r w:rsidRPr="007C225D">
        <w:rPr>
          <w:b/>
          <w:color w:val="000000" w:themeColor="text1"/>
        </w:rPr>
        <w:t>overy) assay</w:t>
      </w:r>
    </w:p>
    <w:p w14:paraId="3A4431DA" w14:textId="77777777" w:rsidR="007C225D" w:rsidRDefault="00ED75E9" w:rsidP="003C1B12">
      <w:pPr>
        <w:pStyle w:val="NormalWeb"/>
        <w:spacing w:line="360" w:lineRule="auto"/>
        <w:jc w:val="both"/>
        <w:rPr>
          <w:color w:val="000000" w:themeColor="text1"/>
        </w:rPr>
      </w:pPr>
      <w:r w:rsidRPr="00ED75E9">
        <w:rPr>
          <w:color w:val="000000" w:themeColor="text1"/>
        </w:rPr>
        <w:t>After remediation, treated and control soils were used in greenhouse</w:t>
      </w:r>
      <w:r w:rsidR="000C0631">
        <w:rPr>
          <w:color w:val="000000" w:themeColor="text1"/>
        </w:rPr>
        <w:t xml:space="preserve"> pot trials. A test crop, maize </w:t>
      </w:r>
      <w:r w:rsidRPr="00ED75E9">
        <w:rPr>
          <w:color w:val="000000" w:themeColor="text1"/>
        </w:rPr>
        <w:t xml:space="preserve">was sown: 10 seeds per pot, three replicates per treatment. Germination rate recorded at 7–10 days; plant height measured weekly for 4–6 weeks; aboveground biomass harvested at end of experiment and oven-dried to constant weight. </w:t>
      </w:r>
      <w:r w:rsidR="000C0631">
        <w:t xml:space="preserve">Plant growth parameters represent the average response of crops grown in soils treated with biosurfactants across the applied concentration range. </w:t>
      </w:r>
      <w:r w:rsidRPr="00ED75E9">
        <w:rPr>
          <w:color w:val="000000" w:themeColor="text1"/>
        </w:rPr>
        <w:t>Data reported as mean ± SD and compared by ANOVA.</w:t>
      </w:r>
    </w:p>
    <w:p w14:paraId="65395A46"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.9 Quality control and statistics</w:t>
      </w:r>
    </w:p>
    <w:p w14:paraId="644926B7" w14:textId="77777777" w:rsidR="007C225D" w:rsidRDefault="00ED75E9" w:rsidP="003C1B12">
      <w:pPr>
        <w:pStyle w:val="NormalWeb"/>
        <w:spacing w:line="360" w:lineRule="auto"/>
        <w:jc w:val="both"/>
        <w:rPr>
          <w:color w:val="000000" w:themeColor="text1"/>
        </w:rPr>
      </w:pPr>
      <w:r w:rsidRPr="00ED75E9">
        <w:rPr>
          <w:color w:val="000000" w:themeColor="text1"/>
        </w:rPr>
        <w:t>All experiments were performed in triplicate. Data were entered into SPSS/Stata for summary statistics. Normality was checked (Shapiro–Wilk); where parametric assumptions held, one-way ANOVA and Tukey’s HSD were used; otherwise Kruskal–Wallis tests applied. Significance at p &lt; 0.05.</w:t>
      </w:r>
    </w:p>
    <w:p w14:paraId="655F1AE9" w14:textId="77777777" w:rsidR="00ED75E9" w:rsidRPr="007C225D" w:rsidRDefault="007C225D" w:rsidP="003C1B12">
      <w:pPr>
        <w:pStyle w:val="NormalWeb"/>
        <w:spacing w:line="360" w:lineRule="auto"/>
        <w:jc w:val="both"/>
        <w:rPr>
          <w:b/>
          <w:color w:val="000000" w:themeColor="text1"/>
        </w:rPr>
      </w:pPr>
      <w:r w:rsidRPr="007C225D">
        <w:rPr>
          <w:b/>
          <w:color w:val="000000" w:themeColor="text1"/>
        </w:rPr>
        <w:t>2</w:t>
      </w:r>
      <w:r w:rsidR="00ED75E9" w:rsidRPr="007C225D">
        <w:rPr>
          <w:b/>
          <w:color w:val="000000" w:themeColor="text1"/>
        </w:rPr>
        <w:t>.10 Ethical and environmental safeguards</w:t>
      </w:r>
    </w:p>
    <w:p w14:paraId="0C985415" w14:textId="77777777" w:rsidR="00ED75E9" w:rsidRPr="00ED75E9" w:rsidRDefault="00ED75E9" w:rsidP="003C1B12">
      <w:pPr>
        <w:pStyle w:val="NormalWeb"/>
        <w:spacing w:line="360" w:lineRule="auto"/>
        <w:jc w:val="both"/>
        <w:rPr>
          <w:color w:val="000000" w:themeColor="text1"/>
        </w:rPr>
      </w:pPr>
      <w:r w:rsidRPr="00ED75E9">
        <w:rPr>
          <w:color w:val="000000" w:themeColor="text1"/>
        </w:rPr>
        <w:t>All procedures followed institutional biosafety guidelines. Waste soils after experiments were treated and disposed according to local environmental regulations.</w:t>
      </w:r>
    </w:p>
    <w:p w14:paraId="4ADE71A2" w14:textId="77777777" w:rsidR="0082684E" w:rsidRPr="00ED75E9" w:rsidRDefault="0082684E" w:rsidP="003C1B12">
      <w:pPr>
        <w:spacing w:line="360" w:lineRule="auto"/>
        <w:jc w:val="both"/>
        <w:rPr>
          <w:rFonts w:ascii="Times New Roman" w:hAnsi="Times New Roman" w:cs="Times New Roman"/>
          <w:color w:val="000000" w:themeColor="text1"/>
          <w:sz w:val="24"/>
          <w:szCs w:val="24"/>
        </w:rPr>
      </w:pPr>
    </w:p>
    <w:p w14:paraId="52BA430B" w14:textId="77777777" w:rsidR="0082684E" w:rsidRPr="00ED75E9" w:rsidRDefault="0082684E" w:rsidP="003C1B12">
      <w:pPr>
        <w:jc w:val="both"/>
        <w:rPr>
          <w:rFonts w:ascii="Times New Roman" w:hAnsi="Times New Roman" w:cs="Times New Roman"/>
          <w:b/>
          <w:color w:val="000000" w:themeColor="text1"/>
          <w:sz w:val="20"/>
          <w:szCs w:val="20"/>
        </w:rPr>
      </w:pPr>
    </w:p>
    <w:p w14:paraId="4EAAEC1D" w14:textId="77777777" w:rsidR="0082684E" w:rsidRPr="00ED75E9" w:rsidRDefault="0082684E" w:rsidP="003C1B12">
      <w:pPr>
        <w:jc w:val="both"/>
        <w:rPr>
          <w:rFonts w:ascii="Times New Roman" w:hAnsi="Times New Roman" w:cs="Times New Roman"/>
          <w:b/>
          <w:color w:val="000000" w:themeColor="text1"/>
          <w:sz w:val="20"/>
          <w:szCs w:val="20"/>
        </w:rPr>
      </w:pPr>
    </w:p>
    <w:p w14:paraId="0E30FCB0" w14:textId="77777777" w:rsidR="0082684E" w:rsidRDefault="0082684E" w:rsidP="003C1B12">
      <w:pPr>
        <w:jc w:val="both"/>
        <w:rPr>
          <w:rFonts w:ascii="Times New Roman" w:hAnsi="Times New Roman" w:cs="Times New Roman"/>
          <w:b/>
          <w:color w:val="000000" w:themeColor="text1"/>
          <w:sz w:val="20"/>
          <w:szCs w:val="20"/>
        </w:rPr>
      </w:pPr>
    </w:p>
    <w:p w14:paraId="085AB1D9" w14:textId="77777777" w:rsidR="007C225D" w:rsidRDefault="007C225D" w:rsidP="003C1B12">
      <w:pPr>
        <w:jc w:val="both"/>
        <w:rPr>
          <w:rFonts w:ascii="Times New Roman" w:hAnsi="Times New Roman" w:cs="Times New Roman"/>
          <w:b/>
          <w:color w:val="000000" w:themeColor="text1"/>
          <w:sz w:val="20"/>
          <w:szCs w:val="20"/>
        </w:rPr>
      </w:pPr>
    </w:p>
    <w:p w14:paraId="1A65975E" w14:textId="77777777" w:rsidR="007C225D" w:rsidRDefault="007C225D" w:rsidP="003C1B12">
      <w:pPr>
        <w:jc w:val="both"/>
        <w:rPr>
          <w:rFonts w:ascii="Times New Roman" w:hAnsi="Times New Roman" w:cs="Times New Roman"/>
          <w:b/>
          <w:color w:val="000000" w:themeColor="text1"/>
          <w:sz w:val="20"/>
          <w:szCs w:val="20"/>
        </w:rPr>
      </w:pPr>
    </w:p>
    <w:p w14:paraId="466CBA34" w14:textId="77777777" w:rsidR="007C225D" w:rsidRDefault="007C225D" w:rsidP="003C1B12">
      <w:pPr>
        <w:jc w:val="both"/>
        <w:rPr>
          <w:rFonts w:ascii="Times New Roman" w:hAnsi="Times New Roman" w:cs="Times New Roman"/>
          <w:b/>
          <w:color w:val="000000" w:themeColor="text1"/>
          <w:sz w:val="20"/>
          <w:szCs w:val="20"/>
        </w:rPr>
      </w:pPr>
    </w:p>
    <w:p w14:paraId="54303A8D" w14:textId="77777777" w:rsidR="007C225D" w:rsidRDefault="007C225D" w:rsidP="003C1B12">
      <w:pPr>
        <w:jc w:val="both"/>
        <w:rPr>
          <w:rFonts w:ascii="Times New Roman" w:hAnsi="Times New Roman" w:cs="Times New Roman"/>
          <w:b/>
          <w:color w:val="000000" w:themeColor="text1"/>
          <w:sz w:val="20"/>
          <w:szCs w:val="20"/>
        </w:rPr>
      </w:pPr>
    </w:p>
    <w:p w14:paraId="59430F02" w14:textId="77777777" w:rsidR="007C225D" w:rsidRDefault="007C225D" w:rsidP="003C1B12">
      <w:pPr>
        <w:jc w:val="both"/>
        <w:rPr>
          <w:rFonts w:ascii="Times New Roman" w:hAnsi="Times New Roman" w:cs="Times New Roman"/>
          <w:b/>
          <w:color w:val="000000" w:themeColor="text1"/>
          <w:sz w:val="20"/>
          <w:szCs w:val="20"/>
        </w:rPr>
      </w:pPr>
    </w:p>
    <w:p w14:paraId="7CA3AD1E" w14:textId="77777777" w:rsidR="007C225D" w:rsidRDefault="007C225D" w:rsidP="003C1B12">
      <w:pPr>
        <w:jc w:val="both"/>
        <w:rPr>
          <w:rFonts w:ascii="Times New Roman" w:hAnsi="Times New Roman" w:cs="Times New Roman"/>
          <w:b/>
          <w:color w:val="000000" w:themeColor="text1"/>
          <w:sz w:val="20"/>
          <w:szCs w:val="20"/>
        </w:rPr>
      </w:pPr>
    </w:p>
    <w:p w14:paraId="2E355F98" w14:textId="77777777" w:rsidR="007C225D" w:rsidRDefault="007C225D" w:rsidP="003C1B12">
      <w:pPr>
        <w:jc w:val="both"/>
        <w:rPr>
          <w:rFonts w:ascii="Times New Roman" w:hAnsi="Times New Roman" w:cs="Times New Roman"/>
          <w:b/>
          <w:color w:val="000000" w:themeColor="text1"/>
          <w:sz w:val="20"/>
          <w:szCs w:val="20"/>
        </w:rPr>
      </w:pPr>
    </w:p>
    <w:p w14:paraId="50A12242" w14:textId="77777777" w:rsidR="007C225D" w:rsidRDefault="007C225D" w:rsidP="003C1B12">
      <w:pPr>
        <w:jc w:val="both"/>
        <w:rPr>
          <w:rFonts w:ascii="Times New Roman" w:hAnsi="Times New Roman" w:cs="Times New Roman"/>
          <w:b/>
          <w:color w:val="000000" w:themeColor="text1"/>
          <w:sz w:val="20"/>
          <w:szCs w:val="20"/>
        </w:rPr>
      </w:pPr>
    </w:p>
    <w:p w14:paraId="50AC2839" w14:textId="77777777" w:rsidR="007C225D" w:rsidRDefault="007C225D" w:rsidP="003C1B12">
      <w:pPr>
        <w:jc w:val="both"/>
        <w:rPr>
          <w:rFonts w:ascii="Times New Roman" w:hAnsi="Times New Roman" w:cs="Times New Roman"/>
          <w:b/>
          <w:color w:val="000000" w:themeColor="text1"/>
          <w:sz w:val="20"/>
          <w:szCs w:val="20"/>
        </w:rPr>
      </w:pPr>
    </w:p>
    <w:p w14:paraId="77900246" w14:textId="77777777" w:rsidR="007C225D" w:rsidRDefault="007C225D" w:rsidP="003C1B12">
      <w:pPr>
        <w:jc w:val="both"/>
        <w:rPr>
          <w:rFonts w:ascii="Times New Roman" w:hAnsi="Times New Roman" w:cs="Times New Roman"/>
          <w:b/>
          <w:color w:val="000000" w:themeColor="text1"/>
          <w:sz w:val="20"/>
          <w:szCs w:val="20"/>
        </w:rPr>
      </w:pPr>
    </w:p>
    <w:p w14:paraId="6AB42306" w14:textId="77777777" w:rsidR="007C225D" w:rsidRDefault="007C225D" w:rsidP="003C1B12">
      <w:pPr>
        <w:jc w:val="both"/>
        <w:rPr>
          <w:rFonts w:ascii="Times New Roman" w:hAnsi="Times New Roman" w:cs="Times New Roman"/>
          <w:b/>
          <w:color w:val="000000" w:themeColor="text1"/>
          <w:sz w:val="20"/>
          <w:szCs w:val="20"/>
        </w:rPr>
      </w:pPr>
    </w:p>
    <w:p w14:paraId="1BB09717" w14:textId="77777777" w:rsidR="007C225D" w:rsidRDefault="007C225D" w:rsidP="003C1B12">
      <w:pPr>
        <w:jc w:val="both"/>
        <w:rPr>
          <w:rFonts w:ascii="Times New Roman" w:hAnsi="Times New Roman" w:cs="Times New Roman"/>
          <w:b/>
          <w:color w:val="000000" w:themeColor="text1"/>
          <w:sz w:val="20"/>
          <w:szCs w:val="20"/>
        </w:rPr>
      </w:pPr>
    </w:p>
    <w:p w14:paraId="60A11523" w14:textId="77777777" w:rsidR="007C225D" w:rsidRDefault="007C225D" w:rsidP="003C1B12">
      <w:pPr>
        <w:jc w:val="both"/>
        <w:rPr>
          <w:rFonts w:ascii="Times New Roman" w:hAnsi="Times New Roman" w:cs="Times New Roman"/>
          <w:b/>
          <w:color w:val="000000" w:themeColor="text1"/>
          <w:sz w:val="20"/>
          <w:szCs w:val="20"/>
        </w:rPr>
      </w:pPr>
    </w:p>
    <w:p w14:paraId="1EB4BA01" w14:textId="77777777" w:rsidR="007C225D" w:rsidRPr="00ED75E9" w:rsidRDefault="007C225D" w:rsidP="003C1B12">
      <w:pPr>
        <w:jc w:val="both"/>
        <w:rPr>
          <w:rFonts w:ascii="Times New Roman" w:hAnsi="Times New Roman" w:cs="Times New Roman"/>
          <w:b/>
          <w:color w:val="000000" w:themeColor="text1"/>
          <w:sz w:val="20"/>
          <w:szCs w:val="20"/>
        </w:rPr>
      </w:pPr>
    </w:p>
    <w:p w14:paraId="16508D7C" w14:textId="77777777" w:rsidR="007C225D" w:rsidRDefault="007C225D" w:rsidP="003C1B12">
      <w:pPr>
        <w:jc w:val="both"/>
        <w:rPr>
          <w:rFonts w:ascii="Times New Roman" w:hAnsi="Times New Roman" w:cs="Times New Roman"/>
          <w:b/>
          <w:noProof/>
          <w:color w:val="000000" w:themeColor="text1"/>
        </w:rPr>
      </w:pPr>
      <w:r w:rsidRPr="007C225D">
        <w:rPr>
          <w:rFonts w:ascii="Times New Roman" w:hAnsi="Times New Roman" w:cs="Times New Roman"/>
          <w:b/>
          <w:noProof/>
          <w:color w:val="000000" w:themeColor="text1"/>
        </w:rPr>
        <w:t xml:space="preserve">3.0 Results, Discusion  and Concclusion </w:t>
      </w:r>
    </w:p>
    <w:p w14:paraId="2B508EB6" w14:textId="77777777" w:rsidR="007C225D" w:rsidRDefault="007C225D" w:rsidP="003C1B12">
      <w:pPr>
        <w:jc w:val="both"/>
        <w:rPr>
          <w:rFonts w:ascii="Times New Roman" w:hAnsi="Times New Roman" w:cs="Times New Roman"/>
          <w:b/>
          <w:noProof/>
          <w:color w:val="000000" w:themeColor="text1"/>
        </w:rPr>
      </w:pPr>
      <w:r>
        <w:rPr>
          <w:rFonts w:ascii="Times New Roman" w:hAnsi="Times New Roman" w:cs="Times New Roman"/>
          <w:b/>
          <w:noProof/>
          <w:color w:val="000000" w:themeColor="text1"/>
        </w:rPr>
        <w:t>3.1 Results</w:t>
      </w:r>
    </w:p>
    <w:p w14:paraId="4C7FAC97" w14:textId="77777777" w:rsidR="007C225D" w:rsidRPr="006E4289"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The results of this study are presented in Tables 1–4 and Figures 1–2. Table 1 summarizes the presumptive identification of biosurfactant-producing halophilic bacterial isolates. Table 2 presents the physicochemical characteristics of soil samples from different contaminated sites and a control site. Table 3 shows the distribution and abundance of halophilic bacteria across sampling locations. Table 4 presents the biosurfactant screening outcomes of the isolates. Figure 1 illustrates the spatial distribution of sampling sites, while Figure 2 shows the effect of biosurfactants produced by different bacterial isolates on plant growth.</w:t>
      </w:r>
    </w:p>
    <w:p w14:paraId="590CF9D7" w14:textId="77777777" w:rsidR="007C225D" w:rsidRPr="007C225D" w:rsidRDefault="007C225D" w:rsidP="003C1B12">
      <w:pPr>
        <w:jc w:val="both"/>
        <w:rPr>
          <w:rFonts w:ascii="Times New Roman" w:hAnsi="Times New Roman" w:cs="Times New Roman"/>
          <w:b/>
          <w:noProof/>
          <w:color w:val="000000" w:themeColor="text1"/>
        </w:rPr>
      </w:pPr>
    </w:p>
    <w:p w14:paraId="61D996E7" w14:textId="77777777" w:rsidR="00B736C0" w:rsidRPr="00ED75E9" w:rsidRDefault="00B736C0" w:rsidP="003C1B12">
      <w:pPr>
        <w:jc w:val="both"/>
        <w:rPr>
          <w:rFonts w:ascii="Times New Roman" w:hAnsi="Times New Roman" w:cs="Times New Roman"/>
          <w:b/>
          <w:color w:val="000000" w:themeColor="text1"/>
          <w:sz w:val="20"/>
          <w:szCs w:val="20"/>
        </w:rPr>
      </w:pPr>
      <w:r w:rsidRPr="00ED75E9">
        <w:rPr>
          <w:rFonts w:ascii="Times New Roman" w:hAnsi="Times New Roman" w:cs="Times New Roman"/>
          <w:noProof/>
          <w:color w:val="000000" w:themeColor="text1"/>
        </w:rPr>
        <w:lastRenderedPageBreak/>
        <w:drawing>
          <wp:inline distT="0" distB="0" distL="0" distR="0" wp14:anchorId="06A23989" wp14:editId="1885F1D2">
            <wp:extent cx="4572000" cy="36594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sampling.png"/>
                    <pic:cNvPicPr/>
                  </pic:nvPicPr>
                  <pic:blipFill>
                    <a:blip r:embed="rId8"/>
                    <a:stretch>
                      <a:fillRect/>
                    </a:stretch>
                  </pic:blipFill>
                  <pic:spPr>
                    <a:xfrm>
                      <a:off x="0" y="0"/>
                      <a:ext cx="4572000" cy="3659462"/>
                    </a:xfrm>
                    <a:prstGeom prst="rect">
                      <a:avLst/>
                    </a:prstGeom>
                  </pic:spPr>
                </pic:pic>
              </a:graphicData>
            </a:graphic>
          </wp:inline>
        </w:drawing>
      </w:r>
    </w:p>
    <w:p w14:paraId="737F0809" w14:textId="77777777" w:rsidR="00B736C0" w:rsidRPr="00ED75E9" w:rsidRDefault="00B736C0" w:rsidP="003C1B12">
      <w:pPr>
        <w:jc w:val="both"/>
        <w:rPr>
          <w:rFonts w:ascii="Times New Roman" w:hAnsi="Times New Roman" w:cs="Times New Roman"/>
          <w:b/>
          <w:color w:val="000000" w:themeColor="text1"/>
          <w:sz w:val="20"/>
          <w:szCs w:val="20"/>
        </w:rPr>
      </w:pPr>
      <w:bookmarkStart w:id="0" w:name="_GoBack"/>
      <w:r w:rsidRPr="00ED75E9">
        <w:rPr>
          <w:rFonts w:ascii="Times New Roman" w:hAnsi="Times New Roman" w:cs="Times New Roman"/>
          <w:b/>
          <w:color w:val="000000" w:themeColor="text1"/>
          <w:sz w:val="20"/>
          <w:szCs w:val="20"/>
        </w:rPr>
        <w:t>Fig</w:t>
      </w:r>
      <w:bookmarkEnd w:id="0"/>
      <w:r w:rsidRPr="00ED75E9">
        <w:rPr>
          <w:rFonts w:ascii="Times New Roman" w:hAnsi="Times New Roman" w:cs="Times New Roman"/>
          <w:b/>
          <w:color w:val="000000" w:themeColor="text1"/>
          <w:sz w:val="20"/>
          <w:szCs w:val="20"/>
        </w:rPr>
        <w:t>ure 1. Sampling locations of hydrocarbon-contaminated and control soils.</w:t>
      </w:r>
    </w:p>
    <w:p w14:paraId="6B644597" w14:textId="77777777" w:rsidR="007C225D" w:rsidRDefault="007C225D" w:rsidP="003C1B12">
      <w:pPr>
        <w:jc w:val="both"/>
        <w:rPr>
          <w:rFonts w:ascii="Times New Roman" w:hAnsi="Times New Roman" w:cs="Times New Roman"/>
          <w:b/>
          <w:color w:val="000000" w:themeColor="text1"/>
          <w:sz w:val="20"/>
          <w:szCs w:val="20"/>
        </w:rPr>
      </w:pPr>
    </w:p>
    <w:p w14:paraId="00CEA9AC" w14:textId="77777777" w:rsidR="002346DB" w:rsidRPr="00ED75E9" w:rsidRDefault="002346DB" w:rsidP="003C1B12">
      <w:pPr>
        <w:jc w:val="both"/>
        <w:rPr>
          <w:rFonts w:ascii="Times New Roman" w:hAnsi="Times New Roman" w:cs="Times New Roman"/>
          <w:b/>
          <w:color w:val="000000" w:themeColor="text1"/>
          <w:sz w:val="20"/>
          <w:szCs w:val="20"/>
        </w:rPr>
      </w:pPr>
      <w:r w:rsidRPr="00ED75E9">
        <w:rPr>
          <w:rFonts w:ascii="Times New Roman" w:hAnsi="Times New Roman" w:cs="Times New Roman"/>
          <w:b/>
          <w:color w:val="000000" w:themeColor="text1"/>
          <w:sz w:val="20"/>
          <w:szCs w:val="20"/>
        </w:rPr>
        <w:t xml:space="preserve">Table 1. Presumptive identification of </w:t>
      </w:r>
      <w:r w:rsidR="00E70461" w:rsidRPr="00ED75E9">
        <w:rPr>
          <w:rFonts w:ascii="Times New Roman" w:hAnsi="Times New Roman" w:cs="Times New Roman"/>
          <w:b/>
          <w:color w:val="000000" w:themeColor="text1"/>
          <w:sz w:val="20"/>
          <w:szCs w:val="20"/>
        </w:rPr>
        <w:t>biosurfactant</w:t>
      </w:r>
      <w:r w:rsidRPr="00ED75E9">
        <w:rPr>
          <w:rFonts w:ascii="Times New Roman" w:hAnsi="Times New Roman" w:cs="Times New Roman"/>
          <w:b/>
          <w:color w:val="000000" w:themeColor="text1"/>
          <w:sz w:val="20"/>
          <w:szCs w:val="20"/>
        </w:rPr>
        <w:t xml:space="preserve">-producing </w:t>
      </w:r>
      <w:proofErr w:type="spellStart"/>
      <w:r w:rsidRPr="00ED75E9">
        <w:rPr>
          <w:rFonts w:ascii="Times New Roman" w:hAnsi="Times New Roman" w:cs="Times New Roman"/>
          <w:b/>
          <w:color w:val="000000" w:themeColor="text1"/>
          <w:sz w:val="20"/>
          <w:szCs w:val="20"/>
        </w:rPr>
        <w:t>halophi</w:t>
      </w:r>
      <w:r w:rsidR="00E70461" w:rsidRPr="00ED75E9">
        <w:rPr>
          <w:rFonts w:ascii="Times New Roman" w:hAnsi="Times New Roman" w:cs="Times New Roman"/>
          <w:b/>
          <w:color w:val="000000" w:themeColor="text1"/>
          <w:sz w:val="20"/>
          <w:szCs w:val="20"/>
        </w:rPr>
        <w:t>l</w:t>
      </w:r>
      <w:r w:rsidRPr="00ED75E9">
        <w:rPr>
          <w:rFonts w:ascii="Times New Roman" w:hAnsi="Times New Roman" w:cs="Times New Roman"/>
          <w:b/>
          <w:color w:val="000000" w:themeColor="text1"/>
          <w:sz w:val="20"/>
          <w:szCs w:val="20"/>
        </w:rPr>
        <w:t>lic</w:t>
      </w:r>
      <w:proofErr w:type="spellEnd"/>
      <w:r w:rsidRPr="00ED75E9">
        <w:rPr>
          <w:rFonts w:ascii="Times New Roman" w:hAnsi="Times New Roman" w:cs="Times New Roman"/>
          <w:b/>
          <w:color w:val="000000" w:themeColor="text1"/>
          <w:sz w:val="20"/>
          <w:szCs w:val="20"/>
        </w:rPr>
        <w:t xml:space="preserve"> bacterial isolates</w:t>
      </w:r>
    </w:p>
    <w:tbl>
      <w:tblPr>
        <w:tblW w:w="9591" w:type="dxa"/>
        <w:tblCellSpacing w:w="15" w:type="dxa"/>
        <w:tblInd w:w="-44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91"/>
        <w:gridCol w:w="74"/>
        <w:gridCol w:w="1754"/>
        <w:gridCol w:w="2064"/>
        <w:gridCol w:w="1060"/>
        <w:gridCol w:w="1029"/>
        <w:gridCol w:w="2119"/>
      </w:tblGrid>
      <w:tr w:rsidR="00ED75E9" w:rsidRPr="00ED75E9" w14:paraId="2429ECC5" w14:textId="77777777" w:rsidTr="002346DB">
        <w:trPr>
          <w:trHeight w:val="815"/>
          <w:tblHeader/>
          <w:tblCellSpacing w:w="15" w:type="dxa"/>
        </w:trPr>
        <w:tc>
          <w:tcPr>
            <w:tcW w:w="0" w:type="auto"/>
            <w:tcBorders>
              <w:top w:val="single" w:sz="4" w:space="0" w:color="auto"/>
              <w:bottom w:val="single" w:sz="4" w:space="0" w:color="auto"/>
            </w:tcBorders>
            <w:vAlign w:val="center"/>
            <w:hideMark/>
          </w:tcPr>
          <w:p w14:paraId="134FC9AF"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Isolate code</w:t>
            </w:r>
          </w:p>
        </w:tc>
        <w:tc>
          <w:tcPr>
            <w:tcW w:w="0" w:type="auto"/>
            <w:tcBorders>
              <w:top w:val="single" w:sz="4" w:space="0" w:color="auto"/>
              <w:bottom w:val="single" w:sz="4" w:space="0" w:color="auto"/>
            </w:tcBorders>
          </w:tcPr>
          <w:p w14:paraId="76F8F9C4"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p>
        </w:tc>
        <w:tc>
          <w:tcPr>
            <w:tcW w:w="0" w:type="auto"/>
            <w:tcBorders>
              <w:top w:val="single" w:sz="4" w:space="0" w:color="auto"/>
              <w:bottom w:val="single" w:sz="4" w:space="0" w:color="auto"/>
            </w:tcBorders>
            <w:vAlign w:val="center"/>
            <w:hideMark/>
          </w:tcPr>
          <w:p w14:paraId="4892CC93"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Gram reaction</w:t>
            </w:r>
          </w:p>
        </w:tc>
        <w:tc>
          <w:tcPr>
            <w:tcW w:w="0" w:type="auto"/>
            <w:tcBorders>
              <w:top w:val="single" w:sz="4" w:space="0" w:color="auto"/>
              <w:bottom w:val="single" w:sz="4" w:space="0" w:color="auto"/>
            </w:tcBorders>
            <w:vAlign w:val="center"/>
            <w:hideMark/>
          </w:tcPr>
          <w:p w14:paraId="42BF0915"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Cell morphology</w:t>
            </w:r>
          </w:p>
        </w:tc>
        <w:tc>
          <w:tcPr>
            <w:tcW w:w="0" w:type="auto"/>
            <w:tcBorders>
              <w:top w:val="single" w:sz="4" w:space="0" w:color="auto"/>
              <w:bottom w:val="single" w:sz="4" w:space="0" w:color="auto"/>
            </w:tcBorders>
            <w:vAlign w:val="center"/>
            <w:hideMark/>
          </w:tcPr>
          <w:p w14:paraId="35CC30C3"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Catalase</w:t>
            </w:r>
          </w:p>
        </w:tc>
        <w:tc>
          <w:tcPr>
            <w:tcW w:w="0" w:type="auto"/>
            <w:tcBorders>
              <w:top w:val="single" w:sz="4" w:space="0" w:color="auto"/>
              <w:bottom w:val="single" w:sz="4" w:space="0" w:color="auto"/>
            </w:tcBorders>
            <w:vAlign w:val="center"/>
            <w:hideMark/>
          </w:tcPr>
          <w:p w14:paraId="75778346" w14:textId="77777777" w:rsidR="002346DB" w:rsidRPr="00ED75E9" w:rsidRDefault="002346DB" w:rsidP="003C1B12">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Oxidase</w:t>
            </w:r>
          </w:p>
        </w:tc>
        <w:tc>
          <w:tcPr>
            <w:tcW w:w="0" w:type="auto"/>
            <w:tcBorders>
              <w:top w:val="single" w:sz="4" w:space="0" w:color="auto"/>
              <w:bottom w:val="single" w:sz="4" w:space="0" w:color="auto"/>
            </w:tcBorders>
            <w:vAlign w:val="center"/>
            <w:hideMark/>
          </w:tcPr>
          <w:p w14:paraId="04F41DDA" w14:textId="53CD62E8" w:rsidR="002346DB" w:rsidRPr="00ED75E9" w:rsidRDefault="00002CFD" w:rsidP="003C1B12">
            <w:pPr>
              <w:spacing w:after="0" w:line="240"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Probable genera</w:t>
            </w:r>
          </w:p>
        </w:tc>
      </w:tr>
      <w:tr w:rsidR="00ED75E9" w:rsidRPr="00ED75E9" w14:paraId="27BDE4C2" w14:textId="77777777" w:rsidTr="002346DB">
        <w:trPr>
          <w:trHeight w:val="786"/>
          <w:tblCellSpacing w:w="15" w:type="dxa"/>
        </w:trPr>
        <w:tc>
          <w:tcPr>
            <w:tcW w:w="0" w:type="auto"/>
            <w:vAlign w:val="center"/>
            <w:hideMark/>
          </w:tcPr>
          <w:p w14:paraId="776CFA5C"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HB1</w:t>
            </w:r>
          </w:p>
        </w:tc>
        <w:tc>
          <w:tcPr>
            <w:tcW w:w="0" w:type="auto"/>
          </w:tcPr>
          <w:p w14:paraId="2ACD8F7D"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
        </w:tc>
        <w:tc>
          <w:tcPr>
            <w:tcW w:w="0" w:type="auto"/>
            <w:vAlign w:val="center"/>
            <w:hideMark/>
          </w:tcPr>
          <w:p w14:paraId="2B066FD3"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Positive</w:t>
            </w:r>
          </w:p>
        </w:tc>
        <w:tc>
          <w:tcPr>
            <w:tcW w:w="0" w:type="auto"/>
            <w:vAlign w:val="center"/>
            <w:hideMark/>
          </w:tcPr>
          <w:p w14:paraId="30FCBB15"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Rod</w:t>
            </w:r>
          </w:p>
        </w:tc>
        <w:tc>
          <w:tcPr>
            <w:tcW w:w="0" w:type="auto"/>
            <w:vAlign w:val="center"/>
            <w:hideMark/>
          </w:tcPr>
          <w:p w14:paraId="6AA1EEC4"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6151C2BF"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18A908A8"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w:t>
            </w:r>
          </w:p>
        </w:tc>
      </w:tr>
      <w:tr w:rsidR="00ED75E9" w:rsidRPr="00ED75E9" w14:paraId="6199B7B4" w14:textId="77777777" w:rsidTr="002346DB">
        <w:trPr>
          <w:trHeight w:val="815"/>
          <w:tblCellSpacing w:w="15" w:type="dxa"/>
        </w:trPr>
        <w:tc>
          <w:tcPr>
            <w:tcW w:w="0" w:type="auto"/>
            <w:vAlign w:val="center"/>
            <w:hideMark/>
          </w:tcPr>
          <w:p w14:paraId="3AFDA425"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HB2</w:t>
            </w:r>
          </w:p>
        </w:tc>
        <w:tc>
          <w:tcPr>
            <w:tcW w:w="0" w:type="auto"/>
          </w:tcPr>
          <w:p w14:paraId="2F8EE5BA"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
        </w:tc>
        <w:tc>
          <w:tcPr>
            <w:tcW w:w="0" w:type="auto"/>
            <w:vAlign w:val="center"/>
            <w:hideMark/>
          </w:tcPr>
          <w:p w14:paraId="180FD296"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Positive</w:t>
            </w:r>
          </w:p>
        </w:tc>
        <w:tc>
          <w:tcPr>
            <w:tcW w:w="0" w:type="auto"/>
            <w:vAlign w:val="center"/>
            <w:hideMark/>
          </w:tcPr>
          <w:p w14:paraId="320E78F1"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Rod</w:t>
            </w:r>
          </w:p>
        </w:tc>
        <w:tc>
          <w:tcPr>
            <w:tcW w:w="0" w:type="auto"/>
            <w:vAlign w:val="center"/>
            <w:hideMark/>
          </w:tcPr>
          <w:p w14:paraId="70429515"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455E372C"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4A77663B"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w:t>
            </w:r>
          </w:p>
        </w:tc>
      </w:tr>
      <w:tr w:rsidR="00ED75E9" w:rsidRPr="00ED75E9" w14:paraId="6C671645" w14:textId="77777777" w:rsidTr="002346DB">
        <w:trPr>
          <w:trHeight w:val="786"/>
          <w:tblCellSpacing w:w="15" w:type="dxa"/>
        </w:trPr>
        <w:tc>
          <w:tcPr>
            <w:tcW w:w="0" w:type="auto"/>
            <w:vAlign w:val="center"/>
            <w:hideMark/>
          </w:tcPr>
          <w:p w14:paraId="61295F29"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HB3</w:t>
            </w:r>
          </w:p>
        </w:tc>
        <w:tc>
          <w:tcPr>
            <w:tcW w:w="0" w:type="auto"/>
          </w:tcPr>
          <w:p w14:paraId="0B34A1E2"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
        </w:tc>
        <w:tc>
          <w:tcPr>
            <w:tcW w:w="0" w:type="auto"/>
            <w:vAlign w:val="center"/>
            <w:hideMark/>
          </w:tcPr>
          <w:p w14:paraId="7D33037C"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Negative</w:t>
            </w:r>
          </w:p>
        </w:tc>
        <w:tc>
          <w:tcPr>
            <w:tcW w:w="0" w:type="auto"/>
            <w:vAlign w:val="center"/>
            <w:hideMark/>
          </w:tcPr>
          <w:p w14:paraId="2919A894"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Rod</w:t>
            </w:r>
          </w:p>
        </w:tc>
        <w:tc>
          <w:tcPr>
            <w:tcW w:w="0" w:type="auto"/>
            <w:vAlign w:val="center"/>
            <w:hideMark/>
          </w:tcPr>
          <w:p w14:paraId="58650B68"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37738639"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65F112B2"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Pseudomonas</w:t>
            </w:r>
            <w:r w:rsidRPr="00ED75E9">
              <w:rPr>
                <w:rFonts w:ascii="Times New Roman" w:eastAsia="Times New Roman" w:hAnsi="Times New Roman" w:cs="Times New Roman"/>
                <w:color w:val="000000" w:themeColor="text1"/>
                <w:sz w:val="24"/>
                <w:szCs w:val="24"/>
              </w:rPr>
              <w:t xml:space="preserve"> sp.</w:t>
            </w:r>
          </w:p>
        </w:tc>
      </w:tr>
      <w:tr w:rsidR="00ED75E9" w:rsidRPr="00ED75E9" w14:paraId="3BA7DC24" w14:textId="77777777" w:rsidTr="002346DB">
        <w:trPr>
          <w:trHeight w:val="815"/>
          <w:tblCellSpacing w:w="15" w:type="dxa"/>
        </w:trPr>
        <w:tc>
          <w:tcPr>
            <w:tcW w:w="0" w:type="auto"/>
            <w:vAlign w:val="center"/>
            <w:hideMark/>
          </w:tcPr>
          <w:p w14:paraId="49CE4C94"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HB4</w:t>
            </w:r>
          </w:p>
        </w:tc>
        <w:tc>
          <w:tcPr>
            <w:tcW w:w="0" w:type="auto"/>
          </w:tcPr>
          <w:p w14:paraId="0A5C98D2"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
        </w:tc>
        <w:tc>
          <w:tcPr>
            <w:tcW w:w="0" w:type="auto"/>
            <w:vAlign w:val="center"/>
            <w:hideMark/>
          </w:tcPr>
          <w:p w14:paraId="1D5F559B"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Negative</w:t>
            </w:r>
          </w:p>
        </w:tc>
        <w:tc>
          <w:tcPr>
            <w:tcW w:w="0" w:type="auto"/>
            <w:vAlign w:val="center"/>
            <w:hideMark/>
          </w:tcPr>
          <w:p w14:paraId="6D63E051"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Rod</w:t>
            </w:r>
          </w:p>
        </w:tc>
        <w:tc>
          <w:tcPr>
            <w:tcW w:w="0" w:type="auto"/>
            <w:vAlign w:val="center"/>
            <w:hideMark/>
          </w:tcPr>
          <w:p w14:paraId="2BA1686E"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6A30181A"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w:t>
            </w:r>
          </w:p>
        </w:tc>
        <w:tc>
          <w:tcPr>
            <w:tcW w:w="0" w:type="auto"/>
            <w:vAlign w:val="center"/>
            <w:hideMark/>
          </w:tcPr>
          <w:p w14:paraId="52199CF9" w14:textId="77777777" w:rsidR="002346DB" w:rsidRPr="00ED75E9" w:rsidRDefault="002346DB" w:rsidP="003C1B12">
            <w:pPr>
              <w:spacing w:after="0" w:line="240" w:lineRule="auto"/>
              <w:jc w:val="both"/>
              <w:rPr>
                <w:rFonts w:ascii="Times New Roman" w:eastAsia="Times New Roman" w:hAnsi="Times New Roman" w:cs="Times New Roman"/>
                <w:color w:val="000000" w:themeColor="text1"/>
                <w:sz w:val="24"/>
                <w:szCs w:val="24"/>
              </w:rPr>
            </w:pPr>
            <w:proofErr w:type="spellStart"/>
            <w:r w:rsidRPr="00ED75E9">
              <w:rPr>
                <w:rFonts w:ascii="Times New Roman" w:eastAsia="Times New Roman" w:hAnsi="Times New Roman" w:cs="Times New Roman"/>
                <w:i/>
                <w:iCs/>
                <w:color w:val="000000" w:themeColor="text1"/>
                <w:sz w:val="24"/>
                <w:szCs w:val="24"/>
              </w:rPr>
              <w:t>Halomonas</w:t>
            </w:r>
            <w:proofErr w:type="spellEnd"/>
            <w:r w:rsidRPr="00ED75E9">
              <w:rPr>
                <w:rFonts w:ascii="Times New Roman" w:eastAsia="Times New Roman" w:hAnsi="Times New Roman" w:cs="Times New Roman"/>
                <w:color w:val="000000" w:themeColor="text1"/>
                <w:sz w:val="24"/>
                <w:szCs w:val="24"/>
              </w:rPr>
              <w:t xml:space="preserve"> sp.</w:t>
            </w:r>
          </w:p>
        </w:tc>
      </w:tr>
    </w:tbl>
    <w:p w14:paraId="31B52932" w14:textId="77777777" w:rsidR="008E1F97" w:rsidRDefault="008E1F97" w:rsidP="003C1B12">
      <w:pPr>
        <w:jc w:val="both"/>
        <w:rPr>
          <w:rFonts w:ascii="Times New Roman" w:hAnsi="Times New Roman" w:cs="Times New Roman"/>
          <w:color w:val="000000" w:themeColor="text1"/>
          <w:sz w:val="24"/>
          <w:szCs w:val="24"/>
        </w:rPr>
      </w:pPr>
    </w:p>
    <w:p w14:paraId="3C53C95B" w14:textId="77777777" w:rsidR="00002CFD" w:rsidRDefault="00002CFD" w:rsidP="003C1B12">
      <w:pPr>
        <w:jc w:val="both"/>
        <w:rPr>
          <w:rFonts w:ascii="Times New Roman" w:hAnsi="Times New Roman" w:cs="Times New Roman"/>
          <w:color w:val="000000" w:themeColor="text1"/>
          <w:sz w:val="24"/>
          <w:szCs w:val="24"/>
        </w:rPr>
      </w:pPr>
    </w:p>
    <w:p w14:paraId="75607502" w14:textId="77777777" w:rsidR="00002CFD" w:rsidRDefault="00002CFD" w:rsidP="003C1B12">
      <w:pPr>
        <w:jc w:val="both"/>
        <w:rPr>
          <w:rFonts w:ascii="Times New Roman" w:hAnsi="Times New Roman" w:cs="Times New Roman"/>
          <w:color w:val="000000" w:themeColor="text1"/>
          <w:sz w:val="24"/>
          <w:szCs w:val="24"/>
        </w:rPr>
      </w:pPr>
    </w:p>
    <w:p w14:paraId="1075BC79" w14:textId="77777777" w:rsidR="00002CFD" w:rsidRDefault="00002CFD" w:rsidP="003C1B12">
      <w:pPr>
        <w:jc w:val="both"/>
        <w:rPr>
          <w:rFonts w:ascii="Times New Roman" w:hAnsi="Times New Roman" w:cs="Times New Roman"/>
          <w:color w:val="000000" w:themeColor="text1"/>
          <w:sz w:val="24"/>
          <w:szCs w:val="24"/>
        </w:rPr>
      </w:pPr>
    </w:p>
    <w:p w14:paraId="0FCC336B" w14:textId="77777777" w:rsidR="00002CFD" w:rsidRDefault="00002CFD" w:rsidP="003C1B12">
      <w:pPr>
        <w:jc w:val="both"/>
        <w:rPr>
          <w:rFonts w:ascii="Times New Roman" w:hAnsi="Times New Roman" w:cs="Times New Roman"/>
          <w:color w:val="000000" w:themeColor="text1"/>
          <w:sz w:val="24"/>
          <w:szCs w:val="24"/>
        </w:rPr>
      </w:pPr>
    </w:p>
    <w:p w14:paraId="27DD51F6" w14:textId="77777777" w:rsidR="00002CFD" w:rsidRDefault="00002CFD" w:rsidP="003C1B12">
      <w:pPr>
        <w:jc w:val="both"/>
        <w:rPr>
          <w:rFonts w:ascii="Times New Roman" w:hAnsi="Times New Roman" w:cs="Times New Roman"/>
          <w:color w:val="000000" w:themeColor="text1"/>
          <w:sz w:val="24"/>
          <w:szCs w:val="24"/>
        </w:rPr>
      </w:pPr>
    </w:p>
    <w:p w14:paraId="709E05C8" w14:textId="77777777" w:rsidR="00002CFD" w:rsidRDefault="00002CFD" w:rsidP="003C1B12">
      <w:pPr>
        <w:jc w:val="both"/>
        <w:rPr>
          <w:rFonts w:ascii="Times New Roman" w:hAnsi="Times New Roman" w:cs="Times New Roman"/>
          <w:color w:val="000000" w:themeColor="text1"/>
          <w:sz w:val="24"/>
          <w:szCs w:val="24"/>
        </w:rPr>
      </w:pPr>
    </w:p>
    <w:p w14:paraId="7950CB6E" w14:textId="77777777" w:rsidR="00002CFD" w:rsidRPr="00ED75E9" w:rsidRDefault="00002CFD" w:rsidP="003C1B12">
      <w:pPr>
        <w:jc w:val="both"/>
        <w:rPr>
          <w:rFonts w:ascii="Times New Roman" w:hAnsi="Times New Roman" w:cs="Times New Roman"/>
          <w:color w:val="000000" w:themeColor="text1"/>
          <w:sz w:val="24"/>
          <w:szCs w:val="24"/>
        </w:rPr>
      </w:pPr>
    </w:p>
    <w:p w14:paraId="0DFA2E05" w14:textId="77777777" w:rsidR="008E1F97" w:rsidRPr="00ED75E9" w:rsidRDefault="008E1F97" w:rsidP="003C1B12">
      <w:pPr>
        <w:jc w:val="both"/>
        <w:rPr>
          <w:rFonts w:ascii="Times New Roman" w:hAnsi="Times New Roman" w:cs="Times New Roman"/>
          <w:color w:val="000000" w:themeColor="text1"/>
          <w:sz w:val="24"/>
          <w:szCs w:val="24"/>
        </w:rPr>
      </w:pPr>
    </w:p>
    <w:p w14:paraId="70147586" w14:textId="77777777" w:rsidR="002346DB" w:rsidRDefault="002346DB" w:rsidP="003C1B12">
      <w:pPr>
        <w:jc w:val="both"/>
        <w:rPr>
          <w:rFonts w:ascii="Times New Roman" w:hAnsi="Times New Roman" w:cs="Times New Roman"/>
          <w:color w:val="000000" w:themeColor="text1"/>
          <w:sz w:val="24"/>
          <w:szCs w:val="24"/>
        </w:rPr>
      </w:pPr>
    </w:p>
    <w:p w14:paraId="12139960" w14:textId="77777777" w:rsidR="00002CFD" w:rsidRDefault="00002CFD" w:rsidP="003C1B12">
      <w:pPr>
        <w:jc w:val="both"/>
        <w:rPr>
          <w:rFonts w:ascii="Times New Roman" w:hAnsi="Times New Roman" w:cs="Times New Roman"/>
          <w:color w:val="000000" w:themeColor="text1"/>
          <w:sz w:val="24"/>
          <w:szCs w:val="24"/>
        </w:rPr>
      </w:pPr>
    </w:p>
    <w:p w14:paraId="14EFA80F" w14:textId="77777777" w:rsidR="00002CFD" w:rsidRDefault="00002CFD" w:rsidP="003C1B12">
      <w:pPr>
        <w:jc w:val="both"/>
        <w:rPr>
          <w:rFonts w:ascii="Times New Roman" w:hAnsi="Times New Roman" w:cs="Times New Roman"/>
          <w:color w:val="000000" w:themeColor="text1"/>
          <w:sz w:val="24"/>
          <w:szCs w:val="24"/>
        </w:rPr>
      </w:pPr>
    </w:p>
    <w:p w14:paraId="490EF30F" w14:textId="77777777" w:rsidR="00002CFD" w:rsidRDefault="00002CFD" w:rsidP="003C1B12">
      <w:pPr>
        <w:jc w:val="both"/>
        <w:rPr>
          <w:rFonts w:ascii="Times New Roman" w:hAnsi="Times New Roman" w:cs="Times New Roman"/>
          <w:color w:val="000000" w:themeColor="text1"/>
          <w:sz w:val="24"/>
          <w:szCs w:val="24"/>
        </w:rPr>
      </w:pPr>
    </w:p>
    <w:p w14:paraId="5D8F5559" w14:textId="77777777" w:rsidR="00002CFD" w:rsidRDefault="00002CFD" w:rsidP="003C1B12">
      <w:pPr>
        <w:jc w:val="both"/>
        <w:rPr>
          <w:rFonts w:ascii="Times New Roman" w:hAnsi="Times New Roman" w:cs="Times New Roman"/>
          <w:color w:val="000000" w:themeColor="text1"/>
          <w:sz w:val="24"/>
          <w:szCs w:val="24"/>
        </w:rPr>
      </w:pPr>
    </w:p>
    <w:p w14:paraId="5ECA1B6F" w14:textId="77777777" w:rsidR="00002CFD" w:rsidRDefault="00002CFD" w:rsidP="003C1B12">
      <w:pPr>
        <w:jc w:val="both"/>
        <w:rPr>
          <w:rFonts w:ascii="Times New Roman" w:hAnsi="Times New Roman" w:cs="Times New Roman"/>
          <w:color w:val="000000" w:themeColor="text1"/>
          <w:sz w:val="24"/>
          <w:szCs w:val="24"/>
        </w:rPr>
      </w:pPr>
    </w:p>
    <w:p w14:paraId="0A8B64F1" w14:textId="77777777" w:rsidR="00002CFD" w:rsidRPr="00ED75E9" w:rsidRDefault="00002CFD" w:rsidP="003C1B12">
      <w:pPr>
        <w:jc w:val="both"/>
        <w:rPr>
          <w:rFonts w:ascii="Times New Roman" w:hAnsi="Times New Roman" w:cs="Times New Roman"/>
          <w:color w:val="000000" w:themeColor="text1"/>
          <w:sz w:val="24"/>
          <w:szCs w:val="24"/>
        </w:rPr>
      </w:pPr>
    </w:p>
    <w:p w14:paraId="5BED8C11" w14:textId="77777777" w:rsidR="002346DB" w:rsidRPr="00ED75E9" w:rsidRDefault="002346DB" w:rsidP="003C1B12">
      <w:pPr>
        <w:jc w:val="both"/>
        <w:rPr>
          <w:rFonts w:ascii="Times New Roman" w:hAnsi="Times New Roman" w:cs="Times New Roman"/>
          <w:color w:val="000000" w:themeColor="text1"/>
          <w:sz w:val="24"/>
          <w:szCs w:val="24"/>
        </w:rPr>
      </w:pPr>
    </w:p>
    <w:p w14:paraId="432341B7" w14:textId="77777777" w:rsidR="002346DB" w:rsidRPr="00ED75E9" w:rsidRDefault="002346DB" w:rsidP="003C1B12">
      <w:pPr>
        <w:jc w:val="both"/>
        <w:rPr>
          <w:rFonts w:ascii="Times New Roman" w:hAnsi="Times New Roman" w:cs="Times New Roman"/>
          <w:color w:val="000000" w:themeColor="text1"/>
          <w:sz w:val="24"/>
          <w:szCs w:val="24"/>
        </w:rPr>
      </w:pPr>
    </w:p>
    <w:p w14:paraId="3A9CE5A5" w14:textId="77777777" w:rsidR="002346DB" w:rsidRPr="00ED75E9" w:rsidRDefault="002346DB" w:rsidP="003C1B12">
      <w:pPr>
        <w:jc w:val="both"/>
        <w:rPr>
          <w:rFonts w:ascii="Times New Roman" w:hAnsi="Times New Roman" w:cs="Times New Roman"/>
          <w:color w:val="000000" w:themeColor="text1"/>
          <w:sz w:val="24"/>
          <w:szCs w:val="24"/>
        </w:rPr>
      </w:pPr>
    </w:p>
    <w:p w14:paraId="3022AE74" w14:textId="77777777" w:rsidR="002346DB" w:rsidRPr="00ED75E9" w:rsidRDefault="002346DB" w:rsidP="003C1B12">
      <w:pPr>
        <w:jc w:val="both"/>
        <w:rPr>
          <w:rFonts w:ascii="Times New Roman" w:hAnsi="Times New Roman" w:cs="Times New Roman"/>
          <w:color w:val="000000" w:themeColor="text1"/>
          <w:sz w:val="24"/>
          <w:szCs w:val="24"/>
        </w:rPr>
      </w:pPr>
    </w:p>
    <w:p w14:paraId="3D8B64DE" w14:textId="77777777" w:rsidR="002346DB" w:rsidRPr="00ED75E9" w:rsidRDefault="002346DB" w:rsidP="003C1B12">
      <w:pPr>
        <w:jc w:val="both"/>
        <w:rPr>
          <w:rFonts w:ascii="Times New Roman" w:hAnsi="Times New Roman" w:cs="Times New Roman"/>
          <w:color w:val="000000" w:themeColor="text1"/>
          <w:sz w:val="24"/>
          <w:szCs w:val="24"/>
        </w:rPr>
      </w:pPr>
    </w:p>
    <w:p w14:paraId="27A9727D" w14:textId="77777777" w:rsidR="002346DB" w:rsidRPr="00ED75E9" w:rsidRDefault="002346DB" w:rsidP="003C1B12">
      <w:pPr>
        <w:jc w:val="both"/>
        <w:rPr>
          <w:rFonts w:ascii="Times New Roman" w:hAnsi="Times New Roman" w:cs="Times New Roman"/>
          <w:color w:val="000000" w:themeColor="text1"/>
          <w:sz w:val="24"/>
          <w:szCs w:val="24"/>
        </w:rPr>
      </w:pPr>
    </w:p>
    <w:p w14:paraId="2A99F715" w14:textId="77777777" w:rsidR="002346DB" w:rsidRPr="00ED75E9" w:rsidRDefault="002346DB" w:rsidP="003C1B12">
      <w:pPr>
        <w:jc w:val="both"/>
        <w:rPr>
          <w:rFonts w:ascii="Times New Roman" w:hAnsi="Times New Roman" w:cs="Times New Roman"/>
          <w:color w:val="000000" w:themeColor="text1"/>
          <w:sz w:val="24"/>
          <w:szCs w:val="24"/>
        </w:rPr>
      </w:pPr>
    </w:p>
    <w:p w14:paraId="6FA8BA04" w14:textId="77777777" w:rsidR="00E70461" w:rsidRPr="00ED75E9" w:rsidRDefault="00E70461" w:rsidP="003C1B12">
      <w:pPr>
        <w:jc w:val="both"/>
        <w:rPr>
          <w:rFonts w:ascii="Times New Roman" w:hAnsi="Times New Roman" w:cs="Times New Roman"/>
          <w:color w:val="000000" w:themeColor="text1"/>
          <w:sz w:val="24"/>
          <w:szCs w:val="24"/>
        </w:rPr>
      </w:pPr>
    </w:p>
    <w:p w14:paraId="36F5200B" w14:textId="77777777" w:rsidR="002346DB" w:rsidRPr="00ED75E9" w:rsidRDefault="002346DB" w:rsidP="003C1B12">
      <w:pPr>
        <w:jc w:val="both"/>
        <w:rPr>
          <w:rFonts w:ascii="Times New Roman" w:hAnsi="Times New Roman" w:cs="Times New Roman"/>
          <w:color w:val="000000" w:themeColor="text1"/>
          <w:sz w:val="24"/>
          <w:szCs w:val="24"/>
        </w:rPr>
      </w:pPr>
    </w:p>
    <w:p w14:paraId="74DB11BF" w14:textId="77777777" w:rsidR="002346DB" w:rsidRPr="00ED75E9" w:rsidRDefault="002346DB" w:rsidP="003C1B12">
      <w:pPr>
        <w:jc w:val="both"/>
        <w:rPr>
          <w:rFonts w:ascii="Times New Roman" w:hAnsi="Times New Roman" w:cs="Times New Roman"/>
          <w:color w:val="000000" w:themeColor="text1"/>
          <w:sz w:val="24"/>
          <w:szCs w:val="24"/>
        </w:rPr>
      </w:pPr>
    </w:p>
    <w:p w14:paraId="1344BEBB" w14:textId="77777777" w:rsidR="002346DB" w:rsidRPr="00ED75E9" w:rsidRDefault="002346DB" w:rsidP="003C1B12">
      <w:pPr>
        <w:jc w:val="both"/>
        <w:rPr>
          <w:rFonts w:ascii="Times New Roman" w:hAnsi="Times New Roman" w:cs="Times New Roman"/>
          <w:color w:val="000000" w:themeColor="text1"/>
          <w:sz w:val="24"/>
          <w:szCs w:val="24"/>
        </w:rPr>
      </w:pPr>
    </w:p>
    <w:tbl>
      <w:tblPr>
        <w:tblpPr w:leftFromText="180" w:rightFromText="180" w:vertAnchor="page" w:horzAnchor="margin" w:tblpXSpec="center" w:tblpY="2681"/>
        <w:tblW w:w="979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06"/>
        <w:gridCol w:w="1301"/>
        <w:gridCol w:w="1285"/>
        <w:gridCol w:w="1409"/>
        <w:gridCol w:w="1580"/>
        <w:gridCol w:w="1011"/>
      </w:tblGrid>
      <w:tr w:rsidR="00002CFD" w:rsidRPr="00ED75E9" w14:paraId="47531D3A" w14:textId="77777777" w:rsidTr="00002CFD">
        <w:trPr>
          <w:trHeight w:val="1085"/>
          <w:tblHeader/>
          <w:tblCellSpacing w:w="15" w:type="dxa"/>
        </w:trPr>
        <w:tc>
          <w:tcPr>
            <w:tcW w:w="3161" w:type="dxa"/>
            <w:tcBorders>
              <w:top w:val="single" w:sz="4" w:space="0" w:color="auto"/>
              <w:bottom w:val="single" w:sz="4" w:space="0" w:color="auto"/>
            </w:tcBorders>
            <w:vAlign w:val="center"/>
            <w:hideMark/>
          </w:tcPr>
          <w:p w14:paraId="2C9D47E3" w14:textId="77777777" w:rsidR="00002CFD" w:rsidRPr="00ED75E9" w:rsidRDefault="00002CFD" w:rsidP="00002CFD">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lastRenderedPageBreak/>
              <w:t>Parameter</w:t>
            </w:r>
          </w:p>
        </w:tc>
        <w:tc>
          <w:tcPr>
            <w:tcW w:w="1271" w:type="dxa"/>
            <w:tcBorders>
              <w:top w:val="single" w:sz="4" w:space="0" w:color="auto"/>
              <w:bottom w:val="single" w:sz="4" w:space="0" w:color="auto"/>
            </w:tcBorders>
            <w:vAlign w:val="center"/>
            <w:hideMark/>
          </w:tcPr>
          <w:p w14:paraId="28DBA2C9" w14:textId="77777777" w:rsidR="00002CFD" w:rsidRPr="00ED75E9" w:rsidRDefault="00002CFD" w:rsidP="00002CFD">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Site A</w:t>
            </w:r>
          </w:p>
        </w:tc>
        <w:tc>
          <w:tcPr>
            <w:tcW w:w="1255" w:type="dxa"/>
            <w:tcBorders>
              <w:top w:val="single" w:sz="4" w:space="0" w:color="auto"/>
              <w:bottom w:val="single" w:sz="4" w:space="0" w:color="auto"/>
            </w:tcBorders>
            <w:vAlign w:val="center"/>
            <w:hideMark/>
          </w:tcPr>
          <w:p w14:paraId="0D00D243" w14:textId="77777777" w:rsidR="00002CFD" w:rsidRPr="00ED75E9" w:rsidRDefault="00002CFD" w:rsidP="00002CFD">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Site B</w:t>
            </w:r>
          </w:p>
        </w:tc>
        <w:tc>
          <w:tcPr>
            <w:tcW w:w="1379" w:type="dxa"/>
            <w:tcBorders>
              <w:top w:val="single" w:sz="4" w:space="0" w:color="auto"/>
              <w:bottom w:val="single" w:sz="4" w:space="0" w:color="auto"/>
            </w:tcBorders>
            <w:vAlign w:val="center"/>
            <w:hideMark/>
          </w:tcPr>
          <w:p w14:paraId="738F14A0" w14:textId="77777777" w:rsidR="00002CFD" w:rsidRPr="00ED75E9" w:rsidRDefault="00002CFD" w:rsidP="00002CFD">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Site C</w:t>
            </w:r>
          </w:p>
        </w:tc>
        <w:tc>
          <w:tcPr>
            <w:tcW w:w="1550" w:type="dxa"/>
            <w:tcBorders>
              <w:top w:val="single" w:sz="4" w:space="0" w:color="auto"/>
              <w:bottom w:val="single" w:sz="4" w:space="0" w:color="auto"/>
            </w:tcBorders>
            <w:vAlign w:val="center"/>
            <w:hideMark/>
          </w:tcPr>
          <w:p w14:paraId="5317387B" w14:textId="77777777" w:rsidR="00002CFD" w:rsidRPr="00ED75E9" w:rsidRDefault="00002CFD" w:rsidP="00002CFD">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Site D</w:t>
            </w:r>
          </w:p>
        </w:tc>
        <w:tc>
          <w:tcPr>
            <w:tcW w:w="966" w:type="dxa"/>
            <w:tcBorders>
              <w:top w:val="single" w:sz="4" w:space="0" w:color="auto"/>
              <w:bottom w:val="single" w:sz="4" w:space="0" w:color="auto"/>
            </w:tcBorders>
            <w:vAlign w:val="center"/>
            <w:hideMark/>
          </w:tcPr>
          <w:p w14:paraId="3CDEB85A" w14:textId="77777777" w:rsidR="00002CFD" w:rsidRPr="00ED75E9" w:rsidRDefault="00002CFD" w:rsidP="00002CFD">
            <w:pPr>
              <w:spacing w:after="0" w:line="240" w:lineRule="auto"/>
              <w:jc w:val="both"/>
              <w:rPr>
                <w:rFonts w:ascii="Times New Roman" w:eastAsia="Times New Roman" w:hAnsi="Times New Roman" w:cs="Times New Roman"/>
                <w:bCs/>
                <w:color w:val="000000" w:themeColor="text1"/>
                <w:sz w:val="24"/>
                <w:szCs w:val="24"/>
              </w:rPr>
            </w:pPr>
            <w:r w:rsidRPr="00ED75E9">
              <w:rPr>
                <w:rFonts w:ascii="Times New Roman" w:eastAsia="Times New Roman" w:hAnsi="Times New Roman" w:cs="Times New Roman"/>
                <w:bCs/>
                <w:color w:val="000000" w:themeColor="text1"/>
                <w:sz w:val="24"/>
                <w:szCs w:val="24"/>
              </w:rPr>
              <w:t>Control site</w:t>
            </w:r>
          </w:p>
        </w:tc>
      </w:tr>
      <w:tr w:rsidR="00002CFD" w:rsidRPr="00ED75E9" w14:paraId="597A3C68" w14:textId="77777777" w:rsidTr="00002CFD">
        <w:trPr>
          <w:trHeight w:val="550"/>
          <w:tblCellSpacing w:w="15" w:type="dxa"/>
        </w:trPr>
        <w:tc>
          <w:tcPr>
            <w:tcW w:w="3161" w:type="dxa"/>
            <w:vAlign w:val="center"/>
            <w:hideMark/>
          </w:tcPr>
          <w:p w14:paraId="5A950D50"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pH</w:t>
            </w:r>
          </w:p>
        </w:tc>
        <w:tc>
          <w:tcPr>
            <w:tcW w:w="1271" w:type="dxa"/>
            <w:vAlign w:val="center"/>
            <w:hideMark/>
          </w:tcPr>
          <w:p w14:paraId="232CAEB3"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5.7 ± 0.2</w:t>
            </w:r>
          </w:p>
        </w:tc>
        <w:tc>
          <w:tcPr>
            <w:tcW w:w="1255" w:type="dxa"/>
            <w:vAlign w:val="center"/>
            <w:hideMark/>
          </w:tcPr>
          <w:p w14:paraId="0436CD71"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5.9 ± 0.3</w:t>
            </w:r>
          </w:p>
        </w:tc>
        <w:tc>
          <w:tcPr>
            <w:tcW w:w="1379" w:type="dxa"/>
            <w:vAlign w:val="center"/>
            <w:hideMark/>
          </w:tcPr>
          <w:p w14:paraId="4574154F"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5.6 ± 0.2</w:t>
            </w:r>
          </w:p>
        </w:tc>
        <w:tc>
          <w:tcPr>
            <w:tcW w:w="1550" w:type="dxa"/>
            <w:vAlign w:val="center"/>
            <w:hideMark/>
          </w:tcPr>
          <w:p w14:paraId="11624674"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6.0 ± 0.3</w:t>
            </w:r>
          </w:p>
        </w:tc>
        <w:tc>
          <w:tcPr>
            <w:tcW w:w="966" w:type="dxa"/>
            <w:vAlign w:val="center"/>
            <w:hideMark/>
          </w:tcPr>
          <w:p w14:paraId="02357FF3"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6.7 ± 0.2</w:t>
            </w:r>
          </w:p>
        </w:tc>
      </w:tr>
      <w:tr w:rsidR="00002CFD" w:rsidRPr="00ED75E9" w14:paraId="08D46B2E" w14:textId="77777777" w:rsidTr="00002CFD">
        <w:trPr>
          <w:trHeight w:val="550"/>
          <w:tblCellSpacing w:w="15" w:type="dxa"/>
        </w:trPr>
        <w:tc>
          <w:tcPr>
            <w:tcW w:w="3161" w:type="dxa"/>
            <w:vAlign w:val="center"/>
            <w:hideMark/>
          </w:tcPr>
          <w:p w14:paraId="416C454A"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Organic matter (%)</w:t>
            </w:r>
          </w:p>
        </w:tc>
        <w:tc>
          <w:tcPr>
            <w:tcW w:w="1271" w:type="dxa"/>
            <w:vAlign w:val="center"/>
            <w:hideMark/>
          </w:tcPr>
          <w:p w14:paraId="71AAFAC0"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2.0 ± 0.3</w:t>
            </w:r>
          </w:p>
        </w:tc>
        <w:tc>
          <w:tcPr>
            <w:tcW w:w="1255" w:type="dxa"/>
            <w:vAlign w:val="center"/>
            <w:hideMark/>
          </w:tcPr>
          <w:p w14:paraId="476293E8"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2.3 ± 0.4</w:t>
            </w:r>
          </w:p>
        </w:tc>
        <w:tc>
          <w:tcPr>
            <w:tcW w:w="1379" w:type="dxa"/>
            <w:vAlign w:val="center"/>
            <w:hideMark/>
          </w:tcPr>
          <w:p w14:paraId="2BD1045F"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1.9 ± 0.3</w:t>
            </w:r>
          </w:p>
        </w:tc>
        <w:tc>
          <w:tcPr>
            <w:tcW w:w="1550" w:type="dxa"/>
            <w:vAlign w:val="center"/>
            <w:hideMark/>
          </w:tcPr>
          <w:p w14:paraId="0CA1893B"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2.2 ± 0.4</w:t>
            </w:r>
          </w:p>
        </w:tc>
        <w:tc>
          <w:tcPr>
            <w:tcW w:w="966" w:type="dxa"/>
            <w:vAlign w:val="center"/>
            <w:hideMark/>
          </w:tcPr>
          <w:p w14:paraId="2C1A524F"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4.8 ± 0.6</w:t>
            </w:r>
          </w:p>
        </w:tc>
      </w:tr>
      <w:tr w:rsidR="00002CFD" w:rsidRPr="00ED75E9" w14:paraId="6BEDA7C4" w14:textId="77777777" w:rsidTr="00002CFD">
        <w:trPr>
          <w:trHeight w:val="550"/>
          <w:tblCellSpacing w:w="15" w:type="dxa"/>
        </w:trPr>
        <w:tc>
          <w:tcPr>
            <w:tcW w:w="3161" w:type="dxa"/>
            <w:vAlign w:val="center"/>
            <w:hideMark/>
          </w:tcPr>
          <w:p w14:paraId="58208C51"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Electrical conductivity (</w:t>
            </w:r>
            <w:proofErr w:type="spellStart"/>
            <w:r w:rsidRPr="00ED75E9">
              <w:rPr>
                <w:rFonts w:ascii="Times New Roman" w:eastAsia="Times New Roman" w:hAnsi="Times New Roman" w:cs="Times New Roman"/>
                <w:color w:val="000000" w:themeColor="text1"/>
                <w:sz w:val="24"/>
                <w:szCs w:val="24"/>
              </w:rPr>
              <w:t>dS</w:t>
            </w:r>
            <w:proofErr w:type="spellEnd"/>
            <w:r w:rsidRPr="00ED75E9">
              <w:rPr>
                <w:rFonts w:ascii="Times New Roman" w:eastAsia="Times New Roman" w:hAnsi="Times New Roman" w:cs="Times New Roman"/>
                <w:color w:val="000000" w:themeColor="text1"/>
                <w:sz w:val="24"/>
                <w:szCs w:val="24"/>
              </w:rPr>
              <w:t>/m)</w:t>
            </w:r>
          </w:p>
        </w:tc>
        <w:tc>
          <w:tcPr>
            <w:tcW w:w="1271" w:type="dxa"/>
            <w:vAlign w:val="center"/>
            <w:hideMark/>
          </w:tcPr>
          <w:p w14:paraId="73B3D9A3"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3.8 ± 0.4</w:t>
            </w:r>
          </w:p>
        </w:tc>
        <w:tc>
          <w:tcPr>
            <w:tcW w:w="1255" w:type="dxa"/>
            <w:vAlign w:val="center"/>
            <w:hideMark/>
          </w:tcPr>
          <w:p w14:paraId="55B136BA"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4.1 ± 0.5</w:t>
            </w:r>
          </w:p>
        </w:tc>
        <w:tc>
          <w:tcPr>
            <w:tcW w:w="1379" w:type="dxa"/>
            <w:vAlign w:val="center"/>
            <w:hideMark/>
          </w:tcPr>
          <w:p w14:paraId="0A8D68CC"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3.6 ± 0.4</w:t>
            </w:r>
          </w:p>
        </w:tc>
        <w:tc>
          <w:tcPr>
            <w:tcW w:w="1550" w:type="dxa"/>
            <w:vAlign w:val="center"/>
            <w:hideMark/>
          </w:tcPr>
          <w:p w14:paraId="6DFA0ACF"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4.0 ± 0.5</w:t>
            </w:r>
          </w:p>
        </w:tc>
        <w:tc>
          <w:tcPr>
            <w:tcW w:w="966" w:type="dxa"/>
            <w:vAlign w:val="center"/>
            <w:hideMark/>
          </w:tcPr>
          <w:p w14:paraId="2C7DA9F3"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1.2 ± 0.3</w:t>
            </w:r>
          </w:p>
        </w:tc>
      </w:tr>
      <w:tr w:rsidR="00002CFD" w:rsidRPr="00ED75E9" w14:paraId="21852641" w14:textId="77777777" w:rsidTr="00002CFD">
        <w:trPr>
          <w:trHeight w:val="1085"/>
          <w:tblCellSpacing w:w="15" w:type="dxa"/>
        </w:trPr>
        <w:tc>
          <w:tcPr>
            <w:tcW w:w="3161" w:type="dxa"/>
            <w:vAlign w:val="center"/>
            <w:hideMark/>
          </w:tcPr>
          <w:p w14:paraId="1749F7E7"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Total petroleum hydrocarbons (mg/kg)</w:t>
            </w:r>
          </w:p>
        </w:tc>
        <w:tc>
          <w:tcPr>
            <w:tcW w:w="1271" w:type="dxa"/>
            <w:vAlign w:val="center"/>
            <w:hideMark/>
          </w:tcPr>
          <w:p w14:paraId="0BB80966"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4,180 ± 290</w:t>
            </w:r>
          </w:p>
        </w:tc>
        <w:tc>
          <w:tcPr>
            <w:tcW w:w="1255" w:type="dxa"/>
            <w:vAlign w:val="center"/>
            <w:hideMark/>
          </w:tcPr>
          <w:p w14:paraId="2E4D558A"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4,360 ± 320</w:t>
            </w:r>
          </w:p>
        </w:tc>
        <w:tc>
          <w:tcPr>
            <w:tcW w:w="1379" w:type="dxa"/>
            <w:vAlign w:val="center"/>
            <w:hideMark/>
          </w:tcPr>
          <w:p w14:paraId="67D74D8C"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4,090 ± 270</w:t>
            </w:r>
          </w:p>
        </w:tc>
        <w:tc>
          <w:tcPr>
            <w:tcW w:w="1550" w:type="dxa"/>
            <w:vAlign w:val="center"/>
            <w:hideMark/>
          </w:tcPr>
          <w:p w14:paraId="49C6D976"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4,370 ± 310</w:t>
            </w:r>
          </w:p>
        </w:tc>
        <w:tc>
          <w:tcPr>
            <w:tcW w:w="966" w:type="dxa"/>
            <w:vAlign w:val="center"/>
            <w:hideMark/>
          </w:tcPr>
          <w:p w14:paraId="6C916965" w14:textId="77777777" w:rsidR="00002CFD" w:rsidRPr="00ED75E9" w:rsidRDefault="00002CFD" w:rsidP="00002CFD">
            <w:pPr>
              <w:spacing w:after="0" w:line="240" w:lineRule="auto"/>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color w:val="000000" w:themeColor="text1"/>
                <w:sz w:val="24"/>
                <w:szCs w:val="24"/>
              </w:rPr>
              <w:t>120 ± 25</w:t>
            </w:r>
          </w:p>
        </w:tc>
      </w:tr>
    </w:tbl>
    <w:p w14:paraId="1F51CAB3" w14:textId="75D1F0E6" w:rsidR="00190C84" w:rsidRPr="00ED75E9" w:rsidRDefault="00190C84" w:rsidP="003C1B12">
      <w:pPr>
        <w:jc w:val="both"/>
        <w:rPr>
          <w:rFonts w:ascii="Times New Roman" w:hAnsi="Times New Roman" w:cs="Times New Roman"/>
          <w:b/>
          <w:color w:val="000000" w:themeColor="text1"/>
          <w:sz w:val="20"/>
          <w:szCs w:val="20"/>
        </w:rPr>
      </w:pPr>
    </w:p>
    <w:p w14:paraId="1FDA0368" w14:textId="0C194815" w:rsidR="00190C84" w:rsidRPr="00ED75E9" w:rsidRDefault="00002CFD" w:rsidP="003C1B12">
      <w:pPr>
        <w:jc w:val="both"/>
        <w:rPr>
          <w:rFonts w:ascii="Times New Roman" w:hAnsi="Times New Roman" w:cs="Times New Roman"/>
          <w:color w:val="000000" w:themeColor="text1"/>
          <w:sz w:val="24"/>
          <w:szCs w:val="24"/>
        </w:rPr>
      </w:pPr>
      <w:r w:rsidRPr="00ED75E9">
        <w:rPr>
          <w:rFonts w:ascii="Times New Roman" w:hAnsi="Times New Roman" w:cs="Times New Roman"/>
          <w:b/>
          <w:color w:val="000000" w:themeColor="text1"/>
          <w:sz w:val="20"/>
          <w:szCs w:val="20"/>
        </w:rPr>
        <w:t>Table 2. Physicochemical properties of soil samples from different sampling site</w:t>
      </w:r>
    </w:p>
    <w:p w14:paraId="09C1601C" w14:textId="77777777" w:rsidR="00190C84" w:rsidRPr="00ED75E9" w:rsidRDefault="00190C84" w:rsidP="003C1B12">
      <w:pPr>
        <w:jc w:val="both"/>
        <w:rPr>
          <w:rFonts w:ascii="Times New Roman" w:hAnsi="Times New Roman" w:cs="Times New Roman"/>
          <w:color w:val="000000" w:themeColor="text1"/>
          <w:sz w:val="24"/>
          <w:szCs w:val="24"/>
        </w:rPr>
      </w:pPr>
    </w:p>
    <w:p w14:paraId="5A90D5E8" w14:textId="77777777" w:rsidR="00190C84" w:rsidRPr="00ED75E9" w:rsidRDefault="00190C84" w:rsidP="003C1B12">
      <w:pPr>
        <w:jc w:val="both"/>
        <w:rPr>
          <w:rFonts w:ascii="Times New Roman" w:hAnsi="Times New Roman" w:cs="Times New Roman"/>
          <w:color w:val="000000" w:themeColor="text1"/>
          <w:sz w:val="24"/>
          <w:szCs w:val="24"/>
        </w:rPr>
      </w:pPr>
    </w:p>
    <w:p w14:paraId="016B06EB" w14:textId="77777777" w:rsidR="00190C84" w:rsidRPr="00ED75E9" w:rsidRDefault="00190C84" w:rsidP="003C1B12">
      <w:pPr>
        <w:jc w:val="both"/>
        <w:rPr>
          <w:rFonts w:ascii="Times New Roman" w:hAnsi="Times New Roman" w:cs="Times New Roman"/>
          <w:color w:val="000000" w:themeColor="text1"/>
          <w:sz w:val="24"/>
          <w:szCs w:val="24"/>
        </w:rPr>
      </w:pPr>
    </w:p>
    <w:p w14:paraId="01F50C7D" w14:textId="77777777" w:rsidR="00190C84" w:rsidRPr="00ED75E9" w:rsidRDefault="00190C84" w:rsidP="003C1B12">
      <w:pPr>
        <w:jc w:val="both"/>
        <w:rPr>
          <w:rFonts w:ascii="Times New Roman" w:hAnsi="Times New Roman" w:cs="Times New Roman"/>
          <w:color w:val="000000" w:themeColor="text1"/>
          <w:sz w:val="24"/>
          <w:szCs w:val="24"/>
        </w:rPr>
      </w:pPr>
    </w:p>
    <w:p w14:paraId="30ECC3D8" w14:textId="77777777" w:rsidR="00190C84" w:rsidRPr="00ED75E9" w:rsidRDefault="00190C84" w:rsidP="003C1B12">
      <w:pPr>
        <w:jc w:val="both"/>
        <w:rPr>
          <w:rFonts w:ascii="Times New Roman" w:hAnsi="Times New Roman" w:cs="Times New Roman"/>
          <w:color w:val="000000" w:themeColor="text1"/>
          <w:sz w:val="24"/>
          <w:szCs w:val="24"/>
        </w:rPr>
      </w:pPr>
    </w:p>
    <w:p w14:paraId="06220FCC" w14:textId="77777777" w:rsidR="00190C84" w:rsidRPr="00ED75E9" w:rsidRDefault="00190C84" w:rsidP="003C1B12">
      <w:pPr>
        <w:jc w:val="both"/>
        <w:rPr>
          <w:rFonts w:ascii="Times New Roman" w:hAnsi="Times New Roman" w:cs="Times New Roman"/>
          <w:color w:val="000000" w:themeColor="text1"/>
          <w:sz w:val="24"/>
          <w:szCs w:val="24"/>
        </w:rPr>
      </w:pPr>
    </w:p>
    <w:p w14:paraId="63C4B387" w14:textId="77777777" w:rsidR="00190C84" w:rsidRPr="00ED75E9" w:rsidRDefault="00190C84" w:rsidP="003C1B12">
      <w:pPr>
        <w:jc w:val="both"/>
        <w:rPr>
          <w:rFonts w:ascii="Times New Roman" w:hAnsi="Times New Roman" w:cs="Times New Roman"/>
          <w:color w:val="000000" w:themeColor="text1"/>
          <w:sz w:val="24"/>
          <w:szCs w:val="24"/>
        </w:rPr>
      </w:pPr>
    </w:p>
    <w:p w14:paraId="0C281CE6" w14:textId="77777777" w:rsidR="006B03FB" w:rsidRPr="00ED75E9" w:rsidRDefault="006B03FB" w:rsidP="003C1B12">
      <w:pPr>
        <w:jc w:val="both"/>
        <w:rPr>
          <w:rFonts w:ascii="Times New Roman" w:hAnsi="Times New Roman" w:cs="Times New Roman"/>
          <w:color w:val="000000" w:themeColor="text1"/>
          <w:sz w:val="24"/>
          <w:szCs w:val="24"/>
        </w:rPr>
      </w:pPr>
    </w:p>
    <w:p w14:paraId="79E94D10" w14:textId="77777777" w:rsidR="006B03FB" w:rsidRPr="00ED75E9" w:rsidRDefault="006B03FB" w:rsidP="003C1B12">
      <w:pPr>
        <w:jc w:val="both"/>
        <w:rPr>
          <w:rFonts w:ascii="Times New Roman" w:hAnsi="Times New Roman" w:cs="Times New Roman"/>
          <w:color w:val="000000" w:themeColor="text1"/>
          <w:sz w:val="24"/>
          <w:szCs w:val="24"/>
        </w:rPr>
      </w:pPr>
    </w:p>
    <w:p w14:paraId="063E50C8" w14:textId="77777777" w:rsidR="006B03FB" w:rsidRPr="00ED75E9" w:rsidRDefault="006B03FB" w:rsidP="003C1B12">
      <w:pPr>
        <w:jc w:val="both"/>
        <w:rPr>
          <w:rFonts w:ascii="Times New Roman" w:hAnsi="Times New Roman" w:cs="Times New Roman"/>
          <w:color w:val="000000" w:themeColor="text1"/>
          <w:sz w:val="24"/>
          <w:szCs w:val="24"/>
        </w:rPr>
      </w:pPr>
    </w:p>
    <w:p w14:paraId="1FADC6C6" w14:textId="77777777" w:rsidR="006B03FB" w:rsidRPr="00ED75E9" w:rsidRDefault="006B03FB" w:rsidP="003C1B12">
      <w:pPr>
        <w:jc w:val="both"/>
        <w:rPr>
          <w:rFonts w:ascii="Times New Roman" w:hAnsi="Times New Roman" w:cs="Times New Roman"/>
          <w:color w:val="000000" w:themeColor="text1"/>
          <w:sz w:val="24"/>
          <w:szCs w:val="24"/>
        </w:rPr>
      </w:pPr>
    </w:p>
    <w:p w14:paraId="68AF63A8" w14:textId="77777777" w:rsidR="006B03FB" w:rsidRPr="00ED75E9" w:rsidRDefault="006B03FB" w:rsidP="003C1B12">
      <w:pPr>
        <w:jc w:val="both"/>
        <w:rPr>
          <w:rFonts w:ascii="Times New Roman" w:hAnsi="Times New Roman" w:cs="Times New Roman"/>
          <w:color w:val="000000" w:themeColor="text1"/>
          <w:sz w:val="24"/>
          <w:szCs w:val="24"/>
        </w:rPr>
      </w:pPr>
    </w:p>
    <w:p w14:paraId="2B8F1A0B" w14:textId="77777777" w:rsidR="006B03FB" w:rsidRPr="00ED75E9" w:rsidRDefault="006B03FB" w:rsidP="003C1B12">
      <w:pPr>
        <w:jc w:val="both"/>
        <w:rPr>
          <w:rFonts w:ascii="Times New Roman" w:hAnsi="Times New Roman" w:cs="Times New Roman"/>
          <w:color w:val="000000" w:themeColor="text1"/>
          <w:sz w:val="24"/>
          <w:szCs w:val="24"/>
        </w:rPr>
      </w:pPr>
    </w:p>
    <w:p w14:paraId="2BE6F50F" w14:textId="77777777" w:rsidR="006B03FB" w:rsidRPr="00ED75E9" w:rsidRDefault="006B03FB" w:rsidP="003C1B12">
      <w:pPr>
        <w:jc w:val="both"/>
        <w:rPr>
          <w:rFonts w:ascii="Times New Roman" w:hAnsi="Times New Roman" w:cs="Times New Roman"/>
          <w:color w:val="000000" w:themeColor="text1"/>
          <w:sz w:val="24"/>
          <w:szCs w:val="24"/>
        </w:rPr>
      </w:pPr>
    </w:p>
    <w:p w14:paraId="56540ADA" w14:textId="77777777" w:rsidR="006B03FB" w:rsidRPr="00ED75E9" w:rsidRDefault="006B03FB" w:rsidP="003C1B12">
      <w:pPr>
        <w:jc w:val="both"/>
        <w:rPr>
          <w:rFonts w:ascii="Times New Roman" w:hAnsi="Times New Roman" w:cs="Times New Roman"/>
          <w:color w:val="000000" w:themeColor="text1"/>
          <w:sz w:val="24"/>
          <w:szCs w:val="24"/>
        </w:rPr>
      </w:pPr>
    </w:p>
    <w:p w14:paraId="71313531" w14:textId="77777777" w:rsidR="0051143D" w:rsidRPr="00ED75E9" w:rsidRDefault="00E70461" w:rsidP="003C1B12">
      <w:pPr>
        <w:jc w:val="both"/>
        <w:rPr>
          <w:rFonts w:ascii="Times New Roman" w:hAnsi="Times New Roman" w:cs="Times New Roman"/>
          <w:b/>
          <w:color w:val="000000" w:themeColor="text1"/>
          <w:sz w:val="20"/>
          <w:szCs w:val="20"/>
        </w:rPr>
      </w:pPr>
      <w:r w:rsidRPr="00ED75E9">
        <w:rPr>
          <w:rFonts w:ascii="Times New Roman" w:hAnsi="Times New Roman" w:cs="Times New Roman"/>
          <w:b/>
          <w:color w:val="000000" w:themeColor="text1"/>
          <w:sz w:val="20"/>
          <w:szCs w:val="20"/>
        </w:rPr>
        <w:lastRenderedPageBreak/>
        <w:t>Table 3</w:t>
      </w:r>
      <w:r w:rsidR="00CD3F06" w:rsidRPr="00ED75E9">
        <w:rPr>
          <w:rFonts w:ascii="Times New Roman" w:hAnsi="Times New Roman" w:cs="Times New Roman"/>
          <w:b/>
          <w:color w:val="000000" w:themeColor="text1"/>
          <w:sz w:val="20"/>
          <w:szCs w:val="20"/>
        </w:rPr>
        <w:t>. Halophilic bacterial counts from soil samples</w:t>
      </w:r>
    </w:p>
    <w:tbl>
      <w:tblPr>
        <w:tblStyle w:val="TableGrid"/>
        <w:tblW w:w="95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766"/>
      </w:tblGrid>
      <w:tr w:rsidR="00ED75E9" w:rsidRPr="00ED75E9" w14:paraId="7A671CF7" w14:textId="77777777" w:rsidTr="006233FA">
        <w:trPr>
          <w:trHeight w:val="618"/>
        </w:trPr>
        <w:tc>
          <w:tcPr>
            <w:tcW w:w="4766" w:type="dxa"/>
            <w:tcBorders>
              <w:top w:val="single" w:sz="4" w:space="0" w:color="auto"/>
              <w:bottom w:val="single" w:sz="4" w:space="0" w:color="auto"/>
            </w:tcBorders>
          </w:tcPr>
          <w:p w14:paraId="07D29D81"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Sampling site</w:t>
            </w:r>
          </w:p>
        </w:tc>
        <w:tc>
          <w:tcPr>
            <w:tcW w:w="4766" w:type="dxa"/>
            <w:tcBorders>
              <w:top w:val="single" w:sz="4" w:space="0" w:color="auto"/>
              <w:bottom w:val="single" w:sz="4" w:space="0" w:color="auto"/>
            </w:tcBorders>
          </w:tcPr>
          <w:p w14:paraId="35F1055A"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Bacterial load (CFU/g ×10⁵)</w:t>
            </w:r>
          </w:p>
        </w:tc>
      </w:tr>
      <w:tr w:rsidR="00ED75E9" w:rsidRPr="00ED75E9" w14:paraId="01F9BC90" w14:textId="77777777" w:rsidTr="006233FA">
        <w:trPr>
          <w:trHeight w:val="640"/>
        </w:trPr>
        <w:tc>
          <w:tcPr>
            <w:tcW w:w="4766" w:type="dxa"/>
            <w:tcBorders>
              <w:top w:val="single" w:sz="4" w:space="0" w:color="auto"/>
            </w:tcBorders>
          </w:tcPr>
          <w:p w14:paraId="60CF36AD" w14:textId="77777777" w:rsidR="0051143D" w:rsidRPr="00ED75E9" w:rsidRDefault="00E70461"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Contaminated site A</w:t>
            </w:r>
          </w:p>
        </w:tc>
        <w:tc>
          <w:tcPr>
            <w:tcW w:w="4766" w:type="dxa"/>
            <w:tcBorders>
              <w:top w:val="single" w:sz="4" w:space="0" w:color="auto"/>
            </w:tcBorders>
          </w:tcPr>
          <w:p w14:paraId="087169EF"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6.4 ± 0.8</w:t>
            </w:r>
          </w:p>
        </w:tc>
      </w:tr>
      <w:tr w:rsidR="00ED75E9" w:rsidRPr="00ED75E9" w14:paraId="62654D37" w14:textId="77777777" w:rsidTr="006233FA">
        <w:trPr>
          <w:trHeight w:val="618"/>
        </w:trPr>
        <w:tc>
          <w:tcPr>
            <w:tcW w:w="4766" w:type="dxa"/>
          </w:tcPr>
          <w:p w14:paraId="64C37F68" w14:textId="77777777" w:rsidR="0051143D" w:rsidRPr="00ED75E9" w:rsidRDefault="00E70461"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Contaminated site B</w:t>
            </w:r>
          </w:p>
        </w:tc>
        <w:tc>
          <w:tcPr>
            <w:tcW w:w="4766" w:type="dxa"/>
          </w:tcPr>
          <w:p w14:paraId="3AFBA13C"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5.9 ± 0.6</w:t>
            </w:r>
          </w:p>
        </w:tc>
      </w:tr>
      <w:tr w:rsidR="00ED75E9" w:rsidRPr="00ED75E9" w14:paraId="0C1D36B7" w14:textId="77777777" w:rsidTr="006233FA">
        <w:trPr>
          <w:trHeight w:val="618"/>
        </w:trPr>
        <w:tc>
          <w:tcPr>
            <w:tcW w:w="4766" w:type="dxa"/>
          </w:tcPr>
          <w:p w14:paraId="63502FB0" w14:textId="77777777" w:rsidR="0051143D" w:rsidRPr="00ED75E9" w:rsidRDefault="00E70461"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Contaminated site C</w:t>
            </w:r>
          </w:p>
        </w:tc>
        <w:tc>
          <w:tcPr>
            <w:tcW w:w="4766" w:type="dxa"/>
          </w:tcPr>
          <w:p w14:paraId="164264AE"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6.8 ± 0.7</w:t>
            </w:r>
          </w:p>
        </w:tc>
      </w:tr>
      <w:tr w:rsidR="00ED75E9" w:rsidRPr="00ED75E9" w14:paraId="60256CDF" w14:textId="77777777" w:rsidTr="006233FA">
        <w:trPr>
          <w:trHeight w:val="640"/>
        </w:trPr>
        <w:tc>
          <w:tcPr>
            <w:tcW w:w="4766" w:type="dxa"/>
          </w:tcPr>
          <w:p w14:paraId="57C8B33E" w14:textId="77777777" w:rsidR="00E70461" w:rsidRPr="00ED75E9" w:rsidRDefault="00E70461"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Contaminated site D</w:t>
            </w:r>
          </w:p>
        </w:tc>
        <w:tc>
          <w:tcPr>
            <w:tcW w:w="4766" w:type="dxa"/>
          </w:tcPr>
          <w:p w14:paraId="4991242B" w14:textId="77777777" w:rsidR="00E70461" w:rsidRPr="00ED75E9" w:rsidRDefault="00E70461"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6.5 ± 0.7</w:t>
            </w:r>
          </w:p>
        </w:tc>
      </w:tr>
      <w:tr w:rsidR="00190C84" w:rsidRPr="00ED75E9" w14:paraId="6E1A5D33" w14:textId="77777777" w:rsidTr="006233FA">
        <w:trPr>
          <w:trHeight w:val="618"/>
        </w:trPr>
        <w:tc>
          <w:tcPr>
            <w:tcW w:w="4766" w:type="dxa"/>
          </w:tcPr>
          <w:p w14:paraId="16CE8C64"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Control soil</w:t>
            </w:r>
          </w:p>
        </w:tc>
        <w:tc>
          <w:tcPr>
            <w:tcW w:w="4766" w:type="dxa"/>
          </w:tcPr>
          <w:p w14:paraId="0CECA8F4"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2.1 ± 0.3</w:t>
            </w:r>
          </w:p>
        </w:tc>
      </w:tr>
    </w:tbl>
    <w:p w14:paraId="04764F17" w14:textId="77777777" w:rsidR="00E70461" w:rsidRPr="00ED75E9" w:rsidRDefault="00E70461" w:rsidP="003C1B12">
      <w:pPr>
        <w:jc w:val="both"/>
        <w:rPr>
          <w:rFonts w:ascii="Times New Roman" w:hAnsi="Times New Roman" w:cs="Times New Roman"/>
          <w:color w:val="000000" w:themeColor="text1"/>
          <w:sz w:val="24"/>
          <w:szCs w:val="24"/>
        </w:rPr>
      </w:pPr>
    </w:p>
    <w:p w14:paraId="49C4C5A6" w14:textId="77777777" w:rsidR="00E70461" w:rsidRPr="00ED75E9" w:rsidRDefault="00E70461" w:rsidP="003C1B12">
      <w:pPr>
        <w:jc w:val="both"/>
        <w:rPr>
          <w:rFonts w:ascii="Times New Roman" w:hAnsi="Times New Roman" w:cs="Times New Roman"/>
          <w:color w:val="000000" w:themeColor="text1"/>
          <w:sz w:val="24"/>
          <w:szCs w:val="24"/>
        </w:rPr>
      </w:pPr>
    </w:p>
    <w:p w14:paraId="1CDF5629" w14:textId="77777777" w:rsidR="00E70461" w:rsidRPr="00ED75E9" w:rsidRDefault="00E70461" w:rsidP="003C1B12">
      <w:pPr>
        <w:jc w:val="both"/>
        <w:rPr>
          <w:rFonts w:ascii="Times New Roman" w:hAnsi="Times New Roman" w:cs="Times New Roman"/>
          <w:color w:val="000000" w:themeColor="text1"/>
          <w:sz w:val="24"/>
          <w:szCs w:val="24"/>
        </w:rPr>
      </w:pPr>
    </w:p>
    <w:p w14:paraId="3EF9291A" w14:textId="77777777" w:rsidR="00E70461" w:rsidRPr="00ED75E9" w:rsidRDefault="00E70461" w:rsidP="003C1B12">
      <w:pPr>
        <w:jc w:val="both"/>
        <w:rPr>
          <w:rFonts w:ascii="Times New Roman" w:hAnsi="Times New Roman" w:cs="Times New Roman"/>
          <w:color w:val="000000" w:themeColor="text1"/>
          <w:sz w:val="24"/>
          <w:szCs w:val="24"/>
        </w:rPr>
      </w:pPr>
    </w:p>
    <w:p w14:paraId="77AAABD9" w14:textId="77777777" w:rsidR="00E70461" w:rsidRPr="00ED75E9" w:rsidRDefault="00E70461" w:rsidP="003C1B12">
      <w:pPr>
        <w:jc w:val="both"/>
        <w:rPr>
          <w:rFonts w:ascii="Times New Roman" w:hAnsi="Times New Roman" w:cs="Times New Roman"/>
          <w:color w:val="000000" w:themeColor="text1"/>
          <w:sz w:val="24"/>
          <w:szCs w:val="24"/>
        </w:rPr>
      </w:pPr>
    </w:p>
    <w:p w14:paraId="698FA921" w14:textId="77777777" w:rsidR="00E70461" w:rsidRPr="00ED75E9" w:rsidRDefault="00E70461" w:rsidP="003C1B12">
      <w:pPr>
        <w:jc w:val="both"/>
        <w:rPr>
          <w:rFonts w:ascii="Times New Roman" w:hAnsi="Times New Roman" w:cs="Times New Roman"/>
          <w:color w:val="000000" w:themeColor="text1"/>
          <w:sz w:val="24"/>
          <w:szCs w:val="24"/>
        </w:rPr>
      </w:pPr>
    </w:p>
    <w:p w14:paraId="47583639" w14:textId="77777777" w:rsidR="00E70461" w:rsidRPr="00ED75E9" w:rsidRDefault="00E70461" w:rsidP="003C1B12">
      <w:pPr>
        <w:jc w:val="both"/>
        <w:rPr>
          <w:rFonts w:ascii="Times New Roman" w:hAnsi="Times New Roman" w:cs="Times New Roman"/>
          <w:color w:val="000000" w:themeColor="text1"/>
          <w:sz w:val="24"/>
          <w:szCs w:val="24"/>
        </w:rPr>
      </w:pPr>
    </w:p>
    <w:p w14:paraId="1E24FD61" w14:textId="77777777" w:rsidR="00E70461" w:rsidRPr="00ED75E9" w:rsidRDefault="00E70461" w:rsidP="003C1B12">
      <w:pPr>
        <w:jc w:val="both"/>
        <w:rPr>
          <w:rFonts w:ascii="Times New Roman" w:hAnsi="Times New Roman" w:cs="Times New Roman"/>
          <w:color w:val="000000" w:themeColor="text1"/>
          <w:sz w:val="24"/>
          <w:szCs w:val="24"/>
        </w:rPr>
      </w:pPr>
    </w:p>
    <w:p w14:paraId="0C192F75" w14:textId="77777777" w:rsidR="00E70461" w:rsidRPr="00ED75E9" w:rsidRDefault="00E70461" w:rsidP="003C1B12">
      <w:pPr>
        <w:jc w:val="both"/>
        <w:rPr>
          <w:rFonts w:ascii="Times New Roman" w:hAnsi="Times New Roman" w:cs="Times New Roman"/>
          <w:color w:val="000000" w:themeColor="text1"/>
          <w:sz w:val="24"/>
          <w:szCs w:val="24"/>
        </w:rPr>
      </w:pPr>
    </w:p>
    <w:p w14:paraId="3D3E5E57" w14:textId="77777777" w:rsidR="00E70461" w:rsidRPr="00ED75E9" w:rsidRDefault="00E70461" w:rsidP="003C1B12">
      <w:pPr>
        <w:jc w:val="both"/>
        <w:rPr>
          <w:rFonts w:ascii="Times New Roman" w:hAnsi="Times New Roman" w:cs="Times New Roman"/>
          <w:color w:val="000000" w:themeColor="text1"/>
          <w:sz w:val="24"/>
          <w:szCs w:val="24"/>
        </w:rPr>
      </w:pPr>
    </w:p>
    <w:p w14:paraId="1CB60A59" w14:textId="77777777" w:rsidR="00E70461" w:rsidRPr="00ED75E9" w:rsidRDefault="00E70461" w:rsidP="003C1B12">
      <w:pPr>
        <w:jc w:val="both"/>
        <w:rPr>
          <w:rFonts w:ascii="Times New Roman" w:hAnsi="Times New Roman" w:cs="Times New Roman"/>
          <w:color w:val="000000" w:themeColor="text1"/>
          <w:sz w:val="24"/>
          <w:szCs w:val="24"/>
        </w:rPr>
      </w:pPr>
    </w:p>
    <w:p w14:paraId="0EB7AA8A" w14:textId="77777777" w:rsidR="00E70461" w:rsidRPr="00ED75E9" w:rsidRDefault="00E70461" w:rsidP="003C1B12">
      <w:pPr>
        <w:jc w:val="both"/>
        <w:rPr>
          <w:rFonts w:ascii="Times New Roman" w:hAnsi="Times New Roman" w:cs="Times New Roman"/>
          <w:color w:val="000000" w:themeColor="text1"/>
          <w:sz w:val="24"/>
          <w:szCs w:val="24"/>
        </w:rPr>
      </w:pPr>
    </w:p>
    <w:p w14:paraId="37161812" w14:textId="77777777" w:rsidR="00E70461" w:rsidRPr="00ED75E9" w:rsidRDefault="00E70461" w:rsidP="003C1B12">
      <w:pPr>
        <w:jc w:val="both"/>
        <w:rPr>
          <w:rFonts w:ascii="Times New Roman" w:hAnsi="Times New Roman" w:cs="Times New Roman"/>
          <w:color w:val="000000" w:themeColor="text1"/>
          <w:sz w:val="24"/>
          <w:szCs w:val="24"/>
        </w:rPr>
      </w:pPr>
    </w:p>
    <w:p w14:paraId="65A63D42" w14:textId="77777777" w:rsidR="00E70461" w:rsidRPr="00ED75E9" w:rsidRDefault="00E70461" w:rsidP="003C1B12">
      <w:pPr>
        <w:jc w:val="both"/>
        <w:rPr>
          <w:rFonts w:ascii="Times New Roman" w:hAnsi="Times New Roman" w:cs="Times New Roman"/>
          <w:color w:val="000000" w:themeColor="text1"/>
          <w:sz w:val="24"/>
          <w:szCs w:val="24"/>
        </w:rPr>
      </w:pPr>
    </w:p>
    <w:p w14:paraId="3588FB32" w14:textId="77777777" w:rsidR="00E70461" w:rsidRPr="00ED75E9" w:rsidRDefault="00E70461" w:rsidP="003C1B12">
      <w:pPr>
        <w:jc w:val="both"/>
        <w:rPr>
          <w:rFonts w:ascii="Times New Roman" w:hAnsi="Times New Roman" w:cs="Times New Roman"/>
          <w:color w:val="000000" w:themeColor="text1"/>
          <w:sz w:val="24"/>
          <w:szCs w:val="24"/>
        </w:rPr>
      </w:pPr>
    </w:p>
    <w:p w14:paraId="63198E6B" w14:textId="77777777" w:rsidR="00E70461" w:rsidRPr="00ED75E9" w:rsidRDefault="00E70461" w:rsidP="003C1B12">
      <w:pPr>
        <w:jc w:val="both"/>
        <w:rPr>
          <w:rFonts w:ascii="Times New Roman" w:hAnsi="Times New Roman" w:cs="Times New Roman"/>
          <w:color w:val="000000" w:themeColor="text1"/>
          <w:sz w:val="24"/>
          <w:szCs w:val="24"/>
        </w:rPr>
      </w:pPr>
    </w:p>
    <w:p w14:paraId="6679963B" w14:textId="77777777" w:rsidR="00D000A6" w:rsidRPr="00ED75E9" w:rsidRDefault="00D000A6" w:rsidP="003C1B12">
      <w:pPr>
        <w:jc w:val="both"/>
        <w:rPr>
          <w:rFonts w:ascii="Times New Roman" w:hAnsi="Times New Roman" w:cs="Times New Roman"/>
          <w:color w:val="000000" w:themeColor="text1"/>
          <w:sz w:val="24"/>
          <w:szCs w:val="24"/>
        </w:rPr>
      </w:pPr>
    </w:p>
    <w:p w14:paraId="61853CD5" w14:textId="77777777" w:rsidR="0051143D" w:rsidRPr="00ED75E9" w:rsidRDefault="006233FA" w:rsidP="003C1B12">
      <w:pPr>
        <w:jc w:val="both"/>
        <w:rPr>
          <w:rFonts w:ascii="Times New Roman" w:hAnsi="Times New Roman" w:cs="Times New Roman"/>
          <w:b/>
          <w:color w:val="000000" w:themeColor="text1"/>
          <w:sz w:val="20"/>
          <w:szCs w:val="20"/>
        </w:rPr>
      </w:pPr>
      <w:r w:rsidRPr="00ED75E9">
        <w:rPr>
          <w:rFonts w:ascii="Times New Roman" w:hAnsi="Times New Roman" w:cs="Times New Roman"/>
          <w:b/>
          <w:color w:val="000000" w:themeColor="text1"/>
          <w:sz w:val="20"/>
          <w:szCs w:val="20"/>
        </w:rPr>
        <w:lastRenderedPageBreak/>
        <w:t>Table 4</w:t>
      </w:r>
      <w:r w:rsidR="00CD3F06" w:rsidRPr="00ED75E9">
        <w:rPr>
          <w:rFonts w:ascii="Times New Roman" w:hAnsi="Times New Roman" w:cs="Times New Roman"/>
          <w:b/>
          <w:color w:val="000000" w:themeColor="text1"/>
          <w:sz w:val="20"/>
          <w:szCs w:val="20"/>
        </w:rPr>
        <w:t>. Biosurfactant screening results of halophilic bacterial isolates</w:t>
      </w:r>
    </w:p>
    <w:tbl>
      <w:tblPr>
        <w:tblStyle w:val="TableGrid"/>
        <w:tblW w:w="92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308"/>
        <w:gridCol w:w="2712"/>
        <w:gridCol w:w="1904"/>
      </w:tblGrid>
      <w:tr w:rsidR="00ED75E9" w:rsidRPr="00ED75E9" w14:paraId="0C416EE1" w14:textId="77777777" w:rsidTr="006233FA">
        <w:trPr>
          <w:trHeight w:val="816"/>
        </w:trPr>
        <w:tc>
          <w:tcPr>
            <w:tcW w:w="2308" w:type="dxa"/>
            <w:tcBorders>
              <w:top w:val="single" w:sz="4" w:space="0" w:color="auto"/>
              <w:bottom w:val="single" w:sz="4" w:space="0" w:color="auto"/>
            </w:tcBorders>
          </w:tcPr>
          <w:p w14:paraId="4F7BAAB1"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Isolate</w:t>
            </w:r>
          </w:p>
        </w:tc>
        <w:tc>
          <w:tcPr>
            <w:tcW w:w="2308" w:type="dxa"/>
            <w:tcBorders>
              <w:top w:val="single" w:sz="4" w:space="0" w:color="auto"/>
              <w:bottom w:val="single" w:sz="4" w:space="0" w:color="auto"/>
            </w:tcBorders>
          </w:tcPr>
          <w:p w14:paraId="5650370B"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Hemolysis</w:t>
            </w:r>
          </w:p>
        </w:tc>
        <w:tc>
          <w:tcPr>
            <w:tcW w:w="2712" w:type="dxa"/>
            <w:tcBorders>
              <w:top w:val="single" w:sz="4" w:space="0" w:color="auto"/>
              <w:bottom w:val="single" w:sz="4" w:space="0" w:color="auto"/>
            </w:tcBorders>
          </w:tcPr>
          <w:p w14:paraId="5E5C8CAB"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Oil displacement (cm)</w:t>
            </w:r>
          </w:p>
        </w:tc>
        <w:tc>
          <w:tcPr>
            <w:tcW w:w="1904" w:type="dxa"/>
            <w:tcBorders>
              <w:top w:val="single" w:sz="4" w:space="0" w:color="auto"/>
              <w:bottom w:val="single" w:sz="4" w:space="0" w:color="auto"/>
            </w:tcBorders>
          </w:tcPr>
          <w:p w14:paraId="1F8D56A3" w14:textId="77777777" w:rsidR="0051143D" w:rsidRPr="00ED75E9" w:rsidRDefault="00CD3F06"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E24 (%)</w:t>
            </w:r>
          </w:p>
        </w:tc>
      </w:tr>
      <w:tr w:rsidR="00ED75E9" w:rsidRPr="00ED75E9" w14:paraId="33F78E13" w14:textId="77777777" w:rsidTr="006233FA">
        <w:trPr>
          <w:trHeight w:val="816"/>
        </w:trPr>
        <w:tc>
          <w:tcPr>
            <w:tcW w:w="2308" w:type="dxa"/>
            <w:tcBorders>
              <w:top w:val="single" w:sz="4" w:space="0" w:color="auto"/>
            </w:tcBorders>
            <w:vAlign w:val="center"/>
          </w:tcPr>
          <w:p w14:paraId="4547620A" w14:textId="77777777" w:rsidR="006233FA" w:rsidRPr="00ED75E9" w:rsidRDefault="006233FA" w:rsidP="003C1B12">
            <w:pPr>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w:t>
            </w:r>
            <w:r w:rsidR="00D000A6" w:rsidRPr="00ED75E9">
              <w:rPr>
                <w:rFonts w:ascii="Times New Roman" w:eastAsia="Times New Roman" w:hAnsi="Times New Roman" w:cs="Times New Roman"/>
                <w:color w:val="000000" w:themeColor="text1"/>
                <w:sz w:val="24"/>
                <w:szCs w:val="24"/>
              </w:rPr>
              <w:t>HB1</w:t>
            </w:r>
            <w:r w:rsidRPr="00ED75E9">
              <w:rPr>
                <w:rFonts w:ascii="Times New Roman" w:eastAsia="Times New Roman" w:hAnsi="Times New Roman" w:cs="Times New Roman"/>
                <w:color w:val="000000" w:themeColor="text1"/>
                <w:sz w:val="24"/>
                <w:szCs w:val="24"/>
              </w:rPr>
              <w:t>.</w:t>
            </w:r>
          </w:p>
        </w:tc>
        <w:tc>
          <w:tcPr>
            <w:tcW w:w="2308" w:type="dxa"/>
            <w:tcBorders>
              <w:top w:val="single" w:sz="4" w:space="0" w:color="auto"/>
            </w:tcBorders>
          </w:tcPr>
          <w:p w14:paraId="5E88EB3A" w14:textId="77777777" w:rsidR="006233FA" w:rsidRPr="00ED75E9" w:rsidRDefault="006233FA" w:rsidP="003C1B12">
            <w:pPr>
              <w:jc w:val="both"/>
              <w:rPr>
                <w:rFonts w:ascii="Times New Roman" w:hAnsi="Times New Roman" w:cs="Times New Roman"/>
                <w:color w:val="000000" w:themeColor="text1"/>
                <w:sz w:val="24"/>
                <w:szCs w:val="24"/>
              </w:rPr>
            </w:pPr>
          </w:p>
          <w:p w14:paraId="45B508DB"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β</w:t>
            </w:r>
          </w:p>
        </w:tc>
        <w:tc>
          <w:tcPr>
            <w:tcW w:w="2712" w:type="dxa"/>
            <w:tcBorders>
              <w:top w:val="single" w:sz="4" w:space="0" w:color="auto"/>
            </w:tcBorders>
          </w:tcPr>
          <w:p w14:paraId="4D218BE8" w14:textId="77777777" w:rsidR="006233FA" w:rsidRPr="00ED75E9" w:rsidRDefault="006233FA" w:rsidP="003C1B12">
            <w:pPr>
              <w:jc w:val="both"/>
              <w:rPr>
                <w:rFonts w:ascii="Times New Roman" w:hAnsi="Times New Roman" w:cs="Times New Roman"/>
                <w:color w:val="000000" w:themeColor="text1"/>
                <w:sz w:val="24"/>
                <w:szCs w:val="24"/>
              </w:rPr>
            </w:pPr>
          </w:p>
          <w:p w14:paraId="1B010EA9"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6.2</w:t>
            </w:r>
          </w:p>
        </w:tc>
        <w:tc>
          <w:tcPr>
            <w:tcW w:w="1904" w:type="dxa"/>
            <w:tcBorders>
              <w:top w:val="single" w:sz="4" w:space="0" w:color="auto"/>
            </w:tcBorders>
          </w:tcPr>
          <w:p w14:paraId="129C38E6" w14:textId="77777777" w:rsidR="006233FA" w:rsidRPr="00ED75E9" w:rsidRDefault="006233FA" w:rsidP="003C1B12">
            <w:pPr>
              <w:jc w:val="both"/>
              <w:rPr>
                <w:rFonts w:ascii="Times New Roman" w:hAnsi="Times New Roman" w:cs="Times New Roman"/>
                <w:color w:val="000000" w:themeColor="text1"/>
                <w:sz w:val="24"/>
                <w:szCs w:val="24"/>
              </w:rPr>
            </w:pPr>
          </w:p>
          <w:p w14:paraId="0E3F7852"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58</w:t>
            </w:r>
          </w:p>
        </w:tc>
      </w:tr>
      <w:tr w:rsidR="00ED75E9" w:rsidRPr="00ED75E9" w14:paraId="007ED79A" w14:textId="77777777" w:rsidTr="006233FA">
        <w:trPr>
          <w:trHeight w:val="846"/>
        </w:trPr>
        <w:tc>
          <w:tcPr>
            <w:tcW w:w="2308" w:type="dxa"/>
            <w:vAlign w:val="center"/>
          </w:tcPr>
          <w:p w14:paraId="3B122FCA" w14:textId="77777777" w:rsidR="006233FA" w:rsidRPr="00ED75E9" w:rsidRDefault="006233FA" w:rsidP="003C1B12">
            <w:pPr>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Bacillus</w:t>
            </w:r>
            <w:r w:rsidRPr="00ED75E9">
              <w:rPr>
                <w:rFonts w:ascii="Times New Roman" w:eastAsia="Times New Roman" w:hAnsi="Times New Roman" w:cs="Times New Roman"/>
                <w:color w:val="000000" w:themeColor="text1"/>
                <w:sz w:val="24"/>
                <w:szCs w:val="24"/>
              </w:rPr>
              <w:t xml:space="preserve"> sp</w:t>
            </w:r>
            <w:r w:rsidR="00D000A6" w:rsidRPr="00ED75E9">
              <w:rPr>
                <w:rFonts w:ascii="Times New Roman" w:eastAsia="Times New Roman" w:hAnsi="Times New Roman" w:cs="Times New Roman"/>
                <w:color w:val="000000" w:themeColor="text1"/>
                <w:sz w:val="24"/>
                <w:szCs w:val="24"/>
              </w:rPr>
              <w:t>HB2</w:t>
            </w:r>
            <w:r w:rsidRPr="00ED75E9">
              <w:rPr>
                <w:rFonts w:ascii="Times New Roman" w:eastAsia="Times New Roman" w:hAnsi="Times New Roman" w:cs="Times New Roman"/>
                <w:color w:val="000000" w:themeColor="text1"/>
                <w:sz w:val="24"/>
                <w:szCs w:val="24"/>
              </w:rPr>
              <w:t>.</w:t>
            </w:r>
          </w:p>
        </w:tc>
        <w:tc>
          <w:tcPr>
            <w:tcW w:w="2308" w:type="dxa"/>
          </w:tcPr>
          <w:p w14:paraId="43C03DC3" w14:textId="77777777" w:rsidR="006233FA" w:rsidRPr="00ED75E9" w:rsidRDefault="006233FA" w:rsidP="003C1B12">
            <w:pPr>
              <w:jc w:val="both"/>
              <w:rPr>
                <w:rFonts w:ascii="Times New Roman" w:hAnsi="Times New Roman" w:cs="Times New Roman"/>
                <w:color w:val="000000" w:themeColor="text1"/>
                <w:sz w:val="24"/>
                <w:szCs w:val="24"/>
              </w:rPr>
            </w:pPr>
          </w:p>
          <w:p w14:paraId="410E3277"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α</w:t>
            </w:r>
          </w:p>
        </w:tc>
        <w:tc>
          <w:tcPr>
            <w:tcW w:w="2712" w:type="dxa"/>
          </w:tcPr>
          <w:p w14:paraId="58B2C3CA" w14:textId="77777777" w:rsidR="006233FA" w:rsidRPr="00ED75E9" w:rsidRDefault="006233FA" w:rsidP="003C1B12">
            <w:pPr>
              <w:jc w:val="both"/>
              <w:rPr>
                <w:rFonts w:ascii="Times New Roman" w:hAnsi="Times New Roman" w:cs="Times New Roman"/>
                <w:color w:val="000000" w:themeColor="text1"/>
                <w:sz w:val="24"/>
                <w:szCs w:val="24"/>
              </w:rPr>
            </w:pPr>
          </w:p>
          <w:p w14:paraId="5D0DFDF0"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5.7</w:t>
            </w:r>
          </w:p>
        </w:tc>
        <w:tc>
          <w:tcPr>
            <w:tcW w:w="1904" w:type="dxa"/>
          </w:tcPr>
          <w:p w14:paraId="7CD3CD0E" w14:textId="77777777" w:rsidR="006233FA" w:rsidRPr="00ED75E9" w:rsidRDefault="006233FA" w:rsidP="003C1B12">
            <w:pPr>
              <w:jc w:val="both"/>
              <w:rPr>
                <w:rFonts w:ascii="Times New Roman" w:hAnsi="Times New Roman" w:cs="Times New Roman"/>
                <w:color w:val="000000" w:themeColor="text1"/>
                <w:sz w:val="24"/>
                <w:szCs w:val="24"/>
              </w:rPr>
            </w:pPr>
          </w:p>
          <w:p w14:paraId="646E8F5D"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52</w:t>
            </w:r>
          </w:p>
        </w:tc>
      </w:tr>
      <w:tr w:rsidR="00ED75E9" w:rsidRPr="00ED75E9" w14:paraId="4FC2DF20" w14:textId="77777777" w:rsidTr="006233FA">
        <w:trPr>
          <w:trHeight w:val="816"/>
        </w:trPr>
        <w:tc>
          <w:tcPr>
            <w:tcW w:w="2308" w:type="dxa"/>
            <w:vAlign w:val="center"/>
          </w:tcPr>
          <w:p w14:paraId="1D21E93E" w14:textId="77777777" w:rsidR="006233FA" w:rsidRPr="00ED75E9" w:rsidRDefault="006233FA" w:rsidP="003C1B12">
            <w:pPr>
              <w:jc w:val="both"/>
              <w:rPr>
                <w:rFonts w:ascii="Times New Roman" w:eastAsia="Times New Roman" w:hAnsi="Times New Roman" w:cs="Times New Roman"/>
                <w:color w:val="000000" w:themeColor="text1"/>
                <w:sz w:val="24"/>
                <w:szCs w:val="24"/>
              </w:rPr>
            </w:pPr>
            <w:r w:rsidRPr="00ED75E9">
              <w:rPr>
                <w:rFonts w:ascii="Times New Roman" w:eastAsia="Times New Roman" w:hAnsi="Times New Roman" w:cs="Times New Roman"/>
                <w:i/>
                <w:iCs/>
                <w:color w:val="000000" w:themeColor="text1"/>
                <w:sz w:val="24"/>
                <w:szCs w:val="24"/>
              </w:rPr>
              <w:t>Pseudomonas</w:t>
            </w:r>
            <w:r w:rsidRPr="00ED75E9">
              <w:rPr>
                <w:rFonts w:ascii="Times New Roman" w:eastAsia="Times New Roman" w:hAnsi="Times New Roman" w:cs="Times New Roman"/>
                <w:color w:val="000000" w:themeColor="text1"/>
                <w:sz w:val="24"/>
                <w:szCs w:val="24"/>
              </w:rPr>
              <w:t xml:space="preserve"> sp.</w:t>
            </w:r>
          </w:p>
        </w:tc>
        <w:tc>
          <w:tcPr>
            <w:tcW w:w="2308" w:type="dxa"/>
          </w:tcPr>
          <w:p w14:paraId="38FDAF24" w14:textId="77777777" w:rsidR="006233FA" w:rsidRPr="00ED75E9" w:rsidRDefault="006233FA" w:rsidP="003C1B12">
            <w:pPr>
              <w:jc w:val="both"/>
              <w:rPr>
                <w:rFonts w:ascii="Times New Roman" w:hAnsi="Times New Roman" w:cs="Times New Roman"/>
                <w:color w:val="000000" w:themeColor="text1"/>
                <w:sz w:val="24"/>
                <w:szCs w:val="24"/>
              </w:rPr>
            </w:pPr>
          </w:p>
          <w:p w14:paraId="7734BF38"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β</w:t>
            </w:r>
          </w:p>
        </w:tc>
        <w:tc>
          <w:tcPr>
            <w:tcW w:w="2712" w:type="dxa"/>
          </w:tcPr>
          <w:p w14:paraId="3D98C646" w14:textId="77777777" w:rsidR="006233FA" w:rsidRPr="00ED75E9" w:rsidRDefault="006233FA" w:rsidP="003C1B12">
            <w:pPr>
              <w:jc w:val="both"/>
              <w:rPr>
                <w:rFonts w:ascii="Times New Roman" w:hAnsi="Times New Roman" w:cs="Times New Roman"/>
                <w:color w:val="000000" w:themeColor="text1"/>
                <w:sz w:val="24"/>
                <w:szCs w:val="24"/>
              </w:rPr>
            </w:pPr>
          </w:p>
          <w:p w14:paraId="28FB39E2"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6.8</w:t>
            </w:r>
          </w:p>
        </w:tc>
        <w:tc>
          <w:tcPr>
            <w:tcW w:w="1904" w:type="dxa"/>
          </w:tcPr>
          <w:p w14:paraId="48E84D65" w14:textId="77777777" w:rsidR="006233FA" w:rsidRPr="00ED75E9" w:rsidRDefault="006233FA" w:rsidP="003C1B12">
            <w:pPr>
              <w:jc w:val="both"/>
              <w:rPr>
                <w:rFonts w:ascii="Times New Roman" w:hAnsi="Times New Roman" w:cs="Times New Roman"/>
                <w:color w:val="000000" w:themeColor="text1"/>
                <w:sz w:val="24"/>
                <w:szCs w:val="24"/>
              </w:rPr>
            </w:pPr>
          </w:p>
          <w:p w14:paraId="12EE01AC"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61</w:t>
            </w:r>
          </w:p>
        </w:tc>
      </w:tr>
      <w:tr w:rsidR="006233FA" w:rsidRPr="00ED75E9" w14:paraId="54E9A361" w14:textId="77777777" w:rsidTr="006233FA">
        <w:trPr>
          <w:trHeight w:val="816"/>
        </w:trPr>
        <w:tc>
          <w:tcPr>
            <w:tcW w:w="2308" w:type="dxa"/>
            <w:vAlign w:val="center"/>
          </w:tcPr>
          <w:p w14:paraId="01F6BEF2" w14:textId="77777777" w:rsidR="006233FA" w:rsidRPr="00ED75E9" w:rsidRDefault="006233FA" w:rsidP="003C1B12">
            <w:pPr>
              <w:jc w:val="both"/>
              <w:rPr>
                <w:rFonts w:ascii="Times New Roman" w:eastAsia="Times New Roman" w:hAnsi="Times New Roman" w:cs="Times New Roman"/>
                <w:color w:val="000000" w:themeColor="text1"/>
                <w:sz w:val="24"/>
                <w:szCs w:val="24"/>
              </w:rPr>
            </w:pPr>
            <w:proofErr w:type="spellStart"/>
            <w:r w:rsidRPr="00ED75E9">
              <w:rPr>
                <w:rFonts w:ascii="Times New Roman" w:eastAsia="Times New Roman" w:hAnsi="Times New Roman" w:cs="Times New Roman"/>
                <w:i/>
                <w:iCs/>
                <w:color w:val="000000" w:themeColor="text1"/>
                <w:sz w:val="24"/>
                <w:szCs w:val="24"/>
              </w:rPr>
              <w:t>Halomonas</w:t>
            </w:r>
            <w:proofErr w:type="spellEnd"/>
            <w:r w:rsidRPr="00ED75E9">
              <w:rPr>
                <w:rFonts w:ascii="Times New Roman" w:eastAsia="Times New Roman" w:hAnsi="Times New Roman" w:cs="Times New Roman"/>
                <w:color w:val="000000" w:themeColor="text1"/>
                <w:sz w:val="24"/>
                <w:szCs w:val="24"/>
              </w:rPr>
              <w:t xml:space="preserve"> sp.</w:t>
            </w:r>
          </w:p>
        </w:tc>
        <w:tc>
          <w:tcPr>
            <w:tcW w:w="2308" w:type="dxa"/>
          </w:tcPr>
          <w:p w14:paraId="7208081A" w14:textId="77777777" w:rsidR="006233FA" w:rsidRPr="00ED75E9" w:rsidRDefault="006233FA" w:rsidP="003C1B12">
            <w:pPr>
              <w:jc w:val="both"/>
              <w:rPr>
                <w:rFonts w:ascii="Times New Roman" w:hAnsi="Times New Roman" w:cs="Times New Roman"/>
                <w:color w:val="000000" w:themeColor="text1"/>
                <w:sz w:val="24"/>
                <w:szCs w:val="24"/>
              </w:rPr>
            </w:pPr>
          </w:p>
          <w:p w14:paraId="392BC482"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γ</w:t>
            </w:r>
          </w:p>
        </w:tc>
        <w:tc>
          <w:tcPr>
            <w:tcW w:w="2712" w:type="dxa"/>
          </w:tcPr>
          <w:p w14:paraId="5F1E91C1" w14:textId="77777777" w:rsidR="006233FA" w:rsidRPr="00ED75E9" w:rsidRDefault="006233FA" w:rsidP="003C1B12">
            <w:pPr>
              <w:jc w:val="both"/>
              <w:rPr>
                <w:rFonts w:ascii="Times New Roman" w:hAnsi="Times New Roman" w:cs="Times New Roman"/>
                <w:color w:val="000000" w:themeColor="text1"/>
                <w:sz w:val="24"/>
                <w:szCs w:val="24"/>
              </w:rPr>
            </w:pPr>
          </w:p>
          <w:p w14:paraId="32CA93D9"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2.1</w:t>
            </w:r>
          </w:p>
        </w:tc>
        <w:tc>
          <w:tcPr>
            <w:tcW w:w="1904" w:type="dxa"/>
          </w:tcPr>
          <w:p w14:paraId="2096B38A" w14:textId="77777777" w:rsidR="006233FA" w:rsidRPr="00ED75E9" w:rsidRDefault="006233FA" w:rsidP="003C1B12">
            <w:pPr>
              <w:jc w:val="both"/>
              <w:rPr>
                <w:rFonts w:ascii="Times New Roman" w:hAnsi="Times New Roman" w:cs="Times New Roman"/>
                <w:color w:val="000000" w:themeColor="text1"/>
                <w:sz w:val="24"/>
                <w:szCs w:val="24"/>
              </w:rPr>
            </w:pPr>
          </w:p>
          <w:p w14:paraId="50728874" w14:textId="77777777" w:rsidR="006233FA" w:rsidRPr="00ED75E9" w:rsidRDefault="006233FA" w:rsidP="003C1B12">
            <w:pPr>
              <w:jc w:val="both"/>
              <w:rPr>
                <w:rFonts w:ascii="Times New Roman" w:hAnsi="Times New Roman" w:cs="Times New Roman"/>
                <w:color w:val="000000" w:themeColor="text1"/>
                <w:sz w:val="24"/>
                <w:szCs w:val="24"/>
              </w:rPr>
            </w:pPr>
            <w:r w:rsidRPr="00ED75E9">
              <w:rPr>
                <w:rFonts w:ascii="Times New Roman" w:hAnsi="Times New Roman" w:cs="Times New Roman"/>
                <w:color w:val="000000" w:themeColor="text1"/>
                <w:sz w:val="24"/>
                <w:szCs w:val="24"/>
              </w:rPr>
              <w:t>18</w:t>
            </w:r>
          </w:p>
        </w:tc>
      </w:tr>
    </w:tbl>
    <w:p w14:paraId="222DA6E4" w14:textId="77777777" w:rsidR="006233FA" w:rsidRPr="00ED75E9" w:rsidRDefault="006233FA" w:rsidP="003C1B12">
      <w:pPr>
        <w:jc w:val="both"/>
        <w:rPr>
          <w:rFonts w:ascii="Times New Roman" w:hAnsi="Times New Roman" w:cs="Times New Roman"/>
          <w:color w:val="000000" w:themeColor="text1"/>
          <w:sz w:val="24"/>
          <w:szCs w:val="24"/>
        </w:rPr>
      </w:pPr>
    </w:p>
    <w:p w14:paraId="4C684CD3" w14:textId="77777777" w:rsidR="006233FA" w:rsidRPr="00ED75E9" w:rsidRDefault="006233FA" w:rsidP="003C1B12">
      <w:pPr>
        <w:jc w:val="both"/>
        <w:rPr>
          <w:rFonts w:ascii="Times New Roman" w:hAnsi="Times New Roman" w:cs="Times New Roman"/>
          <w:color w:val="000000" w:themeColor="text1"/>
          <w:sz w:val="24"/>
          <w:szCs w:val="24"/>
        </w:rPr>
      </w:pPr>
    </w:p>
    <w:p w14:paraId="585805E1" w14:textId="77777777" w:rsidR="006233FA" w:rsidRPr="00ED75E9" w:rsidRDefault="006233FA" w:rsidP="003C1B12">
      <w:pPr>
        <w:jc w:val="both"/>
        <w:rPr>
          <w:rFonts w:ascii="Times New Roman" w:hAnsi="Times New Roman" w:cs="Times New Roman"/>
          <w:color w:val="000000" w:themeColor="text1"/>
          <w:sz w:val="24"/>
          <w:szCs w:val="24"/>
        </w:rPr>
      </w:pPr>
    </w:p>
    <w:p w14:paraId="43E670AA" w14:textId="77777777" w:rsidR="006233FA" w:rsidRPr="00ED75E9" w:rsidRDefault="006233FA" w:rsidP="003C1B12">
      <w:pPr>
        <w:jc w:val="both"/>
        <w:rPr>
          <w:rFonts w:ascii="Times New Roman" w:hAnsi="Times New Roman" w:cs="Times New Roman"/>
          <w:color w:val="000000" w:themeColor="text1"/>
          <w:sz w:val="24"/>
          <w:szCs w:val="24"/>
        </w:rPr>
      </w:pPr>
    </w:p>
    <w:p w14:paraId="7A7D011F" w14:textId="77777777" w:rsidR="006233FA" w:rsidRPr="00ED75E9" w:rsidRDefault="006233FA" w:rsidP="003C1B12">
      <w:pPr>
        <w:jc w:val="both"/>
        <w:rPr>
          <w:rFonts w:ascii="Times New Roman" w:hAnsi="Times New Roman" w:cs="Times New Roman"/>
          <w:color w:val="000000" w:themeColor="text1"/>
          <w:sz w:val="24"/>
          <w:szCs w:val="24"/>
        </w:rPr>
      </w:pPr>
    </w:p>
    <w:p w14:paraId="28A0FA86" w14:textId="77777777" w:rsidR="006233FA" w:rsidRPr="00ED75E9" w:rsidRDefault="006233FA" w:rsidP="003C1B12">
      <w:pPr>
        <w:jc w:val="both"/>
        <w:rPr>
          <w:rFonts w:ascii="Times New Roman" w:hAnsi="Times New Roman" w:cs="Times New Roman"/>
          <w:color w:val="000000" w:themeColor="text1"/>
          <w:sz w:val="24"/>
          <w:szCs w:val="24"/>
        </w:rPr>
      </w:pPr>
    </w:p>
    <w:p w14:paraId="42B7AEB0" w14:textId="77777777" w:rsidR="006233FA" w:rsidRPr="00ED75E9" w:rsidRDefault="006233FA" w:rsidP="003C1B12">
      <w:pPr>
        <w:jc w:val="both"/>
        <w:rPr>
          <w:rFonts w:ascii="Times New Roman" w:hAnsi="Times New Roman" w:cs="Times New Roman"/>
          <w:color w:val="000000" w:themeColor="text1"/>
          <w:sz w:val="24"/>
          <w:szCs w:val="24"/>
        </w:rPr>
      </w:pPr>
    </w:p>
    <w:p w14:paraId="1BB55EC5" w14:textId="77777777" w:rsidR="006233FA" w:rsidRPr="00ED75E9" w:rsidRDefault="006233FA" w:rsidP="003C1B12">
      <w:pPr>
        <w:jc w:val="both"/>
        <w:rPr>
          <w:rFonts w:ascii="Times New Roman" w:hAnsi="Times New Roman" w:cs="Times New Roman"/>
          <w:color w:val="000000" w:themeColor="text1"/>
          <w:sz w:val="24"/>
          <w:szCs w:val="24"/>
        </w:rPr>
      </w:pPr>
    </w:p>
    <w:p w14:paraId="18017453" w14:textId="77777777" w:rsidR="006233FA" w:rsidRPr="00ED75E9" w:rsidRDefault="006233FA" w:rsidP="003C1B12">
      <w:pPr>
        <w:jc w:val="both"/>
        <w:rPr>
          <w:rFonts w:ascii="Times New Roman" w:hAnsi="Times New Roman" w:cs="Times New Roman"/>
          <w:color w:val="000000" w:themeColor="text1"/>
          <w:sz w:val="24"/>
          <w:szCs w:val="24"/>
        </w:rPr>
      </w:pPr>
    </w:p>
    <w:p w14:paraId="0AD855F1" w14:textId="77777777" w:rsidR="006233FA" w:rsidRPr="00ED75E9" w:rsidRDefault="006233FA" w:rsidP="003C1B12">
      <w:pPr>
        <w:jc w:val="both"/>
        <w:rPr>
          <w:rFonts w:ascii="Times New Roman" w:hAnsi="Times New Roman" w:cs="Times New Roman"/>
          <w:color w:val="000000" w:themeColor="text1"/>
          <w:sz w:val="24"/>
          <w:szCs w:val="24"/>
        </w:rPr>
      </w:pPr>
    </w:p>
    <w:p w14:paraId="2865C476" w14:textId="77777777" w:rsidR="006233FA" w:rsidRPr="00ED75E9" w:rsidRDefault="006233FA" w:rsidP="003C1B12">
      <w:pPr>
        <w:jc w:val="both"/>
        <w:rPr>
          <w:rFonts w:ascii="Times New Roman" w:hAnsi="Times New Roman" w:cs="Times New Roman"/>
          <w:color w:val="000000" w:themeColor="text1"/>
          <w:sz w:val="24"/>
          <w:szCs w:val="24"/>
        </w:rPr>
      </w:pPr>
    </w:p>
    <w:p w14:paraId="632EA866" w14:textId="77777777" w:rsidR="006233FA" w:rsidRPr="00ED75E9" w:rsidRDefault="006233FA" w:rsidP="003C1B12">
      <w:pPr>
        <w:jc w:val="both"/>
        <w:rPr>
          <w:rFonts w:ascii="Times New Roman" w:hAnsi="Times New Roman" w:cs="Times New Roman"/>
          <w:color w:val="000000" w:themeColor="text1"/>
          <w:sz w:val="24"/>
          <w:szCs w:val="24"/>
        </w:rPr>
      </w:pPr>
    </w:p>
    <w:p w14:paraId="0FFF407A" w14:textId="77777777" w:rsidR="00D000A6" w:rsidRPr="00ED75E9" w:rsidRDefault="00D000A6" w:rsidP="003C1B12">
      <w:pPr>
        <w:jc w:val="both"/>
        <w:rPr>
          <w:rFonts w:ascii="Times New Roman" w:hAnsi="Times New Roman" w:cs="Times New Roman"/>
          <w:color w:val="000000" w:themeColor="text1"/>
          <w:sz w:val="24"/>
          <w:szCs w:val="24"/>
        </w:rPr>
      </w:pPr>
    </w:p>
    <w:p w14:paraId="4E593F9E" w14:textId="77777777" w:rsidR="006233FA" w:rsidRPr="00ED75E9" w:rsidRDefault="006233FA" w:rsidP="003C1B12">
      <w:pPr>
        <w:jc w:val="both"/>
        <w:rPr>
          <w:rFonts w:ascii="Times New Roman" w:hAnsi="Times New Roman" w:cs="Times New Roman"/>
          <w:color w:val="000000" w:themeColor="text1"/>
          <w:sz w:val="24"/>
          <w:szCs w:val="24"/>
        </w:rPr>
      </w:pPr>
    </w:p>
    <w:p w14:paraId="50EA6C2F" w14:textId="77777777" w:rsidR="00706843" w:rsidRPr="00ED75E9" w:rsidRDefault="00706843" w:rsidP="003C1B12">
      <w:pPr>
        <w:pStyle w:val="NormalWeb"/>
        <w:jc w:val="both"/>
        <w:rPr>
          <w:color w:val="000000" w:themeColor="text1"/>
        </w:rPr>
      </w:pPr>
      <w:r w:rsidRPr="00ED75E9">
        <w:rPr>
          <w:noProof/>
          <w:color w:val="000000" w:themeColor="text1"/>
        </w:rPr>
        <w:lastRenderedPageBreak/>
        <w:drawing>
          <wp:inline distT="0" distB="0" distL="0" distR="0" wp14:anchorId="659ACFD7" wp14:editId="7F24610A">
            <wp:extent cx="4990289" cy="3619500"/>
            <wp:effectExtent l="0" t="0" r="1270" b="0"/>
            <wp:docPr id="3" name="Picture 3" descr="C:\Users\user\Downloads\outp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outpu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2391" cy="3628278"/>
                    </a:xfrm>
                    <a:prstGeom prst="rect">
                      <a:avLst/>
                    </a:prstGeom>
                    <a:noFill/>
                    <a:ln>
                      <a:noFill/>
                    </a:ln>
                  </pic:spPr>
                </pic:pic>
              </a:graphicData>
            </a:graphic>
          </wp:inline>
        </w:drawing>
      </w:r>
    </w:p>
    <w:p w14:paraId="4C453478" w14:textId="77777777" w:rsidR="00706843" w:rsidRDefault="00706843" w:rsidP="003C1B12">
      <w:pPr>
        <w:jc w:val="both"/>
        <w:rPr>
          <w:rFonts w:ascii="Times New Roman" w:hAnsi="Times New Roman" w:cs="Times New Roman"/>
          <w:b/>
          <w:color w:val="000000" w:themeColor="text1"/>
          <w:sz w:val="20"/>
          <w:szCs w:val="20"/>
        </w:rPr>
      </w:pPr>
      <w:r w:rsidRPr="00ED75E9">
        <w:rPr>
          <w:noProof/>
          <w:color w:val="000000" w:themeColor="text1"/>
        </w:rPr>
        <mc:AlternateContent>
          <mc:Choice Requires="wps">
            <w:drawing>
              <wp:inline distT="0" distB="0" distL="0" distR="0" wp14:anchorId="31ABB917" wp14:editId="23E875F5">
                <wp:extent cx="304800" cy="304800"/>
                <wp:effectExtent l="0" t="0" r="0" b="0"/>
                <wp:docPr id="2" name="Rectangle 2"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3D5D6D" id="Rectangle 2"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UPr5p&#10;wQIAAMwFAAAOAAAAAAAAAAAAAAAAAC4CAABkcnMvZTJvRG9jLnhtbFBLAQItABQABgAIAAAAIQBM&#10;oOks2AAAAAMBAAAPAAAAAAAAAAAAAAAAABsFAABkcnMvZG93bnJldi54bWxQSwUGAAAAAAQABADz&#10;AAAAIAYAAAAA&#10;" filled="f" stroked="f">
                <o:lock v:ext="edit" aspectratio="t"/>
                <w10:anchorlock/>
              </v:rect>
            </w:pict>
          </mc:Fallback>
        </mc:AlternateContent>
      </w:r>
      <w:r w:rsidRPr="00ED75E9">
        <w:rPr>
          <w:rFonts w:ascii="Times New Roman" w:hAnsi="Times New Roman" w:cs="Times New Roman"/>
          <w:b/>
          <w:color w:val="000000" w:themeColor="text1"/>
          <w:sz w:val="20"/>
          <w:szCs w:val="20"/>
        </w:rPr>
        <w:t>Figure 2 Effect of biosurfactants produced by different bacterial isolates on plant growth</w:t>
      </w:r>
    </w:p>
    <w:p w14:paraId="15FAC0EE" w14:textId="77777777" w:rsidR="007C225D" w:rsidRDefault="007C225D" w:rsidP="003C1B12">
      <w:pPr>
        <w:jc w:val="both"/>
        <w:rPr>
          <w:rFonts w:ascii="Times New Roman" w:hAnsi="Times New Roman" w:cs="Times New Roman"/>
          <w:b/>
          <w:color w:val="000000" w:themeColor="text1"/>
          <w:sz w:val="20"/>
          <w:szCs w:val="20"/>
        </w:rPr>
      </w:pPr>
    </w:p>
    <w:p w14:paraId="4FC81C10" w14:textId="77777777" w:rsidR="007C225D" w:rsidRDefault="007C225D" w:rsidP="003C1B12">
      <w:pPr>
        <w:jc w:val="both"/>
        <w:rPr>
          <w:rFonts w:ascii="Times New Roman" w:hAnsi="Times New Roman" w:cs="Times New Roman"/>
          <w:b/>
          <w:color w:val="000000" w:themeColor="text1"/>
          <w:sz w:val="20"/>
          <w:szCs w:val="20"/>
        </w:rPr>
      </w:pPr>
    </w:p>
    <w:p w14:paraId="4AE97518" w14:textId="77777777" w:rsidR="007C225D" w:rsidRDefault="007C225D" w:rsidP="003C1B12">
      <w:pPr>
        <w:jc w:val="both"/>
        <w:rPr>
          <w:rFonts w:ascii="Times New Roman" w:hAnsi="Times New Roman" w:cs="Times New Roman"/>
          <w:b/>
          <w:color w:val="000000" w:themeColor="text1"/>
          <w:sz w:val="20"/>
          <w:szCs w:val="20"/>
        </w:rPr>
      </w:pPr>
    </w:p>
    <w:p w14:paraId="793DE70B" w14:textId="77777777" w:rsidR="007C225D" w:rsidRDefault="007C225D" w:rsidP="003C1B12">
      <w:pPr>
        <w:jc w:val="both"/>
        <w:rPr>
          <w:rFonts w:ascii="Times New Roman" w:hAnsi="Times New Roman" w:cs="Times New Roman"/>
          <w:b/>
          <w:color w:val="000000" w:themeColor="text1"/>
          <w:sz w:val="20"/>
          <w:szCs w:val="20"/>
        </w:rPr>
      </w:pPr>
    </w:p>
    <w:p w14:paraId="56D57C38" w14:textId="77777777" w:rsidR="007C225D" w:rsidRDefault="007C225D" w:rsidP="003C1B12">
      <w:pPr>
        <w:jc w:val="both"/>
        <w:rPr>
          <w:rFonts w:ascii="Times New Roman" w:hAnsi="Times New Roman" w:cs="Times New Roman"/>
          <w:b/>
          <w:color w:val="000000" w:themeColor="text1"/>
          <w:sz w:val="20"/>
          <w:szCs w:val="20"/>
        </w:rPr>
      </w:pPr>
    </w:p>
    <w:p w14:paraId="570B477C" w14:textId="77777777" w:rsidR="007C225D" w:rsidRDefault="007C225D" w:rsidP="003C1B12">
      <w:pPr>
        <w:jc w:val="both"/>
        <w:rPr>
          <w:rFonts w:ascii="Times New Roman" w:hAnsi="Times New Roman" w:cs="Times New Roman"/>
          <w:b/>
          <w:color w:val="000000" w:themeColor="text1"/>
          <w:sz w:val="20"/>
          <w:szCs w:val="20"/>
        </w:rPr>
      </w:pPr>
    </w:p>
    <w:p w14:paraId="66C24366" w14:textId="77777777" w:rsidR="007C225D" w:rsidRDefault="007C225D" w:rsidP="003C1B12">
      <w:pPr>
        <w:jc w:val="both"/>
        <w:rPr>
          <w:rFonts w:ascii="Times New Roman" w:hAnsi="Times New Roman" w:cs="Times New Roman"/>
          <w:b/>
          <w:color w:val="000000" w:themeColor="text1"/>
          <w:sz w:val="20"/>
          <w:szCs w:val="20"/>
        </w:rPr>
      </w:pPr>
    </w:p>
    <w:p w14:paraId="45A09AB6" w14:textId="77777777" w:rsidR="007C225D" w:rsidRDefault="007C225D" w:rsidP="003C1B12">
      <w:pPr>
        <w:jc w:val="both"/>
        <w:rPr>
          <w:rFonts w:ascii="Times New Roman" w:hAnsi="Times New Roman" w:cs="Times New Roman"/>
          <w:b/>
          <w:color w:val="000000" w:themeColor="text1"/>
          <w:sz w:val="20"/>
          <w:szCs w:val="20"/>
        </w:rPr>
      </w:pPr>
    </w:p>
    <w:p w14:paraId="3D5C1F38" w14:textId="77777777" w:rsidR="007C225D" w:rsidRDefault="007C225D" w:rsidP="003C1B12">
      <w:pPr>
        <w:jc w:val="both"/>
        <w:rPr>
          <w:rFonts w:ascii="Times New Roman" w:hAnsi="Times New Roman" w:cs="Times New Roman"/>
          <w:b/>
          <w:color w:val="000000" w:themeColor="text1"/>
          <w:sz w:val="20"/>
          <w:szCs w:val="20"/>
        </w:rPr>
      </w:pPr>
    </w:p>
    <w:p w14:paraId="12267ECA" w14:textId="77777777" w:rsidR="007C225D" w:rsidRDefault="007C225D" w:rsidP="003C1B12">
      <w:pPr>
        <w:jc w:val="both"/>
        <w:rPr>
          <w:rFonts w:ascii="Times New Roman" w:hAnsi="Times New Roman" w:cs="Times New Roman"/>
          <w:b/>
          <w:color w:val="000000" w:themeColor="text1"/>
          <w:sz w:val="20"/>
          <w:szCs w:val="20"/>
        </w:rPr>
      </w:pPr>
    </w:p>
    <w:p w14:paraId="69DABDE2" w14:textId="77777777" w:rsidR="007C225D" w:rsidRDefault="007C225D" w:rsidP="003C1B12">
      <w:pPr>
        <w:jc w:val="both"/>
        <w:rPr>
          <w:rFonts w:ascii="Times New Roman" w:hAnsi="Times New Roman" w:cs="Times New Roman"/>
          <w:b/>
          <w:color w:val="000000" w:themeColor="text1"/>
          <w:sz w:val="20"/>
          <w:szCs w:val="20"/>
        </w:rPr>
      </w:pPr>
    </w:p>
    <w:p w14:paraId="07B37147" w14:textId="77777777" w:rsidR="007C225D" w:rsidRDefault="007C225D" w:rsidP="003C1B12">
      <w:pPr>
        <w:jc w:val="both"/>
        <w:rPr>
          <w:rFonts w:ascii="Times New Roman" w:hAnsi="Times New Roman" w:cs="Times New Roman"/>
          <w:b/>
          <w:color w:val="000000" w:themeColor="text1"/>
          <w:sz w:val="20"/>
          <w:szCs w:val="20"/>
        </w:rPr>
      </w:pPr>
    </w:p>
    <w:p w14:paraId="0A0D7308" w14:textId="77777777" w:rsidR="007C225D" w:rsidRDefault="007C225D" w:rsidP="003C1B12">
      <w:pPr>
        <w:jc w:val="both"/>
        <w:rPr>
          <w:rFonts w:ascii="Times New Roman" w:hAnsi="Times New Roman" w:cs="Times New Roman"/>
          <w:b/>
          <w:color w:val="000000" w:themeColor="text1"/>
          <w:sz w:val="20"/>
          <w:szCs w:val="20"/>
        </w:rPr>
      </w:pPr>
    </w:p>
    <w:p w14:paraId="4102C343" w14:textId="77777777" w:rsidR="007C225D" w:rsidRPr="00F5428D" w:rsidRDefault="007C225D" w:rsidP="003C1B12">
      <w:pPr>
        <w:jc w:val="both"/>
        <w:rPr>
          <w:rFonts w:ascii="Times New Roman" w:hAnsi="Times New Roman" w:cs="Times New Roman"/>
          <w:b/>
          <w:color w:val="000000" w:themeColor="text1"/>
          <w:sz w:val="24"/>
          <w:szCs w:val="24"/>
        </w:rPr>
      </w:pPr>
      <w:r w:rsidRPr="00F5428D">
        <w:rPr>
          <w:rFonts w:ascii="Times New Roman" w:hAnsi="Times New Roman" w:cs="Times New Roman"/>
          <w:b/>
          <w:color w:val="000000" w:themeColor="text1"/>
          <w:sz w:val="24"/>
          <w:szCs w:val="24"/>
        </w:rPr>
        <w:lastRenderedPageBreak/>
        <w:t xml:space="preserve">3.2 Discussion </w:t>
      </w:r>
    </w:p>
    <w:p w14:paraId="2209B483" w14:textId="77777777" w:rsidR="007C225D" w:rsidRPr="006E4289"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The presumptive identification of isolates revealed that biosurfactant-producing halophilic bacteria belonged mainly to the genera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and </w:t>
      </w:r>
      <w:proofErr w:type="spellStart"/>
      <w:r w:rsidRPr="006E4289">
        <w:rPr>
          <w:rFonts w:ascii="Times New Roman" w:eastAsia="Times New Roman" w:hAnsi="Times New Roman" w:cs="Times New Roman"/>
          <w:i/>
          <w:iCs/>
          <w:sz w:val="24"/>
          <w:szCs w:val="24"/>
        </w:rPr>
        <w:t>Halomonas</w:t>
      </w:r>
      <w:proofErr w:type="spellEnd"/>
      <w:r w:rsidRPr="006E4289">
        <w:rPr>
          <w:rFonts w:ascii="Times New Roman" w:eastAsia="Times New Roman" w:hAnsi="Times New Roman" w:cs="Times New Roman"/>
          <w:sz w:val="24"/>
          <w:szCs w:val="24"/>
        </w:rPr>
        <w:t xml:space="preserve">. The dominance of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species among the isolates is consistent with previous studies that have identified members of this genus as prolific biosurfactant producers, particularly lipopeptides such as </w:t>
      </w:r>
      <w:proofErr w:type="spellStart"/>
      <w:r w:rsidRPr="006E4289">
        <w:rPr>
          <w:rFonts w:ascii="Times New Roman" w:eastAsia="Times New Roman" w:hAnsi="Times New Roman" w:cs="Times New Roman"/>
          <w:sz w:val="24"/>
          <w:szCs w:val="24"/>
        </w:rPr>
        <w:t>surfactin</w:t>
      </w:r>
      <w:proofErr w:type="spellEnd"/>
      <w:r w:rsidRPr="006E4289">
        <w:rPr>
          <w:rFonts w:ascii="Times New Roman" w:eastAsia="Times New Roman" w:hAnsi="Times New Roman" w:cs="Times New Roman"/>
          <w:sz w:val="24"/>
          <w:szCs w:val="24"/>
        </w:rPr>
        <w:t xml:space="preserve">, which are effective under diverse environmental conditions (Banat et al., 2010). The isolation of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sp. aligns with reports describing rhamnolipid production and strong hydrocarbon-degrading capabilities in contaminated environments (</w:t>
      </w:r>
      <w:proofErr w:type="spellStart"/>
      <w:r w:rsidRPr="006E4289">
        <w:rPr>
          <w:rFonts w:ascii="Times New Roman" w:eastAsia="Times New Roman" w:hAnsi="Times New Roman" w:cs="Times New Roman"/>
          <w:sz w:val="24"/>
          <w:szCs w:val="24"/>
        </w:rPr>
        <w:t>Cameotra</w:t>
      </w:r>
      <w:proofErr w:type="spellEnd"/>
      <w:r w:rsidRPr="006E4289">
        <w:rPr>
          <w:rFonts w:ascii="Times New Roman" w:eastAsia="Times New Roman" w:hAnsi="Times New Roman" w:cs="Times New Roman"/>
          <w:sz w:val="24"/>
          <w:szCs w:val="24"/>
        </w:rPr>
        <w:t xml:space="preserve"> &amp; </w:t>
      </w:r>
      <w:proofErr w:type="spellStart"/>
      <w:r w:rsidRPr="006E4289">
        <w:rPr>
          <w:rFonts w:ascii="Times New Roman" w:eastAsia="Times New Roman" w:hAnsi="Times New Roman" w:cs="Times New Roman"/>
          <w:sz w:val="24"/>
          <w:szCs w:val="24"/>
        </w:rPr>
        <w:t>Bollag</w:t>
      </w:r>
      <w:proofErr w:type="spellEnd"/>
      <w:r w:rsidRPr="006E4289">
        <w:rPr>
          <w:rFonts w:ascii="Times New Roman" w:eastAsia="Times New Roman" w:hAnsi="Times New Roman" w:cs="Times New Roman"/>
          <w:sz w:val="24"/>
          <w:szCs w:val="24"/>
        </w:rPr>
        <w:t xml:space="preserve">, 2003). Although </w:t>
      </w:r>
      <w:proofErr w:type="spellStart"/>
      <w:r w:rsidRPr="006E4289">
        <w:rPr>
          <w:rFonts w:ascii="Times New Roman" w:eastAsia="Times New Roman" w:hAnsi="Times New Roman" w:cs="Times New Roman"/>
          <w:i/>
          <w:iCs/>
          <w:sz w:val="24"/>
          <w:szCs w:val="24"/>
        </w:rPr>
        <w:t>Halomonas</w:t>
      </w:r>
      <w:proofErr w:type="spellEnd"/>
      <w:r w:rsidRPr="006E4289">
        <w:rPr>
          <w:rFonts w:ascii="Times New Roman" w:eastAsia="Times New Roman" w:hAnsi="Times New Roman" w:cs="Times New Roman"/>
          <w:sz w:val="24"/>
          <w:szCs w:val="24"/>
        </w:rPr>
        <w:t xml:space="preserve"> sp. was isolated, its lower biosurfactant activity suggests species- or strain-specific variability, as reported by Banat et al. (2014).</w:t>
      </w:r>
    </w:p>
    <w:p w14:paraId="695ED0E4" w14:textId="44C5BD1C" w:rsidR="007C225D" w:rsidRPr="006E4289"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The physicochemical analysis demonstrated marked differences between contaminated and control soils. Contaminated sites exhibited acidic pH, reduced organic matter, elevated electrical conductivity, and extremely high total petroleum hydrocarbon concentrations compared with the control site</w:t>
      </w:r>
      <w:r w:rsidR="00002CFD">
        <w:rPr>
          <w:rFonts w:ascii="Times New Roman" w:eastAsia="Times New Roman" w:hAnsi="Times New Roman" w:cs="Times New Roman"/>
          <w:sz w:val="24"/>
          <w:szCs w:val="24"/>
        </w:rPr>
        <w:t xml:space="preserve"> </w:t>
      </w:r>
      <w:r w:rsidR="00002CFD" w:rsidRPr="00002CFD">
        <w:rPr>
          <w:rFonts w:ascii="Times New Roman" w:eastAsia="Times New Roman" w:hAnsi="Times New Roman" w:cs="Times New Roman"/>
          <w:sz w:val="24"/>
          <w:szCs w:val="24"/>
          <w:highlight w:val="yellow"/>
        </w:rPr>
        <w:t>(Table 2)</w:t>
      </w:r>
      <w:r w:rsidRPr="006E4289">
        <w:rPr>
          <w:rFonts w:ascii="Times New Roman" w:eastAsia="Times New Roman" w:hAnsi="Times New Roman" w:cs="Times New Roman"/>
          <w:sz w:val="24"/>
          <w:szCs w:val="24"/>
        </w:rPr>
        <w:t>. These conditions are characteristic of hydrocarbon-polluted soils and are known to suppress plant growth while selectively enriching hydrocarbon-tolerant microorganisms (Atlas &amp; Hazen, 2011; Das &amp; Chandran, 2011). The high electrical conductivity observed supports the suitability of halophilic bacteria in such environments</w:t>
      </w:r>
      <w:r w:rsidR="00002CFD">
        <w:rPr>
          <w:rFonts w:ascii="Times New Roman" w:eastAsia="Times New Roman" w:hAnsi="Times New Roman" w:cs="Times New Roman"/>
          <w:sz w:val="24"/>
          <w:szCs w:val="24"/>
        </w:rPr>
        <w:t xml:space="preserve"> (</w:t>
      </w:r>
      <w:r w:rsidR="00002CFD" w:rsidRPr="00002CFD">
        <w:rPr>
          <w:rFonts w:ascii="Times New Roman" w:eastAsia="Times New Roman" w:hAnsi="Times New Roman" w:cs="Times New Roman"/>
          <w:sz w:val="24"/>
          <w:szCs w:val="24"/>
          <w:highlight w:val="yellow"/>
        </w:rPr>
        <w:t>Das &amp; Chandran, 2011)</w:t>
      </w:r>
      <w:r w:rsidRPr="00002CFD">
        <w:rPr>
          <w:rFonts w:ascii="Times New Roman" w:eastAsia="Times New Roman" w:hAnsi="Times New Roman" w:cs="Times New Roman"/>
          <w:sz w:val="24"/>
          <w:szCs w:val="24"/>
          <w:highlight w:val="yellow"/>
        </w:rPr>
        <w:t>.</w:t>
      </w:r>
    </w:p>
    <w:p w14:paraId="7580A9B8" w14:textId="77777777" w:rsidR="007C225D" w:rsidRPr="006E4289"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Higher halophilic bacterial counts were recorded in contaminated sites than in the control soil, indicating adaptive enrichment of specialized microbial populations in response to hydrocarbon stress. Similar increases in microbial abundance have been reported in petroleum-impacted soils, where indigenous microorganisms adapt to contamination and contribute to natural attenuation processes (</w:t>
      </w:r>
      <w:proofErr w:type="spellStart"/>
      <w:r w:rsidRPr="006E4289">
        <w:rPr>
          <w:rFonts w:ascii="Times New Roman" w:eastAsia="Times New Roman" w:hAnsi="Times New Roman" w:cs="Times New Roman"/>
          <w:sz w:val="24"/>
          <w:szCs w:val="24"/>
        </w:rPr>
        <w:t>Margesin</w:t>
      </w:r>
      <w:proofErr w:type="spellEnd"/>
      <w:r w:rsidRPr="006E4289">
        <w:rPr>
          <w:rFonts w:ascii="Times New Roman" w:eastAsia="Times New Roman" w:hAnsi="Times New Roman" w:cs="Times New Roman"/>
          <w:sz w:val="24"/>
          <w:szCs w:val="24"/>
        </w:rPr>
        <w:t xml:space="preserve"> &amp; Schinner, 2001).</w:t>
      </w:r>
    </w:p>
    <w:p w14:paraId="63FBF173" w14:textId="78A02DB6" w:rsidR="007C225D" w:rsidRPr="003C1B12"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Biosurfactant screening revealed that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sp. and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sp. HB1 exhibited the highest emulsification indices and oil displacement activities, indicating strong surface-active properties. These findings are comparable to reports by </w:t>
      </w:r>
      <w:proofErr w:type="spellStart"/>
      <w:r w:rsidRPr="006E4289">
        <w:rPr>
          <w:rFonts w:ascii="Times New Roman" w:eastAsia="Times New Roman" w:hAnsi="Times New Roman" w:cs="Times New Roman"/>
          <w:sz w:val="24"/>
          <w:szCs w:val="24"/>
        </w:rPr>
        <w:t>Pacwa</w:t>
      </w:r>
      <w:r w:rsidR="00C32992">
        <w:rPr>
          <w:rFonts w:ascii="Times New Roman" w:eastAsia="Times New Roman" w:hAnsi="Times New Roman" w:cs="Times New Roman"/>
          <w:sz w:val="24"/>
          <w:szCs w:val="24"/>
        </w:rPr>
        <w:t>-Płociniczak</w:t>
      </w:r>
      <w:proofErr w:type="spellEnd"/>
      <w:r w:rsidR="00C32992">
        <w:rPr>
          <w:rFonts w:ascii="Times New Roman" w:eastAsia="Times New Roman" w:hAnsi="Times New Roman" w:cs="Times New Roman"/>
          <w:sz w:val="24"/>
          <w:szCs w:val="24"/>
        </w:rPr>
        <w:t xml:space="preserve"> et al. (2011), </w:t>
      </w:r>
      <w:r w:rsidR="00C32992" w:rsidRPr="00C32992">
        <w:rPr>
          <w:rFonts w:ascii="Times New Roman" w:eastAsia="Times New Roman" w:hAnsi="Times New Roman" w:cs="Times New Roman"/>
          <w:sz w:val="24"/>
          <w:szCs w:val="24"/>
          <w:highlight w:val="yellow"/>
        </w:rPr>
        <w:t>which</w:t>
      </w:r>
      <w:r w:rsidR="00C32992">
        <w:rPr>
          <w:rFonts w:ascii="Times New Roman" w:eastAsia="Times New Roman" w:hAnsi="Times New Roman" w:cs="Times New Roman"/>
          <w:sz w:val="24"/>
          <w:szCs w:val="24"/>
        </w:rPr>
        <w:t xml:space="preserve"> </w:t>
      </w:r>
      <w:r w:rsidRPr="006E4289">
        <w:rPr>
          <w:rFonts w:ascii="Times New Roman" w:eastAsia="Times New Roman" w:hAnsi="Times New Roman" w:cs="Times New Roman"/>
          <w:sz w:val="24"/>
          <w:szCs w:val="24"/>
        </w:rPr>
        <w:t xml:space="preserve">documented high E24 values for efficient biosurfactant producers. In </w:t>
      </w:r>
      <w:r w:rsidRPr="006E4289">
        <w:rPr>
          <w:rFonts w:ascii="Times New Roman" w:eastAsia="Times New Roman" w:hAnsi="Times New Roman" w:cs="Times New Roman"/>
          <w:sz w:val="24"/>
          <w:szCs w:val="24"/>
        </w:rPr>
        <w:lastRenderedPageBreak/>
        <w:t xml:space="preserve">contrast, the weak activity observed for </w:t>
      </w:r>
      <w:proofErr w:type="spellStart"/>
      <w:r w:rsidRPr="006E4289">
        <w:rPr>
          <w:rFonts w:ascii="Times New Roman" w:eastAsia="Times New Roman" w:hAnsi="Times New Roman" w:cs="Times New Roman"/>
          <w:i/>
          <w:iCs/>
          <w:sz w:val="24"/>
          <w:szCs w:val="24"/>
        </w:rPr>
        <w:t>Halomonas</w:t>
      </w:r>
      <w:proofErr w:type="spellEnd"/>
      <w:r w:rsidRPr="006E4289">
        <w:rPr>
          <w:rFonts w:ascii="Times New Roman" w:eastAsia="Times New Roman" w:hAnsi="Times New Roman" w:cs="Times New Roman"/>
          <w:sz w:val="24"/>
          <w:szCs w:val="24"/>
        </w:rPr>
        <w:t xml:space="preserve"> sp. suggests limited biosurfactant yield or lower emulsi</w:t>
      </w:r>
      <w:r w:rsidR="00002CFD">
        <w:rPr>
          <w:rFonts w:ascii="Times New Roman" w:eastAsia="Times New Roman" w:hAnsi="Times New Roman" w:cs="Times New Roman"/>
          <w:sz w:val="24"/>
          <w:szCs w:val="24"/>
        </w:rPr>
        <w:t xml:space="preserve">fication efficiency </w:t>
      </w:r>
      <w:r w:rsidR="00002CFD" w:rsidRPr="00002CFD">
        <w:rPr>
          <w:rFonts w:ascii="Times New Roman" w:eastAsia="Times New Roman" w:hAnsi="Times New Roman" w:cs="Times New Roman"/>
          <w:sz w:val="24"/>
          <w:szCs w:val="24"/>
          <w:highlight w:val="yellow"/>
        </w:rPr>
        <w:t>(Table 4).</w:t>
      </w:r>
    </w:p>
    <w:p w14:paraId="536AC17C" w14:textId="240BCF44" w:rsidR="007C225D" w:rsidRDefault="007C225D" w:rsidP="003C1B12">
      <w:pPr>
        <w:spacing w:before="100" w:beforeAutospacing="1" w:after="100" w:afterAutospacing="1" w:line="360" w:lineRule="auto"/>
        <w:jc w:val="both"/>
        <w:rPr>
          <w:rFonts w:ascii="Times New Roman" w:eastAsia="Times New Roman" w:hAnsi="Times New Roman" w:cs="Times New Roman"/>
          <w:sz w:val="24"/>
          <w:szCs w:val="24"/>
        </w:rPr>
      </w:pPr>
      <w:r w:rsidRPr="003C1B12">
        <w:rPr>
          <w:rFonts w:ascii="Times New Roman" w:eastAsia="Times New Roman" w:hAnsi="Times New Roman" w:cs="Times New Roman"/>
          <w:sz w:val="24"/>
          <w:szCs w:val="24"/>
        </w:rPr>
        <w:t xml:space="preserve">Application of biosurfactants significantly improved plant growth compared with the untreated control, with </w:t>
      </w:r>
      <w:r w:rsidRPr="003C1B12">
        <w:rPr>
          <w:rFonts w:ascii="Times New Roman" w:eastAsia="Times New Roman" w:hAnsi="Times New Roman" w:cs="Times New Roman"/>
          <w:i/>
          <w:iCs/>
          <w:sz w:val="24"/>
          <w:szCs w:val="24"/>
        </w:rPr>
        <w:t>Bacillus</w:t>
      </w:r>
      <w:r w:rsidRPr="003C1B12">
        <w:rPr>
          <w:rFonts w:ascii="Times New Roman" w:eastAsia="Times New Roman" w:hAnsi="Times New Roman" w:cs="Times New Roman"/>
          <w:sz w:val="24"/>
          <w:szCs w:val="24"/>
        </w:rPr>
        <w:t xml:space="preserve"> sp. HB1 showing the greatest enhancement in plant height, followed by </w:t>
      </w:r>
      <w:r w:rsidRPr="003C1B12">
        <w:rPr>
          <w:rFonts w:ascii="Times New Roman" w:eastAsia="Times New Roman" w:hAnsi="Times New Roman" w:cs="Times New Roman"/>
          <w:i/>
          <w:iCs/>
          <w:sz w:val="24"/>
          <w:szCs w:val="24"/>
        </w:rPr>
        <w:t>Bacillus</w:t>
      </w:r>
      <w:r w:rsidRPr="003C1B12">
        <w:rPr>
          <w:rFonts w:ascii="Times New Roman" w:eastAsia="Times New Roman" w:hAnsi="Times New Roman" w:cs="Times New Roman"/>
          <w:sz w:val="24"/>
          <w:szCs w:val="24"/>
        </w:rPr>
        <w:t xml:space="preserve"> sp. HB2 and </w:t>
      </w:r>
      <w:r w:rsidRPr="003C1B12">
        <w:rPr>
          <w:rFonts w:ascii="Times New Roman" w:eastAsia="Times New Roman" w:hAnsi="Times New Roman" w:cs="Times New Roman"/>
          <w:i/>
          <w:iCs/>
          <w:sz w:val="24"/>
          <w:szCs w:val="24"/>
        </w:rPr>
        <w:t>Pseudomonas</w:t>
      </w:r>
      <w:r w:rsidRPr="003C1B12">
        <w:rPr>
          <w:rFonts w:ascii="Times New Roman" w:eastAsia="Times New Roman" w:hAnsi="Times New Roman" w:cs="Times New Roman"/>
          <w:sz w:val="24"/>
          <w:szCs w:val="24"/>
        </w:rPr>
        <w:t xml:space="preserve"> sp. HB3</w:t>
      </w:r>
      <w:r w:rsidR="00C32992">
        <w:rPr>
          <w:rFonts w:ascii="Times New Roman" w:eastAsia="Times New Roman" w:hAnsi="Times New Roman" w:cs="Times New Roman"/>
          <w:sz w:val="24"/>
          <w:szCs w:val="24"/>
        </w:rPr>
        <w:t xml:space="preserve"> </w:t>
      </w:r>
      <w:r w:rsidR="00C32992" w:rsidRPr="00C32992">
        <w:rPr>
          <w:rFonts w:ascii="Times New Roman" w:eastAsia="Times New Roman" w:hAnsi="Times New Roman" w:cs="Times New Roman"/>
          <w:sz w:val="24"/>
          <w:szCs w:val="24"/>
          <w:highlight w:val="yellow"/>
        </w:rPr>
        <w:t>(Figure 2)</w:t>
      </w:r>
      <w:r w:rsidRPr="003C1B12">
        <w:rPr>
          <w:rFonts w:ascii="Times New Roman" w:eastAsia="Times New Roman" w:hAnsi="Times New Roman" w:cs="Times New Roman"/>
          <w:sz w:val="24"/>
          <w:szCs w:val="24"/>
        </w:rPr>
        <w:t xml:space="preserve">. </w:t>
      </w:r>
      <w:r w:rsidR="003C1B12" w:rsidRPr="003C1B12">
        <w:rPr>
          <w:rFonts w:ascii="Times New Roman" w:hAnsi="Times New Roman" w:cs="Times New Roman"/>
          <w:sz w:val="24"/>
          <w:szCs w:val="24"/>
        </w:rPr>
        <w:t>The observed improvement in plant growth reflects the overall effectiveness of biosurfactant-treated soils rather than concentration-specific effects, as plant growth data were pooled across treatment levels</w:t>
      </w:r>
      <w:r w:rsidR="003C1B12">
        <w:rPr>
          <w:rFonts w:ascii="Times New Roman" w:hAnsi="Times New Roman" w:cs="Times New Roman"/>
          <w:sz w:val="24"/>
          <w:szCs w:val="24"/>
        </w:rPr>
        <w:t xml:space="preserve">. </w:t>
      </w:r>
      <w:r w:rsidRPr="003C1B12">
        <w:rPr>
          <w:rFonts w:ascii="Times New Roman" w:eastAsia="Times New Roman" w:hAnsi="Times New Roman" w:cs="Times New Roman"/>
          <w:sz w:val="24"/>
          <w:szCs w:val="24"/>
        </w:rPr>
        <w:t xml:space="preserve">This improvement is attributed to reduced hydrocarbon toxicity and improved soil conditions following biosurfactant action. Similar enhancements in plant growth following biosurfactant-assisted remediation have been reported by </w:t>
      </w:r>
      <w:proofErr w:type="spellStart"/>
      <w:r w:rsidRPr="003C1B12">
        <w:rPr>
          <w:rFonts w:ascii="Times New Roman" w:eastAsia="Times New Roman" w:hAnsi="Times New Roman" w:cs="Times New Roman"/>
          <w:sz w:val="24"/>
          <w:szCs w:val="24"/>
        </w:rPr>
        <w:t>Urum</w:t>
      </w:r>
      <w:proofErr w:type="spellEnd"/>
      <w:r w:rsidRPr="003C1B12">
        <w:rPr>
          <w:rFonts w:ascii="Times New Roman" w:eastAsia="Times New Roman" w:hAnsi="Times New Roman" w:cs="Times New Roman"/>
          <w:sz w:val="24"/>
          <w:szCs w:val="24"/>
        </w:rPr>
        <w:t xml:space="preserve"> et al. (2004) and Adetutu et al. (2015), confirming the dual environmental and agronomic benefits of biosurfactant application.</w:t>
      </w:r>
    </w:p>
    <w:p w14:paraId="3E67826F" w14:textId="77777777" w:rsidR="00ED3946" w:rsidRPr="00ED3946" w:rsidRDefault="00ED3946" w:rsidP="00ED3946">
      <w:pPr>
        <w:spacing w:before="100" w:beforeAutospacing="1" w:after="100" w:afterAutospacing="1" w:line="360" w:lineRule="auto"/>
        <w:jc w:val="both"/>
        <w:rPr>
          <w:rFonts w:ascii="Times New Roman" w:eastAsia="Times New Roman" w:hAnsi="Times New Roman" w:cs="Times New Roman"/>
          <w:sz w:val="24"/>
          <w:szCs w:val="24"/>
          <w:highlight w:val="yellow"/>
        </w:rPr>
      </w:pPr>
      <w:r w:rsidRPr="00ED3946">
        <w:rPr>
          <w:rFonts w:ascii="Times New Roman" w:eastAsia="Times New Roman" w:hAnsi="Times New Roman" w:cs="Times New Roman"/>
          <w:sz w:val="24"/>
          <w:szCs w:val="24"/>
          <w:highlight w:val="yellow"/>
        </w:rPr>
        <w:t>The observed variation in biosurfactant activity among the isolates is consistent with recent findings that biosurfactant production is highly strain-dependent and influenced by growth conditions and substrate availability (</w:t>
      </w:r>
      <w:proofErr w:type="spellStart"/>
      <w:r w:rsidRPr="00ED3946">
        <w:rPr>
          <w:rFonts w:ascii="Times New Roman" w:eastAsia="Times New Roman" w:hAnsi="Times New Roman" w:cs="Times New Roman"/>
          <w:sz w:val="24"/>
          <w:szCs w:val="24"/>
          <w:highlight w:val="yellow"/>
        </w:rPr>
        <w:t>Varjani</w:t>
      </w:r>
      <w:proofErr w:type="spellEnd"/>
      <w:r w:rsidRPr="00ED3946">
        <w:rPr>
          <w:rFonts w:ascii="Times New Roman" w:eastAsia="Times New Roman" w:hAnsi="Times New Roman" w:cs="Times New Roman"/>
          <w:sz w:val="24"/>
          <w:szCs w:val="24"/>
          <w:highlight w:val="yellow"/>
        </w:rPr>
        <w:t xml:space="preserve"> &amp; </w:t>
      </w:r>
      <w:proofErr w:type="spellStart"/>
      <w:r w:rsidRPr="00ED3946">
        <w:rPr>
          <w:rFonts w:ascii="Times New Roman" w:eastAsia="Times New Roman" w:hAnsi="Times New Roman" w:cs="Times New Roman"/>
          <w:sz w:val="24"/>
          <w:szCs w:val="24"/>
          <w:highlight w:val="yellow"/>
        </w:rPr>
        <w:t>Upasani</w:t>
      </w:r>
      <w:proofErr w:type="spellEnd"/>
      <w:r w:rsidRPr="00ED3946">
        <w:rPr>
          <w:rFonts w:ascii="Times New Roman" w:eastAsia="Times New Roman" w:hAnsi="Times New Roman" w:cs="Times New Roman"/>
          <w:sz w:val="24"/>
          <w:szCs w:val="24"/>
          <w:highlight w:val="yellow"/>
        </w:rPr>
        <w:t xml:space="preserve">, 2017; </w:t>
      </w:r>
      <w:proofErr w:type="spellStart"/>
      <w:r w:rsidRPr="00ED3946">
        <w:rPr>
          <w:rFonts w:ascii="Times New Roman" w:eastAsia="Times New Roman" w:hAnsi="Times New Roman" w:cs="Times New Roman"/>
          <w:sz w:val="24"/>
          <w:szCs w:val="24"/>
          <w:highlight w:val="yellow"/>
        </w:rPr>
        <w:t>Asemoloye</w:t>
      </w:r>
      <w:proofErr w:type="spellEnd"/>
      <w:r w:rsidRPr="00ED3946">
        <w:rPr>
          <w:rFonts w:ascii="Times New Roman" w:eastAsia="Times New Roman" w:hAnsi="Times New Roman" w:cs="Times New Roman"/>
          <w:sz w:val="24"/>
          <w:szCs w:val="24"/>
          <w:highlight w:val="yellow"/>
        </w:rPr>
        <w:t xml:space="preserve"> et al., 2021). High emulsification and oil displacement activities reported for selected isolates suggest strong surface-active properties, which play a critical role in enhancing hydrocarbon mobilization and microbial accessibility.</w:t>
      </w:r>
    </w:p>
    <w:p w14:paraId="18EE22DC" w14:textId="3C79060D" w:rsidR="00ED3946" w:rsidRPr="003C1B12" w:rsidRDefault="00ED3946" w:rsidP="00ED3946">
      <w:pPr>
        <w:spacing w:before="100" w:beforeAutospacing="1" w:after="100" w:afterAutospacing="1" w:line="360" w:lineRule="auto"/>
        <w:jc w:val="both"/>
        <w:rPr>
          <w:rFonts w:ascii="Times New Roman" w:eastAsia="Times New Roman" w:hAnsi="Times New Roman" w:cs="Times New Roman"/>
          <w:sz w:val="24"/>
          <w:szCs w:val="24"/>
        </w:rPr>
      </w:pPr>
      <w:r w:rsidRPr="00ED3946">
        <w:rPr>
          <w:rFonts w:ascii="Times New Roman" w:eastAsia="Times New Roman" w:hAnsi="Times New Roman" w:cs="Times New Roman"/>
          <w:sz w:val="24"/>
          <w:szCs w:val="24"/>
          <w:highlight w:val="yellow"/>
        </w:rPr>
        <w:t>Recent studies have also demonstrated that biosurfactants produced by Bacillus species exhibit superior stability and efficiency, making them attractive candidates for environmental remediation (</w:t>
      </w:r>
      <w:proofErr w:type="spellStart"/>
      <w:r w:rsidRPr="00ED3946">
        <w:rPr>
          <w:rFonts w:ascii="Times New Roman" w:eastAsia="Times New Roman" w:hAnsi="Times New Roman" w:cs="Times New Roman"/>
          <w:sz w:val="24"/>
          <w:szCs w:val="24"/>
          <w:highlight w:val="yellow"/>
        </w:rPr>
        <w:t>Kosaric</w:t>
      </w:r>
      <w:proofErr w:type="spellEnd"/>
      <w:r w:rsidRPr="00ED3946">
        <w:rPr>
          <w:rFonts w:ascii="Times New Roman" w:eastAsia="Times New Roman" w:hAnsi="Times New Roman" w:cs="Times New Roman"/>
          <w:sz w:val="24"/>
          <w:szCs w:val="24"/>
          <w:highlight w:val="yellow"/>
        </w:rPr>
        <w:t xml:space="preserve"> &amp; </w:t>
      </w:r>
      <w:proofErr w:type="spellStart"/>
      <w:r w:rsidRPr="00ED3946">
        <w:rPr>
          <w:rFonts w:ascii="Times New Roman" w:eastAsia="Times New Roman" w:hAnsi="Times New Roman" w:cs="Times New Roman"/>
          <w:sz w:val="24"/>
          <w:szCs w:val="24"/>
          <w:highlight w:val="yellow"/>
        </w:rPr>
        <w:t>Sukan</w:t>
      </w:r>
      <w:proofErr w:type="spellEnd"/>
      <w:r w:rsidRPr="00ED3946">
        <w:rPr>
          <w:rFonts w:ascii="Times New Roman" w:eastAsia="Times New Roman" w:hAnsi="Times New Roman" w:cs="Times New Roman"/>
          <w:sz w:val="24"/>
          <w:szCs w:val="24"/>
          <w:highlight w:val="yellow"/>
        </w:rPr>
        <w:t>, 2015). The comparatively lower activity observed in some halophilic isolates may be attributed to differences in biosurfactant composition or production yield, as previously reported in related studies.</w:t>
      </w:r>
    </w:p>
    <w:p w14:paraId="418DA3CA" w14:textId="23D5700E" w:rsidR="007C225D" w:rsidRDefault="00C32992" w:rsidP="003C1B12">
      <w:pPr>
        <w:jc w:val="both"/>
        <w:rPr>
          <w:rFonts w:ascii="Times New Roman" w:eastAsia="Times New Roman" w:hAnsi="Times New Roman" w:cs="Times New Roman"/>
          <w:sz w:val="24"/>
          <w:szCs w:val="24"/>
        </w:rPr>
      </w:pPr>
      <w:r w:rsidRPr="00C32992">
        <w:rPr>
          <w:rFonts w:ascii="Times New Roman" w:eastAsia="Times New Roman" w:hAnsi="Times New Roman" w:cs="Times New Roman"/>
          <w:sz w:val="24"/>
          <w:szCs w:val="24"/>
          <w:highlight w:val="yellow"/>
        </w:rPr>
        <w:t>In summary</w:t>
      </w:r>
      <w:r w:rsidR="007C225D" w:rsidRPr="006E4289">
        <w:rPr>
          <w:rFonts w:ascii="Times New Roman" w:eastAsia="Times New Roman" w:hAnsi="Times New Roman" w:cs="Times New Roman"/>
          <w:sz w:val="24"/>
          <w:szCs w:val="24"/>
        </w:rPr>
        <w:t xml:space="preserve">, </w:t>
      </w:r>
      <w:r w:rsidR="007C225D" w:rsidRPr="00C32992">
        <w:rPr>
          <w:rFonts w:ascii="Times New Roman" w:eastAsia="Times New Roman" w:hAnsi="Times New Roman" w:cs="Times New Roman"/>
          <w:sz w:val="24"/>
          <w:szCs w:val="24"/>
          <w:highlight w:val="yellow"/>
        </w:rPr>
        <w:t xml:space="preserve">the results </w:t>
      </w:r>
      <w:r w:rsidRPr="00C32992">
        <w:rPr>
          <w:rFonts w:ascii="Times New Roman" w:eastAsia="Times New Roman" w:hAnsi="Times New Roman" w:cs="Times New Roman"/>
          <w:sz w:val="24"/>
          <w:szCs w:val="24"/>
          <w:highlight w:val="yellow"/>
        </w:rPr>
        <w:t>obtained from this study</w:t>
      </w:r>
      <w:r>
        <w:rPr>
          <w:rFonts w:ascii="Times New Roman" w:eastAsia="Times New Roman" w:hAnsi="Times New Roman" w:cs="Times New Roman"/>
          <w:sz w:val="24"/>
          <w:szCs w:val="24"/>
        </w:rPr>
        <w:t xml:space="preserve"> </w:t>
      </w:r>
      <w:r w:rsidR="007C225D" w:rsidRPr="006E4289">
        <w:rPr>
          <w:rFonts w:ascii="Times New Roman" w:eastAsia="Times New Roman" w:hAnsi="Times New Roman" w:cs="Times New Roman"/>
          <w:sz w:val="24"/>
          <w:szCs w:val="24"/>
        </w:rPr>
        <w:t>demonstrate that biosurfactants produced by indigenous halophilic bacteria can significantly contribute to hydrocarbon degradation and soil recovery.</w:t>
      </w:r>
    </w:p>
    <w:p w14:paraId="4264FA88" w14:textId="3E8319FB" w:rsidR="00152781" w:rsidRPr="00152781" w:rsidRDefault="00152781" w:rsidP="00152781">
      <w:pPr>
        <w:spacing w:line="360" w:lineRule="auto"/>
        <w:jc w:val="both"/>
        <w:rPr>
          <w:rFonts w:ascii="Times New Roman" w:eastAsia="Times New Roman" w:hAnsi="Times New Roman" w:cs="Times New Roman"/>
          <w:sz w:val="24"/>
          <w:szCs w:val="24"/>
        </w:rPr>
      </w:pPr>
      <w:r w:rsidRPr="00152781">
        <w:rPr>
          <w:rFonts w:ascii="Times New Roman" w:hAnsi="Times New Roman" w:cs="Times New Roman"/>
          <w:sz w:val="24"/>
          <w:szCs w:val="24"/>
          <w:highlight w:val="yellow"/>
        </w:rPr>
        <w:t>Further characterization of the biosurfactants using analytical techniques such as thin-layer chromatography (TLC) and Fourier-transform infrared spectroscopy (FTIR) would provide additional insight into their chemical nature and functional groups.</w:t>
      </w:r>
    </w:p>
    <w:p w14:paraId="71D14BE1" w14:textId="77777777" w:rsidR="003C1B12" w:rsidRDefault="003C1B12" w:rsidP="003C1B12">
      <w:pPr>
        <w:jc w:val="both"/>
        <w:rPr>
          <w:rFonts w:ascii="Times New Roman" w:eastAsia="Times New Roman" w:hAnsi="Times New Roman" w:cs="Times New Roman"/>
          <w:b/>
          <w:sz w:val="24"/>
          <w:szCs w:val="24"/>
        </w:rPr>
      </w:pPr>
      <w:r w:rsidRPr="003C1B12">
        <w:rPr>
          <w:rFonts w:ascii="Times New Roman" w:eastAsia="Times New Roman" w:hAnsi="Times New Roman" w:cs="Times New Roman"/>
          <w:b/>
          <w:sz w:val="24"/>
          <w:szCs w:val="24"/>
        </w:rPr>
        <w:lastRenderedPageBreak/>
        <w:t>3.3 Conclusion</w:t>
      </w:r>
    </w:p>
    <w:p w14:paraId="0558EC3B" w14:textId="77777777" w:rsidR="003C1B12" w:rsidRPr="006E4289"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This study demonstrated that hydrocarbon-contaminated soils harbor halophilic bacterial populations capable of producing biosurfactants with significant environmental benefits. Presumptive identification showed that isolates belonging to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and </w:t>
      </w:r>
      <w:proofErr w:type="spellStart"/>
      <w:r w:rsidRPr="006E4289">
        <w:rPr>
          <w:rFonts w:ascii="Times New Roman" w:eastAsia="Times New Roman" w:hAnsi="Times New Roman" w:cs="Times New Roman"/>
          <w:i/>
          <w:iCs/>
          <w:sz w:val="24"/>
          <w:szCs w:val="24"/>
        </w:rPr>
        <w:t>Halomonas</w:t>
      </w:r>
      <w:proofErr w:type="spellEnd"/>
      <w:r w:rsidRPr="006E4289">
        <w:rPr>
          <w:rFonts w:ascii="Times New Roman" w:eastAsia="Times New Roman" w:hAnsi="Times New Roman" w:cs="Times New Roman"/>
          <w:sz w:val="24"/>
          <w:szCs w:val="24"/>
        </w:rPr>
        <w:t xml:space="preserve"> genera were associated with biosurfactant production. Physicochemical analyses confirmed severe hydrocarbon contamination at the sampled sites, characterized by elevated total petroleum hydrocarbon concentrations, reduced organic matter content, and increased electrical conductivity compared with the control soil. Despite these harsh conditions, contaminated soils supported higher halophilic bacterial populations, indicating microbial adaptation to hydrocarbon stress.</w:t>
      </w:r>
    </w:p>
    <w:p w14:paraId="3F6B3FB7"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Biosurfactant screening revealed isolate-specific variation in surface-active properties, with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sp. HB1 and </w:t>
      </w:r>
      <w:r w:rsidRPr="006E4289">
        <w:rPr>
          <w:rFonts w:ascii="Times New Roman" w:eastAsia="Times New Roman" w:hAnsi="Times New Roman" w:cs="Times New Roman"/>
          <w:i/>
          <w:iCs/>
          <w:sz w:val="24"/>
          <w:szCs w:val="24"/>
        </w:rPr>
        <w:t>Pseudomonas</w:t>
      </w:r>
      <w:r w:rsidRPr="006E4289">
        <w:rPr>
          <w:rFonts w:ascii="Times New Roman" w:eastAsia="Times New Roman" w:hAnsi="Times New Roman" w:cs="Times New Roman"/>
          <w:sz w:val="24"/>
          <w:szCs w:val="24"/>
        </w:rPr>
        <w:t xml:space="preserve"> sp. HB3 exhibiting stronger emulsification and oil displacement activities than other isolates. Application of biosurfactants significantly enhanced plant growth in treated soils compared with the untreated control, with </w:t>
      </w:r>
      <w:r w:rsidRPr="006E4289">
        <w:rPr>
          <w:rFonts w:ascii="Times New Roman" w:eastAsia="Times New Roman" w:hAnsi="Times New Roman" w:cs="Times New Roman"/>
          <w:i/>
          <w:iCs/>
          <w:sz w:val="24"/>
          <w:szCs w:val="24"/>
        </w:rPr>
        <w:t>Bacillus</w:t>
      </w:r>
      <w:r w:rsidRPr="006E4289">
        <w:rPr>
          <w:rFonts w:ascii="Times New Roman" w:eastAsia="Times New Roman" w:hAnsi="Times New Roman" w:cs="Times New Roman"/>
          <w:sz w:val="24"/>
          <w:szCs w:val="24"/>
        </w:rPr>
        <w:t xml:space="preserve"> sp. HB1 showing the greatest improvement in plant height. These findings indicate that biosurfactant production by indigenous halophilic bacteria can mitigate the adverse effects of hydrocarbon contamination and contribute to partial restoration of soil productivity. Overall, the study highlights the potential of biosurfactant-assisted bioremediation as an environmentally sustainable approach for managing hydrocarbon-polluted soils.</w:t>
      </w:r>
    </w:p>
    <w:p w14:paraId="4A1CC6D5" w14:textId="48D6C89D" w:rsidR="007A4E31" w:rsidRPr="007A4E31" w:rsidRDefault="007A4E31" w:rsidP="00152781">
      <w:pPr>
        <w:spacing w:before="100" w:beforeAutospacing="1" w:after="100" w:afterAutospacing="1" w:line="360" w:lineRule="auto"/>
        <w:jc w:val="both"/>
        <w:rPr>
          <w:rFonts w:ascii="Times New Roman" w:eastAsia="Times New Roman" w:hAnsi="Times New Roman" w:cs="Times New Roman"/>
          <w:sz w:val="24"/>
          <w:szCs w:val="24"/>
        </w:rPr>
      </w:pPr>
      <w:r w:rsidRPr="00152781">
        <w:rPr>
          <w:rFonts w:ascii="Times New Roman" w:hAnsi="Times New Roman" w:cs="Times New Roman"/>
          <w:sz w:val="24"/>
          <w:szCs w:val="24"/>
          <w:highlight w:val="yellow"/>
        </w:rPr>
        <w:t>Future studies could incorporate bacterial adhesion to hydrocarbon (BATH) assays to further evaluate the hydrocarbon affinity and biodegradation potential of the native isolates.</w:t>
      </w:r>
    </w:p>
    <w:p w14:paraId="107836BC" w14:textId="77777777" w:rsidR="003C1B12" w:rsidRPr="003C1B12" w:rsidRDefault="003C1B12" w:rsidP="003C1B12">
      <w:pPr>
        <w:spacing w:before="100" w:beforeAutospacing="1" w:after="100" w:afterAutospacing="1" w:line="360" w:lineRule="auto"/>
        <w:jc w:val="both"/>
        <w:rPr>
          <w:rFonts w:ascii="Times New Roman" w:eastAsia="Times New Roman" w:hAnsi="Times New Roman" w:cs="Times New Roman"/>
          <w:b/>
          <w:sz w:val="24"/>
          <w:szCs w:val="24"/>
        </w:rPr>
      </w:pPr>
      <w:r w:rsidRPr="003C1B12">
        <w:rPr>
          <w:rFonts w:ascii="Times New Roman" w:eastAsia="Times New Roman" w:hAnsi="Times New Roman" w:cs="Times New Roman"/>
          <w:b/>
          <w:bCs/>
          <w:sz w:val="24"/>
          <w:szCs w:val="24"/>
        </w:rPr>
        <w:t>Recommendations</w:t>
      </w:r>
    </w:p>
    <w:p w14:paraId="6ED8894F" w14:textId="77777777" w:rsidR="003C1B12" w:rsidRPr="006E4289"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bCs/>
          <w:sz w:val="24"/>
          <w:szCs w:val="24"/>
        </w:rPr>
        <w:t>Field-scale validation</w:t>
      </w:r>
      <w:r w:rsidRPr="006E4289">
        <w:rPr>
          <w:rFonts w:ascii="Times New Roman" w:eastAsia="Times New Roman" w:hAnsi="Times New Roman" w:cs="Times New Roman"/>
          <w:sz w:val="24"/>
          <w:szCs w:val="24"/>
        </w:rPr>
        <w:t xml:space="preserve"> of biosurfactant application is recommended to confirm laboratory findings under natural environmental conditions and soil heterogeneity.</w:t>
      </w:r>
    </w:p>
    <w:p w14:paraId="041892B0" w14:textId="77777777" w:rsidR="003C1B12" w:rsidRPr="006E4289"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bCs/>
          <w:sz w:val="24"/>
          <w:szCs w:val="24"/>
        </w:rPr>
        <w:lastRenderedPageBreak/>
        <w:t>Molecular characterization</w:t>
      </w:r>
      <w:r w:rsidRPr="006E4289">
        <w:rPr>
          <w:rFonts w:ascii="Times New Roman" w:eastAsia="Times New Roman" w:hAnsi="Times New Roman" w:cs="Times New Roman"/>
          <w:sz w:val="24"/>
          <w:szCs w:val="24"/>
        </w:rPr>
        <w:t xml:space="preserve"> (e.g., 16S rRNA gene sequencing) should be conducted in future studies to confirm the taxonomic identity of biosurfactant-producing isolates.</w:t>
      </w:r>
    </w:p>
    <w:p w14:paraId="3DC02E7F" w14:textId="77777777" w:rsidR="003C1B12" w:rsidRPr="006E4289"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Optimization of </w:t>
      </w:r>
      <w:r w:rsidRPr="006E4289">
        <w:rPr>
          <w:rFonts w:ascii="Times New Roman" w:eastAsia="Times New Roman" w:hAnsi="Times New Roman" w:cs="Times New Roman"/>
          <w:bCs/>
          <w:sz w:val="24"/>
          <w:szCs w:val="24"/>
        </w:rPr>
        <w:t>biosurfactant production conditions</w:t>
      </w:r>
      <w:r w:rsidRPr="006E4289">
        <w:rPr>
          <w:rFonts w:ascii="Times New Roman" w:eastAsia="Times New Roman" w:hAnsi="Times New Roman" w:cs="Times New Roman"/>
          <w:sz w:val="24"/>
          <w:szCs w:val="24"/>
        </w:rPr>
        <w:t xml:space="preserve"> and dosage levels is recommended to enhance remediation efficiency and cost-effectiveness.</w:t>
      </w:r>
    </w:p>
    <w:p w14:paraId="10C49FB2" w14:textId="77777777" w:rsidR="003C1B12" w:rsidRPr="006E4289"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Long-term studies should assess the </w:t>
      </w:r>
      <w:r w:rsidRPr="006E4289">
        <w:rPr>
          <w:rFonts w:ascii="Times New Roman" w:eastAsia="Times New Roman" w:hAnsi="Times New Roman" w:cs="Times New Roman"/>
          <w:bCs/>
          <w:sz w:val="24"/>
          <w:szCs w:val="24"/>
        </w:rPr>
        <w:t>ecological impact</w:t>
      </w:r>
      <w:r w:rsidRPr="006E4289">
        <w:rPr>
          <w:rFonts w:ascii="Times New Roman" w:eastAsia="Times New Roman" w:hAnsi="Times New Roman" w:cs="Times New Roman"/>
          <w:sz w:val="24"/>
          <w:szCs w:val="24"/>
        </w:rPr>
        <w:t xml:space="preserve"> of biosurfactant application on soil microbial communities and nutrient cycling.</w:t>
      </w:r>
    </w:p>
    <w:p w14:paraId="622F362B" w14:textId="77777777" w:rsidR="003C1B12" w:rsidRDefault="003C1B12" w:rsidP="003C1B12">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E4289">
        <w:rPr>
          <w:rFonts w:ascii="Times New Roman" w:eastAsia="Times New Roman" w:hAnsi="Times New Roman" w:cs="Times New Roman"/>
          <w:sz w:val="24"/>
          <w:szCs w:val="24"/>
        </w:rPr>
        <w:t xml:space="preserve">Integration of biosurfactant-based bioremediation into </w:t>
      </w:r>
      <w:r w:rsidRPr="006E4289">
        <w:rPr>
          <w:rFonts w:ascii="Times New Roman" w:eastAsia="Times New Roman" w:hAnsi="Times New Roman" w:cs="Times New Roman"/>
          <w:bCs/>
          <w:sz w:val="24"/>
          <w:szCs w:val="24"/>
        </w:rPr>
        <w:t>environmental management and agricultural recovery strategies</w:t>
      </w:r>
      <w:r w:rsidRPr="006E4289">
        <w:rPr>
          <w:rFonts w:ascii="Times New Roman" w:eastAsia="Times New Roman" w:hAnsi="Times New Roman" w:cs="Times New Roman"/>
          <w:sz w:val="24"/>
          <w:szCs w:val="24"/>
        </w:rPr>
        <w:t xml:space="preserve"> is encouraged, particularly in regions affected by chronic petroleum contamination.</w:t>
      </w:r>
    </w:p>
    <w:p w14:paraId="483E0CE7"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p>
    <w:p w14:paraId="0F81C85F"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p>
    <w:p w14:paraId="76DB9DBD" w14:textId="77777777" w:rsidR="00F230B4" w:rsidRPr="00CA3906" w:rsidRDefault="00F230B4" w:rsidP="00F230B4">
      <w:pPr>
        <w:rPr>
          <w:b/>
          <w:highlight w:val="yellow"/>
        </w:rPr>
      </w:pPr>
      <w:r w:rsidRPr="00CA3906">
        <w:rPr>
          <w:b/>
          <w:highlight w:val="yellow"/>
        </w:rPr>
        <w:t>Disclaimer (Artificial intelligence)</w:t>
      </w:r>
    </w:p>
    <w:p w14:paraId="623F53C5" w14:textId="77777777" w:rsidR="00F230B4" w:rsidRPr="00740879" w:rsidRDefault="00F230B4" w:rsidP="00F230B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0F09ECF"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p>
    <w:p w14:paraId="2A092AD1"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p>
    <w:p w14:paraId="3CBC4F92"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p>
    <w:p w14:paraId="1F45697F"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p>
    <w:p w14:paraId="44ECFA03" w14:textId="77777777" w:rsid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p>
    <w:p w14:paraId="52402CDD" w14:textId="77777777" w:rsidR="003C1B12" w:rsidRPr="003C1B12" w:rsidRDefault="003C1B12" w:rsidP="003C1B12">
      <w:pPr>
        <w:spacing w:before="100" w:beforeAutospacing="1" w:after="100" w:afterAutospacing="1" w:line="360" w:lineRule="auto"/>
        <w:jc w:val="both"/>
        <w:rPr>
          <w:rFonts w:ascii="Times New Roman" w:eastAsia="Times New Roman" w:hAnsi="Times New Roman" w:cs="Times New Roman"/>
          <w:sz w:val="24"/>
          <w:szCs w:val="24"/>
        </w:rPr>
      </w:pPr>
      <w:r w:rsidRPr="003C1B12">
        <w:rPr>
          <w:rStyle w:val="Strong"/>
          <w:rFonts w:ascii="Times New Roman" w:hAnsi="Times New Roman" w:cs="Times New Roman"/>
          <w:bCs w:val="0"/>
          <w:color w:val="000000" w:themeColor="text1"/>
          <w:sz w:val="24"/>
          <w:szCs w:val="24"/>
        </w:rPr>
        <w:t>References</w:t>
      </w:r>
    </w:p>
    <w:p w14:paraId="03060A15" w14:textId="77777777" w:rsidR="003C1B12" w:rsidRDefault="003C1B12" w:rsidP="003C1B12">
      <w:pPr>
        <w:jc w:val="both"/>
        <w:rPr>
          <w:rFonts w:ascii="Times New Roman" w:hAnsi="Times New Roman" w:cs="Times New Roman"/>
          <w:b/>
          <w:color w:val="000000" w:themeColor="text1"/>
          <w:sz w:val="20"/>
          <w:szCs w:val="20"/>
        </w:rPr>
      </w:pPr>
    </w:p>
    <w:p w14:paraId="7D406DE5" w14:textId="77777777" w:rsidR="00ED3946" w:rsidRPr="006E4289" w:rsidRDefault="00ED3946" w:rsidP="00132BC5">
      <w:pPr>
        <w:pStyle w:val="NormalWeb"/>
        <w:numPr>
          <w:ilvl w:val="0"/>
          <w:numId w:val="17"/>
        </w:numPr>
        <w:spacing w:line="360" w:lineRule="auto"/>
        <w:jc w:val="both"/>
      </w:pPr>
      <w:proofErr w:type="spellStart"/>
      <w:r w:rsidRPr="006E4289">
        <w:lastRenderedPageBreak/>
        <w:t>Adetutu</w:t>
      </w:r>
      <w:proofErr w:type="spellEnd"/>
      <w:r w:rsidRPr="006E4289">
        <w:t xml:space="preserve">, E. M., Ball, A. S., Osborn, A. M., &amp; Mazy, S. C. (2015). Bioremediation of hydrocarbon-contaminated soils: Advances and perspectives. </w:t>
      </w:r>
      <w:r w:rsidRPr="006E4289">
        <w:rPr>
          <w:rStyle w:val="Emphasis"/>
        </w:rPr>
        <w:t>Applied Microbiology and Biotechnology, 99</w:t>
      </w:r>
      <w:r w:rsidRPr="006E4289">
        <w:t>(13), 5531–5546.</w:t>
      </w:r>
    </w:p>
    <w:p w14:paraId="2BC4F230" w14:textId="77777777" w:rsidR="00ED3946" w:rsidRPr="00ED3946" w:rsidRDefault="00ED3946" w:rsidP="00132BC5">
      <w:pPr>
        <w:pStyle w:val="NormalWeb"/>
        <w:numPr>
          <w:ilvl w:val="0"/>
          <w:numId w:val="17"/>
        </w:numPr>
        <w:rPr>
          <w:highlight w:val="yellow"/>
        </w:rPr>
      </w:pPr>
      <w:proofErr w:type="spellStart"/>
      <w:r w:rsidRPr="00ED3946">
        <w:rPr>
          <w:highlight w:val="yellow"/>
        </w:rPr>
        <w:t>Asemoloye</w:t>
      </w:r>
      <w:proofErr w:type="spellEnd"/>
      <w:r w:rsidRPr="00ED3946">
        <w:rPr>
          <w:highlight w:val="yellow"/>
        </w:rPr>
        <w:t xml:space="preserve">, M. D., Ahmad, R., &amp; Jonathan, S. G. (2021). Microbial biosurfactants in sustainable environmental remediation: Recent advances and future prospects. </w:t>
      </w:r>
      <w:r w:rsidRPr="00ED3946">
        <w:rPr>
          <w:rStyle w:val="Emphasis"/>
          <w:highlight w:val="yellow"/>
        </w:rPr>
        <w:t>Journal of Environmental Management, 280</w:t>
      </w:r>
      <w:r w:rsidRPr="00ED3946">
        <w:rPr>
          <w:highlight w:val="yellow"/>
        </w:rPr>
        <w:t>, 111695. https://doi.org/10.1016/j.jenvman.2020.111695</w:t>
      </w:r>
    </w:p>
    <w:p w14:paraId="3D8BE8FD" w14:textId="77777777" w:rsidR="00ED3946" w:rsidRPr="006E4289" w:rsidRDefault="00ED3946" w:rsidP="00132BC5">
      <w:pPr>
        <w:pStyle w:val="NormalWeb"/>
        <w:numPr>
          <w:ilvl w:val="0"/>
          <w:numId w:val="17"/>
        </w:numPr>
        <w:spacing w:line="360" w:lineRule="auto"/>
        <w:jc w:val="both"/>
      </w:pPr>
      <w:r w:rsidRPr="006E4289">
        <w:t xml:space="preserve">Atlas, R. M., &amp; Hazen, T. C. (2011). Oil biodegradation and bioremediation: A tale of the two worst spills in U.S. history. </w:t>
      </w:r>
      <w:r w:rsidRPr="006E4289">
        <w:rPr>
          <w:rStyle w:val="Emphasis"/>
        </w:rPr>
        <w:t>Environmental Science &amp; Technology, 45</w:t>
      </w:r>
      <w:r w:rsidRPr="006E4289">
        <w:t>(16), 6709–6715.</w:t>
      </w:r>
    </w:p>
    <w:p w14:paraId="3B760BAD" w14:textId="77777777" w:rsidR="00ED3946" w:rsidRPr="00132BC5" w:rsidRDefault="00ED3946" w:rsidP="00132BC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132BC5">
        <w:rPr>
          <w:rFonts w:ascii="Times New Roman" w:eastAsia="Times New Roman" w:hAnsi="Times New Roman" w:cs="Times New Roman"/>
          <w:sz w:val="24"/>
          <w:szCs w:val="24"/>
        </w:rPr>
        <w:t xml:space="preserve">Banat, I. M., Franzetti, A., Gandolfi, I., </w:t>
      </w:r>
      <w:proofErr w:type="spellStart"/>
      <w:r w:rsidRPr="00132BC5">
        <w:rPr>
          <w:rFonts w:ascii="Times New Roman" w:eastAsia="Times New Roman" w:hAnsi="Times New Roman" w:cs="Times New Roman"/>
          <w:sz w:val="24"/>
          <w:szCs w:val="24"/>
        </w:rPr>
        <w:t>Bestetti</w:t>
      </w:r>
      <w:proofErr w:type="spellEnd"/>
      <w:r w:rsidRPr="00132BC5">
        <w:rPr>
          <w:rFonts w:ascii="Times New Roman" w:eastAsia="Times New Roman" w:hAnsi="Times New Roman" w:cs="Times New Roman"/>
          <w:sz w:val="24"/>
          <w:szCs w:val="24"/>
        </w:rPr>
        <w:t xml:space="preserve">, G., Martinotti, M. G., Fracchia, L., Smyth, T. J., &amp; Marchant, R. (2010). Microbial biosurfactants: Production, applications and future potential. </w:t>
      </w:r>
      <w:r w:rsidRPr="00132BC5">
        <w:rPr>
          <w:rFonts w:ascii="Times New Roman" w:eastAsia="Times New Roman" w:hAnsi="Times New Roman" w:cs="Times New Roman"/>
          <w:i/>
          <w:iCs/>
          <w:sz w:val="24"/>
          <w:szCs w:val="24"/>
        </w:rPr>
        <w:t>Applied Microbiology and Biotechnology, 87</w:t>
      </w:r>
      <w:r w:rsidRPr="00132BC5">
        <w:rPr>
          <w:rFonts w:ascii="Times New Roman" w:eastAsia="Times New Roman" w:hAnsi="Times New Roman" w:cs="Times New Roman"/>
          <w:sz w:val="24"/>
          <w:szCs w:val="24"/>
        </w:rPr>
        <w:t>(2), 427–444.</w:t>
      </w:r>
    </w:p>
    <w:p w14:paraId="3AAAB68D" w14:textId="77777777" w:rsidR="00ED3946" w:rsidRPr="00132BC5" w:rsidRDefault="00ED3946" w:rsidP="00132BC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132BC5">
        <w:rPr>
          <w:rFonts w:ascii="Times New Roman" w:eastAsia="Times New Roman" w:hAnsi="Times New Roman" w:cs="Times New Roman"/>
          <w:sz w:val="24"/>
          <w:szCs w:val="24"/>
        </w:rPr>
        <w:t xml:space="preserve">Banat, I. M., Satpute, S. K., </w:t>
      </w:r>
      <w:proofErr w:type="spellStart"/>
      <w:r w:rsidRPr="00132BC5">
        <w:rPr>
          <w:rFonts w:ascii="Times New Roman" w:eastAsia="Times New Roman" w:hAnsi="Times New Roman" w:cs="Times New Roman"/>
          <w:sz w:val="24"/>
          <w:szCs w:val="24"/>
        </w:rPr>
        <w:t>Cameotra</w:t>
      </w:r>
      <w:proofErr w:type="spellEnd"/>
      <w:r w:rsidRPr="00132BC5">
        <w:rPr>
          <w:rFonts w:ascii="Times New Roman" w:eastAsia="Times New Roman" w:hAnsi="Times New Roman" w:cs="Times New Roman"/>
          <w:sz w:val="24"/>
          <w:szCs w:val="24"/>
        </w:rPr>
        <w:t xml:space="preserve">, S. S., Patil, R., &amp; </w:t>
      </w:r>
      <w:proofErr w:type="spellStart"/>
      <w:r w:rsidRPr="00132BC5">
        <w:rPr>
          <w:rFonts w:ascii="Times New Roman" w:eastAsia="Times New Roman" w:hAnsi="Times New Roman" w:cs="Times New Roman"/>
          <w:sz w:val="24"/>
          <w:szCs w:val="24"/>
        </w:rPr>
        <w:t>Nyayanit</w:t>
      </w:r>
      <w:proofErr w:type="spellEnd"/>
      <w:r w:rsidRPr="00132BC5">
        <w:rPr>
          <w:rFonts w:ascii="Times New Roman" w:eastAsia="Times New Roman" w:hAnsi="Times New Roman" w:cs="Times New Roman"/>
          <w:sz w:val="24"/>
          <w:szCs w:val="24"/>
        </w:rPr>
        <w:t xml:space="preserve">, N. V. (2014). Cost-effective technologies and renewable substrates for biosurfactants’ production. </w:t>
      </w:r>
      <w:r w:rsidRPr="00132BC5">
        <w:rPr>
          <w:rFonts w:ascii="Times New Roman" w:eastAsia="Times New Roman" w:hAnsi="Times New Roman" w:cs="Times New Roman"/>
          <w:i/>
          <w:iCs/>
          <w:sz w:val="24"/>
          <w:szCs w:val="24"/>
        </w:rPr>
        <w:t>Frontiers in Microbiology, 5</w:t>
      </w:r>
      <w:r w:rsidRPr="00132BC5">
        <w:rPr>
          <w:rFonts w:ascii="Times New Roman" w:eastAsia="Times New Roman" w:hAnsi="Times New Roman" w:cs="Times New Roman"/>
          <w:sz w:val="24"/>
          <w:szCs w:val="24"/>
        </w:rPr>
        <w:t>, 697.</w:t>
      </w:r>
    </w:p>
    <w:p w14:paraId="422A1CBC" w14:textId="77777777" w:rsidR="00ED3946" w:rsidRPr="006E4289" w:rsidRDefault="00ED3946" w:rsidP="00132BC5">
      <w:pPr>
        <w:pStyle w:val="NormalWeb"/>
        <w:numPr>
          <w:ilvl w:val="0"/>
          <w:numId w:val="17"/>
        </w:numPr>
        <w:spacing w:line="360" w:lineRule="auto"/>
        <w:jc w:val="both"/>
      </w:pPr>
      <w:proofErr w:type="spellStart"/>
      <w:r w:rsidRPr="006E4289">
        <w:t>Bergey</w:t>
      </w:r>
      <w:proofErr w:type="spellEnd"/>
      <w:r w:rsidRPr="006E4289">
        <w:t xml:space="preserve">, D. H., &amp; Holt, J. G. (1994). </w:t>
      </w:r>
      <w:r w:rsidRPr="006E4289">
        <w:rPr>
          <w:rStyle w:val="Emphasis"/>
        </w:rPr>
        <w:t>Bergey’s manual of determinative bacteriology</w:t>
      </w:r>
      <w:r w:rsidRPr="006E4289">
        <w:t xml:space="preserve"> (9th ed.). Baltimore: Williams &amp; Wilkins.</w:t>
      </w:r>
    </w:p>
    <w:p w14:paraId="649D2625" w14:textId="77777777" w:rsidR="00ED3946" w:rsidRPr="00ED3946" w:rsidRDefault="00ED3946" w:rsidP="00132BC5">
      <w:pPr>
        <w:pStyle w:val="NormalWeb"/>
        <w:numPr>
          <w:ilvl w:val="0"/>
          <w:numId w:val="17"/>
        </w:numPr>
        <w:rPr>
          <w:highlight w:val="yellow"/>
        </w:rPr>
      </w:pPr>
      <w:r w:rsidRPr="00ED3946">
        <w:rPr>
          <w:highlight w:val="yellow"/>
        </w:rPr>
        <w:t xml:space="preserve">Brinda, C. M., </w:t>
      </w:r>
      <w:proofErr w:type="spellStart"/>
      <w:r w:rsidRPr="00ED3946">
        <w:rPr>
          <w:highlight w:val="yellow"/>
        </w:rPr>
        <w:t>Ragunathan</w:t>
      </w:r>
      <w:proofErr w:type="spellEnd"/>
      <w:r w:rsidRPr="00ED3946">
        <w:rPr>
          <w:highlight w:val="yellow"/>
        </w:rPr>
        <w:t xml:space="preserve">, R., &amp; </w:t>
      </w:r>
      <w:proofErr w:type="spellStart"/>
      <w:r w:rsidRPr="00ED3946">
        <w:rPr>
          <w:highlight w:val="yellow"/>
        </w:rPr>
        <w:t>Johney</w:t>
      </w:r>
      <w:proofErr w:type="spellEnd"/>
      <w:r w:rsidRPr="00ED3946">
        <w:rPr>
          <w:highlight w:val="yellow"/>
        </w:rPr>
        <w:t xml:space="preserve">, J. (2024). Biosurfactant production by </w:t>
      </w:r>
      <w:r w:rsidRPr="00ED3946">
        <w:rPr>
          <w:rStyle w:val="Emphasis"/>
          <w:highlight w:val="yellow"/>
        </w:rPr>
        <w:t xml:space="preserve">Bacillus </w:t>
      </w:r>
      <w:proofErr w:type="spellStart"/>
      <w:r w:rsidRPr="00ED3946">
        <w:rPr>
          <w:rStyle w:val="Emphasis"/>
          <w:highlight w:val="yellow"/>
        </w:rPr>
        <w:t>amyloliquefaciens</w:t>
      </w:r>
      <w:proofErr w:type="spellEnd"/>
      <w:r w:rsidRPr="00ED3946">
        <w:rPr>
          <w:highlight w:val="yellow"/>
        </w:rPr>
        <w:t xml:space="preserve">: Characterization and its potential. </w:t>
      </w:r>
      <w:r w:rsidRPr="00ED3946">
        <w:rPr>
          <w:rStyle w:val="Emphasis"/>
          <w:highlight w:val="yellow"/>
        </w:rPr>
        <w:t>Journal of Environmental Biology, 45</w:t>
      </w:r>
      <w:r w:rsidRPr="00ED3946">
        <w:rPr>
          <w:highlight w:val="yellow"/>
        </w:rPr>
        <w:t>, 338–348.</w:t>
      </w:r>
    </w:p>
    <w:p w14:paraId="7BCD4F13" w14:textId="77777777" w:rsidR="00ED3946" w:rsidRPr="006E4289" w:rsidRDefault="00ED3946" w:rsidP="00132BC5">
      <w:pPr>
        <w:pStyle w:val="NormalWeb"/>
        <w:numPr>
          <w:ilvl w:val="0"/>
          <w:numId w:val="17"/>
        </w:numPr>
        <w:spacing w:line="360" w:lineRule="auto"/>
        <w:jc w:val="both"/>
      </w:pPr>
      <w:proofErr w:type="spellStart"/>
      <w:r w:rsidRPr="006E4289">
        <w:t>Cameotra</w:t>
      </w:r>
      <w:proofErr w:type="spellEnd"/>
      <w:r w:rsidRPr="006E4289">
        <w:t xml:space="preserve">, S. S., &amp; </w:t>
      </w:r>
      <w:proofErr w:type="spellStart"/>
      <w:r w:rsidRPr="006E4289">
        <w:t>Bollag</w:t>
      </w:r>
      <w:proofErr w:type="spellEnd"/>
      <w:r w:rsidRPr="006E4289">
        <w:t xml:space="preserve">, J. M. (2003). Biosurfactant-enhanced bioremediation of polycyclic aromatic hydrocarbons. </w:t>
      </w:r>
      <w:r w:rsidRPr="006E4289">
        <w:rPr>
          <w:rStyle w:val="Emphasis"/>
        </w:rPr>
        <w:t>Critical Reviews in Environmental Science and Technology, 33</w:t>
      </w:r>
      <w:r w:rsidRPr="006E4289">
        <w:t>(2),111–126.</w:t>
      </w:r>
    </w:p>
    <w:p w14:paraId="0E5F92DA" w14:textId="77777777" w:rsidR="00ED3946" w:rsidRPr="006E4289" w:rsidRDefault="00ED3946" w:rsidP="00132BC5">
      <w:pPr>
        <w:pStyle w:val="NormalWeb"/>
        <w:numPr>
          <w:ilvl w:val="0"/>
          <w:numId w:val="17"/>
        </w:numPr>
        <w:spacing w:line="360" w:lineRule="auto"/>
        <w:jc w:val="both"/>
      </w:pPr>
      <w:r w:rsidRPr="006E4289">
        <w:t xml:space="preserve">Das, N., &amp; Chandran, P. (2011). Microbial degradation of petroleum hydrocarbon contaminants: An overview. </w:t>
      </w:r>
      <w:r w:rsidRPr="006E4289">
        <w:rPr>
          <w:rStyle w:val="Emphasis"/>
        </w:rPr>
        <w:t>Biotechnology Research International, 2011</w:t>
      </w:r>
      <w:r w:rsidRPr="006E4289">
        <w:t>, 941810.</w:t>
      </w:r>
    </w:p>
    <w:p w14:paraId="03916DEC" w14:textId="77777777" w:rsidR="00ED3946" w:rsidRPr="00ED3946" w:rsidRDefault="00ED3946" w:rsidP="00132BC5">
      <w:pPr>
        <w:pStyle w:val="NormalWeb"/>
        <w:numPr>
          <w:ilvl w:val="0"/>
          <w:numId w:val="17"/>
        </w:numPr>
        <w:rPr>
          <w:highlight w:val="yellow"/>
        </w:rPr>
      </w:pPr>
      <w:proofErr w:type="spellStart"/>
      <w:r w:rsidRPr="00ED3946">
        <w:rPr>
          <w:highlight w:val="yellow"/>
        </w:rPr>
        <w:t>Jimoh</w:t>
      </w:r>
      <w:proofErr w:type="spellEnd"/>
      <w:r w:rsidRPr="00ED3946">
        <w:rPr>
          <w:highlight w:val="yellow"/>
        </w:rPr>
        <w:t xml:space="preserve">, A. A., Lin, J., &amp; Ibrahim, M. (2020). Biosurfactant-assisted remediation of hydrocarbon-contaminated soil. </w:t>
      </w:r>
      <w:r w:rsidRPr="00ED3946">
        <w:rPr>
          <w:rStyle w:val="Emphasis"/>
          <w:highlight w:val="yellow"/>
        </w:rPr>
        <w:t>Environmental Technology &amp; Innovation, 18</w:t>
      </w:r>
      <w:r w:rsidRPr="00ED3946">
        <w:rPr>
          <w:highlight w:val="yellow"/>
        </w:rPr>
        <w:t>, 100732. https://doi.org/10.1016/j.eti.2020.100732</w:t>
      </w:r>
    </w:p>
    <w:p w14:paraId="7D32971A" w14:textId="77777777" w:rsidR="00ED3946" w:rsidRPr="00ED3946" w:rsidRDefault="00ED3946" w:rsidP="00132BC5">
      <w:pPr>
        <w:pStyle w:val="NormalWeb"/>
        <w:numPr>
          <w:ilvl w:val="0"/>
          <w:numId w:val="17"/>
        </w:numPr>
        <w:rPr>
          <w:highlight w:val="yellow"/>
        </w:rPr>
      </w:pPr>
      <w:proofErr w:type="spellStart"/>
      <w:r w:rsidRPr="00ED3946">
        <w:rPr>
          <w:highlight w:val="yellow"/>
        </w:rPr>
        <w:t>Kosaric</w:t>
      </w:r>
      <w:proofErr w:type="spellEnd"/>
      <w:r w:rsidRPr="00ED3946">
        <w:rPr>
          <w:highlight w:val="yellow"/>
        </w:rPr>
        <w:t xml:space="preserve">, N., &amp; </w:t>
      </w:r>
      <w:proofErr w:type="spellStart"/>
      <w:r w:rsidRPr="00ED3946">
        <w:rPr>
          <w:highlight w:val="yellow"/>
        </w:rPr>
        <w:t>Sukan</w:t>
      </w:r>
      <w:proofErr w:type="spellEnd"/>
      <w:r w:rsidRPr="00ED3946">
        <w:rPr>
          <w:highlight w:val="yellow"/>
        </w:rPr>
        <w:t xml:space="preserve">, F. V. (2015). Biosurfactants: Production and applications. </w:t>
      </w:r>
      <w:r w:rsidRPr="00ED3946">
        <w:rPr>
          <w:rStyle w:val="Emphasis"/>
          <w:highlight w:val="yellow"/>
        </w:rPr>
        <w:t>Applied Microbiology and Biotechnology, 99</w:t>
      </w:r>
      <w:r w:rsidRPr="00ED3946">
        <w:rPr>
          <w:highlight w:val="yellow"/>
        </w:rPr>
        <w:t>(3), 1105–1116. https://doi.org/10.1007/s00253-014-6260-2</w:t>
      </w:r>
    </w:p>
    <w:p w14:paraId="18DBAC45" w14:textId="77777777" w:rsidR="00ED3946" w:rsidRPr="006E4289" w:rsidRDefault="00ED3946" w:rsidP="00132BC5">
      <w:pPr>
        <w:pStyle w:val="NormalWeb"/>
        <w:numPr>
          <w:ilvl w:val="0"/>
          <w:numId w:val="17"/>
        </w:numPr>
        <w:spacing w:line="360" w:lineRule="auto"/>
        <w:jc w:val="both"/>
      </w:pPr>
      <w:proofErr w:type="spellStart"/>
      <w:r w:rsidRPr="006E4289">
        <w:lastRenderedPageBreak/>
        <w:t>Margesin</w:t>
      </w:r>
      <w:proofErr w:type="spellEnd"/>
      <w:r w:rsidRPr="006E4289">
        <w:t xml:space="preserve">, R., &amp; Schinner, F. (2001). Biodegradation and bioremediation of hydrocarbons in extreme environments. </w:t>
      </w:r>
      <w:r w:rsidRPr="006E4289">
        <w:rPr>
          <w:rStyle w:val="Emphasis"/>
        </w:rPr>
        <w:t>Applied Microbiology and Biotechnology, 56</w:t>
      </w:r>
      <w:r w:rsidRPr="006E4289">
        <w:t>(5–6), 650–663.</w:t>
      </w:r>
    </w:p>
    <w:p w14:paraId="3E6C953A" w14:textId="77777777" w:rsidR="00ED3946" w:rsidRPr="006E4289" w:rsidRDefault="00ED3946" w:rsidP="00132BC5">
      <w:pPr>
        <w:pStyle w:val="NormalWeb"/>
        <w:numPr>
          <w:ilvl w:val="0"/>
          <w:numId w:val="17"/>
        </w:numPr>
        <w:spacing w:line="360" w:lineRule="auto"/>
        <w:jc w:val="both"/>
      </w:pPr>
      <w:r w:rsidRPr="006E4289">
        <w:t xml:space="preserve">Mulligan, C. N. (2005). Environmental applications for biosurfactants. </w:t>
      </w:r>
      <w:r w:rsidRPr="006E4289">
        <w:rPr>
          <w:rStyle w:val="Emphasis"/>
        </w:rPr>
        <w:t>Environmental Pollution, 133</w:t>
      </w:r>
      <w:r w:rsidRPr="006E4289">
        <w:t>(2), 183–197.</w:t>
      </w:r>
    </w:p>
    <w:p w14:paraId="66A5BAD1" w14:textId="77777777" w:rsidR="00ED3946" w:rsidRPr="006E4289" w:rsidRDefault="00ED3946" w:rsidP="00132BC5">
      <w:pPr>
        <w:pStyle w:val="NormalWeb"/>
        <w:numPr>
          <w:ilvl w:val="0"/>
          <w:numId w:val="17"/>
        </w:numPr>
        <w:spacing w:line="360" w:lineRule="auto"/>
        <w:jc w:val="both"/>
      </w:pPr>
      <w:proofErr w:type="spellStart"/>
      <w:r w:rsidRPr="006E4289">
        <w:t>Pacwa-Płociniczak</w:t>
      </w:r>
      <w:proofErr w:type="spellEnd"/>
      <w:r w:rsidRPr="006E4289">
        <w:t xml:space="preserve">, M., </w:t>
      </w:r>
      <w:proofErr w:type="spellStart"/>
      <w:r w:rsidRPr="006E4289">
        <w:t>Płaza</w:t>
      </w:r>
      <w:proofErr w:type="spellEnd"/>
      <w:r w:rsidRPr="006E4289">
        <w:t xml:space="preserve">, G. A., </w:t>
      </w:r>
      <w:proofErr w:type="spellStart"/>
      <w:r w:rsidRPr="006E4289">
        <w:t>Piotrowska-Seget</w:t>
      </w:r>
      <w:proofErr w:type="spellEnd"/>
      <w:r w:rsidRPr="006E4289">
        <w:t xml:space="preserve">, Z., &amp; </w:t>
      </w:r>
      <w:proofErr w:type="spellStart"/>
      <w:r w:rsidRPr="006E4289">
        <w:t>Cameotra</w:t>
      </w:r>
      <w:proofErr w:type="spellEnd"/>
      <w:r w:rsidRPr="006E4289">
        <w:t xml:space="preserve">, S. S. (2011). Environmental applications of biosurfactants: Recent advances. </w:t>
      </w:r>
      <w:r w:rsidRPr="006E4289">
        <w:rPr>
          <w:rStyle w:val="Emphasis"/>
        </w:rPr>
        <w:t>International Journal of Molecular Sciences, 12</w:t>
      </w:r>
      <w:r w:rsidRPr="006E4289">
        <w:t>(1), 633–654.</w:t>
      </w:r>
    </w:p>
    <w:p w14:paraId="7EFCE194" w14:textId="77777777" w:rsidR="00ED3946" w:rsidRPr="00ED3946" w:rsidRDefault="00ED3946" w:rsidP="00132BC5">
      <w:pPr>
        <w:pStyle w:val="NormalWeb"/>
        <w:numPr>
          <w:ilvl w:val="0"/>
          <w:numId w:val="17"/>
        </w:numPr>
        <w:rPr>
          <w:highlight w:val="yellow"/>
        </w:rPr>
      </w:pPr>
      <w:proofErr w:type="spellStart"/>
      <w:r w:rsidRPr="00ED3946">
        <w:rPr>
          <w:highlight w:val="yellow"/>
        </w:rPr>
        <w:t>Satpute</w:t>
      </w:r>
      <w:proofErr w:type="spellEnd"/>
      <w:r w:rsidRPr="00ED3946">
        <w:rPr>
          <w:highlight w:val="yellow"/>
        </w:rPr>
        <w:t xml:space="preserve">, S. K., </w:t>
      </w:r>
      <w:proofErr w:type="spellStart"/>
      <w:r w:rsidRPr="00ED3946">
        <w:rPr>
          <w:highlight w:val="yellow"/>
        </w:rPr>
        <w:t>Banpurkar</w:t>
      </w:r>
      <w:proofErr w:type="spellEnd"/>
      <w:r w:rsidRPr="00ED3946">
        <w:rPr>
          <w:highlight w:val="yellow"/>
        </w:rPr>
        <w:t xml:space="preserve">, A. G., </w:t>
      </w:r>
      <w:proofErr w:type="spellStart"/>
      <w:r w:rsidRPr="00ED3946">
        <w:rPr>
          <w:highlight w:val="yellow"/>
        </w:rPr>
        <w:t>Dhakephalkar</w:t>
      </w:r>
      <w:proofErr w:type="spellEnd"/>
      <w:r w:rsidRPr="00ED3946">
        <w:rPr>
          <w:highlight w:val="yellow"/>
        </w:rPr>
        <w:t xml:space="preserve">, P. K., Banat, I. M., &amp; </w:t>
      </w:r>
      <w:proofErr w:type="spellStart"/>
      <w:r w:rsidRPr="00ED3946">
        <w:rPr>
          <w:highlight w:val="yellow"/>
        </w:rPr>
        <w:t>Chopade</w:t>
      </w:r>
      <w:proofErr w:type="spellEnd"/>
      <w:r w:rsidRPr="00ED3946">
        <w:rPr>
          <w:highlight w:val="yellow"/>
        </w:rPr>
        <w:t xml:space="preserve">, B. A. (2016). Biosurfactants, </w:t>
      </w:r>
      <w:proofErr w:type="spellStart"/>
      <w:r w:rsidRPr="00ED3946">
        <w:rPr>
          <w:highlight w:val="yellow"/>
        </w:rPr>
        <w:t>bioemulsifiers</w:t>
      </w:r>
      <w:proofErr w:type="spellEnd"/>
      <w:r w:rsidRPr="00ED3946">
        <w:rPr>
          <w:highlight w:val="yellow"/>
        </w:rPr>
        <w:t xml:space="preserve"> and exopolysaccharides from marine microorganisms. </w:t>
      </w:r>
      <w:r w:rsidRPr="00ED3946">
        <w:rPr>
          <w:rStyle w:val="Emphasis"/>
          <w:highlight w:val="yellow"/>
        </w:rPr>
        <w:t>Biotechnology Advances, 34</w:t>
      </w:r>
      <w:r w:rsidRPr="00ED3946">
        <w:rPr>
          <w:highlight w:val="yellow"/>
        </w:rPr>
        <w:t>(5), 436–450. https://doi.org/10.1016/j.biotechadv.2016.02.006</w:t>
      </w:r>
    </w:p>
    <w:p w14:paraId="4666DC0F" w14:textId="77777777" w:rsidR="00ED3946" w:rsidRPr="006E4289" w:rsidRDefault="00ED3946" w:rsidP="00132BC5">
      <w:pPr>
        <w:pStyle w:val="NormalWeb"/>
        <w:numPr>
          <w:ilvl w:val="0"/>
          <w:numId w:val="17"/>
        </w:numPr>
        <w:spacing w:line="360" w:lineRule="auto"/>
        <w:jc w:val="both"/>
      </w:pPr>
      <w:proofErr w:type="spellStart"/>
      <w:r w:rsidRPr="006E4289">
        <w:t>Urum</w:t>
      </w:r>
      <w:proofErr w:type="spellEnd"/>
      <w:r w:rsidRPr="006E4289">
        <w:t xml:space="preserve">, K., </w:t>
      </w:r>
      <w:proofErr w:type="spellStart"/>
      <w:r w:rsidRPr="006E4289">
        <w:t>Pekdemir</w:t>
      </w:r>
      <w:proofErr w:type="spellEnd"/>
      <w:r w:rsidRPr="006E4289">
        <w:t xml:space="preserve">, T., &amp; Çopur, M. (2004). Surfactants treatment of crude oil contaminated soils. </w:t>
      </w:r>
      <w:r w:rsidRPr="006E4289">
        <w:rPr>
          <w:rStyle w:val="Emphasis"/>
        </w:rPr>
        <w:t>Journal of Colloid and Interface Science, 276</w:t>
      </w:r>
      <w:r w:rsidRPr="006E4289">
        <w:t>(2), 456–464.</w:t>
      </w:r>
    </w:p>
    <w:p w14:paraId="7314F780" w14:textId="77777777" w:rsidR="00ED3946" w:rsidRDefault="00ED3946" w:rsidP="00132BC5">
      <w:pPr>
        <w:pStyle w:val="NormalWeb"/>
        <w:numPr>
          <w:ilvl w:val="0"/>
          <w:numId w:val="17"/>
        </w:numPr>
      </w:pPr>
      <w:proofErr w:type="spellStart"/>
      <w:r w:rsidRPr="00ED3946">
        <w:rPr>
          <w:highlight w:val="yellow"/>
        </w:rPr>
        <w:t>Varjani</w:t>
      </w:r>
      <w:proofErr w:type="spellEnd"/>
      <w:r w:rsidRPr="00ED3946">
        <w:rPr>
          <w:highlight w:val="yellow"/>
        </w:rPr>
        <w:t xml:space="preserve">, S. J., &amp; </w:t>
      </w:r>
      <w:proofErr w:type="spellStart"/>
      <w:r w:rsidRPr="00ED3946">
        <w:rPr>
          <w:highlight w:val="yellow"/>
        </w:rPr>
        <w:t>Upasani</w:t>
      </w:r>
      <w:proofErr w:type="spellEnd"/>
      <w:r w:rsidRPr="00ED3946">
        <w:rPr>
          <w:highlight w:val="yellow"/>
        </w:rPr>
        <w:t xml:space="preserve">, V. N. (2017). A new look on factors affecting microbial degradation of petroleum hydrocarbons. </w:t>
      </w:r>
      <w:r w:rsidRPr="00ED3946">
        <w:rPr>
          <w:rStyle w:val="Emphasis"/>
          <w:highlight w:val="yellow"/>
        </w:rPr>
        <w:t>Bioresource Technology, 223</w:t>
      </w:r>
      <w:r w:rsidRPr="00ED3946">
        <w:rPr>
          <w:highlight w:val="yellow"/>
        </w:rPr>
        <w:t>, 277–286. https://doi.org/10.1016/j.biortech.2016.10.036</w:t>
      </w:r>
    </w:p>
    <w:p w14:paraId="426DBAC0" w14:textId="77777777" w:rsidR="003C1B12" w:rsidRPr="003C1B12" w:rsidRDefault="003C1B12" w:rsidP="003C1B12">
      <w:pPr>
        <w:jc w:val="both"/>
        <w:rPr>
          <w:rFonts w:ascii="Times New Roman" w:hAnsi="Times New Roman" w:cs="Times New Roman"/>
          <w:b/>
          <w:color w:val="000000" w:themeColor="text1"/>
          <w:sz w:val="20"/>
          <w:szCs w:val="20"/>
        </w:rPr>
      </w:pPr>
    </w:p>
    <w:sectPr w:rsidR="003C1B12" w:rsidRPr="003C1B12" w:rsidSect="00034616">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5142C" w14:textId="77777777" w:rsidR="003E2D54" w:rsidRDefault="003E2D54" w:rsidP="003C1B12">
      <w:pPr>
        <w:spacing w:after="0" w:line="240" w:lineRule="auto"/>
      </w:pPr>
      <w:r>
        <w:separator/>
      </w:r>
    </w:p>
  </w:endnote>
  <w:endnote w:type="continuationSeparator" w:id="0">
    <w:p w14:paraId="47A96D72" w14:textId="77777777" w:rsidR="003E2D54" w:rsidRDefault="003E2D54" w:rsidP="003C1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2312"/>
      <w:docPartObj>
        <w:docPartGallery w:val="Page Numbers (Bottom of Page)"/>
        <w:docPartUnique/>
      </w:docPartObj>
    </w:sdtPr>
    <w:sdtEndPr>
      <w:rPr>
        <w:noProof/>
      </w:rPr>
    </w:sdtEndPr>
    <w:sdtContent>
      <w:p w14:paraId="3EB26803" w14:textId="77777777" w:rsidR="007548A8" w:rsidRDefault="007548A8">
        <w:pPr>
          <w:pStyle w:val="Footer"/>
          <w:jc w:val="center"/>
        </w:pPr>
        <w:r>
          <w:fldChar w:fldCharType="begin"/>
        </w:r>
        <w:r>
          <w:instrText xml:space="preserve"> PAGE   \* MERGEFORMAT </w:instrText>
        </w:r>
        <w:r>
          <w:fldChar w:fldCharType="separate"/>
        </w:r>
        <w:r w:rsidR="00ED3946">
          <w:rPr>
            <w:noProof/>
          </w:rPr>
          <w:t>20</w:t>
        </w:r>
        <w:r>
          <w:rPr>
            <w:noProof/>
          </w:rPr>
          <w:fldChar w:fldCharType="end"/>
        </w:r>
      </w:p>
    </w:sdtContent>
  </w:sdt>
  <w:p w14:paraId="5D4D0112" w14:textId="77777777" w:rsidR="003C1B12" w:rsidRDefault="003C1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8F9C1" w14:textId="77777777" w:rsidR="003E2D54" w:rsidRDefault="003E2D54" w:rsidP="003C1B12">
      <w:pPr>
        <w:spacing w:after="0" w:line="240" w:lineRule="auto"/>
      </w:pPr>
      <w:r>
        <w:separator/>
      </w:r>
    </w:p>
  </w:footnote>
  <w:footnote w:type="continuationSeparator" w:id="0">
    <w:p w14:paraId="1DE33D5E" w14:textId="77777777" w:rsidR="003E2D54" w:rsidRDefault="003E2D54" w:rsidP="003C1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E78FB" w14:textId="5BBE21C5" w:rsidR="008660EC" w:rsidRDefault="007A4E31">
    <w:pPr>
      <w:pStyle w:val="Header"/>
    </w:pPr>
    <w:r>
      <w:rPr>
        <w:noProof/>
      </w:rPr>
      <mc:AlternateContent>
        <mc:Choice Requires="wps">
          <w:drawing>
            <wp:anchor distT="0" distB="0" distL="114300" distR="114300" simplePos="0" relativeHeight="251656704" behindDoc="1" locked="0" layoutInCell="0" allowOverlap="1" wp14:anchorId="7FEE5027" wp14:editId="3D896A41">
              <wp:simplePos x="0" y="0"/>
              <wp:positionH relativeFrom="margin">
                <wp:align>center</wp:align>
              </wp:positionH>
              <wp:positionV relativeFrom="margin">
                <wp:align>center</wp:align>
              </wp:positionV>
              <wp:extent cx="6862445" cy="872490"/>
              <wp:effectExtent l="0" t="2238375" r="0" b="20612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62445" cy="872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221F1E" w14:textId="77777777" w:rsidR="007A4E31" w:rsidRDefault="007A4E31" w:rsidP="007A4E31">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EE5027" id="_x0000_t202" coordsize="21600,21600" o:spt="202" path="m,l,21600r21600,l21600,xe">
              <v:stroke joinstyle="miter"/>
              <v:path gradientshapeok="t" o:connecttype="rect"/>
            </v:shapetype>
            <v:shape id="Text Box 5" o:spid="_x0000_s1026" type="#_x0000_t202" style="position:absolute;margin-left:0;margin-top:0;width:540.35pt;height:68.7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" o:allowincell="f" filled="f" stroked="f">
              <v:stroke joinstyle="round"/>
              <o:lock v:ext="edit" shapetype="t"/>
              <v:textbox style="mso-fit-shape-to-text:t">
                <w:txbxContent>
                  <w:p w14:paraId="3A221F1E" w14:textId="77777777" w:rsidR="007A4E31" w:rsidRDefault="007A4E31" w:rsidP="007A4E31">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5EE1" w14:textId="0C9F239D" w:rsidR="008660EC" w:rsidRDefault="007A4E31">
    <w:pPr>
      <w:pStyle w:val="Header"/>
    </w:pPr>
    <w:r>
      <w:rPr>
        <w:noProof/>
      </w:rPr>
      <mc:AlternateContent>
        <mc:Choice Requires="wps">
          <w:drawing>
            <wp:anchor distT="0" distB="0" distL="114300" distR="114300" simplePos="0" relativeHeight="251657728" behindDoc="1" locked="0" layoutInCell="0" allowOverlap="1" wp14:anchorId="317894B2" wp14:editId="01469A6E">
              <wp:simplePos x="0" y="0"/>
              <wp:positionH relativeFrom="margin">
                <wp:align>center</wp:align>
              </wp:positionH>
              <wp:positionV relativeFrom="margin">
                <wp:align>center</wp:align>
              </wp:positionV>
              <wp:extent cx="6862445" cy="872490"/>
              <wp:effectExtent l="0" t="2238375" r="0" b="20612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862445" cy="8724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F0BB8A" w14:textId="77777777" w:rsidR="007A4E31" w:rsidRDefault="007A4E31" w:rsidP="007A4E31">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7894B2" id="_x0000_t202" coordsize="21600,21600" o:spt="202" path="m,l,21600r21600,l21600,xe">
              <v:stroke joinstyle="miter"/>
              <v:path gradientshapeok="t" o:connecttype="rect"/>
            </v:shapetype>
            <v:shape id="Text Box 4" o:spid="_x0000_s1027" type="#_x0000_t202" style="position:absolute;margin-left:0;margin-top:0;width:540.35pt;height:68.7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" o:allowincell="f" filled="f" stroked="f">
              <v:stroke joinstyle="round"/>
              <o:lock v:ext="edit" shapetype="t"/>
              <v:textbox style="mso-fit-shape-to-text:t">
                <w:txbxContent>
                  <w:p w14:paraId="08F0BB8A" w14:textId="77777777" w:rsidR="007A4E31" w:rsidRDefault="007A4E31" w:rsidP="007A4E31">
                    <w:pPr>
                      <w:pStyle w:val="NormalWeb"/>
                      <w:spacing w:before="0" w:beforeAutospacing="0" w:after="0" w:afterAutospacing="0"/>
                      <w:jc w:val="center"/>
                    </w:pPr>
                    <w:r>
                      <w:rPr>
                        <w:rFonts w:ascii="Cambria" w:eastAsia="Cambria" w:hAnsi="Cambri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C9EA" w14:textId="2FC074A2" w:rsidR="008660EC" w:rsidRDefault="003E2D54">
    <w:pPr>
      <w:pStyle w:val="Header"/>
    </w:pPr>
    <w:r>
      <w:rPr>
        <w:noProof/>
      </w:rPr>
      <w:pict w14:anchorId="0893F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0.35pt;height:68.7pt;rotation:315;z-index:-25165772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7F751D"/>
    <w:multiLevelType w:val="multilevel"/>
    <w:tmpl w:val="3986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8C587B"/>
    <w:multiLevelType w:val="multilevel"/>
    <w:tmpl w:val="4262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153A2"/>
    <w:multiLevelType w:val="multilevel"/>
    <w:tmpl w:val="47FA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F4962"/>
    <w:multiLevelType w:val="multilevel"/>
    <w:tmpl w:val="07905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FE6D55"/>
    <w:multiLevelType w:val="multilevel"/>
    <w:tmpl w:val="33E68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6A2A4F"/>
    <w:multiLevelType w:val="hybridMultilevel"/>
    <w:tmpl w:val="4FA2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8055DE"/>
    <w:multiLevelType w:val="multilevel"/>
    <w:tmpl w:val="D556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DB4904"/>
    <w:multiLevelType w:val="hybridMultilevel"/>
    <w:tmpl w:val="B0E25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15"/>
  </w:num>
  <w:num w:numId="12">
    <w:abstractNumId w:val="11"/>
  </w:num>
  <w:num w:numId="13">
    <w:abstractNumId w:val="9"/>
  </w:num>
  <w:num w:numId="14">
    <w:abstractNumId w:val="10"/>
  </w:num>
  <w:num w:numId="15">
    <w:abstractNumId w:val="12"/>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CFD"/>
    <w:rsid w:val="00034616"/>
    <w:rsid w:val="0006063C"/>
    <w:rsid w:val="000C0631"/>
    <w:rsid w:val="00132BC5"/>
    <w:rsid w:val="0015074B"/>
    <w:rsid w:val="00152781"/>
    <w:rsid w:val="00183054"/>
    <w:rsid w:val="00184AF8"/>
    <w:rsid w:val="00190C84"/>
    <w:rsid w:val="002346DB"/>
    <w:rsid w:val="0029639D"/>
    <w:rsid w:val="002C701B"/>
    <w:rsid w:val="00326F90"/>
    <w:rsid w:val="003C1B12"/>
    <w:rsid w:val="003E2D54"/>
    <w:rsid w:val="004D30AC"/>
    <w:rsid w:val="0051143D"/>
    <w:rsid w:val="006233FA"/>
    <w:rsid w:val="006B03FB"/>
    <w:rsid w:val="00706843"/>
    <w:rsid w:val="007548A8"/>
    <w:rsid w:val="007A4E31"/>
    <w:rsid w:val="007C225D"/>
    <w:rsid w:val="007E46D4"/>
    <w:rsid w:val="0082684E"/>
    <w:rsid w:val="008660EC"/>
    <w:rsid w:val="008E1F97"/>
    <w:rsid w:val="00903271"/>
    <w:rsid w:val="00945E71"/>
    <w:rsid w:val="00986653"/>
    <w:rsid w:val="00AA1D8D"/>
    <w:rsid w:val="00B47730"/>
    <w:rsid w:val="00B736C0"/>
    <w:rsid w:val="00BD3E92"/>
    <w:rsid w:val="00C32992"/>
    <w:rsid w:val="00CA5DD0"/>
    <w:rsid w:val="00CB0664"/>
    <w:rsid w:val="00CD3F06"/>
    <w:rsid w:val="00D000A6"/>
    <w:rsid w:val="00E40FC1"/>
    <w:rsid w:val="00E70461"/>
    <w:rsid w:val="00ED3946"/>
    <w:rsid w:val="00ED75E9"/>
    <w:rsid w:val="00F17D14"/>
    <w:rsid w:val="00F230B4"/>
    <w:rsid w:val="00F40CFA"/>
    <w:rsid w:val="00F542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7EF3638"/>
  <w14:defaultImageDpi w14:val="300"/>
  <w15:docId w15:val="{C5CDC121-45CB-45E7-B374-5A35E9D4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068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0CFA"/>
    <w:rPr>
      <w:color w:val="0000FF" w:themeColor="hyperlink"/>
      <w:u w:val="single"/>
    </w:rPr>
  </w:style>
  <w:style w:type="character" w:customStyle="1" w:styleId="UnresolvedMention1">
    <w:name w:val="Unresolved Mention1"/>
    <w:basedOn w:val="DefaultParagraphFont"/>
    <w:uiPriority w:val="99"/>
    <w:semiHidden/>
    <w:unhideWhenUsed/>
    <w:rsid w:val="00F40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8445">
      <w:bodyDiv w:val="1"/>
      <w:marLeft w:val="0"/>
      <w:marRight w:val="0"/>
      <w:marTop w:val="0"/>
      <w:marBottom w:val="0"/>
      <w:divBdr>
        <w:top w:val="none" w:sz="0" w:space="0" w:color="auto"/>
        <w:left w:val="none" w:sz="0" w:space="0" w:color="auto"/>
        <w:bottom w:val="none" w:sz="0" w:space="0" w:color="auto"/>
        <w:right w:val="none" w:sz="0" w:space="0" w:color="auto"/>
      </w:divBdr>
    </w:div>
    <w:div w:id="113523199">
      <w:bodyDiv w:val="1"/>
      <w:marLeft w:val="0"/>
      <w:marRight w:val="0"/>
      <w:marTop w:val="0"/>
      <w:marBottom w:val="0"/>
      <w:divBdr>
        <w:top w:val="none" w:sz="0" w:space="0" w:color="auto"/>
        <w:left w:val="none" w:sz="0" w:space="0" w:color="auto"/>
        <w:bottom w:val="none" w:sz="0" w:space="0" w:color="auto"/>
        <w:right w:val="none" w:sz="0" w:space="0" w:color="auto"/>
      </w:divBdr>
    </w:div>
    <w:div w:id="354236697">
      <w:bodyDiv w:val="1"/>
      <w:marLeft w:val="0"/>
      <w:marRight w:val="0"/>
      <w:marTop w:val="0"/>
      <w:marBottom w:val="0"/>
      <w:divBdr>
        <w:top w:val="none" w:sz="0" w:space="0" w:color="auto"/>
        <w:left w:val="none" w:sz="0" w:space="0" w:color="auto"/>
        <w:bottom w:val="none" w:sz="0" w:space="0" w:color="auto"/>
        <w:right w:val="none" w:sz="0" w:space="0" w:color="auto"/>
      </w:divBdr>
    </w:div>
    <w:div w:id="366876356">
      <w:bodyDiv w:val="1"/>
      <w:marLeft w:val="0"/>
      <w:marRight w:val="0"/>
      <w:marTop w:val="0"/>
      <w:marBottom w:val="0"/>
      <w:divBdr>
        <w:top w:val="none" w:sz="0" w:space="0" w:color="auto"/>
        <w:left w:val="none" w:sz="0" w:space="0" w:color="auto"/>
        <w:bottom w:val="none" w:sz="0" w:space="0" w:color="auto"/>
        <w:right w:val="none" w:sz="0" w:space="0" w:color="auto"/>
      </w:divBdr>
    </w:div>
    <w:div w:id="709457386">
      <w:bodyDiv w:val="1"/>
      <w:marLeft w:val="0"/>
      <w:marRight w:val="0"/>
      <w:marTop w:val="0"/>
      <w:marBottom w:val="0"/>
      <w:divBdr>
        <w:top w:val="none" w:sz="0" w:space="0" w:color="auto"/>
        <w:left w:val="none" w:sz="0" w:space="0" w:color="auto"/>
        <w:bottom w:val="none" w:sz="0" w:space="0" w:color="auto"/>
        <w:right w:val="none" w:sz="0" w:space="0" w:color="auto"/>
      </w:divBdr>
    </w:div>
    <w:div w:id="1360162606">
      <w:bodyDiv w:val="1"/>
      <w:marLeft w:val="0"/>
      <w:marRight w:val="0"/>
      <w:marTop w:val="0"/>
      <w:marBottom w:val="0"/>
      <w:divBdr>
        <w:top w:val="none" w:sz="0" w:space="0" w:color="auto"/>
        <w:left w:val="none" w:sz="0" w:space="0" w:color="auto"/>
        <w:bottom w:val="none" w:sz="0" w:space="0" w:color="auto"/>
        <w:right w:val="none" w:sz="0" w:space="0" w:color="auto"/>
      </w:divBdr>
    </w:div>
    <w:div w:id="15786366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2C50F-7450-449C-AB7E-8C3095BC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21</Pages>
  <Words>3986</Words>
  <Characters>22722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Editor GP 005</cp:lastModifiedBy>
  <cp:revision>12</cp:revision>
  <dcterms:created xsi:type="dcterms:W3CDTF">2013-12-23T23:15:00Z</dcterms:created>
  <dcterms:modified xsi:type="dcterms:W3CDTF">2026-02-19T06:07:00Z</dcterms:modified>
  <cp:category/>
</cp:coreProperties>
</file>