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F7BE9" w14:textId="77777777" w:rsidR="009A6864" w:rsidRDefault="009A6864" w:rsidP="00441B6F">
      <w:pPr>
        <w:pStyle w:val="Title"/>
        <w:spacing w:after="0"/>
        <w:jc w:val="both"/>
        <w:rPr>
          <w:rFonts w:ascii="Arial" w:hAnsi="Arial" w:cs="Arial"/>
        </w:rPr>
      </w:pPr>
    </w:p>
    <w:p w14:paraId="3DAB7946" w14:textId="77777777" w:rsidR="009A6864" w:rsidRDefault="009A6864" w:rsidP="00441B6F">
      <w:pPr>
        <w:pStyle w:val="Title"/>
        <w:spacing w:after="0"/>
        <w:jc w:val="both"/>
        <w:rPr>
          <w:rFonts w:ascii="Arial" w:hAnsi="Arial" w:cs="Arial"/>
        </w:rPr>
      </w:pPr>
    </w:p>
    <w:p w14:paraId="3A8B444C" w14:textId="12DCC531" w:rsidR="00163BC4" w:rsidRPr="00163BC4" w:rsidRDefault="00C91493" w:rsidP="00441B6F">
      <w:pPr>
        <w:pStyle w:val="Author"/>
        <w:spacing w:line="240" w:lineRule="auto"/>
        <w:rPr>
          <w:rFonts w:ascii="Arial" w:hAnsi="Arial" w:cs="Arial"/>
          <w:bCs/>
          <w:iCs/>
          <w:kern w:val="28"/>
          <w:sz w:val="36"/>
        </w:rPr>
      </w:pPr>
      <w:r w:rsidRPr="00C91493">
        <w:rPr>
          <w:rFonts w:ascii="Arial" w:hAnsi="Arial" w:cs="Arial"/>
          <w:sz w:val="36"/>
          <w:szCs w:val="36"/>
        </w:rPr>
        <w:t xml:space="preserve">Tuition as Strategic Communication: </w:t>
      </w:r>
      <w:r w:rsidR="00D94D79">
        <w:rPr>
          <w:rFonts w:ascii="Arial" w:hAnsi="Arial" w:cs="Arial"/>
          <w:sz w:val="36"/>
          <w:szCs w:val="36"/>
        </w:rPr>
        <w:t xml:space="preserve">A Comparative Analysis of </w:t>
      </w:r>
      <w:r w:rsidRPr="00C91493">
        <w:rPr>
          <w:rFonts w:ascii="Arial" w:hAnsi="Arial" w:cs="Arial"/>
          <w:sz w:val="36"/>
          <w:szCs w:val="36"/>
        </w:rPr>
        <w:t>Framing and Signaling in Global and Philippine University Websites</w:t>
      </w:r>
    </w:p>
    <w:p w14:paraId="0BC7E264" w14:textId="77777777" w:rsidR="00A258C3" w:rsidRPr="00790ADA" w:rsidRDefault="00A258C3" w:rsidP="00441B6F">
      <w:pPr>
        <w:pStyle w:val="Author"/>
        <w:spacing w:line="240" w:lineRule="auto"/>
        <w:jc w:val="both"/>
        <w:rPr>
          <w:rFonts w:ascii="Arial" w:hAnsi="Arial" w:cs="Arial"/>
          <w:sz w:val="36"/>
        </w:rPr>
      </w:pPr>
    </w:p>
    <w:p w14:paraId="7FFB0A20" w14:textId="77777777" w:rsidR="00211501" w:rsidRPr="00FE29AB" w:rsidRDefault="00211501" w:rsidP="00211501">
      <w:pPr>
        <w:pStyle w:val="Affiliation"/>
        <w:spacing w:after="0" w:line="240" w:lineRule="auto"/>
        <w:rPr>
          <w:rFonts w:ascii="Arial" w:hAnsi="Arial" w:cs="Arial"/>
          <w:i/>
        </w:rPr>
      </w:pPr>
    </w:p>
    <w:p w14:paraId="39B46994" w14:textId="77777777" w:rsidR="00790ADA" w:rsidRDefault="00790ADA" w:rsidP="00441B6F">
      <w:pPr>
        <w:pStyle w:val="Affiliation"/>
        <w:spacing w:after="0" w:line="240" w:lineRule="auto"/>
        <w:jc w:val="both"/>
        <w:rPr>
          <w:rFonts w:ascii="Arial" w:hAnsi="Arial" w:cs="Arial"/>
        </w:rPr>
      </w:pPr>
    </w:p>
    <w:p w14:paraId="59433183" w14:textId="77777777" w:rsidR="002C57D2" w:rsidRPr="00FB3A86" w:rsidRDefault="002C57D2" w:rsidP="00441B6F">
      <w:pPr>
        <w:pStyle w:val="Affiliation"/>
        <w:spacing w:after="0" w:line="240" w:lineRule="auto"/>
        <w:jc w:val="both"/>
        <w:rPr>
          <w:rFonts w:ascii="Arial" w:hAnsi="Arial" w:cs="Arial"/>
        </w:rPr>
      </w:pPr>
    </w:p>
    <w:p w14:paraId="01CF4F8D" w14:textId="77777777" w:rsidR="00B01FCD" w:rsidRPr="00FB3A86" w:rsidRDefault="009B77D6" w:rsidP="00441B6F">
      <w:pPr>
        <w:pStyle w:val="Copyright"/>
        <w:spacing w:after="0" w:line="240" w:lineRule="auto"/>
        <w:jc w:val="both"/>
        <w:rPr>
          <w:rFonts w:ascii="Arial" w:hAnsi="Arial" w:cs="Arial"/>
        </w:rPr>
        <w:sectPr w:rsidR="00B01FCD" w:rsidRPr="00FB3A86" w:rsidSect="00174A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081056D" wp14:editId="60B9EB01">
                <wp:extent cx="5303520" cy="635"/>
                <wp:effectExtent l="0" t="12700" r="5080" b="12065"/>
                <wp:docPr id="18035398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1AFB5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092B895A" w14:textId="7D03D9D9" w:rsidR="00B01FCD" w:rsidRDefault="00B01FCD" w:rsidP="00441B6F">
      <w:pPr>
        <w:pStyle w:val="AbstHead"/>
        <w:spacing w:after="0"/>
        <w:jc w:val="both"/>
        <w:rPr>
          <w:rFonts w:ascii="Arial" w:hAnsi="Arial" w:cs="Arial"/>
        </w:rPr>
      </w:pPr>
      <w:r w:rsidRPr="00FB3A86">
        <w:rPr>
          <w:rFonts w:ascii="Arial" w:hAnsi="Arial" w:cs="Arial"/>
        </w:rPr>
        <w:t>ABSTRACT</w:t>
      </w:r>
    </w:p>
    <w:p w14:paraId="6640ECD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07467B8" w14:textId="77777777" w:rsidTr="001E44FE">
        <w:tc>
          <w:tcPr>
            <w:tcW w:w="9576" w:type="dxa"/>
            <w:shd w:val="clear" w:color="auto" w:fill="F2F2F2"/>
          </w:tcPr>
          <w:p w14:paraId="4F4BF7F6" w14:textId="4B7FF661" w:rsidR="00505F06" w:rsidRPr="00E612F5" w:rsidRDefault="00E612F5" w:rsidP="00FC1DD7">
            <w:pPr>
              <w:rPr>
                <w:rFonts w:ascii="Times New Roman" w:hAnsi="Times New Roman"/>
              </w:rPr>
            </w:pPr>
            <w:r>
              <w:t>Tuition costs are a key factor in how universities compete and how students make choices, especially for private universities that rely on tuition for funding. Although tuition details are easy to find online, there has been little research on how this information is presented on specific tuition and financial aid webpages, rather than across whole university websites. This study uses a qualitative comparative document analysis to examine the English-language tuition and financial aid webpages of six private universities ranked 200–500 in the QS World University Rankings 2026, as well as those of one private university in Northern Mindanao, Philippines. Using Framing Theory and Signaling Theory, the study identifies seven dominant tuition frames: investment, accessibility, scholarship emphasis, prestige justification, transparency, employability outcomes, and calls to action. The global benchmark universities often combined investment, prestige, and employability messages with clear cost information, presenting tuition as a value tied to rankings, career prospects, and quality. In comparison, the Philippine university focused on transparency and accessibility but did not emphasize prestige, investment, or employability as much as it did on tuition details, which could limit its competitiveness and global profile. The results show that tuition webpages act as strategic communication tools, not just places for administrative information. Philippine universities aiming to boost their international reputation and rankings should consider adding more prestige signals, outcome data, and value-focused messages to their tuition pages while remaining transparent.</w:t>
            </w:r>
          </w:p>
        </w:tc>
      </w:tr>
    </w:tbl>
    <w:p w14:paraId="7CBBBF07" w14:textId="77777777" w:rsidR="00636EB2" w:rsidRDefault="00636EB2" w:rsidP="00441B6F">
      <w:pPr>
        <w:pStyle w:val="Body"/>
        <w:spacing w:after="0"/>
        <w:rPr>
          <w:rFonts w:ascii="Arial" w:hAnsi="Arial" w:cs="Arial"/>
          <w:i/>
        </w:rPr>
      </w:pPr>
    </w:p>
    <w:p w14:paraId="544A2CE3" w14:textId="1C97590B" w:rsidR="0024282C" w:rsidRPr="00FC1DD7" w:rsidRDefault="00A24E7E" w:rsidP="00441B6F">
      <w:pPr>
        <w:pStyle w:val="Body"/>
        <w:spacing w:after="0"/>
        <w:rPr>
          <w:rFonts w:ascii="Arial" w:hAnsi="Arial" w:cs="Arial"/>
          <w:i/>
        </w:rPr>
      </w:pPr>
      <w:r>
        <w:rPr>
          <w:rFonts w:ascii="Arial" w:hAnsi="Arial" w:cs="Arial"/>
          <w:i/>
        </w:rPr>
        <w:t xml:space="preserve">Keywords: </w:t>
      </w:r>
      <w:r w:rsidR="006A1041">
        <w:rPr>
          <w:rFonts w:ascii="Arial" w:hAnsi="Arial" w:cs="Arial"/>
          <w:i/>
        </w:rPr>
        <w:t>Tuition communication, framing theory, signaling theory, higher education, university websites</w:t>
      </w:r>
    </w:p>
    <w:p w14:paraId="3CA8E6F8" w14:textId="77777777" w:rsidR="00505F06" w:rsidRPr="00A24E7E" w:rsidRDefault="00505F06" w:rsidP="00441B6F">
      <w:pPr>
        <w:pStyle w:val="Body"/>
        <w:spacing w:after="0"/>
        <w:rPr>
          <w:rFonts w:ascii="Arial" w:hAnsi="Arial" w:cs="Arial"/>
          <w:i/>
        </w:rPr>
      </w:pPr>
    </w:p>
    <w:p w14:paraId="36B17E27" w14:textId="58856F0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24171A3" w14:textId="77777777" w:rsidR="00790ADA" w:rsidRPr="00FB3A86" w:rsidRDefault="00790ADA" w:rsidP="00441B6F">
      <w:pPr>
        <w:pStyle w:val="AbstHead"/>
        <w:spacing w:after="0"/>
        <w:jc w:val="both"/>
        <w:rPr>
          <w:rFonts w:ascii="Arial" w:hAnsi="Arial" w:cs="Arial"/>
        </w:rPr>
      </w:pPr>
    </w:p>
    <w:p w14:paraId="69CFB2AA" w14:textId="77777777" w:rsidR="00BB5E3F" w:rsidRPr="00BB5E3F" w:rsidRDefault="00BB5E3F" w:rsidP="00BB5E3F">
      <w:pPr>
        <w:rPr>
          <w:rFonts w:ascii="Times New Roman" w:hAnsi="Times New Roman"/>
          <w:sz w:val="24"/>
          <w:szCs w:val="24"/>
          <w:lang w:val="en-PH"/>
        </w:rPr>
      </w:pPr>
      <w:r w:rsidRPr="00BB5E3F">
        <w:rPr>
          <w:rFonts w:ascii="Arial" w:hAnsi="Arial" w:cs="Arial"/>
          <w:color w:val="000000"/>
          <w:lang w:val="en-PH"/>
        </w:rPr>
        <w:t>Higher education has become more international and competitive, with universities shaped by global rankings, student mobility, and reputation (</w:t>
      </w:r>
      <w:proofErr w:type="spellStart"/>
      <w:r w:rsidRPr="00BB5E3F">
        <w:rPr>
          <w:rFonts w:ascii="Arial" w:hAnsi="Arial" w:cs="Arial"/>
          <w:color w:val="000000"/>
          <w:lang w:val="en-PH"/>
        </w:rPr>
        <w:t>Arfan</w:t>
      </w:r>
      <w:proofErr w:type="spellEnd"/>
      <w:r w:rsidRPr="00BB5E3F">
        <w:rPr>
          <w:rFonts w:ascii="Arial" w:hAnsi="Arial" w:cs="Arial"/>
          <w:color w:val="000000"/>
          <w:lang w:val="en-PH"/>
        </w:rPr>
        <w:t xml:space="preserve"> et al., 2025; </w:t>
      </w:r>
      <w:proofErr w:type="spellStart"/>
      <w:r w:rsidRPr="00BB5E3F">
        <w:rPr>
          <w:rFonts w:ascii="Arial" w:hAnsi="Arial" w:cs="Arial"/>
          <w:color w:val="000000"/>
          <w:lang w:val="en-PH"/>
        </w:rPr>
        <w:t>Ilhami</w:t>
      </w:r>
      <w:proofErr w:type="spellEnd"/>
      <w:r w:rsidRPr="00BB5E3F">
        <w:rPr>
          <w:rFonts w:ascii="Arial" w:hAnsi="Arial" w:cs="Arial"/>
          <w:color w:val="000000"/>
          <w:lang w:val="en-PH"/>
        </w:rPr>
        <w:t xml:space="preserve"> et al., 2025). Ranking systems like QS, Times Higher Education, and the Academic Ranking of World Universities have a strong impact on how institutions are seen worldwide (</w:t>
      </w:r>
      <w:proofErr w:type="spellStart"/>
      <w:r w:rsidRPr="00BB5E3F">
        <w:rPr>
          <w:rFonts w:ascii="Arial" w:hAnsi="Arial" w:cs="Arial"/>
          <w:color w:val="000000"/>
          <w:lang w:val="en-PH"/>
        </w:rPr>
        <w:t>Badiuzzaman</w:t>
      </w:r>
      <w:proofErr w:type="spellEnd"/>
      <w:r w:rsidRPr="00BB5E3F">
        <w:rPr>
          <w:rFonts w:ascii="Arial" w:hAnsi="Arial" w:cs="Arial"/>
          <w:color w:val="000000"/>
          <w:lang w:val="en-PH"/>
        </w:rPr>
        <w:t>, 2025). In tuition-based systems, university websites are often the main source for prospective students to check costs, credibility, and value, making these sites crucial for recruitment and decision-making (Davis et al., 2019; Ng, 2023).</w:t>
      </w:r>
    </w:p>
    <w:p w14:paraId="6006102D" w14:textId="77777777" w:rsidR="00BB5E3F" w:rsidRPr="00BB5E3F" w:rsidRDefault="00BB5E3F" w:rsidP="00BB5E3F">
      <w:pPr>
        <w:rPr>
          <w:rFonts w:ascii="Times New Roman" w:hAnsi="Times New Roman"/>
          <w:sz w:val="24"/>
          <w:szCs w:val="24"/>
          <w:lang w:val="en-PH"/>
        </w:rPr>
      </w:pPr>
      <w:r w:rsidRPr="00BB5E3F">
        <w:rPr>
          <w:rFonts w:ascii="Arial" w:hAnsi="Arial" w:cs="Arial"/>
          <w:color w:val="000000"/>
          <w:lang w:val="en-PH"/>
        </w:rPr>
        <w:t xml:space="preserve">Although research has looked at higher education branding, digital communication, and the impact of rankings, there has been little focus on how tuition is presented on university </w:t>
      </w:r>
      <w:r w:rsidRPr="00BB5E3F">
        <w:rPr>
          <w:rFonts w:ascii="Arial" w:hAnsi="Arial" w:cs="Arial"/>
          <w:color w:val="000000"/>
          <w:lang w:val="en-PH"/>
        </w:rPr>
        <w:lastRenderedPageBreak/>
        <w:t>websites. Studies show that university websites and online channels are key for sharing value propositions and shaping reputation in a crowded market (</w:t>
      </w:r>
      <w:proofErr w:type="spellStart"/>
      <w:r w:rsidRPr="00BB5E3F">
        <w:rPr>
          <w:rFonts w:ascii="Arial" w:hAnsi="Arial" w:cs="Arial"/>
          <w:color w:val="000000"/>
          <w:lang w:val="en-PH"/>
        </w:rPr>
        <w:t>Ghorbanzadeh</w:t>
      </w:r>
      <w:proofErr w:type="spellEnd"/>
      <w:r w:rsidRPr="00BB5E3F">
        <w:rPr>
          <w:rFonts w:ascii="Arial" w:hAnsi="Arial" w:cs="Arial"/>
          <w:color w:val="000000"/>
          <w:lang w:val="en-PH"/>
        </w:rPr>
        <w:t>, 2023; Xiao et al., 2023). Other research highlights that interactive, well-designed websites and online promotion are now essential for attracting students and showing institutional quality (</w:t>
      </w:r>
      <w:proofErr w:type="spellStart"/>
      <w:r w:rsidRPr="00BB5E3F">
        <w:rPr>
          <w:rFonts w:ascii="Arial" w:hAnsi="Arial" w:cs="Arial"/>
          <w:color w:val="000000"/>
          <w:lang w:val="en-PH"/>
        </w:rPr>
        <w:t>Ghorbanzadeh</w:t>
      </w:r>
      <w:proofErr w:type="spellEnd"/>
      <w:r w:rsidRPr="00BB5E3F">
        <w:rPr>
          <w:rFonts w:ascii="Arial" w:hAnsi="Arial" w:cs="Arial"/>
          <w:color w:val="000000"/>
          <w:lang w:val="en-PH"/>
        </w:rPr>
        <w:t>, 2023; Sharma, 2025). Tuition details are often seen as just administrative information, but they can also be a strategic part of how universities present themselves, as shown by studies on the quality, ease of use, and clarity of tuition webpages (Davis et al., 2019). There is still little comparative research on how tuition is communicated on websites, especially between globally ranked universities and private universities in the Philippines, even though tuition-fee research is growing worldwide but is still mostly focused on Western countries (</w:t>
      </w:r>
      <w:proofErr w:type="spellStart"/>
      <w:r w:rsidRPr="00BB5E3F">
        <w:rPr>
          <w:rFonts w:ascii="Arial" w:hAnsi="Arial" w:cs="Arial"/>
          <w:color w:val="000000"/>
          <w:lang w:val="en-PH"/>
        </w:rPr>
        <w:t>Arfan</w:t>
      </w:r>
      <w:proofErr w:type="spellEnd"/>
      <w:r w:rsidRPr="00BB5E3F">
        <w:rPr>
          <w:rFonts w:ascii="Arial" w:hAnsi="Arial" w:cs="Arial"/>
          <w:color w:val="000000"/>
          <w:lang w:val="en-PH"/>
        </w:rPr>
        <w:t xml:space="preserve"> et al., 2025).</w:t>
      </w:r>
    </w:p>
    <w:p w14:paraId="63A7882E" w14:textId="77777777" w:rsidR="00BB5E3F" w:rsidRPr="00BB5E3F" w:rsidRDefault="00BB5E3F" w:rsidP="00BB5E3F">
      <w:pPr>
        <w:rPr>
          <w:rFonts w:ascii="Times New Roman" w:hAnsi="Times New Roman"/>
          <w:sz w:val="24"/>
          <w:szCs w:val="24"/>
          <w:lang w:val="en-PH"/>
        </w:rPr>
      </w:pPr>
      <w:r w:rsidRPr="00BB5E3F">
        <w:rPr>
          <w:rFonts w:ascii="Arial" w:hAnsi="Arial" w:cs="Arial"/>
          <w:color w:val="000000"/>
          <w:lang w:val="en-PH"/>
        </w:rPr>
        <w:t>This study fills this gap by looking at how tuition is communicated using Framing Theory and Signaling Theory. Framing Theory shows how communicators highlight certain aspects to shape how people interpret information (</w:t>
      </w:r>
      <w:proofErr w:type="spellStart"/>
      <w:r w:rsidRPr="00BB5E3F">
        <w:rPr>
          <w:rFonts w:ascii="Arial" w:hAnsi="Arial" w:cs="Arial"/>
          <w:color w:val="000000"/>
          <w:lang w:val="en-PH"/>
        </w:rPr>
        <w:t>Entman</w:t>
      </w:r>
      <w:proofErr w:type="spellEnd"/>
      <w:r w:rsidRPr="00BB5E3F">
        <w:rPr>
          <w:rFonts w:ascii="Arial" w:hAnsi="Arial" w:cs="Arial"/>
          <w:color w:val="000000"/>
          <w:lang w:val="en-PH"/>
        </w:rPr>
        <w:t>, 1993). On tuition webpages, framing can affect whether students see cost as an expense, an investment, or an opportunity, connecting to wider discussions about affordability, access, and return on investment in higher education (</w:t>
      </w:r>
      <w:proofErr w:type="spellStart"/>
      <w:r w:rsidRPr="00BB5E3F">
        <w:rPr>
          <w:rFonts w:ascii="Arial" w:hAnsi="Arial" w:cs="Arial"/>
          <w:color w:val="000000"/>
          <w:lang w:val="en-PH"/>
        </w:rPr>
        <w:t>Arfan</w:t>
      </w:r>
      <w:proofErr w:type="spellEnd"/>
      <w:r w:rsidRPr="00BB5E3F">
        <w:rPr>
          <w:rFonts w:ascii="Arial" w:hAnsi="Arial" w:cs="Arial"/>
          <w:color w:val="000000"/>
          <w:lang w:val="en-PH"/>
        </w:rPr>
        <w:t xml:space="preserve"> et al., 2025; Davis et al., 2019). Signaling Theory explains how organizations use visible cues to show quality when it is not directly observable (Spence, 1973). Things like rankings, outcome indicators, scholarship information, and clear presentation can act as signals that influence how people view a university’s legitimacy and the expected benefits of higher education, especially when students do not have full information about quality and outcomes (Davis et al., 2019; </w:t>
      </w:r>
      <w:proofErr w:type="spellStart"/>
      <w:r w:rsidRPr="00BB5E3F">
        <w:rPr>
          <w:rFonts w:ascii="Arial" w:hAnsi="Arial" w:cs="Arial"/>
          <w:color w:val="000000"/>
          <w:lang w:val="en-PH"/>
        </w:rPr>
        <w:t>Ehrmantraut</w:t>
      </w:r>
      <w:proofErr w:type="spellEnd"/>
      <w:r w:rsidRPr="00BB5E3F">
        <w:rPr>
          <w:rFonts w:ascii="Arial" w:hAnsi="Arial" w:cs="Arial"/>
          <w:color w:val="000000"/>
          <w:lang w:val="en-PH"/>
        </w:rPr>
        <w:t xml:space="preserve"> et al., 2020).</w:t>
      </w:r>
    </w:p>
    <w:p w14:paraId="2D2033E3" w14:textId="77777777" w:rsidR="00BB5E3F" w:rsidRPr="00BB5E3F" w:rsidRDefault="00BB5E3F" w:rsidP="00BB5E3F">
      <w:pPr>
        <w:rPr>
          <w:rFonts w:ascii="Times New Roman" w:hAnsi="Times New Roman"/>
          <w:sz w:val="24"/>
          <w:szCs w:val="24"/>
          <w:lang w:val="en-PH"/>
        </w:rPr>
      </w:pPr>
      <w:r w:rsidRPr="00BB5E3F">
        <w:rPr>
          <w:rFonts w:ascii="Arial" w:hAnsi="Arial" w:cs="Arial"/>
          <w:color w:val="000000"/>
          <w:lang w:val="en-PH"/>
        </w:rPr>
        <w:t>To study these issues, six private universities from the QS World University Rankings 2026 (200–500 band) were chosen to ensure international visibility and comparability, as rankings are important for global differentiation (</w:t>
      </w:r>
      <w:proofErr w:type="spellStart"/>
      <w:r w:rsidRPr="00BB5E3F">
        <w:rPr>
          <w:rFonts w:ascii="Arial" w:hAnsi="Arial" w:cs="Arial"/>
          <w:color w:val="000000"/>
          <w:lang w:val="en-PH"/>
        </w:rPr>
        <w:t>Badiuzzaman</w:t>
      </w:r>
      <w:proofErr w:type="spellEnd"/>
      <w:r w:rsidRPr="00BB5E3F">
        <w:rPr>
          <w:rFonts w:ascii="Arial" w:hAnsi="Arial" w:cs="Arial"/>
          <w:color w:val="000000"/>
          <w:lang w:val="en-PH"/>
        </w:rPr>
        <w:t xml:space="preserve">, 2025). Only private universities were included to focus on tuition-dependent funding, which is especially relevant in market-driven higher education systems and private sectors (Asian Development Bank, 2012; </w:t>
      </w:r>
      <w:proofErr w:type="spellStart"/>
      <w:r w:rsidRPr="00BB5E3F">
        <w:rPr>
          <w:rFonts w:ascii="Arial" w:hAnsi="Arial" w:cs="Arial"/>
          <w:color w:val="000000"/>
          <w:lang w:val="en-PH"/>
        </w:rPr>
        <w:t>Arfan</w:t>
      </w:r>
      <w:proofErr w:type="spellEnd"/>
      <w:r w:rsidRPr="00BB5E3F">
        <w:rPr>
          <w:rFonts w:ascii="Arial" w:hAnsi="Arial" w:cs="Arial"/>
          <w:color w:val="000000"/>
          <w:lang w:val="en-PH"/>
        </w:rPr>
        <w:t xml:space="preserve"> et al., 2025). One university was selected from each global region to provide geographic variety, following calls to expand tuition and access research beyond Western samples (</w:t>
      </w:r>
      <w:proofErr w:type="spellStart"/>
      <w:r w:rsidRPr="00BB5E3F">
        <w:rPr>
          <w:rFonts w:ascii="Arial" w:hAnsi="Arial" w:cs="Arial"/>
          <w:color w:val="000000"/>
          <w:lang w:val="en-PH"/>
        </w:rPr>
        <w:t>Arfan</w:t>
      </w:r>
      <w:proofErr w:type="spellEnd"/>
      <w:r w:rsidRPr="00BB5E3F">
        <w:rPr>
          <w:rFonts w:ascii="Arial" w:hAnsi="Arial" w:cs="Arial"/>
          <w:color w:val="000000"/>
          <w:lang w:val="en-PH"/>
        </w:rPr>
        <w:t xml:space="preserve"> et al., 2025). All universities had English-language tuition webpages that were publicly available and suitable for qualitative analysis, reflecting the use of English in international recruitment and online communication (Marinoni &amp; Pina Cardona, 2024).</w:t>
      </w:r>
    </w:p>
    <w:p w14:paraId="477369E0" w14:textId="77777777" w:rsidR="00BB5E3F" w:rsidRPr="009279FF" w:rsidRDefault="00BB5E3F" w:rsidP="009279FF">
      <w:pPr>
        <w:rPr>
          <w:rFonts w:ascii="Arial" w:hAnsi="Arial" w:cs="Arial"/>
          <w:color w:val="000000"/>
          <w:lang w:val="en-PH"/>
        </w:rPr>
      </w:pPr>
      <w:r w:rsidRPr="00BB5E3F">
        <w:rPr>
          <w:rFonts w:ascii="Arial" w:hAnsi="Arial" w:cs="Arial"/>
          <w:color w:val="000000"/>
          <w:lang w:val="en-PH"/>
        </w:rPr>
        <w:t xml:space="preserve">These universities make up the global benchmark group. For local comparison, a private university in Northern Mindanao, Philippines, was chosen because of its relevance and publicly available tuition information, highlighting the importance of private, tuition-dependent schools in Philippine higher education (Asian Development Bank, 2012). Including this case allows for a comparison between global tuition communication patterns and practices in the Philippines, answering calls for more regionally focused studies on internationalization and </w:t>
      </w:r>
      <w:r w:rsidRPr="009279FF">
        <w:rPr>
          <w:rFonts w:ascii="Arial" w:hAnsi="Arial" w:cs="Arial"/>
          <w:color w:val="000000"/>
          <w:lang w:val="en-PH"/>
        </w:rPr>
        <w:t>marketization in Asia (Marinoni &amp; Pina Cardona, 2024).</w:t>
      </w:r>
    </w:p>
    <w:p w14:paraId="183F48D9" w14:textId="1401C2C8" w:rsidR="009279FF" w:rsidRDefault="009279FF" w:rsidP="00FE4CFA">
      <w:pPr>
        <w:rPr>
          <w:rFonts w:ascii="Arial" w:hAnsi="Arial" w:cs="Arial"/>
          <w:lang w:val="en-PH"/>
        </w:rPr>
      </w:pPr>
      <w:r w:rsidRPr="009279FF">
        <w:rPr>
          <w:rFonts w:ascii="Arial" w:hAnsi="Arial" w:cs="Arial"/>
          <w:lang w:val="en-PH"/>
        </w:rPr>
        <w:t>While there is growing research on higher education branding, digital marketing, and global rankings (</w:t>
      </w:r>
      <w:proofErr w:type="spellStart"/>
      <w:r w:rsidRPr="009279FF">
        <w:rPr>
          <w:rFonts w:ascii="Arial" w:hAnsi="Arial" w:cs="Arial"/>
          <w:lang w:val="en-PH"/>
        </w:rPr>
        <w:t>Ghorbanzadeh</w:t>
      </w:r>
      <w:proofErr w:type="spellEnd"/>
      <w:r w:rsidRPr="009279FF">
        <w:rPr>
          <w:rFonts w:ascii="Arial" w:hAnsi="Arial" w:cs="Arial"/>
          <w:lang w:val="en-PH"/>
        </w:rPr>
        <w:t xml:space="preserve">, 2023; </w:t>
      </w:r>
      <w:proofErr w:type="spellStart"/>
      <w:r w:rsidRPr="009279FF">
        <w:rPr>
          <w:rFonts w:ascii="Arial" w:hAnsi="Arial" w:cs="Arial"/>
          <w:lang w:val="en-PH"/>
        </w:rPr>
        <w:t>Hazelkorn</w:t>
      </w:r>
      <w:proofErr w:type="spellEnd"/>
      <w:r w:rsidRPr="009279FF">
        <w:rPr>
          <w:rFonts w:ascii="Arial" w:hAnsi="Arial" w:cs="Arial"/>
          <w:lang w:val="en-PH"/>
        </w:rPr>
        <w:t xml:space="preserve">, 2018; Xiao et al., 2023), few studies have looked closely at tuition webpages as strategic communication tools shaped by framing and signaling. </w:t>
      </w:r>
      <w:r w:rsidR="00FE4CFA" w:rsidRPr="00FE4CFA">
        <w:rPr>
          <w:rFonts w:ascii="Arial" w:hAnsi="Arial" w:cs="Arial"/>
          <w:lang w:val="en-PH"/>
        </w:rPr>
        <w:t xml:space="preserve">Previous research has looked at how colleges and universities share information about costs and financial aid on their websites. For instance, Davis et al. (2019) studied how clearly universities present tuition and cost details, while </w:t>
      </w:r>
      <w:proofErr w:type="spellStart"/>
      <w:r w:rsidR="00FE4CFA" w:rsidRPr="00FE4CFA">
        <w:rPr>
          <w:rFonts w:ascii="Arial" w:hAnsi="Arial" w:cs="Arial"/>
          <w:lang w:val="en-PH"/>
        </w:rPr>
        <w:t>Perna</w:t>
      </w:r>
      <w:proofErr w:type="spellEnd"/>
      <w:r w:rsidR="00FE4CFA" w:rsidRPr="00FE4CFA">
        <w:rPr>
          <w:rFonts w:ascii="Arial" w:hAnsi="Arial" w:cs="Arial"/>
          <w:lang w:val="en-PH"/>
        </w:rPr>
        <w:t xml:space="preserve">, Wright-Kim, and Jiang (2019) explored how colleges use online platforms to explain ways students can pay for college, including net price and financial aid. Other studies on reputation management show that universities use online communication to build credibility in a competitive environment (Christensen &amp; </w:t>
      </w:r>
      <w:proofErr w:type="spellStart"/>
      <w:r w:rsidR="00FE4CFA" w:rsidRPr="00FE4CFA">
        <w:rPr>
          <w:rFonts w:ascii="Arial" w:hAnsi="Arial" w:cs="Arial"/>
          <w:lang w:val="en-PH"/>
        </w:rPr>
        <w:t>Gornitzka</w:t>
      </w:r>
      <w:proofErr w:type="spellEnd"/>
      <w:r w:rsidR="00FE4CFA" w:rsidRPr="00FE4CFA">
        <w:rPr>
          <w:rFonts w:ascii="Arial" w:hAnsi="Arial" w:cs="Arial"/>
          <w:lang w:val="en-PH"/>
        </w:rPr>
        <w:t>, 2017). Still, there is little research on how tuition information on specific webpages is framed and used to signal a school’s value and competitive position.</w:t>
      </w:r>
      <w:r w:rsidR="00FE4CFA">
        <w:rPr>
          <w:rFonts w:ascii="Arial" w:hAnsi="Arial" w:cs="Arial"/>
          <w:lang w:val="en-PH"/>
        </w:rPr>
        <w:t xml:space="preserve"> </w:t>
      </w:r>
      <w:r w:rsidRPr="009279FF">
        <w:rPr>
          <w:rFonts w:ascii="Arial" w:hAnsi="Arial" w:cs="Arial"/>
          <w:lang w:val="en-PH"/>
        </w:rPr>
        <w:t>There is also a lack of comparative studies between globally ranked private universities and private institutions in the Philippines, especially in tuition-dependent systems (</w:t>
      </w:r>
      <w:proofErr w:type="spellStart"/>
      <w:r w:rsidRPr="009279FF">
        <w:rPr>
          <w:rFonts w:ascii="Arial" w:hAnsi="Arial" w:cs="Arial"/>
          <w:lang w:val="en-PH"/>
        </w:rPr>
        <w:t>Arfan</w:t>
      </w:r>
      <w:proofErr w:type="spellEnd"/>
      <w:r w:rsidRPr="009279FF">
        <w:rPr>
          <w:rFonts w:ascii="Arial" w:hAnsi="Arial" w:cs="Arial"/>
          <w:lang w:val="en-PH"/>
        </w:rPr>
        <w:t xml:space="preserve"> et al., 2025). This study aims to fill that gap by analyzing tuition and financial aid webpages as </w:t>
      </w:r>
      <w:r w:rsidRPr="009279FF">
        <w:rPr>
          <w:rFonts w:ascii="Arial" w:hAnsi="Arial" w:cs="Arial"/>
          <w:lang w:val="en-PH"/>
        </w:rPr>
        <w:lastRenderedPageBreak/>
        <w:t>strategic communication platforms, using Framing Theory and Signaling Theory in a cross-national comparison.</w:t>
      </w:r>
    </w:p>
    <w:p w14:paraId="1CE893F8" w14:textId="74A926B8" w:rsidR="00790ADA" w:rsidRPr="00CE14CD" w:rsidRDefault="00BB5E3F" w:rsidP="00CE14CD">
      <w:pPr>
        <w:rPr>
          <w:rFonts w:ascii="Arial" w:hAnsi="Arial" w:cs="Arial"/>
          <w:color w:val="000000"/>
          <w:lang w:val="en-PH"/>
        </w:rPr>
      </w:pPr>
      <w:r w:rsidRPr="009279FF">
        <w:rPr>
          <w:rFonts w:ascii="Arial" w:hAnsi="Arial" w:cs="Arial"/>
          <w:color w:val="000000"/>
          <w:lang w:val="en-PH"/>
        </w:rPr>
        <w:t>The goal of this study is to analyze how globally</w:t>
      </w:r>
      <w:r w:rsidRPr="00BB5E3F">
        <w:rPr>
          <w:rFonts w:ascii="Arial" w:hAnsi="Arial" w:cs="Arial"/>
          <w:color w:val="000000"/>
          <w:lang w:val="en-PH"/>
        </w:rPr>
        <w:t xml:space="preserve"> ranked private universities present and signal tuition information on their official websites, and to compare these patterns with those found at a Philippine private university. By using framing and signaling perspectives, the study shows that tuition communication is a key part of how universities position themselves online, especially as online information and cost transparency play a bigger role in student </w:t>
      </w:r>
      <w:r w:rsidRPr="00CE14CD">
        <w:rPr>
          <w:rFonts w:ascii="Arial" w:hAnsi="Arial" w:cs="Arial"/>
          <w:color w:val="000000"/>
          <w:lang w:val="en-PH"/>
        </w:rPr>
        <w:t>choices and university competitiveness (Davis et al., 2019; Ng, 2023).</w:t>
      </w:r>
    </w:p>
    <w:p w14:paraId="4AA36C74" w14:textId="77777777" w:rsidR="00CE14CD" w:rsidRPr="00CE14CD" w:rsidRDefault="00CE14CD" w:rsidP="00CE14CD">
      <w:pPr>
        <w:rPr>
          <w:rFonts w:ascii="Arial" w:hAnsi="Arial" w:cs="Arial"/>
          <w:lang w:val="en-PH"/>
        </w:rPr>
      </w:pPr>
      <w:r w:rsidRPr="00CE14CD">
        <w:rPr>
          <w:rFonts w:ascii="Arial" w:hAnsi="Arial" w:cs="Arial"/>
          <w:lang w:val="en-PH"/>
        </w:rPr>
        <w:t>This study is guided by the following research questions:</w:t>
      </w:r>
    </w:p>
    <w:p w14:paraId="7A84761A" w14:textId="77777777" w:rsidR="00CE14CD" w:rsidRPr="00CE14CD" w:rsidRDefault="00CE14CD" w:rsidP="00CE14CD">
      <w:pPr>
        <w:rPr>
          <w:rFonts w:ascii="Arial" w:hAnsi="Arial" w:cs="Arial"/>
          <w:lang w:val="en-PH"/>
        </w:rPr>
      </w:pPr>
      <w:r w:rsidRPr="00CE14CD">
        <w:rPr>
          <w:rFonts w:ascii="Arial" w:hAnsi="Arial" w:cs="Arial"/>
          <w:b/>
          <w:bCs/>
          <w:lang w:val="en-PH"/>
        </w:rPr>
        <w:t>RQ1:</w:t>
      </w:r>
      <w:r w:rsidRPr="00CE14CD">
        <w:rPr>
          <w:rFonts w:ascii="Arial" w:hAnsi="Arial" w:cs="Arial"/>
          <w:lang w:val="en-PH"/>
        </w:rPr>
        <w:t xml:space="preserve"> How do globally ranked private universities present and communicate tuition information on their official tuition and financial aid webpages?</w:t>
      </w:r>
    </w:p>
    <w:p w14:paraId="46B3CD17" w14:textId="77777777" w:rsidR="00CE14CD" w:rsidRPr="00CE14CD" w:rsidRDefault="00CE14CD" w:rsidP="00CE14CD">
      <w:pPr>
        <w:rPr>
          <w:rFonts w:ascii="Arial" w:hAnsi="Arial" w:cs="Arial"/>
          <w:lang w:val="en-PH"/>
        </w:rPr>
      </w:pPr>
      <w:r w:rsidRPr="00CE14CD">
        <w:rPr>
          <w:rFonts w:ascii="Arial" w:hAnsi="Arial" w:cs="Arial"/>
          <w:b/>
          <w:bCs/>
          <w:lang w:val="en-PH"/>
        </w:rPr>
        <w:t>RQ2:</w:t>
      </w:r>
      <w:r w:rsidRPr="00CE14CD">
        <w:rPr>
          <w:rFonts w:ascii="Arial" w:hAnsi="Arial" w:cs="Arial"/>
          <w:lang w:val="en-PH"/>
        </w:rPr>
        <w:t xml:space="preserve"> How does a Philippine private university’s approach to presenting tuition compare with that of globally-ranked private institutions?</w:t>
      </w:r>
    </w:p>
    <w:p w14:paraId="67A961CD" w14:textId="1AB42AE1" w:rsidR="00CE14CD" w:rsidRPr="00CE14CD" w:rsidRDefault="00CE14CD" w:rsidP="00CE14CD">
      <w:pPr>
        <w:rPr>
          <w:rFonts w:ascii="Arial" w:hAnsi="Arial" w:cs="Arial"/>
          <w:lang w:val="en-PH"/>
        </w:rPr>
      </w:pPr>
      <w:r w:rsidRPr="00CE14CD">
        <w:rPr>
          <w:rFonts w:ascii="Arial" w:hAnsi="Arial" w:cs="Arial"/>
          <w:b/>
          <w:bCs/>
          <w:lang w:val="en-PH"/>
        </w:rPr>
        <w:t>RQ3:</w:t>
      </w:r>
      <w:r w:rsidRPr="00CE14CD">
        <w:rPr>
          <w:rFonts w:ascii="Arial" w:hAnsi="Arial" w:cs="Arial"/>
          <w:lang w:val="en-PH"/>
        </w:rPr>
        <w:t xml:space="preserve"> What communication strategies can be seen in the similarities and differences between these approaches?</w:t>
      </w:r>
    </w:p>
    <w:p w14:paraId="03A4A08D" w14:textId="77777777" w:rsidR="00BB5E3F" w:rsidRPr="00CE14CD" w:rsidRDefault="00BB5E3F" w:rsidP="00CE14CD">
      <w:pPr>
        <w:pStyle w:val="Body"/>
        <w:spacing w:after="0"/>
        <w:rPr>
          <w:rFonts w:ascii="Arial" w:hAnsi="Arial" w:cs="Arial"/>
        </w:rPr>
      </w:pPr>
    </w:p>
    <w:p w14:paraId="21814FD0" w14:textId="0C6D054F" w:rsidR="007F7B32" w:rsidRDefault="00902823" w:rsidP="00441B6F">
      <w:pPr>
        <w:pStyle w:val="AbstHead"/>
        <w:spacing w:after="0"/>
        <w:jc w:val="both"/>
        <w:rPr>
          <w:rFonts w:ascii="Arial" w:hAnsi="Arial" w:cs="Arial"/>
        </w:rPr>
      </w:pPr>
      <w:r>
        <w:rPr>
          <w:rFonts w:ascii="Arial" w:hAnsi="Arial" w:cs="Arial"/>
        </w:rPr>
        <w:t xml:space="preserve">2. </w:t>
      </w:r>
      <w:r w:rsidR="00BB5E3F">
        <w:rPr>
          <w:rFonts w:ascii="Arial" w:hAnsi="Arial" w:cs="Arial"/>
        </w:rPr>
        <w:t>METHODOLOGY</w:t>
      </w:r>
    </w:p>
    <w:p w14:paraId="78DF9ECF" w14:textId="77777777" w:rsidR="00790ADA" w:rsidRDefault="00790ADA" w:rsidP="00441B6F">
      <w:pPr>
        <w:pStyle w:val="AbstHead"/>
        <w:spacing w:after="0"/>
        <w:jc w:val="both"/>
        <w:rPr>
          <w:rFonts w:ascii="Arial" w:hAnsi="Arial" w:cs="Arial"/>
        </w:rPr>
      </w:pPr>
    </w:p>
    <w:p w14:paraId="26E00CFA" w14:textId="77777777" w:rsidR="008B2CC2" w:rsidRDefault="008B2CC2" w:rsidP="008B2CC2">
      <w:pPr>
        <w:rPr>
          <w:rFonts w:ascii="Times New Roman" w:hAnsi="Times New Roman"/>
          <w:sz w:val="24"/>
          <w:szCs w:val="24"/>
          <w:lang w:val="en-PH"/>
        </w:rPr>
      </w:pPr>
      <w:r w:rsidRPr="008B2CC2">
        <w:rPr>
          <w:rFonts w:ascii="Arial" w:hAnsi="Arial" w:cs="Arial"/>
          <w:b/>
          <w:bCs/>
          <w:color w:val="000000"/>
          <w:sz w:val="22"/>
          <w:szCs w:val="22"/>
          <w:lang w:val="en-PH"/>
        </w:rPr>
        <w:t>2.1 Research Design</w:t>
      </w:r>
    </w:p>
    <w:p w14:paraId="38E3BBA2" w14:textId="77777777" w:rsidR="008B2CC2" w:rsidRPr="008B2CC2" w:rsidRDefault="008B2CC2" w:rsidP="008B2CC2">
      <w:pPr>
        <w:rPr>
          <w:rFonts w:ascii="Arial" w:hAnsi="Arial" w:cs="Arial"/>
          <w:sz w:val="22"/>
          <w:szCs w:val="22"/>
          <w:lang w:val="en-PH"/>
        </w:rPr>
      </w:pPr>
    </w:p>
    <w:p w14:paraId="09B2B0FC" w14:textId="434493B7" w:rsidR="008B2CC2" w:rsidRPr="008B2CC2" w:rsidRDefault="008B2CC2" w:rsidP="008B2CC2">
      <w:pPr>
        <w:rPr>
          <w:rFonts w:ascii="Times New Roman" w:hAnsi="Times New Roman"/>
          <w:sz w:val="24"/>
          <w:szCs w:val="24"/>
          <w:lang w:val="en-PH"/>
        </w:rPr>
      </w:pPr>
      <w:r w:rsidRPr="008B2CC2">
        <w:rPr>
          <w:rFonts w:ascii="Arial" w:hAnsi="Arial" w:cs="Arial"/>
          <w:color w:val="000000"/>
          <w:lang w:val="en-PH"/>
        </w:rPr>
        <w:t>This study used a qualitative comparative document analysis to look at how top-ranked private universities framed tuition and financial aid information on their official websites. It also compared these patterns with those of a private university in Northern Mindanao, Philippines. Since the research used institutional webpages as the main data source, document analysis was a suitable method for studying organizational texts and communication artifacts (Bowen, 2009).</w:t>
      </w:r>
    </w:p>
    <w:p w14:paraId="273C721D" w14:textId="77777777" w:rsidR="008B2CC2" w:rsidRPr="008B2CC2" w:rsidRDefault="008B2CC2" w:rsidP="008B2CC2">
      <w:pPr>
        <w:rPr>
          <w:rFonts w:ascii="Times New Roman" w:hAnsi="Times New Roman"/>
          <w:sz w:val="24"/>
          <w:szCs w:val="24"/>
          <w:lang w:val="en-PH"/>
        </w:rPr>
      </w:pPr>
      <w:r w:rsidRPr="008B2CC2">
        <w:rPr>
          <w:rFonts w:ascii="Arial" w:hAnsi="Arial" w:cs="Arial"/>
          <w:color w:val="000000"/>
          <w:lang w:val="en-PH"/>
        </w:rPr>
        <w:t>The study used a descriptive and interpretive approach, focusing on how tuition and financial aid information is presented, not on tuition amounts, financial results, or enrollment numbers.</w:t>
      </w:r>
    </w:p>
    <w:p w14:paraId="54F28FB6" w14:textId="77777777" w:rsidR="008B2CC2" w:rsidRPr="008B2CC2" w:rsidRDefault="008B2CC2" w:rsidP="008B2CC2">
      <w:pPr>
        <w:rPr>
          <w:rFonts w:ascii="Times New Roman" w:hAnsi="Times New Roman"/>
          <w:sz w:val="24"/>
          <w:szCs w:val="24"/>
          <w:lang w:val="en-PH"/>
        </w:rPr>
      </w:pPr>
      <w:r w:rsidRPr="008B2CC2">
        <w:rPr>
          <w:rFonts w:ascii="Arial" w:hAnsi="Arial" w:cs="Arial"/>
          <w:color w:val="000000"/>
          <w:lang w:val="en-PH"/>
        </w:rPr>
        <w:t>The sample included private universities ranked in the 200–500 range of the QS World University Rankings 2026. Six private universities made up the global benchmark group, and one private university in Northern Mindanao served as the local comparison to see how its framing matched or differed from global patterns.</w:t>
      </w:r>
    </w:p>
    <w:p w14:paraId="78801666" w14:textId="77777777" w:rsidR="008B2CC2" w:rsidRPr="008B2CC2" w:rsidRDefault="008B2CC2" w:rsidP="008B2CC2">
      <w:pPr>
        <w:rPr>
          <w:rFonts w:ascii="Times New Roman" w:hAnsi="Times New Roman"/>
          <w:sz w:val="24"/>
          <w:szCs w:val="24"/>
          <w:lang w:val="en-PH"/>
        </w:rPr>
      </w:pPr>
      <w:r w:rsidRPr="008B2CC2">
        <w:rPr>
          <w:rFonts w:ascii="Arial" w:hAnsi="Arial" w:cs="Arial"/>
          <w:color w:val="000000"/>
          <w:lang w:val="en-PH"/>
        </w:rPr>
        <w:t>The study used both Framing Theory and Signaling Theory. Framing Theory suggests that communicators highlight certain parts of reality to shape how people understand information. Here, it helped create coding categories. Signaling Theory was used to interpret the strategic meaning behind how tuition is presented.</w:t>
      </w:r>
    </w:p>
    <w:p w14:paraId="64E84CBA" w14:textId="77777777" w:rsidR="008B2CC2" w:rsidRPr="008B2CC2" w:rsidRDefault="008B2CC2" w:rsidP="008B2CC2">
      <w:pPr>
        <w:rPr>
          <w:rFonts w:ascii="Times New Roman" w:hAnsi="Times New Roman"/>
          <w:sz w:val="24"/>
          <w:szCs w:val="24"/>
          <w:lang w:val="en-PH"/>
        </w:rPr>
      </w:pPr>
      <w:r w:rsidRPr="008B2CC2">
        <w:rPr>
          <w:rFonts w:ascii="Arial" w:hAnsi="Arial" w:cs="Arial"/>
          <w:color w:val="000000"/>
          <w:lang w:val="en-PH"/>
        </w:rPr>
        <w:t>The unit of analysis was the content on university webpages related to tuition, financial aid, and cost information.</w:t>
      </w:r>
    </w:p>
    <w:p w14:paraId="3ED45735" w14:textId="77777777" w:rsidR="008B2CC2" w:rsidRPr="008B2CC2" w:rsidRDefault="008B2CC2" w:rsidP="008B2CC2">
      <w:pPr>
        <w:rPr>
          <w:rFonts w:ascii="Arial" w:hAnsi="Arial" w:cs="Arial"/>
          <w:sz w:val="22"/>
          <w:szCs w:val="22"/>
          <w:lang w:val="en-PH"/>
        </w:rPr>
      </w:pPr>
    </w:p>
    <w:p w14:paraId="73226BB6" w14:textId="77777777" w:rsidR="008B2CC2" w:rsidRPr="008B2CC2" w:rsidRDefault="008B2CC2" w:rsidP="008B2CC2">
      <w:pPr>
        <w:rPr>
          <w:rFonts w:ascii="Times New Roman" w:hAnsi="Times New Roman"/>
          <w:sz w:val="24"/>
          <w:szCs w:val="24"/>
          <w:lang w:val="en-PH"/>
        </w:rPr>
      </w:pPr>
      <w:r w:rsidRPr="008B2CC2">
        <w:rPr>
          <w:rFonts w:ascii="Arial" w:hAnsi="Arial" w:cs="Arial"/>
          <w:b/>
          <w:bCs/>
          <w:color w:val="000000"/>
          <w:sz w:val="22"/>
          <w:szCs w:val="22"/>
          <w:lang w:val="en-PH"/>
        </w:rPr>
        <w:t>2.2 Sampling Frame and Selection Criteria</w:t>
      </w:r>
    </w:p>
    <w:p w14:paraId="0A8B0EB2" w14:textId="77777777" w:rsidR="008B2CC2" w:rsidRPr="008B2CC2" w:rsidRDefault="008B2CC2" w:rsidP="008B2CC2">
      <w:pPr>
        <w:rPr>
          <w:rFonts w:ascii="Arial" w:hAnsi="Arial" w:cs="Arial"/>
          <w:sz w:val="22"/>
          <w:szCs w:val="22"/>
          <w:lang w:val="en-PH"/>
        </w:rPr>
      </w:pPr>
    </w:p>
    <w:p w14:paraId="13BF7398" w14:textId="77777777" w:rsidR="008B2CC2" w:rsidRPr="008B2CC2" w:rsidRDefault="008B2CC2" w:rsidP="008B2CC2">
      <w:pPr>
        <w:rPr>
          <w:rFonts w:ascii="Times New Roman" w:hAnsi="Times New Roman"/>
          <w:sz w:val="24"/>
          <w:szCs w:val="24"/>
          <w:lang w:val="en-PH"/>
        </w:rPr>
      </w:pPr>
      <w:r w:rsidRPr="008B2CC2">
        <w:rPr>
          <w:rFonts w:ascii="Arial" w:hAnsi="Arial" w:cs="Arial"/>
          <w:color w:val="000000"/>
          <w:lang w:val="en-PH"/>
        </w:rPr>
        <w:t xml:space="preserve">The sampling frame included private universities ranked between 200 and 500 in the QS World University Rankings 2026. The QS World University Rankings, published each year by </w:t>
      </w:r>
      <w:proofErr w:type="spellStart"/>
      <w:r w:rsidRPr="008B2CC2">
        <w:rPr>
          <w:rFonts w:ascii="Arial" w:hAnsi="Arial" w:cs="Arial"/>
          <w:color w:val="000000"/>
          <w:lang w:val="en-PH"/>
        </w:rPr>
        <w:t>Quacquarelli</w:t>
      </w:r>
      <w:proofErr w:type="spellEnd"/>
      <w:r w:rsidRPr="008B2CC2">
        <w:rPr>
          <w:rFonts w:ascii="Arial" w:hAnsi="Arial" w:cs="Arial"/>
          <w:color w:val="000000"/>
          <w:lang w:val="en-PH"/>
        </w:rPr>
        <w:t xml:space="preserve"> Symonds (QS), assess universities worldwide using indicators like academic reputation, employer reputation, research impact (citations per faculty), faculty-to-student ratio, and internationalization metrics (QS, 2026). These rankings are commonly used to measure global institutional visibility and competitive standing (</w:t>
      </w:r>
      <w:proofErr w:type="spellStart"/>
      <w:r w:rsidRPr="008B2CC2">
        <w:rPr>
          <w:rFonts w:ascii="Arial" w:hAnsi="Arial" w:cs="Arial"/>
          <w:color w:val="000000"/>
          <w:lang w:val="en-PH"/>
        </w:rPr>
        <w:t>Hazelkorn</w:t>
      </w:r>
      <w:proofErr w:type="spellEnd"/>
      <w:r w:rsidRPr="008B2CC2">
        <w:rPr>
          <w:rFonts w:ascii="Arial" w:hAnsi="Arial" w:cs="Arial"/>
          <w:color w:val="000000"/>
          <w:lang w:val="en-PH"/>
        </w:rPr>
        <w:t>, 2018).</w:t>
      </w:r>
    </w:p>
    <w:p w14:paraId="32C25926" w14:textId="77777777" w:rsidR="008B2CC2" w:rsidRPr="008B2CC2" w:rsidRDefault="008B2CC2" w:rsidP="008B2CC2">
      <w:pPr>
        <w:rPr>
          <w:rFonts w:ascii="Times New Roman" w:hAnsi="Times New Roman"/>
          <w:sz w:val="24"/>
          <w:szCs w:val="24"/>
          <w:lang w:val="en-PH"/>
        </w:rPr>
      </w:pPr>
      <w:r w:rsidRPr="008B2CC2">
        <w:rPr>
          <w:rFonts w:ascii="Arial" w:hAnsi="Arial" w:cs="Arial"/>
          <w:color w:val="000000"/>
          <w:lang w:val="en-PH"/>
        </w:rPr>
        <w:t>The 2026 edition of the QS World University Rankings was chosen to keep the cases consistent. The 200–500 ranking range was selected to focus on internationally competitive universities and to avoid highly prestigious outliers that could create differences in resources and tuition communication practices.</w:t>
      </w:r>
    </w:p>
    <w:p w14:paraId="183D1F75" w14:textId="77777777" w:rsidR="00993CC7" w:rsidRPr="00993CC7" w:rsidRDefault="00993CC7" w:rsidP="00993CC7">
      <w:pPr>
        <w:rPr>
          <w:rFonts w:ascii="Arial" w:hAnsi="Arial" w:cs="Arial"/>
          <w:sz w:val="22"/>
          <w:szCs w:val="22"/>
          <w:lang w:val="en-PH"/>
        </w:rPr>
      </w:pPr>
    </w:p>
    <w:p w14:paraId="7BEC7D2E" w14:textId="77777777" w:rsidR="00993CC7" w:rsidRPr="00993CC7" w:rsidRDefault="00993CC7" w:rsidP="00993CC7">
      <w:pPr>
        <w:rPr>
          <w:rFonts w:ascii="Times New Roman" w:hAnsi="Times New Roman"/>
          <w:sz w:val="24"/>
          <w:szCs w:val="24"/>
          <w:lang w:val="en-PH"/>
        </w:rPr>
      </w:pPr>
      <w:r w:rsidRPr="00993CC7">
        <w:rPr>
          <w:rFonts w:ascii="Arial" w:hAnsi="Arial" w:cs="Arial"/>
          <w:b/>
          <w:bCs/>
          <w:color w:val="000000"/>
          <w:u w:val="single"/>
          <w:lang w:val="en-PH"/>
        </w:rPr>
        <w:t>2.2.1 Inclusion Criteria</w:t>
      </w:r>
    </w:p>
    <w:p w14:paraId="3A8B37F6" w14:textId="77777777" w:rsidR="00993CC7" w:rsidRPr="00993CC7" w:rsidRDefault="00993CC7" w:rsidP="00993CC7">
      <w:pPr>
        <w:rPr>
          <w:rFonts w:ascii="Times New Roman" w:hAnsi="Times New Roman"/>
          <w:sz w:val="24"/>
          <w:szCs w:val="24"/>
          <w:lang w:val="en-PH"/>
        </w:rPr>
      </w:pPr>
    </w:p>
    <w:p w14:paraId="09EEA193" w14:textId="77777777" w:rsidR="00993CC7" w:rsidRPr="00993CC7" w:rsidRDefault="00993CC7" w:rsidP="00993CC7">
      <w:pPr>
        <w:rPr>
          <w:rFonts w:ascii="Times New Roman" w:hAnsi="Times New Roman"/>
          <w:sz w:val="24"/>
          <w:szCs w:val="24"/>
          <w:lang w:val="en-PH"/>
        </w:rPr>
      </w:pPr>
      <w:r w:rsidRPr="00993CC7">
        <w:rPr>
          <w:rFonts w:ascii="Arial" w:hAnsi="Arial" w:cs="Arial"/>
          <w:color w:val="000000"/>
          <w:lang w:val="en-PH"/>
        </w:rPr>
        <w:t>Global universities were selected if they met all of these criteria:</w:t>
      </w:r>
    </w:p>
    <w:p w14:paraId="22B949A3" w14:textId="77777777" w:rsidR="00993CC7" w:rsidRPr="00993CC7" w:rsidRDefault="00993CC7" w:rsidP="00993CC7">
      <w:pPr>
        <w:numPr>
          <w:ilvl w:val="0"/>
          <w:numId w:val="31"/>
        </w:numPr>
        <w:textAlignment w:val="baseline"/>
        <w:rPr>
          <w:rFonts w:ascii="Arial" w:hAnsi="Arial" w:cs="Arial"/>
          <w:color w:val="000000"/>
          <w:lang w:val="en-PH"/>
        </w:rPr>
      </w:pPr>
      <w:r w:rsidRPr="00993CC7">
        <w:rPr>
          <w:rFonts w:ascii="Arial" w:hAnsi="Arial" w:cs="Arial"/>
          <w:color w:val="000000"/>
          <w:lang w:val="en-PH"/>
        </w:rPr>
        <w:t>They had to be private institutions that rely on tuition for funding.</w:t>
      </w:r>
    </w:p>
    <w:p w14:paraId="394AC5C3" w14:textId="77777777" w:rsidR="00993CC7" w:rsidRPr="00993CC7" w:rsidRDefault="00993CC7" w:rsidP="00993CC7">
      <w:pPr>
        <w:numPr>
          <w:ilvl w:val="0"/>
          <w:numId w:val="31"/>
        </w:numPr>
        <w:textAlignment w:val="baseline"/>
        <w:rPr>
          <w:rFonts w:ascii="Arial" w:hAnsi="Arial" w:cs="Arial"/>
          <w:color w:val="000000"/>
          <w:lang w:val="en-PH"/>
        </w:rPr>
      </w:pPr>
      <w:r w:rsidRPr="00993CC7">
        <w:rPr>
          <w:rFonts w:ascii="Arial" w:hAnsi="Arial" w:cs="Arial"/>
          <w:color w:val="000000"/>
          <w:lang w:val="en-PH"/>
        </w:rPr>
        <w:t>They needed to appear in the QS World University Rankings 2026, ranked between 200 and 500.</w:t>
      </w:r>
    </w:p>
    <w:p w14:paraId="049191A0" w14:textId="77777777" w:rsidR="00993CC7" w:rsidRPr="00993CC7" w:rsidRDefault="00993CC7" w:rsidP="00993CC7">
      <w:pPr>
        <w:numPr>
          <w:ilvl w:val="0"/>
          <w:numId w:val="31"/>
        </w:numPr>
        <w:textAlignment w:val="baseline"/>
        <w:rPr>
          <w:rFonts w:ascii="Arial" w:hAnsi="Arial" w:cs="Arial"/>
          <w:color w:val="000000"/>
          <w:lang w:val="en-PH"/>
        </w:rPr>
      </w:pPr>
      <w:r w:rsidRPr="00993CC7">
        <w:rPr>
          <w:rFonts w:ascii="Arial" w:hAnsi="Arial" w:cs="Arial"/>
          <w:color w:val="000000"/>
          <w:lang w:val="en-PH"/>
        </w:rPr>
        <w:t>They had to provide tuition and financial aid information in English that was publicly available.</w:t>
      </w:r>
    </w:p>
    <w:p w14:paraId="5F8C5B0C" w14:textId="77777777" w:rsidR="00993CC7" w:rsidRPr="00993CC7" w:rsidRDefault="00993CC7" w:rsidP="00993CC7">
      <w:pPr>
        <w:numPr>
          <w:ilvl w:val="0"/>
          <w:numId w:val="31"/>
        </w:numPr>
        <w:textAlignment w:val="baseline"/>
        <w:rPr>
          <w:rFonts w:ascii="Arial" w:hAnsi="Arial" w:cs="Arial"/>
          <w:color w:val="000000"/>
          <w:lang w:val="en-PH"/>
        </w:rPr>
      </w:pPr>
      <w:r w:rsidRPr="00993CC7">
        <w:rPr>
          <w:rFonts w:ascii="Arial" w:hAnsi="Arial" w:cs="Arial"/>
          <w:color w:val="000000"/>
          <w:lang w:val="en-PH"/>
        </w:rPr>
        <w:t>They needed to have well-organized and centralized tuition webpages that could be analyzed.</w:t>
      </w:r>
    </w:p>
    <w:p w14:paraId="268DD6D8" w14:textId="77777777" w:rsidR="00993CC7" w:rsidRPr="00993CC7" w:rsidRDefault="00993CC7" w:rsidP="00993CC7">
      <w:pPr>
        <w:numPr>
          <w:ilvl w:val="0"/>
          <w:numId w:val="31"/>
        </w:numPr>
        <w:textAlignment w:val="baseline"/>
        <w:rPr>
          <w:rFonts w:ascii="Arial" w:hAnsi="Arial" w:cs="Arial"/>
          <w:color w:val="000000"/>
          <w:lang w:val="en-PH"/>
        </w:rPr>
      </w:pPr>
      <w:r w:rsidRPr="00993CC7">
        <w:rPr>
          <w:rFonts w:ascii="Arial" w:hAnsi="Arial" w:cs="Arial"/>
          <w:color w:val="000000"/>
          <w:lang w:val="en-PH"/>
        </w:rPr>
        <w:t>They had to be located in one of the global regions identified in Section 2.2.3.</w:t>
      </w:r>
    </w:p>
    <w:p w14:paraId="2A77DD22" w14:textId="77777777" w:rsidR="00993CC7" w:rsidRPr="00993CC7" w:rsidRDefault="00993CC7" w:rsidP="00993CC7">
      <w:pPr>
        <w:numPr>
          <w:ilvl w:val="0"/>
          <w:numId w:val="31"/>
        </w:numPr>
        <w:textAlignment w:val="baseline"/>
        <w:rPr>
          <w:rFonts w:ascii="Arial" w:hAnsi="Arial" w:cs="Arial"/>
          <w:color w:val="000000"/>
          <w:lang w:val="en-PH"/>
        </w:rPr>
      </w:pPr>
      <w:r w:rsidRPr="00993CC7">
        <w:rPr>
          <w:rFonts w:ascii="Arial" w:hAnsi="Arial" w:cs="Arial"/>
          <w:color w:val="000000"/>
          <w:lang w:val="en-PH"/>
        </w:rPr>
        <w:t>Only one institution per region was included to ensure a wide geographic spread.</w:t>
      </w:r>
    </w:p>
    <w:p w14:paraId="536B31D3" w14:textId="77777777" w:rsidR="00993CC7" w:rsidRPr="00993CC7" w:rsidRDefault="00993CC7" w:rsidP="00993CC7">
      <w:pPr>
        <w:rPr>
          <w:rFonts w:ascii="Times New Roman" w:hAnsi="Times New Roman"/>
          <w:sz w:val="24"/>
          <w:szCs w:val="24"/>
          <w:lang w:val="en-PH"/>
        </w:rPr>
      </w:pPr>
      <w:r w:rsidRPr="00993CC7">
        <w:rPr>
          <w:rFonts w:ascii="Arial" w:hAnsi="Arial" w:cs="Arial"/>
          <w:color w:val="000000"/>
          <w:lang w:val="en-PH"/>
        </w:rPr>
        <w:t>For the local comparison, a private university in Northern Mindanao, Philippines, was chosen because it was relevant, private, and had publicly available tuition information.</w:t>
      </w:r>
    </w:p>
    <w:p w14:paraId="526348A3" w14:textId="77777777" w:rsidR="00993CC7" w:rsidRPr="00993CC7" w:rsidRDefault="00993CC7" w:rsidP="00993CC7">
      <w:pPr>
        <w:rPr>
          <w:rFonts w:ascii="Arial" w:hAnsi="Arial" w:cs="Arial"/>
          <w:sz w:val="22"/>
          <w:szCs w:val="22"/>
          <w:lang w:val="en-PH"/>
        </w:rPr>
      </w:pPr>
    </w:p>
    <w:p w14:paraId="45E67F03" w14:textId="77777777" w:rsidR="00993CC7" w:rsidRPr="00993CC7" w:rsidRDefault="00993CC7" w:rsidP="00993CC7">
      <w:pPr>
        <w:rPr>
          <w:rFonts w:ascii="Times New Roman" w:hAnsi="Times New Roman"/>
          <w:sz w:val="24"/>
          <w:szCs w:val="24"/>
          <w:lang w:val="en-PH"/>
        </w:rPr>
      </w:pPr>
      <w:r w:rsidRPr="00993CC7">
        <w:rPr>
          <w:rFonts w:ascii="Arial" w:hAnsi="Arial" w:cs="Arial"/>
          <w:b/>
          <w:bCs/>
          <w:color w:val="000000"/>
          <w:u w:val="single"/>
          <w:lang w:val="en-PH"/>
        </w:rPr>
        <w:t>2.2.2 Exclusion Criteria</w:t>
      </w:r>
    </w:p>
    <w:p w14:paraId="36A38236" w14:textId="75571BBB" w:rsidR="00993CC7" w:rsidRPr="00993CC7" w:rsidRDefault="00993CC7" w:rsidP="00993CC7">
      <w:pPr>
        <w:rPr>
          <w:rFonts w:ascii="Arial" w:hAnsi="Arial" w:cs="Arial"/>
          <w:sz w:val="22"/>
          <w:szCs w:val="22"/>
          <w:lang w:val="en-PH"/>
        </w:rPr>
      </w:pPr>
    </w:p>
    <w:p w14:paraId="39C72F94" w14:textId="77777777" w:rsidR="00993CC7" w:rsidRPr="00993CC7" w:rsidRDefault="00993CC7" w:rsidP="00993CC7">
      <w:pPr>
        <w:rPr>
          <w:rFonts w:ascii="Times New Roman" w:hAnsi="Times New Roman"/>
          <w:sz w:val="24"/>
          <w:szCs w:val="24"/>
          <w:lang w:val="en-PH"/>
        </w:rPr>
      </w:pPr>
      <w:r w:rsidRPr="00993CC7">
        <w:rPr>
          <w:rFonts w:ascii="Arial" w:hAnsi="Arial" w:cs="Arial"/>
          <w:color w:val="000000"/>
          <w:lang w:val="en-PH"/>
        </w:rPr>
        <w:t>Institutions were excluded if they met any of the following conditions:</w:t>
      </w:r>
    </w:p>
    <w:p w14:paraId="29791211" w14:textId="77777777" w:rsidR="00993CC7" w:rsidRPr="00993CC7" w:rsidRDefault="00993CC7" w:rsidP="00993CC7">
      <w:pPr>
        <w:numPr>
          <w:ilvl w:val="0"/>
          <w:numId w:val="32"/>
        </w:numPr>
        <w:textAlignment w:val="baseline"/>
        <w:rPr>
          <w:rFonts w:ascii="Arial" w:hAnsi="Arial" w:cs="Arial"/>
          <w:color w:val="000000"/>
          <w:lang w:val="en-PH"/>
        </w:rPr>
      </w:pPr>
      <w:r w:rsidRPr="00993CC7">
        <w:rPr>
          <w:rFonts w:ascii="Arial" w:hAnsi="Arial" w:cs="Arial"/>
          <w:color w:val="000000"/>
          <w:lang w:val="en-PH"/>
        </w:rPr>
        <w:t>They were mainly public institutions with tuition supported by the state.</w:t>
      </w:r>
    </w:p>
    <w:p w14:paraId="24B6CCBA" w14:textId="77777777" w:rsidR="00993CC7" w:rsidRPr="00993CC7" w:rsidRDefault="00993CC7" w:rsidP="00993CC7">
      <w:pPr>
        <w:numPr>
          <w:ilvl w:val="0"/>
          <w:numId w:val="32"/>
        </w:numPr>
        <w:textAlignment w:val="baseline"/>
        <w:rPr>
          <w:rFonts w:ascii="Arial" w:hAnsi="Arial" w:cs="Arial"/>
          <w:color w:val="000000"/>
          <w:lang w:val="en-PH"/>
        </w:rPr>
      </w:pPr>
      <w:r w:rsidRPr="00993CC7">
        <w:rPr>
          <w:rFonts w:ascii="Arial" w:hAnsi="Arial" w:cs="Arial"/>
          <w:color w:val="000000"/>
          <w:lang w:val="en-PH"/>
        </w:rPr>
        <w:t>They were not ranked between 200 and 500 in the QS World University Rankings 2026.</w:t>
      </w:r>
    </w:p>
    <w:p w14:paraId="13D8B80A" w14:textId="77777777" w:rsidR="00993CC7" w:rsidRPr="00993CC7" w:rsidRDefault="00993CC7" w:rsidP="00993CC7">
      <w:pPr>
        <w:numPr>
          <w:ilvl w:val="0"/>
          <w:numId w:val="32"/>
        </w:numPr>
        <w:textAlignment w:val="baseline"/>
        <w:rPr>
          <w:rFonts w:ascii="Arial" w:hAnsi="Arial" w:cs="Arial"/>
          <w:color w:val="000000"/>
          <w:lang w:val="en-PH"/>
        </w:rPr>
      </w:pPr>
      <w:r w:rsidRPr="00993CC7">
        <w:rPr>
          <w:rFonts w:ascii="Arial" w:hAnsi="Arial" w:cs="Arial"/>
          <w:color w:val="000000"/>
          <w:lang w:val="en-PH"/>
        </w:rPr>
        <w:t>They did not offer tuition and financial aid information in English.</w:t>
      </w:r>
    </w:p>
    <w:p w14:paraId="7C192182" w14:textId="77777777" w:rsidR="00993CC7" w:rsidRPr="00993CC7" w:rsidRDefault="00993CC7" w:rsidP="00993CC7">
      <w:pPr>
        <w:numPr>
          <w:ilvl w:val="0"/>
          <w:numId w:val="32"/>
        </w:numPr>
        <w:textAlignment w:val="baseline"/>
        <w:rPr>
          <w:rFonts w:ascii="Arial" w:hAnsi="Arial" w:cs="Arial"/>
          <w:color w:val="000000"/>
          <w:lang w:val="en-PH"/>
        </w:rPr>
      </w:pPr>
      <w:r w:rsidRPr="00993CC7">
        <w:rPr>
          <w:rFonts w:ascii="Arial" w:hAnsi="Arial" w:cs="Arial"/>
          <w:color w:val="000000"/>
          <w:lang w:val="en-PH"/>
        </w:rPr>
        <w:t>They kept tuition details behind password-protected or student-only websites.</w:t>
      </w:r>
    </w:p>
    <w:p w14:paraId="6B277C2C" w14:textId="77777777" w:rsidR="00993CC7" w:rsidRPr="00993CC7" w:rsidRDefault="00993CC7" w:rsidP="00993CC7">
      <w:pPr>
        <w:numPr>
          <w:ilvl w:val="0"/>
          <w:numId w:val="32"/>
        </w:numPr>
        <w:textAlignment w:val="baseline"/>
        <w:rPr>
          <w:rFonts w:ascii="Arial" w:hAnsi="Arial" w:cs="Arial"/>
          <w:color w:val="000000"/>
          <w:lang w:val="en-PH"/>
        </w:rPr>
      </w:pPr>
      <w:r w:rsidRPr="00993CC7">
        <w:rPr>
          <w:rFonts w:ascii="Arial" w:hAnsi="Arial" w:cs="Arial"/>
          <w:color w:val="000000"/>
          <w:lang w:val="en-PH"/>
        </w:rPr>
        <w:t>They did not have well-organized and central tuition webpages that could be used for systematic document analysis.</w:t>
      </w:r>
    </w:p>
    <w:p w14:paraId="64D39F3D" w14:textId="77777777" w:rsidR="00993CC7" w:rsidRPr="00993CC7" w:rsidRDefault="00993CC7" w:rsidP="00993CC7">
      <w:pPr>
        <w:rPr>
          <w:rFonts w:ascii="Times New Roman" w:hAnsi="Times New Roman"/>
          <w:sz w:val="24"/>
          <w:szCs w:val="24"/>
          <w:lang w:val="en-PH"/>
        </w:rPr>
      </w:pPr>
      <w:r w:rsidRPr="00993CC7">
        <w:rPr>
          <w:rFonts w:ascii="Arial" w:hAnsi="Arial" w:cs="Arial"/>
          <w:color w:val="000000"/>
          <w:lang w:val="en-PH"/>
        </w:rPr>
        <w:t>The exclusion of ultra-elite institutions was intended to reduce structural distortions associated with endowment-driven financial models, which may significantly influence tuition-framing strategies.</w:t>
      </w:r>
    </w:p>
    <w:p w14:paraId="2590DFB9" w14:textId="77777777" w:rsidR="00993CC7" w:rsidRPr="00993CC7" w:rsidRDefault="00993CC7" w:rsidP="00993CC7">
      <w:pPr>
        <w:rPr>
          <w:rFonts w:ascii="Arial" w:hAnsi="Arial" w:cs="Arial"/>
          <w:sz w:val="22"/>
          <w:szCs w:val="22"/>
          <w:lang w:val="en-PH"/>
        </w:rPr>
      </w:pPr>
    </w:p>
    <w:p w14:paraId="41E379A6" w14:textId="77777777" w:rsidR="00993CC7" w:rsidRPr="00993CC7" w:rsidRDefault="00993CC7" w:rsidP="00993CC7">
      <w:pPr>
        <w:rPr>
          <w:rFonts w:ascii="Times New Roman" w:hAnsi="Times New Roman"/>
          <w:sz w:val="24"/>
          <w:szCs w:val="24"/>
          <w:lang w:val="en-PH"/>
        </w:rPr>
      </w:pPr>
      <w:r w:rsidRPr="00993CC7">
        <w:rPr>
          <w:rFonts w:ascii="Arial" w:hAnsi="Arial" w:cs="Arial"/>
          <w:b/>
          <w:bCs/>
          <w:color w:val="000000"/>
          <w:u w:val="single"/>
          <w:lang w:val="en-PH"/>
        </w:rPr>
        <w:t>2.2.3 Regional Framework and Justification</w:t>
      </w:r>
    </w:p>
    <w:p w14:paraId="4EBEAD0C" w14:textId="77777777" w:rsidR="00993CC7" w:rsidRPr="00993CC7" w:rsidRDefault="00993CC7" w:rsidP="00993CC7">
      <w:pPr>
        <w:rPr>
          <w:rFonts w:ascii="Arial" w:hAnsi="Arial" w:cs="Arial"/>
          <w:sz w:val="22"/>
          <w:szCs w:val="22"/>
          <w:lang w:val="en-PH"/>
        </w:rPr>
      </w:pPr>
    </w:p>
    <w:p w14:paraId="040173BD" w14:textId="77777777" w:rsidR="00993CC7" w:rsidRPr="00993CC7" w:rsidRDefault="00993CC7" w:rsidP="00993CC7">
      <w:pPr>
        <w:rPr>
          <w:rFonts w:ascii="Times New Roman" w:hAnsi="Times New Roman"/>
          <w:sz w:val="24"/>
          <w:szCs w:val="24"/>
          <w:lang w:val="en-PH"/>
        </w:rPr>
      </w:pPr>
      <w:r w:rsidRPr="00993CC7">
        <w:rPr>
          <w:rFonts w:ascii="Arial" w:hAnsi="Arial" w:cs="Arial"/>
          <w:color w:val="000000"/>
          <w:lang w:val="en-PH"/>
        </w:rPr>
        <w:t xml:space="preserve">Countries were grouped using the United Nations </w:t>
      </w:r>
      <w:proofErr w:type="spellStart"/>
      <w:r w:rsidRPr="00993CC7">
        <w:rPr>
          <w:rFonts w:ascii="Arial" w:hAnsi="Arial" w:cs="Arial"/>
          <w:color w:val="000000"/>
          <w:lang w:val="en-PH"/>
        </w:rPr>
        <w:t>Geoscheme</w:t>
      </w:r>
      <w:proofErr w:type="spellEnd"/>
      <w:r w:rsidRPr="00993CC7">
        <w:rPr>
          <w:rFonts w:ascii="Arial" w:hAnsi="Arial" w:cs="Arial"/>
          <w:color w:val="000000"/>
          <w:lang w:val="en-PH"/>
        </w:rPr>
        <w:t xml:space="preserve"> for statistical classification (United Nations Statistics Division, 2023). The study covered Northern America, Latin America and the Caribbean, Western Europe, Eastern Asia, South-Eastern Asia, and Northern Africa.</w:t>
      </w:r>
    </w:p>
    <w:p w14:paraId="46C1CCFC" w14:textId="77777777" w:rsidR="00993CC7" w:rsidRPr="00993CC7" w:rsidRDefault="00993CC7" w:rsidP="00993CC7">
      <w:pPr>
        <w:rPr>
          <w:rFonts w:ascii="Times New Roman" w:hAnsi="Times New Roman"/>
          <w:sz w:val="24"/>
          <w:szCs w:val="24"/>
          <w:lang w:val="en-PH"/>
        </w:rPr>
      </w:pPr>
      <w:r w:rsidRPr="00993CC7">
        <w:rPr>
          <w:rFonts w:ascii="Arial" w:hAnsi="Arial" w:cs="Arial"/>
          <w:color w:val="000000"/>
          <w:lang w:val="en-PH"/>
        </w:rPr>
        <w:t>The regions were chosen to show differences between established and emerging higher education markets. The study included mature tuition-driven systems, such as North America and Western Europe, as well as fast-growing and competitive systems in Asia and other areas. Today, global higher education is shaped more and more by cross-border competition, internationalization, and reputation (</w:t>
      </w:r>
      <w:proofErr w:type="spellStart"/>
      <w:r w:rsidRPr="00993CC7">
        <w:rPr>
          <w:rFonts w:ascii="Arial" w:hAnsi="Arial" w:cs="Arial"/>
          <w:color w:val="000000"/>
          <w:lang w:val="en-PH"/>
        </w:rPr>
        <w:t>Marginson</w:t>
      </w:r>
      <w:proofErr w:type="spellEnd"/>
      <w:r w:rsidRPr="00993CC7">
        <w:rPr>
          <w:rFonts w:ascii="Arial" w:hAnsi="Arial" w:cs="Arial"/>
          <w:color w:val="000000"/>
          <w:lang w:val="en-PH"/>
        </w:rPr>
        <w:t>, 2022).</w:t>
      </w:r>
    </w:p>
    <w:p w14:paraId="47E29285" w14:textId="779736A0" w:rsidR="00790ADA" w:rsidRDefault="00993CC7" w:rsidP="000D71F5">
      <w:pPr>
        <w:rPr>
          <w:rFonts w:ascii="Arial" w:hAnsi="Arial" w:cs="Arial"/>
          <w:color w:val="000000"/>
          <w:lang w:val="en-PH"/>
        </w:rPr>
      </w:pPr>
      <w:r w:rsidRPr="00993CC7">
        <w:rPr>
          <w:rFonts w:ascii="Arial" w:hAnsi="Arial" w:cs="Arial"/>
          <w:color w:val="000000"/>
          <w:lang w:val="en-PH"/>
        </w:rPr>
        <w:t>Regional diversity was used to make the sample more varied, but it was not analyzed as a separate variable.</w:t>
      </w:r>
    </w:p>
    <w:p w14:paraId="0CA9EEB7" w14:textId="77777777" w:rsidR="00C82BB5" w:rsidRPr="00C82BB5" w:rsidRDefault="00C82BB5" w:rsidP="00C82BB5">
      <w:pPr>
        <w:rPr>
          <w:rFonts w:ascii="Arial" w:hAnsi="Arial" w:cs="Arial"/>
          <w:sz w:val="22"/>
          <w:szCs w:val="22"/>
          <w:lang w:val="en-PH"/>
        </w:rPr>
      </w:pPr>
    </w:p>
    <w:p w14:paraId="6E379188" w14:textId="77777777" w:rsidR="00C82BB5" w:rsidRPr="00C82BB5" w:rsidRDefault="00C82BB5" w:rsidP="00C82BB5">
      <w:pPr>
        <w:rPr>
          <w:rFonts w:ascii="Times New Roman" w:hAnsi="Times New Roman"/>
          <w:sz w:val="24"/>
          <w:szCs w:val="24"/>
          <w:lang w:val="en-PH"/>
        </w:rPr>
      </w:pPr>
      <w:r w:rsidRPr="00C82BB5">
        <w:rPr>
          <w:rFonts w:ascii="Arial" w:hAnsi="Arial" w:cs="Arial"/>
          <w:b/>
          <w:bCs/>
          <w:color w:val="000000"/>
          <w:u w:val="single"/>
          <w:lang w:val="en-PH"/>
        </w:rPr>
        <w:t>2.2.4 Rationale for One University per Region</w:t>
      </w:r>
    </w:p>
    <w:p w14:paraId="64D7114E" w14:textId="77777777" w:rsidR="00C82BB5" w:rsidRPr="00C82BB5" w:rsidRDefault="00C82BB5" w:rsidP="00C82BB5">
      <w:pPr>
        <w:rPr>
          <w:rFonts w:ascii="Arial" w:hAnsi="Arial" w:cs="Arial"/>
          <w:sz w:val="22"/>
          <w:szCs w:val="22"/>
          <w:lang w:val="en-PH"/>
        </w:rPr>
      </w:pPr>
    </w:p>
    <w:p w14:paraId="29BFC3C4" w14:textId="77777777" w:rsidR="00C82BB5" w:rsidRPr="00C82BB5" w:rsidRDefault="00C82BB5" w:rsidP="00C82BB5">
      <w:pPr>
        <w:rPr>
          <w:rFonts w:ascii="Times New Roman" w:hAnsi="Times New Roman"/>
          <w:sz w:val="24"/>
          <w:szCs w:val="24"/>
          <w:lang w:val="en-PH"/>
        </w:rPr>
      </w:pPr>
      <w:r w:rsidRPr="00C82BB5">
        <w:rPr>
          <w:rFonts w:ascii="Arial" w:hAnsi="Arial" w:cs="Arial"/>
          <w:color w:val="000000"/>
          <w:lang w:val="en-PH"/>
        </w:rPr>
        <w:t>One global university was selected from each region for the following reasons:</w:t>
      </w:r>
    </w:p>
    <w:p w14:paraId="3CC5F54B" w14:textId="77777777" w:rsidR="00C82BB5" w:rsidRPr="00C82BB5" w:rsidRDefault="00C82BB5" w:rsidP="00C82BB5">
      <w:pPr>
        <w:numPr>
          <w:ilvl w:val="0"/>
          <w:numId w:val="33"/>
        </w:numPr>
        <w:textAlignment w:val="baseline"/>
        <w:rPr>
          <w:rFonts w:ascii="Arial" w:hAnsi="Arial" w:cs="Arial"/>
          <w:color w:val="000000"/>
          <w:lang w:val="en-PH"/>
        </w:rPr>
      </w:pPr>
      <w:r w:rsidRPr="00C82BB5">
        <w:rPr>
          <w:rFonts w:ascii="Arial" w:hAnsi="Arial" w:cs="Arial"/>
          <w:color w:val="000000"/>
          <w:lang w:val="en-PH"/>
        </w:rPr>
        <w:t>This approach avoided geographic clustering, which could have biased the analysis toward one region’s tuition model.</w:t>
      </w:r>
    </w:p>
    <w:p w14:paraId="116015D7" w14:textId="77777777" w:rsidR="00C82BB5" w:rsidRPr="00C82BB5" w:rsidRDefault="00C82BB5" w:rsidP="00C82BB5">
      <w:pPr>
        <w:numPr>
          <w:ilvl w:val="0"/>
          <w:numId w:val="33"/>
        </w:numPr>
        <w:textAlignment w:val="baseline"/>
        <w:rPr>
          <w:rFonts w:ascii="Arial" w:hAnsi="Arial" w:cs="Arial"/>
          <w:color w:val="000000"/>
          <w:lang w:val="en-PH"/>
        </w:rPr>
      </w:pPr>
      <w:r w:rsidRPr="00C82BB5">
        <w:rPr>
          <w:rFonts w:ascii="Arial" w:hAnsi="Arial" w:cs="Arial"/>
          <w:color w:val="000000"/>
          <w:lang w:val="en-PH"/>
        </w:rPr>
        <w:t>It also reduced the risk of overrepresenting similar funding structures or communication strategies from the same region.</w:t>
      </w:r>
    </w:p>
    <w:p w14:paraId="2E32998C" w14:textId="77777777" w:rsidR="00C82BB5" w:rsidRPr="00C82BB5" w:rsidRDefault="00C82BB5" w:rsidP="00C82BB5">
      <w:pPr>
        <w:numPr>
          <w:ilvl w:val="0"/>
          <w:numId w:val="33"/>
        </w:numPr>
        <w:textAlignment w:val="baseline"/>
        <w:rPr>
          <w:rFonts w:ascii="Arial" w:hAnsi="Arial" w:cs="Arial"/>
          <w:color w:val="000000"/>
          <w:lang w:val="en-PH"/>
        </w:rPr>
      </w:pPr>
      <w:r w:rsidRPr="00C82BB5">
        <w:rPr>
          <w:rFonts w:ascii="Arial" w:hAnsi="Arial" w:cs="Arial"/>
          <w:color w:val="000000"/>
          <w:lang w:val="en-PH"/>
        </w:rPr>
        <w:t>This method increased both cross-national and cross-regional diversity in the global benchmark group.</w:t>
      </w:r>
    </w:p>
    <w:p w14:paraId="66394B6D" w14:textId="77777777" w:rsidR="00C82BB5" w:rsidRPr="00C82BB5" w:rsidRDefault="00C82BB5" w:rsidP="00C82BB5">
      <w:pPr>
        <w:numPr>
          <w:ilvl w:val="0"/>
          <w:numId w:val="33"/>
        </w:numPr>
        <w:textAlignment w:val="baseline"/>
        <w:rPr>
          <w:rFonts w:ascii="Arial" w:hAnsi="Arial" w:cs="Arial"/>
          <w:color w:val="000000"/>
          <w:lang w:val="en-PH"/>
        </w:rPr>
      </w:pPr>
      <w:r w:rsidRPr="00C82BB5">
        <w:rPr>
          <w:rFonts w:ascii="Arial" w:hAnsi="Arial" w:cs="Arial"/>
          <w:color w:val="000000"/>
          <w:lang w:val="en-PH"/>
        </w:rPr>
        <w:t>It allowed for deeper qualitative analysis while keeping the study manageable for a single researcher.</w:t>
      </w:r>
    </w:p>
    <w:p w14:paraId="3F0F7DF2" w14:textId="77777777" w:rsidR="00C82BB5" w:rsidRPr="00C82BB5" w:rsidRDefault="00C82BB5" w:rsidP="00C82BB5">
      <w:pPr>
        <w:rPr>
          <w:rFonts w:ascii="Times New Roman" w:hAnsi="Times New Roman"/>
          <w:sz w:val="24"/>
          <w:szCs w:val="24"/>
          <w:lang w:val="en-PH"/>
        </w:rPr>
      </w:pPr>
      <w:r w:rsidRPr="00C82BB5">
        <w:rPr>
          <w:rFonts w:ascii="Arial" w:hAnsi="Arial" w:cs="Arial"/>
          <w:color w:val="000000"/>
          <w:lang w:val="en-PH"/>
        </w:rPr>
        <w:lastRenderedPageBreak/>
        <w:t>The aim was to build a geographically diverse global benchmark group, rather than to compare universities within the same region.</w:t>
      </w:r>
    </w:p>
    <w:p w14:paraId="505F9597" w14:textId="77777777" w:rsidR="00C82BB5" w:rsidRPr="00C82BB5" w:rsidRDefault="00C82BB5" w:rsidP="00C82BB5">
      <w:pPr>
        <w:rPr>
          <w:rFonts w:ascii="Arial" w:hAnsi="Arial" w:cs="Arial"/>
          <w:sz w:val="22"/>
          <w:szCs w:val="22"/>
          <w:lang w:val="en-PH"/>
        </w:rPr>
      </w:pPr>
    </w:p>
    <w:p w14:paraId="3BB0F5EF" w14:textId="77777777" w:rsidR="00C82BB5" w:rsidRPr="00C82BB5" w:rsidRDefault="00C82BB5" w:rsidP="00C82BB5">
      <w:pPr>
        <w:rPr>
          <w:rFonts w:ascii="Times New Roman" w:hAnsi="Times New Roman"/>
          <w:sz w:val="24"/>
          <w:szCs w:val="24"/>
          <w:lang w:val="en-PH"/>
        </w:rPr>
      </w:pPr>
      <w:r w:rsidRPr="00C82BB5">
        <w:rPr>
          <w:rFonts w:ascii="Arial" w:hAnsi="Arial" w:cs="Arial"/>
          <w:b/>
          <w:bCs/>
          <w:color w:val="000000"/>
          <w:sz w:val="22"/>
          <w:szCs w:val="22"/>
          <w:lang w:val="en-PH"/>
        </w:rPr>
        <w:t>2.3 Final Selection of Universities</w:t>
      </w:r>
    </w:p>
    <w:p w14:paraId="0ED7AEE3" w14:textId="77777777" w:rsidR="00C82BB5" w:rsidRPr="00C82BB5" w:rsidRDefault="00C82BB5" w:rsidP="00C82BB5">
      <w:pPr>
        <w:rPr>
          <w:rFonts w:ascii="Arial" w:hAnsi="Arial" w:cs="Arial"/>
          <w:sz w:val="22"/>
          <w:szCs w:val="22"/>
          <w:lang w:val="en-PH"/>
        </w:rPr>
      </w:pPr>
    </w:p>
    <w:p w14:paraId="035D04DF" w14:textId="77777777" w:rsidR="00C82BB5" w:rsidRPr="00C82BB5" w:rsidRDefault="00C82BB5" w:rsidP="00C82BB5">
      <w:pPr>
        <w:rPr>
          <w:rFonts w:ascii="Times New Roman" w:hAnsi="Times New Roman"/>
          <w:sz w:val="24"/>
          <w:szCs w:val="24"/>
          <w:lang w:val="en-PH"/>
        </w:rPr>
      </w:pPr>
      <w:r w:rsidRPr="00C82BB5">
        <w:rPr>
          <w:rFonts w:ascii="Arial" w:hAnsi="Arial" w:cs="Arial"/>
          <w:color w:val="000000"/>
          <w:lang w:val="en-PH"/>
        </w:rPr>
        <w:t xml:space="preserve">Using the inclusion and exclusion criteria described earlier, six private universities were chosen for the global benchmark group. The selection covered different geographic regions according to the United Nations </w:t>
      </w:r>
      <w:proofErr w:type="spellStart"/>
      <w:r w:rsidRPr="00C82BB5">
        <w:rPr>
          <w:rFonts w:ascii="Arial" w:hAnsi="Arial" w:cs="Arial"/>
          <w:color w:val="000000"/>
          <w:lang w:val="en-PH"/>
        </w:rPr>
        <w:t>geoscheme</w:t>
      </w:r>
      <w:proofErr w:type="spellEnd"/>
      <w:r w:rsidRPr="00C82BB5">
        <w:rPr>
          <w:rFonts w:ascii="Arial" w:hAnsi="Arial" w:cs="Arial"/>
          <w:color w:val="000000"/>
          <w:lang w:val="en-PH"/>
        </w:rPr>
        <w:t xml:space="preserve"> and kept to the QS World University Rankings 2026 (200–500 band). Table 1 shows the final group of institutions used in the analysis.</w:t>
      </w:r>
    </w:p>
    <w:p w14:paraId="2290A0A7" w14:textId="77777777" w:rsidR="00C82BB5" w:rsidRPr="00C82BB5" w:rsidRDefault="00C82BB5" w:rsidP="00C82BB5">
      <w:pPr>
        <w:rPr>
          <w:rFonts w:ascii="Times New Roman" w:hAnsi="Times New Roman"/>
          <w:sz w:val="24"/>
          <w:szCs w:val="24"/>
          <w:lang w:val="en-PH"/>
        </w:rPr>
      </w:pPr>
    </w:p>
    <w:p w14:paraId="216FDEA4" w14:textId="77777777" w:rsidR="00C82BB5" w:rsidRPr="00C82BB5" w:rsidRDefault="00C82BB5" w:rsidP="00C82BB5">
      <w:pPr>
        <w:jc w:val="center"/>
        <w:rPr>
          <w:rFonts w:ascii="Times New Roman" w:hAnsi="Times New Roman"/>
          <w:sz w:val="24"/>
          <w:szCs w:val="24"/>
          <w:lang w:val="en-PH"/>
        </w:rPr>
      </w:pPr>
      <w:r w:rsidRPr="00C82BB5">
        <w:rPr>
          <w:rFonts w:ascii="Arial" w:hAnsi="Arial" w:cs="Arial"/>
          <w:b/>
          <w:bCs/>
          <w:color w:val="000000"/>
          <w:lang w:val="en-PH"/>
        </w:rPr>
        <w:t>Table 1. Global Universities Selected for Tuition Framing Analysis</w:t>
      </w:r>
    </w:p>
    <w:p w14:paraId="5BBD075A" w14:textId="77777777" w:rsidR="00C82BB5" w:rsidRPr="00C82BB5" w:rsidRDefault="00C82BB5" w:rsidP="00C82BB5">
      <w:pPr>
        <w:rPr>
          <w:rFonts w:ascii="Times New Roman" w:hAnsi="Times New Roman"/>
          <w:sz w:val="24"/>
          <w:szCs w:val="24"/>
          <w:lang w:val="en-PH"/>
        </w:rPr>
      </w:pPr>
    </w:p>
    <w:tbl>
      <w:tblPr>
        <w:tblW w:w="897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690"/>
        <w:gridCol w:w="2880"/>
        <w:gridCol w:w="2408"/>
      </w:tblGrid>
      <w:tr w:rsidR="006A1041" w:rsidRPr="00DC3180" w14:paraId="15C40DD6" w14:textId="77777777" w:rsidTr="00D6707A">
        <w:trPr>
          <w:jc w:val="center"/>
        </w:trPr>
        <w:tc>
          <w:tcPr>
            <w:tcW w:w="3690" w:type="dxa"/>
            <w:tcBorders>
              <w:bottom w:val="single" w:sz="4" w:space="0" w:color="auto"/>
            </w:tcBorders>
            <w:vAlign w:val="center"/>
          </w:tcPr>
          <w:p w14:paraId="49736740" w14:textId="362D64A6" w:rsidR="006A1041" w:rsidRPr="00DC3180" w:rsidRDefault="006A1041" w:rsidP="006A1041">
            <w:pPr>
              <w:jc w:val="both"/>
              <w:rPr>
                <w:rFonts w:ascii="Arial" w:hAnsi="Arial"/>
                <w:b/>
                <w:bCs/>
              </w:rPr>
            </w:pPr>
            <w:r>
              <w:rPr>
                <w:rFonts w:ascii="Arial" w:hAnsi="Arial" w:cs="Arial"/>
                <w:b/>
                <w:bCs/>
                <w:color w:val="000000"/>
              </w:rPr>
              <w:t>University</w:t>
            </w:r>
          </w:p>
        </w:tc>
        <w:tc>
          <w:tcPr>
            <w:tcW w:w="2880" w:type="dxa"/>
            <w:tcBorders>
              <w:bottom w:val="single" w:sz="4" w:space="0" w:color="auto"/>
            </w:tcBorders>
            <w:vAlign w:val="center"/>
          </w:tcPr>
          <w:p w14:paraId="6B4CCE73" w14:textId="1885EE45" w:rsidR="006A1041" w:rsidRPr="00DC3180" w:rsidRDefault="006A1041" w:rsidP="00D5167A">
            <w:pPr>
              <w:rPr>
                <w:rFonts w:ascii="Arial" w:hAnsi="Arial"/>
                <w:b/>
                <w:bCs/>
              </w:rPr>
            </w:pPr>
            <w:r>
              <w:rPr>
                <w:rFonts w:ascii="Arial" w:hAnsi="Arial" w:cs="Arial"/>
                <w:b/>
                <w:bCs/>
                <w:color w:val="000000"/>
              </w:rPr>
              <w:t xml:space="preserve">Region (UN </w:t>
            </w:r>
            <w:proofErr w:type="spellStart"/>
            <w:r>
              <w:rPr>
                <w:rFonts w:ascii="Arial" w:hAnsi="Arial" w:cs="Arial"/>
                <w:b/>
                <w:bCs/>
                <w:color w:val="000000"/>
              </w:rPr>
              <w:t>Geoscheme</w:t>
            </w:r>
            <w:proofErr w:type="spellEnd"/>
            <w:r>
              <w:rPr>
                <w:rFonts w:ascii="Arial" w:hAnsi="Arial" w:cs="Arial"/>
                <w:b/>
                <w:bCs/>
                <w:color w:val="000000"/>
              </w:rPr>
              <w:t>)</w:t>
            </w:r>
          </w:p>
        </w:tc>
        <w:tc>
          <w:tcPr>
            <w:tcW w:w="2408" w:type="dxa"/>
            <w:tcBorders>
              <w:bottom w:val="single" w:sz="4" w:space="0" w:color="auto"/>
            </w:tcBorders>
            <w:vAlign w:val="center"/>
          </w:tcPr>
          <w:p w14:paraId="7C990790" w14:textId="1449EA1B" w:rsidR="006A1041" w:rsidRPr="00DC3180" w:rsidRDefault="006A1041" w:rsidP="006A1041">
            <w:pPr>
              <w:jc w:val="both"/>
              <w:rPr>
                <w:rFonts w:ascii="Arial" w:hAnsi="Arial"/>
                <w:b/>
                <w:bCs/>
              </w:rPr>
            </w:pPr>
            <w:r>
              <w:rPr>
                <w:rFonts w:ascii="Arial" w:hAnsi="Arial" w:cs="Arial"/>
                <w:b/>
                <w:bCs/>
                <w:color w:val="000000"/>
              </w:rPr>
              <w:t>QS Ranking Band</w:t>
            </w:r>
          </w:p>
        </w:tc>
      </w:tr>
      <w:tr w:rsidR="006A1041" w:rsidRPr="00DC3180" w14:paraId="55A42ABB" w14:textId="77777777" w:rsidTr="00D5167A">
        <w:trPr>
          <w:jc w:val="center"/>
        </w:trPr>
        <w:tc>
          <w:tcPr>
            <w:tcW w:w="3690" w:type="dxa"/>
            <w:tcBorders>
              <w:top w:val="single" w:sz="4" w:space="0" w:color="auto"/>
              <w:bottom w:val="nil"/>
            </w:tcBorders>
            <w:vAlign w:val="center"/>
          </w:tcPr>
          <w:p w14:paraId="56775093" w14:textId="77D35ABF" w:rsidR="006A1041" w:rsidRPr="00DC3180" w:rsidRDefault="006A1041" w:rsidP="006A1041">
            <w:pPr>
              <w:rPr>
                <w:rFonts w:ascii="Arial" w:hAnsi="Arial"/>
              </w:rPr>
            </w:pPr>
            <w:r>
              <w:rPr>
                <w:rFonts w:ascii="Arial" w:hAnsi="Arial" w:cs="Arial"/>
                <w:color w:val="000000"/>
              </w:rPr>
              <w:t>Northeastern University (USA)</w:t>
            </w:r>
          </w:p>
        </w:tc>
        <w:tc>
          <w:tcPr>
            <w:tcW w:w="2880" w:type="dxa"/>
            <w:tcBorders>
              <w:top w:val="single" w:sz="4" w:space="0" w:color="auto"/>
              <w:bottom w:val="nil"/>
            </w:tcBorders>
            <w:vAlign w:val="center"/>
          </w:tcPr>
          <w:p w14:paraId="3A5AF48A" w14:textId="4294500D" w:rsidR="006A1041" w:rsidRPr="00DC3180" w:rsidRDefault="006A1041" w:rsidP="006A1041">
            <w:pPr>
              <w:rPr>
                <w:rFonts w:ascii="Arial" w:hAnsi="Arial"/>
              </w:rPr>
            </w:pPr>
            <w:r>
              <w:rPr>
                <w:rFonts w:ascii="Arial" w:hAnsi="Arial" w:cs="Arial"/>
                <w:color w:val="000000"/>
              </w:rPr>
              <w:t>Northern America</w:t>
            </w:r>
          </w:p>
        </w:tc>
        <w:tc>
          <w:tcPr>
            <w:tcW w:w="2408" w:type="dxa"/>
            <w:tcBorders>
              <w:top w:val="single" w:sz="4" w:space="0" w:color="auto"/>
              <w:bottom w:val="nil"/>
            </w:tcBorders>
            <w:vAlign w:val="center"/>
          </w:tcPr>
          <w:p w14:paraId="72B2EFBD" w14:textId="159865A5" w:rsidR="006A1041" w:rsidRPr="006A1041" w:rsidRDefault="006A1041" w:rsidP="00D5167A">
            <w:pPr>
              <w:rPr>
                <w:rFonts w:ascii="Arial" w:eastAsia="Arial Unicode MS" w:hAnsi="Arial" w:cs="Arial"/>
              </w:rPr>
            </w:pPr>
            <w:r>
              <w:rPr>
                <w:rFonts w:ascii="Arial" w:hAnsi="Arial" w:cs="Arial"/>
                <w:color w:val="000000"/>
              </w:rPr>
              <w:t>~375</w:t>
            </w:r>
          </w:p>
        </w:tc>
      </w:tr>
      <w:tr w:rsidR="006A1041" w:rsidRPr="00DC3180" w14:paraId="5F9ECC3C" w14:textId="77777777" w:rsidTr="00D5167A">
        <w:trPr>
          <w:jc w:val="center"/>
        </w:trPr>
        <w:tc>
          <w:tcPr>
            <w:tcW w:w="3690" w:type="dxa"/>
            <w:tcBorders>
              <w:top w:val="nil"/>
              <w:bottom w:val="nil"/>
            </w:tcBorders>
            <w:vAlign w:val="center"/>
          </w:tcPr>
          <w:p w14:paraId="5FDDDD02" w14:textId="12802A8F" w:rsidR="006A1041" w:rsidRPr="00DC3180" w:rsidRDefault="006A1041" w:rsidP="006A1041">
            <w:pPr>
              <w:rPr>
                <w:rFonts w:ascii="Arial" w:hAnsi="Arial"/>
              </w:rPr>
            </w:pPr>
            <w:proofErr w:type="spellStart"/>
            <w:r>
              <w:rPr>
                <w:rFonts w:ascii="Arial" w:hAnsi="Arial" w:cs="Arial"/>
                <w:color w:val="000000"/>
              </w:rPr>
              <w:t>Tecnológico</w:t>
            </w:r>
            <w:proofErr w:type="spellEnd"/>
            <w:r>
              <w:rPr>
                <w:rFonts w:ascii="Arial" w:hAnsi="Arial" w:cs="Arial"/>
                <w:color w:val="000000"/>
              </w:rPr>
              <w:t xml:space="preserve"> de Monterrey (Mexico)</w:t>
            </w:r>
          </w:p>
        </w:tc>
        <w:tc>
          <w:tcPr>
            <w:tcW w:w="2880" w:type="dxa"/>
            <w:tcBorders>
              <w:top w:val="nil"/>
              <w:bottom w:val="nil"/>
            </w:tcBorders>
            <w:vAlign w:val="center"/>
          </w:tcPr>
          <w:p w14:paraId="5D7489F0" w14:textId="59ED6B97" w:rsidR="006A1041" w:rsidRPr="00DC3180" w:rsidRDefault="006A1041" w:rsidP="006A1041">
            <w:pPr>
              <w:rPr>
                <w:rFonts w:ascii="Arial" w:hAnsi="Arial"/>
              </w:rPr>
            </w:pPr>
            <w:r>
              <w:rPr>
                <w:rFonts w:ascii="Arial" w:hAnsi="Arial" w:cs="Arial"/>
                <w:color w:val="000000"/>
              </w:rPr>
              <w:t>Latin America &amp; Caribbean</w:t>
            </w:r>
          </w:p>
        </w:tc>
        <w:tc>
          <w:tcPr>
            <w:tcW w:w="2408" w:type="dxa"/>
            <w:tcBorders>
              <w:top w:val="nil"/>
              <w:bottom w:val="nil"/>
            </w:tcBorders>
            <w:vAlign w:val="center"/>
          </w:tcPr>
          <w:p w14:paraId="5ADCB1D3" w14:textId="0445702D" w:rsidR="006A1041" w:rsidRPr="00DC3180" w:rsidRDefault="006A1041" w:rsidP="00D5167A">
            <w:pPr>
              <w:rPr>
                <w:rFonts w:ascii="Arial" w:hAnsi="Arial" w:cs="Arial"/>
              </w:rPr>
            </w:pPr>
            <w:r>
              <w:rPr>
                <w:rFonts w:ascii="Arial" w:hAnsi="Arial" w:cs="Arial"/>
                <w:color w:val="000000"/>
              </w:rPr>
              <w:t>~190–200</w:t>
            </w:r>
          </w:p>
        </w:tc>
      </w:tr>
      <w:tr w:rsidR="006A1041" w:rsidRPr="00DC3180" w14:paraId="0D789BFE" w14:textId="77777777" w:rsidTr="00D5167A">
        <w:trPr>
          <w:jc w:val="center"/>
        </w:trPr>
        <w:tc>
          <w:tcPr>
            <w:tcW w:w="3690" w:type="dxa"/>
            <w:tcBorders>
              <w:top w:val="nil"/>
              <w:bottom w:val="nil"/>
            </w:tcBorders>
            <w:vAlign w:val="center"/>
          </w:tcPr>
          <w:p w14:paraId="7A2F93A7" w14:textId="76ED2C89" w:rsidR="006A1041" w:rsidRPr="00DC3180" w:rsidRDefault="006A1041" w:rsidP="006A1041">
            <w:pPr>
              <w:rPr>
                <w:rFonts w:ascii="Arial" w:hAnsi="Arial"/>
              </w:rPr>
            </w:pPr>
            <w:r>
              <w:rPr>
                <w:rFonts w:ascii="Arial" w:hAnsi="Arial" w:cs="Arial"/>
                <w:color w:val="000000"/>
              </w:rPr>
              <w:t>University of Navarra (Spain)</w:t>
            </w:r>
          </w:p>
        </w:tc>
        <w:tc>
          <w:tcPr>
            <w:tcW w:w="2880" w:type="dxa"/>
            <w:tcBorders>
              <w:top w:val="nil"/>
              <w:bottom w:val="nil"/>
            </w:tcBorders>
            <w:vAlign w:val="center"/>
          </w:tcPr>
          <w:p w14:paraId="0E406B07" w14:textId="03D27AD6" w:rsidR="006A1041" w:rsidRPr="00DC3180" w:rsidRDefault="006A1041" w:rsidP="006A1041">
            <w:pPr>
              <w:rPr>
                <w:rFonts w:ascii="Arial" w:hAnsi="Arial"/>
              </w:rPr>
            </w:pPr>
            <w:r>
              <w:rPr>
                <w:rFonts w:ascii="Arial" w:hAnsi="Arial" w:cs="Arial"/>
                <w:color w:val="000000"/>
              </w:rPr>
              <w:t>Western Europe</w:t>
            </w:r>
          </w:p>
        </w:tc>
        <w:tc>
          <w:tcPr>
            <w:tcW w:w="2408" w:type="dxa"/>
            <w:tcBorders>
              <w:top w:val="nil"/>
              <w:bottom w:val="nil"/>
            </w:tcBorders>
            <w:vAlign w:val="center"/>
          </w:tcPr>
          <w:p w14:paraId="58569AAC" w14:textId="3CBF08FB" w:rsidR="006A1041" w:rsidRPr="00DC3180" w:rsidRDefault="006A1041" w:rsidP="00D5167A">
            <w:pPr>
              <w:rPr>
                <w:rFonts w:ascii="Arial" w:hAnsi="Arial" w:cs="Arial"/>
              </w:rPr>
            </w:pPr>
            <w:r>
              <w:rPr>
                <w:rFonts w:ascii="Arial" w:hAnsi="Arial" w:cs="Arial"/>
                <w:color w:val="000000"/>
              </w:rPr>
              <w:t>~260</w:t>
            </w:r>
          </w:p>
        </w:tc>
      </w:tr>
      <w:tr w:rsidR="006A1041" w:rsidRPr="00DC3180" w14:paraId="358FB010" w14:textId="77777777" w:rsidTr="00D5167A">
        <w:trPr>
          <w:jc w:val="center"/>
        </w:trPr>
        <w:tc>
          <w:tcPr>
            <w:tcW w:w="3690" w:type="dxa"/>
            <w:tcBorders>
              <w:top w:val="nil"/>
              <w:bottom w:val="nil"/>
            </w:tcBorders>
            <w:vAlign w:val="center"/>
          </w:tcPr>
          <w:p w14:paraId="67051B24" w14:textId="07C86997" w:rsidR="006A1041" w:rsidRPr="00DC3180" w:rsidRDefault="006A1041" w:rsidP="006A1041">
            <w:pPr>
              <w:rPr>
                <w:rFonts w:ascii="Arial" w:hAnsi="Arial"/>
              </w:rPr>
            </w:pPr>
            <w:r>
              <w:rPr>
                <w:rFonts w:ascii="Arial" w:hAnsi="Arial" w:cs="Arial"/>
                <w:color w:val="000000"/>
              </w:rPr>
              <w:t>American University in Cairo (Egypt)</w:t>
            </w:r>
          </w:p>
        </w:tc>
        <w:tc>
          <w:tcPr>
            <w:tcW w:w="2880" w:type="dxa"/>
            <w:tcBorders>
              <w:top w:val="nil"/>
              <w:bottom w:val="nil"/>
            </w:tcBorders>
            <w:vAlign w:val="center"/>
          </w:tcPr>
          <w:p w14:paraId="49EF12F0" w14:textId="2E87889E" w:rsidR="006A1041" w:rsidRPr="00DC3180" w:rsidRDefault="006A1041" w:rsidP="006A1041">
            <w:pPr>
              <w:rPr>
                <w:rFonts w:ascii="Arial" w:hAnsi="Arial"/>
              </w:rPr>
            </w:pPr>
            <w:r>
              <w:rPr>
                <w:rFonts w:ascii="Arial" w:hAnsi="Arial" w:cs="Arial"/>
                <w:color w:val="000000"/>
              </w:rPr>
              <w:t>Northern Africa</w:t>
            </w:r>
          </w:p>
        </w:tc>
        <w:tc>
          <w:tcPr>
            <w:tcW w:w="2408" w:type="dxa"/>
            <w:tcBorders>
              <w:top w:val="nil"/>
              <w:bottom w:val="nil"/>
            </w:tcBorders>
            <w:vAlign w:val="center"/>
          </w:tcPr>
          <w:p w14:paraId="73B65960" w14:textId="2090E92C" w:rsidR="006A1041" w:rsidRPr="00DC3180" w:rsidRDefault="006A1041" w:rsidP="00D5167A">
            <w:pPr>
              <w:rPr>
                <w:rFonts w:ascii="Arial" w:hAnsi="Arial" w:cs="Arial"/>
              </w:rPr>
            </w:pPr>
            <w:r>
              <w:rPr>
                <w:rFonts w:ascii="Arial" w:hAnsi="Arial" w:cs="Arial"/>
                <w:color w:val="000000"/>
              </w:rPr>
              <w:t>~380</w:t>
            </w:r>
          </w:p>
        </w:tc>
      </w:tr>
      <w:tr w:rsidR="006A1041" w:rsidRPr="00DC3180" w14:paraId="66ED9040" w14:textId="77777777" w:rsidTr="00D5167A">
        <w:trPr>
          <w:jc w:val="center"/>
        </w:trPr>
        <w:tc>
          <w:tcPr>
            <w:tcW w:w="3690" w:type="dxa"/>
            <w:tcBorders>
              <w:top w:val="nil"/>
              <w:bottom w:val="nil"/>
            </w:tcBorders>
            <w:vAlign w:val="center"/>
          </w:tcPr>
          <w:p w14:paraId="1167EC76" w14:textId="724DF34E" w:rsidR="006A1041" w:rsidRPr="00DC3180" w:rsidRDefault="006A1041" w:rsidP="006A1041">
            <w:pPr>
              <w:rPr>
                <w:rFonts w:ascii="Arial" w:hAnsi="Arial"/>
              </w:rPr>
            </w:pPr>
            <w:r>
              <w:rPr>
                <w:rFonts w:ascii="Arial" w:hAnsi="Arial" w:cs="Arial"/>
                <w:color w:val="000000"/>
              </w:rPr>
              <w:t>Sunway University (Malaysia)</w:t>
            </w:r>
          </w:p>
        </w:tc>
        <w:tc>
          <w:tcPr>
            <w:tcW w:w="2880" w:type="dxa"/>
            <w:tcBorders>
              <w:top w:val="nil"/>
              <w:bottom w:val="nil"/>
            </w:tcBorders>
            <w:vAlign w:val="center"/>
          </w:tcPr>
          <w:p w14:paraId="5AE72277" w14:textId="337BEBA0" w:rsidR="006A1041" w:rsidRPr="00DC3180" w:rsidRDefault="006A1041" w:rsidP="006A1041">
            <w:pPr>
              <w:rPr>
                <w:rFonts w:ascii="Arial" w:hAnsi="Arial"/>
              </w:rPr>
            </w:pPr>
            <w:r>
              <w:rPr>
                <w:rFonts w:ascii="Arial" w:hAnsi="Arial" w:cs="Arial"/>
                <w:color w:val="000000"/>
              </w:rPr>
              <w:t>South-Eastern Asia</w:t>
            </w:r>
          </w:p>
        </w:tc>
        <w:tc>
          <w:tcPr>
            <w:tcW w:w="2408" w:type="dxa"/>
            <w:tcBorders>
              <w:top w:val="nil"/>
              <w:bottom w:val="nil"/>
            </w:tcBorders>
            <w:vAlign w:val="center"/>
          </w:tcPr>
          <w:p w14:paraId="70221787" w14:textId="340B2F5E" w:rsidR="006A1041" w:rsidRPr="00DC3180" w:rsidRDefault="006A1041" w:rsidP="00D5167A">
            <w:pPr>
              <w:rPr>
                <w:rFonts w:ascii="Arial" w:hAnsi="Arial" w:cs="Arial"/>
              </w:rPr>
            </w:pPr>
            <w:r>
              <w:rPr>
                <w:rFonts w:ascii="Arial" w:hAnsi="Arial" w:cs="Arial"/>
                <w:color w:val="000000"/>
              </w:rPr>
              <w:t>~410</w:t>
            </w:r>
          </w:p>
        </w:tc>
      </w:tr>
      <w:tr w:rsidR="006A1041" w:rsidRPr="00DC3180" w14:paraId="002853E5" w14:textId="77777777" w:rsidTr="00D6707A">
        <w:trPr>
          <w:jc w:val="center"/>
        </w:trPr>
        <w:tc>
          <w:tcPr>
            <w:tcW w:w="3690" w:type="dxa"/>
            <w:tcBorders>
              <w:top w:val="nil"/>
              <w:bottom w:val="single" w:sz="4" w:space="0" w:color="auto"/>
            </w:tcBorders>
            <w:vAlign w:val="center"/>
          </w:tcPr>
          <w:p w14:paraId="42C3CAFB" w14:textId="2C25059D" w:rsidR="006A1041" w:rsidRPr="00DC3180" w:rsidRDefault="006A1041" w:rsidP="006A1041">
            <w:pPr>
              <w:rPr>
                <w:rFonts w:ascii="Arial" w:hAnsi="Arial"/>
              </w:rPr>
            </w:pPr>
            <w:proofErr w:type="spellStart"/>
            <w:r>
              <w:rPr>
                <w:rFonts w:ascii="Arial" w:hAnsi="Arial" w:cs="Arial"/>
                <w:color w:val="000000"/>
              </w:rPr>
              <w:t>Sogang</w:t>
            </w:r>
            <w:proofErr w:type="spellEnd"/>
            <w:r>
              <w:rPr>
                <w:rFonts w:ascii="Arial" w:hAnsi="Arial" w:cs="Arial"/>
                <w:color w:val="000000"/>
              </w:rPr>
              <w:t xml:space="preserve"> University (South Korea)</w:t>
            </w:r>
          </w:p>
        </w:tc>
        <w:tc>
          <w:tcPr>
            <w:tcW w:w="2880" w:type="dxa"/>
            <w:tcBorders>
              <w:top w:val="nil"/>
              <w:bottom w:val="single" w:sz="4" w:space="0" w:color="auto"/>
            </w:tcBorders>
            <w:vAlign w:val="center"/>
          </w:tcPr>
          <w:p w14:paraId="6C4ECFF4" w14:textId="2355110F" w:rsidR="006A1041" w:rsidRPr="00DC3180" w:rsidRDefault="006A1041" w:rsidP="006A1041">
            <w:pPr>
              <w:rPr>
                <w:rFonts w:ascii="Arial" w:hAnsi="Arial"/>
              </w:rPr>
            </w:pPr>
            <w:r>
              <w:rPr>
                <w:rFonts w:ascii="Arial" w:hAnsi="Arial" w:cs="Arial"/>
                <w:color w:val="000000"/>
              </w:rPr>
              <w:t>Eastern Asia</w:t>
            </w:r>
          </w:p>
        </w:tc>
        <w:tc>
          <w:tcPr>
            <w:tcW w:w="2408" w:type="dxa"/>
            <w:tcBorders>
              <w:top w:val="nil"/>
              <w:bottom w:val="single" w:sz="4" w:space="0" w:color="auto"/>
            </w:tcBorders>
            <w:vAlign w:val="center"/>
          </w:tcPr>
          <w:p w14:paraId="268CBC80" w14:textId="117C28B2" w:rsidR="006A1041" w:rsidRPr="00DC3180" w:rsidRDefault="006A1041" w:rsidP="00D5167A">
            <w:pPr>
              <w:rPr>
                <w:rFonts w:ascii="Arial" w:hAnsi="Arial" w:cs="Arial"/>
              </w:rPr>
            </w:pPr>
            <w:r>
              <w:rPr>
                <w:rFonts w:ascii="Arial" w:hAnsi="Arial" w:cs="Arial"/>
                <w:color w:val="000000"/>
              </w:rPr>
              <w:t>~500</w:t>
            </w:r>
          </w:p>
        </w:tc>
      </w:tr>
    </w:tbl>
    <w:p w14:paraId="3B3DA280" w14:textId="77777777" w:rsidR="00C82BB5" w:rsidRDefault="00C82BB5" w:rsidP="000D71F5">
      <w:pPr>
        <w:rPr>
          <w:rFonts w:ascii="Arial" w:hAnsi="Arial" w:cs="Arial"/>
          <w:color w:val="000000"/>
          <w:lang w:val="en-PH"/>
        </w:rPr>
      </w:pPr>
    </w:p>
    <w:p w14:paraId="28EA4AD9" w14:textId="0EE3FDF2" w:rsidR="000D71F5" w:rsidRDefault="007905E0" w:rsidP="000D71F5">
      <w:pPr>
        <w:rPr>
          <w:rFonts w:ascii="Arial" w:hAnsi="Arial" w:cs="Arial"/>
          <w:color w:val="000000"/>
        </w:rPr>
      </w:pPr>
      <w:r>
        <w:rPr>
          <w:rFonts w:ascii="Arial" w:hAnsi="Arial" w:cs="Arial"/>
          <w:color w:val="000000"/>
        </w:rPr>
        <w:t>These institutions collectively constitute the global benchmark group against which the Philippine case was comparatively analyzed.</w:t>
      </w:r>
    </w:p>
    <w:p w14:paraId="0B19C3DC" w14:textId="77777777" w:rsidR="007905E0" w:rsidRDefault="007905E0" w:rsidP="000D71F5">
      <w:pPr>
        <w:rPr>
          <w:rFonts w:ascii="Arial" w:hAnsi="Arial" w:cs="Arial"/>
          <w:color w:val="000000"/>
        </w:rPr>
      </w:pPr>
    </w:p>
    <w:p w14:paraId="7FBAB1F1" w14:textId="77777777" w:rsidR="007905E0" w:rsidRPr="007905E0" w:rsidRDefault="007905E0" w:rsidP="007905E0">
      <w:pPr>
        <w:rPr>
          <w:rFonts w:ascii="Times New Roman" w:hAnsi="Times New Roman"/>
          <w:sz w:val="24"/>
          <w:szCs w:val="24"/>
          <w:lang w:val="en-PH"/>
        </w:rPr>
      </w:pPr>
      <w:r w:rsidRPr="007905E0">
        <w:rPr>
          <w:rFonts w:ascii="Arial" w:hAnsi="Arial" w:cs="Arial"/>
          <w:b/>
          <w:bCs/>
          <w:color w:val="000000"/>
          <w:sz w:val="22"/>
          <w:szCs w:val="22"/>
          <w:lang w:val="en-PH"/>
        </w:rPr>
        <w:t>2.4 Data Sources</w:t>
      </w:r>
    </w:p>
    <w:p w14:paraId="38497279" w14:textId="77777777" w:rsidR="007905E0" w:rsidRPr="007905E0" w:rsidRDefault="007905E0" w:rsidP="007905E0">
      <w:pPr>
        <w:rPr>
          <w:rFonts w:ascii="Arial" w:hAnsi="Arial" w:cs="Arial"/>
          <w:sz w:val="22"/>
          <w:szCs w:val="22"/>
          <w:lang w:val="en-PH"/>
        </w:rPr>
      </w:pPr>
    </w:p>
    <w:p w14:paraId="74B95276" w14:textId="77777777" w:rsidR="007905E0" w:rsidRPr="007905E0" w:rsidRDefault="007905E0" w:rsidP="007905E0">
      <w:pPr>
        <w:rPr>
          <w:rFonts w:ascii="Times New Roman" w:hAnsi="Times New Roman"/>
          <w:sz w:val="24"/>
          <w:szCs w:val="24"/>
          <w:lang w:val="en-PH"/>
        </w:rPr>
      </w:pPr>
      <w:r w:rsidRPr="007905E0">
        <w:rPr>
          <w:rFonts w:ascii="Arial" w:hAnsi="Arial" w:cs="Arial"/>
          <w:color w:val="000000"/>
          <w:lang w:val="en-PH"/>
        </w:rPr>
        <w:t>The study used only publicly available tuition-related webpages collected between January and February 2026. These included official tuition fee pages, financial aid and scholarship pages, cost-of-attendance disclosures, and admissions-related cost statements from institutional websites.</w:t>
      </w:r>
    </w:p>
    <w:p w14:paraId="049D7627" w14:textId="77777777" w:rsidR="007905E0" w:rsidRPr="007905E0" w:rsidRDefault="007905E0" w:rsidP="007905E0">
      <w:pPr>
        <w:rPr>
          <w:rFonts w:ascii="Times New Roman" w:hAnsi="Times New Roman"/>
          <w:sz w:val="24"/>
          <w:szCs w:val="24"/>
          <w:lang w:val="en-PH"/>
        </w:rPr>
      </w:pPr>
      <w:r w:rsidRPr="007905E0">
        <w:rPr>
          <w:rFonts w:ascii="Arial" w:hAnsi="Arial" w:cs="Arial"/>
          <w:color w:val="000000"/>
          <w:lang w:val="en-PH"/>
        </w:rPr>
        <w:t>To ensure consistency, only institutional-level webpages about tuition and financial aid were included. Program-specific microsites, marketing blog posts, and unofficial third-party materials were excluded. All webpage content was accessed and saved during the data collection period to maintain consistency.</w:t>
      </w:r>
    </w:p>
    <w:p w14:paraId="27CA5E42" w14:textId="77777777" w:rsidR="007905E0" w:rsidRPr="007905E0" w:rsidRDefault="007905E0" w:rsidP="007905E0">
      <w:pPr>
        <w:rPr>
          <w:rFonts w:ascii="Times New Roman" w:hAnsi="Times New Roman"/>
          <w:sz w:val="24"/>
          <w:szCs w:val="24"/>
          <w:lang w:val="en-PH"/>
        </w:rPr>
      </w:pPr>
      <w:r w:rsidRPr="007905E0">
        <w:rPr>
          <w:rFonts w:ascii="Arial" w:hAnsi="Arial" w:cs="Arial"/>
          <w:color w:val="000000"/>
          <w:lang w:val="en-PH"/>
        </w:rPr>
        <w:t>The analysis included only text that directly discussed tuition communication.</w:t>
      </w:r>
    </w:p>
    <w:p w14:paraId="198EC446" w14:textId="77777777" w:rsidR="007905E0" w:rsidRPr="007905E0" w:rsidRDefault="007905E0" w:rsidP="007905E0">
      <w:pPr>
        <w:rPr>
          <w:rFonts w:ascii="Arial" w:hAnsi="Arial" w:cs="Arial"/>
          <w:sz w:val="22"/>
          <w:szCs w:val="22"/>
          <w:lang w:val="en-PH"/>
        </w:rPr>
      </w:pPr>
    </w:p>
    <w:p w14:paraId="637A1E99" w14:textId="77777777" w:rsidR="00AD0626" w:rsidRPr="00AD0626" w:rsidRDefault="00AD0626" w:rsidP="00AD0626">
      <w:pPr>
        <w:rPr>
          <w:rFonts w:ascii="Times New Roman" w:hAnsi="Times New Roman"/>
          <w:sz w:val="24"/>
          <w:szCs w:val="24"/>
          <w:lang w:val="en-PH"/>
        </w:rPr>
      </w:pPr>
      <w:r w:rsidRPr="00AD0626">
        <w:rPr>
          <w:rFonts w:ascii="Arial" w:hAnsi="Arial" w:cs="Arial"/>
          <w:b/>
          <w:bCs/>
          <w:color w:val="000000"/>
          <w:sz w:val="22"/>
          <w:szCs w:val="22"/>
          <w:lang w:val="en-PH"/>
        </w:rPr>
        <w:t>2.5 Analytical Framework</w:t>
      </w:r>
    </w:p>
    <w:p w14:paraId="5EF4C15A" w14:textId="77777777" w:rsidR="00AD0626" w:rsidRPr="00AD0626" w:rsidRDefault="00AD0626" w:rsidP="00AD0626">
      <w:pPr>
        <w:rPr>
          <w:rFonts w:ascii="Arial" w:hAnsi="Arial" w:cs="Arial"/>
          <w:sz w:val="22"/>
          <w:szCs w:val="22"/>
          <w:lang w:val="en-PH"/>
        </w:rPr>
      </w:pPr>
    </w:p>
    <w:p w14:paraId="6EAA7781" w14:textId="77777777" w:rsidR="00AD0626" w:rsidRPr="00AD0626" w:rsidRDefault="00AD0626" w:rsidP="00AD0626">
      <w:pPr>
        <w:rPr>
          <w:rFonts w:ascii="Times New Roman" w:hAnsi="Times New Roman"/>
          <w:sz w:val="24"/>
          <w:szCs w:val="24"/>
          <w:lang w:val="en-PH"/>
        </w:rPr>
      </w:pPr>
      <w:r w:rsidRPr="00AD0626">
        <w:rPr>
          <w:rFonts w:ascii="Arial" w:hAnsi="Arial" w:cs="Arial"/>
          <w:color w:val="000000"/>
          <w:lang w:val="en-PH"/>
        </w:rPr>
        <w:t>This study used both Framing Theory and Signaling Theory to examine how tuition is communicated in higher education.</w:t>
      </w:r>
    </w:p>
    <w:p w14:paraId="1CB77997" w14:textId="77777777" w:rsidR="00AD0626" w:rsidRPr="00AD0626" w:rsidRDefault="00AD0626" w:rsidP="00AD0626">
      <w:pPr>
        <w:rPr>
          <w:rFonts w:ascii="Times New Roman" w:hAnsi="Times New Roman"/>
          <w:sz w:val="24"/>
          <w:szCs w:val="24"/>
          <w:lang w:val="en-PH"/>
        </w:rPr>
      </w:pPr>
      <w:r w:rsidRPr="00AD0626">
        <w:rPr>
          <w:rFonts w:ascii="Arial" w:hAnsi="Arial" w:cs="Arial"/>
          <w:color w:val="000000"/>
          <w:lang w:val="en-PH"/>
        </w:rPr>
        <w:t>Framing Theory was the main approach used in this analysis. It suggests that communicators highlight certain parts of reality to influence how people understand information (</w:t>
      </w:r>
      <w:proofErr w:type="spellStart"/>
      <w:r w:rsidRPr="00AD0626">
        <w:rPr>
          <w:rFonts w:ascii="Arial" w:hAnsi="Arial" w:cs="Arial"/>
          <w:color w:val="000000"/>
          <w:lang w:val="en-PH"/>
        </w:rPr>
        <w:t>Entman</w:t>
      </w:r>
      <w:proofErr w:type="spellEnd"/>
      <w:r w:rsidRPr="00AD0626">
        <w:rPr>
          <w:rFonts w:ascii="Arial" w:hAnsi="Arial" w:cs="Arial"/>
          <w:color w:val="000000"/>
          <w:lang w:val="en-PH"/>
        </w:rPr>
        <w:t xml:space="preserve">, 1993; de </w:t>
      </w:r>
      <w:proofErr w:type="spellStart"/>
      <w:r w:rsidRPr="00AD0626">
        <w:rPr>
          <w:rFonts w:ascii="Arial" w:hAnsi="Arial" w:cs="Arial"/>
          <w:color w:val="000000"/>
          <w:lang w:val="en-PH"/>
        </w:rPr>
        <w:t>Vreese</w:t>
      </w:r>
      <w:proofErr w:type="spellEnd"/>
      <w:r w:rsidRPr="00AD0626">
        <w:rPr>
          <w:rFonts w:ascii="Arial" w:hAnsi="Arial" w:cs="Arial"/>
          <w:color w:val="000000"/>
          <w:lang w:val="en-PH"/>
        </w:rPr>
        <w:t>, 2012). In this study, Framing Theory helped identify how tuition was presented, such as focusing on investment, accessibility, prestige, or outcomes.</w:t>
      </w:r>
    </w:p>
    <w:p w14:paraId="45C054B8" w14:textId="77777777" w:rsidR="00AD0626" w:rsidRPr="00AD0626" w:rsidRDefault="00AD0626" w:rsidP="00AD0626">
      <w:pPr>
        <w:rPr>
          <w:rFonts w:ascii="Times New Roman" w:hAnsi="Times New Roman"/>
          <w:sz w:val="24"/>
          <w:szCs w:val="24"/>
          <w:lang w:val="en-PH"/>
        </w:rPr>
      </w:pPr>
      <w:r w:rsidRPr="00AD0626">
        <w:rPr>
          <w:rFonts w:ascii="Arial" w:hAnsi="Arial" w:cs="Arial"/>
          <w:color w:val="000000"/>
          <w:lang w:val="en-PH"/>
        </w:rPr>
        <w:t>Signaling Theory added to this framework by explaining the strategic purpose of these frames. In markets where information is uneven, organizations send signals to show their quality, legitimacy, and position in the market (Connelly et al., 2011; Spence, 2002). As a result, tuition framing was seen as both a way to create meaning and as a signal from institutions in a competitive higher education setting.</w:t>
      </w:r>
    </w:p>
    <w:p w14:paraId="7E7EFFE4" w14:textId="77777777" w:rsidR="00AD0626" w:rsidRPr="00AD0626" w:rsidRDefault="00AD0626" w:rsidP="00AD0626">
      <w:pPr>
        <w:rPr>
          <w:rFonts w:ascii="Times New Roman" w:hAnsi="Times New Roman"/>
          <w:sz w:val="24"/>
          <w:szCs w:val="24"/>
          <w:lang w:val="en-PH"/>
        </w:rPr>
      </w:pPr>
      <w:r w:rsidRPr="00AD0626">
        <w:rPr>
          <w:rFonts w:ascii="Arial" w:hAnsi="Arial" w:cs="Arial"/>
          <w:color w:val="000000"/>
          <w:lang w:val="en-PH"/>
        </w:rPr>
        <w:t>Framing Theory was used to develop categories and guide coding, while Signaling Theory helped interpret the strategic meaning of the patterns found.</w:t>
      </w:r>
    </w:p>
    <w:p w14:paraId="692BC0FE" w14:textId="77777777" w:rsidR="00AD0626" w:rsidRDefault="00AD0626" w:rsidP="00AD0626">
      <w:pPr>
        <w:rPr>
          <w:rFonts w:ascii="Arial" w:hAnsi="Arial" w:cs="Arial"/>
          <w:sz w:val="22"/>
          <w:szCs w:val="22"/>
          <w:lang w:val="en-PH"/>
        </w:rPr>
      </w:pPr>
    </w:p>
    <w:p w14:paraId="4F6E88B9" w14:textId="77777777" w:rsidR="00AD0626" w:rsidRPr="00AD0626" w:rsidRDefault="00AD0626" w:rsidP="00AD0626">
      <w:pPr>
        <w:rPr>
          <w:rFonts w:ascii="Times New Roman" w:hAnsi="Times New Roman"/>
          <w:sz w:val="24"/>
          <w:szCs w:val="24"/>
          <w:lang w:val="en-PH"/>
        </w:rPr>
      </w:pPr>
      <w:r w:rsidRPr="00AD0626">
        <w:rPr>
          <w:rFonts w:ascii="Arial" w:hAnsi="Arial" w:cs="Arial"/>
          <w:b/>
          <w:bCs/>
          <w:color w:val="000000"/>
          <w:sz w:val="22"/>
          <w:szCs w:val="22"/>
          <w:lang w:val="en-PH"/>
        </w:rPr>
        <w:lastRenderedPageBreak/>
        <w:t>2.6 Development of Coding Categories</w:t>
      </w:r>
    </w:p>
    <w:p w14:paraId="5E800922" w14:textId="77777777" w:rsidR="00AD0626" w:rsidRPr="00AD0626" w:rsidRDefault="00AD0626" w:rsidP="00AD0626">
      <w:pPr>
        <w:rPr>
          <w:rFonts w:ascii="Arial" w:hAnsi="Arial" w:cs="Arial"/>
          <w:sz w:val="22"/>
          <w:szCs w:val="22"/>
          <w:lang w:val="en-PH"/>
        </w:rPr>
      </w:pPr>
    </w:p>
    <w:p w14:paraId="70EB34B7" w14:textId="77777777" w:rsidR="00AD0626" w:rsidRPr="00AD0626" w:rsidRDefault="00AD0626" w:rsidP="00AD0626">
      <w:pPr>
        <w:rPr>
          <w:rFonts w:ascii="Times New Roman" w:hAnsi="Times New Roman"/>
          <w:sz w:val="24"/>
          <w:szCs w:val="24"/>
          <w:lang w:val="en-PH"/>
        </w:rPr>
      </w:pPr>
      <w:r w:rsidRPr="00AD0626">
        <w:rPr>
          <w:rFonts w:ascii="Arial" w:hAnsi="Arial" w:cs="Arial"/>
          <w:color w:val="000000"/>
          <w:lang w:val="en-PH"/>
        </w:rPr>
        <w:t>A directed qualitative content analysis was used to create coding categories (Hsieh &amp; Shannon, 2005; Schreier, 2012).</w:t>
      </w:r>
    </w:p>
    <w:p w14:paraId="0A5248BE" w14:textId="77777777" w:rsidR="00AD0626" w:rsidRPr="00AD0626" w:rsidRDefault="00AD0626" w:rsidP="00AD0626">
      <w:pPr>
        <w:rPr>
          <w:rFonts w:ascii="Times New Roman" w:hAnsi="Times New Roman"/>
          <w:sz w:val="24"/>
          <w:szCs w:val="24"/>
          <w:lang w:val="en-PH"/>
        </w:rPr>
      </w:pPr>
      <w:r w:rsidRPr="00AD0626">
        <w:rPr>
          <w:rFonts w:ascii="Arial" w:hAnsi="Arial" w:cs="Arial"/>
          <w:color w:val="000000"/>
          <w:lang w:val="en-PH"/>
        </w:rPr>
        <w:t>At first, a deductive framework using Framing Theory was built to find possible tuition-related frames such as investment, accessibility, prestige, and outcomes.</w:t>
      </w:r>
    </w:p>
    <w:p w14:paraId="11BD6908" w14:textId="77777777" w:rsidR="00AD0626" w:rsidRPr="00AD0626" w:rsidRDefault="00AD0626" w:rsidP="00AD0626">
      <w:pPr>
        <w:rPr>
          <w:rFonts w:ascii="Times New Roman" w:hAnsi="Times New Roman"/>
          <w:sz w:val="24"/>
          <w:szCs w:val="24"/>
          <w:lang w:val="en-PH"/>
        </w:rPr>
      </w:pPr>
      <w:r w:rsidRPr="00AD0626">
        <w:rPr>
          <w:rFonts w:ascii="Arial" w:hAnsi="Arial" w:cs="Arial"/>
          <w:color w:val="000000"/>
          <w:lang w:val="en-PH"/>
        </w:rPr>
        <w:t>Next, tuition webpages were reviewed several times to spot recurring rhetorical patterns across different institutions.</w:t>
      </w:r>
    </w:p>
    <w:p w14:paraId="2A7320BD" w14:textId="77777777" w:rsidR="00AD0626" w:rsidRPr="00AD0626" w:rsidRDefault="00AD0626" w:rsidP="00AD0626">
      <w:pPr>
        <w:rPr>
          <w:rFonts w:ascii="Times New Roman" w:hAnsi="Times New Roman"/>
          <w:sz w:val="24"/>
          <w:szCs w:val="24"/>
          <w:lang w:val="en-PH"/>
        </w:rPr>
      </w:pPr>
      <w:r w:rsidRPr="00AD0626">
        <w:rPr>
          <w:rFonts w:ascii="Arial" w:hAnsi="Arial" w:cs="Arial"/>
          <w:color w:val="000000"/>
          <w:lang w:val="en-PH"/>
        </w:rPr>
        <w:t>The categories were then adjusted based on how often they appeared and how clear they were. Themes found in more than one institution were kept to make sure cases could be compared (</w:t>
      </w:r>
      <w:proofErr w:type="spellStart"/>
      <w:r w:rsidRPr="00AD0626">
        <w:rPr>
          <w:rFonts w:ascii="Arial" w:hAnsi="Arial" w:cs="Arial"/>
          <w:color w:val="000000"/>
          <w:lang w:val="en-PH"/>
        </w:rPr>
        <w:t>Krippendorff</w:t>
      </w:r>
      <w:proofErr w:type="spellEnd"/>
      <w:r w:rsidRPr="00AD0626">
        <w:rPr>
          <w:rFonts w:ascii="Arial" w:hAnsi="Arial" w:cs="Arial"/>
          <w:color w:val="000000"/>
          <w:lang w:val="en-PH"/>
        </w:rPr>
        <w:t>, 2018).</w:t>
      </w:r>
    </w:p>
    <w:p w14:paraId="1DBBBB6B" w14:textId="77777777" w:rsidR="00AD0626" w:rsidRPr="00AD0626" w:rsidRDefault="00AD0626" w:rsidP="00AD0626">
      <w:pPr>
        <w:rPr>
          <w:rFonts w:ascii="Times New Roman" w:hAnsi="Times New Roman"/>
          <w:sz w:val="24"/>
          <w:szCs w:val="24"/>
          <w:lang w:val="en-PH"/>
        </w:rPr>
      </w:pPr>
      <w:r w:rsidRPr="00AD0626">
        <w:rPr>
          <w:rFonts w:ascii="Arial" w:hAnsi="Arial" w:cs="Arial"/>
          <w:color w:val="000000"/>
          <w:lang w:val="en-PH"/>
        </w:rPr>
        <w:t>The final seven framing categories are presented in Table 2.</w:t>
      </w:r>
    </w:p>
    <w:p w14:paraId="4611B9A8" w14:textId="77777777" w:rsidR="00AD0626" w:rsidRDefault="00AD0626" w:rsidP="00AD0626">
      <w:pPr>
        <w:rPr>
          <w:rFonts w:ascii="Arial" w:hAnsi="Arial" w:cs="Arial"/>
          <w:sz w:val="22"/>
          <w:szCs w:val="22"/>
          <w:lang w:val="en-PH"/>
        </w:rPr>
      </w:pPr>
    </w:p>
    <w:p w14:paraId="0AE9ED34" w14:textId="77777777" w:rsidR="008D6C8A" w:rsidRPr="008D6C8A" w:rsidRDefault="008D6C8A" w:rsidP="008D6C8A">
      <w:pPr>
        <w:jc w:val="center"/>
        <w:rPr>
          <w:rFonts w:ascii="Times New Roman" w:hAnsi="Times New Roman"/>
          <w:sz w:val="24"/>
          <w:szCs w:val="24"/>
          <w:lang w:val="en-PH"/>
        </w:rPr>
      </w:pPr>
      <w:r w:rsidRPr="008D6C8A">
        <w:rPr>
          <w:rFonts w:ascii="Arial" w:hAnsi="Arial" w:cs="Arial"/>
          <w:b/>
          <w:bCs/>
          <w:color w:val="000000"/>
          <w:lang w:val="en-PH"/>
        </w:rPr>
        <w:t>Table 2. Tuition Framing Coding Framework</w:t>
      </w:r>
    </w:p>
    <w:p w14:paraId="4B3D9A83" w14:textId="77777777" w:rsidR="008D6C8A" w:rsidRPr="008D6C8A" w:rsidRDefault="008D6C8A" w:rsidP="008D6C8A">
      <w:pPr>
        <w:rPr>
          <w:rFonts w:ascii="Times New Roman" w:hAnsi="Times New Roman"/>
          <w:sz w:val="24"/>
          <w:szCs w:val="24"/>
          <w:lang w:val="en-PH"/>
        </w:rPr>
      </w:pPr>
    </w:p>
    <w:tbl>
      <w:tblPr>
        <w:tblW w:w="897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700"/>
        <w:gridCol w:w="3150"/>
        <w:gridCol w:w="3128"/>
      </w:tblGrid>
      <w:tr w:rsidR="008D6C8A" w:rsidRPr="00DC3180" w14:paraId="77F3B7F7" w14:textId="77777777" w:rsidTr="008D6C8A">
        <w:trPr>
          <w:jc w:val="center"/>
        </w:trPr>
        <w:tc>
          <w:tcPr>
            <w:tcW w:w="2700" w:type="dxa"/>
            <w:tcBorders>
              <w:bottom w:val="single" w:sz="4" w:space="0" w:color="auto"/>
            </w:tcBorders>
            <w:vAlign w:val="center"/>
          </w:tcPr>
          <w:p w14:paraId="354E17CB" w14:textId="1307A884" w:rsidR="008D6C8A" w:rsidRPr="00DC3180" w:rsidRDefault="008D6C8A" w:rsidP="008D6C8A">
            <w:pPr>
              <w:jc w:val="both"/>
              <w:rPr>
                <w:rFonts w:ascii="Arial" w:hAnsi="Arial"/>
                <w:b/>
                <w:bCs/>
              </w:rPr>
            </w:pPr>
            <w:r>
              <w:rPr>
                <w:rFonts w:ascii="Arial" w:hAnsi="Arial" w:cs="Arial"/>
                <w:b/>
                <w:bCs/>
                <w:color w:val="000000"/>
              </w:rPr>
              <w:t>Category</w:t>
            </w:r>
          </w:p>
        </w:tc>
        <w:tc>
          <w:tcPr>
            <w:tcW w:w="3150" w:type="dxa"/>
            <w:tcBorders>
              <w:bottom w:val="single" w:sz="4" w:space="0" w:color="auto"/>
            </w:tcBorders>
            <w:vAlign w:val="center"/>
          </w:tcPr>
          <w:p w14:paraId="0FF391FA" w14:textId="4D2A9848" w:rsidR="008D6C8A" w:rsidRPr="00DC3180" w:rsidRDefault="008D6C8A" w:rsidP="008D6C8A">
            <w:pPr>
              <w:rPr>
                <w:rFonts w:ascii="Arial" w:hAnsi="Arial"/>
                <w:b/>
                <w:bCs/>
              </w:rPr>
            </w:pPr>
            <w:r>
              <w:rPr>
                <w:rFonts w:ascii="Arial" w:hAnsi="Arial" w:cs="Arial"/>
                <w:b/>
                <w:bCs/>
                <w:color w:val="000000"/>
              </w:rPr>
              <w:t>Operational Definition</w:t>
            </w:r>
          </w:p>
        </w:tc>
        <w:tc>
          <w:tcPr>
            <w:tcW w:w="3128" w:type="dxa"/>
            <w:tcBorders>
              <w:bottom w:val="single" w:sz="4" w:space="0" w:color="auto"/>
            </w:tcBorders>
            <w:vAlign w:val="center"/>
          </w:tcPr>
          <w:p w14:paraId="0E33E563" w14:textId="67B85F62" w:rsidR="008D6C8A" w:rsidRPr="00DC3180" w:rsidRDefault="008D6C8A" w:rsidP="008D6C8A">
            <w:pPr>
              <w:jc w:val="both"/>
              <w:rPr>
                <w:rFonts w:ascii="Arial" w:hAnsi="Arial"/>
                <w:b/>
                <w:bCs/>
              </w:rPr>
            </w:pPr>
            <w:r>
              <w:rPr>
                <w:rFonts w:ascii="Arial" w:hAnsi="Arial" w:cs="Arial"/>
                <w:b/>
                <w:bCs/>
                <w:color w:val="000000"/>
              </w:rPr>
              <w:t>Illustrative Indicators</w:t>
            </w:r>
          </w:p>
        </w:tc>
      </w:tr>
      <w:tr w:rsidR="008D6C8A" w:rsidRPr="00DC3180" w14:paraId="507DA2AA" w14:textId="77777777" w:rsidTr="008D6C8A">
        <w:trPr>
          <w:jc w:val="center"/>
        </w:trPr>
        <w:tc>
          <w:tcPr>
            <w:tcW w:w="2700" w:type="dxa"/>
            <w:tcBorders>
              <w:top w:val="single" w:sz="4" w:space="0" w:color="auto"/>
              <w:bottom w:val="single" w:sz="4" w:space="0" w:color="auto"/>
            </w:tcBorders>
            <w:vAlign w:val="center"/>
          </w:tcPr>
          <w:p w14:paraId="5BE576FD" w14:textId="1231A53B" w:rsidR="008D6C8A" w:rsidRPr="00DC3180" w:rsidRDefault="008D6C8A" w:rsidP="008D6C8A">
            <w:pPr>
              <w:rPr>
                <w:rFonts w:ascii="Arial" w:hAnsi="Arial"/>
              </w:rPr>
            </w:pPr>
            <w:r>
              <w:rPr>
                <w:rFonts w:ascii="Arial" w:hAnsi="Arial" w:cs="Arial"/>
                <w:color w:val="000000"/>
              </w:rPr>
              <w:t>Investment Frame</w:t>
            </w:r>
          </w:p>
        </w:tc>
        <w:tc>
          <w:tcPr>
            <w:tcW w:w="3150" w:type="dxa"/>
            <w:tcBorders>
              <w:top w:val="single" w:sz="4" w:space="0" w:color="auto"/>
              <w:bottom w:val="single" w:sz="4" w:space="0" w:color="auto"/>
            </w:tcBorders>
            <w:vAlign w:val="center"/>
          </w:tcPr>
          <w:p w14:paraId="0D12B648" w14:textId="1FF52B34" w:rsidR="008D6C8A" w:rsidRPr="00DC3180" w:rsidRDefault="008D6C8A" w:rsidP="008D6C8A">
            <w:pPr>
              <w:rPr>
                <w:rFonts w:ascii="Arial" w:hAnsi="Arial"/>
              </w:rPr>
            </w:pPr>
            <w:r>
              <w:rPr>
                <w:rFonts w:ascii="Arial" w:hAnsi="Arial" w:cs="Arial"/>
                <w:color w:val="000000"/>
              </w:rPr>
              <w:t>Tuition presented as long-term gain or return rather than immediate cost.</w:t>
            </w:r>
          </w:p>
        </w:tc>
        <w:tc>
          <w:tcPr>
            <w:tcW w:w="3128" w:type="dxa"/>
            <w:tcBorders>
              <w:top w:val="single" w:sz="4" w:space="0" w:color="auto"/>
              <w:bottom w:val="single" w:sz="4" w:space="0" w:color="auto"/>
            </w:tcBorders>
            <w:vAlign w:val="center"/>
          </w:tcPr>
          <w:p w14:paraId="21E7B0FD" w14:textId="26F96B4B" w:rsidR="008D6C8A" w:rsidRPr="006A1041" w:rsidRDefault="008D6C8A" w:rsidP="008D6C8A">
            <w:pPr>
              <w:rPr>
                <w:rFonts w:ascii="Arial" w:eastAsia="Arial Unicode MS" w:hAnsi="Arial" w:cs="Arial"/>
              </w:rPr>
            </w:pPr>
            <w:r>
              <w:rPr>
                <w:rFonts w:ascii="Arial" w:hAnsi="Arial" w:cs="Arial"/>
                <w:color w:val="000000"/>
              </w:rPr>
              <w:t>“Invest in your future,” ROI language, long-term career value, earnings potential</w:t>
            </w:r>
          </w:p>
        </w:tc>
      </w:tr>
      <w:tr w:rsidR="008D6C8A" w:rsidRPr="00DC3180" w14:paraId="5B095E43" w14:textId="77777777" w:rsidTr="008D6C8A">
        <w:trPr>
          <w:jc w:val="center"/>
        </w:trPr>
        <w:tc>
          <w:tcPr>
            <w:tcW w:w="2700" w:type="dxa"/>
            <w:tcBorders>
              <w:top w:val="single" w:sz="4" w:space="0" w:color="auto"/>
              <w:bottom w:val="single" w:sz="4" w:space="0" w:color="auto"/>
            </w:tcBorders>
            <w:vAlign w:val="center"/>
          </w:tcPr>
          <w:p w14:paraId="7ED63BE8" w14:textId="448E01B3" w:rsidR="008D6C8A" w:rsidRPr="00DC3180" w:rsidRDefault="008D6C8A" w:rsidP="008D6C8A">
            <w:pPr>
              <w:rPr>
                <w:rFonts w:ascii="Arial" w:hAnsi="Arial"/>
              </w:rPr>
            </w:pPr>
            <w:r>
              <w:rPr>
                <w:rFonts w:ascii="Arial" w:hAnsi="Arial" w:cs="Arial"/>
                <w:color w:val="000000"/>
              </w:rPr>
              <w:t>Accessibility/Affordability Frame</w:t>
            </w:r>
          </w:p>
        </w:tc>
        <w:tc>
          <w:tcPr>
            <w:tcW w:w="3150" w:type="dxa"/>
            <w:tcBorders>
              <w:top w:val="single" w:sz="4" w:space="0" w:color="auto"/>
              <w:bottom w:val="single" w:sz="4" w:space="0" w:color="auto"/>
            </w:tcBorders>
            <w:vAlign w:val="center"/>
          </w:tcPr>
          <w:p w14:paraId="7BC51F8D" w14:textId="44DA0124" w:rsidR="008D6C8A" w:rsidRPr="00DC3180" w:rsidRDefault="008D6C8A" w:rsidP="008D6C8A">
            <w:pPr>
              <w:rPr>
                <w:rFonts w:ascii="Arial" w:hAnsi="Arial"/>
              </w:rPr>
            </w:pPr>
            <w:r>
              <w:rPr>
                <w:rFonts w:ascii="Arial" w:hAnsi="Arial" w:cs="Arial"/>
                <w:color w:val="000000"/>
              </w:rPr>
              <w:t>Tuition framed as financially manageable or supported.</w:t>
            </w:r>
          </w:p>
        </w:tc>
        <w:tc>
          <w:tcPr>
            <w:tcW w:w="3128" w:type="dxa"/>
            <w:tcBorders>
              <w:top w:val="single" w:sz="4" w:space="0" w:color="auto"/>
              <w:bottom w:val="single" w:sz="4" w:space="0" w:color="auto"/>
            </w:tcBorders>
            <w:vAlign w:val="center"/>
          </w:tcPr>
          <w:p w14:paraId="54585032" w14:textId="4995EE5E" w:rsidR="008D6C8A" w:rsidRPr="00DC3180" w:rsidRDefault="008D6C8A" w:rsidP="008D6C8A">
            <w:pPr>
              <w:rPr>
                <w:rFonts w:ascii="Arial" w:hAnsi="Arial" w:cs="Arial"/>
              </w:rPr>
            </w:pPr>
            <w:r>
              <w:rPr>
                <w:rFonts w:ascii="Arial" w:hAnsi="Arial" w:cs="Arial"/>
                <w:color w:val="000000"/>
              </w:rPr>
              <w:t>Installment plans, affordability claims, flexible payment options, financial assistance references</w:t>
            </w:r>
          </w:p>
        </w:tc>
      </w:tr>
      <w:tr w:rsidR="008D6C8A" w:rsidRPr="00DC3180" w14:paraId="76CD408B" w14:textId="77777777" w:rsidTr="008D6C8A">
        <w:trPr>
          <w:jc w:val="center"/>
        </w:trPr>
        <w:tc>
          <w:tcPr>
            <w:tcW w:w="2700" w:type="dxa"/>
            <w:tcBorders>
              <w:top w:val="single" w:sz="4" w:space="0" w:color="auto"/>
              <w:bottom w:val="single" w:sz="4" w:space="0" w:color="auto"/>
            </w:tcBorders>
            <w:vAlign w:val="center"/>
          </w:tcPr>
          <w:p w14:paraId="117210DA" w14:textId="5EA53C9B" w:rsidR="008D6C8A" w:rsidRPr="00DC3180" w:rsidRDefault="008D6C8A" w:rsidP="008D6C8A">
            <w:pPr>
              <w:rPr>
                <w:rFonts w:ascii="Arial" w:hAnsi="Arial"/>
              </w:rPr>
            </w:pPr>
            <w:r>
              <w:rPr>
                <w:rFonts w:ascii="Arial" w:hAnsi="Arial" w:cs="Arial"/>
                <w:color w:val="000000"/>
              </w:rPr>
              <w:t>Scholarship Emphasis Frame</w:t>
            </w:r>
          </w:p>
        </w:tc>
        <w:tc>
          <w:tcPr>
            <w:tcW w:w="3150" w:type="dxa"/>
            <w:tcBorders>
              <w:top w:val="single" w:sz="4" w:space="0" w:color="auto"/>
              <w:bottom w:val="single" w:sz="4" w:space="0" w:color="auto"/>
            </w:tcBorders>
            <w:vAlign w:val="center"/>
          </w:tcPr>
          <w:p w14:paraId="5FFD2CDF" w14:textId="683B6947" w:rsidR="008D6C8A" w:rsidRPr="00DC3180" w:rsidRDefault="008D6C8A" w:rsidP="008D6C8A">
            <w:pPr>
              <w:rPr>
                <w:rFonts w:ascii="Arial" w:hAnsi="Arial"/>
              </w:rPr>
            </w:pPr>
            <w:r>
              <w:rPr>
                <w:rFonts w:ascii="Arial" w:hAnsi="Arial" w:cs="Arial"/>
                <w:color w:val="000000"/>
              </w:rPr>
              <w:t>Prominent highlighting of scholarships and financial aid opportunities.</w:t>
            </w:r>
          </w:p>
        </w:tc>
        <w:tc>
          <w:tcPr>
            <w:tcW w:w="3128" w:type="dxa"/>
            <w:tcBorders>
              <w:top w:val="single" w:sz="4" w:space="0" w:color="auto"/>
              <w:bottom w:val="single" w:sz="4" w:space="0" w:color="auto"/>
            </w:tcBorders>
            <w:vAlign w:val="center"/>
          </w:tcPr>
          <w:p w14:paraId="0EAF5143" w14:textId="17E668FD" w:rsidR="008D6C8A" w:rsidRPr="00DC3180" w:rsidRDefault="008D6C8A" w:rsidP="008D6C8A">
            <w:pPr>
              <w:rPr>
                <w:rFonts w:ascii="Arial" w:hAnsi="Arial" w:cs="Arial"/>
              </w:rPr>
            </w:pPr>
            <w:r>
              <w:rPr>
                <w:rFonts w:ascii="Arial" w:hAnsi="Arial" w:cs="Arial"/>
                <w:color w:val="000000"/>
              </w:rPr>
              <w:t>Scholarship banners, percentage of students receiving aid, merit-based awards, coverage percentages</w:t>
            </w:r>
          </w:p>
        </w:tc>
      </w:tr>
      <w:tr w:rsidR="008D6C8A" w:rsidRPr="00DC3180" w14:paraId="06E25357" w14:textId="77777777" w:rsidTr="008D6C8A">
        <w:trPr>
          <w:jc w:val="center"/>
        </w:trPr>
        <w:tc>
          <w:tcPr>
            <w:tcW w:w="2700" w:type="dxa"/>
            <w:tcBorders>
              <w:top w:val="single" w:sz="4" w:space="0" w:color="auto"/>
              <w:bottom w:val="single" w:sz="4" w:space="0" w:color="auto"/>
            </w:tcBorders>
            <w:vAlign w:val="center"/>
          </w:tcPr>
          <w:p w14:paraId="3B320018" w14:textId="4306FC28" w:rsidR="008D6C8A" w:rsidRPr="00DC3180" w:rsidRDefault="008D6C8A" w:rsidP="008D6C8A">
            <w:pPr>
              <w:rPr>
                <w:rFonts w:ascii="Arial" w:hAnsi="Arial"/>
              </w:rPr>
            </w:pPr>
            <w:r>
              <w:rPr>
                <w:rFonts w:ascii="Arial" w:hAnsi="Arial" w:cs="Arial"/>
                <w:color w:val="000000"/>
              </w:rPr>
              <w:t>Prestige/Quality Justification Frame</w:t>
            </w:r>
          </w:p>
        </w:tc>
        <w:tc>
          <w:tcPr>
            <w:tcW w:w="3150" w:type="dxa"/>
            <w:tcBorders>
              <w:top w:val="single" w:sz="4" w:space="0" w:color="auto"/>
              <w:bottom w:val="single" w:sz="4" w:space="0" w:color="auto"/>
            </w:tcBorders>
            <w:vAlign w:val="center"/>
          </w:tcPr>
          <w:p w14:paraId="083A6C44" w14:textId="0B7CABD0" w:rsidR="008D6C8A" w:rsidRPr="00DC3180" w:rsidRDefault="008D6C8A" w:rsidP="008D6C8A">
            <w:pPr>
              <w:rPr>
                <w:rFonts w:ascii="Arial" w:hAnsi="Arial"/>
              </w:rPr>
            </w:pPr>
            <w:r>
              <w:rPr>
                <w:rFonts w:ascii="Arial" w:hAnsi="Arial" w:cs="Arial"/>
                <w:color w:val="000000"/>
              </w:rPr>
              <w:t>Tuition justified through institutional reputation or academic excellence.</w:t>
            </w:r>
          </w:p>
        </w:tc>
        <w:tc>
          <w:tcPr>
            <w:tcW w:w="3128" w:type="dxa"/>
            <w:tcBorders>
              <w:top w:val="single" w:sz="4" w:space="0" w:color="auto"/>
              <w:bottom w:val="single" w:sz="4" w:space="0" w:color="auto"/>
            </w:tcBorders>
            <w:vAlign w:val="center"/>
          </w:tcPr>
          <w:p w14:paraId="4458347C" w14:textId="7D566768" w:rsidR="008D6C8A" w:rsidRPr="00DC3180" w:rsidRDefault="008D6C8A" w:rsidP="008D6C8A">
            <w:pPr>
              <w:rPr>
                <w:rFonts w:ascii="Arial" w:hAnsi="Arial" w:cs="Arial"/>
              </w:rPr>
            </w:pPr>
            <w:r>
              <w:rPr>
                <w:rFonts w:ascii="Arial" w:hAnsi="Arial" w:cs="Arial"/>
                <w:color w:val="000000"/>
              </w:rPr>
              <w:t>QS ranking mentions, accreditation claims, “world-class education,” faculty excellence statements</w:t>
            </w:r>
          </w:p>
        </w:tc>
      </w:tr>
      <w:tr w:rsidR="008D6C8A" w:rsidRPr="00DC3180" w14:paraId="0C185B3D" w14:textId="77777777" w:rsidTr="008D6C8A">
        <w:trPr>
          <w:jc w:val="center"/>
        </w:trPr>
        <w:tc>
          <w:tcPr>
            <w:tcW w:w="2700" w:type="dxa"/>
            <w:tcBorders>
              <w:top w:val="single" w:sz="4" w:space="0" w:color="auto"/>
              <w:bottom w:val="single" w:sz="4" w:space="0" w:color="auto"/>
            </w:tcBorders>
            <w:vAlign w:val="center"/>
          </w:tcPr>
          <w:p w14:paraId="33A3DF5D" w14:textId="091C2BF9" w:rsidR="008D6C8A" w:rsidRPr="00DC3180" w:rsidRDefault="008D6C8A" w:rsidP="008D6C8A">
            <w:pPr>
              <w:rPr>
                <w:rFonts w:ascii="Arial" w:hAnsi="Arial"/>
              </w:rPr>
            </w:pPr>
            <w:r>
              <w:rPr>
                <w:rFonts w:ascii="Arial" w:hAnsi="Arial" w:cs="Arial"/>
                <w:color w:val="000000"/>
              </w:rPr>
              <w:t>Transparency Frame</w:t>
            </w:r>
          </w:p>
        </w:tc>
        <w:tc>
          <w:tcPr>
            <w:tcW w:w="3150" w:type="dxa"/>
            <w:tcBorders>
              <w:top w:val="single" w:sz="4" w:space="0" w:color="auto"/>
              <w:bottom w:val="single" w:sz="4" w:space="0" w:color="auto"/>
            </w:tcBorders>
            <w:vAlign w:val="center"/>
          </w:tcPr>
          <w:p w14:paraId="30BCB373" w14:textId="73C3D8CD" w:rsidR="008D6C8A" w:rsidRPr="00DC3180" w:rsidRDefault="008D6C8A" w:rsidP="008D6C8A">
            <w:pPr>
              <w:rPr>
                <w:rFonts w:ascii="Arial" w:hAnsi="Arial"/>
              </w:rPr>
            </w:pPr>
            <w:r>
              <w:rPr>
                <w:rFonts w:ascii="Arial" w:hAnsi="Arial" w:cs="Arial"/>
                <w:color w:val="000000"/>
              </w:rPr>
              <w:t>Clear and structured disclosure of tuition costs.</w:t>
            </w:r>
          </w:p>
        </w:tc>
        <w:tc>
          <w:tcPr>
            <w:tcW w:w="3128" w:type="dxa"/>
            <w:tcBorders>
              <w:top w:val="single" w:sz="4" w:space="0" w:color="auto"/>
              <w:bottom w:val="single" w:sz="4" w:space="0" w:color="auto"/>
            </w:tcBorders>
            <w:vAlign w:val="center"/>
          </w:tcPr>
          <w:p w14:paraId="523D1340" w14:textId="76C9F524" w:rsidR="008D6C8A" w:rsidRPr="00DC3180" w:rsidRDefault="008D6C8A" w:rsidP="008D6C8A">
            <w:pPr>
              <w:rPr>
                <w:rFonts w:ascii="Arial" w:hAnsi="Arial" w:cs="Arial"/>
              </w:rPr>
            </w:pPr>
            <w:r>
              <w:rPr>
                <w:rFonts w:ascii="Arial" w:hAnsi="Arial" w:cs="Arial"/>
                <w:color w:val="000000"/>
              </w:rPr>
              <w:t>Fee breakdown tables, cost calculators, itemized charges, “no hidden fees” statements</w:t>
            </w:r>
          </w:p>
        </w:tc>
      </w:tr>
      <w:tr w:rsidR="008D6C8A" w:rsidRPr="00DC3180" w14:paraId="1868CFFA" w14:textId="77777777" w:rsidTr="008D6C8A">
        <w:trPr>
          <w:jc w:val="center"/>
        </w:trPr>
        <w:tc>
          <w:tcPr>
            <w:tcW w:w="2700" w:type="dxa"/>
            <w:tcBorders>
              <w:top w:val="single" w:sz="4" w:space="0" w:color="auto"/>
              <w:bottom w:val="single" w:sz="4" w:space="0" w:color="auto"/>
            </w:tcBorders>
            <w:vAlign w:val="center"/>
          </w:tcPr>
          <w:p w14:paraId="1D70F699" w14:textId="3B35DC56" w:rsidR="008D6C8A" w:rsidRPr="00DC3180" w:rsidRDefault="008D6C8A" w:rsidP="008D6C8A">
            <w:pPr>
              <w:rPr>
                <w:rFonts w:ascii="Arial" w:hAnsi="Arial"/>
              </w:rPr>
            </w:pPr>
            <w:r>
              <w:rPr>
                <w:rFonts w:ascii="Arial" w:hAnsi="Arial" w:cs="Arial"/>
                <w:color w:val="000000"/>
              </w:rPr>
              <w:t>Outcome/Employability Frame</w:t>
            </w:r>
          </w:p>
        </w:tc>
        <w:tc>
          <w:tcPr>
            <w:tcW w:w="3150" w:type="dxa"/>
            <w:tcBorders>
              <w:top w:val="single" w:sz="4" w:space="0" w:color="auto"/>
              <w:bottom w:val="single" w:sz="4" w:space="0" w:color="auto"/>
            </w:tcBorders>
            <w:vAlign w:val="center"/>
          </w:tcPr>
          <w:p w14:paraId="11B11158" w14:textId="28479229" w:rsidR="008D6C8A" w:rsidRPr="00DC3180" w:rsidRDefault="008D6C8A" w:rsidP="008D6C8A">
            <w:pPr>
              <w:rPr>
                <w:rFonts w:ascii="Arial" w:hAnsi="Arial"/>
              </w:rPr>
            </w:pPr>
            <w:r>
              <w:rPr>
                <w:rFonts w:ascii="Arial" w:hAnsi="Arial" w:cs="Arial"/>
                <w:color w:val="000000"/>
              </w:rPr>
              <w:t>Tuition linked explicitly to employment outcomes or career success.</w:t>
            </w:r>
          </w:p>
        </w:tc>
        <w:tc>
          <w:tcPr>
            <w:tcW w:w="3128" w:type="dxa"/>
            <w:tcBorders>
              <w:top w:val="single" w:sz="4" w:space="0" w:color="auto"/>
              <w:bottom w:val="single" w:sz="4" w:space="0" w:color="auto"/>
            </w:tcBorders>
            <w:vAlign w:val="center"/>
          </w:tcPr>
          <w:p w14:paraId="50F31491" w14:textId="3CCE69BA" w:rsidR="008D6C8A" w:rsidRPr="00DC3180" w:rsidRDefault="008D6C8A" w:rsidP="008D6C8A">
            <w:pPr>
              <w:rPr>
                <w:rFonts w:ascii="Arial" w:hAnsi="Arial" w:cs="Arial"/>
              </w:rPr>
            </w:pPr>
            <w:r>
              <w:rPr>
                <w:rFonts w:ascii="Arial" w:hAnsi="Arial" w:cs="Arial"/>
                <w:color w:val="000000"/>
              </w:rPr>
              <w:t>Graduate employment rates, industry partnerships, salary statistics, internship pathways</w:t>
            </w:r>
          </w:p>
        </w:tc>
      </w:tr>
      <w:tr w:rsidR="008D6C8A" w:rsidRPr="00DC3180" w14:paraId="7BEA4665" w14:textId="77777777" w:rsidTr="008D6C8A">
        <w:trPr>
          <w:jc w:val="center"/>
        </w:trPr>
        <w:tc>
          <w:tcPr>
            <w:tcW w:w="2700" w:type="dxa"/>
            <w:tcBorders>
              <w:top w:val="single" w:sz="4" w:space="0" w:color="auto"/>
              <w:bottom w:val="single" w:sz="4" w:space="0" w:color="auto"/>
            </w:tcBorders>
            <w:vAlign w:val="center"/>
          </w:tcPr>
          <w:p w14:paraId="07FF605F" w14:textId="3FD1BE42" w:rsidR="008D6C8A" w:rsidRPr="00DC3180" w:rsidRDefault="008D6C8A" w:rsidP="008D6C8A">
            <w:pPr>
              <w:rPr>
                <w:rFonts w:ascii="Arial" w:hAnsi="Arial"/>
              </w:rPr>
            </w:pPr>
            <w:r>
              <w:rPr>
                <w:rFonts w:ascii="Arial" w:hAnsi="Arial" w:cs="Arial"/>
                <w:color w:val="000000"/>
              </w:rPr>
              <w:t>Call-to-Action Frame</w:t>
            </w:r>
          </w:p>
        </w:tc>
        <w:tc>
          <w:tcPr>
            <w:tcW w:w="3150" w:type="dxa"/>
            <w:tcBorders>
              <w:top w:val="single" w:sz="4" w:space="0" w:color="auto"/>
              <w:bottom w:val="single" w:sz="4" w:space="0" w:color="auto"/>
            </w:tcBorders>
            <w:vAlign w:val="center"/>
          </w:tcPr>
          <w:p w14:paraId="6B20D8FA" w14:textId="090C5F21" w:rsidR="008D6C8A" w:rsidRPr="00DC3180" w:rsidRDefault="008D6C8A" w:rsidP="008D6C8A">
            <w:pPr>
              <w:rPr>
                <w:rFonts w:ascii="Arial" w:hAnsi="Arial"/>
              </w:rPr>
            </w:pPr>
            <w:r>
              <w:rPr>
                <w:rFonts w:ascii="Arial" w:hAnsi="Arial" w:cs="Arial"/>
                <w:color w:val="000000"/>
              </w:rPr>
              <w:t>Recruitment-oriented prompts embedded within tuition communication.</w:t>
            </w:r>
          </w:p>
        </w:tc>
        <w:tc>
          <w:tcPr>
            <w:tcW w:w="3128" w:type="dxa"/>
            <w:tcBorders>
              <w:top w:val="single" w:sz="4" w:space="0" w:color="auto"/>
              <w:bottom w:val="single" w:sz="4" w:space="0" w:color="auto"/>
            </w:tcBorders>
            <w:vAlign w:val="center"/>
          </w:tcPr>
          <w:p w14:paraId="6630DF10" w14:textId="55BAE3F4" w:rsidR="008D6C8A" w:rsidRPr="00DC3180" w:rsidRDefault="008D6C8A" w:rsidP="008D6C8A">
            <w:pPr>
              <w:rPr>
                <w:rFonts w:ascii="Arial" w:hAnsi="Arial" w:cs="Arial"/>
              </w:rPr>
            </w:pPr>
            <w:r>
              <w:rPr>
                <w:rFonts w:ascii="Arial" w:hAnsi="Arial" w:cs="Arial"/>
                <w:color w:val="000000"/>
              </w:rPr>
              <w:t>“Apply now,” “Secure your place,” deadline emphasis, early enrollment incentives</w:t>
            </w:r>
          </w:p>
        </w:tc>
      </w:tr>
    </w:tbl>
    <w:p w14:paraId="69873D7E" w14:textId="77777777" w:rsidR="00B3545F" w:rsidRDefault="00B3545F" w:rsidP="00AD0626">
      <w:pPr>
        <w:rPr>
          <w:rFonts w:ascii="Arial" w:hAnsi="Arial" w:cs="Arial"/>
          <w:sz w:val="22"/>
          <w:szCs w:val="22"/>
          <w:lang w:val="en-PH"/>
        </w:rPr>
      </w:pPr>
    </w:p>
    <w:p w14:paraId="3D0F1359" w14:textId="2FA8F1A2" w:rsidR="002D63FB" w:rsidRPr="00545A34" w:rsidRDefault="002D63FB" w:rsidP="00545A34">
      <w:pPr>
        <w:rPr>
          <w:rFonts w:ascii="Arial" w:hAnsi="Arial" w:cs="Arial"/>
          <w:sz w:val="22"/>
          <w:szCs w:val="22"/>
          <w:lang w:val="en-PH"/>
        </w:rPr>
      </w:pPr>
      <w:r w:rsidRPr="00545A34">
        <w:rPr>
          <w:rFonts w:ascii="Arial" w:hAnsi="Arial" w:cs="Arial"/>
          <w:b/>
          <w:bCs/>
          <w:color w:val="000000"/>
          <w:sz w:val="22"/>
          <w:szCs w:val="22"/>
          <w:lang w:val="en-PH"/>
        </w:rPr>
        <w:t>2.7 Assessment of Frame Presence and Strength</w:t>
      </w:r>
    </w:p>
    <w:p w14:paraId="3A4CD2FC" w14:textId="77777777" w:rsidR="00545A34" w:rsidRPr="00545A34" w:rsidRDefault="00545A34" w:rsidP="00545A34">
      <w:pPr>
        <w:rPr>
          <w:rFonts w:ascii="Arial" w:hAnsi="Arial" w:cs="Arial"/>
          <w:b/>
          <w:bCs/>
          <w:color w:val="000000"/>
          <w:lang w:val="en-PH"/>
        </w:rPr>
      </w:pPr>
    </w:p>
    <w:p w14:paraId="04DAF20C" w14:textId="14971B8C" w:rsidR="00545A34" w:rsidRPr="00545A34" w:rsidRDefault="00545A34" w:rsidP="00B3545F">
      <w:pPr>
        <w:rPr>
          <w:rFonts w:ascii="Arial" w:hAnsi="Arial" w:cs="Arial"/>
          <w:lang w:val="en-PH"/>
        </w:rPr>
      </w:pPr>
      <w:r w:rsidRPr="00545A34">
        <w:rPr>
          <w:rFonts w:ascii="Arial" w:hAnsi="Arial" w:cs="Arial"/>
          <w:lang w:val="en-PH"/>
        </w:rPr>
        <w:t xml:space="preserve">The presence and relative strength of each framing category were evaluated using qualitative pattern intensity rather than numerical frequency counts. A frame was identified as </w:t>
      </w:r>
      <w:r w:rsidRPr="00545A34">
        <w:rPr>
          <w:rFonts w:ascii="Arial" w:hAnsi="Arial" w:cs="Arial"/>
          <w:b/>
          <w:bCs/>
          <w:lang w:val="en-PH"/>
        </w:rPr>
        <w:t>present</w:t>
      </w:r>
      <w:r w:rsidRPr="00545A34">
        <w:rPr>
          <w:rFonts w:ascii="Arial" w:hAnsi="Arial" w:cs="Arial"/>
          <w:lang w:val="en-PH"/>
        </w:rPr>
        <w:t xml:space="preserve"> when explicit textual or structural indicators corresponded with the operational definition provided in Table 2. Frame </w:t>
      </w:r>
      <w:r w:rsidRPr="00545A34">
        <w:rPr>
          <w:rFonts w:ascii="Arial" w:hAnsi="Arial" w:cs="Arial"/>
          <w:b/>
          <w:bCs/>
          <w:lang w:val="en-PH"/>
        </w:rPr>
        <w:t>strength</w:t>
      </w:r>
      <w:r w:rsidRPr="00545A34">
        <w:rPr>
          <w:rFonts w:ascii="Arial" w:hAnsi="Arial" w:cs="Arial"/>
          <w:lang w:val="en-PH"/>
        </w:rPr>
        <w:t xml:space="preserve"> (categorized as strong, moderate, or limited) was determined by the following criteria: repetition across multiple sections of the tuition webpages, prominence within the webpage layout (such as headline placement, banners, or proximity to tuition figures), and integration with supporting signals including rankings, employability data, or calls to action. Strong frames appeared consistently and received rhetorical emphasis; </w:t>
      </w:r>
      <w:r w:rsidRPr="00545A34">
        <w:rPr>
          <w:rFonts w:ascii="Arial" w:hAnsi="Arial" w:cs="Arial"/>
          <w:i/>
          <w:iCs/>
          <w:lang w:val="en-PH"/>
        </w:rPr>
        <w:t>moderate</w:t>
      </w:r>
      <w:r w:rsidRPr="00545A34">
        <w:rPr>
          <w:rFonts w:ascii="Arial" w:hAnsi="Arial" w:cs="Arial"/>
          <w:lang w:val="en-PH"/>
        </w:rPr>
        <w:t xml:space="preserve"> frames were clearly identifiable but less prominently integrated; </w:t>
      </w:r>
      <w:r w:rsidRPr="00545A34">
        <w:rPr>
          <w:rFonts w:ascii="Arial" w:hAnsi="Arial" w:cs="Arial"/>
          <w:i/>
          <w:iCs/>
          <w:lang w:val="en-PH"/>
        </w:rPr>
        <w:t>limited</w:t>
      </w:r>
      <w:r w:rsidRPr="00545A34">
        <w:rPr>
          <w:rFonts w:ascii="Arial" w:hAnsi="Arial" w:cs="Arial"/>
          <w:lang w:val="en-PH"/>
        </w:rPr>
        <w:t xml:space="preserve"> frames appeared minimally or only indirectly. This interpretive approach is </w:t>
      </w:r>
      <w:r w:rsidRPr="00545A34">
        <w:rPr>
          <w:rFonts w:ascii="Arial" w:hAnsi="Arial" w:cs="Arial"/>
          <w:lang w:val="en-PH"/>
        </w:rPr>
        <w:lastRenderedPageBreak/>
        <w:t xml:space="preserve">consistent with qualitative comparative document analysis methodologies that emphasize thematic salience over quantitative measurement (Schreier, 2012; </w:t>
      </w:r>
      <w:proofErr w:type="spellStart"/>
      <w:r w:rsidRPr="00545A34">
        <w:rPr>
          <w:rFonts w:ascii="Arial" w:hAnsi="Arial" w:cs="Arial"/>
          <w:lang w:val="en-PH"/>
        </w:rPr>
        <w:t>Krippendorff</w:t>
      </w:r>
      <w:proofErr w:type="spellEnd"/>
      <w:r w:rsidRPr="00545A34">
        <w:rPr>
          <w:rFonts w:ascii="Arial" w:hAnsi="Arial" w:cs="Arial"/>
          <w:lang w:val="en-PH"/>
        </w:rPr>
        <w:t>, 2018).</w:t>
      </w:r>
    </w:p>
    <w:p w14:paraId="21301AF3" w14:textId="77777777" w:rsidR="002D63FB" w:rsidRDefault="002D63FB" w:rsidP="00B3545F">
      <w:pPr>
        <w:rPr>
          <w:rFonts w:ascii="Arial" w:hAnsi="Arial" w:cs="Arial"/>
          <w:b/>
          <w:bCs/>
          <w:color w:val="000000"/>
          <w:sz w:val="22"/>
          <w:szCs w:val="22"/>
          <w:lang w:val="en-PH"/>
        </w:rPr>
      </w:pPr>
    </w:p>
    <w:p w14:paraId="3B058FAD" w14:textId="670AB78A" w:rsidR="00B3545F" w:rsidRPr="00B3545F" w:rsidRDefault="00B3545F" w:rsidP="00B3545F">
      <w:pPr>
        <w:rPr>
          <w:rFonts w:ascii="Times New Roman" w:hAnsi="Times New Roman"/>
          <w:sz w:val="24"/>
          <w:szCs w:val="24"/>
          <w:lang w:val="en-PH"/>
        </w:rPr>
      </w:pPr>
      <w:r w:rsidRPr="00B3545F">
        <w:rPr>
          <w:rFonts w:ascii="Arial" w:hAnsi="Arial" w:cs="Arial"/>
          <w:b/>
          <w:bCs/>
          <w:color w:val="000000"/>
          <w:sz w:val="22"/>
          <w:szCs w:val="22"/>
          <w:lang w:val="en-PH"/>
        </w:rPr>
        <w:t>2.</w:t>
      </w:r>
      <w:r w:rsidR="002D63FB">
        <w:rPr>
          <w:rFonts w:ascii="Arial" w:hAnsi="Arial" w:cs="Arial"/>
          <w:b/>
          <w:bCs/>
          <w:color w:val="000000"/>
          <w:sz w:val="22"/>
          <w:szCs w:val="22"/>
          <w:lang w:val="en-PH"/>
        </w:rPr>
        <w:t>8</w:t>
      </w:r>
      <w:r w:rsidRPr="00B3545F">
        <w:rPr>
          <w:rFonts w:ascii="Arial" w:hAnsi="Arial" w:cs="Arial"/>
          <w:b/>
          <w:bCs/>
          <w:color w:val="000000"/>
          <w:sz w:val="22"/>
          <w:szCs w:val="22"/>
          <w:lang w:val="en-PH"/>
        </w:rPr>
        <w:t xml:space="preserve"> Data Analysis Procedure</w:t>
      </w:r>
    </w:p>
    <w:p w14:paraId="5F65B198" w14:textId="77777777" w:rsidR="00B3545F" w:rsidRPr="00B3545F" w:rsidRDefault="00B3545F" w:rsidP="00B3545F">
      <w:pPr>
        <w:rPr>
          <w:rFonts w:ascii="Arial" w:hAnsi="Arial" w:cs="Arial"/>
          <w:sz w:val="22"/>
          <w:szCs w:val="22"/>
          <w:lang w:val="en-PH"/>
        </w:rPr>
      </w:pPr>
    </w:p>
    <w:p w14:paraId="5B5AF493" w14:textId="77777777" w:rsidR="00B3545F" w:rsidRPr="00B3545F" w:rsidRDefault="00B3545F" w:rsidP="00B3545F">
      <w:pPr>
        <w:rPr>
          <w:rFonts w:ascii="Times New Roman" w:hAnsi="Times New Roman"/>
          <w:sz w:val="24"/>
          <w:szCs w:val="24"/>
          <w:lang w:val="en-PH"/>
        </w:rPr>
      </w:pPr>
      <w:r w:rsidRPr="00B3545F">
        <w:rPr>
          <w:rFonts w:ascii="Arial" w:hAnsi="Arial" w:cs="Arial"/>
          <w:color w:val="000000"/>
          <w:lang w:val="en-PH"/>
        </w:rPr>
        <w:t>The data analysis was done in three stages.</w:t>
      </w:r>
    </w:p>
    <w:p w14:paraId="4B659BDF" w14:textId="77777777" w:rsidR="00B3545F" w:rsidRPr="00B3545F" w:rsidRDefault="00B3545F" w:rsidP="00B3545F">
      <w:pPr>
        <w:rPr>
          <w:rFonts w:ascii="Times New Roman" w:hAnsi="Times New Roman"/>
          <w:sz w:val="24"/>
          <w:szCs w:val="24"/>
          <w:lang w:val="en-PH"/>
        </w:rPr>
      </w:pPr>
      <w:r w:rsidRPr="00B3545F">
        <w:rPr>
          <w:rFonts w:ascii="Arial" w:hAnsi="Arial" w:cs="Arial"/>
          <w:color w:val="000000"/>
          <w:lang w:val="en-PH"/>
        </w:rPr>
        <w:t>First, each institution was analyzed on its own. Tuition-related webpages were coded using specific framing categories.</w:t>
      </w:r>
    </w:p>
    <w:p w14:paraId="14198624" w14:textId="77777777" w:rsidR="00B3545F" w:rsidRPr="00B3545F" w:rsidRDefault="00B3545F" w:rsidP="00B3545F">
      <w:pPr>
        <w:rPr>
          <w:rFonts w:ascii="Times New Roman" w:hAnsi="Times New Roman"/>
          <w:sz w:val="24"/>
          <w:szCs w:val="24"/>
          <w:lang w:val="en-PH"/>
        </w:rPr>
      </w:pPr>
      <w:r w:rsidRPr="00B3545F">
        <w:rPr>
          <w:rFonts w:ascii="Arial" w:hAnsi="Arial" w:cs="Arial"/>
          <w:color w:val="000000"/>
          <w:lang w:val="en-PH"/>
        </w:rPr>
        <w:t>Second, the six global universities were compared with one another. The analysis focused on finding recurring themes and the strength of certain frames.</w:t>
      </w:r>
    </w:p>
    <w:p w14:paraId="323BDB89" w14:textId="77777777" w:rsidR="00B3545F" w:rsidRPr="00B3545F" w:rsidRDefault="00B3545F" w:rsidP="00B3545F">
      <w:pPr>
        <w:rPr>
          <w:rFonts w:ascii="Times New Roman" w:hAnsi="Times New Roman"/>
          <w:sz w:val="24"/>
          <w:szCs w:val="24"/>
          <w:lang w:val="en-PH"/>
        </w:rPr>
      </w:pPr>
      <w:r w:rsidRPr="00B3545F">
        <w:rPr>
          <w:rFonts w:ascii="Arial" w:hAnsi="Arial" w:cs="Arial"/>
          <w:color w:val="000000"/>
          <w:lang w:val="en-PH"/>
        </w:rPr>
        <w:t>Third, the study compared the Philippine university to the global group to see where they were similar or different. Alignment meant they used similar framing strategies and emphasis. Divergence meant the global frames were missing or less noticeable.</w:t>
      </w:r>
    </w:p>
    <w:p w14:paraId="3FD76048" w14:textId="615F65C6" w:rsidR="00280D69" w:rsidRDefault="00B3545F" w:rsidP="000D71F5">
      <w:pPr>
        <w:rPr>
          <w:rFonts w:ascii="Arial" w:hAnsi="Arial" w:cs="Arial"/>
          <w:color w:val="000000"/>
          <w:lang w:val="en-PH"/>
        </w:rPr>
      </w:pPr>
      <w:r w:rsidRPr="00B3545F">
        <w:rPr>
          <w:rFonts w:ascii="Arial" w:hAnsi="Arial" w:cs="Arial"/>
          <w:color w:val="000000"/>
          <w:lang w:val="en-PH"/>
        </w:rPr>
        <w:t>The analysis focused more on finding repeated themes and building a narrative than on counting how often things appeared</w:t>
      </w:r>
      <w:r w:rsidR="00280D69">
        <w:rPr>
          <w:rFonts w:ascii="Arial" w:hAnsi="Arial" w:cs="Arial"/>
          <w:color w:val="000000"/>
          <w:lang w:val="en-PH"/>
        </w:rPr>
        <w:t>.</w:t>
      </w:r>
    </w:p>
    <w:p w14:paraId="2E686603" w14:textId="77777777" w:rsidR="00280D69" w:rsidRPr="00280D69" w:rsidRDefault="00280D69" w:rsidP="000D71F5">
      <w:pPr>
        <w:rPr>
          <w:rFonts w:ascii="Arial" w:hAnsi="Arial" w:cs="Arial"/>
          <w:color w:val="000000"/>
          <w:sz w:val="22"/>
          <w:szCs w:val="22"/>
          <w:lang w:val="en-PH"/>
        </w:rPr>
      </w:pPr>
    </w:p>
    <w:p w14:paraId="25FD18E6" w14:textId="57FEB869" w:rsidR="00280D69" w:rsidRPr="00280D69" w:rsidRDefault="00280D69" w:rsidP="00280D69">
      <w:pPr>
        <w:rPr>
          <w:rFonts w:ascii="Times New Roman" w:hAnsi="Times New Roman"/>
          <w:sz w:val="24"/>
          <w:szCs w:val="24"/>
          <w:lang w:val="en-PH"/>
        </w:rPr>
      </w:pPr>
      <w:r w:rsidRPr="00280D69">
        <w:rPr>
          <w:rFonts w:ascii="Arial" w:hAnsi="Arial" w:cs="Arial"/>
          <w:b/>
          <w:bCs/>
          <w:color w:val="000000"/>
          <w:sz w:val="22"/>
          <w:szCs w:val="22"/>
          <w:lang w:val="en-PH"/>
        </w:rPr>
        <w:t>2.</w:t>
      </w:r>
      <w:r w:rsidR="00545A34">
        <w:rPr>
          <w:rFonts w:ascii="Arial" w:hAnsi="Arial" w:cs="Arial"/>
          <w:b/>
          <w:bCs/>
          <w:color w:val="000000"/>
          <w:sz w:val="22"/>
          <w:szCs w:val="22"/>
          <w:lang w:val="en-PH"/>
        </w:rPr>
        <w:t>9</w:t>
      </w:r>
      <w:r w:rsidRPr="00280D69">
        <w:rPr>
          <w:rFonts w:ascii="Arial" w:hAnsi="Arial" w:cs="Arial"/>
          <w:b/>
          <w:bCs/>
          <w:color w:val="000000"/>
          <w:sz w:val="22"/>
          <w:szCs w:val="22"/>
          <w:lang w:val="en-PH"/>
        </w:rPr>
        <w:t xml:space="preserve"> Trustworthiness of the Study</w:t>
      </w:r>
    </w:p>
    <w:p w14:paraId="79B0F070" w14:textId="77777777" w:rsidR="00280D69" w:rsidRPr="00280D69" w:rsidRDefault="00280D69" w:rsidP="00280D69">
      <w:pPr>
        <w:rPr>
          <w:rFonts w:ascii="Arial" w:hAnsi="Arial" w:cs="Arial"/>
          <w:sz w:val="22"/>
          <w:szCs w:val="22"/>
          <w:lang w:val="en-PH"/>
        </w:rPr>
      </w:pPr>
    </w:p>
    <w:p w14:paraId="1405046F" w14:textId="77777777" w:rsidR="00280D69" w:rsidRPr="00280D69" w:rsidRDefault="00280D69" w:rsidP="00280D69">
      <w:pPr>
        <w:rPr>
          <w:rFonts w:ascii="Times New Roman" w:hAnsi="Times New Roman"/>
          <w:sz w:val="24"/>
          <w:szCs w:val="24"/>
          <w:lang w:val="en-PH"/>
        </w:rPr>
      </w:pPr>
      <w:r w:rsidRPr="00280D69">
        <w:rPr>
          <w:rFonts w:ascii="Arial" w:hAnsi="Arial" w:cs="Arial"/>
          <w:color w:val="000000"/>
          <w:lang w:val="en-PH"/>
        </w:rPr>
        <w:t>Trustworthiness was established using the criteria of credibility, dependability, confirmability, and transferability (Lincoln &amp; Guba, 1985), which were adapted for comparative document analysis.</w:t>
      </w:r>
    </w:p>
    <w:p w14:paraId="1F87C0A9" w14:textId="77777777" w:rsidR="00280D69" w:rsidRPr="00280D69" w:rsidRDefault="00280D69" w:rsidP="00280D69">
      <w:pPr>
        <w:rPr>
          <w:rFonts w:ascii="Times New Roman" w:hAnsi="Times New Roman"/>
          <w:sz w:val="24"/>
          <w:szCs w:val="24"/>
          <w:lang w:val="en-PH"/>
        </w:rPr>
      </w:pPr>
      <w:r w:rsidRPr="00280D69">
        <w:rPr>
          <w:rFonts w:ascii="Arial" w:hAnsi="Arial" w:cs="Arial"/>
          <w:color w:val="000000"/>
          <w:lang w:val="en-PH"/>
        </w:rPr>
        <w:t>Credibility was improved by systematically comparing tuition-related content across different pages and cases. This approach helped ensure that the framing patterns found reflected broader institutional communication, not just isolated examples.</w:t>
      </w:r>
    </w:p>
    <w:p w14:paraId="35F6DEEC" w14:textId="77777777" w:rsidR="00280D69" w:rsidRPr="00280D69" w:rsidRDefault="00280D69" w:rsidP="00280D69">
      <w:pPr>
        <w:rPr>
          <w:rFonts w:ascii="Times New Roman" w:hAnsi="Times New Roman"/>
          <w:sz w:val="24"/>
          <w:szCs w:val="24"/>
          <w:lang w:val="en-PH"/>
        </w:rPr>
      </w:pPr>
      <w:r w:rsidRPr="00280D69">
        <w:rPr>
          <w:rFonts w:ascii="Arial" w:hAnsi="Arial" w:cs="Arial"/>
          <w:color w:val="000000"/>
          <w:lang w:val="en-PH"/>
        </w:rPr>
        <w:t>Dependability was supported by using a structured, theory-based coding framework and a code-recode verification process to keep the analysis consistent.</w:t>
      </w:r>
    </w:p>
    <w:p w14:paraId="5AD2E12B" w14:textId="77777777" w:rsidR="00280D69" w:rsidRPr="00280D69" w:rsidRDefault="00280D69" w:rsidP="00280D69">
      <w:pPr>
        <w:rPr>
          <w:rFonts w:ascii="Times New Roman" w:hAnsi="Times New Roman"/>
          <w:sz w:val="24"/>
          <w:szCs w:val="24"/>
          <w:lang w:val="en-PH"/>
        </w:rPr>
      </w:pPr>
      <w:r w:rsidRPr="00280D69">
        <w:rPr>
          <w:rFonts w:ascii="Arial" w:hAnsi="Arial" w:cs="Arial"/>
          <w:color w:val="000000"/>
          <w:lang w:val="en-PH"/>
        </w:rPr>
        <w:t>Confirmability was ensured by maintaining an audit trail that documented webpage sources, data collection dates (January–February 2026), coding decisions, and analytical notes. All interpretations were based on clear textual evidence.</w:t>
      </w:r>
    </w:p>
    <w:p w14:paraId="67151BDD" w14:textId="77777777" w:rsidR="00280D69" w:rsidRPr="00280D69" w:rsidRDefault="00280D69" w:rsidP="00280D69">
      <w:pPr>
        <w:rPr>
          <w:rFonts w:ascii="Times New Roman" w:hAnsi="Times New Roman"/>
          <w:sz w:val="24"/>
          <w:szCs w:val="24"/>
          <w:lang w:val="en-PH"/>
        </w:rPr>
      </w:pPr>
      <w:r w:rsidRPr="00280D69">
        <w:rPr>
          <w:rFonts w:ascii="Arial" w:hAnsi="Arial" w:cs="Arial"/>
          <w:color w:val="000000"/>
          <w:lang w:val="en-PH"/>
        </w:rPr>
        <w:t>Transferability was strengthened by clearly outlining how institutions were selected, including the QS World University Rankings 2026 band (200–500), regional distribution, and focus on private tuition-dependent profiles. This detail helps readers judge if the findings apply to similar higher education settings.</w:t>
      </w:r>
    </w:p>
    <w:p w14:paraId="2FDAE70C" w14:textId="77777777" w:rsidR="00280D69" w:rsidRDefault="00280D69" w:rsidP="00280D69">
      <w:pPr>
        <w:rPr>
          <w:rFonts w:ascii="Arial" w:hAnsi="Arial" w:cs="Arial"/>
          <w:sz w:val="22"/>
          <w:szCs w:val="22"/>
          <w:lang w:val="en-PH"/>
        </w:rPr>
      </w:pPr>
    </w:p>
    <w:p w14:paraId="5CCD03A8" w14:textId="77777777" w:rsidR="004411C3" w:rsidRPr="003A38AE" w:rsidRDefault="004411C3" w:rsidP="004411C3">
      <w:pPr>
        <w:rPr>
          <w:rFonts w:ascii="Arial" w:hAnsi="Arial" w:cs="Arial"/>
          <w:sz w:val="22"/>
          <w:szCs w:val="22"/>
          <w:lang w:val="en-PH"/>
        </w:rPr>
      </w:pPr>
    </w:p>
    <w:p w14:paraId="7EC99035" w14:textId="77777777" w:rsidR="003A38AE" w:rsidRPr="003A38AE" w:rsidRDefault="003A38AE" w:rsidP="003A38AE">
      <w:pPr>
        <w:rPr>
          <w:rFonts w:ascii="Times New Roman" w:hAnsi="Times New Roman"/>
          <w:sz w:val="24"/>
          <w:szCs w:val="24"/>
          <w:lang w:val="en-PH"/>
        </w:rPr>
      </w:pPr>
      <w:r w:rsidRPr="003A38AE">
        <w:rPr>
          <w:rFonts w:ascii="Arial" w:hAnsi="Arial" w:cs="Arial"/>
          <w:b/>
          <w:bCs/>
          <w:color w:val="000000"/>
          <w:sz w:val="22"/>
          <w:szCs w:val="22"/>
          <w:lang w:val="en-PH"/>
        </w:rPr>
        <w:t>3. RESULTS</w:t>
      </w:r>
    </w:p>
    <w:p w14:paraId="15AE339A" w14:textId="77777777" w:rsidR="003A38AE" w:rsidRPr="003A38AE" w:rsidRDefault="003A38AE" w:rsidP="003A38AE">
      <w:pPr>
        <w:rPr>
          <w:rFonts w:ascii="Arial" w:hAnsi="Arial" w:cs="Arial"/>
          <w:sz w:val="22"/>
          <w:szCs w:val="22"/>
          <w:lang w:val="en-PH"/>
        </w:rPr>
      </w:pPr>
    </w:p>
    <w:p w14:paraId="56FE4607" w14:textId="77777777" w:rsidR="003A38AE" w:rsidRPr="003A38AE" w:rsidRDefault="003A38AE" w:rsidP="003A38AE">
      <w:pPr>
        <w:rPr>
          <w:rFonts w:ascii="Times New Roman" w:hAnsi="Times New Roman"/>
          <w:sz w:val="24"/>
          <w:szCs w:val="24"/>
          <w:lang w:val="en-PH"/>
        </w:rPr>
      </w:pPr>
      <w:r w:rsidRPr="003A38AE">
        <w:rPr>
          <w:rFonts w:ascii="Arial" w:hAnsi="Arial" w:cs="Arial"/>
          <w:b/>
          <w:bCs/>
          <w:color w:val="000000"/>
          <w:sz w:val="22"/>
          <w:szCs w:val="22"/>
          <w:lang w:val="en-PH"/>
        </w:rPr>
        <w:t>3.1 Overview of Tuition Framing Patterns Across Cases</w:t>
      </w:r>
    </w:p>
    <w:p w14:paraId="73D16563" w14:textId="77777777" w:rsidR="003A38AE" w:rsidRPr="003A38AE" w:rsidRDefault="003A38AE" w:rsidP="003A38AE">
      <w:pPr>
        <w:rPr>
          <w:rFonts w:ascii="Arial" w:hAnsi="Arial" w:cs="Arial"/>
          <w:sz w:val="22"/>
          <w:szCs w:val="22"/>
          <w:lang w:val="en-PH"/>
        </w:rPr>
      </w:pPr>
    </w:p>
    <w:p w14:paraId="432B87EB" w14:textId="77777777" w:rsidR="003A38AE" w:rsidRDefault="003A38AE" w:rsidP="003A38AE">
      <w:pPr>
        <w:rPr>
          <w:rFonts w:ascii="Arial" w:hAnsi="Arial" w:cs="Arial"/>
          <w:color w:val="000000"/>
          <w:lang w:val="en-PH"/>
        </w:rPr>
      </w:pPr>
      <w:r w:rsidRPr="003A38AE">
        <w:rPr>
          <w:rFonts w:ascii="Arial" w:hAnsi="Arial" w:cs="Arial"/>
          <w:color w:val="000000"/>
          <w:lang w:val="en-PH"/>
        </w:rPr>
        <w:t>A review of tuition webpages from six top-ranked private universities and one Philippine university showed clear differences in how tuition was presented. Instead of just sharing information, these pages used specific framing strategies that matched each institution’s marketing and positioning in the competitive higher education sector (Davis et al., 2019; Camilleri, 2020).</w:t>
      </w:r>
    </w:p>
    <w:p w14:paraId="03CCC4C5" w14:textId="77777777" w:rsidR="003A38AE" w:rsidRPr="003A38AE" w:rsidRDefault="003A38AE" w:rsidP="003A38AE">
      <w:pPr>
        <w:rPr>
          <w:rFonts w:ascii="Times New Roman" w:hAnsi="Times New Roman"/>
          <w:sz w:val="24"/>
          <w:szCs w:val="24"/>
          <w:lang w:val="en-PH"/>
        </w:rPr>
      </w:pPr>
      <w:r w:rsidRPr="003A38AE">
        <w:rPr>
          <w:rFonts w:ascii="Arial" w:hAnsi="Arial" w:cs="Arial"/>
          <w:color w:val="000000"/>
          <w:lang w:val="en-PH"/>
        </w:rPr>
        <w:t>The analysis used seven coding categories from Table 2 in the methodology. Patterns were first found within the global universities, then compared to the Philippine university.</w:t>
      </w:r>
    </w:p>
    <w:p w14:paraId="61A56BD7" w14:textId="77777777" w:rsidR="003A38AE" w:rsidRPr="003A38AE" w:rsidRDefault="003A38AE" w:rsidP="003A38AE">
      <w:pPr>
        <w:rPr>
          <w:rFonts w:ascii="Arial" w:hAnsi="Arial" w:cs="Arial"/>
          <w:sz w:val="22"/>
          <w:szCs w:val="22"/>
          <w:lang w:val="en-PH"/>
        </w:rPr>
      </w:pPr>
    </w:p>
    <w:p w14:paraId="7625DAB4" w14:textId="77777777" w:rsidR="003A38AE" w:rsidRPr="003A38AE" w:rsidRDefault="003A38AE" w:rsidP="003A38AE">
      <w:pPr>
        <w:rPr>
          <w:rFonts w:ascii="Times New Roman" w:hAnsi="Times New Roman"/>
          <w:sz w:val="24"/>
          <w:szCs w:val="24"/>
          <w:lang w:val="en-PH"/>
        </w:rPr>
      </w:pPr>
      <w:r w:rsidRPr="003A38AE">
        <w:rPr>
          <w:rFonts w:ascii="Arial" w:hAnsi="Arial" w:cs="Arial"/>
          <w:b/>
          <w:bCs/>
          <w:color w:val="000000"/>
          <w:sz w:val="22"/>
          <w:szCs w:val="22"/>
          <w:lang w:val="en-PH"/>
        </w:rPr>
        <w:t>3.2 Investment Frame</w:t>
      </w:r>
    </w:p>
    <w:p w14:paraId="25442035" w14:textId="77777777" w:rsidR="003A38AE" w:rsidRPr="003A38AE" w:rsidRDefault="003A38AE" w:rsidP="003A38AE">
      <w:pPr>
        <w:rPr>
          <w:rFonts w:ascii="Arial" w:hAnsi="Arial" w:cs="Arial"/>
          <w:sz w:val="22"/>
          <w:szCs w:val="22"/>
          <w:lang w:val="en-PH"/>
        </w:rPr>
      </w:pPr>
    </w:p>
    <w:p w14:paraId="41944BA0" w14:textId="77777777" w:rsidR="003A38AE" w:rsidRPr="003A38AE" w:rsidRDefault="003A38AE" w:rsidP="003A38AE">
      <w:pPr>
        <w:rPr>
          <w:rFonts w:ascii="Times New Roman" w:hAnsi="Times New Roman"/>
          <w:sz w:val="24"/>
          <w:szCs w:val="24"/>
          <w:lang w:val="en-PH"/>
        </w:rPr>
      </w:pPr>
      <w:r w:rsidRPr="003A38AE">
        <w:rPr>
          <w:rFonts w:ascii="Arial" w:hAnsi="Arial" w:cs="Arial"/>
          <w:color w:val="000000"/>
          <w:lang w:val="en-PH"/>
        </w:rPr>
        <w:t>Most of the six global universities used the Investment Frame. They often described tuition as a long-term benefit instead of just a short-term cost. Their websites focused on:</w:t>
      </w:r>
    </w:p>
    <w:p w14:paraId="7125FFB4" w14:textId="77777777" w:rsidR="003A38AE" w:rsidRPr="003A38AE" w:rsidRDefault="003A38AE" w:rsidP="003A38AE">
      <w:pPr>
        <w:numPr>
          <w:ilvl w:val="0"/>
          <w:numId w:val="34"/>
        </w:numPr>
        <w:tabs>
          <w:tab w:val="clear" w:pos="720"/>
        </w:tabs>
        <w:ind w:left="360"/>
        <w:textAlignment w:val="baseline"/>
        <w:rPr>
          <w:rFonts w:ascii="Arial" w:hAnsi="Arial" w:cs="Arial"/>
          <w:b/>
          <w:bCs/>
          <w:color w:val="000000"/>
          <w:lang w:val="en-PH"/>
        </w:rPr>
      </w:pPr>
      <w:r w:rsidRPr="003A38AE">
        <w:rPr>
          <w:rFonts w:ascii="Arial" w:hAnsi="Arial" w:cs="Arial"/>
          <w:b/>
          <w:bCs/>
          <w:color w:val="000000"/>
          <w:lang w:val="en-PH"/>
        </w:rPr>
        <w:t>Future career trajectories</w:t>
      </w:r>
    </w:p>
    <w:p w14:paraId="59CFA0A3" w14:textId="77777777" w:rsidR="003A38AE" w:rsidRPr="003A38AE" w:rsidRDefault="003A38AE" w:rsidP="003A38AE">
      <w:pPr>
        <w:ind w:left="360"/>
        <w:rPr>
          <w:rFonts w:ascii="Times New Roman" w:hAnsi="Times New Roman"/>
          <w:sz w:val="24"/>
          <w:szCs w:val="24"/>
          <w:lang w:val="en-PH"/>
        </w:rPr>
      </w:pPr>
      <w:r w:rsidRPr="003A38AE">
        <w:rPr>
          <w:rFonts w:ascii="Arial" w:hAnsi="Arial" w:cs="Arial"/>
          <w:color w:val="000000"/>
          <w:lang w:val="en-PH"/>
        </w:rPr>
        <w:lastRenderedPageBreak/>
        <w:t>Tuition was connected to future career growth, suggesting that enrolling would help students move up in their careers and achieve long-term success.</w:t>
      </w:r>
    </w:p>
    <w:p w14:paraId="0D527DFC" w14:textId="77777777" w:rsidR="003A38AE" w:rsidRPr="003A38AE" w:rsidRDefault="003A38AE" w:rsidP="003A38AE">
      <w:pPr>
        <w:numPr>
          <w:ilvl w:val="0"/>
          <w:numId w:val="35"/>
        </w:numPr>
        <w:tabs>
          <w:tab w:val="clear" w:pos="720"/>
        </w:tabs>
        <w:ind w:left="360"/>
        <w:textAlignment w:val="baseline"/>
        <w:rPr>
          <w:rFonts w:ascii="Arial" w:hAnsi="Arial" w:cs="Arial"/>
          <w:b/>
          <w:bCs/>
          <w:color w:val="000000"/>
          <w:lang w:val="en-PH"/>
        </w:rPr>
      </w:pPr>
      <w:r w:rsidRPr="003A38AE">
        <w:rPr>
          <w:rFonts w:ascii="Arial" w:hAnsi="Arial" w:cs="Arial"/>
          <w:b/>
          <w:bCs/>
          <w:color w:val="000000"/>
          <w:lang w:val="en-PH"/>
        </w:rPr>
        <w:t>Professional network access</w:t>
      </w:r>
    </w:p>
    <w:p w14:paraId="30B7EE2F" w14:textId="77777777" w:rsidR="003A38AE" w:rsidRPr="003A38AE" w:rsidRDefault="003A38AE" w:rsidP="003A38AE">
      <w:pPr>
        <w:ind w:left="360"/>
        <w:rPr>
          <w:rFonts w:ascii="Times New Roman" w:hAnsi="Times New Roman"/>
          <w:sz w:val="24"/>
          <w:szCs w:val="24"/>
          <w:lang w:val="en-PH"/>
        </w:rPr>
      </w:pPr>
      <w:r w:rsidRPr="003A38AE">
        <w:rPr>
          <w:rFonts w:ascii="Arial" w:hAnsi="Arial" w:cs="Arial"/>
          <w:color w:val="000000"/>
          <w:lang w:val="en-PH"/>
        </w:rPr>
        <w:t>Universities pointed out that tuition gives students access to alumni, industry partners, and global networks, making it a way to join valuable professional communities.</w:t>
      </w:r>
    </w:p>
    <w:p w14:paraId="1B395F69" w14:textId="77777777" w:rsidR="003A38AE" w:rsidRPr="003A38AE" w:rsidRDefault="003A38AE" w:rsidP="003A38AE">
      <w:pPr>
        <w:numPr>
          <w:ilvl w:val="0"/>
          <w:numId w:val="36"/>
        </w:numPr>
        <w:tabs>
          <w:tab w:val="clear" w:pos="720"/>
        </w:tabs>
        <w:ind w:left="360"/>
        <w:textAlignment w:val="baseline"/>
        <w:rPr>
          <w:rFonts w:ascii="Arial" w:hAnsi="Arial" w:cs="Arial"/>
          <w:b/>
          <w:bCs/>
          <w:color w:val="000000"/>
          <w:lang w:val="en-PH"/>
        </w:rPr>
      </w:pPr>
      <w:r w:rsidRPr="003A38AE">
        <w:rPr>
          <w:rFonts w:ascii="Arial" w:hAnsi="Arial" w:cs="Arial"/>
          <w:b/>
          <w:bCs/>
          <w:color w:val="000000"/>
          <w:lang w:val="en-PH"/>
        </w:rPr>
        <w:t>Lifelong earning potential</w:t>
      </w:r>
    </w:p>
    <w:p w14:paraId="030E0CED" w14:textId="77777777" w:rsidR="003A38AE" w:rsidRPr="003A38AE" w:rsidRDefault="003A38AE" w:rsidP="003A38AE">
      <w:pPr>
        <w:ind w:left="360"/>
        <w:rPr>
          <w:rFonts w:ascii="Times New Roman" w:hAnsi="Times New Roman"/>
          <w:sz w:val="24"/>
          <w:szCs w:val="24"/>
          <w:lang w:val="en-PH"/>
        </w:rPr>
      </w:pPr>
      <w:r w:rsidRPr="003A38AE">
        <w:rPr>
          <w:rFonts w:ascii="Arial" w:hAnsi="Arial" w:cs="Arial"/>
          <w:color w:val="000000"/>
          <w:lang w:val="en-PH"/>
        </w:rPr>
        <w:t>Some universities mentioned salary ranges, career earnings, or long-term income benefits, showing tuition as an investment that brings lasting financial rewards.</w:t>
      </w:r>
    </w:p>
    <w:p w14:paraId="4D12820A" w14:textId="77777777" w:rsidR="003A38AE" w:rsidRPr="003A38AE" w:rsidRDefault="003A38AE" w:rsidP="003A38AE">
      <w:pPr>
        <w:numPr>
          <w:ilvl w:val="0"/>
          <w:numId w:val="37"/>
        </w:numPr>
        <w:tabs>
          <w:tab w:val="clear" w:pos="720"/>
        </w:tabs>
        <w:ind w:left="360"/>
        <w:textAlignment w:val="baseline"/>
        <w:rPr>
          <w:rFonts w:ascii="Arial" w:hAnsi="Arial" w:cs="Arial"/>
          <w:b/>
          <w:bCs/>
          <w:color w:val="000000"/>
          <w:lang w:val="en-PH"/>
        </w:rPr>
      </w:pPr>
      <w:r w:rsidRPr="003A38AE">
        <w:rPr>
          <w:rFonts w:ascii="Arial" w:hAnsi="Arial" w:cs="Arial"/>
          <w:b/>
          <w:bCs/>
          <w:color w:val="000000"/>
          <w:lang w:val="en-PH"/>
        </w:rPr>
        <w:t>“Return on investment” narratives</w:t>
      </w:r>
    </w:p>
    <w:p w14:paraId="5A139E56" w14:textId="77777777" w:rsidR="003A38AE" w:rsidRPr="003A38AE" w:rsidRDefault="003A38AE" w:rsidP="003A38AE">
      <w:pPr>
        <w:ind w:left="360"/>
        <w:rPr>
          <w:rFonts w:ascii="Times New Roman" w:hAnsi="Times New Roman"/>
          <w:sz w:val="24"/>
          <w:szCs w:val="24"/>
          <w:lang w:val="en-PH"/>
        </w:rPr>
      </w:pPr>
      <w:r w:rsidRPr="003A38AE">
        <w:rPr>
          <w:rFonts w:ascii="Arial" w:hAnsi="Arial" w:cs="Arial"/>
          <w:color w:val="000000"/>
          <w:lang w:val="en-PH"/>
        </w:rPr>
        <w:t>Clear or subtle references to return on investment (ROI) described tuition as money spent now that would lead to real future benefits, supporting the idea of enrollment as a smart financial choice.</w:t>
      </w:r>
    </w:p>
    <w:p w14:paraId="3DAE3EE1" w14:textId="77777777" w:rsidR="003A38AE" w:rsidRPr="003A38AE" w:rsidRDefault="003A38AE" w:rsidP="003A38AE">
      <w:pPr>
        <w:rPr>
          <w:rFonts w:ascii="Times New Roman" w:hAnsi="Times New Roman"/>
          <w:sz w:val="24"/>
          <w:szCs w:val="24"/>
          <w:lang w:val="en-PH"/>
        </w:rPr>
      </w:pPr>
      <w:r w:rsidRPr="003A38AE">
        <w:rPr>
          <w:rFonts w:ascii="Arial" w:hAnsi="Arial" w:cs="Arial"/>
          <w:color w:val="000000"/>
          <w:lang w:val="en-PH"/>
        </w:rPr>
        <w:t>At several universities, tuition details were included in broader messages that connected cost to graduate success.</w:t>
      </w:r>
    </w:p>
    <w:p w14:paraId="60AF1E52" w14:textId="77777777" w:rsidR="003A38AE" w:rsidRPr="003A38AE" w:rsidRDefault="003A38AE" w:rsidP="003A38AE">
      <w:pPr>
        <w:rPr>
          <w:rFonts w:ascii="Times New Roman" w:hAnsi="Times New Roman"/>
          <w:sz w:val="24"/>
          <w:szCs w:val="24"/>
          <w:lang w:val="en-PH"/>
        </w:rPr>
      </w:pPr>
      <w:r w:rsidRPr="003A38AE">
        <w:rPr>
          <w:rFonts w:ascii="Arial" w:hAnsi="Arial" w:cs="Arial"/>
          <w:color w:val="000000"/>
          <w:lang w:val="en-PH"/>
        </w:rPr>
        <w:t>This trend matches research showing that universities now often present tuition as a smart investment to highlight its value and ease worries about cost (Davis et al., 2019). Focusing on long-term benefits helps students make decisions.</w:t>
      </w:r>
    </w:p>
    <w:p w14:paraId="392B0ECD" w14:textId="77777777" w:rsidR="003A38AE" w:rsidRPr="003A38AE" w:rsidRDefault="003A38AE" w:rsidP="003A38AE">
      <w:pPr>
        <w:rPr>
          <w:rFonts w:ascii="Times New Roman" w:hAnsi="Times New Roman"/>
          <w:sz w:val="24"/>
          <w:szCs w:val="24"/>
          <w:lang w:val="en-PH"/>
        </w:rPr>
      </w:pPr>
      <w:r w:rsidRPr="003A38AE">
        <w:rPr>
          <w:rFonts w:ascii="Arial" w:hAnsi="Arial" w:cs="Arial"/>
          <w:color w:val="000000"/>
          <w:lang w:val="en-PH"/>
        </w:rPr>
        <w:t>In contrast, the Philippine university used less investment-focused language. Although tuition was clearly stated, it did not strongly link cost to future financial benefits.</w:t>
      </w:r>
    </w:p>
    <w:p w14:paraId="43E38E3D" w14:textId="77777777" w:rsidR="003A38AE" w:rsidRDefault="003A38AE" w:rsidP="003A38AE">
      <w:pPr>
        <w:rPr>
          <w:rFonts w:ascii="Arial" w:hAnsi="Arial" w:cs="Arial"/>
          <w:sz w:val="22"/>
          <w:szCs w:val="22"/>
          <w:lang w:val="en-PH"/>
        </w:rPr>
      </w:pPr>
    </w:p>
    <w:p w14:paraId="185D5B0B" w14:textId="77777777" w:rsidR="003D3691" w:rsidRPr="003D3691" w:rsidRDefault="003D3691" w:rsidP="003D3691">
      <w:pPr>
        <w:rPr>
          <w:rFonts w:ascii="Times New Roman" w:hAnsi="Times New Roman"/>
          <w:sz w:val="24"/>
          <w:szCs w:val="24"/>
          <w:lang w:val="en-PH"/>
        </w:rPr>
      </w:pPr>
      <w:r w:rsidRPr="003D3691">
        <w:rPr>
          <w:rFonts w:ascii="Arial" w:hAnsi="Arial" w:cs="Arial"/>
          <w:b/>
          <w:bCs/>
          <w:color w:val="000000"/>
          <w:sz w:val="22"/>
          <w:szCs w:val="22"/>
          <w:lang w:val="en-PH"/>
        </w:rPr>
        <w:t>3.3 Accessibility/Affordability Frame</w:t>
      </w:r>
    </w:p>
    <w:p w14:paraId="507A814F" w14:textId="77777777" w:rsidR="003D3691" w:rsidRPr="003D3691" w:rsidRDefault="003D3691" w:rsidP="003D3691">
      <w:pPr>
        <w:rPr>
          <w:rFonts w:ascii="Arial" w:hAnsi="Arial" w:cs="Arial"/>
          <w:sz w:val="22"/>
          <w:szCs w:val="22"/>
          <w:lang w:val="en-PH"/>
        </w:rPr>
      </w:pPr>
    </w:p>
    <w:p w14:paraId="06BFA0C3" w14:textId="77777777" w:rsidR="003D3691" w:rsidRPr="003D3691" w:rsidRDefault="003D3691" w:rsidP="003D3691">
      <w:pPr>
        <w:rPr>
          <w:rFonts w:ascii="Times New Roman" w:hAnsi="Times New Roman"/>
          <w:sz w:val="24"/>
          <w:szCs w:val="24"/>
          <w:lang w:val="en-PH"/>
        </w:rPr>
      </w:pPr>
      <w:r w:rsidRPr="003D3691">
        <w:rPr>
          <w:rFonts w:ascii="Arial" w:hAnsi="Arial" w:cs="Arial"/>
          <w:color w:val="000000"/>
          <w:lang w:val="en-PH"/>
        </w:rPr>
        <w:t>All institutions used the Accessibility/Affordability Frame, but some emphasized it more than others. In the global benchmark group, accessibility was presented alongside investment and prestige. The main recurring elements were:</w:t>
      </w:r>
    </w:p>
    <w:p w14:paraId="008707AD" w14:textId="77777777" w:rsidR="003D3691" w:rsidRPr="003D3691" w:rsidRDefault="003D3691" w:rsidP="003D3691">
      <w:pPr>
        <w:numPr>
          <w:ilvl w:val="0"/>
          <w:numId w:val="38"/>
        </w:numPr>
        <w:tabs>
          <w:tab w:val="clear" w:pos="720"/>
        </w:tabs>
        <w:ind w:left="360"/>
        <w:textAlignment w:val="baseline"/>
        <w:rPr>
          <w:rFonts w:ascii="Arial" w:hAnsi="Arial" w:cs="Arial"/>
          <w:color w:val="000000"/>
          <w:lang w:val="en-PH"/>
        </w:rPr>
      </w:pPr>
      <w:r w:rsidRPr="003D3691">
        <w:rPr>
          <w:rFonts w:ascii="Arial" w:hAnsi="Arial" w:cs="Arial"/>
          <w:b/>
          <w:bCs/>
          <w:color w:val="000000"/>
          <w:lang w:val="en-PH"/>
        </w:rPr>
        <w:t>Flexible payment plans</w:t>
      </w:r>
      <w:r w:rsidRPr="003D3691">
        <w:rPr>
          <w:rFonts w:ascii="Arial" w:hAnsi="Arial" w:cs="Arial"/>
          <w:b/>
          <w:bCs/>
          <w:color w:val="000000"/>
          <w:lang w:val="en-PH"/>
        </w:rPr>
        <w:br/>
      </w:r>
      <w:r w:rsidRPr="003D3691">
        <w:rPr>
          <w:rFonts w:ascii="Arial" w:hAnsi="Arial" w:cs="Arial"/>
          <w:color w:val="000000"/>
          <w:lang w:val="en-PH"/>
        </w:rPr>
        <w:t>Many global universities offered payment plans that let students spread tuition payments over time. These plans were usually found on tuition pages, showing that institutions understand short-term financial challenges while still highlighting overall value.</w:t>
      </w:r>
    </w:p>
    <w:p w14:paraId="573E191D" w14:textId="77777777" w:rsidR="003D3691" w:rsidRPr="003D3691" w:rsidRDefault="003D3691" w:rsidP="003D3691">
      <w:pPr>
        <w:numPr>
          <w:ilvl w:val="0"/>
          <w:numId w:val="38"/>
        </w:numPr>
        <w:tabs>
          <w:tab w:val="clear" w:pos="720"/>
        </w:tabs>
        <w:ind w:left="360"/>
        <w:textAlignment w:val="baseline"/>
        <w:rPr>
          <w:rFonts w:ascii="Arial" w:hAnsi="Arial" w:cs="Arial"/>
          <w:color w:val="000000"/>
          <w:lang w:val="en-PH"/>
        </w:rPr>
      </w:pPr>
      <w:r w:rsidRPr="003D3691">
        <w:rPr>
          <w:rFonts w:ascii="Arial" w:hAnsi="Arial" w:cs="Arial"/>
          <w:b/>
          <w:bCs/>
          <w:color w:val="000000"/>
          <w:lang w:val="en-PH"/>
        </w:rPr>
        <w:t>Installment schemes</w:t>
      </w:r>
      <w:r w:rsidRPr="003D3691">
        <w:rPr>
          <w:rFonts w:ascii="Arial" w:hAnsi="Arial" w:cs="Arial"/>
          <w:color w:val="000000"/>
          <w:lang w:val="en-PH"/>
        </w:rPr>
        <w:br/>
        <w:t>Installment plans were explained with details like payment schedules and amounts. Global institutions often paired these options with language about investment, showing that short-term flexibility fits with long-term educational benefits.</w:t>
      </w:r>
    </w:p>
    <w:p w14:paraId="04566041" w14:textId="77777777" w:rsidR="003D3691" w:rsidRPr="003D3691" w:rsidRDefault="003D3691" w:rsidP="003D3691">
      <w:pPr>
        <w:numPr>
          <w:ilvl w:val="0"/>
          <w:numId w:val="38"/>
        </w:numPr>
        <w:tabs>
          <w:tab w:val="clear" w:pos="720"/>
        </w:tabs>
        <w:ind w:left="360"/>
        <w:textAlignment w:val="baseline"/>
        <w:rPr>
          <w:rFonts w:ascii="Arial" w:hAnsi="Arial" w:cs="Arial"/>
          <w:color w:val="000000"/>
          <w:lang w:val="en-PH"/>
        </w:rPr>
      </w:pPr>
      <w:r w:rsidRPr="003D3691">
        <w:rPr>
          <w:rFonts w:ascii="Arial" w:hAnsi="Arial" w:cs="Arial"/>
          <w:b/>
          <w:bCs/>
          <w:color w:val="000000"/>
          <w:lang w:val="en-PH"/>
        </w:rPr>
        <w:t>Financial aid guidance</w:t>
      </w:r>
      <w:r w:rsidRPr="003D3691">
        <w:rPr>
          <w:rFonts w:ascii="Arial" w:hAnsi="Arial" w:cs="Arial"/>
          <w:color w:val="000000"/>
          <w:lang w:val="en-PH"/>
        </w:rPr>
        <w:br/>
        <w:t>Tuition pages often gave instructions for applying to scholarships, grants, or aid. In the global benchmark group, this information was usually part of the tuition section or clearly linked, showing that institutions help manage financial barriers instead of leaving students to handle them alone.</w:t>
      </w:r>
    </w:p>
    <w:p w14:paraId="00B76014" w14:textId="77777777" w:rsidR="003D3691" w:rsidRPr="003D3691" w:rsidRDefault="003D3691" w:rsidP="003D3691">
      <w:pPr>
        <w:numPr>
          <w:ilvl w:val="0"/>
          <w:numId w:val="38"/>
        </w:numPr>
        <w:tabs>
          <w:tab w:val="clear" w:pos="720"/>
        </w:tabs>
        <w:ind w:left="360"/>
        <w:textAlignment w:val="baseline"/>
        <w:rPr>
          <w:rFonts w:ascii="Arial" w:hAnsi="Arial" w:cs="Arial"/>
          <w:color w:val="000000"/>
          <w:lang w:val="en-PH"/>
        </w:rPr>
      </w:pPr>
      <w:r w:rsidRPr="003D3691">
        <w:rPr>
          <w:rFonts w:ascii="Arial" w:hAnsi="Arial" w:cs="Arial"/>
          <w:b/>
          <w:bCs/>
          <w:color w:val="000000"/>
          <w:lang w:val="en-PH"/>
        </w:rPr>
        <w:t>Dedicated affordability sections</w:t>
      </w:r>
      <w:r w:rsidRPr="003D3691">
        <w:rPr>
          <w:rFonts w:ascii="Arial" w:hAnsi="Arial" w:cs="Arial"/>
          <w:color w:val="000000"/>
          <w:lang w:val="en-PH"/>
        </w:rPr>
        <w:br/>
        <w:t>Some global institutions had separate sections focused on affordability or financial support. These sections were made more noticeable with banners or highlights, showing that affordability is a clear commitment, not just extra information.</w:t>
      </w:r>
    </w:p>
    <w:p w14:paraId="15ED972A" w14:textId="77777777" w:rsidR="003D3691" w:rsidRPr="003D3691" w:rsidRDefault="003D3691" w:rsidP="003D3691">
      <w:pPr>
        <w:rPr>
          <w:rFonts w:ascii="Times New Roman" w:hAnsi="Times New Roman"/>
          <w:sz w:val="24"/>
          <w:szCs w:val="24"/>
          <w:lang w:val="en-PH"/>
        </w:rPr>
      </w:pPr>
      <w:r w:rsidRPr="003D3691">
        <w:rPr>
          <w:rFonts w:ascii="Arial" w:hAnsi="Arial" w:cs="Arial"/>
          <w:color w:val="000000"/>
          <w:lang w:val="en-PH"/>
        </w:rPr>
        <w:t>In general, global institutions combined accessibility with investment and prestige in their messaging. Research shows that highlighting affordability helps people see institutions as more inclusive and responsive in competitive higher education markets (Davis et al., 2019).</w:t>
      </w:r>
    </w:p>
    <w:p w14:paraId="56CCED11" w14:textId="77777777" w:rsidR="003D3691" w:rsidRPr="003D3691" w:rsidRDefault="003D3691" w:rsidP="003D3691">
      <w:pPr>
        <w:rPr>
          <w:rFonts w:ascii="Times New Roman" w:hAnsi="Times New Roman"/>
          <w:sz w:val="24"/>
          <w:szCs w:val="24"/>
          <w:lang w:val="en-PH"/>
        </w:rPr>
      </w:pPr>
      <w:r w:rsidRPr="003D3691">
        <w:rPr>
          <w:rFonts w:ascii="Arial" w:hAnsi="Arial" w:cs="Arial"/>
          <w:color w:val="000000"/>
          <w:lang w:val="en-PH"/>
        </w:rPr>
        <w:t>The Philippine institution also shared clear information about scholarships, financial aid, and tuition. However, its accessibility messaging was mostly factual and not strongly emphasized. Unlike some global institutions, affordability was rarely linked with investment or prestige, so accessibility served mainly as transparent information rather than a balancing message.</w:t>
      </w:r>
    </w:p>
    <w:p w14:paraId="0EAF7D1C" w14:textId="77777777" w:rsidR="003D3691" w:rsidRPr="003D3691" w:rsidRDefault="003D3691" w:rsidP="003D3691">
      <w:pPr>
        <w:rPr>
          <w:rFonts w:ascii="Arial" w:hAnsi="Arial" w:cs="Arial"/>
          <w:sz w:val="22"/>
          <w:szCs w:val="22"/>
          <w:lang w:val="en-PH"/>
        </w:rPr>
      </w:pPr>
    </w:p>
    <w:p w14:paraId="7D5F4175" w14:textId="77777777" w:rsidR="003D3691" w:rsidRPr="003D3691" w:rsidRDefault="003D3691" w:rsidP="003D3691">
      <w:pPr>
        <w:rPr>
          <w:rFonts w:ascii="Times New Roman" w:hAnsi="Times New Roman"/>
          <w:sz w:val="24"/>
          <w:szCs w:val="24"/>
          <w:lang w:val="en-PH"/>
        </w:rPr>
      </w:pPr>
      <w:r w:rsidRPr="003D3691">
        <w:rPr>
          <w:rFonts w:ascii="Arial" w:hAnsi="Arial" w:cs="Arial"/>
          <w:b/>
          <w:bCs/>
          <w:color w:val="000000"/>
          <w:sz w:val="22"/>
          <w:szCs w:val="22"/>
          <w:lang w:val="en-PH"/>
        </w:rPr>
        <w:t>3.4 Scholarship Emphasis Frame</w:t>
      </w:r>
    </w:p>
    <w:p w14:paraId="4A5F1EBD" w14:textId="77777777" w:rsidR="003D3691" w:rsidRPr="003D3691" w:rsidRDefault="003D3691" w:rsidP="003D3691">
      <w:pPr>
        <w:rPr>
          <w:rFonts w:ascii="Arial" w:hAnsi="Arial" w:cs="Arial"/>
          <w:sz w:val="22"/>
          <w:szCs w:val="22"/>
          <w:lang w:val="en-PH"/>
        </w:rPr>
      </w:pPr>
    </w:p>
    <w:p w14:paraId="3E2B0E74" w14:textId="77777777" w:rsidR="003D3691" w:rsidRPr="003D3691" w:rsidRDefault="003D3691" w:rsidP="003D3691">
      <w:pPr>
        <w:rPr>
          <w:rFonts w:ascii="Times New Roman" w:hAnsi="Times New Roman"/>
          <w:sz w:val="24"/>
          <w:szCs w:val="24"/>
          <w:lang w:val="en-PH"/>
        </w:rPr>
      </w:pPr>
      <w:r w:rsidRPr="003D3691">
        <w:rPr>
          <w:rFonts w:ascii="Arial" w:hAnsi="Arial" w:cs="Arial"/>
          <w:color w:val="000000"/>
          <w:lang w:val="en-PH"/>
        </w:rPr>
        <w:t>The Scholarship Emphasis Frame appeared with moderate to strong presence in the global benchmark group. In many cases, scholarship messaging was not just added as extra information but was placed strategically in tuition communications. The following common elements were found:</w:t>
      </w:r>
    </w:p>
    <w:p w14:paraId="14D65129" w14:textId="77777777" w:rsidR="003D3691" w:rsidRPr="003D3691" w:rsidRDefault="003D3691" w:rsidP="003D3691">
      <w:pPr>
        <w:numPr>
          <w:ilvl w:val="0"/>
          <w:numId w:val="39"/>
        </w:numPr>
        <w:tabs>
          <w:tab w:val="clear" w:pos="720"/>
        </w:tabs>
        <w:ind w:left="360"/>
        <w:textAlignment w:val="baseline"/>
        <w:rPr>
          <w:rFonts w:ascii="Arial" w:hAnsi="Arial" w:cs="Arial"/>
          <w:color w:val="000000"/>
          <w:lang w:val="en-PH"/>
        </w:rPr>
      </w:pPr>
      <w:r w:rsidRPr="003D3691">
        <w:rPr>
          <w:rFonts w:ascii="Arial" w:hAnsi="Arial" w:cs="Arial"/>
          <w:b/>
          <w:bCs/>
          <w:color w:val="000000"/>
          <w:lang w:val="en-PH"/>
        </w:rPr>
        <w:t>Visually distinct scholarship sections</w:t>
      </w:r>
      <w:r w:rsidRPr="003D3691">
        <w:rPr>
          <w:rFonts w:ascii="Arial" w:hAnsi="Arial" w:cs="Arial"/>
          <w:color w:val="000000"/>
          <w:lang w:val="en-PH"/>
        </w:rPr>
        <w:br/>
        <w:t>Many global universities set up dedicated scholarship tabs or clearly separated financial aid sections on their tuition pages. These sections were often easy to find from the main tuition menu, showing that they were given a prominent place instead of being hidden.</w:t>
      </w:r>
    </w:p>
    <w:p w14:paraId="7CF43D46" w14:textId="77777777" w:rsidR="003D3691" w:rsidRPr="003D3691" w:rsidRDefault="003D3691" w:rsidP="003D3691">
      <w:pPr>
        <w:numPr>
          <w:ilvl w:val="0"/>
          <w:numId w:val="39"/>
        </w:numPr>
        <w:tabs>
          <w:tab w:val="clear" w:pos="720"/>
        </w:tabs>
        <w:ind w:left="360"/>
        <w:textAlignment w:val="baseline"/>
        <w:rPr>
          <w:rFonts w:ascii="Arial" w:hAnsi="Arial" w:cs="Arial"/>
          <w:color w:val="000000"/>
          <w:lang w:val="en-PH"/>
        </w:rPr>
      </w:pPr>
      <w:r w:rsidRPr="003D3691">
        <w:rPr>
          <w:rFonts w:ascii="Arial" w:hAnsi="Arial" w:cs="Arial"/>
          <w:b/>
          <w:bCs/>
          <w:color w:val="000000"/>
          <w:lang w:val="en-PH"/>
        </w:rPr>
        <w:t>Banner or headline scholarship claims</w:t>
      </w:r>
      <w:r w:rsidRPr="003D3691">
        <w:rPr>
          <w:rFonts w:ascii="Arial" w:hAnsi="Arial" w:cs="Arial"/>
          <w:b/>
          <w:bCs/>
          <w:color w:val="000000"/>
          <w:lang w:val="en-PH"/>
        </w:rPr>
        <w:br/>
      </w:r>
      <w:r w:rsidRPr="003D3691">
        <w:rPr>
          <w:rFonts w:ascii="Arial" w:hAnsi="Arial" w:cs="Arial"/>
          <w:color w:val="000000"/>
          <w:lang w:val="en-PH"/>
        </w:rPr>
        <w:t>Some institutions highlighted scholarship availability with homepage banners, bold statements, or other attention-grabbing features. This made scholarship information stand out as a key value, showing that financial support was an important part of what the institution offered.</w:t>
      </w:r>
    </w:p>
    <w:p w14:paraId="40DFAD27" w14:textId="77777777" w:rsidR="003D3691" w:rsidRPr="003D3691" w:rsidRDefault="003D3691" w:rsidP="003D3691">
      <w:pPr>
        <w:numPr>
          <w:ilvl w:val="0"/>
          <w:numId w:val="39"/>
        </w:numPr>
        <w:tabs>
          <w:tab w:val="clear" w:pos="720"/>
        </w:tabs>
        <w:ind w:left="360"/>
        <w:textAlignment w:val="baseline"/>
        <w:rPr>
          <w:rFonts w:ascii="Arial" w:hAnsi="Arial" w:cs="Arial"/>
          <w:color w:val="000000"/>
          <w:lang w:val="en-PH"/>
        </w:rPr>
      </w:pPr>
      <w:r w:rsidRPr="003D3691">
        <w:rPr>
          <w:rFonts w:ascii="Arial" w:hAnsi="Arial" w:cs="Arial"/>
          <w:b/>
          <w:bCs/>
          <w:color w:val="000000"/>
          <w:lang w:val="en-PH"/>
        </w:rPr>
        <w:t>Scholarship messaging preceding tuition breakdowns</w:t>
      </w:r>
      <w:r w:rsidRPr="003D3691">
        <w:rPr>
          <w:rFonts w:ascii="Arial" w:hAnsi="Arial" w:cs="Arial"/>
          <w:color w:val="000000"/>
          <w:lang w:val="en-PH"/>
        </w:rPr>
        <w:br/>
        <w:t>In several global examples, scholarship information was shown before or next to tuition fee tables. This order helped put costs in context with available financial help, which could make the prices seem less overwhelming at first glance.</w:t>
      </w:r>
    </w:p>
    <w:p w14:paraId="60027B45" w14:textId="77777777" w:rsidR="003D3691" w:rsidRPr="003D3691" w:rsidRDefault="003D3691" w:rsidP="003D3691">
      <w:pPr>
        <w:numPr>
          <w:ilvl w:val="0"/>
          <w:numId w:val="39"/>
        </w:numPr>
        <w:tabs>
          <w:tab w:val="clear" w:pos="720"/>
        </w:tabs>
        <w:ind w:left="360"/>
        <w:textAlignment w:val="baseline"/>
        <w:rPr>
          <w:rFonts w:ascii="Arial" w:hAnsi="Arial" w:cs="Arial"/>
          <w:color w:val="000000"/>
          <w:lang w:val="en-PH"/>
        </w:rPr>
      </w:pPr>
      <w:r w:rsidRPr="003D3691">
        <w:rPr>
          <w:rFonts w:ascii="Arial" w:hAnsi="Arial" w:cs="Arial"/>
          <w:b/>
          <w:bCs/>
          <w:color w:val="000000"/>
          <w:lang w:val="en-PH"/>
        </w:rPr>
        <w:t>Explicit merit- or need-based framing</w:t>
      </w:r>
      <w:r w:rsidRPr="003D3691">
        <w:rPr>
          <w:rFonts w:ascii="Arial" w:hAnsi="Arial" w:cs="Arial"/>
          <w:color w:val="000000"/>
          <w:lang w:val="en-PH"/>
        </w:rPr>
        <w:br/>
        <w:t>Some institutions sorted scholarships by merit, need, or international status. This showed that their financial support systems were organized, not random, and that they could help students with different financial needs.</w:t>
      </w:r>
    </w:p>
    <w:p w14:paraId="5A3FF88E" w14:textId="77777777" w:rsidR="003D3691" w:rsidRPr="003D3691" w:rsidRDefault="003D3691" w:rsidP="003D3691">
      <w:pPr>
        <w:rPr>
          <w:rFonts w:ascii="Times New Roman" w:hAnsi="Times New Roman"/>
          <w:sz w:val="24"/>
          <w:szCs w:val="24"/>
          <w:lang w:val="en-PH"/>
        </w:rPr>
      </w:pPr>
      <w:r w:rsidRPr="003D3691">
        <w:rPr>
          <w:rFonts w:ascii="Arial" w:hAnsi="Arial" w:cs="Arial"/>
          <w:color w:val="000000"/>
          <w:lang w:val="en-PH"/>
        </w:rPr>
        <w:t>Taken together, these elements show that making scholarships visible helped soften the impact of tuition costs. Instead of showing tuition alone, global institutions often explained costs along with information about financial help. Research shows that clear and visible financial aid details make institutions seem more accessible and responsive (Davis et al., 2019).</w:t>
      </w:r>
    </w:p>
    <w:p w14:paraId="632F4E67" w14:textId="77777777" w:rsidR="003D3691" w:rsidRPr="003D3691" w:rsidRDefault="003D3691" w:rsidP="003D3691">
      <w:pPr>
        <w:rPr>
          <w:rFonts w:ascii="Times New Roman" w:hAnsi="Times New Roman"/>
          <w:sz w:val="24"/>
          <w:szCs w:val="24"/>
          <w:lang w:val="en-PH"/>
        </w:rPr>
      </w:pPr>
      <w:r w:rsidRPr="003D3691">
        <w:rPr>
          <w:rFonts w:ascii="Arial" w:hAnsi="Arial" w:cs="Arial"/>
          <w:color w:val="000000"/>
          <w:lang w:val="en-PH"/>
        </w:rPr>
        <w:t>The Philippine institution also shared scholarship information and gave clear descriptions of financial support. However, compared to some global examples, its scholarship messaging was less visually or rhetorically prominent. While the information was there, it was not often a main focus on tuition pages. Because of this, the scholarship messaging in the Philippine case seemed more informational than strongly highlighted.</w:t>
      </w:r>
    </w:p>
    <w:p w14:paraId="28DFB80F" w14:textId="77777777" w:rsidR="003D3691" w:rsidRDefault="003D3691" w:rsidP="003D3691">
      <w:pPr>
        <w:rPr>
          <w:rFonts w:ascii="Arial" w:hAnsi="Arial" w:cs="Arial"/>
          <w:color w:val="000000"/>
          <w:lang w:val="en-PH"/>
        </w:rPr>
      </w:pPr>
      <w:r w:rsidRPr="003D3691">
        <w:rPr>
          <w:rFonts w:ascii="Arial" w:hAnsi="Arial" w:cs="Arial"/>
          <w:color w:val="000000"/>
          <w:lang w:val="en-PH"/>
        </w:rPr>
        <w:t>Overall, the Scholarship Emphasis Frame showed some similarities between the global benchmark group and the Philippine institution. Both were transparent about structure, but they differed in how much they visually highlighted and integrated scholarship information into their messaging.</w:t>
      </w:r>
    </w:p>
    <w:p w14:paraId="29233424" w14:textId="77777777" w:rsidR="00743B1C" w:rsidRPr="00743B1C" w:rsidRDefault="00743B1C" w:rsidP="003D3691">
      <w:pPr>
        <w:rPr>
          <w:rFonts w:ascii="Arial" w:hAnsi="Arial" w:cs="Arial"/>
          <w:color w:val="000000"/>
          <w:sz w:val="22"/>
          <w:szCs w:val="22"/>
          <w:lang w:val="en-PH"/>
        </w:rPr>
      </w:pPr>
    </w:p>
    <w:p w14:paraId="4CA80C1C" w14:textId="77777777" w:rsidR="00743B1C" w:rsidRDefault="00743B1C" w:rsidP="00743B1C">
      <w:pPr>
        <w:rPr>
          <w:rFonts w:ascii="Arial" w:hAnsi="Arial" w:cs="Arial"/>
          <w:b/>
          <w:bCs/>
          <w:color w:val="000000"/>
          <w:sz w:val="22"/>
          <w:szCs w:val="22"/>
          <w:lang w:val="en-PH"/>
        </w:rPr>
      </w:pPr>
      <w:r w:rsidRPr="00743B1C">
        <w:rPr>
          <w:rFonts w:ascii="Arial" w:hAnsi="Arial" w:cs="Arial"/>
          <w:b/>
          <w:bCs/>
          <w:color w:val="000000"/>
          <w:sz w:val="22"/>
          <w:szCs w:val="22"/>
          <w:lang w:val="en-PH"/>
        </w:rPr>
        <w:t>3.5 Prestige/Quality Justification Frame</w:t>
      </w:r>
    </w:p>
    <w:p w14:paraId="690450DA" w14:textId="77777777" w:rsidR="00743B1C" w:rsidRPr="00743B1C" w:rsidRDefault="00743B1C" w:rsidP="00743B1C">
      <w:pPr>
        <w:rPr>
          <w:rFonts w:ascii="Times New Roman" w:hAnsi="Times New Roman"/>
          <w:sz w:val="24"/>
          <w:szCs w:val="24"/>
          <w:lang w:val="en-PH"/>
        </w:rPr>
      </w:pPr>
    </w:p>
    <w:p w14:paraId="65E574AC" w14:textId="77777777" w:rsidR="00743B1C" w:rsidRPr="00743B1C" w:rsidRDefault="00743B1C" w:rsidP="00743B1C">
      <w:pPr>
        <w:rPr>
          <w:rFonts w:ascii="Times New Roman" w:hAnsi="Times New Roman"/>
          <w:sz w:val="24"/>
          <w:szCs w:val="24"/>
          <w:lang w:val="en-PH"/>
        </w:rPr>
      </w:pPr>
      <w:r w:rsidRPr="00743B1C">
        <w:rPr>
          <w:rFonts w:ascii="Arial" w:hAnsi="Arial" w:cs="Arial"/>
          <w:color w:val="000000"/>
          <w:lang w:val="en-PH"/>
        </w:rPr>
        <w:t>The Prestige/Quality Justification Frame was a common theme among the global benchmark group. Tuition was often explained in the context of institutional excellence, global reputation, and academic achievement. The main recurring elements were:</w:t>
      </w:r>
    </w:p>
    <w:p w14:paraId="2EB9D6E8" w14:textId="77777777" w:rsidR="00743B1C" w:rsidRPr="00743B1C" w:rsidRDefault="00743B1C" w:rsidP="00743B1C">
      <w:pPr>
        <w:numPr>
          <w:ilvl w:val="0"/>
          <w:numId w:val="40"/>
        </w:numPr>
        <w:tabs>
          <w:tab w:val="clear" w:pos="720"/>
        </w:tabs>
        <w:ind w:left="360"/>
        <w:textAlignment w:val="baseline"/>
        <w:rPr>
          <w:rFonts w:ascii="Arial" w:hAnsi="Arial" w:cs="Arial"/>
          <w:color w:val="000000"/>
          <w:lang w:val="en-PH"/>
        </w:rPr>
      </w:pPr>
      <w:r w:rsidRPr="00743B1C">
        <w:rPr>
          <w:rFonts w:ascii="Arial" w:hAnsi="Arial" w:cs="Arial"/>
          <w:b/>
          <w:bCs/>
          <w:color w:val="000000"/>
          <w:lang w:val="en-PH"/>
        </w:rPr>
        <w:t>References to QS rankings or global league tables</w:t>
      </w:r>
      <w:r w:rsidRPr="00743B1C">
        <w:rPr>
          <w:rFonts w:ascii="Arial" w:hAnsi="Arial" w:cs="Arial"/>
          <w:color w:val="000000"/>
          <w:lang w:val="en-PH"/>
        </w:rPr>
        <w:br/>
        <w:t>Many global universities mentioned their positions in international rankings, either on tuition pages or nearby profile sections. Sometimes, ranking badges or statements appeared close to tuition details, suggesting a link between price and institutional reputation.</w:t>
      </w:r>
    </w:p>
    <w:p w14:paraId="2A7655C1" w14:textId="77777777" w:rsidR="00743B1C" w:rsidRPr="00743B1C" w:rsidRDefault="00743B1C" w:rsidP="00743B1C">
      <w:pPr>
        <w:numPr>
          <w:ilvl w:val="0"/>
          <w:numId w:val="40"/>
        </w:numPr>
        <w:tabs>
          <w:tab w:val="clear" w:pos="720"/>
        </w:tabs>
        <w:ind w:left="360"/>
        <w:textAlignment w:val="baseline"/>
        <w:rPr>
          <w:rFonts w:ascii="Arial" w:hAnsi="Arial" w:cs="Arial"/>
          <w:color w:val="000000"/>
          <w:lang w:val="en-PH"/>
        </w:rPr>
      </w:pPr>
      <w:r w:rsidRPr="00743B1C">
        <w:rPr>
          <w:rFonts w:ascii="Arial" w:hAnsi="Arial" w:cs="Arial"/>
          <w:b/>
          <w:bCs/>
          <w:color w:val="000000"/>
          <w:lang w:val="en-PH"/>
        </w:rPr>
        <w:t>Accreditation and quality certifications</w:t>
      </w:r>
      <w:r w:rsidRPr="00743B1C">
        <w:rPr>
          <w:rFonts w:ascii="Arial" w:hAnsi="Arial" w:cs="Arial"/>
          <w:color w:val="000000"/>
          <w:lang w:val="en-PH"/>
        </w:rPr>
        <w:br/>
        <w:t>Institutions often highlighted their accreditation status, especially international or discipline-specific accreditations, in descriptions near tuition pages. These references served as formal signs of quality and helped reinforce legitimacy.</w:t>
      </w:r>
    </w:p>
    <w:p w14:paraId="18C48DEE" w14:textId="77777777" w:rsidR="00743B1C" w:rsidRPr="00743B1C" w:rsidRDefault="00743B1C" w:rsidP="00743B1C">
      <w:pPr>
        <w:numPr>
          <w:ilvl w:val="0"/>
          <w:numId w:val="40"/>
        </w:numPr>
        <w:tabs>
          <w:tab w:val="clear" w:pos="720"/>
        </w:tabs>
        <w:ind w:left="360"/>
        <w:textAlignment w:val="baseline"/>
        <w:rPr>
          <w:rFonts w:ascii="Arial" w:hAnsi="Arial" w:cs="Arial"/>
          <w:color w:val="000000"/>
          <w:lang w:val="en-PH"/>
        </w:rPr>
      </w:pPr>
      <w:r w:rsidRPr="00743B1C">
        <w:rPr>
          <w:rFonts w:ascii="Arial" w:hAnsi="Arial" w:cs="Arial"/>
          <w:b/>
          <w:bCs/>
          <w:color w:val="000000"/>
          <w:lang w:val="en-PH"/>
        </w:rPr>
        <w:lastRenderedPageBreak/>
        <w:t>International partnerships and global networks</w:t>
      </w:r>
      <w:r w:rsidRPr="00743B1C">
        <w:rPr>
          <w:rFonts w:ascii="Arial" w:hAnsi="Arial" w:cs="Arial"/>
          <w:color w:val="000000"/>
          <w:lang w:val="en-PH"/>
        </w:rPr>
        <w:br/>
        <w:t>Institutions often stressed their global partnerships, exchange programs, and international connections. These references placed tuition in the context of global experience and international opportunities.</w:t>
      </w:r>
    </w:p>
    <w:p w14:paraId="47859B82" w14:textId="77777777" w:rsidR="00743B1C" w:rsidRPr="00743B1C" w:rsidRDefault="00743B1C" w:rsidP="00743B1C">
      <w:pPr>
        <w:numPr>
          <w:ilvl w:val="0"/>
          <w:numId w:val="40"/>
        </w:numPr>
        <w:tabs>
          <w:tab w:val="clear" w:pos="720"/>
        </w:tabs>
        <w:ind w:left="360"/>
        <w:textAlignment w:val="baseline"/>
        <w:rPr>
          <w:rFonts w:ascii="Arial" w:hAnsi="Arial" w:cs="Arial"/>
          <w:color w:val="000000"/>
          <w:lang w:val="en-PH"/>
        </w:rPr>
      </w:pPr>
      <w:r w:rsidRPr="00743B1C">
        <w:rPr>
          <w:rFonts w:ascii="Arial" w:hAnsi="Arial" w:cs="Arial"/>
          <w:b/>
          <w:bCs/>
          <w:color w:val="000000"/>
          <w:lang w:val="en-PH"/>
        </w:rPr>
        <w:t>Research achievements and faculty distinction</w:t>
      </w:r>
      <w:r w:rsidRPr="00743B1C">
        <w:rPr>
          <w:rFonts w:ascii="Arial" w:hAnsi="Arial" w:cs="Arial"/>
          <w:color w:val="000000"/>
          <w:lang w:val="en-PH"/>
        </w:rPr>
        <w:br/>
        <w:t>References to research output, faculty awards, and academic achievements were sometimes included in value statements near tuition information. This suggested that tuition costs were linked to academic excellence and reputation.</w:t>
      </w:r>
    </w:p>
    <w:p w14:paraId="6BAB9EF8" w14:textId="77777777" w:rsidR="00743B1C" w:rsidRPr="00743B1C" w:rsidRDefault="00743B1C" w:rsidP="00743B1C">
      <w:pPr>
        <w:rPr>
          <w:rFonts w:ascii="Times New Roman" w:hAnsi="Times New Roman"/>
          <w:sz w:val="24"/>
          <w:szCs w:val="24"/>
          <w:lang w:val="en-PH"/>
        </w:rPr>
      </w:pPr>
      <w:r w:rsidRPr="00743B1C">
        <w:rPr>
          <w:rFonts w:ascii="Arial" w:hAnsi="Arial" w:cs="Arial"/>
          <w:color w:val="000000"/>
          <w:lang w:val="en-PH"/>
        </w:rPr>
        <w:t>Collectively, these elements show that global institutions did not treat tuition as merely a financial figure. Instead, they framed tuition within a system of prestige and outside validation. Research on global higher education shows that rankings and accreditation are important markers of credibility that shape reputation and how stakeholders see institutions (</w:t>
      </w:r>
      <w:proofErr w:type="spellStart"/>
      <w:r w:rsidRPr="00743B1C">
        <w:rPr>
          <w:rFonts w:ascii="Arial" w:hAnsi="Arial" w:cs="Arial"/>
          <w:color w:val="000000"/>
          <w:lang w:val="en-PH"/>
        </w:rPr>
        <w:t>Hazelkorn</w:t>
      </w:r>
      <w:proofErr w:type="spellEnd"/>
      <w:r w:rsidRPr="00743B1C">
        <w:rPr>
          <w:rFonts w:ascii="Arial" w:hAnsi="Arial" w:cs="Arial"/>
          <w:color w:val="000000"/>
          <w:lang w:val="en-PH"/>
        </w:rPr>
        <w:t xml:space="preserve">, 2018; </w:t>
      </w:r>
      <w:proofErr w:type="spellStart"/>
      <w:r w:rsidRPr="00743B1C">
        <w:rPr>
          <w:rFonts w:ascii="Arial" w:hAnsi="Arial" w:cs="Arial"/>
          <w:color w:val="000000"/>
          <w:lang w:val="en-PH"/>
        </w:rPr>
        <w:t>Marginson</w:t>
      </w:r>
      <w:proofErr w:type="spellEnd"/>
      <w:r w:rsidRPr="00743B1C">
        <w:rPr>
          <w:rFonts w:ascii="Arial" w:hAnsi="Arial" w:cs="Arial"/>
          <w:color w:val="000000"/>
          <w:lang w:val="en-PH"/>
        </w:rPr>
        <w:t>, 2022). By linking tuition to these prestige signals, universities justified their prices through signs of quality.</w:t>
      </w:r>
    </w:p>
    <w:p w14:paraId="31FE7AA5" w14:textId="77777777" w:rsidR="00743B1C" w:rsidRPr="00743B1C" w:rsidRDefault="00743B1C" w:rsidP="00743B1C">
      <w:pPr>
        <w:rPr>
          <w:rFonts w:ascii="Times New Roman" w:hAnsi="Times New Roman"/>
          <w:sz w:val="24"/>
          <w:szCs w:val="24"/>
          <w:lang w:val="en-PH"/>
        </w:rPr>
      </w:pPr>
      <w:r w:rsidRPr="00743B1C">
        <w:rPr>
          <w:rFonts w:ascii="Arial" w:hAnsi="Arial" w:cs="Arial"/>
          <w:color w:val="000000"/>
          <w:lang w:val="en-PH"/>
        </w:rPr>
        <w:t>In contrast, the Philippine institution included fewer references to rankings or prestige on its tuition pages. While achievements might have been shown elsewhere on the website, they were not often placed near tuition information. As a result, tuition details seemed more separate from prestige compared to the global group.</w:t>
      </w:r>
    </w:p>
    <w:p w14:paraId="0ECB5D6D" w14:textId="597C7B13" w:rsidR="00743B1C" w:rsidRDefault="00743B1C" w:rsidP="00743B1C">
      <w:pPr>
        <w:rPr>
          <w:rFonts w:ascii="Times New Roman" w:hAnsi="Times New Roman"/>
          <w:sz w:val="24"/>
          <w:szCs w:val="24"/>
          <w:lang w:val="en-PH"/>
        </w:rPr>
      </w:pPr>
      <w:r w:rsidRPr="00743B1C">
        <w:rPr>
          <w:rFonts w:ascii="Arial" w:hAnsi="Arial" w:cs="Arial"/>
          <w:color w:val="000000"/>
          <w:lang w:val="en-PH"/>
        </w:rPr>
        <w:t>Overall, the Prestige/Quality Justification Frame showed a clear difference. Global institutions consistently linked tuition to outside validation and academic distinction, while the Philippine case took a more straightforward, informational approach with less focus on prestige.</w:t>
      </w:r>
    </w:p>
    <w:p w14:paraId="17EF39FA" w14:textId="77777777" w:rsidR="00743B1C" w:rsidRPr="00743B1C" w:rsidRDefault="00743B1C" w:rsidP="00743B1C">
      <w:pPr>
        <w:rPr>
          <w:rFonts w:ascii="Arial" w:hAnsi="Arial" w:cs="Arial"/>
          <w:sz w:val="22"/>
          <w:szCs w:val="22"/>
          <w:lang w:val="en-PH"/>
        </w:rPr>
      </w:pPr>
    </w:p>
    <w:p w14:paraId="381C153C" w14:textId="77777777" w:rsidR="00743B1C" w:rsidRPr="00743B1C" w:rsidRDefault="00743B1C" w:rsidP="00743B1C">
      <w:pPr>
        <w:rPr>
          <w:rFonts w:ascii="Times New Roman" w:hAnsi="Times New Roman"/>
          <w:sz w:val="24"/>
          <w:szCs w:val="24"/>
          <w:lang w:val="en-PH"/>
        </w:rPr>
      </w:pPr>
      <w:r w:rsidRPr="00743B1C">
        <w:rPr>
          <w:rFonts w:ascii="Arial" w:hAnsi="Arial" w:cs="Arial"/>
          <w:b/>
          <w:bCs/>
          <w:color w:val="000000"/>
          <w:sz w:val="22"/>
          <w:szCs w:val="22"/>
          <w:lang w:val="en-PH"/>
        </w:rPr>
        <w:t>3.6 Transparency Frame</w:t>
      </w:r>
    </w:p>
    <w:p w14:paraId="28678347" w14:textId="77777777" w:rsidR="00743B1C" w:rsidRPr="00743B1C" w:rsidRDefault="00743B1C" w:rsidP="00743B1C">
      <w:pPr>
        <w:rPr>
          <w:rFonts w:ascii="Arial" w:hAnsi="Arial" w:cs="Arial"/>
          <w:sz w:val="22"/>
          <w:szCs w:val="22"/>
          <w:lang w:val="en-PH"/>
        </w:rPr>
      </w:pPr>
    </w:p>
    <w:p w14:paraId="26240486" w14:textId="77777777" w:rsidR="00743B1C" w:rsidRPr="00743B1C" w:rsidRDefault="00743B1C" w:rsidP="00743B1C">
      <w:pPr>
        <w:rPr>
          <w:rFonts w:ascii="Times New Roman" w:hAnsi="Times New Roman"/>
          <w:sz w:val="24"/>
          <w:szCs w:val="24"/>
          <w:lang w:val="en-PH"/>
        </w:rPr>
      </w:pPr>
      <w:r w:rsidRPr="00743B1C">
        <w:rPr>
          <w:rFonts w:ascii="Arial" w:hAnsi="Arial" w:cs="Arial"/>
          <w:color w:val="000000"/>
          <w:lang w:val="en-PH"/>
        </w:rPr>
        <w:t>The Transparency Frame appeared in all seven institutions, making it the most consistently observed category. While each institution provided structured tuition disclosures, the emphasis and presentation of transparency varied between the global benchmark group and the Philippine institution. The following recurring elements were identified:</w:t>
      </w:r>
    </w:p>
    <w:p w14:paraId="4ECE5854" w14:textId="77777777" w:rsidR="00743B1C" w:rsidRPr="00743B1C" w:rsidRDefault="00743B1C" w:rsidP="00743B1C">
      <w:pPr>
        <w:numPr>
          <w:ilvl w:val="0"/>
          <w:numId w:val="41"/>
        </w:numPr>
        <w:tabs>
          <w:tab w:val="clear" w:pos="720"/>
        </w:tabs>
        <w:ind w:left="360"/>
        <w:textAlignment w:val="baseline"/>
        <w:rPr>
          <w:rFonts w:ascii="Arial" w:hAnsi="Arial" w:cs="Arial"/>
          <w:color w:val="000000"/>
          <w:lang w:val="en-PH"/>
        </w:rPr>
      </w:pPr>
      <w:r w:rsidRPr="00743B1C">
        <w:rPr>
          <w:rFonts w:ascii="Arial" w:hAnsi="Arial" w:cs="Arial"/>
          <w:b/>
          <w:bCs/>
          <w:color w:val="000000"/>
          <w:lang w:val="en-PH"/>
        </w:rPr>
        <w:t>Itemized fee breakdowns</w:t>
      </w:r>
      <w:r w:rsidRPr="00743B1C">
        <w:rPr>
          <w:rFonts w:ascii="Arial" w:hAnsi="Arial" w:cs="Arial"/>
          <w:color w:val="000000"/>
          <w:lang w:val="en-PH"/>
        </w:rPr>
        <w:br/>
        <w:t>All institutions presented tuition costs in segmented formats, distinguishing base tuition from miscellaneous, laboratory, technology, or administrative fees. In global universities, these breakdowns were usually included within broader value-oriented narratives, presenting transparency as an aspect of institutional professionalism rather than the main focus.</w:t>
      </w:r>
    </w:p>
    <w:p w14:paraId="5D1F6B93" w14:textId="77777777" w:rsidR="00743B1C" w:rsidRPr="00743B1C" w:rsidRDefault="00743B1C" w:rsidP="00743B1C">
      <w:pPr>
        <w:numPr>
          <w:ilvl w:val="0"/>
          <w:numId w:val="41"/>
        </w:numPr>
        <w:tabs>
          <w:tab w:val="clear" w:pos="720"/>
        </w:tabs>
        <w:ind w:left="360"/>
        <w:textAlignment w:val="baseline"/>
        <w:rPr>
          <w:rFonts w:ascii="Arial" w:hAnsi="Arial" w:cs="Arial"/>
          <w:color w:val="000000"/>
          <w:lang w:val="en-PH"/>
        </w:rPr>
      </w:pPr>
      <w:r w:rsidRPr="00743B1C">
        <w:rPr>
          <w:rFonts w:ascii="Arial" w:hAnsi="Arial" w:cs="Arial"/>
          <w:b/>
          <w:bCs/>
          <w:color w:val="000000"/>
          <w:lang w:val="en-PH"/>
        </w:rPr>
        <w:t>Semester-based or program-based cost calculations</w:t>
      </w:r>
      <w:r w:rsidRPr="00743B1C">
        <w:rPr>
          <w:rFonts w:ascii="Arial" w:hAnsi="Arial" w:cs="Arial"/>
          <w:color w:val="000000"/>
          <w:lang w:val="en-PH"/>
        </w:rPr>
        <w:br/>
        <w:t>Tuition was often organized by semester, academic year, or full program duration. Several global institutions provided estimated total program costs, helping prospective students anticipate long-term financial commitments. This structured approach reduced ambiguity and reinforced institutional clarity.</w:t>
      </w:r>
    </w:p>
    <w:p w14:paraId="196ED72C" w14:textId="77777777" w:rsidR="00743B1C" w:rsidRPr="00743B1C" w:rsidRDefault="00743B1C" w:rsidP="00743B1C">
      <w:pPr>
        <w:numPr>
          <w:ilvl w:val="0"/>
          <w:numId w:val="41"/>
        </w:numPr>
        <w:tabs>
          <w:tab w:val="clear" w:pos="720"/>
        </w:tabs>
        <w:ind w:left="360"/>
        <w:textAlignment w:val="baseline"/>
        <w:rPr>
          <w:rFonts w:ascii="Arial" w:hAnsi="Arial" w:cs="Arial"/>
          <w:color w:val="000000"/>
          <w:lang w:val="en-PH"/>
        </w:rPr>
      </w:pPr>
      <w:r w:rsidRPr="00743B1C">
        <w:rPr>
          <w:rFonts w:ascii="Arial" w:hAnsi="Arial" w:cs="Arial"/>
          <w:b/>
          <w:bCs/>
          <w:color w:val="000000"/>
          <w:lang w:val="en-PH"/>
        </w:rPr>
        <w:t>Disclosure of additional or incidental costs</w:t>
      </w:r>
      <w:r w:rsidRPr="00743B1C">
        <w:rPr>
          <w:rFonts w:ascii="Arial" w:hAnsi="Arial" w:cs="Arial"/>
          <w:color w:val="000000"/>
          <w:lang w:val="en-PH"/>
        </w:rPr>
        <w:br/>
        <w:t>Many institutions explicitly identified supplementary expenses, such as registration fees, insurance, or other ancillary charges. In global cases, these disclosures were included in detailed cost tables, demonstrating comprehensive financial communication.</w:t>
      </w:r>
    </w:p>
    <w:p w14:paraId="4C41749F" w14:textId="77777777" w:rsidR="00743B1C" w:rsidRPr="00743B1C" w:rsidRDefault="00743B1C" w:rsidP="00743B1C">
      <w:pPr>
        <w:numPr>
          <w:ilvl w:val="0"/>
          <w:numId w:val="41"/>
        </w:numPr>
        <w:tabs>
          <w:tab w:val="clear" w:pos="720"/>
        </w:tabs>
        <w:ind w:left="360"/>
        <w:textAlignment w:val="baseline"/>
        <w:rPr>
          <w:rFonts w:ascii="Arial" w:hAnsi="Arial" w:cs="Arial"/>
          <w:color w:val="000000"/>
          <w:lang w:val="en-PH"/>
        </w:rPr>
      </w:pPr>
      <w:r w:rsidRPr="00743B1C">
        <w:rPr>
          <w:rFonts w:ascii="Arial" w:hAnsi="Arial" w:cs="Arial"/>
          <w:b/>
          <w:bCs/>
          <w:color w:val="000000"/>
          <w:lang w:val="en-PH"/>
        </w:rPr>
        <w:t>Downloadable tuition guides or cost estimation tools</w:t>
      </w:r>
      <w:r w:rsidRPr="00743B1C">
        <w:rPr>
          <w:rFonts w:ascii="Arial" w:hAnsi="Arial" w:cs="Arial"/>
          <w:color w:val="000000"/>
          <w:lang w:val="en-PH"/>
        </w:rPr>
        <w:br/>
        <w:t>Some global universities offered downloadable tuition guides or interactive cost calculators. These features enhanced transparency by supporting financial planning.</w:t>
      </w:r>
    </w:p>
    <w:p w14:paraId="0623D61A" w14:textId="77777777" w:rsidR="00743B1C" w:rsidRPr="00743B1C" w:rsidRDefault="00743B1C" w:rsidP="00743B1C">
      <w:pPr>
        <w:rPr>
          <w:rFonts w:ascii="Times New Roman" w:hAnsi="Times New Roman"/>
          <w:sz w:val="24"/>
          <w:szCs w:val="24"/>
          <w:lang w:val="en-PH"/>
        </w:rPr>
      </w:pPr>
      <w:r w:rsidRPr="00743B1C">
        <w:rPr>
          <w:rFonts w:ascii="Arial" w:hAnsi="Arial" w:cs="Arial"/>
          <w:color w:val="000000"/>
          <w:lang w:val="en-PH"/>
        </w:rPr>
        <w:t>Although transparency was present in all cases, its rhetorical function varied. In the global benchmark group, transparency was often paired with investment, prestige, or employability framing. Detailed cost disclosures appeared alongside narratives highlighting institutional value or future return, with transparency serving as a foundation for persuasive messaging.</w:t>
      </w:r>
    </w:p>
    <w:p w14:paraId="27D94ADC" w14:textId="77777777" w:rsidR="00743B1C" w:rsidRPr="00743B1C" w:rsidRDefault="00743B1C" w:rsidP="00743B1C">
      <w:pPr>
        <w:rPr>
          <w:rFonts w:ascii="Times New Roman" w:hAnsi="Times New Roman"/>
          <w:sz w:val="24"/>
          <w:szCs w:val="24"/>
          <w:lang w:val="en-PH"/>
        </w:rPr>
      </w:pPr>
      <w:r w:rsidRPr="00743B1C">
        <w:rPr>
          <w:rFonts w:ascii="Arial" w:hAnsi="Arial" w:cs="Arial"/>
          <w:color w:val="000000"/>
          <w:lang w:val="en-PH"/>
        </w:rPr>
        <w:t xml:space="preserve">In contrast, the Philippine institution placed transparency at the center of its tuition communication. Detailed fee disclosures were clearly presented but were less often paired </w:t>
      </w:r>
      <w:r w:rsidRPr="00743B1C">
        <w:rPr>
          <w:rFonts w:ascii="Arial" w:hAnsi="Arial" w:cs="Arial"/>
          <w:color w:val="000000"/>
          <w:lang w:val="en-PH"/>
        </w:rPr>
        <w:lastRenderedPageBreak/>
        <w:t>with investment or prestige narratives. As a result, transparency served as the dominant frame rather than a supporting credibility mechanism.</w:t>
      </w:r>
    </w:p>
    <w:p w14:paraId="5619A23A" w14:textId="77777777" w:rsidR="00743B1C" w:rsidRPr="00743B1C" w:rsidRDefault="00743B1C" w:rsidP="00743B1C">
      <w:pPr>
        <w:rPr>
          <w:rFonts w:ascii="Times New Roman" w:hAnsi="Times New Roman"/>
          <w:sz w:val="24"/>
          <w:szCs w:val="24"/>
          <w:lang w:val="en-PH"/>
        </w:rPr>
      </w:pPr>
      <w:r w:rsidRPr="00743B1C">
        <w:rPr>
          <w:rFonts w:ascii="Arial" w:hAnsi="Arial" w:cs="Arial"/>
          <w:color w:val="000000"/>
          <w:lang w:val="en-PH"/>
        </w:rPr>
        <w:t>Recent research on digital transparency in higher education shows that structured and accessible online disclosure enhances institutional credibility and stakeholder trust, while differences in emphasis reflect varying communication strategies (Ramírez &amp; Montero, 2024). In this study, transparency served as a foundational credibility signal in all cases, though its use ranged from being strategically layered with value messaging to being presented mainly as procedural compliance.</w:t>
      </w:r>
    </w:p>
    <w:p w14:paraId="30716FC6" w14:textId="77777777" w:rsidR="00743B1C" w:rsidRPr="00743B1C" w:rsidRDefault="00743B1C" w:rsidP="00743B1C">
      <w:pPr>
        <w:rPr>
          <w:rFonts w:ascii="Arial" w:hAnsi="Arial" w:cs="Arial"/>
          <w:sz w:val="22"/>
          <w:szCs w:val="22"/>
          <w:lang w:val="en-PH"/>
        </w:rPr>
      </w:pPr>
    </w:p>
    <w:p w14:paraId="668FA8BF" w14:textId="77777777" w:rsidR="001228E2" w:rsidRPr="001228E2" w:rsidRDefault="001228E2" w:rsidP="001228E2">
      <w:pPr>
        <w:rPr>
          <w:rFonts w:ascii="Times New Roman" w:hAnsi="Times New Roman"/>
          <w:sz w:val="24"/>
          <w:szCs w:val="24"/>
          <w:lang w:val="en-PH"/>
        </w:rPr>
      </w:pPr>
      <w:r w:rsidRPr="001228E2">
        <w:rPr>
          <w:rFonts w:ascii="Arial" w:hAnsi="Arial" w:cs="Arial"/>
          <w:b/>
          <w:bCs/>
          <w:color w:val="000000"/>
          <w:sz w:val="22"/>
          <w:szCs w:val="22"/>
          <w:lang w:val="en-PH"/>
        </w:rPr>
        <w:t>3.7 Outcome/Employability Frame</w:t>
      </w:r>
    </w:p>
    <w:p w14:paraId="30499A67" w14:textId="77777777" w:rsidR="001228E2" w:rsidRPr="001228E2" w:rsidRDefault="001228E2" w:rsidP="001228E2">
      <w:pPr>
        <w:rPr>
          <w:rFonts w:ascii="Arial" w:hAnsi="Arial" w:cs="Arial"/>
          <w:sz w:val="22"/>
          <w:szCs w:val="22"/>
          <w:lang w:val="en-PH"/>
        </w:rPr>
      </w:pPr>
    </w:p>
    <w:p w14:paraId="12B5344B" w14:textId="77777777" w:rsidR="001228E2" w:rsidRPr="001228E2" w:rsidRDefault="001228E2" w:rsidP="001228E2">
      <w:pPr>
        <w:rPr>
          <w:rFonts w:ascii="Times New Roman" w:hAnsi="Times New Roman"/>
          <w:sz w:val="24"/>
          <w:szCs w:val="24"/>
          <w:lang w:val="en-PH"/>
        </w:rPr>
      </w:pPr>
      <w:r w:rsidRPr="001228E2">
        <w:rPr>
          <w:rFonts w:ascii="Arial" w:hAnsi="Arial" w:cs="Arial"/>
          <w:color w:val="000000"/>
          <w:lang w:val="en-PH"/>
        </w:rPr>
        <w:t>Several global benchmark institutions used the Outcome/Employability Frame, connecting tuition information to possible career outcomes or pathways instead of focusing only on cost. In these examples, tuition was described as more than just an educational expense—it was seen as a step toward professional opportunities. The main recurring elements were:</w:t>
      </w:r>
    </w:p>
    <w:p w14:paraId="4CA3D0AD" w14:textId="77777777" w:rsidR="001228E2" w:rsidRPr="001228E2" w:rsidRDefault="001228E2" w:rsidP="001228E2">
      <w:pPr>
        <w:numPr>
          <w:ilvl w:val="0"/>
          <w:numId w:val="42"/>
        </w:numPr>
        <w:tabs>
          <w:tab w:val="clear" w:pos="720"/>
        </w:tabs>
        <w:ind w:left="360"/>
        <w:textAlignment w:val="baseline"/>
        <w:rPr>
          <w:rFonts w:ascii="Arial" w:hAnsi="Arial" w:cs="Arial"/>
          <w:color w:val="000000"/>
          <w:lang w:val="en-PH"/>
        </w:rPr>
      </w:pPr>
      <w:r w:rsidRPr="001228E2">
        <w:rPr>
          <w:rFonts w:ascii="Arial" w:hAnsi="Arial" w:cs="Arial"/>
          <w:b/>
          <w:bCs/>
          <w:color w:val="000000"/>
          <w:lang w:val="en-PH"/>
        </w:rPr>
        <w:t>Graduate employment statistics</w:t>
      </w:r>
      <w:r w:rsidRPr="001228E2">
        <w:rPr>
          <w:rFonts w:ascii="Arial" w:hAnsi="Arial" w:cs="Arial"/>
          <w:color w:val="000000"/>
          <w:lang w:val="en-PH"/>
        </w:rPr>
        <w:br/>
        <w:t>Many global universities included outcome indicators like employment rates or career placement statistics near tuition information. These statistics helped put the cost in context by showing how tuition could lead to post-graduation success, suggesting that paying tuition supports a positive career path.</w:t>
      </w:r>
    </w:p>
    <w:p w14:paraId="438955DD" w14:textId="77777777" w:rsidR="001228E2" w:rsidRPr="001228E2" w:rsidRDefault="001228E2" w:rsidP="001228E2">
      <w:pPr>
        <w:numPr>
          <w:ilvl w:val="0"/>
          <w:numId w:val="42"/>
        </w:numPr>
        <w:tabs>
          <w:tab w:val="clear" w:pos="720"/>
        </w:tabs>
        <w:ind w:left="360"/>
        <w:textAlignment w:val="baseline"/>
        <w:rPr>
          <w:rFonts w:ascii="Arial" w:hAnsi="Arial" w:cs="Arial"/>
          <w:color w:val="000000"/>
          <w:lang w:val="en-PH"/>
        </w:rPr>
      </w:pPr>
      <w:r w:rsidRPr="001228E2">
        <w:rPr>
          <w:rFonts w:ascii="Arial" w:hAnsi="Arial" w:cs="Arial"/>
          <w:b/>
          <w:bCs/>
          <w:color w:val="000000"/>
          <w:lang w:val="en-PH"/>
        </w:rPr>
        <w:t>Salary outcomes or earnings references</w:t>
      </w:r>
      <w:r w:rsidRPr="001228E2">
        <w:rPr>
          <w:rFonts w:ascii="Arial" w:hAnsi="Arial" w:cs="Arial"/>
          <w:color w:val="000000"/>
          <w:lang w:val="en-PH"/>
        </w:rPr>
        <w:br/>
        <w:t>Some institutions mentioned average starting salaries or typical earnings for graduates of certain programs. By doing this, they connected tuition costs to possible future financial benefits, supporting the idea that paying tuition now could lead to economic returns later.</w:t>
      </w:r>
    </w:p>
    <w:p w14:paraId="06AFD109" w14:textId="77777777" w:rsidR="001228E2" w:rsidRPr="001228E2" w:rsidRDefault="001228E2" w:rsidP="001228E2">
      <w:pPr>
        <w:numPr>
          <w:ilvl w:val="0"/>
          <w:numId w:val="42"/>
        </w:numPr>
        <w:tabs>
          <w:tab w:val="clear" w:pos="720"/>
        </w:tabs>
        <w:ind w:left="360"/>
        <w:textAlignment w:val="baseline"/>
        <w:rPr>
          <w:rFonts w:ascii="Arial" w:hAnsi="Arial" w:cs="Arial"/>
          <w:color w:val="000000"/>
          <w:lang w:val="en-PH"/>
        </w:rPr>
      </w:pPr>
      <w:r w:rsidRPr="001228E2">
        <w:rPr>
          <w:rFonts w:ascii="Arial" w:hAnsi="Arial" w:cs="Arial"/>
          <w:b/>
          <w:bCs/>
          <w:color w:val="000000"/>
          <w:lang w:val="en-PH"/>
        </w:rPr>
        <w:t>Internship and experiential learning pathways</w:t>
      </w:r>
      <w:r w:rsidRPr="001228E2">
        <w:rPr>
          <w:rFonts w:ascii="Arial" w:hAnsi="Arial" w:cs="Arial"/>
          <w:color w:val="000000"/>
          <w:lang w:val="en-PH"/>
        </w:rPr>
        <w:br/>
        <w:t>Tuition pages often pointed out organized opportunities for internships, cooperative education, or industry placements. These experiences were described as key parts of the education offered, suggesting that tuition helps students access real-world work settings that improve their employability.</w:t>
      </w:r>
    </w:p>
    <w:p w14:paraId="21F30044" w14:textId="77777777" w:rsidR="001228E2" w:rsidRPr="001228E2" w:rsidRDefault="001228E2" w:rsidP="001228E2">
      <w:pPr>
        <w:numPr>
          <w:ilvl w:val="0"/>
          <w:numId w:val="42"/>
        </w:numPr>
        <w:tabs>
          <w:tab w:val="clear" w:pos="720"/>
        </w:tabs>
        <w:ind w:left="360"/>
        <w:textAlignment w:val="baseline"/>
        <w:rPr>
          <w:rFonts w:ascii="Arial" w:hAnsi="Arial" w:cs="Arial"/>
          <w:color w:val="000000"/>
          <w:lang w:val="en-PH"/>
        </w:rPr>
      </w:pPr>
      <w:r w:rsidRPr="001228E2">
        <w:rPr>
          <w:rFonts w:ascii="Arial" w:hAnsi="Arial" w:cs="Arial"/>
          <w:b/>
          <w:bCs/>
          <w:color w:val="000000"/>
          <w:lang w:val="en-PH"/>
        </w:rPr>
        <w:t>Industry collaborations and career support services</w:t>
      </w:r>
      <w:r w:rsidRPr="001228E2">
        <w:rPr>
          <w:rFonts w:ascii="Arial" w:hAnsi="Arial" w:cs="Arial"/>
          <w:color w:val="000000"/>
          <w:lang w:val="en-PH"/>
        </w:rPr>
        <w:br/>
        <w:t>Some global universities mentioned formal partnerships with employers, advisory boards, or dedicated career services in their tuition communications. These references showed that the university’s support systems are designed to help students enter the job market and develop their careers over time.</w:t>
      </w:r>
    </w:p>
    <w:p w14:paraId="025DFAD0" w14:textId="77777777" w:rsidR="001228E2" w:rsidRPr="001228E2" w:rsidRDefault="001228E2" w:rsidP="001228E2">
      <w:pPr>
        <w:rPr>
          <w:rFonts w:ascii="Times New Roman" w:hAnsi="Times New Roman"/>
          <w:sz w:val="24"/>
          <w:szCs w:val="24"/>
          <w:lang w:val="en-PH"/>
        </w:rPr>
      </w:pPr>
      <w:r w:rsidRPr="001228E2">
        <w:rPr>
          <w:rFonts w:ascii="Arial" w:hAnsi="Arial" w:cs="Arial"/>
          <w:color w:val="000000"/>
          <w:lang w:val="en-PH"/>
        </w:rPr>
        <w:t>Taken together, these elements show that global institutions did not treat tuition only as a price. Instead, they presented it as part of a system that connects students to career opportunities and financial returns. This approach matches research that finds a focus on employability and clear outcomes helps graduates prepare for the job market (</w:t>
      </w:r>
      <w:proofErr w:type="spellStart"/>
      <w:r w:rsidRPr="001228E2">
        <w:rPr>
          <w:rFonts w:ascii="Arial" w:hAnsi="Arial" w:cs="Arial"/>
          <w:color w:val="000000"/>
          <w:lang w:val="en-PH"/>
        </w:rPr>
        <w:t>Scandurra</w:t>
      </w:r>
      <w:proofErr w:type="spellEnd"/>
      <w:r w:rsidRPr="001228E2">
        <w:rPr>
          <w:rFonts w:ascii="Arial" w:hAnsi="Arial" w:cs="Arial"/>
          <w:color w:val="000000"/>
          <w:lang w:val="en-PH"/>
        </w:rPr>
        <w:t xml:space="preserve"> &amp; </w:t>
      </w:r>
      <w:proofErr w:type="spellStart"/>
      <w:r w:rsidRPr="001228E2">
        <w:rPr>
          <w:rFonts w:ascii="Arial" w:hAnsi="Arial" w:cs="Arial"/>
          <w:color w:val="000000"/>
          <w:lang w:val="en-PH"/>
        </w:rPr>
        <w:t>Zanini</w:t>
      </w:r>
      <w:proofErr w:type="spellEnd"/>
      <w:r w:rsidRPr="001228E2">
        <w:rPr>
          <w:rFonts w:ascii="Arial" w:hAnsi="Arial" w:cs="Arial"/>
          <w:color w:val="000000"/>
          <w:lang w:val="en-PH"/>
        </w:rPr>
        <w:t>, 2024). By including employability indicators in tuition information, these universities strengthened the idea that tuition is an investment with real career benefits.</w:t>
      </w:r>
    </w:p>
    <w:p w14:paraId="6A6BA353" w14:textId="77777777" w:rsidR="001228E2" w:rsidRPr="001228E2" w:rsidRDefault="001228E2" w:rsidP="001228E2">
      <w:pPr>
        <w:rPr>
          <w:rFonts w:ascii="Times New Roman" w:hAnsi="Times New Roman"/>
          <w:sz w:val="24"/>
          <w:szCs w:val="24"/>
          <w:lang w:val="en-PH"/>
        </w:rPr>
      </w:pPr>
      <w:r w:rsidRPr="001228E2">
        <w:rPr>
          <w:rFonts w:ascii="Arial" w:hAnsi="Arial" w:cs="Arial"/>
          <w:color w:val="000000"/>
          <w:lang w:val="en-PH"/>
        </w:rPr>
        <w:t>At the Philippine institution, employment statistics and clear outcome indicators were not often included on tuition pages. Although general career development information may have been available elsewhere on the university’s website, it was not usually part of tuition communications like it was at many global universities. Because of this, the Outcome/Employability Frame was less noticeable, showing a different focus on post-graduation economic return in tuition messaging.</w:t>
      </w:r>
    </w:p>
    <w:p w14:paraId="3E6595F9" w14:textId="77777777" w:rsidR="001228E2" w:rsidRPr="001228E2" w:rsidRDefault="001228E2" w:rsidP="001228E2">
      <w:pPr>
        <w:rPr>
          <w:rFonts w:ascii="Arial" w:hAnsi="Arial" w:cs="Arial"/>
          <w:sz w:val="22"/>
          <w:szCs w:val="22"/>
          <w:lang w:val="en-PH"/>
        </w:rPr>
      </w:pPr>
    </w:p>
    <w:p w14:paraId="5A3754BC" w14:textId="77777777" w:rsidR="001228E2" w:rsidRPr="001228E2" w:rsidRDefault="001228E2" w:rsidP="001228E2">
      <w:pPr>
        <w:rPr>
          <w:rFonts w:ascii="Times New Roman" w:hAnsi="Times New Roman"/>
          <w:sz w:val="24"/>
          <w:szCs w:val="24"/>
          <w:lang w:val="en-PH"/>
        </w:rPr>
      </w:pPr>
      <w:r w:rsidRPr="001228E2">
        <w:rPr>
          <w:rFonts w:ascii="Arial" w:hAnsi="Arial" w:cs="Arial"/>
          <w:b/>
          <w:bCs/>
          <w:color w:val="000000"/>
          <w:sz w:val="22"/>
          <w:szCs w:val="22"/>
          <w:lang w:val="en-PH"/>
        </w:rPr>
        <w:t>3.8 Call-to-Action Frame</w:t>
      </w:r>
    </w:p>
    <w:p w14:paraId="17BAA3FD" w14:textId="77777777" w:rsidR="001228E2" w:rsidRPr="001228E2" w:rsidRDefault="001228E2" w:rsidP="001228E2">
      <w:pPr>
        <w:rPr>
          <w:rFonts w:ascii="Arial" w:hAnsi="Arial" w:cs="Arial"/>
          <w:sz w:val="22"/>
          <w:szCs w:val="22"/>
          <w:lang w:val="en-PH"/>
        </w:rPr>
      </w:pPr>
    </w:p>
    <w:p w14:paraId="6E31E5C4" w14:textId="77777777" w:rsidR="001228E2" w:rsidRPr="001228E2" w:rsidRDefault="001228E2" w:rsidP="001228E2">
      <w:pPr>
        <w:rPr>
          <w:rFonts w:ascii="Times New Roman" w:hAnsi="Times New Roman"/>
          <w:sz w:val="24"/>
          <w:szCs w:val="24"/>
          <w:lang w:val="en-PH"/>
        </w:rPr>
      </w:pPr>
      <w:r w:rsidRPr="001228E2">
        <w:rPr>
          <w:rFonts w:ascii="Arial" w:hAnsi="Arial" w:cs="Arial"/>
          <w:color w:val="000000"/>
          <w:lang w:val="en-PH"/>
        </w:rPr>
        <w:t>Most leading global institutions used a Call-to-Action Frame. Instead of making tuition pages just sources of information, many universities added prompts to help prospective students take the next step. The main elements found were:</w:t>
      </w:r>
    </w:p>
    <w:p w14:paraId="0B488DA3" w14:textId="77777777" w:rsidR="001228E2" w:rsidRPr="001228E2" w:rsidRDefault="001228E2" w:rsidP="0019237F">
      <w:pPr>
        <w:numPr>
          <w:ilvl w:val="0"/>
          <w:numId w:val="43"/>
        </w:numPr>
        <w:tabs>
          <w:tab w:val="clear" w:pos="720"/>
        </w:tabs>
        <w:ind w:left="360"/>
        <w:textAlignment w:val="baseline"/>
        <w:rPr>
          <w:rFonts w:ascii="Arial" w:hAnsi="Arial" w:cs="Arial"/>
          <w:color w:val="000000"/>
          <w:lang w:val="en-PH"/>
        </w:rPr>
      </w:pPr>
      <w:r w:rsidRPr="001228E2">
        <w:rPr>
          <w:rFonts w:ascii="Arial" w:hAnsi="Arial" w:cs="Arial"/>
          <w:b/>
          <w:bCs/>
          <w:color w:val="000000"/>
          <w:lang w:val="en-PH"/>
        </w:rPr>
        <w:lastRenderedPageBreak/>
        <w:t>“Apply now” or direct application portal links</w:t>
      </w:r>
      <w:r w:rsidRPr="001228E2">
        <w:rPr>
          <w:rFonts w:ascii="Arial" w:hAnsi="Arial" w:cs="Arial"/>
          <w:color w:val="000000"/>
          <w:lang w:val="en-PH"/>
        </w:rPr>
        <w:br/>
        <w:t>Many global universities placed clear application buttons on or near tuition information. These links made it easier for students to move quickly from checking costs to starting an application. This shows that tuition pages are meant to help students move forward in the enrollment process.</w:t>
      </w:r>
    </w:p>
    <w:p w14:paraId="796E5C3C" w14:textId="77777777" w:rsidR="001228E2" w:rsidRPr="001228E2" w:rsidRDefault="001228E2" w:rsidP="0019237F">
      <w:pPr>
        <w:numPr>
          <w:ilvl w:val="0"/>
          <w:numId w:val="43"/>
        </w:numPr>
        <w:tabs>
          <w:tab w:val="clear" w:pos="720"/>
        </w:tabs>
        <w:ind w:left="360"/>
        <w:textAlignment w:val="baseline"/>
        <w:rPr>
          <w:rFonts w:ascii="Arial" w:hAnsi="Arial" w:cs="Arial"/>
          <w:color w:val="000000"/>
          <w:lang w:val="en-PH"/>
        </w:rPr>
      </w:pPr>
      <w:r w:rsidRPr="001228E2">
        <w:rPr>
          <w:rFonts w:ascii="Arial" w:hAnsi="Arial" w:cs="Arial"/>
          <w:b/>
          <w:bCs/>
          <w:color w:val="000000"/>
          <w:lang w:val="en-PH"/>
        </w:rPr>
        <w:t>Enrollment deadlines and urgency cues</w:t>
      </w:r>
      <w:r w:rsidRPr="001228E2">
        <w:rPr>
          <w:rFonts w:ascii="Arial" w:hAnsi="Arial" w:cs="Arial"/>
          <w:color w:val="000000"/>
          <w:lang w:val="en-PH"/>
        </w:rPr>
        <w:br/>
        <w:t>Some institutions added clear reminders about application deadlines, upcoming intakes, or submission dates right in the tuition sections. By showing cost information with these time cues, they encouraged students to act instead of putting off their decisions.</w:t>
      </w:r>
    </w:p>
    <w:p w14:paraId="19D56894" w14:textId="77777777" w:rsidR="001228E2" w:rsidRPr="001228E2" w:rsidRDefault="001228E2" w:rsidP="0019237F">
      <w:pPr>
        <w:numPr>
          <w:ilvl w:val="0"/>
          <w:numId w:val="43"/>
        </w:numPr>
        <w:tabs>
          <w:tab w:val="clear" w:pos="720"/>
        </w:tabs>
        <w:ind w:left="360"/>
        <w:textAlignment w:val="baseline"/>
        <w:rPr>
          <w:rFonts w:ascii="Arial" w:hAnsi="Arial" w:cs="Arial"/>
          <w:color w:val="000000"/>
          <w:lang w:val="en-PH"/>
        </w:rPr>
      </w:pPr>
      <w:r w:rsidRPr="001228E2">
        <w:rPr>
          <w:rFonts w:ascii="Arial" w:hAnsi="Arial" w:cs="Arial"/>
          <w:b/>
          <w:bCs/>
          <w:color w:val="000000"/>
          <w:lang w:val="en-PH"/>
        </w:rPr>
        <w:t>Navigation to admissions and inquiry forms</w:t>
      </w:r>
      <w:r w:rsidRPr="001228E2">
        <w:rPr>
          <w:rFonts w:ascii="Arial" w:hAnsi="Arial" w:cs="Arial"/>
          <w:color w:val="000000"/>
          <w:lang w:val="en-PH"/>
        </w:rPr>
        <w:br/>
        <w:t>Tuition pages often included clear ways to contact admissions, ask for more information, or book a consultation. These prompts turned tuition pages into places for interaction, not just sources of information.</w:t>
      </w:r>
    </w:p>
    <w:p w14:paraId="2B19B621" w14:textId="77777777" w:rsidR="001228E2" w:rsidRPr="001228E2" w:rsidRDefault="001228E2" w:rsidP="0019237F">
      <w:pPr>
        <w:numPr>
          <w:ilvl w:val="0"/>
          <w:numId w:val="43"/>
        </w:numPr>
        <w:tabs>
          <w:tab w:val="clear" w:pos="720"/>
        </w:tabs>
        <w:ind w:left="360"/>
        <w:textAlignment w:val="baseline"/>
        <w:rPr>
          <w:rFonts w:ascii="Arial" w:hAnsi="Arial" w:cs="Arial"/>
          <w:color w:val="000000"/>
          <w:lang w:val="en-PH"/>
        </w:rPr>
      </w:pPr>
      <w:r w:rsidRPr="001228E2">
        <w:rPr>
          <w:rFonts w:ascii="Arial" w:hAnsi="Arial" w:cs="Arial"/>
          <w:b/>
          <w:bCs/>
          <w:color w:val="000000"/>
          <w:lang w:val="en-PH"/>
        </w:rPr>
        <w:t>Event invitations and recruitment engagement links</w:t>
      </w:r>
      <w:r w:rsidRPr="001228E2">
        <w:rPr>
          <w:rFonts w:ascii="Arial" w:hAnsi="Arial" w:cs="Arial"/>
          <w:color w:val="000000"/>
          <w:lang w:val="en-PH"/>
        </w:rPr>
        <w:br/>
        <w:t>In many global examples, tuition information linked to open days, virtual tours, or info sessions. These invitations made the institution seem more accessible and encouraged students to get involved beyond just comparing costs.</w:t>
      </w:r>
    </w:p>
    <w:p w14:paraId="146CEAF4" w14:textId="77777777" w:rsidR="001228E2" w:rsidRPr="001228E2" w:rsidRDefault="001228E2" w:rsidP="001228E2">
      <w:pPr>
        <w:rPr>
          <w:rFonts w:ascii="Times New Roman" w:hAnsi="Times New Roman"/>
          <w:sz w:val="24"/>
          <w:szCs w:val="24"/>
          <w:lang w:val="en-PH"/>
        </w:rPr>
      </w:pPr>
      <w:r w:rsidRPr="001228E2">
        <w:rPr>
          <w:rFonts w:ascii="Arial" w:hAnsi="Arial" w:cs="Arial"/>
          <w:color w:val="000000"/>
          <w:lang w:val="en-PH"/>
        </w:rPr>
        <w:t xml:space="preserve">Together, these features show that global institutions design tuition pages to help students move from just reading information to </w:t>
      </w:r>
      <w:proofErr w:type="gramStart"/>
      <w:r w:rsidRPr="001228E2">
        <w:rPr>
          <w:rFonts w:ascii="Arial" w:hAnsi="Arial" w:cs="Arial"/>
          <w:color w:val="000000"/>
          <w:lang w:val="en-PH"/>
        </w:rPr>
        <w:t>taking action</w:t>
      </w:r>
      <w:proofErr w:type="gramEnd"/>
      <w:r w:rsidRPr="001228E2">
        <w:rPr>
          <w:rFonts w:ascii="Arial" w:hAnsi="Arial" w:cs="Arial"/>
          <w:color w:val="000000"/>
          <w:lang w:val="en-PH"/>
        </w:rPr>
        <w:t>. Research on website design shows that well-placed call-to-action elements can boost user engagement and conversion by making next steps clear and reducing confusion (</w:t>
      </w:r>
      <w:proofErr w:type="spellStart"/>
      <w:r w:rsidRPr="001228E2">
        <w:rPr>
          <w:rFonts w:ascii="Arial" w:hAnsi="Arial" w:cs="Arial"/>
          <w:color w:val="000000"/>
          <w:lang w:val="en-PH"/>
        </w:rPr>
        <w:t>Tanase</w:t>
      </w:r>
      <w:proofErr w:type="spellEnd"/>
      <w:r w:rsidRPr="001228E2">
        <w:rPr>
          <w:rFonts w:ascii="Arial" w:hAnsi="Arial" w:cs="Arial"/>
          <w:color w:val="000000"/>
          <w:lang w:val="en-PH"/>
        </w:rPr>
        <w:t xml:space="preserve"> et al., 2025). While the study focused on fitness websites, its findings about CTA placement and clarity also apply to higher education, where tuition pages are key decision points.</w:t>
      </w:r>
    </w:p>
    <w:p w14:paraId="317E59C0" w14:textId="77777777" w:rsidR="001228E2" w:rsidRPr="001228E2" w:rsidRDefault="001228E2" w:rsidP="001228E2">
      <w:pPr>
        <w:rPr>
          <w:rFonts w:ascii="Times New Roman" w:hAnsi="Times New Roman"/>
          <w:sz w:val="24"/>
          <w:szCs w:val="24"/>
          <w:lang w:val="en-PH"/>
        </w:rPr>
      </w:pPr>
      <w:r w:rsidRPr="001228E2">
        <w:rPr>
          <w:rFonts w:ascii="Arial" w:hAnsi="Arial" w:cs="Arial"/>
          <w:color w:val="000000"/>
          <w:lang w:val="en-PH"/>
        </w:rPr>
        <w:t>In contrast, the Philippine institution had fewer call-to-action prompts on its tuition pages. Admissions information was found elsewhere on the website, but tuition content rarely included direct application links or urgency cues. This made the tuition pages more informational than focused on encouraging applications.</w:t>
      </w:r>
    </w:p>
    <w:p w14:paraId="2E301FC9" w14:textId="091A377E" w:rsidR="001228E2" w:rsidRDefault="001228E2" w:rsidP="001228E2">
      <w:pPr>
        <w:rPr>
          <w:rFonts w:ascii="Arial" w:hAnsi="Arial" w:cs="Arial"/>
          <w:color w:val="000000"/>
          <w:lang w:val="en-PH"/>
        </w:rPr>
      </w:pPr>
      <w:r w:rsidRPr="001228E2">
        <w:rPr>
          <w:rFonts w:ascii="Arial" w:hAnsi="Arial" w:cs="Arial"/>
          <w:color w:val="000000"/>
          <w:lang w:val="en-PH"/>
        </w:rPr>
        <w:t>Overall, the Call-to-Action Frame showed differences in how tuition pages are used for recruitment. Global institutions included more behavioral prompts in their tuition pages, while the Philippine example used fewer action-oriented elements</w:t>
      </w:r>
      <w:r w:rsidR="00E527EA">
        <w:rPr>
          <w:rFonts w:ascii="Arial" w:hAnsi="Arial" w:cs="Arial"/>
          <w:color w:val="000000"/>
          <w:lang w:val="en-PH"/>
        </w:rPr>
        <w:t>.</w:t>
      </w:r>
    </w:p>
    <w:p w14:paraId="54A078B8" w14:textId="77777777" w:rsidR="00E527EA" w:rsidRPr="00E527EA" w:rsidRDefault="00E527EA" w:rsidP="001228E2">
      <w:pPr>
        <w:rPr>
          <w:rFonts w:ascii="Arial" w:hAnsi="Arial" w:cs="Arial"/>
          <w:color w:val="000000"/>
          <w:sz w:val="22"/>
          <w:szCs w:val="22"/>
          <w:lang w:val="en-PH"/>
        </w:rPr>
      </w:pPr>
    </w:p>
    <w:p w14:paraId="457877E3" w14:textId="77777777" w:rsidR="00E527EA" w:rsidRPr="00E527EA" w:rsidRDefault="00E527EA" w:rsidP="00E527EA">
      <w:pPr>
        <w:rPr>
          <w:rFonts w:ascii="Times New Roman" w:hAnsi="Times New Roman"/>
          <w:sz w:val="24"/>
          <w:szCs w:val="24"/>
          <w:lang w:val="en-PH"/>
        </w:rPr>
      </w:pPr>
      <w:r w:rsidRPr="00E527EA">
        <w:rPr>
          <w:rFonts w:ascii="Arial" w:hAnsi="Arial" w:cs="Arial"/>
          <w:b/>
          <w:bCs/>
          <w:color w:val="000000"/>
          <w:sz w:val="22"/>
          <w:szCs w:val="22"/>
          <w:lang w:val="en-PH"/>
        </w:rPr>
        <w:t>3.9 Cross-Case Comparative Patterns in Tuition Framing</w:t>
      </w:r>
    </w:p>
    <w:p w14:paraId="399C14E2" w14:textId="77777777" w:rsidR="00E527EA" w:rsidRPr="00E527EA" w:rsidRDefault="00E527EA" w:rsidP="00E527EA">
      <w:pPr>
        <w:rPr>
          <w:rFonts w:ascii="Arial" w:hAnsi="Arial" w:cs="Arial"/>
          <w:sz w:val="22"/>
          <w:szCs w:val="22"/>
          <w:lang w:val="en-PH"/>
        </w:rPr>
      </w:pPr>
    </w:p>
    <w:p w14:paraId="33D9FEA4" w14:textId="77777777" w:rsidR="00E527EA" w:rsidRPr="00E527EA" w:rsidRDefault="00E527EA" w:rsidP="00E527EA">
      <w:pPr>
        <w:rPr>
          <w:rFonts w:ascii="Times New Roman" w:hAnsi="Times New Roman"/>
          <w:sz w:val="24"/>
          <w:szCs w:val="24"/>
          <w:lang w:val="en-PH"/>
        </w:rPr>
      </w:pPr>
      <w:r w:rsidRPr="00E527EA">
        <w:rPr>
          <w:rFonts w:ascii="Arial" w:hAnsi="Arial" w:cs="Arial"/>
          <w:color w:val="000000"/>
          <w:lang w:val="en-PH"/>
        </w:rPr>
        <w:t>Overall, the earlier analyses show that all institutions shared tuition information, but the way they presented it differed in how strongly and strategically they framed it. The global benchmark group often combined tuition details with ideas about investment, prestige, employability, and calls to action. In contrast, the Philippine institution focused more on being transparent and accessible, but included fewer elements that highlighted value or encouraged specific behaviors.</w:t>
      </w:r>
    </w:p>
    <w:p w14:paraId="4D0A9991" w14:textId="77777777" w:rsidR="00E527EA" w:rsidRDefault="00E527EA" w:rsidP="00E527EA">
      <w:pPr>
        <w:rPr>
          <w:rFonts w:ascii="Arial" w:hAnsi="Arial" w:cs="Arial"/>
          <w:color w:val="000000"/>
          <w:lang w:val="en-PH"/>
        </w:rPr>
      </w:pPr>
      <w:r w:rsidRPr="00E527EA">
        <w:rPr>
          <w:rFonts w:ascii="Arial" w:hAnsi="Arial" w:cs="Arial"/>
          <w:color w:val="000000"/>
          <w:lang w:val="en-PH"/>
        </w:rPr>
        <w:t>Table 3 brings together these patterns and highlights where the global benchmark group and the Philippine case differ in how they frame tuition. It summarizes how often and how strongly each group used the different tuition framing categories.</w:t>
      </w:r>
    </w:p>
    <w:p w14:paraId="655A3F3C" w14:textId="77777777" w:rsidR="00E527EA" w:rsidRPr="00953E26" w:rsidRDefault="00E527EA" w:rsidP="00E527EA">
      <w:pPr>
        <w:rPr>
          <w:rFonts w:ascii="Arial" w:hAnsi="Arial" w:cs="Arial"/>
          <w:color w:val="000000"/>
          <w:sz w:val="22"/>
          <w:szCs w:val="22"/>
          <w:lang w:val="en-PH"/>
        </w:rPr>
      </w:pPr>
    </w:p>
    <w:p w14:paraId="0C57EFB4" w14:textId="7247BA92" w:rsidR="00E527EA" w:rsidRPr="00E527EA" w:rsidRDefault="00E527EA" w:rsidP="00E527EA">
      <w:pPr>
        <w:jc w:val="center"/>
        <w:rPr>
          <w:rFonts w:ascii="Times New Roman" w:hAnsi="Times New Roman"/>
          <w:sz w:val="24"/>
          <w:szCs w:val="24"/>
          <w:lang w:val="en-PH"/>
        </w:rPr>
      </w:pPr>
      <w:r>
        <w:rPr>
          <w:rFonts w:ascii="Arial" w:hAnsi="Arial" w:cs="Arial"/>
          <w:b/>
          <w:bCs/>
          <w:color w:val="000000"/>
        </w:rPr>
        <w:t>Table 3. Presence and Relative Emphasis of Tuition Framing Categories</w:t>
      </w:r>
    </w:p>
    <w:p w14:paraId="2AB22E29" w14:textId="77777777" w:rsidR="00E527EA" w:rsidRPr="00953E26" w:rsidRDefault="00E527EA" w:rsidP="00E527EA">
      <w:pPr>
        <w:rPr>
          <w:rFonts w:ascii="Arial" w:hAnsi="Arial" w:cs="Arial"/>
          <w:sz w:val="22"/>
          <w:szCs w:val="22"/>
          <w:lang w:val="en-PH"/>
        </w:rPr>
      </w:pPr>
    </w:p>
    <w:tbl>
      <w:tblPr>
        <w:tblW w:w="963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20"/>
        <w:gridCol w:w="2790"/>
        <w:gridCol w:w="2340"/>
        <w:gridCol w:w="1980"/>
      </w:tblGrid>
      <w:tr w:rsidR="00E527EA" w:rsidRPr="00DC3180" w14:paraId="0BC670C4" w14:textId="610C7D21" w:rsidTr="005C6ECB">
        <w:trPr>
          <w:jc w:val="center"/>
        </w:trPr>
        <w:tc>
          <w:tcPr>
            <w:tcW w:w="2520" w:type="dxa"/>
            <w:tcBorders>
              <w:bottom w:val="single" w:sz="4" w:space="0" w:color="auto"/>
            </w:tcBorders>
            <w:vAlign w:val="center"/>
          </w:tcPr>
          <w:p w14:paraId="0E25E01B" w14:textId="0CF8D6DF" w:rsidR="00E527EA" w:rsidRPr="00DC3180" w:rsidRDefault="00E527EA" w:rsidP="00E527EA">
            <w:pPr>
              <w:jc w:val="both"/>
              <w:rPr>
                <w:rFonts w:ascii="Arial" w:hAnsi="Arial"/>
                <w:b/>
                <w:bCs/>
              </w:rPr>
            </w:pPr>
            <w:r>
              <w:rPr>
                <w:rFonts w:ascii="Arial" w:hAnsi="Arial" w:cs="Arial"/>
                <w:b/>
                <w:bCs/>
                <w:color w:val="000000"/>
              </w:rPr>
              <w:t>Framing Category</w:t>
            </w:r>
          </w:p>
        </w:tc>
        <w:tc>
          <w:tcPr>
            <w:tcW w:w="2790" w:type="dxa"/>
            <w:tcBorders>
              <w:bottom w:val="single" w:sz="4" w:space="0" w:color="auto"/>
            </w:tcBorders>
            <w:vAlign w:val="center"/>
          </w:tcPr>
          <w:p w14:paraId="5E1316AB" w14:textId="5CB8CD58" w:rsidR="00E527EA" w:rsidRPr="00DC3180" w:rsidRDefault="00E527EA" w:rsidP="00E527EA">
            <w:pPr>
              <w:rPr>
                <w:rFonts w:ascii="Arial" w:hAnsi="Arial"/>
                <w:b/>
                <w:bCs/>
              </w:rPr>
            </w:pPr>
            <w:r>
              <w:rPr>
                <w:rFonts w:ascii="Arial" w:hAnsi="Arial" w:cs="Arial"/>
                <w:b/>
                <w:bCs/>
                <w:color w:val="000000"/>
              </w:rPr>
              <w:t>Global Benchmark Group</w:t>
            </w:r>
          </w:p>
        </w:tc>
        <w:tc>
          <w:tcPr>
            <w:tcW w:w="2340" w:type="dxa"/>
            <w:tcBorders>
              <w:bottom w:val="single" w:sz="4" w:space="0" w:color="auto"/>
            </w:tcBorders>
            <w:vAlign w:val="center"/>
          </w:tcPr>
          <w:p w14:paraId="1D597411" w14:textId="01C2015B" w:rsidR="00E527EA" w:rsidRPr="00DC3180" w:rsidRDefault="00E527EA" w:rsidP="00E527EA">
            <w:pPr>
              <w:jc w:val="both"/>
              <w:rPr>
                <w:rFonts w:ascii="Arial" w:hAnsi="Arial"/>
                <w:b/>
                <w:bCs/>
              </w:rPr>
            </w:pPr>
            <w:r>
              <w:rPr>
                <w:rFonts w:ascii="Arial" w:hAnsi="Arial" w:cs="Arial"/>
                <w:b/>
                <w:bCs/>
                <w:color w:val="000000"/>
              </w:rPr>
              <w:t>Philippine Institution</w:t>
            </w:r>
          </w:p>
        </w:tc>
        <w:tc>
          <w:tcPr>
            <w:tcW w:w="1980" w:type="dxa"/>
            <w:tcBorders>
              <w:bottom w:val="single" w:sz="4" w:space="0" w:color="auto"/>
            </w:tcBorders>
            <w:vAlign w:val="center"/>
          </w:tcPr>
          <w:p w14:paraId="3729519A" w14:textId="0ABAB749" w:rsidR="00E527EA" w:rsidRDefault="00E527EA" w:rsidP="00E527EA">
            <w:pPr>
              <w:jc w:val="both"/>
              <w:rPr>
                <w:rFonts w:ascii="Arial" w:hAnsi="Arial" w:cs="Arial"/>
                <w:b/>
                <w:bCs/>
                <w:color w:val="000000"/>
              </w:rPr>
            </w:pPr>
            <w:r>
              <w:rPr>
                <w:rFonts w:ascii="Arial" w:hAnsi="Arial" w:cs="Arial"/>
                <w:b/>
                <w:bCs/>
                <w:color w:val="000000"/>
              </w:rPr>
              <w:t>Comparative Assessment</w:t>
            </w:r>
          </w:p>
        </w:tc>
      </w:tr>
      <w:tr w:rsidR="00E527EA" w:rsidRPr="00DC3180" w14:paraId="07B7149E" w14:textId="472C4907" w:rsidTr="005C6ECB">
        <w:trPr>
          <w:jc w:val="center"/>
        </w:trPr>
        <w:tc>
          <w:tcPr>
            <w:tcW w:w="2520" w:type="dxa"/>
            <w:tcBorders>
              <w:top w:val="single" w:sz="4" w:space="0" w:color="auto"/>
              <w:bottom w:val="nil"/>
            </w:tcBorders>
            <w:vAlign w:val="center"/>
          </w:tcPr>
          <w:p w14:paraId="56E0D8B5" w14:textId="42EF6DF8" w:rsidR="00E527EA" w:rsidRPr="00DC3180" w:rsidRDefault="00E527EA" w:rsidP="00E527EA">
            <w:pPr>
              <w:rPr>
                <w:rFonts w:ascii="Arial" w:hAnsi="Arial"/>
              </w:rPr>
            </w:pPr>
            <w:r>
              <w:rPr>
                <w:rFonts w:ascii="Arial" w:hAnsi="Arial" w:cs="Arial"/>
                <w:color w:val="000000"/>
              </w:rPr>
              <w:t>Investment</w:t>
            </w:r>
          </w:p>
        </w:tc>
        <w:tc>
          <w:tcPr>
            <w:tcW w:w="2790" w:type="dxa"/>
            <w:tcBorders>
              <w:top w:val="single" w:sz="4" w:space="0" w:color="auto"/>
              <w:bottom w:val="nil"/>
            </w:tcBorders>
            <w:vAlign w:val="center"/>
          </w:tcPr>
          <w:p w14:paraId="0AE678DD" w14:textId="0AAE2C3F" w:rsidR="00E527EA" w:rsidRPr="00DC3180" w:rsidRDefault="00E527EA" w:rsidP="00E527EA">
            <w:pPr>
              <w:rPr>
                <w:rFonts w:ascii="Arial" w:hAnsi="Arial"/>
              </w:rPr>
            </w:pPr>
            <w:r>
              <w:rPr>
                <w:rFonts w:ascii="Arial" w:hAnsi="Arial" w:cs="Arial"/>
                <w:color w:val="000000"/>
              </w:rPr>
              <w:t>Strong</w:t>
            </w:r>
          </w:p>
        </w:tc>
        <w:tc>
          <w:tcPr>
            <w:tcW w:w="2340" w:type="dxa"/>
            <w:tcBorders>
              <w:top w:val="single" w:sz="4" w:space="0" w:color="auto"/>
              <w:bottom w:val="nil"/>
            </w:tcBorders>
            <w:vAlign w:val="center"/>
          </w:tcPr>
          <w:p w14:paraId="46B77959" w14:textId="06F9F5A3" w:rsidR="00E527EA" w:rsidRPr="006A1041" w:rsidRDefault="00E527EA" w:rsidP="00E527EA">
            <w:pPr>
              <w:rPr>
                <w:rFonts w:ascii="Arial" w:eastAsia="Arial Unicode MS" w:hAnsi="Arial" w:cs="Arial"/>
              </w:rPr>
            </w:pPr>
            <w:r>
              <w:rPr>
                <w:rFonts w:ascii="Arial" w:hAnsi="Arial" w:cs="Arial"/>
                <w:color w:val="000000"/>
              </w:rPr>
              <w:t>Limited</w:t>
            </w:r>
          </w:p>
        </w:tc>
        <w:tc>
          <w:tcPr>
            <w:tcW w:w="1980" w:type="dxa"/>
            <w:tcBorders>
              <w:top w:val="single" w:sz="4" w:space="0" w:color="auto"/>
              <w:bottom w:val="nil"/>
            </w:tcBorders>
            <w:vAlign w:val="center"/>
          </w:tcPr>
          <w:p w14:paraId="08FA6158" w14:textId="3E5117F3" w:rsidR="00E527EA" w:rsidRDefault="00E527EA" w:rsidP="00E527EA">
            <w:pPr>
              <w:rPr>
                <w:rFonts w:ascii="Arial" w:hAnsi="Arial" w:cs="Arial"/>
                <w:color w:val="000000"/>
              </w:rPr>
            </w:pPr>
            <w:r>
              <w:rPr>
                <w:rFonts w:ascii="Arial" w:hAnsi="Arial" w:cs="Arial"/>
                <w:color w:val="000000"/>
              </w:rPr>
              <w:t>Divergence</w:t>
            </w:r>
          </w:p>
        </w:tc>
      </w:tr>
      <w:tr w:rsidR="00E527EA" w:rsidRPr="00DC3180" w14:paraId="3F746F13" w14:textId="0875319B" w:rsidTr="005C6ECB">
        <w:trPr>
          <w:jc w:val="center"/>
        </w:trPr>
        <w:tc>
          <w:tcPr>
            <w:tcW w:w="2520" w:type="dxa"/>
            <w:tcBorders>
              <w:top w:val="nil"/>
              <w:bottom w:val="nil"/>
            </w:tcBorders>
            <w:vAlign w:val="center"/>
          </w:tcPr>
          <w:p w14:paraId="159E973D" w14:textId="41B4E80F" w:rsidR="00E527EA" w:rsidRPr="00DC3180" w:rsidRDefault="00E527EA" w:rsidP="00E527EA">
            <w:pPr>
              <w:rPr>
                <w:rFonts w:ascii="Arial" w:hAnsi="Arial"/>
              </w:rPr>
            </w:pPr>
            <w:r>
              <w:rPr>
                <w:rFonts w:ascii="Arial" w:hAnsi="Arial" w:cs="Arial"/>
                <w:color w:val="000000"/>
              </w:rPr>
              <w:t>Accessibility</w:t>
            </w:r>
          </w:p>
        </w:tc>
        <w:tc>
          <w:tcPr>
            <w:tcW w:w="2790" w:type="dxa"/>
            <w:tcBorders>
              <w:top w:val="nil"/>
              <w:bottom w:val="nil"/>
            </w:tcBorders>
            <w:vAlign w:val="center"/>
          </w:tcPr>
          <w:p w14:paraId="001CCE97" w14:textId="6E11A93B" w:rsidR="00E527EA" w:rsidRPr="00DC3180" w:rsidRDefault="00E527EA" w:rsidP="00E527EA">
            <w:pPr>
              <w:rPr>
                <w:rFonts w:ascii="Arial" w:hAnsi="Arial"/>
              </w:rPr>
            </w:pPr>
            <w:r>
              <w:rPr>
                <w:rFonts w:ascii="Arial" w:hAnsi="Arial" w:cs="Arial"/>
                <w:color w:val="000000"/>
              </w:rPr>
              <w:t>Present (Moderate–High)</w:t>
            </w:r>
          </w:p>
        </w:tc>
        <w:tc>
          <w:tcPr>
            <w:tcW w:w="2340" w:type="dxa"/>
            <w:tcBorders>
              <w:top w:val="nil"/>
              <w:bottom w:val="nil"/>
            </w:tcBorders>
            <w:vAlign w:val="center"/>
          </w:tcPr>
          <w:p w14:paraId="6C2E18A5" w14:textId="398A8E74" w:rsidR="00E527EA" w:rsidRPr="00DC3180" w:rsidRDefault="00E527EA" w:rsidP="00E527EA">
            <w:pPr>
              <w:rPr>
                <w:rFonts w:ascii="Arial" w:hAnsi="Arial" w:cs="Arial"/>
              </w:rPr>
            </w:pPr>
            <w:r>
              <w:rPr>
                <w:rFonts w:ascii="Arial" w:hAnsi="Arial" w:cs="Arial"/>
                <w:color w:val="000000"/>
              </w:rPr>
              <w:t>Present (Moderate)</w:t>
            </w:r>
          </w:p>
        </w:tc>
        <w:tc>
          <w:tcPr>
            <w:tcW w:w="1980" w:type="dxa"/>
            <w:tcBorders>
              <w:top w:val="nil"/>
              <w:bottom w:val="nil"/>
            </w:tcBorders>
            <w:vAlign w:val="center"/>
          </w:tcPr>
          <w:p w14:paraId="12FCC979" w14:textId="1387BFED" w:rsidR="00E527EA" w:rsidRDefault="00E527EA" w:rsidP="00E527EA">
            <w:pPr>
              <w:rPr>
                <w:rFonts w:ascii="Arial" w:hAnsi="Arial" w:cs="Arial"/>
                <w:color w:val="000000"/>
              </w:rPr>
            </w:pPr>
            <w:r>
              <w:rPr>
                <w:rFonts w:ascii="Arial" w:hAnsi="Arial" w:cs="Arial"/>
                <w:color w:val="000000"/>
              </w:rPr>
              <w:t>Alignment</w:t>
            </w:r>
          </w:p>
        </w:tc>
      </w:tr>
      <w:tr w:rsidR="00E527EA" w:rsidRPr="00DC3180" w14:paraId="00EC0AB6" w14:textId="06C9E959" w:rsidTr="005C6ECB">
        <w:trPr>
          <w:jc w:val="center"/>
        </w:trPr>
        <w:tc>
          <w:tcPr>
            <w:tcW w:w="2520" w:type="dxa"/>
            <w:tcBorders>
              <w:top w:val="nil"/>
              <w:bottom w:val="nil"/>
            </w:tcBorders>
            <w:vAlign w:val="center"/>
          </w:tcPr>
          <w:p w14:paraId="70D5FACD" w14:textId="327A0A4D" w:rsidR="00E527EA" w:rsidRPr="00DC3180" w:rsidRDefault="00E527EA" w:rsidP="00E527EA">
            <w:pPr>
              <w:rPr>
                <w:rFonts w:ascii="Arial" w:hAnsi="Arial"/>
              </w:rPr>
            </w:pPr>
            <w:r>
              <w:rPr>
                <w:rFonts w:ascii="Arial" w:hAnsi="Arial" w:cs="Arial"/>
                <w:color w:val="000000"/>
              </w:rPr>
              <w:t>Scholarship Emphasis</w:t>
            </w:r>
          </w:p>
        </w:tc>
        <w:tc>
          <w:tcPr>
            <w:tcW w:w="2790" w:type="dxa"/>
            <w:tcBorders>
              <w:top w:val="nil"/>
              <w:bottom w:val="nil"/>
            </w:tcBorders>
            <w:vAlign w:val="center"/>
          </w:tcPr>
          <w:p w14:paraId="5C036E93" w14:textId="3F27F9B0" w:rsidR="00E527EA" w:rsidRPr="00DC3180" w:rsidRDefault="00E527EA" w:rsidP="00E527EA">
            <w:pPr>
              <w:rPr>
                <w:rFonts w:ascii="Arial" w:hAnsi="Arial"/>
              </w:rPr>
            </w:pPr>
            <w:r>
              <w:rPr>
                <w:rFonts w:ascii="Arial" w:hAnsi="Arial" w:cs="Arial"/>
                <w:color w:val="000000"/>
              </w:rPr>
              <w:t>Moderate–High</w:t>
            </w:r>
          </w:p>
        </w:tc>
        <w:tc>
          <w:tcPr>
            <w:tcW w:w="2340" w:type="dxa"/>
            <w:tcBorders>
              <w:top w:val="nil"/>
              <w:bottom w:val="nil"/>
            </w:tcBorders>
            <w:vAlign w:val="center"/>
          </w:tcPr>
          <w:p w14:paraId="0AB5F105" w14:textId="2B909489" w:rsidR="00E527EA" w:rsidRPr="00DC3180" w:rsidRDefault="00E527EA" w:rsidP="00E527EA">
            <w:pPr>
              <w:rPr>
                <w:rFonts w:ascii="Arial" w:hAnsi="Arial" w:cs="Arial"/>
              </w:rPr>
            </w:pPr>
            <w:r>
              <w:rPr>
                <w:rFonts w:ascii="Arial" w:hAnsi="Arial" w:cs="Arial"/>
                <w:color w:val="000000"/>
              </w:rPr>
              <w:t>Moderate</w:t>
            </w:r>
          </w:p>
        </w:tc>
        <w:tc>
          <w:tcPr>
            <w:tcW w:w="1980" w:type="dxa"/>
            <w:tcBorders>
              <w:top w:val="nil"/>
              <w:bottom w:val="nil"/>
            </w:tcBorders>
            <w:vAlign w:val="center"/>
          </w:tcPr>
          <w:p w14:paraId="0B09AC44" w14:textId="649F1187" w:rsidR="00E527EA" w:rsidRDefault="00E527EA" w:rsidP="00E527EA">
            <w:pPr>
              <w:rPr>
                <w:rFonts w:ascii="Arial" w:hAnsi="Arial" w:cs="Arial"/>
                <w:color w:val="000000"/>
              </w:rPr>
            </w:pPr>
            <w:r>
              <w:rPr>
                <w:rFonts w:ascii="Arial" w:hAnsi="Arial" w:cs="Arial"/>
                <w:color w:val="000000"/>
              </w:rPr>
              <w:t>Partial Alignment</w:t>
            </w:r>
          </w:p>
        </w:tc>
      </w:tr>
      <w:tr w:rsidR="00E527EA" w:rsidRPr="00DC3180" w14:paraId="270E554E" w14:textId="0D225146" w:rsidTr="005C6ECB">
        <w:trPr>
          <w:jc w:val="center"/>
        </w:trPr>
        <w:tc>
          <w:tcPr>
            <w:tcW w:w="2520" w:type="dxa"/>
            <w:tcBorders>
              <w:top w:val="nil"/>
              <w:bottom w:val="nil"/>
            </w:tcBorders>
            <w:vAlign w:val="center"/>
          </w:tcPr>
          <w:p w14:paraId="7A639CF0" w14:textId="7F3A65A8" w:rsidR="00E527EA" w:rsidRPr="00DC3180" w:rsidRDefault="00E527EA" w:rsidP="00E527EA">
            <w:pPr>
              <w:rPr>
                <w:rFonts w:ascii="Arial" w:hAnsi="Arial"/>
              </w:rPr>
            </w:pPr>
            <w:r>
              <w:rPr>
                <w:rFonts w:ascii="Arial" w:hAnsi="Arial" w:cs="Arial"/>
                <w:color w:val="000000"/>
              </w:rPr>
              <w:t>Prestige/Quality</w:t>
            </w:r>
          </w:p>
        </w:tc>
        <w:tc>
          <w:tcPr>
            <w:tcW w:w="2790" w:type="dxa"/>
            <w:tcBorders>
              <w:top w:val="nil"/>
              <w:bottom w:val="nil"/>
            </w:tcBorders>
            <w:vAlign w:val="center"/>
          </w:tcPr>
          <w:p w14:paraId="5A88A590" w14:textId="7F82502A" w:rsidR="00E527EA" w:rsidRPr="00DC3180" w:rsidRDefault="00E527EA" w:rsidP="00E527EA">
            <w:pPr>
              <w:rPr>
                <w:rFonts w:ascii="Arial" w:hAnsi="Arial"/>
              </w:rPr>
            </w:pPr>
            <w:r>
              <w:rPr>
                <w:rFonts w:ascii="Arial" w:hAnsi="Arial" w:cs="Arial"/>
                <w:color w:val="000000"/>
              </w:rPr>
              <w:t>Strong</w:t>
            </w:r>
          </w:p>
        </w:tc>
        <w:tc>
          <w:tcPr>
            <w:tcW w:w="2340" w:type="dxa"/>
            <w:tcBorders>
              <w:top w:val="nil"/>
              <w:bottom w:val="nil"/>
            </w:tcBorders>
            <w:vAlign w:val="center"/>
          </w:tcPr>
          <w:p w14:paraId="47446CCA" w14:textId="4E422B08" w:rsidR="00E527EA" w:rsidRPr="00DC3180" w:rsidRDefault="00E527EA" w:rsidP="00E527EA">
            <w:pPr>
              <w:rPr>
                <w:rFonts w:ascii="Arial" w:hAnsi="Arial" w:cs="Arial"/>
              </w:rPr>
            </w:pPr>
            <w:r>
              <w:rPr>
                <w:rFonts w:ascii="Arial" w:hAnsi="Arial" w:cs="Arial"/>
                <w:color w:val="000000"/>
              </w:rPr>
              <w:t>Limited</w:t>
            </w:r>
          </w:p>
        </w:tc>
        <w:tc>
          <w:tcPr>
            <w:tcW w:w="1980" w:type="dxa"/>
            <w:tcBorders>
              <w:top w:val="nil"/>
              <w:bottom w:val="nil"/>
            </w:tcBorders>
            <w:vAlign w:val="center"/>
          </w:tcPr>
          <w:p w14:paraId="7894901E" w14:textId="5B79A992" w:rsidR="00E527EA" w:rsidRDefault="00E527EA" w:rsidP="00E527EA">
            <w:pPr>
              <w:rPr>
                <w:rFonts w:ascii="Arial" w:hAnsi="Arial" w:cs="Arial"/>
                <w:color w:val="000000"/>
              </w:rPr>
            </w:pPr>
            <w:r>
              <w:rPr>
                <w:rFonts w:ascii="Arial" w:hAnsi="Arial" w:cs="Arial"/>
                <w:color w:val="000000"/>
              </w:rPr>
              <w:t>Divergence</w:t>
            </w:r>
          </w:p>
        </w:tc>
      </w:tr>
      <w:tr w:rsidR="00E527EA" w:rsidRPr="00DC3180" w14:paraId="19BE4116" w14:textId="7669B6BF" w:rsidTr="005C6ECB">
        <w:trPr>
          <w:jc w:val="center"/>
        </w:trPr>
        <w:tc>
          <w:tcPr>
            <w:tcW w:w="2520" w:type="dxa"/>
            <w:tcBorders>
              <w:top w:val="nil"/>
              <w:bottom w:val="nil"/>
            </w:tcBorders>
            <w:vAlign w:val="center"/>
          </w:tcPr>
          <w:p w14:paraId="6BEB5598" w14:textId="5CAF6A02" w:rsidR="00E527EA" w:rsidRPr="00DC3180" w:rsidRDefault="00E527EA" w:rsidP="00E527EA">
            <w:pPr>
              <w:rPr>
                <w:rFonts w:ascii="Arial" w:hAnsi="Arial"/>
              </w:rPr>
            </w:pPr>
            <w:r>
              <w:rPr>
                <w:rFonts w:ascii="Arial" w:hAnsi="Arial" w:cs="Arial"/>
                <w:color w:val="000000"/>
              </w:rPr>
              <w:t>Transparency</w:t>
            </w:r>
          </w:p>
        </w:tc>
        <w:tc>
          <w:tcPr>
            <w:tcW w:w="2790" w:type="dxa"/>
            <w:tcBorders>
              <w:top w:val="nil"/>
              <w:bottom w:val="nil"/>
            </w:tcBorders>
            <w:vAlign w:val="center"/>
          </w:tcPr>
          <w:p w14:paraId="3E3F9444" w14:textId="41EAF8EE" w:rsidR="00E527EA" w:rsidRPr="00DC3180" w:rsidRDefault="00E527EA" w:rsidP="00E527EA">
            <w:pPr>
              <w:rPr>
                <w:rFonts w:ascii="Arial" w:hAnsi="Arial"/>
              </w:rPr>
            </w:pPr>
            <w:r>
              <w:rPr>
                <w:rFonts w:ascii="Arial" w:hAnsi="Arial" w:cs="Arial"/>
                <w:color w:val="000000"/>
              </w:rPr>
              <w:t>Universal</w:t>
            </w:r>
          </w:p>
        </w:tc>
        <w:tc>
          <w:tcPr>
            <w:tcW w:w="2340" w:type="dxa"/>
            <w:tcBorders>
              <w:top w:val="nil"/>
              <w:bottom w:val="nil"/>
            </w:tcBorders>
            <w:vAlign w:val="center"/>
          </w:tcPr>
          <w:p w14:paraId="2827CBB2" w14:textId="7321396A" w:rsidR="00E527EA" w:rsidRPr="00DC3180" w:rsidRDefault="00E527EA" w:rsidP="00E527EA">
            <w:pPr>
              <w:rPr>
                <w:rFonts w:ascii="Arial" w:hAnsi="Arial" w:cs="Arial"/>
              </w:rPr>
            </w:pPr>
            <w:r>
              <w:rPr>
                <w:rFonts w:ascii="Arial" w:hAnsi="Arial" w:cs="Arial"/>
                <w:color w:val="000000"/>
              </w:rPr>
              <w:t>Universal</w:t>
            </w:r>
          </w:p>
        </w:tc>
        <w:tc>
          <w:tcPr>
            <w:tcW w:w="1980" w:type="dxa"/>
            <w:tcBorders>
              <w:top w:val="nil"/>
              <w:bottom w:val="nil"/>
            </w:tcBorders>
            <w:vAlign w:val="center"/>
          </w:tcPr>
          <w:p w14:paraId="5094B426" w14:textId="5CA49E4D" w:rsidR="00E527EA" w:rsidRDefault="00E527EA" w:rsidP="00E527EA">
            <w:pPr>
              <w:rPr>
                <w:rFonts w:ascii="Arial" w:hAnsi="Arial" w:cs="Arial"/>
                <w:color w:val="000000"/>
              </w:rPr>
            </w:pPr>
            <w:r>
              <w:rPr>
                <w:rFonts w:ascii="Arial" w:hAnsi="Arial" w:cs="Arial"/>
                <w:color w:val="000000"/>
              </w:rPr>
              <w:t>Full Alignment</w:t>
            </w:r>
          </w:p>
        </w:tc>
      </w:tr>
      <w:tr w:rsidR="00E527EA" w:rsidRPr="00DC3180" w14:paraId="34305152" w14:textId="73CFEBE5" w:rsidTr="005C6ECB">
        <w:trPr>
          <w:jc w:val="center"/>
        </w:trPr>
        <w:tc>
          <w:tcPr>
            <w:tcW w:w="2520" w:type="dxa"/>
            <w:tcBorders>
              <w:top w:val="nil"/>
              <w:bottom w:val="nil"/>
            </w:tcBorders>
            <w:vAlign w:val="center"/>
          </w:tcPr>
          <w:p w14:paraId="32D39F2B" w14:textId="3E124F06" w:rsidR="00E527EA" w:rsidRPr="00DC3180" w:rsidRDefault="00E527EA" w:rsidP="00E527EA">
            <w:pPr>
              <w:rPr>
                <w:rFonts w:ascii="Arial" w:hAnsi="Arial"/>
              </w:rPr>
            </w:pPr>
            <w:r>
              <w:rPr>
                <w:rFonts w:ascii="Arial" w:hAnsi="Arial" w:cs="Arial"/>
                <w:color w:val="000000"/>
              </w:rPr>
              <w:t>Outcome/Employability</w:t>
            </w:r>
          </w:p>
        </w:tc>
        <w:tc>
          <w:tcPr>
            <w:tcW w:w="2790" w:type="dxa"/>
            <w:tcBorders>
              <w:top w:val="nil"/>
              <w:bottom w:val="nil"/>
            </w:tcBorders>
            <w:vAlign w:val="center"/>
          </w:tcPr>
          <w:p w14:paraId="7B8DF49B" w14:textId="2814BCF6" w:rsidR="00E527EA" w:rsidRPr="00DC3180" w:rsidRDefault="00E527EA" w:rsidP="00E527EA">
            <w:pPr>
              <w:rPr>
                <w:rFonts w:ascii="Arial" w:hAnsi="Arial"/>
              </w:rPr>
            </w:pPr>
            <w:r>
              <w:rPr>
                <w:rFonts w:ascii="Arial" w:hAnsi="Arial" w:cs="Arial"/>
                <w:color w:val="000000"/>
              </w:rPr>
              <w:t>Moderate–High</w:t>
            </w:r>
          </w:p>
        </w:tc>
        <w:tc>
          <w:tcPr>
            <w:tcW w:w="2340" w:type="dxa"/>
            <w:tcBorders>
              <w:top w:val="nil"/>
              <w:bottom w:val="nil"/>
            </w:tcBorders>
            <w:vAlign w:val="center"/>
          </w:tcPr>
          <w:p w14:paraId="0FEDE329" w14:textId="64400984" w:rsidR="00E527EA" w:rsidRPr="00DC3180" w:rsidRDefault="00E527EA" w:rsidP="00E527EA">
            <w:pPr>
              <w:rPr>
                <w:rFonts w:ascii="Arial" w:hAnsi="Arial" w:cs="Arial"/>
              </w:rPr>
            </w:pPr>
            <w:r>
              <w:rPr>
                <w:rFonts w:ascii="Arial" w:hAnsi="Arial" w:cs="Arial"/>
                <w:color w:val="000000"/>
              </w:rPr>
              <w:t>Limited</w:t>
            </w:r>
          </w:p>
        </w:tc>
        <w:tc>
          <w:tcPr>
            <w:tcW w:w="1980" w:type="dxa"/>
            <w:tcBorders>
              <w:top w:val="nil"/>
              <w:bottom w:val="nil"/>
            </w:tcBorders>
            <w:vAlign w:val="center"/>
          </w:tcPr>
          <w:p w14:paraId="0A99A515" w14:textId="07B9FABA" w:rsidR="00E527EA" w:rsidRDefault="00E527EA" w:rsidP="00E527EA">
            <w:pPr>
              <w:rPr>
                <w:rFonts w:ascii="Arial" w:hAnsi="Arial" w:cs="Arial"/>
                <w:color w:val="000000"/>
              </w:rPr>
            </w:pPr>
            <w:r>
              <w:rPr>
                <w:rFonts w:ascii="Arial" w:hAnsi="Arial" w:cs="Arial"/>
                <w:color w:val="000000"/>
              </w:rPr>
              <w:t>Divergence</w:t>
            </w:r>
          </w:p>
        </w:tc>
      </w:tr>
      <w:tr w:rsidR="00E527EA" w:rsidRPr="00DC3180" w14:paraId="5B6A33D9" w14:textId="435ED7E4" w:rsidTr="005C6ECB">
        <w:trPr>
          <w:jc w:val="center"/>
        </w:trPr>
        <w:tc>
          <w:tcPr>
            <w:tcW w:w="2520" w:type="dxa"/>
            <w:tcBorders>
              <w:top w:val="nil"/>
              <w:bottom w:val="single" w:sz="4" w:space="0" w:color="auto"/>
            </w:tcBorders>
            <w:vAlign w:val="center"/>
          </w:tcPr>
          <w:p w14:paraId="3CAC7DD2" w14:textId="63CDA82D" w:rsidR="00E527EA" w:rsidRPr="00DC3180" w:rsidRDefault="00E527EA" w:rsidP="00E527EA">
            <w:pPr>
              <w:rPr>
                <w:rFonts w:ascii="Arial" w:hAnsi="Arial"/>
              </w:rPr>
            </w:pPr>
            <w:r>
              <w:rPr>
                <w:rFonts w:ascii="Arial" w:hAnsi="Arial" w:cs="Arial"/>
                <w:color w:val="000000"/>
              </w:rPr>
              <w:lastRenderedPageBreak/>
              <w:t>Call-to-Action</w:t>
            </w:r>
          </w:p>
        </w:tc>
        <w:tc>
          <w:tcPr>
            <w:tcW w:w="2790" w:type="dxa"/>
            <w:tcBorders>
              <w:top w:val="nil"/>
              <w:bottom w:val="single" w:sz="4" w:space="0" w:color="auto"/>
            </w:tcBorders>
            <w:vAlign w:val="center"/>
          </w:tcPr>
          <w:p w14:paraId="4063C29F" w14:textId="64F52F94" w:rsidR="00E527EA" w:rsidRPr="00DC3180" w:rsidRDefault="00E527EA" w:rsidP="00E527EA">
            <w:pPr>
              <w:rPr>
                <w:rFonts w:ascii="Arial" w:hAnsi="Arial"/>
              </w:rPr>
            </w:pPr>
            <w:r>
              <w:rPr>
                <w:rFonts w:ascii="Arial" w:hAnsi="Arial" w:cs="Arial"/>
                <w:color w:val="000000"/>
              </w:rPr>
              <w:t>Moderate</w:t>
            </w:r>
          </w:p>
        </w:tc>
        <w:tc>
          <w:tcPr>
            <w:tcW w:w="2340" w:type="dxa"/>
            <w:tcBorders>
              <w:top w:val="nil"/>
              <w:bottom w:val="single" w:sz="4" w:space="0" w:color="auto"/>
            </w:tcBorders>
            <w:vAlign w:val="center"/>
          </w:tcPr>
          <w:p w14:paraId="4E2E25BA" w14:textId="07862B29" w:rsidR="00E527EA" w:rsidRPr="00DC3180" w:rsidRDefault="00E527EA" w:rsidP="00E527EA">
            <w:pPr>
              <w:rPr>
                <w:rFonts w:ascii="Arial" w:hAnsi="Arial" w:cs="Arial"/>
              </w:rPr>
            </w:pPr>
            <w:r>
              <w:rPr>
                <w:rFonts w:ascii="Arial" w:hAnsi="Arial" w:cs="Arial"/>
                <w:color w:val="000000"/>
              </w:rPr>
              <w:t>Limited</w:t>
            </w:r>
          </w:p>
        </w:tc>
        <w:tc>
          <w:tcPr>
            <w:tcW w:w="1980" w:type="dxa"/>
            <w:tcBorders>
              <w:top w:val="nil"/>
              <w:bottom w:val="single" w:sz="4" w:space="0" w:color="auto"/>
            </w:tcBorders>
            <w:vAlign w:val="center"/>
          </w:tcPr>
          <w:p w14:paraId="288D27B0" w14:textId="41326E9B" w:rsidR="00E527EA" w:rsidRDefault="00E527EA" w:rsidP="00E527EA">
            <w:pPr>
              <w:rPr>
                <w:rFonts w:ascii="Arial" w:hAnsi="Arial" w:cs="Arial"/>
                <w:color w:val="000000"/>
              </w:rPr>
            </w:pPr>
            <w:r>
              <w:rPr>
                <w:rFonts w:ascii="Arial" w:hAnsi="Arial" w:cs="Arial"/>
                <w:color w:val="000000"/>
              </w:rPr>
              <w:t>Divergence</w:t>
            </w:r>
          </w:p>
        </w:tc>
      </w:tr>
    </w:tbl>
    <w:p w14:paraId="342F7711" w14:textId="77777777" w:rsidR="00E527EA" w:rsidRDefault="00E527EA" w:rsidP="00E527EA">
      <w:pPr>
        <w:rPr>
          <w:rFonts w:ascii="Arial" w:hAnsi="Arial" w:cs="Arial"/>
          <w:sz w:val="22"/>
          <w:szCs w:val="22"/>
          <w:lang w:val="en-PH"/>
        </w:rPr>
      </w:pPr>
    </w:p>
    <w:p w14:paraId="34ACEB4E" w14:textId="77777777" w:rsidR="00953E26" w:rsidRPr="00953E26" w:rsidRDefault="00953E26" w:rsidP="00953E26">
      <w:pPr>
        <w:rPr>
          <w:rFonts w:ascii="Times New Roman" w:hAnsi="Times New Roman"/>
          <w:sz w:val="24"/>
          <w:szCs w:val="24"/>
          <w:lang w:val="en-PH"/>
        </w:rPr>
      </w:pPr>
      <w:r w:rsidRPr="00953E26">
        <w:rPr>
          <w:rFonts w:ascii="Arial" w:hAnsi="Arial" w:cs="Arial"/>
          <w:b/>
          <w:bCs/>
          <w:color w:val="000000"/>
          <w:sz w:val="22"/>
          <w:szCs w:val="22"/>
          <w:lang w:val="en-PH"/>
        </w:rPr>
        <w:t>3.10 Consolidated Framing Patterns</w:t>
      </w:r>
    </w:p>
    <w:p w14:paraId="68CBD53E" w14:textId="77777777" w:rsidR="00953E26" w:rsidRPr="00953E26" w:rsidRDefault="00953E26" w:rsidP="00953E26">
      <w:pPr>
        <w:rPr>
          <w:rFonts w:ascii="Arial" w:hAnsi="Arial" w:cs="Arial"/>
          <w:sz w:val="22"/>
          <w:szCs w:val="22"/>
          <w:lang w:val="en-PH"/>
        </w:rPr>
      </w:pPr>
    </w:p>
    <w:p w14:paraId="6EC0976B" w14:textId="77777777" w:rsidR="00953E26" w:rsidRPr="00953E26" w:rsidRDefault="00953E26" w:rsidP="00953E26">
      <w:pPr>
        <w:rPr>
          <w:rFonts w:ascii="Times New Roman" w:hAnsi="Times New Roman"/>
          <w:sz w:val="24"/>
          <w:szCs w:val="24"/>
          <w:lang w:val="en-PH"/>
        </w:rPr>
      </w:pPr>
      <w:r w:rsidRPr="00953E26">
        <w:rPr>
          <w:rFonts w:ascii="Arial" w:hAnsi="Arial" w:cs="Arial"/>
          <w:color w:val="000000"/>
          <w:lang w:val="en-PH"/>
        </w:rPr>
        <w:t>In the global benchmark group, tuition communication often followed three main patterns: investment orientation, prestige-based justification, and employability linkage. These patterns usually appeared together, which means tuition was rarely shown as just a financial detail. Instead, it was part of larger stories about the value of the institution and future benefits. Accessibility, scholarships, and transparency were also common, but how much they were emphasized varied.</w:t>
      </w:r>
    </w:p>
    <w:p w14:paraId="6D7DD349" w14:textId="77777777" w:rsidR="00953E26" w:rsidRDefault="00953E26" w:rsidP="00953E26">
      <w:pPr>
        <w:rPr>
          <w:rFonts w:ascii="Arial" w:hAnsi="Arial" w:cs="Arial"/>
          <w:color w:val="000000"/>
          <w:lang w:val="en-PH"/>
        </w:rPr>
      </w:pPr>
      <w:r w:rsidRPr="00953E26">
        <w:rPr>
          <w:rFonts w:ascii="Arial" w:hAnsi="Arial" w:cs="Arial"/>
          <w:color w:val="000000"/>
          <w:lang w:val="en-PH"/>
        </w:rPr>
        <w:t>The Philippine institution showed similar patterns in transparency and accessibility, but differed in the extent to which it used value-focused messages. This suggests that while the way tuition is shared may follow global standards, the way schools build their tuition stories depends on their market focus and position. These findings form the basis for the theories discussed in the next section.</w:t>
      </w:r>
    </w:p>
    <w:p w14:paraId="68F98DB4" w14:textId="77777777" w:rsidR="00953E26" w:rsidRDefault="00953E26" w:rsidP="00953E26">
      <w:pPr>
        <w:rPr>
          <w:rFonts w:ascii="Arial" w:hAnsi="Arial" w:cs="Arial"/>
          <w:color w:val="000000"/>
          <w:lang w:val="en-PH"/>
        </w:rPr>
      </w:pPr>
    </w:p>
    <w:p w14:paraId="51B68619" w14:textId="77777777" w:rsidR="00953E26" w:rsidRPr="00953E26" w:rsidRDefault="00953E26" w:rsidP="00953E26">
      <w:pPr>
        <w:rPr>
          <w:rFonts w:ascii="Times New Roman" w:hAnsi="Times New Roman"/>
          <w:sz w:val="24"/>
          <w:szCs w:val="24"/>
          <w:lang w:val="en-PH"/>
        </w:rPr>
      </w:pPr>
      <w:r w:rsidRPr="00953E26">
        <w:rPr>
          <w:rFonts w:ascii="Arial" w:hAnsi="Arial" w:cs="Arial"/>
          <w:b/>
          <w:bCs/>
          <w:color w:val="000000"/>
          <w:sz w:val="22"/>
          <w:szCs w:val="22"/>
          <w:lang w:val="en-PH"/>
        </w:rPr>
        <w:t>4. DISCUSSION</w:t>
      </w:r>
    </w:p>
    <w:p w14:paraId="62435D66" w14:textId="77777777" w:rsidR="00953E26" w:rsidRPr="00953E26" w:rsidRDefault="00953E26" w:rsidP="00953E26">
      <w:pPr>
        <w:rPr>
          <w:rFonts w:ascii="Arial" w:hAnsi="Arial" w:cs="Arial"/>
          <w:sz w:val="22"/>
          <w:szCs w:val="22"/>
          <w:lang w:val="en-PH"/>
        </w:rPr>
      </w:pPr>
    </w:p>
    <w:p w14:paraId="4D62F69C" w14:textId="77777777" w:rsidR="00953E26" w:rsidRPr="0068224B" w:rsidRDefault="00953E26" w:rsidP="0068224B">
      <w:pPr>
        <w:rPr>
          <w:rFonts w:ascii="Arial" w:hAnsi="Arial" w:cs="Arial"/>
          <w:sz w:val="22"/>
          <w:szCs w:val="22"/>
          <w:lang w:val="en-PH"/>
        </w:rPr>
      </w:pPr>
      <w:r w:rsidRPr="0068224B">
        <w:rPr>
          <w:rFonts w:ascii="Arial" w:hAnsi="Arial" w:cs="Arial"/>
          <w:b/>
          <w:bCs/>
          <w:color w:val="000000"/>
          <w:sz w:val="22"/>
          <w:szCs w:val="22"/>
          <w:lang w:val="en-PH"/>
        </w:rPr>
        <w:t>4.1 Tuition as Strategic Value Construction through Framing</w:t>
      </w:r>
    </w:p>
    <w:p w14:paraId="689B8F5E" w14:textId="77777777" w:rsidR="00953E26" w:rsidRPr="0068224B" w:rsidRDefault="00953E26" w:rsidP="0068224B">
      <w:pPr>
        <w:rPr>
          <w:rFonts w:ascii="Arial" w:hAnsi="Arial" w:cs="Arial"/>
          <w:lang w:val="en-PH"/>
        </w:rPr>
      </w:pPr>
    </w:p>
    <w:p w14:paraId="7F3ED19B" w14:textId="77777777" w:rsidR="0068224B" w:rsidRPr="0068224B" w:rsidRDefault="0068224B" w:rsidP="0068224B">
      <w:pPr>
        <w:rPr>
          <w:rFonts w:ascii="Arial" w:hAnsi="Arial" w:cs="Arial"/>
          <w:lang w:val="en-PH"/>
        </w:rPr>
      </w:pPr>
      <w:r w:rsidRPr="0068224B">
        <w:rPr>
          <w:rFonts w:ascii="Arial" w:hAnsi="Arial" w:cs="Arial"/>
          <w:lang w:val="en-PH"/>
        </w:rPr>
        <w:t>The findings show that tuition webpages are used to build strategic value, not just to share costs. At leading institutions worldwide, tuition is often described in terms of investment, prestige, and future opportunities. Rather than treating tuition as only a financial requirement, these schools connect cost information to career paths, institutional quality, and long-term benefits.</w:t>
      </w:r>
    </w:p>
    <w:p w14:paraId="27FC2796" w14:textId="77777777" w:rsidR="0068224B" w:rsidRPr="0068224B" w:rsidRDefault="0068224B" w:rsidP="0068224B">
      <w:pPr>
        <w:rPr>
          <w:rFonts w:ascii="Arial" w:hAnsi="Arial" w:cs="Arial"/>
          <w:lang w:val="en-PH"/>
        </w:rPr>
      </w:pPr>
      <w:r w:rsidRPr="0068224B">
        <w:rPr>
          <w:rFonts w:ascii="Arial" w:hAnsi="Arial" w:cs="Arial"/>
          <w:lang w:val="en-PH"/>
        </w:rPr>
        <w:t>This pattern builds on earlier research about higher education branding and digital communication (Gómez-</w:t>
      </w:r>
      <w:proofErr w:type="spellStart"/>
      <w:r w:rsidRPr="0068224B">
        <w:rPr>
          <w:rFonts w:ascii="Arial" w:hAnsi="Arial" w:cs="Arial"/>
          <w:lang w:val="en-PH"/>
        </w:rPr>
        <w:t>Bayona</w:t>
      </w:r>
      <w:proofErr w:type="spellEnd"/>
      <w:r w:rsidRPr="0068224B">
        <w:rPr>
          <w:rFonts w:ascii="Arial" w:hAnsi="Arial" w:cs="Arial"/>
          <w:lang w:val="en-PH"/>
        </w:rPr>
        <w:t xml:space="preserve"> et al., 2024; </w:t>
      </w:r>
      <w:proofErr w:type="spellStart"/>
      <w:r w:rsidRPr="0068224B">
        <w:rPr>
          <w:rFonts w:ascii="Arial" w:hAnsi="Arial" w:cs="Arial"/>
          <w:lang w:val="en-PH"/>
        </w:rPr>
        <w:t>Santizo</w:t>
      </w:r>
      <w:proofErr w:type="spellEnd"/>
      <w:r w:rsidRPr="0068224B">
        <w:rPr>
          <w:rFonts w:ascii="Arial" w:hAnsi="Arial" w:cs="Arial"/>
          <w:lang w:val="en-PH"/>
        </w:rPr>
        <w:t xml:space="preserve"> &amp; Hurtado, 2024), showing that tuition pages are carefully designed to shape meaning. Following Framing Theory (</w:t>
      </w:r>
      <w:proofErr w:type="spellStart"/>
      <w:r w:rsidRPr="0068224B">
        <w:rPr>
          <w:rFonts w:ascii="Arial" w:hAnsi="Arial" w:cs="Arial"/>
          <w:lang w:val="en-PH"/>
        </w:rPr>
        <w:t>Entman</w:t>
      </w:r>
      <w:proofErr w:type="spellEnd"/>
      <w:r w:rsidRPr="0068224B">
        <w:rPr>
          <w:rFonts w:ascii="Arial" w:hAnsi="Arial" w:cs="Arial"/>
          <w:lang w:val="en-PH"/>
        </w:rPr>
        <w:t>, 1993), institutions focus on investment language, job prospects, and prestige to shape how students see costs. The way websites are designed and organized also supports these messages, which matches findings that online structure affects how people view institutions and behave (</w:t>
      </w:r>
      <w:proofErr w:type="spellStart"/>
      <w:r w:rsidRPr="0068224B">
        <w:rPr>
          <w:rFonts w:ascii="Arial" w:hAnsi="Arial" w:cs="Arial"/>
          <w:lang w:val="en-PH"/>
        </w:rPr>
        <w:t>Zeqiri</w:t>
      </w:r>
      <w:proofErr w:type="spellEnd"/>
      <w:r w:rsidRPr="0068224B">
        <w:rPr>
          <w:rFonts w:ascii="Arial" w:hAnsi="Arial" w:cs="Arial"/>
          <w:lang w:val="en-PH"/>
        </w:rPr>
        <w:t xml:space="preserve"> et al., 2023).</w:t>
      </w:r>
    </w:p>
    <w:p w14:paraId="0F877E23" w14:textId="77777777" w:rsidR="0068224B" w:rsidRPr="0068224B" w:rsidRDefault="0068224B" w:rsidP="0068224B">
      <w:pPr>
        <w:rPr>
          <w:rFonts w:ascii="Arial" w:hAnsi="Arial" w:cs="Arial"/>
          <w:lang w:val="en-PH"/>
        </w:rPr>
      </w:pPr>
      <w:r w:rsidRPr="0068224B">
        <w:rPr>
          <w:rFonts w:ascii="Arial" w:hAnsi="Arial" w:cs="Arial"/>
          <w:lang w:val="en-PH"/>
        </w:rPr>
        <w:t xml:space="preserve">In contrast, the Philippine institution focused on being transparent and accessible, using less investment and prestige language near tuition details. This shows that how strongly tuition is framed depends on the institution’s goals and competition. While transparency builds trust, framing tuition as an investment adds symbolic value. Overall, these findings show that tuition communication is a </w:t>
      </w:r>
      <w:proofErr w:type="gramStart"/>
      <w:r w:rsidRPr="0068224B">
        <w:rPr>
          <w:rFonts w:ascii="Arial" w:hAnsi="Arial" w:cs="Arial"/>
          <w:lang w:val="en-PH"/>
        </w:rPr>
        <w:t>key way institutions</w:t>
      </w:r>
      <w:proofErr w:type="gramEnd"/>
      <w:r w:rsidRPr="0068224B">
        <w:rPr>
          <w:rFonts w:ascii="Arial" w:hAnsi="Arial" w:cs="Arial"/>
          <w:lang w:val="en-PH"/>
        </w:rPr>
        <w:t xml:space="preserve"> build value in systems that rely on tuition.</w:t>
      </w:r>
    </w:p>
    <w:p w14:paraId="50A3D890" w14:textId="77777777" w:rsidR="00667A03" w:rsidRPr="0068224B" w:rsidRDefault="00667A03" w:rsidP="0068224B">
      <w:pPr>
        <w:rPr>
          <w:rFonts w:ascii="Arial" w:hAnsi="Arial" w:cs="Arial"/>
          <w:color w:val="000000"/>
          <w:lang w:val="en-PH"/>
        </w:rPr>
      </w:pPr>
    </w:p>
    <w:p w14:paraId="615889A0" w14:textId="77777777" w:rsidR="00667A03" w:rsidRPr="00681868" w:rsidRDefault="00667A03" w:rsidP="0068224B">
      <w:pPr>
        <w:rPr>
          <w:rFonts w:ascii="Arial" w:hAnsi="Arial" w:cs="Arial"/>
          <w:sz w:val="22"/>
          <w:szCs w:val="22"/>
          <w:lang w:val="en-PH"/>
        </w:rPr>
      </w:pPr>
      <w:r w:rsidRPr="00681868">
        <w:rPr>
          <w:rFonts w:ascii="Arial" w:hAnsi="Arial" w:cs="Arial"/>
          <w:b/>
          <w:bCs/>
          <w:color w:val="000000"/>
          <w:sz w:val="22"/>
          <w:szCs w:val="22"/>
          <w:lang w:val="en-PH"/>
        </w:rPr>
        <w:t>4.2 Tuition as Institutional Quality Signaling in Competitive Markets</w:t>
      </w:r>
    </w:p>
    <w:p w14:paraId="1CA4A495" w14:textId="77777777" w:rsidR="00667A03" w:rsidRPr="00681868" w:rsidRDefault="00667A03" w:rsidP="00681868">
      <w:pPr>
        <w:rPr>
          <w:rFonts w:ascii="Arial" w:hAnsi="Arial" w:cs="Arial"/>
          <w:lang w:val="en-PH"/>
        </w:rPr>
      </w:pPr>
    </w:p>
    <w:p w14:paraId="4B00D126" w14:textId="77777777" w:rsidR="00681868" w:rsidRPr="00681868" w:rsidRDefault="00681868" w:rsidP="00681868">
      <w:pPr>
        <w:rPr>
          <w:rFonts w:ascii="Arial" w:hAnsi="Arial" w:cs="Arial"/>
          <w:lang w:val="en-PH"/>
        </w:rPr>
      </w:pPr>
      <w:r w:rsidRPr="00681868">
        <w:rPr>
          <w:rFonts w:ascii="Arial" w:hAnsi="Arial" w:cs="Arial"/>
          <w:lang w:val="en-PH"/>
        </w:rPr>
        <w:t>The results show that tuition webpages also act as signals in situations where information is uneven. Prospective students cannot see instructional quality or graduate outcomes before enrolling. To address this, leading institutions present tuition details next to clear signals like rankings, accreditation, employability data, and cost breakdowns. Together, these features connect price with perceived quality and institutional trustworthiness.</w:t>
      </w:r>
    </w:p>
    <w:p w14:paraId="79646C5A" w14:textId="77777777" w:rsidR="00681868" w:rsidRPr="00681868" w:rsidRDefault="00681868" w:rsidP="00681868">
      <w:pPr>
        <w:rPr>
          <w:rFonts w:ascii="Arial" w:hAnsi="Arial" w:cs="Arial"/>
          <w:lang w:val="en-PH"/>
        </w:rPr>
      </w:pPr>
      <w:r w:rsidRPr="00681868">
        <w:rPr>
          <w:rFonts w:ascii="Arial" w:hAnsi="Arial" w:cs="Arial"/>
          <w:lang w:val="en-PH"/>
        </w:rPr>
        <w:t>This pattern matches Signaling Theory (Spence, 1973; Connelly et al., 2011), which describes how organizations use visible signs to lower uncertainty in competitive markets. Placing rankings and accreditation near tuition figures made the cost seem more justified, supporting research that shows external validation builds credibility and sets institutions apart in higher education (</w:t>
      </w:r>
      <w:proofErr w:type="spellStart"/>
      <w:r w:rsidRPr="00681868">
        <w:rPr>
          <w:rFonts w:ascii="Arial" w:hAnsi="Arial" w:cs="Arial"/>
          <w:lang w:val="en-PH"/>
        </w:rPr>
        <w:t>Hazelkorn</w:t>
      </w:r>
      <w:proofErr w:type="spellEnd"/>
      <w:r w:rsidRPr="00681868">
        <w:rPr>
          <w:rFonts w:ascii="Arial" w:hAnsi="Arial" w:cs="Arial"/>
          <w:lang w:val="en-PH"/>
        </w:rPr>
        <w:t xml:space="preserve">, 2018; </w:t>
      </w:r>
      <w:proofErr w:type="spellStart"/>
      <w:r w:rsidRPr="00681868">
        <w:rPr>
          <w:rFonts w:ascii="Arial" w:hAnsi="Arial" w:cs="Arial"/>
          <w:lang w:val="en-PH"/>
        </w:rPr>
        <w:t>Kethüda</w:t>
      </w:r>
      <w:proofErr w:type="spellEnd"/>
      <w:r w:rsidRPr="00681868">
        <w:rPr>
          <w:rFonts w:ascii="Arial" w:hAnsi="Arial" w:cs="Arial"/>
          <w:lang w:val="en-PH"/>
        </w:rPr>
        <w:t>, 2022). Transparency also served as a basic credibility signal, in line with studies that highlight the value of clear financial information online (Ramírez &amp; Montero, 2024).</w:t>
      </w:r>
    </w:p>
    <w:p w14:paraId="1C9DB8D3" w14:textId="77777777" w:rsidR="00681868" w:rsidRPr="00681868" w:rsidRDefault="00681868" w:rsidP="00681868">
      <w:pPr>
        <w:rPr>
          <w:rFonts w:ascii="Arial" w:hAnsi="Arial" w:cs="Arial"/>
          <w:lang w:val="en-PH"/>
        </w:rPr>
      </w:pPr>
      <w:r w:rsidRPr="00681868">
        <w:rPr>
          <w:rFonts w:ascii="Arial" w:hAnsi="Arial" w:cs="Arial"/>
          <w:lang w:val="en-PH"/>
        </w:rPr>
        <w:lastRenderedPageBreak/>
        <w:t>In contrast, the Philippine institution mainly used transparency as its main signal, with fewer signs of prestige or outcomes on its tuition pages. This points to a simpler signaling approach, where credibility comes from clear procedures instead of many symbolic cues. These findings add to signaling research by showing how tuition webpages use different credibility markers to support price and strengthen institutional reputation in global markets.</w:t>
      </w:r>
    </w:p>
    <w:p w14:paraId="06120050" w14:textId="77777777" w:rsidR="00667A03" w:rsidRPr="00681868" w:rsidRDefault="00667A03" w:rsidP="00681868">
      <w:pPr>
        <w:rPr>
          <w:rFonts w:ascii="Arial" w:hAnsi="Arial" w:cs="Arial"/>
          <w:lang w:val="en-PH"/>
        </w:rPr>
      </w:pPr>
    </w:p>
    <w:p w14:paraId="7BA2BCC0" w14:textId="77777777" w:rsidR="00667A03" w:rsidRPr="00667A03" w:rsidRDefault="00667A03" w:rsidP="00667A03">
      <w:pPr>
        <w:rPr>
          <w:rFonts w:ascii="Times New Roman" w:hAnsi="Times New Roman"/>
          <w:sz w:val="24"/>
          <w:szCs w:val="24"/>
          <w:lang w:val="en-PH"/>
        </w:rPr>
      </w:pPr>
      <w:r w:rsidRPr="00667A03">
        <w:rPr>
          <w:rFonts w:ascii="Arial" w:hAnsi="Arial" w:cs="Arial"/>
          <w:b/>
          <w:bCs/>
          <w:color w:val="000000"/>
          <w:sz w:val="22"/>
          <w:szCs w:val="22"/>
          <w:lang w:val="en-PH"/>
        </w:rPr>
        <w:t>4.3 Convergence and Divergence in Global Tuition Communication</w:t>
      </w:r>
    </w:p>
    <w:p w14:paraId="2D2FFABA" w14:textId="77777777" w:rsidR="00667A03" w:rsidRPr="00F811A5" w:rsidRDefault="00667A03" w:rsidP="00F811A5">
      <w:pPr>
        <w:rPr>
          <w:rFonts w:ascii="Arial" w:hAnsi="Arial" w:cs="Arial"/>
          <w:sz w:val="22"/>
          <w:szCs w:val="22"/>
          <w:lang w:val="en-PH"/>
        </w:rPr>
      </w:pPr>
    </w:p>
    <w:p w14:paraId="66E3403D" w14:textId="77777777" w:rsidR="00F811A5" w:rsidRPr="00F811A5" w:rsidRDefault="00F811A5" w:rsidP="00F811A5">
      <w:pPr>
        <w:rPr>
          <w:rFonts w:ascii="Arial" w:hAnsi="Arial" w:cs="Arial"/>
          <w:lang w:val="en-PH"/>
        </w:rPr>
      </w:pPr>
      <w:r w:rsidRPr="00F811A5">
        <w:rPr>
          <w:rFonts w:ascii="Arial" w:hAnsi="Arial" w:cs="Arial"/>
          <w:lang w:val="en-PH"/>
        </w:rPr>
        <w:t>The results show that universities are both similar and different in how they share tuition information. All seven universities provided clear and organized tuition details, which suggests that transparency is now expected in higher education. This similarity is likely due to growing accountability demands, as universities respond to outside stakeholders by reporting more clearly (</w:t>
      </w:r>
      <w:proofErr w:type="spellStart"/>
      <w:r w:rsidRPr="00F811A5">
        <w:rPr>
          <w:rFonts w:ascii="Arial" w:hAnsi="Arial" w:cs="Arial"/>
          <w:lang w:val="en-PH"/>
        </w:rPr>
        <w:t>Pattaro</w:t>
      </w:r>
      <w:proofErr w:type="spellEnd"/>
      <w:r w:rsidRPr="00F811A5">
        <w:rPr>
          <w:rFonts w:ascii="Arial" w:hAnsi="Arial" w:cs="Arial"/>
          <w:lang w:val="en-PH"/>
        </w:rPr>
        <w:t xml:space="preserve">, Moura e Sá, &amp; de </w:t>
      </w:r>
      <w:proofErr w:type="spellStart"/>
      <w:r w:rsidRPr="00F811A5">
        <w:rPr>
          <w:rFonts w:ascii="Arial" w:hAnsi="Arial" w:cs="Arial"/>
          <w:lang w:val="en-PH"/>
        </w:rPr>
        <w:t>Kruijf</w:t>
      </w:r>
      <w:proofErr w:type="spellEnd"/>
      <w:r w:rsidRPr="00F811A5">
        <w:rPr>
          <w:rFonts w:ascii="Arial" w:hAnsi="Arial" w:cs="Arial"/>
          <w:lang w:val="en-PH"/>
        </w:rPr>
        <w:t>, 2022). As a result, transparency is now a basic standard rather than a way to stand out.</w:t>
      </w:r>
    </w:p>
    <w:p w14:paraId="372447D1" w14:textId="77777777" w:rsidR="00F811A5" w:rsidRPr="00F811A5" w:rsidRDefault="00F811A5" w:rsidP="00F811A5">
      <w:pPr>
        <w:rPr>
          <w:rFonts w:ascii="Arial" w:hAnsi="Arial" w:cs="Arial"/>
          <w:lang w:val="en-PH"/>
        </w:rPr>
      </w:pPr>
      <w:r w:rsidRPr="00F811A5">
        <w:rPr>
          <w:rFonts w:ascii="Arial" w:hAnsi="Arial" w:cs="Arial"/>
          <w:lang w:val="en-PH"/>
        </w:rPr>
        <w:t>However, universities differed in how they added signals of prestige and outcomes to their tuition information. The top global universities often included rankings, accreditations, and job placement data near tuition details, connecting costs to quality and future benefits. This matches research showing that outside validation affects how credible and competitive a university appears (</w:t>
      </w:r>
      <w:proofErr w:type="spellStart"/>
      <w:r w:rsidRPr="00F811A5">
        <w:rPr>
          <w:rFonts w:ascii="Arial" w:hAnsi="Arial" w:cs="Arial"/>
          <w:lang w:val="en-PH"/>
        </w:rPr>
        <w:t>Bafera</w:t>
      </w:r>
      <w:proofErr w:type="spellEnd"/>
      <w:r w:rsidRPr="00F811A5">
        <w:rPr>
          <w:rFonts w:ascii="Arial" w:hAnsi="Arial" w:cs="Arial"/>
          <w:lang w:val="en-PH"/>
        </w:rPr>
        <w:t xml:space="preserve"> &amp; Kleinert, 2023; </w:t>
      </w:r>
      <w:proofErr w:type="spellStart"/>
      <w:r w:rsidRPr="00F811A5">
        <w:rPr>
          <w:rFonts w:ascii="Arial" w:hAnsi="Arial" w:cs="Arial"/>
          <w:lang w:val="en-PH"/>
        </w:rPr>
        <w:t>Kethüda</w:t>
      </w:r>
      <w:proofErr w:type="spellEnd"/>
      <w:r w:rsidRPr="00F811A5">
        <w:rPr>
          <w:rFonts w:ascii="Arial" w:hAnsi="Arial" w:cs="Arial"/>
          <w:lang w:val="en-PH"/>
        </w:rPr>
        <w:t>, 2022). In comparison, the Philippine university showed tuition clearly but included fewer signs of prestige on its tuition pages.</w:t>
      </w:r>
    </w:p>
    <w:p w14:paraId="05E3E6BC" w14:textId="77777777" w:rsidR="00F811A5" w:rsidRPr="00F811A5" w:rsidRDefault="00F811A5" w:rsidP="00F811A5">
      <w:pPr>
        <w:rPr>
          <w:rFonts w:ascii="Arial" w:hAnsi="Arial" w:cs="Arial"/>
          <w:lang w:val="en-PH"/>
        </w:rPr>
      </w:pPr>
      <w:r w:rsidRPr="00F811A5">
        <w:rPr>
          <w:rFonts w:ascii="Arial" w:hAnsi="Arial" w:cs="Arial"/>
          <w:lang w:val="en-PH"/>
        </w:rPr>
        <w:t xml:space="preserve">These differences show that while transparency is becoming more common worldwide, how strongly universities highlight their value and status still varies. Schools in more competitive and performance-driven environments are more likely to add special markers of distinction to their tuition information (De Boer, Huisman, &amp; </w:t>
      </w:r>
      <w:proofErr w:type="spellStart"/>
      <w:r w:rsidRPr="00F811A5">
        <w:rPr>
          <w:rFonts w:ascii="Arial" w:hAnsi="Arial" w:cs="Arial"/>
          <w:lang w:val="en-PH"/>
        </w:rPr>
        <w:t>Seeber</w:t>
      </w:r>
      <w:proofErr w:type="spellEnd"/>
      <w:r w:rsidRPr="00F811A5">
        <w:rPr>
          <w:rFonts w:ascii="Arial" w:hAnsi="Arial" w:cs="Arial"/>
          <w:lang w:val="en-PH"/>
        </w:rPr>
        <w:t>, 2022). This study adds to the research by showing that tuition webpages are not just for sharing information—they also help universities position themselves strategically, depending on their context.</w:t>
      </w:r>
    </w:p>
    <w:p w14:paraId="510A57C2" w14:textId="77777777" w:rsidR="00F4792A" w:rsidRPr="00F811A5" w:rsidRDefault="00F4792A" w:rsidP="00F811A5">
      <w:pPr>
        <w:rPr>
          <w:rFonts w:ascii="Arial" w:hAnsi="Arial" w:cs="Arial"/>
          <w:color w:val="000000"/>
          <w:sz w:val="22"/>
          <w:szCs w:val="22"/>
          <w:lang w:val="en-PH"/>
        </w:rPr>
      </w:pPr>
    </w:p>
    <w:p w14:paraId="4AAB82F2" w14:textId="77777777" w:rsidR="00F4792A" w:rsidRPr="00F4792A" w:rsidRDefault="00F4792A" w:rsidP="00F4792A">
      <w:pPr>
        <w:rPr>
          <w:rFonts w:ascii="Times New Roman" w:hAnsi="Times New Roman"/>
          <w:sz w:val="24"/>
          <w:szCs w:val="24"/>
          <w:lang w:val="en-PH"/>
        </w:rPr>
      </w:pPr>
      <w:r w:rsidRPr="00F4792A">
        <w:rPr>
          <w:rFonts w:ascii="Arial" w:hAnsi="Arial" w:cs="Arial"/>
          <w:b/>
          <w:bCs/>
          <w:color w:val="000000"/>
          <w:sz w:val="22"/>
          <w:szCs w:val="22"/>
          <w:lang w:val="en-PH"/>
        </w:rPr>
        <w:t>4.4 Tuition Pages as Digital Recruitment and Conversion Interfaces</w:t>
      </w:r>
    </w:p>
    <w:p w14:paraId="30CB4FA9" w14:textId="77777777" w:rsidR="00F4792A" w:rsidRPr="003651B8" w:rsidRDefault="00F4792A" w:rsidP="003651B8">
      <w:pPr>
        <w:rPr>
          <w:rFonts w:ascii="Arial" w:hAnsi="Arial" w:cs="Arial"/>
          <w:sz w:val="22"/>
          <w:szCs w:val="22"/>
          <w:lang w:val="en-PH"/>
        </w:rPr>
      </w:pPr>
    </w:p>
    <w:p w14:paraId="7F94F4DA" w14:textId="77777777" w:rsidR="003651B8" w:rsidRPr="003651B8" w:rsidRDefault="003651B8" w:rsidP="003651B8">
      <w:pPr>
        <w:rPr>
          <w:rFonts w:ascii="Arial" w:hAnsi="Arial" w:cs="Arial"/>
          <w:lang w:val="en-PH"/>
        </w:rPr>
      </w:pPr>
      <w:r w:rsidRPr="003651B8">
        <w:rPr>
          <w:rFonts w:ascii="Arial" w:hAnsi="Arial" w:cs="Arial"/>
          <w:lang w:val="en-PH"/>
        </w:rPr>
        <w:t>The findings show that tuition webpages serve as both sources of information and tools for recruiting students. In the global benchmark group, tuition details are linked directly to application portals, inquiry forms, enrollment deadlines, and event sign-ups. This setup suggests that tuition pages are designed to help prospective students move from simply gathering information to actually enrolling. Instead of being just disclosure pages, they are part of a larger strategy to guide students through the enrollment process.</w:t>
      </w:r>
    </w:p>
    <w:p w14:paraId="10825C23" w14:textId="77777777" w:rsidR="003651B8" w:rsidRPr="003651B8" w:rsidRDefault="003651B8" w:rsidP="003651B8">
      <w:pPr>
        <w:rPr>
          <w:rFonts w:ascii="Arial" w:hAnsi="Arial" w:cs="Arial"/>
          <w:lang w:val="en-PH"/>
        </w:rPr>
      </w:pPr>
      <w:r w:rsidRPr="003651B8">
        <w:rPr>
          <w:rFonts w:ascii="Arial" w:hAnsi="Arial" w:cs="Arial"/>
          <w:lang w:val="en-PH"/>
        </w:rPr>
        <w:t xml:space="preserve">This pattern matches research showing that digital environments affect how users navigate and make decisions (Dwivedi et al., 2021). Clear structure and action-focused design help reduce uncertainty and guide users’ actions. Other studies also show that website layout and where calls-to-action are placed can influence how users engage and whether they take the next step, especially in important decisions (Zhang, Ding, &amp; Xu, 2024; </w:t>
      </w:r>
      <w:proofErr w:type="spellStart"/>
      <w:r w:rsidRPr="003651B8">
        <w:rPr>
          <w:rFonts w:ascii="Arial" w:hAnsi="Arial" w:cs="Arial"/>
          <w:lang w:val="en-PH"/>
        </w:rPr>
        <w:t>Tanase</w:t>
      </w:r>
      <w:proofErr w:type="spellEnd"/>
      <w:r w:rsidRPr="003651B8">
        <w:rPr>
          <w:rFonts w:ascii="Arial" w:hAnsi="Arial" w:cs="Arial"/>
          <w:lang w:val="en-PH"/>
        </w:rPr>
        <w:t xml:space="preserve"> et al., 2025). Placing application prompts and urgency cues next to tuition information makes tuition pages more persuasive.</w:t>
      </w:r>
    </w:p>
    <w:p w14:paraId="741577D0" w14:textId="77777777" w:rsidR="003651B8" w:rsidRPr="003651B8" w:rsidRDefault="003651B8" w:rsidP="003651B8">
      <w:pPr>
        <w:rPr>
          <w:rFonts w:ascii="Arial" w:hAnsi="Arial" w:cs="Arial"/>
          <w:lang w:val="en-PH"/>
        </w:rPr>
      </w:pPr>
      <w:r w:rsidRPr="003651B8">
        <w:rPr>
          <w:rFonts w:ascii="Arial" w:hAnsi="Arial" w:cs="Arial"/>
          <w:lang w:val="en-PH"/>
        </w:rPr>
        <w:t>In contrast, the Philippine institution had fewer calls-to-action on its tuition pages, keeping cost information separate from enrollment prompts. This shows a focus on providing information rather than using tuition pages as a recruitment tool. These findings add to the literature by showing that tuition pages can serve as sources of information, help build reputation, and support transactions in competitive, tuition-driven systems.</w:t>
      </w:r>
    </w:p>
    <w:p w14:paraId="7C874D35" w14:textId="77777777" w:rsidR="00F4792A" w:rsidRPr="003651B8" w:rsidRDefault="00F4792A" w:rsidP="00F4792A">
      <w:pPr>
        <w:rPr>
          <w:rFonts w:ascii="Arial" w:hAnsi="Arial" w:cs="Arial"/>
          <w:sz w:val="22"/>
          <w:szCs w:val="22"/>
          <w:lang w:val="en-PH"/>
        </w:rPr>
      </w:pPr>
    </w:p>
    <w:p w14:paraId="6DA9EBF4" w14:textId="77777777" w:rsidR="00F4792A" w:rsidRPr="00F4792A" w:rsidRDefault="00F4792A" w:rsidP="00F4792A">
      <w:pPr>
        <w:rPr>
          <w:rFonts w:ascii="Times New Roman" w:hAnsi="Times New Roman"/>
          <w:sz w:val="24"/>
          <w:szCs w:val="24"/>
          <w:lang w:val="en-PH"/>
        </w:rPr>
      </w:pPr>
      <w:r w:rsidRPr="00F4792A">
        <w:rPr>
          <w:rFonts w:ascii="Arial" w:hAnsi="Arial" w:cs="Arial"/>
          <w:b/>
          <w:bCs/>
          <w:color w:val="000000"/>
          <w:sz w:val="22"/>
          <w:szCs w:val="22"/>
          <w:lang w:val="en-PH"/>
        </w:rPr>
        <w:t>4.5 Theoretical Contributions</w:t>
      </w:r>
    </w:p>
    <w:p w14:paraId="2ACDD9AA" w14:textId="77777777" w:rsidR="00F4792A" w:rsidRPr="006121FE" w:rsidRDefault="00F4792A" w:rsidP="006121FE">
      <w:pPr>
        <w:rPr>
          <w:rFonts w:ascii="Arial" w:hAnsi="Arial" w:cs="Arial"/>
          <w:sz w:val="22"/>
          <w:szCs w:val="22"/>
          <w:lang w:val="en-PH"/>
        </w:rPr>
      </w:pPr>
    </w:p>
    <w:p w14:paraId="28789139" w14:textId="77777777" w:rsidR="006121FE" w:rsidRPr="006121FE" w:rsidRDefault="006121FE" w:rsidP="006121FE">
      <w:pPr>
        <w:rPr>
          <w:rFonts w:ascii="Arial" w:hAnsi="Arial" w:cs="Arial"/>
          <w:lang w:val="en-PH"/>
        </w:rPr>
      </w:pPr>
      <w:r w:rsidRPr="006121FE">
        <w:rPr>
          <w:rFonts w:ascii="Arial" w:hAnsi="Arial" w:cs="Arial"/>
          <w:lang w:val="en-PH"/>
        </w:rPr>
        <w:t xml:space="preserve">This study advances understanding of tuition communication by showing how Framing Theory and Signaling Theory work together on university websites. Instead of seeing tuition disclosure as just routine reporting, the findings reveal that cost information is presented </w:t>
      </w:r>
      <w:r w:rsidRPr="006121FE">
        <w:rPr>
          <w:rFonts w:ascii="Arial" w:hAnsi="Arial" w:cs="Arial"/>
          <w:lang w:val="en-PH"/>
        </w:rPr>
        <w:lastRenderedPageBreak/>
        <w:t>within stories that highlight investment value, employability, prestige, and accessibility. This approach expands Framing Theory (</w:t>
      </w:r>
      <w:proofErr w:type="spellStart"/>
      <w:r w:rsidRPr="006121FE">
        <w:rPr>
          <w:rFonts w:ascii="Arial" w:hAnsi="Arial" w:cs="Arial"/>
          <w:lang w:val="en-PH"/>
        </w:rPr>
        <w:t>Entman</w:t>
      </w:r>
      <w:proofErr w:type="spellEnd"/>
      <w:r w:rsidRPr="006121FE">
        <w:rPr>
          <w:rFonts w:ascii="Arial" w:hAnsi="Arial" w:cs="Arial"/>
          <w:lang w:val="en-PH"/>
        </w:rPr>
        <w:t>, 1993) to tuition communication, showing how financial details are carefully shaped to influence interpretation in the competitive world of higher education.</w:t>
      </w:r>
    </w:p>
    <w:p w14:paraId="3467FED1" w14:textId="77777777" w:rsidR="006121FE" w:rsidRPr="006121FE" w:rsidRDefault="006121FE" w:rsidP="006121FE">
      <w:pPr>
        <w:rPr>
          <w:rFonts w:ascii="Arial" w:hAnsi="Arial" w:cs="Arial"/>
          <w:lang w:val="en-PH"/>
        </w:rPr>
      </w:pPr>
      <w:r w:rsidRPr="006121FE">
        <w:rPr>
          <w:rFonts w:ascii="Arial" w:hAnsi="Arial" w:cs="Arial"/>
          <w:lang w:val="en-PH"/>
        </w:rPr>
        <w:t>The results also refine framing scholarship in digital contexts. Prior research emphasizes that framing remains influential in complex information environments where many signals interact (Berk, 2025). This study provides evidence by showing how tuition webpages combine text, rankings, outcome data, and layout to create clear value stories, rather than just sharing separate pieces of information.</w:t>
      </w:r>
    </w:p>
    <w:p w14:paraId="14A759DE" w14:textId="77777777" w:rsidR="006121FE" w:rsidRPr="006121FE" w:rsidRDefault="006121FE" w:rsidP="006121FE">
      <w:pPr>
        <w:rPr>
          <w:rFonts w:ascii="Arial" w:hAnsi="Arial" w:cs="Arial"/>
          <w:lang w:val="en-PH"/>
        </w:rPr>
      </w:pPr>
      <w:r w:rsidRPr="006121FE">
        <w:rPr>
          <w:rFonts w:ascii="Arial" w:hAnsi="Arial" w:cs="Arial"/>
          <w:lang w:val="en-PH"/>
        </w:rPr>
        <w:t>Looking at signaling, this study shows that tuition pages act as systems that build credibility in several ways. Features like rankings, accreditation, graduate outcomes, and clear cost breakdowns serve as signals that help reduce uncertainty and support legitimacy (</w:t>
      </w:r>
      <w:proofErr w:type="spellStart"/>
      <w:r w:rsidRPr="006121FE">
        <w:rPr>
          <w:rFonts w:ascii="Arial" w:hAnsi="Arial" w:cs="Arial"/>
          <w:lang w:val="en-PH"/>
        </w:rPr>
        <w:t>Bafera</w:t>
      </w:r>
      <w:proofErr w:type="spellEnd"/>
      <w:r w:rsidRPr="006121FE">
        <w:rPr>
          <w:rFonts w:ascii="Arial" w:hAnsi="Arial" w:cs="Arial"/>
          <w:lang w:val="en-PH"/>
        </w:rPr>
        <w:t xml:space="preserve"> &amp; Kleinert, 2023). As other research has shown, rankings boost an institution’s reputation and credibility (</w:t>
      </w:r>
      <w:proofErr w:type="spellStart"/>
      <w:r w:rsidRPr="006121FE">
        <w:rPr>
          <w:rFonts w:ascii="Arial" w:hAnsi="Arial" w:cs="Arial"/>
          <w:lang w:val="en-PH"/>
        </w:rPr>
        <w:t>Kethüda</w:t>
      </w:r>
      <w:proofErr w:type="spellEnd"/>
      <w:r w:rsidRPr="006121FE">
        <w:rPr>
          <w:rFonts w:ascii="Arial" w:hAnsi="Arial" w:cs="Arial"/>
          <w:lang w:val="en-PH"/>
        </w:rPr>
        <w:t>, 2022). The findings show that placing prestige indicators near tuition details helps justify the cost and improve how people see quality.</w:t>
      </w:r>
    </w:p>
    <w:p w14:paraId="732F4721" w14:textId="77777777" w:rsidR="006121FE" w:rsidRPr="006121FE" w:rsidRDefault="006121FE" w:rsidP="006121FE">
      <w:pPr>
        <w:rPr>
          <w:rFonts w:ascii="Arial" w:hAnsi="Arial" w:cs="Arial"/>
          <w:lang w:val="en-PH"/>
        </w:rPr>
      </w:pPr>
      <w:r w:rsidRPr="006121FE">
        <w:rPr>
          <w:rFonts w:ascii="Arial" w:hAnsi="Arial" w:cs="Arial"/>
          <w:lang w:val="en-PH"/>
        </w:rPr>
        <w:t>Finally, this study adds to research on digital transparency and online engagement by showing that tuition communication shapes how people interpret information, signals a school’s status, and guides user choices. Clear website structure builds trust (Ramírez &amp; Montero, 2024), and organized digital cues affect how people make decisions (Dwivedi et al., 2023). By bringing these ideas together, the study sees tuition webpages as spaces where meaning, reputation, and digital strategy all come together.</w:t>
      </w:r>
    </w:p>
    <w:p w14:paraId="606F099A" w14:textId="77777777" w:rsidR="00F4792A" w:rsidRPr="006121FE" w:rsidRDefault="00F4792A" w:rsidP="00F4792A">
      <w:pPr>
        <w:rPr>
          <w:rFonts w:ascii="Arial" w:hAnsi="Arial" w:cs="Arial"/>
          <w:sz w:val="22"/>
          <w:szCs w:val="22"/>
          <w:lang w:val="en-PH"/>
        </w:rPr>
      </w:pPr>
    </w:p>
    <w:p w14:paraId="1ED030EA" w14:textId="77777777" w:rsidR="00F4792A" w:rsidRPr="00F4792A" w:rsidRDefault="00F4792A" w:rsidP="00F4792A">
      <w:pPr>
        <w:rPr>
          <w:rFonts w:ascii="Times New Roman" w:hAnsi="Times New Roman"/>
          <w:sz w:val="24"/>
          <w:szCs w:val="24"/>
          <w:lang w:val="en-PH"/>
        </w:rPr>
      </w:pPr>
      <w:r w:rsidRPr="00F4792A">
        <w:rPr>
          <w:rFonts w:ascii="Arial" w:hAnsi="Arial" w:cs="Arial"/>
          <w:b/>
          <w:bCs/>
          <w:color w:val="000000"/>
          <w:sz w:val="22"/>
          <w:szCs w:val="22"/>
          <w:lang w:val="en-PH"/>
        </w:rPr>
        <w:t>4.6 Implications and Future Research</w:t>
      </w:r>
    </w:p>
    <w:p w14:paraId="33F13DED" w14:textId="77777777" w:rsidR="00F4792A" w:rsidRPr="00F4792A" w:rsidRDefault="00F4792A" w:rsidP="00F4792A">
      <w:pPr>
        <w:rPr>
          <w:rFonts w:ascii="Arial" w:hAnsi="Arial" w:cs="Arial"/>
          <w:sz w:val="22"/>
          <w:szCs w:val="22"/>
          <w:lang w:val="en-PH"/>
        </w:rPr>
      </w:pPr>
    </w:p>
    <w:p w14:paraId="48E17A6C"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t>The findings show that tuition communication should go beyond simply sharing procedures and instead focus on strategic integration. When clear cost information is combined with outcome indicators, prestige signals, and clear calls-to-action (CTA), it builds credibility and encourages action in digital recruitment settings.</w:t>
      </w:r>
    </w:p>
    <w:p w14:paraId="0D226C76" w14:textId="12188D8C" w:rsidR="00F4792A" w:rsidRDefault="00F4792A" w:rsidP="00F4792A">
      <w:pPr>
        <w:rPr>
          <w:rFonts w:ascii="Arial" w:hAnsi="Arial" w:cs="Arial"/>
          <w:color w:val="000000"/>
          <w:lang w:val="en-PH"/>
        </w:rPr>
      </w:pPr>
      <w:r w:rsidRPr="00F4792A">
        <w:rPr>
          <w:rFonts w:ascii="Arial" w:hAnsi="Arial" w:cs="Arial"/>
          <w:color w:val="000000"/>
          <w:lang w:val="en-PH"/>
        </w:rPr>
        <w:t>This study points out that researchers should look more closely at how different ways of framing and signaling affect how people see a school’s value and their intention to enroll. Experiments could compare the effects of investment framing, prestige signals, and where calls to action are placed on decision-making. Comparing results across regions and cultures could also show how the market context changes the success of tuition communication strategie</w:t>
      </w:r>
      <w:r>
        <w:rPr>
          <w:rFonts w:ascii="Arial" w:hAnsi="Arial" w:cs="Arial"/>
          <w:color w:val="000000"/>
          <w:lang w:val="en-PH"/>
        </w:rPr>
        <w:t>s.</w:t>
      </w:r>
    </w:p>
    <w:p w14:paraId="4BE475B3" w14:textId="1CAB70AC" w:rsidR="00C46885" w:rsidRPr="00C46885" w:rsidRDefault="00C46885" w:rsidP="00C46885">
      <w:pPr>
        <w:rPr>
          <w:rFonts w:ascii="Arial" w:hAnsi="Arial" w:cs="Arial"/>
          <w:lang w:val="en-PH"/>
        </w:rPr>
      </w:pPr>
      <w:r w:rsidRPr="00C46885">
        <w:rPr>
          <w:rFonts w:ascii="Arial" w:hAnsi="Arial" w:cs="Arial"/>
          <w:lang w:val="en-PH"/>
        </w:rPr>
        <w:t>This study shows that tuition webpages serve as complex communication spaces where financial details, institutional messages, and recruitment strategies come together. Using Framing Theory and Signaling Theory in a cross-national comparison, the research goes beyond just looking at transparency. It reveals how tuition information is carefully designed to influence how people understand costs, justify them, and support the institution’s image. The study shifts the view of tuition communication from a routine task to a valuable tool for competition, adding to new research on digital higher education governance and market positioning.</w:t>
      </w:r>
    </w:p>
    <w:p w14:paraId="7FF20AF2" w14:textId="77777777" w:rsidR="00F4792A" w:rsidRPr="00C46885" w:rsidRDefault="00F4792A" w:rsidP="00C46885">
      <w:pPr>
        <w:rPr>
          <w:rFonts w:ascii="Arial" w:hAnsi="Arial" w:cs="Arial"/>
          <w:color w:val="000000"/>
          <w:lang w:val="en-PH"/>
        </w:rPr>
      </w:pPr>
    </w:p>
    <w:p w14:paraId="564B2906" w14:textId="77777777" w:rsidR="00F4792A" w:rsidRPr="00F4792A" w:rsidRDefault="00F4792A" w:rsidP="00F4792A">
      <w:pPr>
        <w:rPr>
          <w:rFonts w:ascii="Times New Roman" w:hAnsi="Times New Roman"/>
          <w:sz w:val="24"/>
          <w:szCs w:val="24"/>
          <w:lang w:val="en-PH"/>
        </w:rPr>
      </w:pPr>
      <w:r w:rsidRPr="00F4792A">
        <w:rPr>
          <w:rFonts w:ascii="Arial" w:hAnsi="Arial" w:cs="Arial"/>
          <w:b/>
          <w:bCs/>
          <w:color w:val="000000"/>
          <w:sz w:val="22"/>
          <w:szCs w:val="22"/>
          <w:lang w:val="en-PH"/>
        </w:rPr>
        <w:t>5. LIMITATIONS OF THE STUDY</w:t>
      </w:r>
    </w:p>
    <w:p w14:paraId="1C71A1B9" w14:textId="77777777" w:rsidR="00F4792A" w:rsidRPr="00F4792A" w:rsidRDefault="00F4792A" w:rsidP="00F4792A">
      <w:pPr>
        <w:rPr>
          <w:rFonts w:ascii="Arial" w:hAnsi="Arial" w:cs="Arial"/>
          <w:sz w:val="22"/>
          <w:szCs w:val="22"/>
          <w:lang w:val="en-PH"/>
        </w:rPr>
      </w:pPr>
    </w:p>
    <w:p w14:paraId="4E56082E"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t>This study has several limitations. First, the sample included six private universities ranked in the QS World University Rankings 2026 (200–500 band) and one university from the Philippines. This helped keep the institutions structurally similar, but the results cannot be generalized to all higher education institutions.</w:t>
      </w:r>
    </w:p>
    <w:p w14:paraId="55849B9C"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t>Second, the analysis only used publicly available English-language tuition webpages. Institutions that mainly share tuition information in other languages were not part of the study.</w:t>
      </w:r>
    </w:p>
    <w:p w14:paraId="5B5293C6"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lastRenderedPageBreak/>
        <w:t>Third, the study looked only at how institutions communicate on their websites and did not consider student opinions or behaviors. Since one researcher conducted the qualitative analysis, intercoder reliability was not used, but structured coding was followed to keep the analysis thorough.</w:t>
      </w:r>
    </w:p>
    <w:p w14:paraId="09FC068C" w14:textId="77777777" w:rsidR="00F4792A" w:rsidRPr="00F4792A" w:rsidRDefault="00F4792A" w:rsidP="00F4792A">
      <w:pPr>
        <w:rPr>
          <w:rFonts w:ascii="Times New Roman" w:hAnsi="Times New Roman"/>
          <w:sz w:val="24"/>
          <w:szCs w:val="24"/>
          <w:lang w:val="en-PH"/>
        </w:rPr>
      </w:pPr>
    </w:p>
    <w:p w14:paraId="2493E6C1" w14:textId="77777777" w:rsidR="00F4792A" w:rsidRPr="00F4792A" w:rsidRDefault="00F4792A" w:rsidP="00F4792A">
      <w:pPr>
        <w:rPr>
          <w:rFonts w:ascii="Times New Roman" w:hAnsi="Times New Roman"/>
          <w:sz w:val="24"/>
          <w:szCs w:val="24"/>
          <w:lang w:val="en-PH"/>
        </w:rPr>
      </w:pPr>
      <w:r w:rsidRPr="00F4792A">
        <w:rPr>
          <w:rFonts w:ascii="Arial" w:hAnsi="Arial" w:cs="Arial"/>
          <w:b/>
          <w:bCs/>
          <w:color w:val="000000"/>
          <w:sz w:val="22"/>
          <w:szCs w:val="22"/>
          <w:lang w:val="en-PH"/>
        </w:rPr>
        <w:t>6. CONCLUSION</w:t>
      </w:r>
    </w:p>
    <w:p w14:paraId="59082EF0" w14:textId="77777777" w:rsidR="00F4792A" w:rsidRPr="00F4792A" w:rsidRDefault="00F4792A" w:rsidP="00F4792A">
      <w:pPr>
        <w:rPr>
          <w:rFonts w:ascii="Arial" w:hAnsi="Arial" w:cs="Arial"/>
          <w:sz w:val="22"/>
          <w:szCs w:val="22"/>
          <w:lang w:val="en-PH"/>
        </w:rPr>
      </w:pPr>
    </w:p>
    <w:p w14:paraId="29FD8933"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t>This study shows that tuition webpages act as mixed communication spaces where framing, signaling, and digital engagement come together. At top-ranked universities, tuition is rarely shown as just a financial detail. Instead, it is part of stories about investment, prestige, and future job prospects, supported by clear institutional signals and prompts for user action.</w:t>
      </w:r>
    </w:p>
    <w:p w14:paraId="59C6BB33" w14:textId="28F1A591" w:rsidR="00F4792A" w:rsidRDefault="00F4792A" w:rsidP="00F4792A">
      <w:pPr>
        <w:rPr>
          <w:rFonts w:ascii="Arial" w:hAnsi="Arial" w:cs="Arial"/>
          <w:color w:val="000000"/>
          <w:lang w:val="en-PH"/>
        </w:rPr>
      </w:pPr>
      <w:r w:rsidRPr="00F4792A">
        <w:rPr>
          <w:rFonts w:ascii="Arial" w:hAnsi="Arial" w:cs="Arial"/>
          <w:color w:val="000000"/>
          <w:lang w:val="en-PH"/>
        </w:rPr>
        <w:t>By using both Framing Theory and Signaling Theory, this study finds that tuition communication is both a way to shape meaning and a strategy for positioning in the digital higher education market. Although transparency is common worldwide, how strongly value is emphasized depends on the institution and its competition. As a result, tuition pages are not just sources of information. They are also tools that help institutions build legitimacy, explain their prices, and influence how prospective students see them in a more market-driven environment.</w:t>
      </w:r>
    </w:p>
    <w:p w14:paraId="70F147D6" w14:textId="77777777" w:rsidR="00AF50C5" w:rsidRDefault="00AF50C5" w:rsidP="00AF50C5">
      <w:pPr>
        <w:rPr>
          <w:rFonts w:ascii="Arial" w:hAnsi="Arial" w:cs="Arial"/>
          <w:b/>
          <w:bCs/>
          <w:color w:val="000000"/>
          <w:sz w:val="22"/>
          <w:szCs w:val="22"/>
          <w:lang w:val="en-PH"/>
        </w:rPr>
      </w:pPr>
    </w:p>
    <w:p w14:paraId="3F791308" w14:textId="03DA8371" w:rsidR="00AF50C5" w:rsidRPr="004411C3" w:rsidRDefault="00AF50C5" w:rsidP="00AF50C5">
      <w:pPr>
        <w:rPr>
          <w:rFonts w:ascii="Times New Roman" w:hAnsi="Times New Roman"/>
          <w:sz w:val="24"/>
          <w:szCs w:val="24"/>
          <w:lang w:val="en-PH"/>
        </w:rPr>
      </w:pPr>
      <w:bookmarkStart w:id="0" w:name="_GoBack"/>
      <w:bookmarkEnd w:id="0"/>
      <w:r w:rsidRPr="004411C3">
        <w:rPr>
          <w:rFonts w:ascii="Arial" w:hAnsi="Arial" w:cs="Arial"/>
          <w:b/>
          <w:bCs/>
          <w:color w:val="000000"/>
          <w:sz w:val="22"/>
          <w:szCs w:val="22"/>
          <w:lang w:val="en-PH"/>
        </w:rPr>
        <w:t>Ethical Considerations</w:t>
      </w:r>
      <w:r>
        <w:rPr>
          <w:rFonts w:ascii="Arial" w:hAnsi="Arial" w:cs="Arial"/>
          <w:b/>
          <w:bCs/>
          <w:color w:val="000000"/>
          <w:sz w:val="22"/>
          <w:szCs w:val="22"/>
          <w:lang w:val="en-PH"/>
        </w:rPr>
        <w:t xml:space="preserve"> </w:t>
      </w:r>
    </w:p>
    <w:p w14:paraId="22DBF2A0" w14:textId="77777777" w:rsidR="00AF50C5" w:rsidRPr="004411C3" w:rsidRDefault="00AF50C5" w:rsidP="00AF50C5">
      <w:pPr>
        <w:rPr>
          <w:rFonts w:ascii="Arial" w:hAnsi="Arial" w:cs="Arial"/>
          <w:sz w:val="22"/>
          <w:szCs w:val="22"/>
          <w:lang w:val="en-PH"/>
        </w:rPr>
      </w:pPr>
    </w:p>
    <w:p w14:paraId="6AF799FF" w14:textId="77777777" w:rsidR="00AF50C5" w:rsidRPr="004411C3" w:rsidRDefault="00AF50C5" w:rsidP="00AF50C5">
      <w:pPr>
        <w:rPr>
          <w:rFonts w:ascii="Times New Roman" w:hAnsi="Times New Roman"/>
          <w:sz w:val="24"/>
          <w:szCs w:val="24"/>
          <w:lang w:val="en-PH"/>
        </w:rPr>
      </w:pPr>
      <w:r w:rsidRPr="004411C3">
        <w:rPr>
          <w:rFonts w:ascii="Arial" w:hAnsi="Arial" w:cs="Arial"/>
          <w:color w:val="000000"/>
          <w:lang w:val="en-PH"/>
        </w:rPr>
        <w:t>This study used only publicly available institutional webpages and did not include human participants or confidential information. All materials came from official university websites collected between January and February 2026.</w:t>
      </w:r>
    </w:p>
    <w:p w14:paraId="37DBBC7B" w14:textId="77777777" w:rsidR="00AF50C5" w:rsidRPr="004411C3" w:rsidRDefault="00AF50C5" w:rsidP="00AF50C5">
      <w:pPr>
        <w:rPr>
          <w:rFonts w:ascii="Times New Roman" w:hAnsi="Times New Roman"/>
          <w:sz w:val="24"/>
          <w:szCs w:val="24"/>
          <w:lang w:val="en-PH"/>
        </w:rPr>
      </w:pPr>
      <w:r w:rsidRPr="004411C3">
        <w:rPr>
          <w:rFonts w:ascii="Arial" w:hAnsi="Arial" w:cs="Arial"/>
          <w:color w:val="000000"/>
          <w:lang w:val="en-PH"/>
        </w:rPr>
        <w:t>Since the analysis looked at institutional communication instead of individual information, informed consent was not needed. No personal data was gathered. Webpage content was saved to make sure the information was recorded accurately.</w:t>
      </w:r>
    </w:p>
    <w:p w14:paraId="596980A5" w14:textId="77777777" w:rsidR="00AF50C5" w:rsidRDefault="00AF50C5" w:rsidP="00F4792A">
      <w:pPr>
        <w:rPr>
          <w:rFonts w:ascii="Arial" w:hAnsi="Arial" w:cs="Arial"/>
          <w:color w:val="000000"/>
          <w:lang w:val="en-PH"/>
        </w:rPr>
      </w:pPr>
    </w:p>
    <w:p w14:paraId="1E66C297" w14:textId="77777777" w:rsidR="00492443" w:rsidRDefault="00492443" w:rsidP="00F4792A">
      <w:pPr>
        <w:rPr>
          <w:rFonts w:ascii="Arial" w:hAnsi="Arial" w:cs="Arial"/>
          <w:color w:val="000000"/>
          <w:lang w:val="en-PH"/>
        </w:rPr>
      </w:pPr>
    </w:p>
    <w:p w14:paraId="40C6EF27" w14:textId="77777777" w:rsidR="00492443" w:rsidRDefault="00492443" w:rsidP="00492443">
      <w:pPr>
        <w:pStyle w:val="NormalWeb"/>
        <w:spacing w:before="0" w:beforeAutospacing="0" w:after="0" w:afterAutospacing="0"/>
        <w:jc w:val="both"/>
      </w:pPr>
      <w:r>
        <w:rPr>
          <w:rFonts w:ascii="Arial" w:hAnsi="Arial" w:cs="Arial"/>
          <w:b/>
          <w:bCs/>
          <w:color w:val="000000"/>
          <w:sz w:val="20"/>
          <w:szCs w:val="20"/>
        </w:rPr>
        <w:t>Details of AI usage are given below:</w:t>
      </w:r>
    </w:p>
    <w:p w14:paraId="2AD16F5B" w14:textId="77777777" w:rsidR="00492443" w:rsidRDefault="00492443" w:rsidP="00492443">
      <w:pPr>
        <w:pStyle w:val="NormalWeb"/>
        <w:spacing w:before="0" w:beforeAutospacing="0" w:after="0" w:afterAutospacing="0"/>
        <w:jc w:val="both"/>
      </w:pPr>
      <w:r>
        <w:rPr>
          <w:rFonts w:ascii="Arial" w:hAnsi="Arial" w:cs="Arial"/>
          <w:color w:val="000000"/>
          <w:sz w:val="20"/>
          <w:szCs w:val="20"/>
        </w:rPr>
        <w:t> </w:t>
      </w:r>
    </w:p>
    <w:p w14:paraId="3FA9B4C6" w14:textId="13FDE2F4" w:rsidR="00492443" w:rsidRPr="00B5738A" w:rsidRDefault="00492443" w:rsidP="00492443">
      <w:pPr>
        <w:pStyle w:val="NormalWeb"/>
        <w:numPr>
          <w:ilvl w:val="0"/>
          <w:numId w:val="46"/>
        </w:numPr>
        <w:spacing w:before="0" w:beforeAutospacing="0" w:after="0" w:afterAutospacing="0"/>
        <w:rPr>
          <w:rFonts w:ascii="Arial" w:hAnsi="Arial" w:cs="Arial"/>
          <w:sz w:val="20"/>
          <w:szCs w:val="20"/>
        </w:rPr>
      </w:pPr>
      <w:r w:rsidRPr="00B5738A">
        <w:rPr>
          <w:rFonts w:ascii="Arial" w:hAnsi="Arial" w:cs="Arial"/>
          <w:b/>
          <w:bCs/>
          <w:color w:val="000000"/>
          <w:sz w:val="20"/>
          <w:szCs w:val="20"/>
        </w:rPr>
        <w:t>Grammarly</w:t>
      </w:r>
      <w:r w:rsidRPr="00B5738A">
        <w:rPr>
          <w:rFonts w:ascii="Arial" w:hAnsi="Arial" w:cs="Arial"/>
          <w:color w:val="000000"/>
          <w:sz w:val="20"/>
          <w:szCs w:val="20"/>
        </w:rPr>
        <w:t xml:space="preserve"> was used for </w:t>
      </w:r>
      <w:r w:rsidRPr="00B5738A">
        <w:rPr>
          <w:rFonts w:ascii="Arial" w:hAnsi="Arial" w:cs="Arial"/>
          <w:color w:val="0F1115"/>
          <w:sz w:val="20"/>
          <w:szCs w:val="20"/>
          <w:shd w:val="clear" w:color="auto" w:fill="FFFFFF"/>
        </w:rPr>
        <w:t>grammar, spelling, and clarity improvements</w:t>
      </w:r>
      <w:r>
        <w:rPr>
          <w:rFonts w:ascii="Arial" w:hAnsi="Arial" w:cs="Arial"/>
          <w:color w:val="000000"/>
          <w:sz w:val="20"/>
          <w:szCs w:val="20"/>
        </w:rPr>
        <w:t>.</w:t>
      </w:r>
    </w:p>
    <w:p w14:paraId="6C88EB0A" w14:textId="71E735DE" w:rsidR="00492443" w:rsidRDefault="00492443" w:rsidP="00492443">
      <w:pPr>
        <w:pStyle w:val="NormalWeb"/>
        <w:numPr>
          <w:ilvl w:val="0"/>
          <w:numId w:val="46"/>
        </w:numPr>
        <w:spacing w:before="0" w:beforeAutospacing="0" w:after="0" w:afterAutospacing="0"/>
        <w:jc w:val="both"/>
        <w:rPr>
          <w:rFonts w:ascii="Arial" w:hAnsi="Arial" w:cs="Arial"/>
          <w:color w:val="000000"/>
          <w:sz w:val="20"/>
          <w:szCs w:val="20"/>
        </w:rPr>
      </w:pPr>
      <w:proofErr w:type="spellStart"/>
      <w:r>
        <w:rPr>
          <w:rFonts w:ascii="Arial" w:hAnsi="Arial" w:cs="Arial"/>
          <w:b/>
          <w:bCs/>
          <w:color w:val="000000"/>
          <w:sz w:val="20"/>
          <w:szCs w:val="20"/>
        </w:rPr>
        <w:t>ChatGPT</w:t>
      </w:r>
      <w:proofErr w:type="spellEnd"/>
      <w:r>
        <w:rPr>
          <w:rFonts w:ascii="Arial" w:hAnsi="Arial" w:cs="Arial"/>
          <w:color w:val="000000"/>
          <w:sz w:val="20"/>
          <w:szCs w:val="20"/>
        </w:rPr>
        <w:t xml:space="preserve"> (</w:t>
      </w:r>
      <w:proofErr w:type="spellStart"/>
      <w:r>
        <w:rPr>
          <w:rFonts w:ascii="Arial" w:hAnsi="Arial" w:cs="Arial"/>
          <w:color w:val="000000"/>
          <w:sz w:val="20"/>
          <w:szCs w:val="20"/>
        </w:rPr>
        <w:t>OpenAI</w:t>
      </w:r>
      <w:proofErr w:type="spellEnd"/>
      <w:r>
        <w:rPr>
          <w:rFonts w:ascii="Arial" w:hAnsi="Arial" w:cs="Arial"/>
          <w:color w:val="000000"/>
          <w:sz w:val="20"/>
          <w:szCs w:val="20"/>
        </w:rPr>
        <w:t>, version GPT-5.2) was employed to assist in brainstorming, structure and identifying potential references and sources for the research.</w:t>
      </w:r>
    </w:p>
    <w:p w14:paraId="48A0B7E7" w14:textId="150315FC" w:rsidR="00492443" w:rsidRPr="00492443" w:rsidRDefault="00492443" w:rsidP="00492443">
      <w:pPr>
        <w:pStyle w:val="ListParagraph"/>
        <w:numPr>
          <w:ilvl w:val="0"/>
          <w:numId w:val="46"/>
        </w:numPr>
        <w:rPr>
          <w:rFonts w:ascii="Arial" w:hAnsi="Arial" w:cs="Arial"/>
          <w:color w:val="000000" w:themeColor="text1"/>
          <w:lang w:val="en-PH"/>
        </w:rPr>
      </w:pPr>
      <w:r w:rsidRPr="00492443">
        <w:rPr>
          <w:rFonts w:ascii="Arial" w:hAnsi="Arial" w:cs="Arial"/>
          <w:b/>
          <w:bCs/>
          <w:color w:val="000000" w:themeColor="text1"/>
          <w:lang w:val="en-PH"/>
        </w:rPr>
        <w:t xml:space="preserve">Perplexity AI </w:t>
      </w:r>
      <w:r w:rsidRPr="00492443">
        <w:rPr>
          <w:rFonts w:ascii="Arial" w:hAnsi="Arial" w:cs="Arial"/>
          <w:color w:val="000000" w:themeColor="text1"/>
          <w:lang w:val="en-PH"/>
        </w:rPr>
        <w:t xml:space="preserve">(Pro version) was </w:t>
      </w:r>
      <w:r>
        <w:rPr>
          <w:rFonts w:ascii="Arial" w:hAnsi="Arial" w:cs="Arial"/>
          <w:color w:val="000000" w:themeColor="text1"/>
          <w:lang w:val="en-PH"/>
        </w:rPr>
        <w:t>utilized</w:t>
      </w:r>
      <w:r w:rsidRPr="00492443">
        <w:rPr>
          <w:rFonts w:ascii="Arial" w:hAnsi="Arial" w:cs="Arial"/>
          <w:color w:val="000000" w:themeColor="text1"/>
          <w:lang w:val="en-PH"/>
        </w:rPr>
        <w:t xml:space="preserve"> to search for relevant references.</w:t>
      </w:r>
    </w:p>
    <w:p w14:paraId="5BADDA0A" w14:textId="77777777" w:rsidR="00492443" w:rsidRDefault="00492443" w:rsidP="00492443">
      <w:pPr>
        <w:pStyle w:val="NormalWeb"/>
        <w:spacing w:before="0" w:beforeAutospacing="0" w:after="0" w:afterAutospacing="0"/>
        <w:rPr>
          <w:rFonts w:ascii="Arial" w:hAnsi="Arial" w:cs="Arial"/>
          <w:color w:val="0F1115"/>
          <w:sz w:val="20"/>
          <w:szCs w:val="20"/>
          <w:shd w:val="clear" w:color="auto" w:fill="FFFFFF"/>
        </w:rPr>
      </w:pPr>
    </w:p>
    <w:p w14:paraId="379291C4" w14:textId="77777777" w:rsidR="00492443" w:rsidRPr="000F5F60" w:rsidRDefault="00492443" w:rsidP="00492443">
      <w:pPr>
        <w:pStyle w:val="NormalWeb"/>
        <w:spacing w:before="0" w:beforeAutospacing="0" w:after="0" w:afterAutospacing="0"/>
        <w:rPr>
          <w:rFonts w:ascii="Arial" w:hAnsi="Arial" w:cs="Arial"/>
          <w:sz w:val="20"/>
          <w:szCs w:val="20"/>
        </w:rPr>
      </w:pPr>
      <w:r w:rsidRPr="000F5F60">
        <w:rPr>
          <w:rFonts w:ascii="Arial" w:hAnsi="Arial" w:cs="Arial"/>
          <w:color w:val="0F1115"/>
          <w:sz w:val="20"/>
          <w:szCs w:val="20"/>
          <w:shd w:val="clear" w:color="auto" w:fill="FFFFFF"/>
        </w:rPr>
        <w:t>All content was reviewed and finalized by the author, who accept full responsibility for the work.</w:t>
      </w:r>
    </w:p>
    <w:p w14:paraId="23CAE732" w14:textId="77777777" w:rsidR="00595642" w:rsidRPr="00595642" w:rsidRDefault="00595642" w:rsidP="00F4792A">
      <w:pPr>
        <w:rPr>
          <w:rFonts w:ascii="Arial" w:hAnsi="Arial" w:cs="Arial"/>
          <w:sz w:val="22"/>
          <w:szCs w:val="22"/>
          <w:lang w:val="en-PH"/>
        </w:rPr>
      </w:pPr>
    </w:p>
    <w:p w14:paraId="74C0796B" w14:textId="542B7767" w:rsidR="001759BF" w:rsidRDefault="001759BF" w:rsidP="00595642">
      <w:pPr>
        <w:pStyle w:val="NormalWeb"/>
        <w:spacing w:before="0" w:beforeAutospacing="0" w:after="0" w:afterAutospacing="0"/>
        <w:jc w:val="both"/>
        <w:rPr>
          <w:rFonts w:ascii="Arial" w:hAnsi="Arial" w:cs="Arial"/>
          <w:color w:val="000000"/>
          <w:sz w:val="20"/>
          <w:szCs w:val="20"/>
        </w:rPr>
      </w:pPr>
    </w:p>
    <w:p w14:paraId="09A4C679" w14:textId="77777777" w:rsidR="00995D52" w:rsidRPr="00995D52" w:rsidRDefault="00995D52" w:rsidP="00595642">
      <w:pPr>
        <w:pStyle w:val="NormalWeb"/>
        <w:spacing w:before="0" w:beforeAutospacing="0" w:after="0" w:afterAutospacing="0"/>
        <w:jc w:val="both"/>
        <w:rPr>
          <w:rFonts w:ascii="Arial" w:hAnsi="Arial" w:cs="Arial"/>
          <w:color w:val="000000"/>
          <w:sz w:val="22"/>
          <w:szCs w:val="22"/>
        </w:rPr>
      </w:pPr>
    </w:p>
    <w:p w14:paraId="3799A59F" w14:textId="48EDE4F7" w:rsidR="00995D52" w:rsidRDefault="00995D52" w:rsidP="00995D52">
      <w:pPr>
        <w:pStyle w:val="NormalWeb"/>
        <w:spacing w:before="0" w:beforeAutospacing="0" w:after="0" w:afterAutospacing="0"/>
        <w:rPr>
          <w:rFonts w:ascii="Arial" w:hAnsi="Arial" w:cs="Arial"/>
          <w:b/>
          <w:bCs/>
          <w:color w:val="000000"/>
          <w:sz w:val="20"/>
          <w:szCs w:val="20"/>
        </w:rPr>
      </w:pPr>
      <w:r>
        <w:rPr>
          <w:rFonts w:ascii="Arial" w:hAnsi="Arial" w:cs="Arial"/>
          <w:b/>
          <w:bCs/>
          <w:color w:val="000000"/>
          <w:sz w:val="20"/>
          <w:szCs w:val="20"/>
        </w:rPr>
        <w:t>REFERENCES</w:t>
      </w:r>
    </w:p>
    <w:p w14:paraId="521CF432" w14:textId="77777777" w:rsidR="00995D52" w:rsidRDefault="00995D52" w:rsidP="00995D52">
      <w:pPr>
        <w:pStyle w:val="NormalWeb"/>
        <w:spacing w:before="0" w:beforeAutospacing="0" w:after="0" w:afterAutospacing="0"/>
        <w:rPr>
          <w:rFonts w:ascii="Arial" w:hAnsi="Arial" w:cs="Arial"/>
          <w:b/>
          <w:bCs/>
          <w:color w:val="000000"/>
          <w:sz w:val="20"/>
          <w:szCs w:val="20"/>
        </w:rPr>
      </w:pPr>
    </w:p>
    <w:p w14:paraId="4C2211C1" w14:textId="77777777" w:rsidR="00995D52" w:rsidRPr="00AF50C5" w:rsidRDefault="00995D52" w:rsidP="00AF50C5">
      <w:pPr>
        <w:pStyle w:val="ListParagraph"/>
        <w:numPr>
          <w:ilvl w:val="0"/>
          <w:numId w:val="47"/>
        </w:numPr>
        <w:rPr>
          <w:rFonts w:ascii="Arial" w:hAnsi="Arial" w:cs="Arial"/>
          <w:lang w:val="en-PH"/>
        </w:rPr>
      </w:pPr>
      <w:proofErr w:type="spellStart"/>
      <w:r w:rsidRPr="00AF50C5">
        <w:rPr>
          <w:rFonts w:ascii="Arial" w:hAnsi="Arial" w:cs="Arial"/>
          <w:color w:val="000000"/>
          <w:lang w:val="en-PH"/>
        </w:rPr>
        <w:t>Arfan</w:t>
      </w:r>
      <w:proofErr w:type="spellEnd"/>
      <w:r w:rsidRPr="00AF50C5">
        <w:rPr>
          <w:rFonts w:ascii="Arial" w:hAnsi="Arial" w:cs="Arial"/>
          <w:color w:val="000000"/>
          <w:lang w:val="en-PH"/>
        </w:rPr>
        <w:t xml:space="preserve">, T., </w:t>
      </w:r>
      <w:proofErr w:type="spellStart"/>
      <w:r w:rsidRPr="00AF50C5">
        <w:rPr>
          <w:rFonts w:ascii="Arial" w:hAnsi="Arial" w:cs="Arial"/>
          <w:color w:val="000000"/>
          <w:lang w:val="en-PH"/>
        </w:rPr>
        <w:t>Yasoa</w:t>
      </w:r>
      <w:proofErr w:type="spellEnd"/>
      <w:r w:rsidRPr="00AF50C5">
        <w:rPr>
          <w:rFonts w:ascii="Arial" w:hAnsi="Arial" w:cs="Arial"/>
          <w:color w:val="000000"/>
          <w:lang w:val="en-PH"/>
        </w:rPr>
        <w:t xml:space="preserve">’, M. R., </w:t>
      </w:r>
      <w:proofErr w:type="spellStart"/>
      <w:r w:rsidRPr="00AF50C5">
        <w:rPr>
          <w:rFonts w:ascii="Arial" w:hAnsi="Arial" w:cs="Arial"/>
          <w:color w:val="000000"/>
          <w:lang w:val="en-PH"/>
        </w:rPr>
        <w:t>Zainuddin</w:t>
      </w:r>
      <w:proofErr w:type="spellEnd"/>
      <w:r w:rsidRPr="00AF50C5">
        <w:rPr>
          <w:rFonts w:ascii="Arial" w:hAnsi="Arial" w:cs="Arial"/>
          <w:color w:val="000000"/>
          <w:lang w:val="en-PH"/>
        </w:rPr>
        <w:t xml:space="preserve">, S. A., &amp; </w:t>
      </w:r>
      <w:proofErr w:type="spellStart"/>
      <w:r w:rsidRPr="00AF50C5">
        <w:rPr>
          <w:rFonts w:ascii="Arial" w:hAnsi="Arial" w:cs="Arial"/>
          <w:color w:val="000000"/>
          <w:lang w:val="en-PH"/>
        </w:rPr>
        <w:t>Kamaruddin</w:t>
      </w:r>
      <w:proofErr w:type="spellEnd"/>
      <w:r w:rsidRPr="00AF50C5">
        <w:rPr>
          <w:rFonts w:ascii="Arial" w:hAnsi="Arial" w:cs="Arial"/>
          <w:color w:val="000000"/>
          <w:lang w:val="en-PH"/>
        </w:rPr>
        <w:t xml:space="preserve">, M. (2025). </w:t>
      </w:r>
      <w:r w:rsidRPr="00AF50C5">
        <w:rPr>
          <w:rFonts w:ascii="Arial" w:hAnsi="Arial" w:cs="Arial"/>
          <w:i/>
          <w:iCs/>
          <w:color w:val="000000"/>
          <w:lang w:val="en-PH"/>
        </w:rPr>
        <w:t>Mapping the knowledge landscape of tuition fee research in higher education: A bibliometric review with insights for future</w:t>
      </w:r>
      <w:r w:rsidRPr="00AF50C5">
        <w:rPr>
          <w:rFonts w:ascii="Arial" w:hAnsi="Arial" w:cs="Arial"/>
          <w:color w:val="000000"/>
          <w:lang w:val="en-PH"/>
        </w:rPr>
        <w:t>. Environment-</w:t>
      </w:r>
      <w:proofErr w:type="spellStart"/>
      <w:r w:rsidRPr="00AF50C5">
        <w:rPr>
          <w:rFonts w:ascii="Arial" w:hAnsi="Arial" w:cs="Arial"/>
          <w:color w:val="000000"/>
          <w:lang w:val="en-PH"/>
        </w:rPr>
        <w:t>Behaviour</w:t>
      </w:r>
      <w:proofErr w:type="spellEnd"/>
      <w:r w:rsidRPr="00AF50C5">
        <w:rPr>
          <w:rFonts w:ascii="Arial" w:hAnsi="Arial" w:cs="Arial"/>
          <w:color w:val="000000"/>
          <w:lang w:val="en-PH"/>
        </w:rPr>
        <w:t xml:space="preserve"> Proceedings Journal, 10(SI37), 57–64. </w:t>
      </w:r>
      <w:hyperlink r:id="rId14" w:history="1">
        <w:r w:rsidRPr="00AF50C5">
          <w:rPr>
            <w:rFonts w:ascii="Arial" w:hAnsi="Arial" w:cs="Arial"/>
            <w:color w:val="000000"/>
            <w:lang w:val="en-PH"/>
          </w:rPr>
          <w:t>https://doi.org/10.21834/e-bpj.v10iSI37.7620</w:t>
        </w:r>
      </w:hyperlink>
    </w:p>
    <w:p w14:paraId="520FF4D3"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Asian Development Bank. (2012). </w:t>
      </w:r>
      <w:r w:rsidRPr="00AF50C5">
        <w:rPr>
          <w:rFonts w:ascii="Arial" w:hAnsi="Arial" w:cs="Arial"/>
          <w:i/>
          <w:iCs/>
          <w:color w:val="000000"/>
          <w:lang w:val="en-PH"/>
        </w:rPr>
        <w:t>Private higher education across Asia: Expanding access, searching for quality</w:t>
      </w:r>
      <w:r w:rsidRPr="00AF50C5">
        <w:rPr>
          <w:rFonts w:ascii="Arial" w:hAnsi="Arial" w:cs="Arial"/>
          <w:color w:val="000000"/>
          <w:lang w:val="en-PH"/>
        </w:rPr>
        <w:t>. Asian Development Bank.</w:t>
      </w:r>
      <w:hyperlink r:id="rId15" w:history="1">
        <w:r w:rsidRPr="00AF50C5">
          <w:rPr>
            <w:rFonts w:ascii="Arial" w:hAnsi="Arial" w:cs="Arial"/>
            <w:color w:val="000000"/>
            <w:lang w:val="en-PH"/>
          </w:rPr>
          <w:t xml:space="preserve"> https://www.adb.org/sites/default/files/publication/29869/private-higher-education-across-asia.pdf</w:t>
        </w:r>
      </w:hyperlink>
    </w:p>
    <w:p w14:paraId="49302914" w14:textId="77777777" w:rsidR="00995D52" w:rsidRPr="00AF50C5" w:rsidRDefault="00995D52" w:rsidP="00AF50C5">
      <w:pPr>
        <w:pStyle w:val="ListParagraph"/>
        <w:numPr>
          <w:ilvl w:val="0"/>
          <w:numId w:val="47"/>
        </w:numPr>
        <w:rPr>
          <w:rFonts w:ascii="Arial" w:hAnsi="Arial" w:cs="Arial"/>
          <w:lang w:val="en-PH"/>
        </w:rPr>
      </w:pPr>
      <w:proofErr w:type="spellStart"/>
      <w:r w:rsidRPr="00AF50C5">
        <w:rPr>
          <w:rFonts w:ascii="Arial" w:hAnsi="Arial" w:cs="Arial"/>
          <w:color w:val="000000"/>
          <w:lang w:val="en-PH"/>
        </w:rPr>
        <w:lastRenderedPageBreak/>
        <w:t>Badiuzzaman</w:t>
      </w:r>
      <w:proofErr w:type="spellEnd"/>
      <w:r w:rsidRPr="00AF50C5">
        <w:rPr>
          <w:rFonts w:ascii="Arial" w:hAnsi="Arial" w:cs="Arial"/>
          <w:color w:val="000000"/>
          <w:lang w:val="en-PH"/>
        </w:rPr>
        <w:t xml:space="preserve">, M. D. (2025). </w:t>
      </w:r>
      <w:r w:rsidRPr="00AF50C5">
        <w:rPr>
          <w:rFonts w:ascii="Arial" w:hAnsi="Arial" w:cs="Arial"/>
          <w:i/>
          <w:iCs/>
          <w:color w:val="000000"/>
          <w:lang w:val="en-PH"/>
        </w:rPr>
        <w:t>Unpacking the metrics: A critical analysis of the 2025 QS World University Rankings using Australian university data</w:t>
      </w:r>
      <w:r w:rsidRPr="00AF50C5">
        <w:rPr>
          <w:rFonts w:ascii="Arial" w:hAnsi="Arial" w:cs="Arial"/>
          <w:color w:val="000000"/>
          <w:lang w:val="en-PH"/>
        </w:rPr>
        <w:t xml:space="preserve">. Frontiers in Education, 10, Article 1619897. </w:t>
      </w:r>
      <w:hyperlink r:id="rId16" w:history="1">
        <w:r w:rsidRPr="00AF50C5">
          <w:rPr>
            <w:rFonts w:ascii="Arial" w:hAnsi="Arial" w:cs="Arial"/>
            <w:color w:val="000000"/>
            <w:lang w:val="en-PH"/>
          </w:rPr>
          <w:t>https://doi.org/10.3389/feduc.2025.1619897</w:t>
        </w:r>
      </w:hyperlink>
      <w:r w:rsidRPr="00AF50C5">
        <w:rPr>
          <w:rFonts w:ascii="Arial" w:hAnsi="Arial" w:cs="Arial"/>
          <w:color w:val="000000"/>
          <w:lang w:val="en-PH"/>
        </w:rPr>
        <w:t> </w:t>
      </w:r>
    </w:p>
    <w:p w14:paraId="57A4C9B8" w14:textId="77777777" w:rsidR="00995D52" w:rsidRPr="00AF50C5" w:rsidRDefault="00995D52" w:rsidP="00AF50C5">
      <w:pPr>
        <w:pStyle w:val="ListParagraph"/>
        <w:numPr>
          <w:ilvl w:val="0"/>
          <w:numId w:val="47"/>
        </w:numPr>
        <w:rPr>
          <w:rFonts w:ascii="Arial" w:hAnsi="Arial" w:cs="Arial"/>
          <w:lang w:val="en-PH"/>
        </w:rPr>
      </w:pPr>
      <w:proofErr w:type="spellStart"/>
      <w:r w:rsidRPr="00AF50C5">
        <w:rPr>
          <w:rFonts w:ascii="Arial" w:hAnsi="Arial" w:cs="Arial"/>
          <w:color w:val="000000"/>
          <w:lang w:val="en-PH"/>
        </w:rPr>
        <w:t>Bafera</w:t>
      </w:r>
      <w:proofErr w:type="spellEnd"/>
      <w:r w:rsidRPr="00AF50C5">
        <w:rPr>
          <w:rFonts w:ascii="Arial" w:hAnsi="Arial" w:cs="Arial"/>
          <w:color w:val="000000"/>
          <w:lang w:val="en-PH"/>
        </w:rPr>
        <w:t xml:space="preserve">, J., &amp; Kleinert, S. (2023). Signaling theory in entrepreneurship research: A systematic review and research agenda. </w:t>
      </w:r>
      <w:r w:rsidRPr="00AF50C5">
        <w:rPr>
          <w:rFonts w:ascii="Arial" w:hAnsi="Arial" w:cs="Arial"/>
          <w:i/>
          <w:iCs/>
          <w:color w:val="000000"/>
          <w:lang w:val="en-PH"/>
        </w:rPr>
        <w:t>Entrepreneurship Theory and Practice, 47</w:t>
      </w:r>
      <w:r w:rsidRPr="00AF50C5">
        <w:rPr>
          <w:rFonts w:ascii="Arial" w:hAnsi="Arial" w:cs="Arial"/>
          <w:color w:val="000000"/>
          <w:lang w:val="en-PH"/>
        </w:rPr>
        <w:t xml:space="preserve">(6), 2419–2464. </w:t>
      </w:r>
      <w:hyperlink r:id="rId17" w:history="1">
        <w:r w:rsidRPr="00AF50C5">
          <w:rPr>
            <w:rFonts w:ascii="Arial" w:hAnsi="Arial" w:cs="Arial"/>
            <w:color w:val="000000"/>
            <w:lang w:val="en-PH"/>
          </w:rPr>
          <w:t>https://doi.org/10.1177/10422587221138489</w:t>
        </w:r>
      </w:hyperlink>
      <w:r w:rsidRPr="00AF50C5">
        <w:rPr>
          <w:rFonts w:ascii="Arial" w:hAnsi="Arial" w:cs="Arial"/>
          <w:color w:val="000000"/>
          <w:lang w:val="en-PH"/>
        </w:rPr>
        <w:t> </w:t>
      </w:r>
    </w:p>
    <w:p w14:paraId="67DB6F6F"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Berk, N. (2025). The Impact of Media Framing in Complex Information Environments. Political Communication, 42(5), 757–773. </w:t>
      </w:r>
      <w:hyperlink r:id="rId18" w:history="1">
        <w:r w:rsidRPr="00AF50C5">
          <w:rPr>
            <w:rFonts w:ascii="Arial" w:hAnsi="Arial" w:cs="Arial"/>
            <w:color w:val="000000"/>
            <w:lang w:val="en-PH"/>
          </w:rPr>
          <w:t>https://doi.org/10.1080/10584609.2025.2456519</w:t>
        </w:r>
      </w:hyperlink>
    </w:p>
    <w:p w14:paraId="684EDC20"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Bowen, G. A. (2009). Document analysis as a qualitative research method. </w:t>
      </w:r>
      <w:r w:rsidRPr="00AF50C5">
        <w:rPr>
          <w:rFonts w:ascii="Arial" w:hAnsi="Arial" w:cs="Arial"/>
          <w:i/>
          <w:iCs/>
          <w:color w:val="000000"/>
          <w:lang w:val="en-PH"/>
        </w:rPr>
        <w:t>Qualitative Research Journal, 9</w:t>
      </w:r>
      <w:r w:rsidRPr="00AF50C5">
        <w:rPr>
          <w:rFonts w:ascii="Arial" w:hAnsi="Arial" w:cs="Arial"/>
          <w:color w:val="000000"/>
          <w:lang w:val="en-PH"/>
        </w:rPr>
        <w:t>(2), 27–40.</w:t>
      </w:r>
      <w:hyperlink r:id="rId19" w:history="1">
        <w:r w:rsidRPr="00AF50C5">
          <w:rPr>
            <w:rFonts w:ascii="Arial" w:hAnsi="Arial" w:cs="Arial"/>
            <w:color w:val="000000"/>
            <w:lang w:val="en-PH"/>
          </w:rPr>
          <w:t xml:space="preserve"> https://doi.org/10.3316/QRJ0902027</w:t>
        </w:r>
      </w:hyperlink>
    </w:p>
    <w:p w14:paraId="345F998F" w14:textId="77777777" w:rsidR="00995D52" w:rsidRDefault="00995D52" w:rsidP="00AF50C5">
      <w:pPr>
        <w:pStyle w:val="ListParagraph"/>
        <w:numPr>
          <w:ilvl w:val="0"/>
          <w:numId w:val="47"/>
        </w:numPr>
      </w:pPr>
      <w:r w:rsidRPr="00AF50C5">
        <w:rPr>
          <w:rFonts w:ascii="Arial" w:hAnsi="Arial" w:cs="Arial"/>
          <w:color w:val="000000"/>
          <w:lang w:val="en-PH"/>
        </w:rPr>
        <w:t xml:space="preserve">Camilleri, M. A. (2019). </w:t>
      </w:r>
      <w:r w:rsidRPr="00AF50C5">
        <w:rPr>
          <w:rFonts w:ascii="Arial" w:hAnsi="Arial" w:cs="Arial"/>
          <w:i/>
          <w:iCs/>
          <w:color w:val="000000"/>
          <w:lang w:val="en-PH"/>
        </w:rPr>
        <w:t>Higher education marketing: Opportunities and challenges in the digital era</w:t>
      </w:r>
      <w:r w:rsidRPr="00AF50C5">
        <w:rPr>
          <w:rFonts w:ascii="Arial" w:hAnsi="Arial" w:cs="Arial"/>
          <w:color w:val="000000"/>
          <w:lang w:val="en-PH"/>
        </w:rPr>
        <w:t xml:space="preserve">. Academia. </w:t>
      </w:r>
      <w:hyperlink r:id="rId20" w:history="1">
        <w:r w:rsidRPr="00AF50C5">
          <w:rPr>
            <w:rFonts w:ascii="Arial" w:hAnsi="Arial" w:cs="Arial"/>
            <w:color w:val="000000"/>
            <w:lang w:val="en-PH"/>
          </w:rPr>
          <w:t>https://doi.org/10.26220/aca.3169</w:t>
        </w:r>
      </w:hyperlink>
    </w:p>
    <w:p w14:paraId="40C5AC82" w14:textId="5EC22BB2" w:rsidR="001B7AD4" w:rsidRPr="00AF50C5" w:rsidRDefault="001B7AD4" w:rsidP="00AF50C5">
      <w:pPr>
        <w:pStyle w:val="ListParagraph"/>
        <w:numPr>
          <w:ilvl w:val="0"/>
          <w:numId w:val="47"/>
        </w:numPr>
        <w:rPr>
          <w:rFonts w:ascii="Arial" w:hAnsi="Arial" w:cs="Arial"/>
          <w:color w:val="000000" w:themeColor="text1"/>
        </w:rPr>
      </w:pPr>
      <w:r w:rsidRPr="00AF50C5">
        <w:rPr>
          <w:rFonts w:ascii="Arial" w:hAnsi="Arial" w:cs="Arial"/>
          <w:color w:val="000000" w:themeColor="text1"/>
        </w:rPr>
        <w:t xml:space="preserve">Christensen, T., &amp; </w:t>
      </w:r>
      <w:proofErr w:type="spellStart"/>
      <w:r w:rsidRPr="00AF50C5">
        <w:rPr>
          <w:rFonts w:ascii="Arial" w:hAnsi="Arial" w:cs="Arial"/>
          <w:color w:val="000000" w:themeColor="text1"/>
        </w:rPr>
        <w:t>Gornitzka</w:t>
      </w:r>
      <w:proofErr w:type="spellEnd"/>
      <w:r w:rsidRPr="00AF50C5">
        <w:rPr>
          <w:rFonts w:ascii="Arial" w:hAnsi="Arial" w:cs="Arial"/>
          <w:color w:val="000000" w:themeColor="text1"/>
        </w:rPr>
        <w:t xml:space="preserve">, Å. (2017). </w:t>
      </w:r>
      <w:r w:rsidRPr="00AF50C5">
        <w:rPr>
          <w:rFonts w:ascii="Arial" w:hAnsi="Arial" w:cs="Arial"/>
          <w:i/>
          <w:iCs/>
          <w:color w:val="000000" w:themeColor="text1"/>
        </w:rPr>
        <w:t>Reputation management in complex environments—A comparative study of university organizations.</w:t>
      </w:r>
      <w:r w:rsidRPr="00AF50C5">
        <w:rPr>
          <w:rFonts w:ascii="Arial" w:hAnsi="Arial" w:cs="Arial"/>
          <w:color w:val="000000" w:themeColor="text1"/>
        </w:rPr>
        <w:t xml:space="preserve"> </w:t>
      </w:r>
      <w:r w:rsidRPr="00AF50C5">
        <w:rPr>
          <w:rFonts w:ascii="Arial" w:hAnsi="Arial" w:cs="Arial"/>
          <w:i/>
          <w:iCs/>
          <w:color w:val="000000" w:themeColor="text1"/>
        </w:rPr>
        <w:t>Higher Education Policy, 30</w:t>
      </w:r>
      <w:r w:rsidRPr="00AF50C5">
        <w:rPr>
          <w:rFonts w:ascii="Arial" w:hAnsi="Arial" w:cs="Arial"/>
          <w:color w:val="000000" w:themeColor="text1"/>
        </w:rPr>
        <w:t xml:space="preserve">(1), 123–140. </w:t>
      </w:r>
      <w:hyperlink r:id="rId21" w:history="1">
        <w:r w:rsidRPr="00AF50C5">
          <w:rPr>
            <w:rStyle w:val="Hyperlink"/>
            <w:rFonts w:ascii="Arial" w:hAnsi="Arial" w:cs="Arial"/>
            <w:color w:val="000000" w:themeColor="text1"/>
            <w:u w:val="none"/>
          </w:rPr>
          <w:t>https://doi.org/10.1057/s41307-016-0010-z</w:t>
        </w:r>
      </w:hyperlink>
      <w:r w:rsidRPr="00AF50C5">
        <w:rPr>
          <w:rFonts w:ascii="Arial" w:hAnsi="Arial" w:cs="Arial"/>
          <w:color w:val="000000" w:themeColor="text1"/>
        </w:rPr>
        <w:t xml:space="preserve"> </w:t>
      </w:r>
    </w:p>
    <w:p w14:paraId="5292C5EF"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Connelly, B. L., </w:t>
      </w:r>
      <w:proofErr w:type="spellStart"/>
      <w:r w:rsidRPr="00AF50C5">
        <w:rPr>
          <w:rFonts w:ascii="Arial" w:hAnsi="Arial" w:cs="Arial"/>
          <w:color w:val="000000"/>
          <w:lang w:val="en-PH"/>
        </w:rPr>
        <w:t>Certo</w:t>
      </w:r>
      <w:proofErr w:type="spellEnd"/>
      <w:r w:rsidRPr="00AF50C5">
        <w:rPr>
          <w:rFonts w:ascii="Arial" w:hAnsi="Arial" w:cs="Arial"/>
          <w:color w:val="000000"/>
          <w:lang w:val="en-PH"/>
        </w:rPr>
        <w:t xml:space="preserve">, S. T., Ireland, R. D., &amp; </w:t>
      </w:r>
      <w:proofErr w:type="spellStart"/>
      <w:r w:rsidRPr="00AF50C5">
        <w:rPr>
          <w:rFonts w:ascii="Arial" w:hAnsi="Arial" w:cs="Arial"/>
          <w:color w:val="000000"/>
          <w:lang w:val="en-PH"/>
        </w:rPr>
        <w:t>Reutzel</w:t>
      </w:r>
      <w:proofErr w:type="spellEnd"/>
      <w:r w:rsidRPr="00AF50C5">
        <w:rPr>
          <w:rFonts w:ascii="Arial" w:hAnsi="Arial" w:cs="Arial"/>
          <w:color w:val="000000"/>
          <w:lang w:val="en-PH"/>
        </w:rPr>
        <w:t xml:space="preserve">, C. R. (2011). Signaling theory: A review and assessment. </w:t>
      </w:r>
      <w:r w:rsidRPr="00AF50C5">
        <w:rPr>
          <w:rFonts w:ascii="Arial" w:hAnsi="Arial" w:cs="Arial"/>
          <w:i/>
          <w:iCs/>
          <w:color w:val="000000"/>
          <w:lang w:val="en-PH"/>
        </w:rPr>
        <w:t>Journal of Management, 37</w:t>
      </w:r>
      <w:r w:rsidRPr="00AF50C5">
        <w:rPr>
          <w:rFonts w:ascii="Arial" w:hAnsi="Arial" w:cs="Arial"/>
          <w:color w:val="000000"/>
          <w:lang w:val="en-PH"/>
        </w:rPr>
        <w:t xml:space="preserve">(1), 39–67. </w:t>
      </w:r>
      <w:hyperlink r:id="rId22" w:history="1">
        <w:r w:rsidRPr="00AF50C5">
          <w:rPr>
            <w:rFonts w:ascii="Arial" w:hAnsi="Arial" w:cs="Arial"/>
            <w:color w:val="000000"/>
            <w:lang w:val="en-PH"/>
          </w:rPr>
          <w:t>https://doi.org/10.1177/0149206310388419</w:t>
        </w:r>
      </w:hyperlink>
    </w:p>
    <w:p w14:paraId="63C04A7F"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Davis, L. A., </w:t>
      </w:r>
      <w:proofErr w:type="spellStart"/>
      <w:r w:rsidRPr="00AF50C5">
        <w:rPr>
          <w:rFonts w:ascii="Arial" w:hAnsi="Arial" w:cs="Arial"/>
          <w:color w:val="000000"/>
          <w:lang w:val="en-PH"/>
        </w:rPr>
        <w:t>Wolniak</w:t>
      </w:r>
      <w:proofErr w:type="spellEnd"/>
      <w:r w:rsidRPr="00AF50C5">
        <w:rPr>
          <w:rFonts w:ascii="Arial" w:hAnsi="Arial" w:cs="Arial"/>
          <w:color w:val="000000"/>
          <w:lang w:val="en-PH"/>
        </w:rPr>
        <w:t xml:space="preserve">, G. C., George, C. E., &amp; Nelson, G. R. (2019). Demystifying tuition? A content analysis of the information quality of public college and university websites. </w:t>
      </w:r>
      <w:r w:rsidRPr="00AF50C5">
        <w:rPr>
          <w:rFonts w:ascii="Arial" w:hAnsi="Arial" w:cs="Arial"/>
          <w:i/>
          <w:iCs/>
          <w:color w:val="000000"/>
          <w:lang w:val="en-PH"/>
        </w:rPr>
        <w:t>AERA Open, 5</w:t>
      </w:r>
      <w:r w:rsidRPr="00AF50C5">
        <w:rPr>
          <w:rFonts w:ascii="Arial" w:hAnsi="Arial" w:cs="Arial"/>
          <w:color w:val="000000"/>
          <w:lang w:val="en-PH"/>
        </w:rPr>
        <w:t>(3), 1–27.</w:t>
      </w:r>
      <w:hyperlink r:id="rId23" w:history="1">
        <w:r w:rsidRPr="00AF50C5">
          <w:rPr>
            <w:rFonts w:ascii="Arial" w:hAnsi="Arial" w:cs="Arial"/>
            <w:color w:val="000000"/>
            <w:lang w:val="en-PH"/>
          </w:rPr>
          <w:t xml:space="preserve"> https://doi.org/10.1177/2332858419867650</w:t>
        </w:r>
      </w:hyperlink>
    </w:p>
    <w:p w14:paraId="62F6E0D2"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De Boer, H., Huisman, J., &amp; </w:t>
      </w:r>
      <w:proofErr w:type="spellStart"/>
      <w:r w:rsidRPr="00AF50C5">
        <w:rPr>
          <w:rFonts w:ascii="Arial" w:hAnsi="Arial" w:cs="Arial"/>
          <w:color w:val="000000"/>
          <w:lang w:val="en-PH"/>
        </w:rPr>
        <w:t>Seeber</w:t>
      </w:r>
      <w:proofErr w:type="spellEnd"/>
      <w:r w:rsidRPr="00AF50C5">
        <w:rPr>
          <w:rFonts w:ascii="Arial" w:hAnsi="Arial" w:cs="Arial"/>
          <w:color w:val="000000"/>
          <w:lang w:val="en-PH"/>
        </w:rPr>
        <w:t xml:space="preserve">, M. (2022). The impact of performance-based funding on higher education institutions. </w:t>
      </w:r>
      <w:r w:rsidRPr="00AF50C5">
        <w:rPr>
          <w:rFonts w:ascii="Arial" w:hAnsi="Arial" w:cs="Arial"/>
          <w:i/>
          <w:iCs/>
          <w:color w:val="000000"/>
          <w:lang w:val="en-PH"/>
        </w:rPr>
        <w:t>Higher Education Quarterly, 76</w:t>
      </w:r>
      <w:r w:rsidRPr="00AF50C5">
        <w:rPr>
          <w:rFonts w:ascii="Arial" w:hAnsi="Arial" w:cs="Arial"/>
          <w:color w:val="000000"/>
          <w:lang w:val="en-PH"/>
        </w:rPr>
        <w:t xml:space="preserve">(2), 211–227. </w:t>
      </w:r>
      <w:hyperlink r:id="rId24" w:history="1">
        <w:r w:rsidRPr="00AF50C5">
          <w:rPr>
            <w:rFonts w:ascii="Arial" w:hAnsi="Arial" w:cs="Arial"/>
            <w:color w:val="000000"/>
            <w:lang w:val="en-PH"/>
          </w:rPr>
          <w:t>https://doi.org/10.1111/hequ.12335</w:t>
        </w:r>
      </w:hyperlink>
      <w:r w:rsidRPr="00AF50C5">
        <w:rPr>
          <w:rFonts w:ascii="Arial" w:hAnsi="Arial" w:cs="Arial"/>
          <w:color w:val="000000"/>
          <w:lang w:val="en-PH"/>
        </w:rPr>
        <w:t> </w:t>
      </w:r>
    </w:p>
    <w:p w14:paraId="341BCDB4"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de </w:t>
      </w:r>
      <w:proofErr w:type="spellStart"/>
      <w:r w:rsidRPr="00AF50C5">
        <w:rPr>
          <w:rFonts w:ascii="Arial" w:hAnsi="Arial" w:cs="Arial"/>
          <w:color w:val="000000"/>
          <w:lang w:val="en-PH"/>
        </w:rPr>
        <w:t>Vreese</w:t>
      </w:r>
      <w:proofErr w:type="spellEnd"/>
      <w:r w:rsidRPr="00AF50C5">
        <w:rPr>
          <w:rFonts w:ascii="Arial" w:hAnsi="Arial" w:cs="Arial"/>
          <w:color w:val="000000"/>
          <w:lang w:val="en-PH"/>
        </w:rPr>
        <w:t xml:space="preserve">, C. H. (2012). New avenues for framing research. </w:t>
      </w:r>
      <w:r w:rsidRPr="00AF50C5">
        <w:rPr>
          <w:rFonts w:ascii="Arial" w:hAnsi="Arial" w:cs="Arial"/>
          <w:i/>
          <w:iCs/>
          <w:color w:val="000000"/>
          <w:lang w:val="en-PH"/>
        </w:rPr>
        <w:t>American Behavioral Scientist, 56</w:t>
      </w:r>
      <w:r w:rsidRPr="00AF50C5">
        <w:rPr>
          <w:rFonts w:ascii="Arial" w:hAnsi="Arial" w:cs="Arial"/>
          <w:color w:val="000000"/>
          <w:lang w:val="en-PH"/>
        </w:rPr>
        <w:t xml:space="preserve">(3), 365–375. </w:t>
      </w:r>
      <w:hyperlink r:id="rId25" w:history="1">
        <w:r w:rsidRPr="00AF50C5">
          <w:rPr>
            <w:rFonts w:ascii="Arial" w:hAnsi="Arial" w:cs="Arial"/>
            <w:color w:val="000000"/>
            <w:lang w:val="en-PH"/>
          </w:rPr>
          <w:t>https://doi.org/10.1177/0002764211426331</w:t>
        </w:r>
      </w:hyperlink>
    </w:p>
    <w:p w14:paraId="29AF3E12"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Dwivedi, Y. K., </w:t>
      </w:r>
      <w:proofErr w:type="spellStart"/>
      <w:r w:rsidRPr="00AF50C5">
        <w:rPr>
          <w:rFonts w:ascii="Arial" w:hAnsi="Arial" w:cs="Arial"/>
          <w:color w:val="000000"/>
          <w:lang w:val="en-PH"/>
        </w:rPr>
        <w:t>Ismagilova</w:t>
      </w:r>
      <w:proofErr w:type="spellEnd"/>
      <w:r w:rsidRPr="00AF50C5">
        <w:rPr>
          <w:rFonts w:ascii="Arial" w:hAnsi="Arial" w:cs="Arial"/>
          <w:color w:val="000000"/>
          <w:lang w:val="en-PH"/>
        </w:rPr>
        <w:t xml:space="preserve">, E., Hughes, D. L., Carlson, J., </w:t>
      </w:r>
      <w:proofErr w:type="spellStart"/>
      <w:r w:rsidRPr="00AF50C5">
        <w:rPr>
          <w:rFonts w:ascii="Arial" w:hAnsi="Arial" w:cs="Arial"/>
          <w:color w:val="000000"/>
          <w:lang w:val="en-PH"/>
        </w:rPr>
        <w:t>Filieri</w:t>
      </w:r>
      <w:proofErr w:type="spellEnd"/>
      <w:r w:rsidRPr="00AF50C5">
        <w:rPr>
          <w:rFonts w:ascii="Arial" w:hAnsi="Arial" w:cs="Arial"/>
          <w:color w:val="000000"/>
          <w:lang w:val="en-PH"/>
        </w:rPr>
        <w:t xml:space="preserve">, R., Jacobson, J., Jain, V., </w:t>
      </w:r>
      <w:proofErr w:type="spellStart"/>
      <w:r w:rsidRPr="00AF50C5">
        <w:rPr>
          <w:rFonts w:ascii="Arial" w:hAnsi="Arial" w:cs="Arial"/>
          <w:color w:val="000000"/>
          <w:lang w:val="en-PH"/>
        </w:rPr>
        <w:t>Karjaluoto</w:t>
      </w:r>
      <w:proofErr w:type="spellEnd"/>
      <w:r w:rsidRPr="00AF50C5">
        <w:rPr>
          <w:rFonts w:ascii="Arial" w:hAnsi="Arial" w:cs="Arial"/>
          <w:color w:val="000000"/>
          <w:lang w:val="en-PH"/>
        </w:rPr>
        <w:t xml:space="preserve">, H., </w:t>
      </w:r>
      <w:proofErr w:type="spellStart"/>
      <w:r w:rsidRPr="00AF50C5">
        <w:rPr>
          <w:rFonts w:ascii="Arial" w:hAnsi="Arial" w:cs="Arial"/>
          <w:color w:val="000000"/>
          <w:lang w:val="en-PH"/>
        </w:rPr>
        <w:t>Kefi</w:t>
      </w:r>
      <w:proofErr w:type="spellEnd"/>
      <w:r w:rsidRPr="00AF50C5">
        <w:rPr>
          <w:rFonts w:ascii="Arial" w:hAnsi="Arial" w:cs="Arial"/>
          <w:color w:val="000000"/>
          <w:lang w:val="en-PH"/>
        </w:rPr>
        <w:t xml:space="preserve">, H., </w:t>
      </w:r>
      <w:proofErr w:type="spellStart"/>
      <w:r w:rsidRPr="00AF50C5">
        <w:rPr>
          <w:rFonts w:ascii="Arial" w:hAnsi="Arial" w:cs="Arial"/>
          <w:color w:val="000000"/>
          <w:lang w:val="en-PH"/>
        </w:rPr>
        <w:t>Krishen</w:t>
      </w:r>
      <w:proofErr w:type="spellEnd"/>
      <w:r w:rsidRPr="00AF50C5">
        <w:rPr>
          <w:rFonts w:ascii="Arial" w:hAnsi="Arial" w:cs="Arial"/>
          <w:color w:val="000000"/>
          <w:lang w:val="en-PH"/>
        </w:rPr>
        <w:t xml:space="preserve">, A. S., Kumar, V., Rahman, M. M., Raman, R., </w:t>
      </w:r>
      <w:proofErr w:type="spellStart"/>
      <w:r w:rsidRPr="00AF50C5">
        <w:rPr>
          <w:rFonts w:ascii="Arial" w:hAnsi="Arial" w:cs="Arial"/>
          <w:color w:val="000000"/>
          <w:lang w:val="en-PH"/>
        </w:rPr>
        <w:t>Rauschnabel</w:t>
      </w:r>
      <w:proofErr w:type="spellEnd"/>
      <w:r w:rsidRPr="00AF50C5">
        <w:rPr>
          <w:rFonts w:ascii="Arial" w:hAnsi="Arial" w:cs="Arial"/>
          <w:color w:val="000000"/>
          <w:lang w:val="en-PH"/>
        </w:rPr>
        <w:t xml:space="preserve">, P. A., Rowley, J., </w:t>
      </w:r>
      <w:proofErr w:type="spellStart"/>
      <w:r w:rsidRPr="00AF50C5">
        <w:rPr>
          <w:rFonts w:ascii="Arial" w:hAnsi="Arial" w:cs="Arial"/>
          <w:color w:val="000000"/>
          <w:lang w:val="en-PH"/>
        </w:rPr>
        <w:t>Salo</w:t>
      </w:r>
      <w:proofErr w:type="spellEnd"/>
      <w:r w:rsidRPr="00AF50C5">
        <w:rPr>
          <w:rFonts w:ascii="Arial" w:hAnsi="Arial" w:cs="Arial"/>
          <w:color w:val="000000"/>
          <w:lang w:val="en-PH"/>
        </w:rPr>
        <w:t xml:space="preserve">, J., Tran, G. A., &amp; Wang, Y. (2021). </w:t>
      </w:r>
      <w:r w:rsidRPr="00AF50C5">
        <w:rPr>
          <w:rFonts w:ascii="Arial" w:hAnsi="Arial" w:cs="Arial"/>
          <w:i/>
          <w:iCs/>
          <w:color w:val="000000"/>
          <w:lang w:val="en-PH"/>
        </w:rPr>
        <w:t>Setting the future of digital and social media marketing research: Perspectives and research propositions</w:t>
      </w:r>
      <w:r w:rsidRPr="00AF50C5">
        <w:rPr>
          <w:rFonts w:ascii="Arial" w:hAnsi="Arial" w:cs="Arial"/>
          <w:color w:val="000000"/>
          <w:lang w:val="en-PH"/>
        </w:rPr>
        <w:t>. International Journal of Information Management, 59, Article 102168.</w:t>
      </w:r>
      <w:hyperlink r:id="rId26" w:history="1">
        <w:r w:rsidRPr="00AF50C5">
          <w:rPr>
            <w:rFonts w:ascii="Arial" w:hAnsi="Arial" w:cs="Arial"/>
            <w:color w:val="000000"/>
            <w:lang w:val="en-PH"/>
          </w:rPr>
          <w:t xml:space="preserve"> https://doi.org/10.1016/j.ijinfomgt.2020.102168</w:t>
        </w:r>
      </w:hyperlink>
    </w:p>
    <w:p w14:paraId="42ECFD8C" w14:textId="77777777" w:rsidR="00995D52" w:rsidRPr="00AF50C5" w:rsidRDefault="00995D52" w:rsidP="00AF50C5">
      <w:pPr>
        <w:pStyle w:val="ListParagraph"/>
        <w:numPr>
          <w:ilvl w:val="0"/>
          <w:numId w:val="47"/>
        </w:numPr>
        <w:rPr>
          <w:rFonts w:ascii="Arial" w:hAnsi="Arial" w:cs="Arial"/>
          <w:lang w:val="en-PH"/>
        </w:rPr>
      </w:pPr>
      <w:proofErr w:type="spellStart"/>
      <w:r w:rsidRPr="00AF50C5">
        <w:rPr>
          <w:rFonts w:ascii="Arial" w:hAnsi="Arial" w:cs="Arial"/>
          <w:color w:val="000000"/>
          <w:lang w:val="en-PH"/>
        </w:rPr>
        <w:t>Ehrmantraut</w:t>
      </w:r>
      <w:proofErr w:type="spellEnd"/>
      <w:r w:rsidRPr="00AF50C5">
        <w:rPr>
          <w:rFonts w:ascii="Arial" w:hAnsi="Arial" w:cs="Arial"/>
          <w:color w:val="000000"/>
          <w:lang w:val="en-PH"/>
        </w:rPr>
        <w:t xml:space="preserve">, L., Pinger, P., &amp; Stans, R. (2020). </w:t>
      </w:r>
      <w:r w:rsidRPr="00AF50C5">
        <w:rPr>
          <w:rFonts w:ascii="Arial" w:hAnsi="Arial" w:cs="Arial"/>
          <w:i/>
          <w:iCs/>
          <w:color w:val="000000"/>
          <w:lang w:val="en-PH"/>
        </w:rPr>
        <w:t>The expected (signaling) value of higher education</w:t>
      </w:r>
      <w:r w:rsidRPr="00AF50C5">
        <w:rPr>
          <w:rFonts w:ascii="Arial" w:hAnsi="Arial" w:cs="Arial"/>
          <w:color w:val="000000"/>
          <w:lang w:val="en-PH"/>
        </w:rPr>
        <w:t xml:space="preserve"> (IZA Discussion Paper No. 13729). Institute of Labor Economics (IZA).</w:t>
      </w:r>
      <w:hyperlink r:id="rId27" w:history="1">
        <w:r w:rsidRPr="00AF50C5">
          <w:rPr>
            <w:rFonts w:ascii="Arial" w:hAnsi="Arial" w:cs="Arial"/>
            <w:color w:val="000000"/>
            <w:lang w:val="en-PH"/>
          </w:rPr>
          <w:t xml:space="preserve"> https://www.iza.org/publications/dp/13729/the-expected-signaling-value-of-higher-education</w:t>
        </w:r>
      </w:hyperlink>
    </w:p>
    <w:p w14:paraId="18C7C8DE" w14:textId="77777777" w:rsidR="00995D52" w:rsidRPr="00AF50C5" w:rsidRDefault="00995D52" w:rsidP="00AF50C5">
      <w:pPr>
        <w:pStyle w:val="ListParagraph"/>
        <w:numPr>
          <w:ilvl w:val="0"/>
          <w:numId w:val="47"/>
        </w:numPr>
        <w:rPr>
          <w:rFonts w:ascii="Arial" w:hAnsi="Arial" w:cs="Arial"/>
          <w:lang w:val="en-PH"/>
        </w:rPr>
      </w:pPr>
      <w:proofErr w:type="spellStart"/>
      <w:r w:rsidRPr="00AF50C5">
        <w:rPr>
          <w:rFonts w:ascii="Arial" w:hAnsi="Arial" w:cs="Arial"/>
          <w:color w:val="000000"/>
          <w:lang w:val="en-PH"/>
        </w:rPr>
        <w:t>Entman</w:t>
      </w:r>
      <w:proofErr w:type="spellEnd"/>
      <w:r w:rsidRPr="00AF50C5">
        <w:rPr>
          <w:rFonts w:ascii="Arial" w:hAnsi="Arial" w:cs="Arial"/>
          <w:color w:val="000000"/>
          <w:lang w:val="en-PH"/>
        </w:rPr>
        <w:t xml:space="preserve">, R. M. (1993). Framing: Toward clarification of a fractured paradigm. </w:t>
      </w:r>
      <w:r w:rsidRPr="00AF50C5">
        <w:rPr>
          <w:rFonts w:ascii="Arial" w:hAnsi="Arial" w:cs="Arial"/>
          <w:i/>
          <w:iCs/>
          <w:color w:val="000000"/>
          <w:lang w:val="en-PH"/>
        </w:rPr>
        <w:t>Journal of Communication, 43</w:t>
      </w:r>
      <w:r w:rsidRPr="00AF50C5">
        <w:rPr>
          <w:rFonts w:ascii="Arial" w:hAnsi="Arial" w:cs="Arial"/>
          <w:color w:val="000000"/>
          <w:lang w:val="en-PH"/>
        </w:rPr>
        <w:t xml:space="preserve">(4), 51–58. </w:t>
      </w:r>
      <w:hyperlink r:id="rId28" w:history="1">
        <w:r w:rsidRPr="00AF50C5">
          <w:rPr>
            <w:rFonts w:ascii="Arial" w:hAnsi="Arial" w:cs="Arial"/>
            <w:color w:val="000000"/>
            <w:lang w:val="en-PH"/>
          </w:rPr>
          <w:t>https://doi.org/10.1111/j.1460-2466.1993.tb01304.x</w:t>
        </w:r>
      </w:hyperlink>
    </w:p>
    <w:p w14:paraId="43719A6E" w14:textId="77777777" w:rsidR="00995D52" w:rsidRPr="00AF50C5" w:rsidRDefault="00995D52" w:rsidP="00AF50C5">
      <w:pPr>
        <w:pStyle w:val="ListParagraph"/>
        <w:numPr>
          <w:ilvl w:val="0"/>
          <w:numId w:val="47"/>
        </w:numPr>
        <w:rPr>
          <w:rFonts w:ascii="Arial" w:hAnsi="Arial" w:cs="Arial"/>
          <w:lang w:val="en-PH"/>
        </w:rPr>
      </w:pPr>
      <w:proofErr w:type="spellStart"/>
      <w:r w:rsidRPr="00AF50C5">
        <w:rPr>
          <w:rFonts w:ascii="Arial" w:hAnsi="Arial" w:cs="Arial"/>
          <w:color w:val="000000"/>
          <w:lang w:val="en-PH"/>
        </w:rPr>
        <w:t>Ghorbanzadeh</w:t>
      </w:r>
      <w:proofErr w:type="spellEnd"/>
      <w:r w:rsidRPr="00AF50C5">
        <w:rPr>
          <w:rFonts w:ascii="Arial" w:hAnsi="Arial" w:cs="Arial"/>
          <w:color w:val="000000"/>
          <w:lang w:val="en-PH"/>
        </w:rPr>
        <w:t xml:space="preserve">, D. (2023). The role of website features in the branding of higher education institutions. Journal of Applied Research in Higher Education, 15(5), 1392–1406. </w:t>
      </w:r>
      <w:hyperlink r:id="rId29" w:history="1">
        <w:r w:rsidRPr="00AF50C5">
          <w:rPr>
            <w:rFonts w:ascii="Arial" w:hAnsi="Arial" w:cs="Arial"/>
            <w:color w:val="000000"/>
            <w:lang w:val="en-PH"/>
          </w:rPr>
          <w:t>https://doi.org/10.1108/JARHE-01-2022-0032</w:t>
        </w:r>
      </w:hyperlink>
    </w:p>
    <w:p w14:paraId="783E471F"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Gómez-</w:t>
      </w:r>
      <w:proofErr w:type="spellStart"/>
      <w:r w:rsidRPr="00AF50C5">
        <w:rPr>
          <w:rFonts w:ascii="Arial" w:hAnsi="Arial" w:cs="Arial"/>
          <w:color w:val="000000"/>
          <w:lang w:val="en-PH"/>
        </w:rPr>
        <w:t>Bayona</w:t>
      </w:r>
      <w:proofErr w:type="spellEnd"/>
      <w:r w:rsidRPr="00AF50C5">
        <w:rPr>
          <w:rFonts w:ascii="Arial" w:hAnsi="Arial" w:cs="Arial"/>
          <w:color w:val="000000"/>
          <w:lang w:val="en-PH"/>
        </w:rPr>
        <w:t xml:space="preserve">, L., Valencia-Arias, A., Orozco-Toro, J. A., </w:t>
      </w:r>
      <w:proofErr w:type="spellStart"/>
      <w:r w:rsidRPr="00AF50C5">
        <w:rPr>
          <w:rFonts w:ascii="Arial" w:hAnsi="Arial" w:cs="Arial"/>
          <w:color w:val="000000"/>
          <w:lang w:val="en-PH"/>
        </w:rPr>
        <w:t>Tabares</w:t>
      </w:r>
      <w:proofErr w:type="spellEnd"/>
      <w:r w:rsidRPr="00AF50C5">
        <w:rPr>
          <w:rFonts w:ascii="Arial" w:hAnsi="Arial" w:cs="Arial"/>
          <w:color w:val="000000"/>
          <w:lang w:val="en-PH"/>
        </w:rPr>
        <w:t xml:space="preserve">-Penagos, A., &amp; Moreno-López, G. (2024). Importance of relationship marketing in higher education management: the perspective of university teachers. </w:t>
      </w:r>
      <w:r w:rsidRPr="00AF50C5">
        <w:rPr>
          <w:rFonts w:ascii="Arial" w:hAnsi="Arial" w:cs="Arial"/>
          <w:i/>
          <w:iCs/>
          <w:color w:val="000000"/>
          <w:lang w:val="en-PH"/>
        </w:rPr>
        <w:t>Cogent Education</w:t>
      </w:r>
      <w:r w:rsidRPr="00AF50C5">
        <w:rPr>
          <w:rFonts w:ascii="Arial" w:hAnsi="Arial" w:cs="Arial"/>
          <w:color w:val="000000"/>
          <w:lang w:val="en-PH"/>
        </w:rPr>
        <w:t xml:space="preserve">, </w:t>
      </w:r>
      <w:r w:rsidRPr="00AF50C5">
        <w:rPr>
          <w:rFonts w:ascii="Arial" w:hAnsi="Arial" w:cs="Arial"/>
          <w:i/>
          <w:iCs/>
          <w:color w:val="000000"/>
          <w:lang w:val="en-PH"/>
        </w:rPr>
        <w:t>11</w:t>
      </w:r>
      <w:r w:rsidRPr="00AF50C5">
        <w:rPr>
          <w:rFonts w:ascii="Arial" w:hAnsi="Arial" w:cs="Arial"/>
          <w:color w:val="000000"/>
          <w:lang w:val="en-PH"/>
        </w:rPr>
        <w:t xml:space="preserve">(1). </w:t>
      </w:r>
      <w:hyperlink r:id="rId30" w:history="1">
        <w:r w:rsidRPr="00AF50C5">
          <w:rPr>
            <w:rFonts w:ascii="Arial" w:hAnsi="Arial" w:cs="Arial"/>
            <w:color w:val="000000"/>
            <w:lang w:val="en-PH"/>
          </w:rPr>
          <w:t>https://doi.org/10.1080/2331186X.2024.2332858</w:t>
        </w:r>
      </w:hyperlink>
      <w:r w:rsidRPr="00AF50C5">
        <w:rPr>
          <w:rFonts w:ascii="Arial" w:hAnsi="Arial" w:cs="Arial"/>
          <w:color w:val="000000"/>
          <w:lang w:val="en-PH"/>
        </w:rPr>
        <w:t> </w:t>
      </w:r>
    </w:p>
    <w:p w14:paraId="083B7650" w14:textId="77777777" w:rsidR="00995D52" w:rsidRPr="00AF50C5" w:rsidRDefault="00995D52" w:rsidP="00AF50C5">
      <w:pPr>
        <w:pStyle w:val="ListParagraph"/>
        <w:numPr>
          <w:ilvl w:val="0"/>
          <w:numId w:val="47"/>
        </w:numPr>
        <w:rPr>
          <w:rFonts w:ascii="Arial" w:hAnsi="Arial" w:cs="Arial"/>
          <w:lang w:val="en-PH"/>
        </w:rPr>
      </w:pPr>
      <w:proofErr w:type="spellStart"/>
      <w:r w:rsidRPr="00AF50C5">
        <w:rPr>
          <w:rFonts w:ascii="Arial" w:hAnsi="Arial" w:cs="Arial"/>
          <w:color w:val="000000"/>
          <w:lang w:val="en-PH"/>
        </w:rPr>
        <w:t>Hazelkorn</w:t>
      </w:r>
      <w:proofErr w:type="spellEnd"/>
      <w:r w:rsidRPr="00AF50C5">
        <w:rPr>
          <w:rFonts w:ascii="Arial" w:hAnsi="Arial" w:cs="Arial"/>
          <w:color w:val="000000"/>
          <w:lang w:val="en-PH"/>
        </w:rPr>
        <w:t xml:space="preserve">, E. (2018). Reshaping the world order of higher education: The role and impact of rankings on national and global systems. </w:t>
      </w:r>
      <w:r w:rsidRPr="00AF50C5">
        <w:rPr>
          <w:rFonts w:ascii="Arial" w:hAnsi="Arial" w:cs="Arial"/>
          <w:i/>
          <w:iCs/>
          <w:color w:val="000000"/>
          <w:lang w:val="en-PH"/>
        </w:rPr>
        <w:t>Policy Reviews in Higher Education, 2</w:t>
      </w:r>
      <w:r w:rsidRPr="00AF50C5">
        <w:rPr>
          <w:rFonts w:ascii="Arial" w:hAnsi="Arial" w:cs="Arial"/>
          <w:color w:val="000000"/>
          <w:lang w:val="en-PH"/>
        </w:rPr>
        <w:t xml:space="preserve">(1), 4–31. </w:t>
      </w:r>
      <w:hyperlink r:id="rId31" w:history="1">
        <w:r w:rsidRPr="00AF50C5">
          <w:rPr>
            <w:rFonts w:ascii="Arial" w:hAnsi="Arial" w:cs="Arial"/>
            <w:color w:val="000000"/>
            <w:lang w:val="en-PH"/>
          </w:rPr>
          <w:t>https://doi.org/10.1080/23322969.2018.1424562</w:t>
        </w:r>
      </w:hyperlink>
    </w:p>
    <w:p w14:paraId="6C368CE3"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Hsieh, H.-F., &amp; Shannon, S. E. (2005). Three approaches to qualitative content analysis. </w:t>
      </w:r>
      <w:r w:rsidRPr="00AF50C5">
        <w:rPr>
          <w:rFonts w:ascii="Arial" w:hAnsi="Arial" w:cs="Arial"/>
          <w:i/>
          <w:iCs/>
          <w:color w:val="000000"/>
          <w:lang w:val="en-PH"/>
        </w:rPr>
        <w:t>Qualitative Health Research, 15</w:t>
      </w:r>
      <w:r w:rsidRPr="00AF50C5">
        <w:rPr>
          <w:rFonts w:ascii="Arial" w:hAnsi="Arial" w:cs="Arial"/>
          <w:color w:val="000000"/>
          <w:lang w:val="en-PH"/>
        </w:rPr>
        <w:t>(9), 1277–1288.</w:t>
      </w:r>
      <w:hyperlink r:id="rId32" w:history="1">
        <w:r w:rsidRPr="00AF50C5">
          <w:rPr>
            <w:rFonts w:ascii="Arial" w:hAnsi="Arial" w:cs="Arial"/>
            <w:color w:val="000000"/>
            <w:lang w:val="en-PH"/>
          </w:rPr>
          <w:t xml:space="preserve"> https://doi.org/10.1177/1049732305276687</w:t>
        </w:r>
      </w:hyperlink>
    </w:p>
    <w:p w14:paraId="03C7D8A7" w14:textId="77777777" w:rsidR="00995D52" w:rsidRPr="00AF50C5" w:rsidRDefault="00995D52" w:rsidP="00AF50C5">
      <w:pPr>
        <w:pStyle w:val="ListParagraph"/>
        <w:numPr>
          <w:ilvl w:val="0"/>
          <w:numId w:val="47"/>
        </w:numPr>
        <w:rPr>
          <w:rFonts w:ascii="Arial" w:hAnsi="Arial" w:cs="Arial"/>
          <w:lang w:val="en-PH"/>
        </w:rPr>
      </w:pPr>
      <w:proofErr w:type="spellStart"/>
      <w:r w:rsidRPr="00AF50C5">
        <w:rPr>
          <w:rFonts w:ascii="Arial" w:hAnsi="Arial" w:cs="Arial"/>
          <w:color w:val="000000"/>
          <w:lang w:val="en-PH"/>
        </w:rPr>
        <w:lastRenderedPageBreak/>
        <w:t>Ilhami</w:t>
      </w:r>
      <w:proofErr w:type="spellEnd"/>
      <w:r w:rsidRPr="00AF50C5">
        <w:rPr>
          <w:rFonts w:ascii="Arial" w:hAnsi="Arial" w:cs="Arial"/>
          <w:color w:val="000000"/>
          <w:lang w:val="en-PH"/>
        </w:rPr>
        <w:t xml:space="preserve">, F. B., </w:t>
      </w:r>
      <w:proofErr w:type="spellStart"/>
      <w:r w:rsidRPr="00AF50C5">
        <w:rPr>
          <w:rFonts w:ascii="Arial" w:hAnsi="Arial" w:cs="Arial"/>
          <w:color w:val="000000"/>
          <w:lang w:val="en-PH"/>
        </w:rPr>
        <w:t>Khasanah</w:t>
      </w:r>
      <w:proofErr w:type="spellEnd"/>
      <w:r w:rsidRPr="00AF50C5">
        <w:rPr>
          <w:rFonts w:ascii="Arial" w:hAnsi="Arial" w:cs="Arial"/>
          <w:color w:val="000000"/>
          <w:lang w:val="en-PH"/>
        </w:rPr>
        <w:t xml:space="preserve">, M., </w:t>
      </w:r>
      <w:proofErr w:type="spellStart"/>
      <w:r w:rsidRPr="00AF50C5">
        <w:rPr>
          <w:rFonts w:ascii="Arial" w:hAnsi="Arial" w:cs="Arial"/>
          <w:color w:val="000000"/>
          <w:lang w:val="en-PH"/>
        </w:rPr>
        <w:t>Suprapto</w:t>
      </w:r>
      <w:proofErr w:type="spellEnd"/>
      <w:r w:rsidRPr="00AF50C5">
        <w:rPr>
          <w:rFonts w:ascii="Arial" w:hAnsi="Arial" w:cs="Arial"/>
          <w:color w:val="000000"/>
          <w:lang w:val="en-PH"/>
        </w:rPr>
        <w:t xml:space="preserve">, N., &amp; Widodo, B. S. (2025). </w:t>
      </w:r>
      <w:r w:rsidRPr="00AF50C5">
        <w:rPr>
          <w:rFonts w:ascii="Arial" w:hAnsi="Arial" w:cs="Arial"/>
          <w:i/>
          <w:iCs/>
          <w:color w:val="000000"/>
          <w:lang w:val="en-PH"/>
        </w:rPr>
        <w:t>Exploring perspective of impact ranking university trend in five universities in East Java Indonesia</w:t>
      </w:r>
      <w:r w:rsidRPr="00AF50C5">
        <w:rPr>
          <w:rFonts w:ascii="Arial" w:hAnsi="Arial" w:cs="Arial"/>
          <w:color w:val="000000"/>
          <w:lang w:val="en-PH"/>
        </w:rPr>
        <w:t xml:space="preserve">. Social Sciences &amp; Humanities Open, 11, Article 101284. </w:t>
      </w:r>
      <w:hyperlink r:id="rId33" w:history="1">
        <w:r w:rsidRPr="00AF50C5">
          <w:rPr>
            <w:rFonts w:ascii="Arial" w:hAnsi="Arial" w:cs="Arial"/>
            <w:color w:val="000000"/>
            <w:lang w:val="en-PH"/>
          </w:rPr>
          <w:t>https://doi.org/10.1016/j.ssaho.2025.101284</w:t>
        </w:r>
      </w:hyperlink>
      <w:r w:rsidRPr="00AF50C5">
        <w:rPr>
          <w:rFonts w:ascii="Arial" w:hAnsi="Arial" w:cs="Arial"/>
          <w:color w:val="000000"/>
          <w:lang w:val="en-PH"/>
        </w:rPr>
        <w:t> </w:t>
      </w:r>
    </w:p>
    <w:p w14:paraId="74E460B3" w14:textId="77777777" w:rsidR="00222292" w:rsidRPr="00AF50C5" w:rsidRDefault="00995D52" w:rsidP="00AF50C5">
      <w:pPr>
        <w:pStyle w:val="ListParagraph"/>
        <w:numPr>
          <w:ilvl w:val="0"/>
          <w:numId w:val="47"/>
        </w:numPr>
        <w:rPr>
          <w:rFonts w:ascii="Arial" w:hAnsi="Arial" w:cs="Arial"/>
          <w:lang w:val="en-PH"/>
        </w:rPr>
      </w:pPr>
      <w:proofErr w:type="spellStart"/>
      <w:r w:rsidRPr="00AF50C5">
        <w:rPr>
          <w:rFonts w:ascii="Arial" w:hAnsi="Arial" w:cs="Arial"/>
          <w:color w:val="000000"/>
          <w:lang w:val="en-PH"/>
        </w:rPr>
        <w:t>Kethüda</w:t>
      </w:r>
      <w:proofErr w:type="spellEnd"/>
      <w:r w:rsidRPr="00AF50C5">
        <w:rPr>
          <w:rFonts w:ascii="Arial" w:hAnsi="Arial" w:cs="Arial"/>
          <w:color w:val="000000"/>
          <w:lang w:val="en-PH"/>
        </w:rPr>
        <w:t xml:space="preserve">, Ö. (2022). Evaluating the influence of university ranking on the credibility and perceived differentiation of university brands. </w:t>
      </w:r>
      <w:r w:rsidRPr="00AF50C5">
        <w:rPr>
          <w:rFonts w:ascii="Arial" w:hAnsi="Arial" w:cs="Arial"/>
          <w:i/>
          <w:iCs/>
          <w:color w:val="000000"/>
          <w:lang w:val="en-PH"/>
        </w:rPr>
        <w:t>Journal of Marketing for Higher Education, 34</w:t>
      </w:r>
      <w:r w:rsidRPr="00AF50C5">
        <w:rPr>
          <w:rFonts w:ascii="Arial" w:hAnsi="Arial" w:cs="Arial"/>
          <w:color w:val="000000"/>
          <w:lang w:val="en-PH"/>
        </w:rPr>
        <w:t xml:space="preserve">(2), 736–753. </w:t>
      </w:r>
      <w:hyperlink r:id="rId34" w:history="1">
        <w:r w:rsidRPr="00AF50C5">
          <w:rPr>
            <w:rFonts w:ascii="Arial" w:hAnsi="Arial" w:cs="Arial"/>
            <w:color w:val="000000"/>
            <w:lang w:val="en-PH"/>
          </w:rPr>
          <w:t>https://doi.org/10.1080/08841241.2022.2059733</w:t>
        </w:r>
      </w:hyperlink>
      <w:r w:rsidR="00222292" w:rsidRPr="00AF50C5">
        <w:rPr>
          <w:rFonts w:ascii="Arial" w:hAnsi="Arial" w:cs="Arial"/>
          <w:lang w:val="en-PH"/>
        </w:rPr>
        <w:t xml:space="preserve"> </w:t>
      </w:r>
    </w:p>
    <w:p w14:paraId="3DC8EFD6" w14:textId="16F29FAD" w:rsidR="00995D52" w:rsidRPr="00AF50C5" w:rsidRDefault="00995D52" w:rsidP="00AF50C5">
      <w:pPr>
        <w:pStyle w:val="ListParagraph"/>
        <w:numPr>
          <w:ilvl w:val="0"/>
          <w:numId w:val="47"/>
        </w:numPr>
        <w:rPr>
          <w:rFonts w:ascii="Arial" w:hAnsi="Arial" w:cs="Arial"/>
          <w:lang w:val="en-PH"/>
        </w:rPr>
      </w:pPr>
      <w:proofErr w:type="spellStart"/>
      <w:r w:rsidRPr="00AF50C5">
        <w:rPr>
          <w:rFonts w:ascii="Arial" w:hAnsi="Arial" w:cs="Arial"/>
          <w:color w:val="000000"/>
          <w:lang w:val="en-PH"/>
        </w:rPr>
        <w:t>Krippendorff</w:t>
      </w:r>
      <w:proofErr w:type="spellEnd"/>
      <w:r w:rsidRPr="00AF50C5">
        <w:rPr>
          <w:rFonts w:ascii="Arial" w:hAnsi="Arial" w:cs="Arial"/>
          <w:color w:val="000000"/>
          <w:lang w:val="en-PH"/>
        </w:rPr>
        <w:t xml:space="preserve">, K. (2018). </w:t>
      </w:r>
      <w:r w:rsidRPr="00AF50C5">
        <w:rPr>
          <w:rFonts w:ascii="Arial" w:hAnsi="Arial" w:cs="Arial"/>
          <w:i/>
          <w:iCs/>
          <w:color w:val="000000"/>
          <w:lang w:val="en-PH"/>
        </w:rPr>
        <w:t>Content analysis: An introduction to its methodology</w:t>
      </w:r>
      <w:r w:rsidRPr="00AF50C5">
        <w:rPr>
          <w:rFonts w:ascii="Arial" w:hAnsi="Arial" w:cs="Arial"/>
          <w:color w:val="000000"/>
          <w:lang w:val="en-PH"/>
        </w:rPr>
        <w:t xml:space="preserve"> (4th ed.). Sage Publications.</w:t>
      </w:r>
    </w:p>
    <w:p w14:paraId="60A5B13E"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Lincoln, Y. S., &amp; Guba, E. G. (1985). </w:t>
      </w:r>
      <w:r w:rsidRPr="00AF50C5">
        <w:rPr>
          <w:rFonts w:ascii="Arial" w:hAnsi="Arial" w:cs="Arial"/>
          <w:i/>
          <w:iCs/>
          <w:color w:val="000000"/>
          <w:lang w:val="en-PH"/>
        </w:rPr>
        <w:t>Naturalistic inquiry</w:t>
      </w:r>
      <w:r w:rsidRPr="00AF50C5">
        <w:rPr>
          <w:rFonts w:ascii="Arial" w:hAnsi="Arial" w:cs="Arial"/>
          <w:color w:val="000000"/>
          <w:lang w:val="en-PH"/>
        </w:rPr>
        <w:t>. Sage Publications.</w:t>
      </w:r>
    </w:p>
    <w:p w14:paraId="4F8D82D2" w14:textId="77777777" w:rsidR="00995D52" w:rsidRPr="00AF50C5" w:rsidRDefault="00995D52" w:rsidP="00AF50C5">
      <w:pPr>
        <w:pStyle w:val="ListParagraph"/>
        <w:numPr>
          <w:ilvl w:val="0"/>
          <w:numId w:val="47"/>
        </w:numPr>
        <w:rPr>
          <w:rFonts w:ascii="Arial" w:hAnsi="Arial" w:cs="Arial"/>
          <w:lang w:val="en-PH"/>
        </w:rPr>
      </w:pPr>
      <w:proofErr w:type="spellStart"/>
      <w:r w:rsidRPr="00AF50C5">
        <w:rPr>
          <w:rFonts w:ascii="Arial" w:hAnsi="Arial" w:cs="Arial"/>
          <w:color w:val="000000"/>
          <w:lang w:val="en-PH"/>
        </w:rPr>
        <w:t>Marginson</w:t>
      </w:r>
      <w:proofErr w:type="spellEnd"/>
      <w:r w:rsidRPr="00AF50C5">
        <w:rPr>
          <w:rFonts w:ascii="Arial" w:hAnsi="Arial" w:cs="Arial"/>
          <w:color w:val="000000"/>
          <w:lang w:val="en-PH"/>
        </w:rPr>
        <w:t xml:space="preserve">, S. (2022). </w:t>
      </w:r>
      <w:r w:rsidRPr="00AF50C5">
        <w:rPr>
          <w:rFonts w:ascii="Arial" w:hAnsi="Arial" w:cs="Arial"/>
          <w:i/>
          <w:iCs/>
          <w:color w:val="000000"/>
          <w:lang w:val="en-PH"/>
        </w:rPr>
        <w:t>What is global higher education?</w:t>
      </w:r>
      <w:r w:rsidRPr="00AF50C5">
        <w:rPr>
          <w:rFonts w:ascii="Arial" w:hAnsi="Arial" w:cs="Arial"/>
          <w:color w:val="000000"/>
          <w:lang w:val="en-PH"/>
        </w:rPr>
        <w:t xml:space="preserve"> Oxford Review of Education, 48(4), 492–517. </w:t>
      </w:r>
      <w:hyperlink r:id="rId35" w:history="1">
        <w:r w:rsidRPr="00AF50C5">
          <w:rPr>
            <w:rFonts w:ascii="Arial" w:hAnsi="Arial" w:cs="Arial"/>
            <w:color w:val="000000"/>
            <w:lang w:val="en-PH"/>
          </w:rPr>
          <w:t>https://doi.org/10.1080/03054985.2022.2061438</w:t>
        </w:r>
      </w:hyperlink>
    </w:p>
    <w:p w14:paraId="02E09054"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Marinoni, G., &amp; Pina Cardona, S. (2024). </w:t>
      </w:r>
      <w:r w:rsidRPr="00AF50C5">
        <w:rPr>
          <w:rFonts w:ascii="Arial" w:hAnsi="Arial" w:cs="Arial"/>
          <w:i/>
          <w:iCs/>
          <w:color w:val="000000"/>
          <w:lang w:val="en-PH"/>
        </w:rPr>
        <w:t>Internationalization of higher education: Current trends and future scenarios</w:t>
      </w:r>
      <w:r w:rsidRPr="00AF50C5">
        <w:rPr>
          <w:rFonts w:ascii="Arial" w:hAnsi="Arial" w:cs="Arial"/>
          <w:color w:val="000000"/>
          <w:lang w:val="en-PH"/>
        </w:rPr>
        <w:t xml:space="preserve"> (6th IAU Global Survey Report). International Association of Universities.</w:t>
      </w:r>
      <w:hyperlink r:id="rId36" w:history="1">
        <w:r w:rsidRPr="00AF50C5">
          <w:rPr>
            <w:rFonts w:ascii="Arial" w:hAnsi="Arial" w:cs="Arial"/>
            <w:color w:val="000000"/>
            <w:lang w:val="en-PH"/>
          </w:rPr>
          <w:t xml:space="preserve"> https://iau.global/all-publications/internationalization-of-higher-education-current-trends-and-future-scenarios</w:t>
        </w:r>
      </w:hyperlink>
    </w:p>
    <w:p w14:paraId="7C0D986A"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shd w:val="clear" w:color="auto" w:fill="FFFFFF"/>
          <w:lang w:val="en-PH"/>
        </w:rPr>
        <w:t xml:space="preserve">Ng, A. W. Y. (2023). </w:t>
      </w:r>
      <w:r w:rsidRPr="00AF50C5">
        <w:rPr>
          <w:rFonts w:ascii="Arial" w:hAnsi="Arial" w:cs="Arial"/>
          <w:i/>
          <w:iCs/>
          <w:color w:val="000000"/>
          <w:shd w:val="clear" w:color="auto" w:fill="FFFFFF"/>
          <w:lang w:val="en-PH"/>
        </w:rPr>
        <w:t>Changes in the usefulness of communication channels for prospective undergraduates about university studying: Before and during the pandemic</w:t>
      </w:r>
      <w:r w:rsidRPr="00AF50C5">
        <w:rPr>
          <w:rFonts w:ascii="Arial" w:hAnsi="Arial" w:cs="Arial"/>
          <w:color w:val="000000"/>
          <w:shd w:val="clear" w:color="auto" w:fill="FFFFFF"/>
          <w:lang w:val="en-PH"/>
        </w:rPr>
        <w:t>. International Journal of Educational Management, 37(2), 361–372.</w:t>
      </w:r>
      <w:hyperlink r:id="rId37" w:history="1">
        <w:r w:rsidRPr="00AF50C5">
          <w:rPr>
            <w:rFonts w:ascii="Arial" w:hAnsi="Arial" w:cs="Arial"/>
            <w:color w:val="000000"/>
            <w:shd w:val="clear" w:color="auto" w:fill="FFFFFF"/>
            <w:lang w:val="en-PH"/>
          </w:rPr>
          <w:t xml:space="preserve"> https://eric.ed.gov/?id=EJ1372002</w:t>
        </w:r>
      </w:hyperlink>
    </w:p>
    <w:p w14:paraId="309D19AA" w14:textId="30735B70" w:rsidR="00995D52" w:rsidRPr="00AF50C5" w:rsidRDefault="00995D52" w:rsidP="00AF50C5">
      <w:pPr>
        <w:pStyle w:val="ListParagraph"/>
        <w:numPr>
          <w:ilvl w:val="0"/>
          <w:numId w:val="47"/>
        </w:numPr>
        <w:rPr>
          <w:rFonts w:ascii="Arial" w:hAnsi="Arial" w:cs="Arial"/>
          <w:color w:val="000000" w:themeColor="text1"/>
          <w:shd w:val="clear" w:color="auto" w:fill="FFFFFF"/>
          <w:lang w:val="en-PH"/>
        </w:rPr>
      </w:pPr>
      <w:proofErr w:type="spellStart"/>
      <w:r w:rsidRPr="00AF50C5">
        <w:rPr>
          <w:rFonts w:ascii="Arial" w:hAnsi="Arial" w:cs="Arial"/>
          <w:color w:val="000000" w:themeColor="text1"/>
          <w:shd w:val="clear" w:color="auto" w:fill="FFFFFF"/>
          <w:lang w:val="en-PH"/>
        </w:rPr>
        <w:t>Pattaro</w:t>
      </w:r>
      <w:proofErr w:type="spellEnd"/>
      <w:r w:rsidRPr="00AF50C5">
        <w:rPr>
          <w:rFonts w:ascii="Arial" w:hAnsi="Arial" w:cs="Arial"/>
          <w:color w:val="000000" w:themeColor="text1"/>
          <w:shd w:val="clear" w:color="auto" w:fill="FFFFFF"/>
          <w:lang w:val="en-PH"/>
        </w:rPr>
        <w:t xml:space="preserve">, A.F., Moura e Sá, P., de </w:t>
      </w:r>
      <w:proofErr w:type="spellStart"/>
      <w:r w:rsidRPr="00AF50C5">
        <w:rPr>
          <w:rFonts w:ascii="Arial" w:hAnsi="Arial" w:cs="Arial"/>
          <w:color w:val="000000" w:themeColor="text1"/>
          <w:shd w:val="clear" w:color="auto" w:fill="FFFFFF"/>
          <w:lang w:val="en-PH"/>
        </w:rPr>
        <w:t>Kruijf</w:t>
      </w:r>
      <w:proofErr w:type="spellEnd"/>
      <w:r w:rsidRPr="00AF50C5">
        <w:rPr>
          <w:rFonts w:ascii="Arial" w:hAnsi="Arial" w:cs="Arial"/>
          <w:color w:val="000000" w:themeColor="text1"/>
          <w:shd w:val="clear" w:color="auto" w:fill="FFFFFF"/>
          <w:lang w:val="en-PH"/>
        </w:rPr>
        <w:t xml:space="preserve">, J.A.M. (2022). Transparency and Accountability in Higher Education as a Response to External Stakeholders and Rules: A Comparison Between Three Country-Case Studies. In: </w:t>
      </w:r>
      <w:proofErr w:type="spellStart"/>
      <w:r w:rsidRPr="00AF50C5">
        <w:rPr>
          <w:rFonts w:ascii="Arial" w:hAnsi="Arial" w:cs="Arial"/>
          <w:color w:val="000000" w:themeColor="text1"/>
          <w:shd w:val="clear" w:color="auto" w:fill="FFFFFF"/>
          <w:lang w:val="en-PH"/>
        </w:rPr>
        <w:t>Caperchione</w:t>
      </w:r>
      <w:proofErr w:type="spellEnd"/>
      <w:r w:rsidRPr="00AF50C5">
        <w:rPr>
          <w:rFonts w:ascii="Arial" w:hAnsi="Arial" w:cs="Arial"/>
          <w:color w:val="000000" w:themeColor="text1"/>
          <w:shd w:val="clear" w:color="auto" w:fill="FFFFFF"/>
          <w:lang w:val="en-PH"/>
        </w:rPr>
        <w:t xml:space="preserve">, E., Bianchi, C. (eds) Governance and Performance Management in Public Universities. SIDREA Series in Accounting and Business Administration. Springer, Cham. </w:t>
      </w:r>
      <w:hyperlink r:id="rId38" w:history="1">
        <w:r w:rsidR="001B7AD4" w:rsidRPr="00AF50C5">
          <w:rPr>
            <w:rStyle w:val="Hyperlink"/>
            <w:rFonts w:ascii="Arial" w:hAnsi="Arial" w:cs="Arial"/>
            <w:color w:val="000000" w:themeColor="text1"/>
            <w:u w:val="none"/>
            <w:shd w:val="clear" w:color="auto" w:fill="FFFFFF"/>
            <w:lang w:val="en-PH"/>
          </w:rPr>
          <w:t>https://doi.org/10.1007/978-3-030-85698-4_2</w:t>
        </w:r>
      </w:hyperlink>
    </w:p>
    <w:p w14:paraId="49BB9456" w14:textId="2BC572C3" w:rsidR="001B7AD4" w:rsidRPr="00AF50C5" w:rsidRDefault="001B7AD4" w:rsidP="00AF50C5">
      <w:pPr>
        <w:pStyle w:val="ListParagraph"/>
        <w:numPr>
          <w:ilvl w:val="0"/>
          <w:numId w:val="47"/>
        </w:numPr>
        <w:rPr>
          <w:rFonts w:ascii="Arial" w:hAnsi="Arial" w:cs="Arial"/>
          <w:color w:val="000000" w:themeColor="text1"/>
        </w:rPr>
      </w:pPr>
      <w:proofErr w:type="spellStart"/>
      <w:r w:rsidRPr="00AF50C5">
        <w:rPr>
          <w:rFonts w:ascii="Arial" w:hAnsi="Arial" w:cs="Arial"/>
          <w:color w:val="000000" w:themeColor="text1"/>
        </w:rPr>
        <w:t>Perna</w:t>
      </w:r>
      <w:proofErr w:type="spellEnd"/>
      <w:r w:rsidRPr="00AF50C5">
        <w:rPr>
          <w:rFonts w:ascii="Arial" w:hAnsi="Arial" w:cs="Arial"/>
          <w:color w:val="000000" w:themeColor="text1"/>
        </w:rPr>
        <w:t xml:space="preserve">, L. W., Wright-Kim, J., &amp; Jiang, N. (2019). Money Matters: Understanding How Colleges and Universities Use Their Websites to Communicate Information About How to Pay College Costs. </w:t>
      </w:r>
      <w:r w:rsidRPr="00AF50C5">
        <w:rPr>
          <w:rFonts w:ascii="Arial" w:hAnsi="Arial" w:cs="Arial"/>
          <w:i/>
          <w:iCs/>
          <w:color w:val="000000" w:themeColor="text1"/>
        </w:rPr>
        <w:t>Educational Policy</w:t>
      </w:r>
      <w:r w:rsidRPr="00AF50C5">
        <w:rPr>
          <w:rFonts w:ascii="Arial" w:hAnsi="Arial" w:cs="Arial"/>
          <w:color w:val="000000" w:themeColor="text1"/>
        </w:rPr>
        <w:t xml:space="preserve">, </w:t>
      </w:r>
      <w:r w:rsidRPr="00AF50C5">
        <w:rPr>
          <w:rFonts w:ascii="Arial" w:hAnsi="Arial" w:cs="Arial"/>
          <w:i/>
          <w:iCs/>
          <w:color w:val="000000" w:themeColor="text1"/>
        </w:rPr>
        <w:t>35</w:t>
      </w:r>
      <w:r w:rsidRPr="00AF50C5">
        <w:rPr>
          <w:rFonts w:ascii="Arial" w:hAnsi="Arial" w:cs="Arial"/>
          <w:color w:val="000000" w:themeColor="text1"/>
        </w:rPr>
        <w:t>(7), 1311-1348.</w:t>
      </w:r>
      <w:hyperlink r:id="rId39" w:history="1">
        <w:r w:rsidRPr="00AF50C5">
          <w:rPr>
            <w:rStyle w:val="Hyperlink"/>
            <w:rFonts w:ascii="Arial" w:hAnsi="Arial" w:cs="Arial"/>
            <w:color w:val="000000" w:themeColor="text1"/>
            <w:u w:val="none"/>
          </w:rPr>
          <w:t xml:space="preserve"> https://doi.org/10.1177/0895904819867398</w:t>
        </w:r>
      </w:hyperlink>
      <w:r w:rsidRPr="00AF50C5">
        <w:rPr>
          <w:rFonts w:ascii="Arial" w:hAnsi="Arial" w:cs="Arial"/>
          <w:color w:val="000000" w:themeColor="text1"/>
        </w:rPr>
        <w:t> </w:t>
      </w:r>
    </w:p>
    <w:p w14:paraId="15EE629B"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Putri, N. A. (2025). Exploring the preferences of prospective students in choosing higher education institutions. </w:t>
      </w:r>
      <w:r w:rsidRPr="00AF50C5">
        <w:rPr>
          <w:rFonts w:ascii="Arial" w:hAnsi="Arial" w:cs="Arial"/>
          <w:i/>
          <w:iCs/>
          <w:color w:val="000000"/>
          <w:lang w:val="en-PH"/>
        </w:rPr>
        <w:t>Journal of Emerging Business Management and Entrepreneurship Studies, 5</w:t>
      </w:r>
      <w:r w:rsidRPr="00AF50C5">
        <w:rPr>
          <w:rFonts w:ascii="Arial" w:hAnsi="Arial" w:cs="Arial"/>
          <w:color w:val="000000"/>
          <w:lang w:val="en-PH"/>
        </w:rPr>
        <w:t xml:space="preserve">(1), 82–99. </w:t>
      </w:r>
      <w:hyperlink r:id="rId40" w:history="1">
        <w:r w:rsidRPr="00AF50C5">
          <w:rPr>
            <w:rFonts w:ascii="Arial" w:hAnsi="Arial" w:cs="Arial"/>
            <w:color w:val="000000"/>
            <w:shd w:val="clear" w:color="auto" w:fill="FFFFFF"/>
            <w:lang w:val="en-PH"/>
          </w:rPr>
          <w:t>https://doi.org/10.34149/jebmes.v5i1.188</w:t>
        </w:r>
      </w:hyperlink>
    </w:p>
    <w:p w14:paraId="75499199"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QS. (2026). </w:t>
      </w:r>
      <w:r w:rsidRPr="00AF50C5">
        <w:rPr>
          <w:rFonts w:ascii="Arial" w:hAnsi="Arial" w:cs="Arial"/>
          <w:i/>
          <w:iCs/>
          <w:color w:val="000000"/>
          <w:lang w:val="en-PH"/>
        </w:rPr>
        <w:t>QS World University Rankings 2026 methodology</w:t>
      </w:r>
      <w:r w:rsidRPr="00AF50C5">
        <w:rPr>
          <w:rFonts w:ascii="Arial" w:hAnsi="Arial" w:cs="Arial"/>
          <w:color w:val="000000"/>
          <w:lang w:val="en-PH"/>
        </w:rPr>
        <w:t xml:space="preserve">. </w:t>
      </w:r>
      <w:proofErr w:type="spellStart"/>
      <w:r w:rsidRPr="00AF50C5">
        <w:rPr>
          <w:rFonts w:ascii="Arial" w:hAnsi="Arial" w:cs="Arial"/>
          <w:color w:val="000000"/>
          <w:lang w:val="en-PH"/>
        </w:rPr>
        <w:t>Quacquarelli</w:t>
      </w:r>
      <w:proofErr w:type="spellEnd"/>
      <w:r w:rsidRPr="00AF50C5">
        <w:rPr>
          <w:rFonts w:ascii="Arial" w:hAnsi="Arial" w:cs="Arial"/>
          <w:color w:val="000000"/>
          <w:lang w:val="en-PH"/>
        </w:rPr>
        <w:t xml:space="preserve"> Symonds.</w:t>
      </w:r>
      <w:hyperlink r:id="rId41" w:history="1">
        <w:r w:rsidRPr="00AF50C5">
          <w:rPr>
            <w:rFonts w:ascii="Arial" w:hAnsi="Arial" w:cs="Arial"/>
            <w:color w:val="000000"/>
            <w:lang w:val="en-PH"/>
          </w:rPr>
          <w:t xml:space="preserve"> https://www.topuniversities.com/qs-world-university-rankings/methodology</w:t>
        </w:r>
      </w:hyperlink>
    </w:p>
    <w:p w14:paraId="22638AC0"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Ramírez, Y., &amp; Montero, F. (2024). </w:t>
      </w:r>
      <w:r w:rsidRPr="00AF50C5">
        <w:rPr>
          <w:rFonts w:ascii="Arial" w:hAnsi="Arial" w:cs="Arial"/>
          <w:i/>
          <w:iCs/>
          <w:color w:val="000000"/>
          <w:lang w:val="en-PH"/>
        </w:rPr>
        <w:t>Main factors influencing the digital transparency in higher education institutions.</w:t>
      </w:r>
      <w:r w:rsidRPr="00AF50C5">
        <w:rPr>
          <w:rFonts w:ascii="Arial" w:hAnsi="Arial" w:cs="Arial"/>
          <w:color w:val="000000"/>
          <w:lang w:val="en-PH"/>
        </w:rPr>
        <w:t xml:space="preserve"> </w:t>
      </w:r>
      <w:proofErr w:type="spellStart"/>
      <w:r w:rsidRPr="00AF50C5">
        <w:rPr>
          <w:rFonts w:ascii="Arial" w:hAnsi="Arial" w:cs="Arial"/>
          <w:color w:val="000000"/>
          <w:lang w:val="en-PH"/>
        </w:rPr>
        <w:t>Revista</w:t>
      </w:r>
      <w:proofErr w:type="spellEnd"/>
      <w:r w:rsidRPr="00AF50C5">
        <w:rPr>
          <w:rFonts w:ascii="Arial" w:hAnsi="Arial" w:cs="Arial"/>
          <w:color w:val="000000"/>
          <w:lang w:val="en-PH"/>
        </w:rPr>
        <w:t xml:space="preserve"> Española de </w:t>
      </w:r>
      <w:proofErr w:type="spellStart"/>
      <w:r w:rsidRPr="00AF50C5">
        <w:rPr>
          <w:rFonts w:ascii="Arial" w:hAnsi="Arial" w:cs="Arial"/>
          <w:color w:val="000000"/>
          <w:lang w:val="en-PH"/>
        </w:rPr>
        <w:t>Documentación</w:t>
      </w:r>
      <w:proofErr w:type="spellEnd"/>
      <w:r w:rsidRPr="00AF50C5">
        <w:rPr>
          <w:rFonts w:ascii="Arial" w:hAnsi="Arial" w:cs="Arial"/>
          <w:color w:val="000000"/>
          <w:lang w:val="en-PH"/>
        </w:rPr>
        <w:t xml:space="preserve"> </w:t>
      </w:r>
      <w:proofErr w:type="spellStart"/>
      <w:r w:rsidRPr="00AF50C5">
        <w:rPr>
          <w:rFonts w:ascii="Arial" w:hAnsi="Arial" w:cs="Arial"/>
          <w:color w:val="000000"/>
          <w:lang w:val="en-PH"/>
        </w:rPr>
        <w:t>Científica</w:t>
      </w:r>
      <w:proofErr w:type="spellEnd"/>
      <w:r w:rsidRPr="00AF50C5">
        <w:rPr>
          <w:rFonts w:ascii="Arial" w:hAnsi="Arial" w:cs="Arial"/>
          <w:color w:val="000000"/>
          <w:lang w:val="en-PH"/>
        </w:rPr>
        <w:t xml:space="preserve">, 47(1), e376. </w:t>
      </w:r>
      <w:hyperlink r:id="rId42" w:history="1">
        <w:r w:rsidRPr="00AF50C5">
          <w:rPr>
            <w:rFonts w:ascii="Arial" w:hAnsi="Arial" w:cs="Arial"/>
            <w:color w:val="000000"/>
            <w:lang w:val="en-PH"/>
          </w:rPr>
          <w:t>https://doi.org/10.3989/redc.2024.1.1384</w:t>
        </w:r>
      </w:hyperlink>
    </w:p>
    <w:p w14:paraId="5FCEBE71" w14:textId="77777777" w:rsidR="00995D52" w:rsidRPr="00AF50C5" w:rsidRDefault="00995D52" w:rsidP="00AF50C5">
      <w:pPr>
        <w:pStyle w:val="ListParagraph"/>
        <w:numPr>
          <w:ilvl w:val="0"/>
          <w:numId w:val="47"/>
        </w:numPr>
        <w:rPr>
          <w:rFonts w:ascii="Arial" w:hAnsi="Arial" w:cs="Arial"/>
          <w:lang w:val="en-PH"/>
        </w:rPr>
      </w:pPr>
      <w:proofErr w:type="spellStart"/>
      <w:r w:rsidRPr="00AF50C5">
        <w:rPr>
          <w:rFonts w:ascii="Arial" w:hAnsi="Arial" w:cs="Arial"/>
          <w:color w:val="000000"/>
          <w:lang w:val="en-PH"/>
        </w:rPr>
        <w:t>Santizo</w:t>
      </w:r>
      <w:proofErr w:type="spellEnd"/>
      <w:r w:rsidRPr="00AF50C5">
        <w:rPr>
          <w:rFonts w:ascii="Arial" w:hAnsi="Arial" w:cs="Arial"/>
          <w:color w:val="000000"/>
          <w:lang w:val="en-PH"/>
        </w:rPr>
        <w:t xml:space="preserve">, A., &amp; Hurtado, M. (2024). An examination of website factors affecting university brand image and visitor behavior. </w:t>
      </w:r>
      <w:r w:rsidRPr="00AF50C5">
        <w:rPr>
          <w:rFonts w:ascii="Arial" w:hAnsi="Arial" w:cs="Arial"/>
          <w:i/>
          <w:iCs/>
          <w:color w:val="000000"/>
          <w:lang w:val="en-PH"/>
        </w:rPr>
        <w:t>Journal of Applied Research in Higher Education.</w:t>
      </w:r>
      <w:r w:rsidRPr="00AF50C5">
        <w:rPr>
          <w:rFonts w:ascii="Arial" w:hAnsi="Arial" w:cs="Arial"/>
          <w:color w:val="000000"/>
          <w:lang w:val="en-PH"/>
        </w:rPr>
        <w:t xml:space="preserve"> </w:t>
      </w:r>
      <w:hyperlink r:id="rId43" w:history="1">
        <w:r w:rsidRPr="00AF50C5">
          <w:rPr>
            <w:rFonts w:ascii="Arial" w:hAnsi="Arial" w:cs="Arial"/>
            <w:color w:val="000000"/>
            <w:lang w:val="en-PH"/>
          </w:rPr>
          <w:t>https://doi.org/10.1108/JARHE-03-2024-0116</w:t>
        </w:r>
      </w:hyperlink>
    </w:p>
    <w:p w14:paraId="196CD4F6" w14:textId="77777777" w:rsidR="00995D52" w:rsidRPr="00AF50C5" w:rsidRDefault="00995D52" w:rsidP="00AF50C5">
      <w:pPr>
        <w:pStyle w:val="ListParagraph"/>
        <w:numPr>
          <w:ilvl w:val="0"/>
          <w:numId w:val="47"/>
        </w:numPr>
        <w:rPr>
          <w:rFonts w:ascii="Arial" w:hAnsi="Arial" w:cs="Arial"/>
          <w:lang w:val="en-PH"/>
        </w:rPr>
      </w:pPr>
      <w:proofErr w:type="spellStart"/>
      <w:r w:rsidRPr="00AF50C5">
        <w:rPr>
          <w:rFonts w:ascii="Arial" w:hAnsi="Arial" w:cs="Arial"/>
          <w:color w:val="000000"/>
          <w:lang w:val="en-PH"/>
        </w:rPr>
        <w:t>Scandurra</w:t>
      </w:r>
      <w:proofErr w:type="spellEnd"/>
      <w:r w:rsidRPr="00AF50C5">
        <w:rPr>
          <w:rFonts w:ascii="Arial" w:hAnsi="Arial" w:cs="Arial"/>
          <w:color w:val="000000"/>
          <w:lang w:val="en-PH"/>
        </w:rPr>
        <w:t xml:space="preserve">, R., &amp; </w:t>
      </w:r>
      <w:proofErr w:type="spellStart"/>
      <w:r w:rsidRPr="00AF50C5">
        <w:rPr>
          <w:rFonts w:ascii="Arial" w:hAnsi="Arial" w:cs="Arial"/>
          <w:color w:val="000000"/>
          <w:lang w:val="en-PH"/>
        </w:rPr>
        <w:t>Zanini</w:t>
      </w:r>
      <w:proofErr w:type="spellEnd"/>
      <w:r w:rsidRPr="00AF50C5">
        <w:rPr>
          <w:rFonts w:ascii="Arial" w:hAnsi="Arial" w:cs="Arial"/>
          <w:color w:val="000000"/>
          <w:lang w:val="en-PH"/>
        </w:rPr>
        <w:t xml:space="preserve">, A. (2024). </w:t>
      </w:r>
      <w:r w:rsidRPr="00AF50C5">
        <w:rPr>
          <w:rFonts w:ascii="Arial" w:hAnsi="Arial" w:cs="Arial"/>
          <w:i/>
          <w:iCs/>
          <w:color w:val="000000"/>
          <w:lang w:val="en-PH"/>
        </w:rPr>
        <w:t xml:space="preserve">Do employability </w:t>
      </w:r>
      <w:proofErr w:type="spellStart"/>
      <w:r w:rsidRPr="00AF50C5">
        <w:rPr>
          <w:rFonts w:ascii="Arial" w:hAnsi="Arial" w:cs="Arial"/>
          <w:i/>
          <w:iCs/>
          <w:color w:val="000000"/>
          <w:lang w:val="en-PH"/>
        </w:rPr>
        <w:t>programmes</w:t>
      </w:r>
      <w:proofErr w:type="spellEnd"/>
      <w:r w:rsidRPr="00AF50C5">
        <w:rPr>
          <w:rFonts w:ascii="Arial" w:hAnsi="Arial" w:cs="Arial"/>
          <w:i/>
          <w:iCs/>
          <w:color w:val="000000"/>
          <w:lang w:val="en-PH"/>
        </w:rPr>
        <w:t xml:space="preserve"> in higher education improve graduate outcomes?</w:t>
      </w:r>
      <w:r w:rsidRPr="00AF50C5">
        <w:rPr>
          <w:rFonts w:ascii="Arial" w:hAnsi="Arial" w:cs="Arial"/>
          <w:color w:val="000000"/>
          <w:lang w:val="en-PH"/>
        </w:rPr>
        <w:t xml:space="preserve"> Studies in Higher Education. https://doi.org/10.1080/03075079.2023.2265425</w:t>
      </w:r>
    </w:p>
    <w:p w14:paraId="7F32A805"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Schreier, M. (2012). </w:t>
      </w:r>
      <w:r w:rsidRPr="00AF50C5">
        <w:rPr>
          <w:rFonts w:ascii="Arial" w:hAnsi="Arial" w:cs="Arial"/>
          <w:i/>
          <w:iCs/>
          <w:color w:val="000000"/>
          <w:lang w:val="en-PH"/>
        </w:rPr>
        <w:t>Qualitative content analysis in practice</w:t>
      </w:r>
      <w:r w:rsidRPr="00AF50C5">
        <w:rPr>
          <w:rFonts w:ascii="Arial" w:hAnsi="Arial" w:cs="Arial"/>
          <w:color w:val="000000"/>
          <w:lang w:val="en-PH"/>
        </w:rPr>
        <w:t>. Sage Publications.</w:t>
      </w:r>
    </w:p>
    <w:p w14:paraId="5564D308"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Sharma, P. (2025). Digital marketing in higher education: Role and prospects. </w:t>
      </w:r>
      <w:r w:rsidRPr="00AF50C5">
        <w:rPr>
          <w:rFonts w:ascii="Arial" w:hAnsi="Arial" w:cs="Arial"/>
          <w:i/>
          <w:iCs/>
          <w:color w:val="000000"/>
          <w:lang w:val="en-PH"/>
        </w:rPr>
        <w:t>Journal of Management and Business Studies, 5</w:t>
      </w:r>
      <w:r w:rsidRPr="00AF50C5">
        <w:rPr>
          <w:rFonts w:ascii="Arial" w:hAnsi="Arial" w:cs="Arial"/>
          <w:color w:val="000000"/>
          <w:lang w:val="en-PH"/>
        </w:rPr>
        <w:t xml:space="preserve">(3), 1–15. </w:t>
      </w:r>
      <w:hyperlink r:id="rId44" w:history="1">
        <w:r w:rsidRPr="00AF50C5">
          <w:rPr>
            <w:rFonts w:ascii="Arial" w:hAnsi="Arial" w:cs="Arial"/>
            <w:color w:val="000000"/>
            <w:lang w:val="en-PH"/>
          </w:rPr>
          <w:t>https://goodwoodpub.com/index.php/JoMABS/article/view/3741</w:t>
        </w:r>
      </w:hyperlink>
    </w:p>
    <w:p w14:paraId="1800C67B"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Spence, M. (1973). Job market signaling. </w:t>
      </w:r>
      <w:r w:rsidRPr="00AF50C5">
        <w:rPr>
          <w:rFonts w:ascii="Arial" w:hAnsi="Arial" w:cs="Arial"/>
          <w:i/>
          <w:iCs/>
          <w:color w:val="000000"/>
          <w:lang w:val="en-PH"/>
        </w:rPr>
        <w:t>Quarterly Journal of Economics, 87</w:t>
      </w:r>
      <w:r w:rsidRPr="00AF50C5">
        <w:rPr>
          <w:rFonts w:ascii="Arial" w:hAnsi="Arial" w:cs="Arial"/>
          <w:color w:val="000000"/>
          <w:lang w:val="en-PH"/>
        </w:rPr>
        <w:t>(3), 355–374.</w:t>
      </w:r>
    </w:p>
    <w:p w14:paraId="70CB17B9"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lastRenderedPageBreak/>
        <w:t xml:space="preserve">Spence, M. (2002). Signaling in retrospect and the informational structure of markets. </w:t>
      </w:r>
      <w:r w:rsidRPr="00AF50C5">
        <w:rPr>
          <w:rFonts w:ascii="Arial" w:hAnsi="Arial" w:cs="Arial"/>
          <w:i/>
          <w:iCs/>
          <w:color w:val="000000"/>
          <w:lang w:val="en-PH"/>
        </w:rPr>
        <w:t>American Economic Review, 92</w:t>
      </w:r>
      <w:r w:rsidRPr="00AF50C5">
        <w:rPr>
          <w:rFonts w:ascii="Arial" w:hAnsi="Arial" w:cs="Arial"/>
          <w:color w:val="000000"/>
          <w:lang w:val="en-PH"/>
        </w:rPr>
        <w:t>(3), 434–459.</w:t>
      </w:r>
      <w:hyperlink r:id="rId45" w:history="1">
        <w:r w:rsidRPr="00AF50C5">
          <w:rPr>
            <w:rFonts w:ascii="Arial" w:hAnsi="Arial" w:cs="Arial"/>
            <w:color w:val="000000"/>
            <w:lang w:val="en-PH"/>
          </w:rPr>
          <w:t xml:space="preserve"> https://doi.org/10.1257/00028280260136200</w:t>
        </w:r>
      </w:hyperlink>
    </w:p>
    <w:p w14:paraId="3A5A1981" w14:textId="77777777" w:rsidR="00995D52" w:rsidRPr="00AF50C5" w:rsidRDefault="00995D52" w:rsidP="00AF50C5">
      <w:pPr>
        <w:pStyle w:val="ListParagraph"/>
        <w:numPr>
          <w:ilvl w:val="0"/>
          <w:numId w:val="47"/>
        </w:numPr>
        <w:rPr>
          <w:rFonts w:ascii="Arial" w:hAnsi="Arial" w:cs="Arial"/>
          <w:lang w:val="en-PH"/>
        </w:rPr>
      </w:pPr>
      <w:proofErr w:type="spellStart"/>
      <w:r w:rsidRPr="00AF50C5">
        <w:rPr>
          <w:rFonts w:ascii="Arial" w:hAnsi="Arial" w:cs="Arial"/>
          <w:color w:val="000000"/>
          <w:lang w:val="en-PH"/>
        </w:rPr>
        <w:t>Tanase</w:t>
      </w:r>
      <w:proofErr w:type="spellEnd"/>
      <w:r w:rsidRPr="00AF50C5">
        <w:rPr>
          <w:rFonts w:ascii="Arial" w:hAnsi="Arial" w:cs="Arial"/>
          <w:color w:val="000000"/>
          <w:lang w:val="en-PH"/>
        </w:rPr>
        <w:t xml:space="preserve">, I., </w:t>
      </w:r>
      <w:proofErr w:type="spellStart"/>
      <w:r w:rsidRPr="00AF50C5">
        <w:rPr>
          <w:rFonts w:ascii="Arial" w:hAnsi="Arial" w:cs="Arial"/>
          <w:color w:val="000000"/>
          <w:lang w:val="en-PH"/>
        </w:rPr>
        <w:t>Botezatu</w:t>
      </w:r>
      <w:proofErr w:type="spellEnd"/>
      <w:r w:rsidRPr="00AF50C5">
        <w:rPr>
          <w:rFonts w:ascii="Arial" w:hAnsi="Arial" w:cs="Arial"/>
          <w:color w:val="000000"/>
          <w:lang w:val="en-PH"/>
        </w:rPr>
        <w:t xml:space="preserve">, F., </w:t>
      </w:r>
      <w:proofErr w:type="spellStart"/>
      <w:r w:rsidRPr="00AF50C5">
        <w:rPr>
          <w:rFonts w:ascii="Arial" w:hAnsi="Arial" w:cs="Arial"/>
          <w:color w:val="000000"/>
          <w:lang w:val="en-PH"/>
        </w:rPr>
        <w:t>Marinica</w:t>
      </w:r>
      <w:proofErr w:type="spellEnd"/>
      <w:r w:rsidRPr="00AF50C5">
        <w:rPr>
          <w:rFonts w:ascii="Arial" w:hAnsi="Arial" w:cs="Arial"/>
          <w:color w:val="000000"/>
          <w:lang w:val="en-PH"/>
        </w:rPr>
        <w:t xml:space="preserve">, D., &amp; </w:t>
      </w:r>
      <w:proofErr w:type="spellStart"/>
      <w:r w:rsidRPr="00AF50C5">
        <w:rPr>
          <w:rFonts w:ascii="Arial" w:hAnsi="Arial" w:cs="Arial"/>
          <w:color w:val="000000"/>
          <w:lang w:val="en-PH"/>
        </w:rPr>
        <w:t>Grejdan</w:t>
      </w:r>
      <w:proofErr w:type="spellEnd"/>
      <w:r w:rsidRPr="00AF50C5">
        <w:rPr>
          <w:rFonts w:ascii="Arial" w:hAnsi="Arial" w:cs="Arial"/>
          <w:color w:val="000000"/>
          <w:lang w:val="en-PH"/>
        </w:rPr>
        <w:t xml:space="preserve">, E. F. (2025). </w:t>
      </w:r>
      <w:r w:rsidRPr="00AF50C5">
        <w:rPr>
          <w:rFonts w:ascii="Arial" w:hAnsi="Arial" w:cs="Arial"/>
          <w:i/>
          <w:iCs/>
          <w:color w:val="000000"/>
          <w:lang w:val="en-PH"/>
        </w:rPr>
        <w:t>Increasing membership conversion through effective UI/UX design in fitness websites</w:t>
      </w:r>
      <w:r w:rsidRPr="00AF50C5">
        <w:rPr>
          <w:rFonts w:ascii="Arial" w:hAnsi="Arial" w:cs="Arial"/>
          <w:color w:val="000000"/>
          <w:lang w:val="en-PH"/>
        </w:rPr>
        <w:t>. Proceedings of the International Conference on Business Excellence, 19(1), 4057–4064. https://doi.org/10.2478/picbe-2025-0311</w:t>
      </w:r>
    </w:p>
    <w:p w14:paraId="2D914919"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United Nations Statistics Division. (2023). </w:t>
      </w:r>
      <w:r w:rsidRPr="00AF50C5">
        <w:rPr>
          <w:rFonts w:ascii="Arial" w:hAnsi="Arial" w:cs="Arial"/>
          <w:i/>
          <w:iCs/>
          <w:color w:val="000000"/>
          <w:lang w:val="en-PH"/>
        </w:rPr>
        <w:t>Standard country or area codes for statistical use (M49 standard)</w:t>
      </w:r>
      <w:r w:rsidRPr="00AF50C5">
        <w:rPr>
          <w:rFonts w:ascii="Arial" w:hAnsi="Arial" w:cs="Arial"/>
          <w:color w:val="000000"/>
          <w:lang w:val="en-PH"/>
        </w:rPr>
        <w:t>.</w:t>
      </w:r>
      <w:hyperlink r:id="rId46" w:history="1">
        <w:r w:rsidRPr="00AF50C5">
          <w:rPr>
            <w:rFonts w:ascii="Arial" w:hAnsi="Arial" w:cs="Arial"/>
            <w:color w:val="000000"/>
            <w:lang w:val="en-PH"/>
          </w:rPr>
          <w:t xml:space="preserve"> https://unstats.un.org/unsd/methodology/m49/</w:t>
        </w:r>
      </w:hyperlink>
    </w:p>
    <w:p w14:paraId="2C2EA884" w14:textId="77777777" w:rsidR="00995D52" w:rsidRPr="00AF50C5" w:rsidRDefault="00995D52" w:rsidP="00AF50C5">
      <w:pPr>
        <w:pStyle w:val="ListParagraph"/>
        <w:numPr>
          <w:ilvl w:val="0"/>
          <w:numId w:val="47"/>
        </w:numPr>
        <w:rPr>
          <w:rFonts w:ascii="Arial" w:hAnsi="Arial" w:cs="Arial"/>
          <w:lang w:val="en-PH"/>
        </w:rPr>
      </w:pPr>
      <w:r w:rsidRPr="00AF50C5">
        <w:rPr>
          <w:rFonts w:ascii="Arial" w:hAnsi="Arial" w:cs="Arial"/>
          <w:color w:val="000000"/>
          <w:lang w:val="en-PH"/>
        </w:rPr>
        <w:t xml:space="preserve">Xiao, Y., Nguyen </w:t>
      </w:r>
      <w:proofErr w:type="spellStart"/>
      <w:r w:rsidRPr="00AF50C5">
        <w:rPr>
          <w:rFonts w:ascii="Arial" w:hAnsi="Arial" w:cs="Arial"/>
          <w:color w:val="000000"/>
          <w:lang w:val="en-PH"/>
        </w:rPr>
        <w:t>Thi</w:t>
      </w:r>
      <w:proofErr w:type="spellEnd"/>
      <w:r w:rsidRPr="00AF50C5">
        <w:rPr>
          <w:rFonts w:ascii="Arial" w:hAnsi="Arial" w:cs="Arial"/>
          <w:color w:val="000000"/>
          <w:lang w:val="en-PH"/>
        </w:rPr>
        <w:t xml:space="preserve"> Thu Huong, N. T., Nguyen Hoang Nam, N. H., Phan </w:t>
      </w:r>
      <w:proofErr w:type="spellStart"/>
      <w:r w:rsidRPr="00AF50C5">
        <w:rPr>
          <w:rFonts w:ascii="Arial" w:hAnsi="Arial" w:cs="Arial"/>
          <w:color w:val="000000"/>
          <w:lang w:val="en-PH"/>
        </w:rPr>
        <w:t>Dinh</w:t>
      </w:r>
      <w:proofErr w:type="spellEnd"/>
      <w:r w:rsidRPr="00AF50C5">
        <w:rPr>
          <w:rFonts w:ascii="Arial" w:hAnsi="Arial" w:cs="Arial"/>
          <w:color w:val="000000"/>
          <w:lang w:val="en-PH"/>
        </w:rPr>
        <w:t xml:space="preserve"> </w:t>
      </w:r>
      <w:proofErr w:type="spellStart"/>
      <w:r w:rsidRPr="00AF50C5">
        <w:rPr>
          <w:rFonts w:ascii="Arial" w:hAnsi="Arial" w:cs="Arial"/>
          <w:color w:val="000000"/>
          <w:lang w:val="en-PH"/>
        </w:rPr>
        <w:t>Quyet</w:t>
      </w:r>
      <w:proofErr w:type="spellEnd"/>
      <w:r w:rsidRPr="00AF50C5">
        <w:rPr>
          <w:rFonts w:ascii="Arial" w:hAnsi="Arial" w:cs="Arial"/>
          <w:color w:val="000000"/>
          <w:lang w:val="en-PH"/>
        </w:rPr>
        <w:t xml:space="preserve">, P. D., Cao Tuan </w:t>
      </w:r>
      <w:proofErr w:type="spellStart"/>
      <w:r w:rsidRPr="00AF50C5">
        <w:rPr>
          <w:rFonts w:ascii="Arial" w:hAnsi="Arial" w:cs="Arial"/>
          <w:color w:val="000000"/>
          <w:lang w:val="en-PH"/>
        </w:rPr>
        <w:t>Khanh</w:t>
      </w:r>
      <w:proofErr w:type="spellEnd"/>
      <w:r w:rsidRPr="00AF50C5">
        <w:rPr>
          <w:rFonts w:ascii="Arial" w:hAnsi="Arial" w:cs="Arial"/>
          <w:color w:val="000000"/>
          <w:lang w:val="en-PH"/>
        </w:rPr>
        <w:t xml:space="preserve">, C. T., &amp; Dao </w:t>
      </w:r>
      <w:proofErr w:type="spellStart"/>
      <w:r w:rsidRPr="00AF50C5">
        <w:rPr>
          <w:rFonts w:ascii="Arial" w:hAnsi="Arial" w:cs="Arial"/>
          <w:color w:val="000000"/>
          <w:lang w:val="en-PH"/>
        </w:rPr>
        <w:t>Thi</w:t>
      </w:r>
      <w:proofErr w:type="spellEnd"/>
      <w:r w:rsidRPr="00AF50C5">
        <w:rPr>
          <w:rFonts w:ascii="Arial" w:hAnsi="Arial" w:cs="Arial"/>
          <w:color w:val="000000"/>
          <w:lang w:val="en-PH"/>
        </w:rPr>
        <w:t xml:space="preserve"> Ha Anh, D. T. H. (2023). </w:t>
      </w:r>
      <w:r w:rsidRPr="00AF50C5">
        <w:rPr>
          <w:rFonts w:ascii="Arial" w:hAnsi="Arial" w:cs="Arial"/>
          <w:i/>
          <w:iCs/>
          <w:color w:val="000000"/>
          <w:lang w:val="en-PH"/>
        </w:rPr>
        <w:t>University brand: A systematic literature review</w:t>
      </w:r>
      <w:r w:rsidRPr="00AF50C5">
        <w:rPr>
          <w:rFonts w:ascii="Arial" w:hAnsi="Arial" w:cs="Arial"/>
          <w:color w:val="000000"/>
          <w:lang w:val="en-PH"/>
        </w:rPr>
        <w:t xml:space="preserve">. </w:t>
      </w:r>
      <w:proofErr w:type="spellStart"/>
      <w:r w:rsidRPr="00AF50C5">
        <w:rPr>
          <w:rFonts w:ascii="Arial" w:hAnsi="Arial" w:cs="Arial"/>
          <w:color w:val="000000"/>
          <w:lang w:val="en-PH"/>
        </w:rPr>
        <w:t>Heliyon</w:t>
      </w:r>
      <w:proofErr w:type="spellEnd"/>
      <w:r w:rsidRPr="00AF50C5">
        <w:rPr>
          <w:rFonts w:ascii="Arial" w:hAnsi="Arial" w:cs="Arial"/>
          <w:color w:val="000000"/>
          <w:lang w:val="en-PH"/>
        </w:rPr>
        <w:t>, 9(6), Article e16825.</w:t>
      </w:r>
      <w:hyperlink r:id="rId47" w:history="1">
        <w:r w:rsidRPr="00AF50C5">
          <w:rPr>
            <w:rFonts w:ascii="Arial" w:hAnsi="Arial" w:cs="Arial"/>
            <w:color w:val="000000"/>
            <w:lang w:val="en-PH"/>
          </w:rPr>
          <w:t xml:space="preserve"> https://doi.org/10.1016/j.heliyon.2023.e16825</w:t>
        </w:r>
      </w:hyperlink>
    </w:p>
    <w:p w14:paraId="4BEFC536" w14:textId="7D8D47E2" w:rsidR="001B7AD4" w:rsidRPr="00AF50C5" w:rsidRDefault="00995D52" w:rsidP="00AF50C5">
      <w:pPr>
        <w:pStyle w:val="ListParagraph"/>
        <w:numPr>
          <w:ilvl w:val="0"/>
          <w:numId w:val="47"/>
        </w:numPr>
        <w:rPr>
          <w:rFonts w:ascii="Arial" w:hAnsi="Arial" w:cs="Arial"/>
        </w:rPr>
      </w:pPr>
      <w:proofErr w:type="spellStart"/>
      <w:r w:rsidRPr="00AF50C5">
        <w:rPr>
          <w:rFonts w:ascii="Arial" w:hAnsi="Arial" w:cs="Arial"/>
          <w:color w:val="000000"/>
        </w:rPr>
        <w:t>Zeqiri</w:t>
      </w:r>
      <w:proofErr w:type="spellEnd"/>
      <w:r w:rsidRPr="00AF50C5">
        <w:rPr>
          <w:rFonts w:ascii="Arial" w:hAnsi="Arial" w:cs="Arial"/>
          <w:color w:val="000000"/>
        </w:rPr>
        <w:t xml:space="preserve">, J., Raluca Dania, T., </w:t>
      </w:r>
      <w:proofErr w:type="spellStart"/>
      <w:r w:rsidRPr="00AF50C5">
        <w:rPr>
          <w:rFonts w:ascii="Arial" w:hAnsi="Arial" w:cs="Arial"/>
          <w:color w:val="000000"/>
        </w:rPr>
        <w:t>Lupșa-Tătaru</w:t>
      </w:r>
      <w:proofErr w:type="spellEnd"/>
      <w:r w:rsidRPr="00AF50C5">
        <w:rPr>
          <w:rFonts w:ascii="Arial" w:hAnsi="Arial" w:cs="Arial"/>
          <w:color w:val="000000"/>
        </w:rPr>
        <w:t xml:space="preserve">, D. A., &amp; Gleason, K. (2023). The impact of e-service quality on word of mouth in higher education. </w:t>
      </w:r>
      <w:r w:rsidRPr="00AF50C5">
        <w:rPr>
          <w:rFonts w:ascii="Arial" w:hAnsi="Arial" w:cs="Arial"/>
          <w:i/>
          <w:iCs/>
          <w:color w:val="000000"/>
        </w:rPr>
        <w:t>International Journal of Market Research and Economics, 100850</w:t>
      </w:r>
      <w:r w:rsidRPr="00AF50C5">
        <w:rPr>
          <w:rFonts w:ascii="Arial" w:hAnsi="Arial" w:cs="Arial"/>
          <w:color w:val="000000"/>
        </w:rPr>
        <w:t xml:space="preserve">. </w:t>
      </w:r>
      <w:hyperlink r:id="rId48" w:history="1">
        <w:r w:rsidRPr="00AF50C5">
          <w:rPr>
            <w:rFonts w:ascii="Arial" w:hAnsi="Arial" w:cs="Arial"/>
            <w:color w:val="000000"/>
          </w:rPr>
          <w:t>https://doi.org/10.1016/j.ijme.2023.100850</w:t>
        </w:r>
      </w:hyperlink>
      <w:r w:rsidR="001B7AD4" w:rsidRPr="00AF50C5">
        <w:rPr>
          <w:rFonts w:ascii="Arial" w:hAnsi="Arial" w:cs="Arial"/>
        </w:rPr>
        <w:t xml:space="preserve"> </w:t>
      </w:r>
    </w:p>
    <w:p w14:paraId="0CA4CD2A" w14:textId="77777777" w:rsidR="001B7AD4" w:rsidRDefault="001B7AD4" w:rsidP="00C6004A">
      <w:pPr>
        <w:ind w:left="540" w:hanging="540"/>
        <w:rPr>
          <w:rFonts w:ascii="Arial" w:hAnsi="Arial" w:cs="Arial"/>
        </w:rPr>
      </w:pPr>
    </w:p>
    <w:sectPr w:rsidR="001B7AD4" w:rsidSect="00174A4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32410" w14:textId="77777777" w:rsidR="009075F0" w:rsidRDefault="009075F0" w:rsidP="00C37E61">
      <w:r>
        <w:separator/>
      </w:r>
    </w:p>
  </w:endnote>
  <w:endnote w:type="continuationSeparator" w:id="0">
    <w:p w14:paraId="7EB07ED2" w14:textId="77777777" w:rsidR="009075F0" w:rsidRDefault="009075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3DC2C" w14:textId="77777777" w:rsidR="000064C9" w:rsidRDefault="00006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1E451" w14:textId="77777777" w:rsidR="000064C9" w:rsidRDefault="00006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CAC91" w14:textId="77777777" w:rsidR="009E048A" w:rsidRDefault="009E048A">
    <w:pPr>
      <w:pStyle w:val="Footer"/>
      <w:rPr>
        <w:rFonts w:ascii="Arial" w:hAnsi="Arial" w:cs="Arial"/>
        <w:sz w:val="16"/>
      </w:rPr>
    </w:pPr>
  </w:p>
  <w:p w14:paraId="319501F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C79C2B7" w14:textId="77777777" w:rsidR="009E048A" w:rsidRDefault="009E048A">
    <w:pPr>
      <w:pStyle w:val="Footer"/>
      <w:rPr>
        <w:rFonts w:ascii="Arial" w:hAnsi="Arial" w:cs="Arial"/>
        <w:sz w:val="16"/>
      </w:rPr>
    </w:pPr>
  </w:p>
  <w:p w14:paraId="262FB9BA" w14:textId="0D6A0D1F"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FFD45" w14:textId="77777777" w:rsidR="009075F0" w:rsidRDefault="009075F0" w:rsidP="00C37E61">
      <w:r>
        <w:separator/>
      </w:r>
    </w:p>
  </w:footnote>
  <w:footnote w:type="continuationSeparator" w:id="0">
    <w:p w14:paraId="0AAA9220" w14:textId="77777777" w:rsidR="009075F0" w:rsidRDefault="009075F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0304" w14:textId="4DB2D273" w:rsidR="000064C9" w:rsidRDefault="009075F0">
    <w:pPr>
      <w:pStyle w:val="Header"/>
    </w:pPr>
    <w:r>
      <w:rPr>
        <w:noProof/>
      </w:rPr>
      <w:pict w14:anchorId="53C25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69672" o:spid="_x0000_s2051"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3940" w14:textId="5C155B1B" w:rsidR="000064C9" w:rsidRDefault="009075F0">
    <w:pPr>
      <w:pStyle w:val="Header"/>
    </w:pPr>
    <w:r>
      <w:rPr>
        <w:noProof/>
      </w:rPr>
      <w:pict w14:anchorId="72C77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69673" o:spid="_x0000_s2050"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EDAB6" w14:textId="21059CC3" w:rsidR="00296529" w:rsidRPr="00296529" w:rsidRDefault="009075F0" w:rsidP="00296529">
    <w:pPr>
      <w:ind w:left="2160"/>
      <w:jc w:val="center"/>
      <w:rPr>
        <w:rFonts w:ascii="Times New Roman" w:eastAsia="Calibri" w:hAnsi="Times New Roman"/>
        <w:i/>
        <w:sz w:val="18"/>
        <w:szCs w:val="22"/>
      </w:rPr>
    </w:pPr>
    <w:r>
      <w:rPr>
        <w:noProof/>
      </w:rPr>
      <w:pict w14:anchorId="2B5C2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69671" o:spid="_x0000_s2049"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7C09260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05817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44635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A2A69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DCCC7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9D99A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C3462"/>
    <w:multiLevelType w:val="multilevel"/>
    <w:tmpl w:val="9B827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B526DA"/>
    <w:multiLevelType w:val="multilevel"/>
    <w:tmpl w:val="62560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BA0228B"/>
    <w:multiLevelType w:val="multilevel"/>
    <w:tmpl w:val="D8EA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6C818C3"/>
    <w:multiLevelType w:val="multilevel"/>
    <w:tmpl w:val="7226A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04AAF"/>
    <w:multiLevelType w:val="multilevel"/>
    <w:tmpl w:val="941C871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0F2CC7"/>
    <w:multiLevelType w:val="hybridMultilevel"/>
    <w:tmpl w:val="27D6A62E"/>
    <w:lvl w:ilvl="0" w:tplc="95149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1ED7657D"/>
    <w:multiLevelType w:val="multilevel"/>
    <w:tmpl w:val="8978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6C6954"/>
    <w:multiLevelType w:val="multilevel"/>
    <w:tmpl w:val="1CE8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7F314EF"/>
    <w:multiLevelType w:val="multilevel"/>
    <w:tmpl w:val="810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413C4C"/>
    <w:multiLevelType w:val="multilevel"/>
    <w:tmpl w:val="CBD2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4B5F527C"/>
    <w:multiLevelType w:val="hybridMultilevel"/>
    <w:tmpl w:val="0142A29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4933CF"/>
    <w:multiLevelType w:val="multilevel"/>
    <w:tmpl w:val="AE98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836D35"/>
    <w:multiLevelType w:val="multilevel"/>
    <w:tmpl w:val="9ACE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D347D6"/>
    <w:multiLevelType w:val="hybridMultilevel"/>
    <w:tmpl w:val="2C0E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0281AFB"/>
    <w:multiLevelType w:val="hybridMultilevel"/>
    <w:tmpl w:val="84B6DB0C"/>
    <w:lvl w:ilvl="0" w:tplc="95149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BC507A"/>
    <w:multiLevelType w:val="multilevel"/>
    <w:tmpl w:val="5134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4A1032"/>
    <w:multiLevelType w:val="multilevel"/>
    <w:tmpl w:val="FDD0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4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9"/>
  </w:num>
  <w:num w:numId="7">
    <w:abstractNumId w:val="3"/>
  </w:num>
  <w:num w:numId="8">
    <w:abstractNumId w:val="20"/>
  </w:num>
  <w:num w:numId="9">
    <w:abstractNumId w:val="42"/>
  </w:num>
  <w:num w:numId="10">
    <w:abstractNumId w:val="4"/>
  </w:num>
  <w:num w:numId="11">
    <w:abstractNumId w:val="35"/>
  </w:num>
  <w:num w:numId="12">
    <w:abstractNumId w:val="5"/>
  </w:num>
  <w:num w:numId="13">
    <w:abstractNumId w:val="31"/>
  </w:num>
  <w:num w:numId="14">
    <w:abstractNumId w:val="14"/>
  </w:num>
  <w:num w:numId="15">
    <w:abstractNumId w:val="38"/>
  </w:num>
  <w:num w:numId="16">
    <w:abstractNumId w:val="7"/>
  </w:num>
  <w:num w:numId="17">
    <w:abstractNumId w:val="39"/>
  </w:num>
  <w:num w:numId="18">
    <w:abstractNumId w:val="22"/>
  </w:num>
  <w:num w:numId="19">
    <w:abstractNumId w:val="45"/>
  </w:num>
  <w:num w:numId="20">
    <w:abstractNumId w:val="19"/>
  </w:num>
  <w:num w:numId="21">
    <w:abstractNumId w:val="16"/>
  </w:num>
  <w:num w:numId="22">
    <w:abstractNumId w:val="21"/>
  </w:num>
  <w:num w:numId="23">
    <w:abstractNumId w:val="36"/>
  </w:num>
  <w:num w:numId="24">
    <w:abstractNumId w:val="43"/>
  </w:num>
  <w:num w:numId="25">
    <w:abstractNumId w:val="6"/>
  </w:num>
  <w:num w:numId="26">
    <w:abstractNumId w:val="28"/>
  </w:num>
  <w:num w:numId="27">
    <w:abstractNumId w:val="37"/>
  </w:num>
  <w:num w:numId="28">
    <w:abstractNumId w:val="44"/>
  </w:num>
  <w:num w:numId="29">
    <w:abstractNumId w:val="41"/>
  </w:num>
  <w:num w:numId="30">
    <w:abstractNumId w:val="17"/>
  </w:num>
  <w:num w:numId="31">
    <w:abstractNumId w:val="2"/>
  </w:num>
  <w:num w:numId="32">
    <w:abstractNumId w:val="1"/>
  </w:num>
  <w:num w:numId="33">
    <w:abstractNumId w:val="10"/>
  </w:num>
  <w:num w:numId="34">
    <w:abstractNumId w:val="8"/>
  </w:num>
  <w:num w:numId="35">
    <w:abstractNumId w:val="27"/>
  </w:num>
  <w:num w:numId="36">
    <w:abstractNumId w:val="11"/>
  </w:num>
  <w:num w:numId="37">
    <w:abstractNumId w:val="33"/>
  </w:num>
  <w:num w:numId="38">
    <w:abstractNumId w:val="29"/>
  </w:num>
  <w:num w:numId="39">
    <w:abstractNumId w:val="18"/>
  </w:num>
  <w:num w:numId="40">
    <w:abstractNumId w:val="23"/>
  </w:num>
  <w:num w:numId="41">
    <w:abstractNumId w:val="34"/>
  </w:num>
  <w:num w:numId="42">
    <w:abstractNumId w:val="24"/>
  </w:num>
  <w:num w:numId="43">
    <w:abstractNumId w:val="15"/>
  </w:num>
  <w:num w:numId="44">
    <w:abstractNumId w:val="32"/>
  </w:num>
  <w:num w:numId="45">
    <w:abstractNumId w:val="13"/>
  </w:num>
  <w:num w:numId="46">
    <w:abstractNumId w:val="26"/>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4C9"/>
    <w:rsid w:val="00030174"/>
    <w:rsid w:val="0004579C"/>
    <w:rsid w:val="000A47FA"/>
    <w:rsid w:val="000A65D3"/>
    <w:rsid w:val="000B1E33"/>
    <w:rsid w:val="000D689F"/>
    <w:rsid w:val="000D71F5"/>
    <w:rsid w:val="000E7B7B"/>
    <w:rsid w:val="000E7D62"/>
    <w:rsid w:val="000F5F60"/>
    <w:rsid w:val="00103357"/>
    <w:rsid w:val="00114D81"/>
    <w:rsid w:val="001228E2"/>
    <w:rsid w:val="00123C9F"/>
    <w:rsid w:val="00126190"/>
    <w:rsid w:val="00130F17"/>
    <w:rsid w:val="001320BF"/>
    <w:rsid w:val="00163BC4"/>
    <w:rsid w:val="00174A4D"/>
    <w:rsid w:val="001759BF"/>
    <w:rsid w:val="00191062"/>
    <w:rsid w:val="0019237F"/>
    <w:rsid w:val="00192B72"/>
    <w:rsid w:val="001A29D8"/>
    <w:rsid w:val="001A5CAA"/>
    <w:rsid w:val="001B0427"/>
    <w:rsid w:val="001B7AD4"/>
    <w:rsid w:val="001D3A51"/>
    <w:rsid w:val="001E10D2"/>
    <w:rsid w:val="001E25B4"/>
    <w:rsid w:val="001E44FE"/>
    <w:rsid w:val="00200595"/>
    <w:rsid w:val="00204835"/>
    <w:rsid w:val="00211501"/>
    <w:rsid w:val="00222292"/>
    <w:rsid w:val="00231920"/>
    <w:rsid w:val="0023195C"/>
    <w:rsid w:val="0024282C"/>
    <w:rsid w:val="002460DC"/>
    <w:rsid w:val="00250985"/>
    <w:rsid w:val="002556F6"/>
    <w:rsid w:val="00280D69"/>
    <w:rsid w:val="00283105"/>
    <w:rsid w:val="00284C4C"/>
    <w:rsid w:val="00287E68"/>
    <w:rsid w:val="00296529"/>
    <w:rsid w:val="002B27FB"/>
    <w:rsid w:val="002B685A"/>
    <w:rsid w:val="002C57D2"/>
    <w:rsid w:val="002D63FB"/>
    <w:rsid w:val="002E0D56"/>
    <w:rsid w:val="00315186"/>
    <w:rsid w:val="0033343E"/>
    <w:rsid w:val="003512C2"/>
    <w:rsid w:val="003651B8"/>
    <w:rsid w:val="00371FB6"/>
    <w:rsid w:val="003763C1"/>
    <w:rsid w:val="00376BBE"/>
    <w:rsid w:val="0039224F"/>
    <w:rsid w:val="003A38AE"/>
    <w:rsid w:val="003A43A4"/>
    <w:rsid w:val="003A7E18"/>
    <w:rsid w:val="003B6745"/>
    <w:rsid w:val="003C4C86"/>
    <w:rsid w:val="003C6258"/>
    <w:rsid w:val="003D3691"/>
    <w:rsid w:val="003E2904"/>
    <w:rsid w:val="00401927"/>
    <w:rsid w:val="0041027F"/>
    <w:rsid w:val="00412475"/>
    <w:rsid w:val="00423789"/>
    <w:rsid w:val="00440F43"/>
    <w:rsid w:val="004411C3"/>
    <w:rsid w:val="00441B6F"/>
    <w:rsid w:val="00446221"/>
    <w:rsid w:val="00450E62"/>
    <w:rsid w:val="004539DB"/>
    <w:rsid w:val="00471A80"/>
    <w:rsid w:val="00492443"/>
    <w:rsid w:val="004D305E"/>
    <w:rsid w:val="004D4277"/>
    <w:rsid w:val="00502516"/>
    <w:rsid w:val="00505F06"/>
    <w:rsid w:val="00506828"/>
    <w:rsid w:val="0053056E"/>
    <w:rsid w:val="00545A34"/>
    <w:rsid w:val="00554FDA"/>
    <w:rsid w:val="00595642"/>
    <w:rsid w:val="005C6ECB"/>
    <w:rsid w:val="005C784C"/>
    <w:rsid w:val="005D17F6"/>
    <w:rsid w:val="005E5539"/>
    <w:rsid w:val="00602BF5"/>
    <w:rsid w:val="006121FE"/>
    <w:rsid w:val="00617FDD"/>
    <w:rsid w:val="00633614"/>
    <w:rsid w:val="00633F68"/>
    <w:rsid w:val="00636EB2"/>
    <w:rsid w:val="006375B8"/>
    <w:rsid w:val="0066510A"/>
    <w:rsid w:val="00667A03"/>
    <w:rsid w:val="00673F9F"/>
    <w:rsid w:val="00681868"/>
    <w:rsid w:val="0068224B"/>
    <w:rsid w:val="00686953"/>
    <w:rsid w:val="00687DEA"/>
    <w:rsid w:val="00687E67"/>
    <w:rsid w:val="006967F7"/>
    <w:rsid w:val="006A1041"/>
    <w:rsid w:val="006A250C"/>
    <w:rsid w:val="006B0EC7"/>
    <w:rsid w:val="006B21D3"/>
    <w:rsid w:val="006B4065"/>
    <w:rsid w:val="006B57D0"/>
    <w:rsid w:val="006D30FF"/>
    <w:rsid w:val="006D6940"/>
    <w:rsid w:val="006F11EC"/>
    <w:rsid w:val="0070082C"/>
    <w:rsid w:val="007369E6"/>
    <w:rsid w:val="00743B1C"/>
    <w:rsid w:val="00746E59"/>
    <w:rsid w:val="00754C9A"/>
    <w:rsid w:val="0075599A"/>
    <w:rsid w:val="00761D52"/>
    <w:rsid w:val="0077749E"/>
    <w:rsid w:val="00786971"/>
    <w:rsid w:val="007905E0"/>
    <w:rsid w:val="00790ADA"/>
    <w:rsid w:val="007D2288"/>
    <w:rsid w:val="007D4BF3"/>
    <w:rsid w:val="007E088F"/>
    <w:rsid w:val="007F6E5C"/>
    <w:rsid w:val="007F7B32"/>
    <w:rsid w:val="00804BC2"/>
    <w:rsid w:val="0081431A"/>
    <w:rsid w:val="0083216F"/>
    <w:rsid w:val="00860000"/>
    <w:rsid w:val="00863BD3"/>
    <w:rsid w:val="008641ED"/>
    <w:rsid w:val="00866D66"/>
    <w:rsid w:val="008671C6"/>
    <w:rsid w:val="00875803"/>
    <w:rsid w:val="008B2CC2"/>
    <w:rsid w:val="008B459E"/>
    <w:rsid w:val="008C2A63"/>
    <w:rsid w:val="008D6C8A"/>
    <w:rsid w:val="008E13AE"/>
    <w:rsid w:val="008E1506"/>
    <w:rsid w:val="008E710C"/>
    <w:rsid w:val="008F69D6"/>
    <w:rsid w:val="00902823"/>
    <w:rsid w:val="009075F0"/>
    <w:rsid w:val="00915CA6"/>
    <w:rsid w:val="00927834"/>
    <w:rsid w:val="009279FF"/>
    <w:rsid w:val="009500A6"/>
    <w:rsid w:val="00953E26"/>
    <w:rsid w:val="00957C18"/>
    <w:rsid w:val="009659BA"/>
    <w:rsid w:val="00983040"/>
    <w:rsid w:val="00993CC7"/>
    <w:rsid w:val="00995D52"/>
    <w:rsid w:val="009A6864"/>
    <w:rsid w:val="009B3FB9"/>
    <w:rsid w:val="009B77D6"/>
    <w:rsid w:val="009C2465"/>
    <w:rsid w:val="009D35A0"/>
    <w:rsid w:val="009D7EB7"/>
    <w:rsid w:val="009E048A"/>
    <w:rsid w:val="009E08E9"/>
    <w:rsid w:val="009E3DB9"/>
    <w:rsid w:val="009E6E35"/>
    <w:rsid w:val="009F0EDA"/>
    <w:rsid w:val="00A03B96"/>
    <w:rsid w:val="00A05B19"/>
    <w:rsid w:val="00A1134E"/>
    <w:rsid w:val="00A24E7E"/>
    <w:rsid w:val="00A258C3"/>
    <w:rsid w:val="00A311C3"/>
    <w:rsid w:val="00A347C0"/>
    <w:rsid w:val="00A51431"/>
    <w:rsid w:val="00A539AD"/>
    <w:rsid w:val="00A94063"/>
    <w:rsid w:val="00AA6219"/>
    <w:rsid w:val="00AA74E0"/>
    <w:rsid w:val="00AB1CD2"/>
    <w:rsid w:val="00AB703F"/>
    <w:rsid w:val="00AC6BB8"/>
    <w:rsid w:val="00AD0626"/>
    <w:rsid w:val="00AE008F"/>
    <w:rsid w:val="00AF50C5"/>
    <w:rsid w:val="00B01FCD"/>
    <w:rsid w:val="00B1776C"/>
    <w:rsid w:val="00B3197B"/>
    <w:rsid w:val="00B3545F"/>
    <w:rsid w:val="00B52583"/>
    <w:rsid w:val="00B52896"/>
    <w:rsid w:val="00B5738A"/>
    <w:rsid w:val="00B900C4"/>
    <w:rsid w:val="00B95236"/>
    <w:rsid w:val="00B96BD9"/>
    <w:rsid w:val="00BA1B01"/>
    <w:rsid w:val="00BA2641"/>
    <w:rsid w:val="00BB37AA"/>
    <w:rsid w:val="00BB5E3F"/>
    <w:rsid w:val="00BC53A0"/>
    <w:rsid w:val="00BE62AD"/>
    <w:rsid w:val="00BF121F"/>
    <w:rsid w:val="00BF1F80"/>
    <w:rsid w:val="00C166EF"/>
    <w:rsid w:val="00C17EB0"/>
    <w:rsid w:val="00C27F5F"/>
    <w:rsid w:val="00C30A0F"/>
    <w:rsid w:val="00C37E61"/>
    <w:rsid w:val="00C46885"/>
    <w:rsid w:val="00C6004A"/>
    <w:rsid w:val="00C70F1B"/>
    <w:rsid w:val="00C71A47"/>
    <w:rsid w:val="00C7464C"/>
    <w:rsid w:val="00C82BB5"/>
    <w:rsid w:val="00C85588"/>
    <w:rsid w:val="00C91493"/>
    <w:rsid w:val="00CD6755"/>
    <w:rsid w:val="00CD6856"/>
    <w:rsid w:val="00CE0089"/>
    <w:rsid w:val="00CE14CD"/>
    <w:rsid w:val="00CE1733"/>
    <w:rsid w:val="00CE793C"/>
    <w:rsid w:val="00CF193C"/>
    <w:rsid w:val="00D173F1"/>
    <w:rsid w:val="00D5167A"/>
    <w:rsid w:val="00D6707A"/>
    <w:rsid w:val="00D74CB0"/>
    <w:rsid w:val="00D8295D"/>
    <w:rsid w:val="00D94D79"/>
    <w:rsid w:val="00DC2A65"/>
    <w:rsid w:val="00DE15F0"/>
    <w:rsid w:val="00DE5663"/>
    <w:rsid w:val="00DE78AA"/>
    <w:rsid w:val="00E053D0"/>
    <w:rsid w:val="00E06FB5"/>
    <w:rsid w:val="00E15994"/>
    <w:rsid w:val="00E3114E"/>
    <w:rsid w:val="00E31A70"/>
    <w:rsid w:val="00E35B02"/>
    <w:rsid w:val="00E527EA"/>
    <w:rsid w:val="00E56A03"/>
    <w:rsid w:val="00E612F5"/>
    <w:rsid w:val="00E66496"/>
    <w:rsid w:val="00E66B35"/>
    <w:rsid w:val="00E66E10"/>
    <w:rsid w:val="00E769F6"/>
    <w:rsid w:val="00E8407C"/>
    <w:rsid w:val="00E84F3C"/>
    <w:rsid w:val="00EA012C"/>
    <w:rsid w:val="00EC6A55"/>
    <w:rsid w:val="00ED0288"/>
    <w:rsid w:val="00ED53FF"/>
    <w:rsid w:val="00EE52CB"/>
    <w:rsid w:val="00EF581D"/>
    <w:rsid w:val="00EF7FD8"/>
    <w:rsid w:val="00F06F59"/>
    <w:rsid w:val="00F17988"/>
    <w:rsid w:val="00F469F0"/>
    <w:rsid w:val="00F4792A"/>
    <w:rsid w:val="00F53273"/>
    <w:rsid w:val="00F755E4"/>
    <w:rsid w:val="00F77D02"/>
    <w:rsid w:val="00F811A5"/>
    <w:rsid w:val="00FB3A86"/>
    <w:rsid w:val="00FC1DD7"/>
    <w:rsid w:val="00FD36C8"/>
    <w:rsid w:val="00FD7EBD"/>
    <w:rsid w:val="00FE4CFA"/>
    <w:rsid w:val="00FF4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3762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956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B5E3F"/>
    <w:pPr>
      <w:spacing w:before="100" w:beforeAutospacing="1" w:after="100" w:afterAutospacing="1"/>
    </w:pPr>
    <w:rPr>
      <w:rFonts w:ascii="Times New Roman" w:hAnsi="Times New Roman"/>
      <w:sz w:val="24"/>
      <w:szCs w:val="24"/>
      <w:lang w:val="en-PH"/>
    </w:rPr>
  </w:style>
  <w:style w:type="character" w:customStyle="1" w:styleId="Heading2Char">
    <w:name w:val="Heading 2 Char"/>
    <w:basedOn w:val="DefaultParagraphFont"/>
    <w:link w:val="Heading2"/>
    <w:semiHidden/>
    <w:rsid w:val="00595642"/>
    <w:rPr>
      <w:rFonts w:asciiTheme="majorHAnsi" w:eastAsiaTheme="majorEastAsia" w:hAnsiTheme="majorHAnsi" w:cstheme="majorBidi"/>
      <w:color w:val="365F91" w:themeColor="accent1" w:themeShade="BF"/>
      <w:sz w:val="26"/>
      <w:szCs w:val="26"/>
    </w:rPr>
  </w:style>
  <w:style w:type="character" w:customStyle="1" w:styleId="apple-tab-span">
    <w:name w:val="apple-tab-span"/>
    <w:basedOn w:val="DefaultParagraphFont"/>
    <w:rsid w:val="00595642"/>
  </w:style>
  <w:style w:type="paragraph" w:styleId="ListParagraph">
    <w:name w:val="List Paragraph"/>
    <w:basedOn w:val="Normal"/>
    <w:uiPriority w:val="34"/>
    <w:qFormat/>
    <w:rsid w:val="00492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10584609.2025.2456519" TargetMode="External"/><Relationship Id="rId26" Type="http://schemas.openxmlformats.org/officeDocument/2006/relationships/hyperlink" Target="https://doi.org/10.1016/j.ijinfomgt.2020.102168" TargetMode="External"/><Relationship Id="rId39" Type="http://schemas.openxmlformats.org/officeDocument/2006/relationships/hyperlink" Target="https://doi.org/10.1177/0895904819867398" TargetMode="External"/><Relationship Id="rId21" Type="http://schemas.openxmlformats.org/officeDocument/2006/relationships/hyperlink" Target="https://doi.org/10.1057/s41307-016-0010-z" TargetMode="External"/><Relationship Id="rId34" Type="http://schemas.openxmlformats.org/officeDocument/2006/relationships/hyperlink" Target="https://doi.org/10.1080/08841241.2022.2059733" TargetMode="External"/><Relationship Id="rId42" Type="http://schemas.openxmlformats.org/officeDocument/2006/relationships/hyperlink" Target="https://doi.org/10.3989/redc.2024.1.1384" TargetMode="External"/><Relationship Id="rId47" Type="http://schemas.openxmlformats.org/officeDocument/2006/relationships/hyperlink" Target="https://doi.org/10.1016/j.heliyon.2023.e16825"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educ.2025.1619897" TargetMode="External"/><Relationship Id="rId29" Type="http://schemas.openxmlformats.org/officeDocument/2006/relationships/hyperlink" Target="https://doi.org/10.1108/JARHE-01-2022-0032" TargetMode="External"/><Relationship Id="rId11" Type="http://schemas.openxmlformats.org/officeDocument/2006/relationships/footer" Target="footer2.xml"/><Relationship Id="rId24" Type="http://schemas.openxmlformats.org/officeDocument/2006/relationships/hyperlink" Target="https://doi.org/10.1111/hequ.12335" TargetMode="External"/><Relationship Id="rId32" Type="http://schemas.openxmlformats.org/officeDocument/2006/relationships/hyperlink" Target="https://doi.org/10.1177/1049732305276687" TargetMode="External"/><Relationship Id="rId37" Type="http://schemas.openxmlformats.org/officeDocument/2006/relationships/hyperlink" Target="https://eric.ed.gov/?id=EJ1372002&amp;utm_source=chatgpt.com" TargetMode="External"/><Relationship Id="rId40" Type="http://schemas.openxmlformats.org/officeDocument/2006/relationships/hyperlink" Target="https://doi.org/10.34149/jebmes.v5i1.188" TargetMode="External"/><Relationship Id="rId45" Type="http://schemas.openxmlformats.org/officeDocument/2006/relationships/hyperlink" Target="https://doi.org/10.1257/00028280260136200" TargetMode="External"/><Relationship Id="rId5" Type="http://schemas.openxmlformats.org/officeDocument/2006/relationships/webSettings" Target="webSettings.xml"/><Relationship Id="rId15" Type="http://schemas.openxmlformats.org/officeDocument/2006/relationships/hyperlink" Target="https://www.adb.org/sites/default/files/publication/29869/private-higher-education-across-asia.pdf?utm_source=chatgpt.com" TargetMode="External"/><Relationship Id="rId23" Type="http://schemas.openxmlformats.org/officeDocument/2006/relationships/hyperlink" Target="https://doi.org/10.1177/2332858419867650" TargetMode="External"/><Relationship Id="rId28" Type="http://schemas.openxmlformats.org/officeDocument/2006/relationships/hyperlink" Target="https://doi.org/10.1111/j.1460-2466.1993.tb01304.x" TargetMode="External"/><Relationship Id="rId36" Type="http://schemas.openxmlformats.org/officeDocument/2006/relationships/hyperlink" Target="https://iau.global/all-publications/internationalization-of-higher-education-current-trends-and-future-scenarios?utm_source=chatgpt.com"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3316/QRJ0902027" TargetMode="External"/><Relationship Id="rId31" Type="http://schemas.openxmlformats.org/officeDocument/2006/relationships/hyperlink" Target="https://doi.org/10.1080/23322969.2018.1424562" TargetMode="External"/><Relationship Id="rId44" Type="http://schemas.openxmlformats.org/officeDocument/2006/relationships/hyperlink" Target="https://goodwoodpub.com/index.php/JoMABS/article/view/374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834/e-bpj.v10iSI37.7620" TargetMode="External"/><Relationship Id="rId22" Type="http://schemas.openxmlformats.org/officeDocument/2006/relationships/hyperlink" Target="https://doi.org/10.1177/0149206310388419" TargetMode="External"/><Relationship Id="rId27" Type="http://schemas.openxmlformats.org/officeDocument/2006/relationships/hyperlink" Target="https://www.iza.org/publications/dp/13729/the-expected-signaling-value-of-higher-education?utm_source=chatgpt.com" TargetMode="External"/><Relationship Id="rId30" Type="http://schemas.openxmlformats.org/officeDocument/2006/relationships/hyperlink" Target="https://doi.org/10.1080/2331186X.2024.2332858" TargetMode="External"/><Relationship Id="rId35" Type="http://schemas.openxmlformats.org/officeDocument/2006/relationships/hyperlink" Target="https://doi.org/10.1080/03054985.2022.2061438" TargetMode="External"/><Relationship Id="rId43" Type="http://schemas.openxmlformats.org/officeDocument/2006/relationships/hyperlink" Target="https://doi.org/10.1108/JARHE-03-2024-0116" TargetMode="External"/><Relationship Id="rId48" Type="http://schemas.openxmlformats.org/officeDocument/2006/relationships/hyperlink" Target="https://doi.org/10.1016/j.ijme.2023.100850"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77/10422587221138489" TargetMode="External"/><Relationship Id="rId25" Type="http://schemas.openxmlformats.org/officeDocument/2006/relationships/hyperlink" Target="https://doi.org/10.1177/0002764211426331" TargetMode="External"/><Relationship Id="rId33" Type="http://schemas.openxmlformats.org/officeDocument/2006/relationships/hyperlink" Target="https://doi.org/10.1016/j.ssaho.2025.101284" TargetMode="External"/><Relationship Id="rId38" Type="http://schemas.openxmlformats.org/officeDocument/2006/relationships/hyperlink" Target="https://doi.org/10.1007/978-3-030-85698-4_2" TargetMode="External"/><Relationship Id="rId46" Type="http://schemas.openxmlformats.org/officeDocument/2006/relationships/hyperlink" Target="https://unstats.un.org/unsd/methodology/m49/" TargetMode="External"/><Relationship Id="rId20" Type="http://schemas.openxmlformats.org/officeDocument/2006/relationships/hyperlink" Target="https://doi.org/10.26220/aca.3169" TargetMode="External"/><Relationship Id="rId41" Type="http://schemas.openxmlformats.org/officeDocument/2006/relationships/hyperlink" Target="https://www.topuniversities.com/qs-world-university-rankings/methodology"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C748F-BDA3-4410-944E-2A662A78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TotalTime>
  <Pages>19</Pages>
  <Words>9704</Words>
  <Characters>55315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64890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1019</cp:lastModifiedBy>
  <cp:revision>81</cp:revision>
  <cp:lastPrinted>1999-07-06T11:00:00Z</cp:lastPrinted>
  <dcterms:created xsi:type="dcterms:W3CDTF">2026-02-15T21:11:00Z</dcterms:created>
  <dcterms:modified xsi:type="dcterms:W3CDTF">2026-02-20T07:35:00Z</dcterms:modified>
</cp:coreProperties>
</file>