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23E0" w14:textId="2B867C55" w:rsidR="00A258C3" w:rsidRDefault="00305399" w:rsidP="002F3FD3">
      <w:pPr>
        <w:pStyle w:val="Author"/>
        <w:spacing w:line="240" w:lineRule="auto"/>
        <w:rPr>
          <w:spacing w:val="-10"/>
          <w:sz w:val="36"/>
          <w:szCs w:val="36"/>
        </w:rPr>
      </w:pPr>
      <w:r w:rsidRPr="00305399">
        <w:rPr>
          <w:spacing w:val="-10"/>
          <w:sz w:val="36"/>
          <w:szCs w:val="36"/>
        </w:rPr>
        <w:t xml:space="preserve">Growth Response and </w:t>
      </w:r>
      <w:proofErr w:type="spellStart"/>
      <w:r w:rsidRPr="00305399">
        <w:rPr>
          <w:spacing w:val="-10"/>
          <w:sz w:val="36"/>
          <w:szCs w:val="36"/>
        </w:rPr>
        <w:t>Microbulb</w:t>
      </w:r>
      <w:proofErr w:type="spellEnd"/>
      <w:r w:rsidRPr="00305399">
        <w:rPr>
          <w:spacing w:val="-10"/>
          <w:sz w:val="36"/>
          <w:szCs w:val="36"/>
        </w:rPr>
        <w:t xml:space="preserve"> Formation of True Shallot Seed (</w:t>
      </w:r>
      <w:r w:rsidRPr="00305399">
        <w:rPr>
          <w:i/>
          <w:iCs/>
          <w:spacing w:val="-10"/>
          <w:sz w:val="36"/>
          <w:szCs w:val="36"/>
        </w:rPr>
        <w:t>Allium cepa</w:t>
      </w:r>
      <w:r w:rsidRPr="00305399">
        <w:rPr>
          <w:spacing w:val="-10"/>
          <w:sz w:val="36"/>
          <w:szCs w:val="36"/>
        </w:rPr>
        <w:t xml:space="preserve"> L.) with the Addition of Sucrose in Compound Fertilizer Medium In Vitro.</w:t>
      </w:r>
    </w:p>
    <w:p w14:paraId="4871F1DE" w14:textId="77777777" w:rsidR="002F3FD3" w:rsidRPr="00790ADA" w:rsidRDefault="002F3FD3" w:rsidP="002F3FD3">
      <w:pPr>
        <w:pStyle w:val="Author"/>
        <w:spacing w:line="240" w:lineRule="auto"/>
        <w:rPr>
          <w:rFonts w:ascii="Arial" w:hAnsi="Arial" w:cs="Arial"/>
          <w:sz w:val="36"/>
        </w:rPr>
      </w:pPr>
    </w:p>
    <w:p w14:paraId="76B878B5" w14:textId="171A6B0B" w:rsidR="00B01FCD" w:rsidRPr="00FB3A86" w:rsidRDefault="001E06ED" w:rsidP="00441B6F">
      <w:pPr>
        <w:pStyle w:val="Copyright"/>
        <w:spacing w:after="0" w:line="240" w:lineRule="auto"/>
        <w:jc w:val="both"/>
        <w:rPr>
          <w:rFonts w:ascii="Arial" w:hAnsi="Arial" w:cs="Arial"/>
        </w:rPr>
        <w:sectPr w:rsidR="00B01FCD" w:rsidRPr="00FB3A86" w:rsidSect="00F62B9E">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34008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1DFBBB68" w14:textId="4F1A6D13" w:rsidR="00B01FCD" w:rsidRDefault="00B01FCD" w:rsidP="00441B6F">
      <w:pPr>
        <w:pStyle w:val="AbstHead"/>
        <w:spacing w:after="0"/>
        <w:jc w:val="both"/>
        <w:rPr>
          <w:rFonts w:ascii="Arial" w:hAnsi="Arial" w:cs="Arial"/>
        </w:rPr>
      </w:pPr>
      <w:r w:rsidRPr="00FB3A86">
        <w:rPr>
          <w:rFonts w:ascii="Arial" w:hAnsi="Arial" w:cs="Arial"/>
        </w:rPr>
        <w:t>ABSTRACT</w:t>
      </w:r>
    </w:p>
    <w:p w14:paraId="5D513D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B58CA" w14:paraId="76613AF7" w14:textId="77777777" w:rsidTr="00165BC4">
        <w:trPr>
          <w:trHeight w:val="5033"/>
        </w:trPr>
        <w:tc>
          <w:tcPr>
            <w:tcW w:w="9576" w:type="dxa"/>
            <w:shd w:val="clear" w:color="auto" w:fill="F2F2F2"/>
          </w:tcPr>
          <w:p w14:paraId="3323903D" w14:textId="525083B0" w:rsidR="00505F06" w:rsidRPr="00165BC4" w:rsidRDefault="007B58CA" w:rsidP="00165BC4">
            <w:pPr>
              <w:pStyle w:val="Body"/>
              <w:spacing w:after="0"/>
              <w:rPr>
                <w:rFonts w:ascii="Arial" w:eastAsia="Calibri" w:hAnsi="Arial" w:cs="Arial"/>
                <w:szCs w:val="22"/>
              </w:rPr>
            </w:pPr>
            <w:r w:rsidRPr="007B58CA">
              <w:rPr>
                <w:rFonts w:ascii="Arial" w:eastAsia="Calibri" w:hAnsi="Arial" w:cs="Arial"/>
                <w:szCs w:val="22"/>
                <w:lang w:val="en-ID"/>
              </w:rPr>
              <w:t xml:space="preserve">The limited availability of high-quality shallot planting material has encouraged the development of alternative propagation techniques that are disease-free through in vitro culture. The use of alternative culture media is required to improve efficiency and reduce production costs. This study aimed to evaluate the effects of various concentrations of </w:t>
            </w:r>
            <w:r w:rsidR="00BD6E2C">
              <w:rPr>
                <w:rFonts w:ascii="Arial" w:eastAsia="Calibri" w:hAnsi="Arial" w:cs="Arial"/>
                <w:szCs w:val="22"/>
                <w:lang w:val="en-ID"/>
              </w:rPr>
              <w:t xml:space="preserve">NPK compound </w:t>
            </w:r>
            <w:r w:rsidRPr="007B58CA">
              <w:rPr>
                <w:rFonts w:ascii="Arial" w:eastAsia="Calibri" w:hAnsi="Arial" w:cs="Arial"/>
                <w:szCs w:val="22"/>
                <w:lang w:val="en-ID"/>
              </w:rPr>
              <w:t xml:space="preserve">fertilizer and sucrose on the growth and </w:t>
            </w:r>
            <w:proofErr w:type="spellStart"/>
            <w:r w:rsidRPr="007B58CA">
              <w:rPr>
                <w:rFonts w:ascii="Arial" w:eastAsia="Calibri" w:hAnsi="Arial" w:cs="Arial"/>
                <w:szCs w:val="22"/>
                <w:lang w:val="en-ID"/>
              </w:rPr>
              <w:t>microbulb</w:t>
            </w:r>
            <w:proofErr w:type="spellEnd"/>
            <w:r w:rsidRPr="007B58CA">
              <w:rPr>
                <w:rFonts w:ascii="Arial" w:eastAsia="Calibri" w:hAnsi="Arial" w:cs="Arial"/>
                <w:szCs w:val="22"/>
                <w:lang w:val="en-ID"/>
              </w:rPr>
              <w:t xml:space="preserve"> formation of shallots from True Shallot Seed (TSS).</w:t>
            </w:r>
            <w:r>
              <w:rPr>
                <w:rFonts w:ascii="Arial" w:eastAsia="Calibri" w:hAnsi="Arial" w:cs="Arial"/>
                <w:szCs w:val="22"/>
                <w:lang w:val="en-ID"/>
              </w:rPr>
              <w:t xml:space="preserve"> </w:t>
            </w:r>
            <w:r w:rsidRPr="007B58CA">
              <w:rPr>
                <w:rFonts w:ascii="Arial" w:eastAsia="Calibri" w:hAnsi="Arial" w:cs="Arial"/>
                <w:szCs w:val="22"/>
              </w:rPr>
              <w:t xml:space="preserve">The research was conducted at the Plant Tissue Culture Laboratory, Department of Agronomy, Faculty of Agriculture, University of Bengkulu, from August to November 2025. The experiment employed </w:t>
            </w:r>
            <w:r w:rsidR="00165BC4">
              <w:rPr>
                <w:rFonts w:ascii="Arial" w:eastAsia="Calibri" w:hAnsi="Arial" w:cs="Arial"/>
                <w:szCs w:val="22"/>
              </w:rPr>
              <w:t>u</w:t>
            </w:r>
            <w:r w:rsidR="00165BC4" w:rsidRPr="00165BC4">
              <w:rPr>
                <w:rFonts w:ascii="Arial" w:eastAsia="Calibri" w:hAnsi="Arial" w:cs="Arial"/>
                <w:szCs w:val="22"/>
              </w:rPr>
              <w:t xml:space="preserve">sing a complete randomized design (CRD) factorial with two factors, namely the concentration of NPK compound fertilizer (2 g/L, 4 g/L, and Murashige and Skoog as control) and the second factor, namely the concentration of sucrose (30, 60, 90, and 120 g/L). Each treatment was repeated three times, with each repetition consisting of three bottles and each bottle planted with three TSS seeds. The main materials used were </w:t>
            </w:r>
            <w:proofErr w:type="spellStart"/>
            <w:r w:rsidR="00165BC4" w:rsidRPr="00165BC4">
              <w:rPr>
                <w:rFonts w:ascii="Arial" w:eastAsia="Calibri" w:hAnsi="Arial" w:cs="Arial"/>
                <w:szCs w:val="22"/>
              </w:rPr>
              <w:t>Lokananta</w:t>
            </w:r>
            <w:proofErr w:type="spellEnd"/>
            <w:r w:rsidR="00165BC4" w:rsidRPr="00165BC4">
              <w:rPr>
                <w:rFonts w:ascii="Arial" w:eastAsia="Calibri" w:hAnsi="Arial" w:cs="Arial"/>
                <w:szCs w:val="22"/>
              </w:rPr>
              <w:t xml:space="preserve"> variety TSS seeds and 32-10-10 NPK compound fertilizer. The data were analyzed using 5% analysis of variance with DMRT follow-up test, while data with a coefficient of variation (CV) &gt;30% were transformed using the formula √((x+0.5)) to reduce the CV value. The results showed an interaction between the concentration of NPK compound fertilizer and the concentration of sucrose. The combination of MS medium with a sucrose concentration of 60 g/L</w:t>
            </w:r>
            <w:r w:rsidR="00A940D1">
              <w:rPr>
                <w:rFonts w:ascii="Arial" w:eastAsia="Calibri" w:hAnsi="Arial" w:cs="Arial"/>
                <w:szCs w:val="22"/>
              </w:rPr>
              <w:t xml:space="preserve"> </w:t>
            </w:r>
            <w:r w:rsidR="00A940D1" w:rsidRPr="00A940D1">
              <w:rPr>
                <w:rFonts w:ascii="Arial" w:eastAsia="Calibri" w:hAnsi="Arial" w:cs="Arial"/>
                <w:szCs w:val="22"/>
              </w:rPr>
              <w:t>was the best treatment, as it produced the highest number of leaves and roots.</w:t>
            </w:r>
            <w:r w:rsidR="00165BC4" w:rsidRPr="00165BC4">
              <w:rPr>
                <w:rFonts w:ascii="Arial" w:eastAsia="Calibri" w:hAnsi="Arial" w:cs="Arial"/>
                <w:szCs w:val="22"/>
              </w:rPr>
              <w:t xml:space="preserve"> MS medium produced the highest average values for the variables of germination time, germination percentage, plant height, number of shoots, root length, and tuber diameter. However, NPK compound fertilizer medium at 2 g/L was only able to match MS medium for the variables of percentage and germination time</w:t>
            </w:r>
            <w:r w:rsidR="00165BC4">
              <w:rPr>
                <w:rFonts w:ascii="Arial" w:eastAsia="Calibri" w:hAnsi="Arial" w:cs="Arial"/>
                <w:szCs w:val="22"/>
              </w:rPr>
              <w:t>.</w:t>
            </w:r>
          </w:p>
        </w:tc>
      </w:tr>
    </w:tbl>
    <w:p w14:paraId="6CE0D1C6" w14:textId="409949BC" w:rsidR="00505F06" w:rsidRPr="002F3FD3" w:rsidRDefault="00A24E7E" w:rsidP="00E7315C">
      <w:pPr>
        <w:pStyle w:val="Body"/>
        <w:spacing w:before="240"/>
        <w:rPr>
          <w:rFonts w:ascii="Arial" w:hAnsi="Arial" w:cs="Arial"/>
          <w:i/>
          <w:lang w:val="en-ID"/>
        </w:rPr>
      </w:pPr>
      <w:r w:rsidRPr="002F3FD3">
        <w:rPr>
          <w:rFonts w:ascii="Arial" w:hAnsi="Arial" w:cs="Arial"/>
          <w:i/>
          <w:lang w:val="en-ID"/>
        </w:rPr>
        <w:t>Keywords:</w:t>
      </w:r>
      <w:r w:rsidR="004A5C4C" w:rsidRPr="002F3FD3">
        <w:rPr>
          <w:rFonts w:ascii="Arial" w:hAnsi="Arial" w:cs="Arial"/>
          <w:i/>
          <w:lang w:val="en-ID"/>
        </w:rPr>
        <w:t xml:space="preserve"> </w:t>
      </w:r>
      <w:r w:rsidR="003425EA" w:rsidRPr="002F3FD3">
        <w:rPr>
          <w:rFonts w:ascii="Arial" w:hAnsi="Arial" w:cs="Arial"/>
          <w:i/>
        </w:rPr>
        <w:t>alternative medium</w:t>
      </w:r>
      <w:r w:rsidR="003425EA">
        <w:rPr>
          <w:rFonts w:ascii="Arial" w:hAnsi="Arial" w:cs="Arial"/>
          <w:i/>
        </w:rPr>
        <w:t xml:space="preserve">, </w:t>
      </w:r>
      <w:r w:rsidR="003425EA" w:rsidRPr="002F3FD3">
        <w:rPr>
          <w:rFonts w:ascii="Arial" w:hAnsi="Arial" w:cs="Arial"/>
          <w:i/>
        </w:rPr>
        <w:t>carbon source</w:t>
      </w:r>
      <w:r w:rsidR="003425EA">
        <w:rPr>
          <w:rFonts w:ascii="Arial" w:hAnsi="Arial" w:cs="Arial"/>
          <w:i/>
        </w:rPr>
        <w:t xml:space="preserve">, </w:t>
      </w:r>
      <w:r w:rsidR="003425EA" w:rsidRPr="002F3FD3">
        <w:rPr>
          <w:rFonts w:ascii="Arial" w:hAnsi="Arial" w:cs="Arial"/>
          <w:i/>
        </w:rPr>
        <w:t>in vitro shallot</w:t>
      </w:r>
      <w:r w:rsidR="003425EA">
        <w:rPr>
          <w:rFonts w:ascii="Arial" w:hAnsi="Arial" w:cs="Arial"/>
          <w:i/>
        </w:rPr>
        <w:t xml:space="preserve">, </w:t>
      </w:r>
      <w:r w:rsidR="00BE0A02">
        <w:rPr>
          <w:rFonts w:ascii="Arial" w:hAnsi="Arial" w:cs="Arial"/>
          <w:i/>
        </w:rPr>
        <w:t>t</w:t>
      </w:r>
      <w:r w:rsidR="002F3FD3" w:rsidRPr="002F3FD3">
        <w:rPr>
          <w:rFonts w:ascii="Arial" w:hAnsi="Arial" w:cs="Arial"/>
          <w:i/>
        </w:rPr>
        <w:t>issue culture</w:t>
      </w:r>
    </w:p>
    <w:p w14:paraId="32A3F947" w14:textId="647DA0DC" w:rsidR="00790ADA" w:rsidRPr="002F3FD3" w:rsidRDefault="00902823" w:rsidP="00B342C7">
      <w:pPr>
        <w:pStyle w:val="AbstHead"/>
        <w:spacing w:after="0"/>
        <w:jc w:val="both"/>
        <w:rPr>
          <w:rFonts w:ascii="Arial" w:hAnsi="Arial" w:cs="Arial"/>
          <w:lang w:val="en-ID"/>
        </w:rPr>
      </w:pPr>
      <w:r w:rsidRPr="002F3FD3">
        <w:rPr>
          <w:rFonts w:ascii="Arial" w:hAnsi="Arial" w:cs="Arial"/>
          <w:lang w:val="en-ID"/>
        </w:rPr>
        <w:t xml:space="preserve">1. </w:t>
      </w:r>
      <w:r w:rsidR="00166183">
        <w:rPr>
          <w:rFonts w:ascii="Arial" w:hAnsi="Arial" w:cs="Arial"/>
          <w:lang w:val="en-ID"/>
        </w:rPr>
        <w:t>INTRODUCTION</w:t>
      </w:r>
    </w:p>
    <w:p w14:paraId="75E49544" w14:textId="43FE7B5D" w:rsidR="00E7315C" w:rsidRPr="0029220D" w:rsidRDefault="002D66B0" w:rsidP="00B342C7">
      <w:pPr>
        <w:pStyle w:val="Body"/>
        <w:spacing w:after="0"/>
        <w:rPr>
          <w:rFonts w:ascii="Arial" w:eastAsia="Calibri" w:hAnsi="Arial" w:cs="Arial"/>
          <w:szCs w:val="22"/>
          <w:lang w:val="en-ID"/>
        </w:rPr>
      </w:pPr>
      <w:r w:rsidRPr="00E7315C">
        <w:rPr>
          <w:rFonts w:ascii="Arial" w:eastAsia="Calibri" w:hAnsi="Arial" w:cs="Arial"/>
          <w:szCs w:val="22"/>
        </w:rPr>
        <w:t xml:space="preserve">Shallot is one of the leading horticultural commodities in Indonesia and is widely used as a cooking ingredient as well as in traditional medicine with various health benefits </w:t>
      </w:r>
      <w:r w:rsidR="00E7315C" w:rsidRPr="00E7315C">
        <w:rPr>
          <w:rFonts w:ascii="Arial" w:eastAsia="Calibri" w:hAnsi="Arial" w:cs="Arial"/>
          <w:szCs w:val="22"/>
        </w:rPr>
        <w:t>(</w:t>
      </w:r>
      <w:proofErr w:type="spellStart"/>
      <w:r w:rsidR="00E7315C" w:rsidRPr="00E7315C">
        <w:rPr>
          <w:rFonts w:ascii="Arial" w:eastAsia="Calibri" w:hAnsi="Arial" w:cs="Arial"/>
          <w:szCs w:val="22"/>
        </w:rPr>
        <w:t>Aryanta</w:t>
      </w:r>
      <w:proofErr w:type="spellEnd"/>
      <w:r w:rsidR="00E7315C" w:rsidRPr="00E7315C">
        <w:rPr>
          <w:rFonts w:ascii="Arial" w:eastAsia="Calibri" w:hAnsi="Arial" w:cs="Arial"/>
          <w:szCs w:val="22"/>
        </w:rPr>
        <w:t>, 2019). Shallots contain carbohydrates, sugars, proteins, fats, and various vitamins and minerals that are beneficial to human health (Waluyo and Sinaga, 2015). Shallot cultivation areas are widely distributed across many regions in Indonesia, making this commodity play an important role in the national economy (Nabila et al., 2023). Shallots have a relatively high economic value to meet domestic demand as well as international market needs. Population growth, the development of the culinary industry, and the expansion of export markets have driven an increase in shallot demand (Yassar et al., 2023).</w:t>
      </w:r>
    </w:p>
    <w:p w14:paraId="267EE1C4" w14:textId="77777777" w:rsidR="00BD614F" w:rsidRDefault="00BD614F" w:rsidP="00B342C7">
      <w:pPr>
        <w:pStyle w:val="Body"/>
        <w:spacing w:after="0"/>
        <w:rPr>
          <w:rFonts w:ascii="Arial" w:eastAsia="Calibri" w:hAnsi="Arial" w:cs="Arial"/>
          <w:szCs w:val="22"/>
        </w:rPr>
      </w:pPr>
    </w:p>
    <w:p w14:paraId="109377B2" w14:textId="21DF3DEA" w:rsidR="00E7315C" w:rsidRDefault="00E7315C" w:rsidP="00B342C7">
      <w:pPr>
        <w:pStyle w:val="Body"/>
        <w:spacing w:after="0"/>
        <w:rPr>
          <w:rFonts w:ascii="Arial" w:eastAsia="Calibri" w:hAnsi="Arial" w:cs="Arial"/>
          <w:szCs w:val="22"/>
        </w:rPr>
      </w:pPr>
      <w:r w:rsidRPr="00E7315C">
        <w:rPr>
          <w:rFonts w:ascii="Arial" w:eastAsia="Calibri" w:hAnsi="Arial" w:cs="Arial"/>
          <w:szCs w:val="22"/>
        </w:rPr>
        <w:t>National shallot production in 2024 reached 2,085,978 tons, increasing from 1,985,233 tons in the previous year (BPS, 2024). Shallot consumption in Indonesia also showed an upward trend during the 2018–2022 period</w:t>
      </w:r>
      <w:r w:rsidR="008C57CD">
        <w:rPr>
          <w:rFonts w:ascii="Arial" w:eastAsia="Calibri" w:hAnsi="Arial" w:cs="Arial"/>
          <w:szCs w:val="22"/>
        </w:rPr>
        <w:t xml:space="preserve">. </w:t>
      </w:r>
      <w:r w:rsidRPr="00E7315C">
        <w:rPr>
          <w:rFonts w:ascii="Arial" w:eastAsia="Calibri" w:hAnsi="Arial" w:cs="Arial"/>
          <w:szCs w:val="22"/>
        </w:rPr>
        <w:t xml:space="preserve">Average consumption increased from 2.758 kg per capita per year in 2018 to 3.024 kg per capita per year in 2022. This increase </w:t>
      </w:r>
      <w:proofErr w:type="spellStart"/>
      <w:r w:rsidRPr="00E7315C">
        <w:rPr>
          <w:rFonts w:ascii="Arial" w:eastAsia="Calibri" w:hAnsi="Arial" w:cs="Arial"/>
          <w:szCs w:val="22"/>
        </w:rPr>
        <w:t>inconsumption</w:t>
      </w:r>
      <w:proofErr w:type="spellEnd"/>
      <w:r w:rsidRPr="00E7315C">
        <w:rPr>
          <w:rFonts w:ascii="Arial" w:eastAsia="Calibri" w:hAnsi="Arial" w:cs="Arial"/>
          <w:szCs w:val="22"/>
        </w:rPr>
        <w:t xml:space="preserve"> </w:t>
      </w:r>
      <w:r w:rsidRPr="00E7315C">
        <w:rPr>
          <w:rFonts w:ascii="Arial" w:eastAsia="Calibri" w:hAnsi="Arial" w:cs="Arial"/>
          <w:szCs w:val="22"/>
        </w:rPr>
        <w:lastRenderedPageBreak/>
        <w:t>necessitates a corresponding increase in shallot production to meet national demand (</w:t>
      </w:r>
      <w:proofErr w:type="spellStart"/>
      <w:r w:rsidRPr="00E7315C">
        <w:rPr>
          <w:rFonts w:ascii="Arial" w:eastAsia="Calibri" w:hAnsi="Arial" w:cs="Arial"/>
          <w:szCs w:val="22"/>
        </w:rPr>
        <w:t>Rinawati</w:t>
      </w:r>
      <w:proofErr w:type="spellEnd"/>
      <w:r w:rsidRPr="00E7315C">
        <w:rPr>
          <w:rFonts w:ascii="Arial" w:eastAsia="Calibri" w:hAnsi="Arial" w:cs="Arial"/>
          <w:szCs w:val="22"/>
        </w:rPr>
        <w:t>, 2023).</w:t>
      </w:r>
    </w:p>
    <w:p w14:paraId="46E9994D" w14:textId="77777777" w:rsidR="00E7315C" w:rsidRDefault="00E7315C" w:rsidP="00B342C7">
      <w:pPr>
        <w:pStyle w:val="Body"/>
        <w:spacing w:after="0"/>
        <w:rPr>
          <w:rFonts w:ascii="Arial" w:eastAsia="Calibri" w:hAnsi="Arial" w:cs="Arial"/>
          <w:szCs w:val="22"/>
          <w:lang w:val="en-ID"/>
        </w:rPr>
      </w:pPr>
    </w:p>
    <w:p w14:paraId="24C25EB7" w14:textId="45F5B2DE" w:rsidR="00E7315C" w:rsidRDefault="00E7315C" w:rsidP="00B342C7">
      <w:pPr>
        <w:pStyle w:val="Body"/>
        <w:spacing w:after="0"/>
        <w:rPr>
          <w:rFonts w:ascii="Arial" w:eastAsia="Calibri" w:hAnsi="Arial" w:cs="Arial"/>
          <w:szCs w:val="22"/>
        </w:rPr>
      </w:pPr>
      <w:r w:rsidRPr="00E7315C">
        <w:rPr>
          <w:rFonts w:ascii="Arial" w:eastAsia="Calibri" w:hAnsi="Arial" w:cs="Arial"/>
          <w:szCs w:val="22"/>
        </w:rPr>
        <w:t>The availability of high-quality shallot planting material remains limited in cultivation practices. Farmers generally use bulbs from previous harvests as planting material. Repeated use of bulbs without proper selection increases the risk of transmitting viral, bacterial, and fungal pathogens, which ultimately reduces shallot productivity (</w:t>
      </w:r>
      <w:proofErr w:type="spellStart"/>
      <w:r w:rsidR="003611C8">
        <w:rPr>
          <w:rFonts w:ascii="Arial" w:eastAsia="Calibri" w:hAnsi="Arial" w:cs="Arial"/>
          <w:szCs w:val="22"/>
        </w:rPr>
        <w:t>Somowiyarjo</w:t>
      </w:r>
      <w:proofErr w:type="spellEnd"/>
      <w:r w:rsidR="003611C8">
        <w:rPr>
          <w:rFonts w:ascii="Arial" w:eastAsia="Calibri" w:hAnsi="Arial" w:cs="Arial"/>
          <w:szCs w:val="22"/>
        </w:rPr>
        <w:t>, 2021</w:t>
      </w:r>
      <w:r w:rsidRPr="00E7315C">
        <w:rPr>
          <w:rFonts w:ascii="Arial" w:eastAsia="Calibri" w:hAnsi="Arial" w:cs="Arial"/>
          <w:szCs w:val="22"/>
        </w:rPr>
        <w:t>). Therefore, efforts to produce high-quality planting material are required to improve shallot productivity and production.</w:t>
      </w:r>
    </w:p>
    <w:p w14:paraId="6DA80DAE" w14:textId="77777777" w:rsidR="00B85345" w:rsidRDefault="00B85345" w:rsidP="00B342C7">
      <w:pPr>
        <w:pStyle w:val="Body"/>
        <w:spacing w:after="0"/>
        <w:rPr>
          <w:rFonts w:ascii="Arial" w:eastAsia="Calibri" w:hAnsi="Arial" w:cs="Arial"/>
          <w:szCs w:val="22"/>
        </w:rPr>
      </w:pPr>
    </w:p>
    <w:p w14:paraId="708B9A2B" w14:textId="61E01B7F" w:rsidR="00FE3037" w:rsidRPr="00FE3037" w:rsidRDefault="0006377F" w:rsidP="00B342C7">
      <w:pPr>
        <w:pStyle w:val="Body"/>
        <w:spacing w:after="0"/>
        <w:rPr>
          <w:rFonts w:ascii="Arial" w:eastAsia="Calibri" w:hAnsi="Arial" w:cs="Arial"/>
          <w:szCs w:val="22"/>
        </w:rPr>
      </w:pPr>
      <w:r w:rsidRPr="0006377F">
        <w:rPr>
          <w:rFonts w:ascii="Arial" w:eastAsia="Calibri" w:hAnsi="Arial" w:cs="Arial"/>
          <w:szCs w:val="22"/>
        </w:rPr>
        <w:t>True Shallot Seed (TSS) has been proposed as a promising alternative source of planting material. Compared with conventional bulbs, TSS is more economical and required in smaller quantities. Its adoption has been reported to reduce seed costs by up to 66.7% while potentially increasing yields to 30–40 tons/ha (Atman, 2021). Nevertheless, TSS-derived seedlings frequently exhibit limitations, particularly low germination rates and reduced tolerance to environmental stresses (</w:t>
      </w:r>
      <w:proofErr w:type="spellStart"/>
      <w:r w:rsidRPr="0006377F">
        <w:rPr>
          <w:rFonts w:ascii="Arial" w:eastAsia="Calibri" w:hAnsi="Arial" w:cs="Arial"/>
          <w:szCs w:val="22"/>
        </w:rPr>
        <w:t>Prakoso</w:t>
      </w:r>
      <w:proofErr w:type="spellEnd"/>
      <w:r w:rsidRPr="0006377F">
        <w:rPr>
          <w:rFonts w:ascii="Arial" w:eastAsia="Calibri" w:hAnsi="Arial" w:cs="Arial"/>
          <w:szCs w:val="22"/>
        </w:rPr>
        <w:t xml:space="preserve"> and </w:t>
      </w:r>
      <w:proofErr w:type="spellStart"/>
      <w:r w:rsidRPr="0006377F">
        <w:rPr>
          <w:rFonts w:ascii="Arial" w:eastAsia="Calibri" w:hAnsi="Arial" w:cs="Arial"/>
          <w:szCs w:val="22"/>
        </w:rPr>
        <w:t>Alpandari</w:t>
      </w:r>
      <w:proofErr w:type="spellEnd"/>
      <w:r w:rsidRPr="0006377F">
        <w:rPr>
          <w:rFonts w:ascii="Arial" w:eastAsia="Calibri" w:hAnsi="Arial" w:cs="Arial"/>
          <w:szCs w:val="22"/>
        </w:rPr>
        <w:t>, 2021). Field-planted TSS has shown germination percentages below 50% (Sopha and Basuki, 2017), and nursery-grown seedlings demonstrate germination rates ranging from 51–56% (Sopha et al., 2017). Moreover, TSS seedlings are highly susceptible to extreme temperatures and excessive rainfall, leading to poor establishment under field conditions. These challenges highlight the need for technological interventions aimed at improving germination performance and enhancing seedling resilience</w:t>
      </w:r>
      <w:r>
        <w:rPr>
          <w:rFonts w:ascii="Arial" w:eastAsia="Calibri" w:hAnsi="Arial" w:cs="Arial"/>
          <w:szCs w:val="22"/>
        </w:rPr>
        <w:t>.</w:t>
      </w:r>
    </w:p>
    <w:p w14:paraId="7BA1FD3E" w14:textId="77777777" w:rsidR="00FE3037" w:rsidRPr="0006377F" w:rsidRDefault="00FE3037" w:rsidP="00B342C7">
      <w:pPr>
        <w:pStyle w:val="Body"/>
        <w:spacing w:after="0"/>
        <w:rPr>
          <w:rFonts w:ascii="Arial" w:eastAsia="Calibri" w:hAnsi="Arial" w:cs="Arial"/>
          <w:szCs w:val="22"/>
          <w:lang w:val="en-ID"/>
        </w:rPr>
      </w:pPr>
    </w:p>
    <w:p w14:paraId="06D0F769" w14:textId="1A36E506" w:rsidR="00E7315C" w:rsidRDefault="00E7315C" w:rsidP="00B342C7">
      <w:pPr>
        <w:pStyle w:val="Body"/>
        <w:spacing w:after="0"/>
        <w:rPr>
          <w:rFonts w:ascii="Arial" w:eastAsia="Calibri" w:hAnsi="Arial" w:cs="Arial"/>
          <w:szCs w:val="22"/>
        </w:rPr>
      </w:pPr>
      <w:r w:rsidRPr="00E7315C">
        <w:rPr>
          <w:rFonts w:ascii="Arial" w:eastAsia="Calibri" w:hAnsi="Arial" w:cs="Arial"/>
          <w:szCs w:val="22"/>
        </w:rPr>
        <w:t xml:space="preserve">An alternative approach to address these issues is the application of plant tissue culture techniques. Tissue culture is a method of plant propagation that enables the production of large numbers of plants in a relatively short time and under disease-free conditions (Basri, 2016). In tissue culture, the composition of the culture medium is a determining factor for success. Compound fertilizers can be used as alternative culture media because they are inexpensive and readily available, thereby reducing production costs. Fertilizers commonly used to promote optimal growth contain both </w:t>
      </w:r>
      <w:proofErr w:type="spellStart"/>
      <w:r w:rsidRPr="00E7315C">
        <w:rPr>
          <w:rFonts w:ascii="Arial" w:eastAsia="Calibri" w:hAnsi="Arial" w:cs="Arial"/>
          <w:szCs w:val="22"/>
        </w:rPr>
        <w:t>macroelements</w:t>
      </w:r>
      <w:proofErr w:type="spellEnd"/>
      <w:r w:rsidRPr="00E7315C">
        <w:rPr>
          <w:rFonts w:ascii="Arial" w:eastAsia="Calibri" w:hAnsi="Arial" w:cs="Arial"/>
          <w:szCs w:val="22"/>
        </w:rPr>
        <w:t xml:space="preserve"> (N, P, K, Mg, Ca, and S) and microelements (B, Cu, Fe, Mn, Zn, and Mo) (Laia, 2019). The study by </w:t>
      </w:r>
      <w:proofErr w:type="spellStart"/>
      <w:r w:rsidRPr="00E7315C">
        <w:rPr>
          <w:rFonts w:ascii="Arial" w:eastAsia="Calibri" w:hAnsi="Arial" w:cs="Arial"/>
          <w:szCs w:val="22"/>
        </w:rPr>
        <w:t>Rosmaina</w:t>
      </w:r>
      <w:proofErr w:type="spellEnd"/>
      <w:r w:rsidRPr="00E7315C">
        <w:rPr>
          <w:rFonts w:ascii="Arial" w:eastAsia="Calibri" w:hAnsi="Arial" w:cs="Arial"/>
          <w:szCs w:val="22"/>
        </w:rPr>
        <w:t xml:space="preserve"> et al. (2021) reported that the use of compound foliar fertilizer at a concentration of 2 ml</w:t>
      </w:r>
      <w:r w:rsidR="00C74503">
        <w:rPr>
          <w:rFonts w:ascii="Arial" w:eastAsia="Calibri" w:hAnsi="Arial" w:cs="Arial"/>
          <w:szCs w:val="22"/>
        </w:rPr>
        <w:t>/L</w:t>
      </w:r>
      <w:r w:rsidRPr="00E7315C">
        <w:rPr>
          <w:rFonts w:ascii="Arial" w:eastAsia="Calibri" w:hAnsi="Arial" w:cs="Arial"/>
          <w:szCs w:val="22"/>
        </w:rPr>
        <w:t xml:space="preserve"> could serve as an alternative medium to MS medium for in vitro propagation of Barangan banana, producing an average of 9.3 shoots per explant and 1.90 leaves per explant. Similarly, </w:t>
      </w:r>
      <w:proofErr w:type="spellStart"/>
      <w:r w:rsidRPr="00E7315C">
        <w:rPr>
          <w:rFonts w:ascii="Arial" w:eastAsia="Calibri" w:hAnsi="Arial" w:cs="Arial"/>
          <w:szCs w:val="22"/>
        </w:rPr>
        <w:t>Trinawaty</w:t>
      </w:r>
      <w:proofErr w:type="spellEnd"/>
      <w:r w:rsidRPr="00E7315C">
        <w:rPr>
          <w:rFonts w:ascii="Arial" w:eastAsia="Calibri" w:hAnsi="Arial" w:cs="Arial"/>
          <w:szCs w:val="22"/>
        </w:rPr>
        <w:t xml:space="preserve"> and Fitriani (2016) reported that the use of compound NPK fertilizer at a concentration of 2 g</w:t>
      </w:r>
      <w:r w:rsidR="00C74503">
        <w:rPr>
          <w:rFonts w:ascii="Arial" w:eastAsia="Calibri" w:hAnsi="Arial" w:cs="Arial"/>
          <w:szCs w:val="22"/>
        </w:rPr>
        <w:t>/</w:t>
      </w:r>
      <w:r w:rsidRPr="00E7315C">
        <w:rPr>
          <w:rFonts w:ascii="Arial" w:eastAsia="Calibri" w:hAnsi="Arial" w:cs="Arial"/>
          <w:szCs w:val="22"/>
        </w:rPr>
        <w:t>L resulted in the best axillary shoot growth of sweet potato, indicating its potential as an alternative medium for in vitro culture.</w:t>
      </w:r>
    </w:p>
    <w:p w14:paraId="10305244" w14:textId="77777777" w:rsidR="00E7315C" w:rsidRPr="00E7315C" w:rsidRDefault="00E7315C" w:rsidP="00B342C7">
      <w:pPr>
        <w:pStyle w:val="Body"/>
        <w:spacing w:after="0"/>
        <w:rPr>
          <w:rFonts w:ascii="Arial" w:eastAsia="Calibri" w:hAnsi="Arial" w:cs="Arial"/>
          <w:szCs w:val="22"/>
          <w:lang w:val="en-ID"/>
        </w:rPr>
      </w:pPr>
    </w:p>
    <w:p w14:paraId="32F1E2AA" w14:textId="3CE8D23C" w:rsidR="00B342C7" w:rsidRPr="008E6785" w:rsidRDefault="00E7315C" w:rsidP="00441B6F">
      <w:pPr>
        <w:pStyle w:val="Body"/>
        <w:spacing w:after="0"/>
        <w:rPr>
          <w:rFonts w:ascii="Arial" w:eastAsia="Calibri" w:hAnsi="Arial" w:cs="Arial"/>
          <w:szCs w:val="22"/>
        </w:rPr>
      </w:pPr>
      <w:r w:rsidRPr="00E7315C">
        <w:rPr>
          <w:rFonts w:ascii="Arial" w:eastAsia="Calibri" w:hAnsi="Arial" w:cs="Arial"/>
          <w:szCs w:val="22"/>
        </w:rPr>
        <w:t>The addition of sucrose to the culture medium is required as an energy source during plant growth. Under in vitro conditions, sucrose functions as a carbon source to substitute for photosynthetic products of the explant (</w:t>
      </w:r>
      <w:proofErr w:type="spellStart"/>
      <w:r w:rsidRPr="00E7315C">
        <w:rPr>
          <w:rFonts w:ascii="Arial" w:eastAsia="Calibri" w:hAnsi="Arial" w:cs="Arial"/>
          <w:szCs w:val="22"/>
        </w:rPr>
        <w:t>Samudera</w:t>
      </w:r>
      <w:proofErr w:type="spellEnd"/>
      <w:r w:rsidRPr="00E7315C">
        <w:rPr>
          <w:rFonts w:ascii="Arial" w:eastAsia="Calibri" w:hAnsi="Arial" w:cs="Arial"/>
          <w:szCs w:val="22"/>
        </w:rPr>
        <w:t xml:space="preserve"> et al., 2019). Sucrose plays a role in providing energy for respiration, regulating osmotic pressure, stabilizing membranes, and supporting new cell formation (</w:t>
      </w:r>
      <w:proofErr w:type="spellStart"/>
      <w:r w:rsidRPr="00E7315C">
        <w:rPr>
          <w:rFonts w:ascii="Arial" w:eastAsia="Calibri" w:hAnsi="Arial" w:cs="Arial"/>
          <w:szCs w:val="22"/>
        </w:rPr>
        <w:t>Heriansyah</w:t>
      </w:r>
      <w:proofErr w:type="spellEnd"/>
      <w:r w:rsidRPr="00E7315C">
        <w:rPr>
          <w:rFonts w:ascii="Arial" w:eastAsia="Calibri" w:hAnsi="Arial" w:cs="Arial"/>
          <w:szCs w:val="22"/>
        </w:rPr>
        <w:t xml:space="preserve">, 2019). Carbohydrate concentration is an important factor in </w:t>
      </w:r>
      <w:proofErr w:type="spellStart"/>
      <w:r w:rsidRPr="00E7315C">
        <w:rPr>
          <w:rFonts w:ascii="Arial" w:eastAsia="Calibri" w:hAnsi="Arial" w:cs="Arial"/>
          <w:szCs w:val="22"/>
        </w:rPr>
        <w:t>microbulb</w:t>
      </w:r>
      <w:proofErr w:type="spellEnd"/>
      <w:r w:rsidRPr="00E7315C">
        <w:rPr>
          <w:rFonts w:ascii="Arial" w:eastAsia="Calibri" w:hAnsi="Arial" w:cs="Arial"/>
          <w:szCs w:val="22"/>
        </w:rPr>
        <w:t xml:space="preserve"> formation. Sucrose serves as the primary carbon source in tissue culture because it is naturally synthesized and translocated by plants (</w:t>
      </w:r>
      <w:r w:rsidR="008B2882">
        <w:rPr>
          <w:rFonts w:ascii="Arial" w:eastAsia="Calibri" w:hAnsi="Arial" w:cs="Arial"/>
          <w:szCs w:val="22"/>
        </w:rPr>
        <w:t>Islam</w:t>
      </w:r>
      <w:r w:rsidR="004E4B04">
        <w:rPr>
          <w:rFonts w:ascii="Arial" w:eastAsia="Calibri" w:hAnsi="Arial" w:cs="Arial"/>
          <w:szCs w:val="22"/>
        </w:rPr>
        <w:t>,</w:t>
      </w:r>
      <w:r w:rsidR="008B2882">
        <w:rPr>
          <w:rFonts w:ascii="Arial" w:eastAsia="Calibri" w:hAnsi="Arial" w:cs="Arial"/>
          <w:szCs w:val="22"/>
        </w:rPr>
        <w:t xml:space="preserve"> et al</w:t>
      </w:r>
      <w:r w:rsidR="004E4B04">
        <w:rPr>
          <w:rFonts w:ascii="Arial" w:eastAsia="Calibri" w:hAnsi="Arial" w:cs="Arial"/>
          <w:szCs w:val="22"/>
        </w:rPr>
        <w:t>, 2017</w:t>
      </w:r>
      <w:r w:rsidRPr="00E7315C">
        <w:rPr>
          <w:rFonts w:ascii="Arial" w:eastAsia="Calibri" w:hAnsi="Arial" w:cs="Arial"/>
          <w:szCs w:val="22"/>
        </w:rPr>
        <w:t xml:space="preserve">). The use of high sucrose concentrations has been shown to induce </w:t>
      </w:r>
      <w:proofErr w:type="spellStart"/>
      <w:r w:rsidRPr="00E7315C">
        <w:rPr>
          <w:rFonts w:ascii="Arial" w:eastAsia="Calibri" w:hAnsi="Arial" w:cs="Arial"/>
          <w:szCs w:val="22"/>
        </w:rPr>
        <w:t>microbulb</w:t>
      </w:r>
      <w:proofErr w:type="spellEnd"/>
      <w:r w:rsidRPr="00E7315C">
        <w:rPr>
          <w:rFonts w:ascii="Arial" w:eastAsia="Calibri" w:hAnsi="Arial" w:cs="Arial"/>
          <w:szCs w:val="22"/>
        </w:rPr>
        <w:t xml:space="preserve"> formation. This is consistent with the study by Putri (2024), which reported that sucrose concentrations of 50–70 g</w:t>
      </w:r>
      <w:r w:rsidR="00C74503">
        <w:rPr>
          <w:rFonts w:ascii="Arial" w:eastAsia="Calibri" w:hAnsi="Arial" w:cs="Arial"/>
          <w:szCs w:val="22"/>
        </w:rPr>
        <w:t>/</w:t>
      </w:r>
      <w:r w:rsidRPr="00E7315C">
        <w:rPr>
          <w:rFonts w:ascii="Arial" w:eastAsia="Calibri" w:hAnsi="Arial" w:cs="Arial"/>
          <w:szCs w:val="22"/>
        </w:rPr>
        <w:t>L</w:t>
      </w:r>
      <w:r w:rsidR="00C74503">
        <w:rPr>
          <w:rFonts w:ascii="Cambria Math" w:eastAsia="Calibri" w:hAnsi="Cambria Math" w:cs="Cambria Math"/>
          <w:szCs w:val="22"/>
        </w:rPr>
        <w:t xml:space="preserve"> </w:t>
      </w:r>
      <w:r w:rsidRPr="00E7315C">
        <w:rPr>
          <w:rFonts w:ascii="Arial" w:eastAsia="Calibri" w:hAnsi="Arial" w:cs="Arial"/>
          <w:szCs w:val="22"/>
        </w:rPr>
        <w:t xml:space="preserve">enhanced growth and </w:t>
      </w:r>
      <w:proofErr w:type="spellStart"/>
      <w:r w:rsidRPr="00E7315C">
        <w:rPr>
          <w:rFonts w:ascii="Arial" w:eastAsia="Calibri" w:hAnsi="Arial" w:cs="Arial"/>
          <w:szCs w:val="22"/>
        </w:rPr>
        <w:t>microbulb</w:t>
      </w:r>
      <w:proofErr w:type="spellEnd"/>
      <w:r w:rsidRPr="00E7315C">
        <w:rPr>
          <w:rFonts w:ascii="Arial" w:eastAsia="Calibri" w:hAnsi="Arial" w:cs="Arial"/>
          <w:szCs w:val="22"/>
        </w:rPr>
        <w:t xml:space="preserve"> formation of TSS. </w:t>
      </w:r>
      <w:proofErr w:type="spellStart"/>
      <w:r w:rsidRPr="00E7315C">
        <w:rPr>
          <w:rFonts w:ascii="Arial" w:eastAsia="Calibri" w:hAnsi="Arial" w:cs="Arial"/>
          <w:szCs w:val="22"/>
        </w:rPr>
        <w:t>Mardiana</w:t>
      </w:r>
      <w:proofErr w:type="spellEnd"/>
      <w:r w:rsidRPr="00E7315C">
        <w:rPr>
          <w:rFonts w:ascii="Arial" w:eastAsia="Calibri" w:hAnsi="Arial" w:cs="Arial"/>
          <w:szCs w:val="22"/>
        </w:rPr>
        <w:t xml:space="preserve"> and </w:t>
      </w:r>
      <w:proofErr w:type="spellStart"/>
      <w:r w:rsidRPr="00E7315C">
        <w:rPr>
          <w:rFonts w:ascii="Arial" w:eastAsia="Calibri" w:hAnsi="Arial" w:cs="Arial"/>
          <w:szCs w:val="22"/>
        </w:rPr>
        <w:t>Sumarji</w:t>
      </w:r>
      <w:proofErr w:type="spellEnd"/>
      <w:r w:rsidRPr="00E7315C">
        <w:rPr>
          <w:rFonts w:ascii="Arial" w:eastAsia="Calibri" w:hAnsi="Arial" w:cs="Arial"/>
          <w:szCs w:val="22"/>
        </w:rPr>
        <w:t xml:space="preserve"> (2022) also reported that sucrose concentrations of 80–120 g</w:t>
      </w:r>
      <w:r w:rsidR="00C74503">
        <w:rPr>
          <w:rFonts w:ascii="Arial" w:eastAsia="Calibri" w:hAnsi="Arial" w:cs="Arial"/>
          <w:szCs w:val="22"/>
        </w:rPr>
        <w:t>/</w:t>
      </w:r>
      <w:r w:rsidRPr="00E7315C">
        <w:rPr>
          <w:rFonts w:ascii="Arial" w:eastAsia="Calibri" w:hAnsi="Arial" w:cs="Arial"/>
          <w:szCs w:val="22"/>
        </w:rPr>
        <w:t xml:space="preserve">L improved plantlet growth. </w:t>
      </w:r>
      <w:r w:rsidR="00CB700F">
        <w:rPr>
          <w:rFonts w:ascii="Arial" w:eastAsia="Calibri" w:hAnsi="Arial" w:cs="Arial"/>
          <w:szCs w:val="22"/>
        </w:rPr>
        <w:t>According to</w:t>
      </w:r>
      <w:r w:rsidRPr="00E7315C">
        <w:rPr>
          <w:rFonts w:ascii="Arial" w:eastAsia="Calibri" w:hAnsi="Arial" w:cs="Arial"/>
          <w:szCs w:val="22"/>
        </w:rPr>
        <w:t>,</w:t>
      </w:r>
      <w:r w:rsidR="008E6785">
        <w:rPr>
          <w:rFonts w:ascii="Arial" w:eastAsia="Calibri" w:hAnsi="Arial" w:cs="Arial"/>
          <w:szCs w:val="22"/>
        </w:rPr>
        <w:t xml:space="preserve"> </w:t>
      </w:r>
      <w:r w:rsidR="008E6785" w:rsidRPr="008E6785">
        <w:rPr>
          <w:rFonts w:ascii="Arial" w:eastAsia="Calibri" w:hAnsi="Arial" w:cs="Arial"/>
          <w:szCs w:val="22"/>
        </w:rPr>
        <w:t xml:space="preserve">Maharani (2019), sucrose concentrations of 90–135 g/L resulted in the highest number of </w:t>
      </w:r>
      <w:proofErr w:type="gramStart"/>
      <w:r w:rsidR="008E6785" w:rsidRPr="008E6785">
        <w:rPr>
          <w:rFonts w:ascii="Arial" w:eastAsia="Calibri" w:hAnsi="Arial" w:cs="Arial"/>
          <w:szCs w:val="22"/>
        </w:rPr>
        <w:t>potato</w:t>
      </w:r>
      <w:proofErr w:type="gramEnd"/>
      <w:r w:rsidR="008E6785" w:rsidRPr="008E6785">
        <w:rPr>
          <w:rFonts w:ascii="Arial" w:eastAsia="Calibri" w:hAnsi="Arial" w:cs="Arial"/>
          <w:szCs w:val="22"/>
        </w:rPr>
        <w:t xml:space="preserve"> </w:t>
      </w:r>
      <w:proofErr w:type="spellStart"/>
      <w:r w:rsidR="008E6785" w:rsidRPr="008E6785">
        <w:rPr>
          <w:rFonts w:ascii="Arial" w:eastAsia="Calibri" w:hAnsi="Arial" w:cs="Arial"/>
          <w:szCs w:val="22"/>
        </w:rPr>
        <w:t>microtubers</w:t>
      </w:r>
      <w:proofErr w:type="spellEnd"/>
      <w:r w:rsidR="008E6785" w:rsidRPr="008E6785">
        <w:rPr>
          <w:rFonts w:ascii="Arial" w:eastAsia="Calibri" w:hAnsi="Arial" w:cs="Arial"/>
          <w:szCs w:val="22"/>
        </w:rPr>
        <w:t xml:space="preserve">. This outcome was presumably due to the plantlets converting excess sucrose into starch. The starch, as a food reserve, was then transported to the stolon tips, where it induced the formation of </w:t>
      </w:r>
      <w:proofErr w:type="spellStart"/>
      <w:r w:rsidR="008E6785" w:rsidRPr="008E6785">
        <w:rPr>
          <w:rFonts w:ascii="Arial" w:eastAsia="Calibri" w:hAnsi="Arial" w:cs="Arial"/>
          <w:szCs w:val="22"/>
        </w:rPr>
        <w:t>microtubers</w:t>
      </w:r>
      <w:proofErr w:type="spellEnd"/>
    </w:p>
    <w:p w14:paraId="4FDFFCC8" w14:textId="11DA8E6B" w:rsidR="00267599" w:rsidRDefault="00902823" w:rsidP="00BD2A79">
      <w:pPr>
        <w:pStyle w:val="AbstHead"/>
        <w:spacing w:after="0"/>
        <w:jc w:val="both"/>
        <w:rPr>
          <w:rFonts w:ascii="Arial" w:hAnsi="Arial" w:cs="Arial"/>
        </w:rPr>
      </w:pPr>
      <w:r w:rsidRPr="00F7003E">
        <w:rPr>
          <w:rFonts w:ascii="Arial" w:hAnsi="Arial" w:cs="Arial"/>
          <w:lang w:val="en-ID"/>
        </w:rPr>
        <w:lastRenderedPageBreak/>
        <w:t xml:space="preserve">2. </w:t>
      </w:r>
      <w:r w:rsidR="00622688" w:rsidRPr="00622688">
        <w:rPr>
          <w:rFonts w:ascii="Arial" w:hAnsi="Arial" w:cs="Arial"/>
        </w:rPr>
        <w:t>MATERIALS AND METHODS</w:t>
      </w:r>
    </w:p>
    <w:p w14:paraId="7BD4E456" w14:textId="77777777" w:rsidR="00622688" w:rsidRPr="00F7003E" w:rsidRDefault="00622688" w:rsidP="00BD2A79">
      <w:pPr>
        <w:pStyle w:val="AbstHead"/>
        <w:spacing w:after="0"/>
        <w:jc w:val="both"/>
        <w:rPr>
          <w:rFonts w:ascii="Arial" w:hAnsi="Arial" w:cs="Arial"/>
          <w:lang w:val="en-ID"/>
        </w:rPr>
      </w:pPr>
    </w:p>
    <w:p w14:paraId="2F7E4834" w14:textId="23BA857D" w:rsidR="00F7003E" w:rsidRDefault="00F7003E" w:rsidP="00441B6F">
      <w:pPr>
        <w:pStyle w:val="Body"/>
        <w:spacing w:after="0"/>
        <w:rPr>
          <w:rFonts w:ascii="Arial" w:hAnsi="Arial" w:cs="Arial"/>
        </w:rPr>
      </w:pPr>
      <w:r w:rsidRPr="00F7003E">
        <w:rPr>
          <w:rFonts w:ascii="Arial" w:hAnsi="Arial" w:cs="Arial"/>
        </w:rPr>
        <w:t xml:space="preserve">The research was conducted at the Agronomy Tissue Culture Laboratory, Department of Crop Science, Faculty of Agriculture, University of Bengkulu, from August to November 2025. The materials used in this study included True Shallot Seeds (TSS) of the </w:t>
      </w:r>
      <w:proofErr w:type="spellStart"/>
      <w:r w:rsidRPr="00F7003E">
        <w:rPr>
          <w:rFonts w:ascii="Arial" w:hAnsi="Arial" w:cs="Arial"/>
        </w:rPr>
        <w:t>Lokananta</w:t>
      </w:r>
      <w:proofErr w:type="spellEnd"/>
      <w:r w:rsidRPr="00F7003E">
        <w:rPr>
          <w:rFonts w:ascii="Arial" w:hAnsi="Arial" w:cs="Arial"/>
        </w:rPr>
        <w:t xml:space="preserve"> variety, compound fertilizer NPK 32-10-10, Murashige and Skoog (MS) medium, sterilizing agents (96% and 70% alcohol), sugar, 1 N HCl, 1 N NaOH, 1 N KOH, BAP, fungicide, bactericide, agar, sterile distilled water, labels, tissue paper, millimeter block paper, rubber bands, transparent plastic, and wrapping film.</w:t>
      </w:r>
    </w:p>
    <w:p w14:paraId="058012CA" w14:textId="77777777" w:rsidR="00F7003E" w:rsidRDefault="00F7003E" w:rsidP="00441B6F">
      <w:pPr>
        <w:pStyle w:val="Body"/>
        <w:spacing w:after="0"/>
        <w:rPr>
          <w:rFonts w:ascii="Arial" w:hAnsi="Arial" w:cs="Arial"/>
        </w:rPr>
      </w:pPr>
    </w:p>
    <w:p w14:paraId="45A2BAFD" w14:textId="4D140920" w:rsidR="00F7003E" w:rsidRDefault="00F7003E" w:rsidP="00441B6F">
      <w:pPr>
        <w:pStyle w:val="Body"/>
        <w:spacing w:after="0"/>
        <w:rPr>
          <w:rFonts w:ascii="Arial" w:hAnsi="Arial" w:cs="Arial"/>
        </w:rPr>
      </w:pPr>
      <w:r w:rsidRPr="00F7003E">
        <w:rPr>
          <w:rFonts w:ascii="Arial" w:hAnsi="Arial" w:cs="Arial"/>
        </w:rPr>
        <w:t>The experimental design used was a factorial Completely Randomized Design (CRD) with two treatment factors. The first factor was the concentration of compound NPK fertilizer, consisting of three levels: 2 g/L, 4 g/L, and Murashige and Skoog medium as the control. The second factor was sucrose concentration, consisting of four levels: 30, 60, 90, and 120 g/L. Thus, there were 12 treatment combinations, each replicated three times, resulting in 36 experimental units. Each replication consisted of three culture bottles, and each bottle contained three TSS seeds.</w:t>
      </w:r>
    </w:p>
    <w:p w14:paraId="2F9B8365" w14:textId="77777777" w:rsidR="00F7003E" w:rsidRDefault="00F7003E" w:rsidP="00441B6F">
      <w:pPr>
        <w:pStyle w:val="Body"/>
        <w:spacing w:after="0"/>
        <w:rPr>
          <w:rFonts w:ascii="Arial" w:hAnsi="Arial" w:cs="Arial"/>
        </w:rPr>
      </w:pPr>
    </w:p>
    <w:p w14:paraId="57579B27" w14:textId="2A79B846" w:rsidR="00F7003E" w:rsidRDefault="00F7003E" w:rsidP="00441B6F">
      <w:pPr>
        <w:pStyle w:val="Body"/>
        <w:spacing w:after="0"/>
        <w:rPr>
          <w:rFonts w:ascii="Arial" w:hAnsi="Arial" w:cs="Arial"/>
        </w:rPr>
      </w:pPr>
      <w:r w:rsidRPr="00F7003E">
        <w:rPr>
          <w:rFonts w:ascii="Arial" w:hAnsi="Arial" w:cs="Arial"/>
        </w:rPr>
        <w:t xml:space="preserve">The experimental stages included sterilization of equipment and the working environment using </w:t>
      </w:r>
      <w:proofErr w:type="spellStart"/>
      <w:r w:rsidRPr="00F7003E">
        <w:rPr>
          <w:rFonts w:ascii="Arial" w:hAnsi="Arial" w:cs="Arial"/>
        </w:rPr>
        <w:t>NaOCl</w:t>
      </w:r>
      <w:proofErr w:type="spellEnd"/>
      <w:r w:rsidRPr="00F7003E">
        <w:rPr>
          <w:rFonts w:ascii="Arial" w:hAnsi="Arial" w:cs="Arial"/>
        </w:rPr>
        <w:t xml:space="preserve"> solution, alcohol, and formalin, followed by autoclaving at 121°C and 15 psi pressure for 30 minutes. The culture media were prepared using compound NPK 32-10-10 fertilizer and MS medium as the control, with the addition of sucrose according to the treatments, 0.5 ppm BAP, and 6 g/L agar. The pH of the media was adjusted to 5.8 before sterilization using an autoclave for 15 minutes. TSS seeds of the </w:t>
      </w:r>
      <w:proofErr w:type="spellStart"/>
      <w:r w:rsidRPr="00F7003E">
        <w:rPr>
          <w:rFonts w:ascii="Arial" w:hAnsi="Arial" w:cs="Arial"/>
        </w:rPr>
        <w:t>Lokananta</w:t>
      </w:r>
      <w:proofErr w:type="spellEnd"/>
      <w:r w:rsidRPr="00F7003E">
        <w:rPr>
          <w:rFonts w:ascii="Arial" w:hAnsi="Arial" w:cs="Arial"/>
        </w:rPr>
        <w:t xml:space="preserve"> variety were sterilized using bactericide, fungicide, 5% </w:t>
      </w:r>
      <w:proofErr w:type="spellStart"/>
      <w:r w:rsidRPr="00F7003E">
        <w:rPr>
          <w:rFonts w:ascii="Arial" w:hAnsi="Arial" w:cs="Arial"/>
        </w:rPr>
        <w:t>chlorox</w:t>
      </w:r>
      <w:proofErr w:type="spellEnd"/>
      <w:r w:rsidRPr="00F7003E">
        <w:rPr>
          <w:rFonts w:ascii="Arial" w:hAnsi="Arial" w:cs="Arial"/>
        </w:rPr>
        <w:t xml:space="preserve"> solution, and 70% alcohol, then aseptically planted in a Laminar Air Flow Cabinet (LAFC).</w:t>
      </w:r>
      <w:r>
        <w:rPr>
          <w:rFonts w:ascii="Arial" w:hAnsi="Arial" w:cs="Arial"/>
        </w:rPr>
        <w:t xml:space="preserve"> </w:t>
      </w:r>
      <w:r w:rsidRPr="00F7003E">
        <w:rPr>
          <w:rFonts w:ascii="Arial" w:hAnsi="Arial" w:cs="Arial"/>
        </w:rPr>
        <w:t>The cultures were maintained in a growth room at a temperature of 18–20°C with a photoperiod of 16 hours per day using an automatic timer. Observations were carried out regularly, and contaminated cultures were separated and removed.</w:t>
      </w:r>
    </w:p>
    <w:p w14:paraId="5430E59A" w14:textId="77777777" w:rsidR="00F7003E" w:rsidRDefault="00F7003E" w:rsidP="00441B6F">
      <w:pPr>
        <w:pStyle w:val="Body"/>
        <w:spacing w:after="0"/>
        <w:rPr>
          <w:rFonts w:ascii="Arial" w:hAnsi="Arial" w:cs="Arial"/>
          <w:lang w:val="en-ID"/>
        </w:rPr>
      </w:pPr>
    </w:p>
    <w:p w14:paraId="7229D119" w14:textId="15FA774F" w:rsidR="0095768E" w:rsidRDefault="00E34D68" w:rsidP="00441B6F">
      <w:pPr>
        <w:pStyle w:val="Body"/>
        <w:spacing w:after="0"/>
        <w:rPr>
          <w:rFonts w:ascii="Arial" w:hAnsi="Arial" w:cs="Arial"/>
        </w:rPr>
      </w:pPr>
      <w:r w:rsidRPr="00E34D68">
        <w:rPr>
          <w:rFonts w:ascii="Arial" w:hAnsi="Arial" w:cs="Arial"/>
        </w:rPr>
        <w:t>Data collection and observations were conducted for 16 weeks after planting, starting one day after planting. Daily observations were performed to record germination percentage, germination time, and the time of micro-shoot emergence. Weekly observations were conducted once a week to record the number of micro-shoots, number of micro-leaves, time of micro-leaf emergence, and time of micro-bulb formation through visual observation from outside the culture bottles. Final observations were carried out at week 16 inside the LAFC by removing the plantlets from the culture bottles and placing them in Petri dishes lined with millimeter block paper to measure plant height, number and length of micro-roots, percentage of micro-bulb formation, and micro-bulb diameter.</w:t>
      </w:r>
      <w:r>
        <w:rPr>
          <w:rFonts w:ascii="Arial" w:hAnsi="Arial" w:cs="Arial"/>
        </w:rPr>
        <w:t xml:space="preserve"> </w:t>
      </w:r>
      <w:r w:rsidRPr="00E34D68">
        <w:rPr>
          <w:rFonts w:ascii="Arial" w:hAnsi="Arial" w:cs="Arial"/>
        </w:rPr>
        <w:t xml:space="preserve">The collected data were statistically analyzed using Analysis of Variance (ANOVA) with an F-test at the 5% significance level. If significant differences were detected, the analysis was continued using Duncan’s Multiple Range Test (DMRT). If the coefficient of variation (CV) value was greater than 30%, data transformation was performed using the formula </w:t>
      </w:r>
      <w:proofErr w:type="gramStart"/>
      <w:r w:rsidRPr="00E34D68">
        <w:rPr>
          <w:rFonts w:ascii="Arial" w:hAnsi="Arial" w:cs="Arial"/>
        </w:rPr>
        <w:t>√(</w:t>
      </w:r>
      <w:proofErr w:type="gramEnd"/>
      <w:r w:rsidRPr="00E34D68">
        <w:rPr>
          <w:rFonts w:ascii="Arial" w:hAnsi="Arial" w:cs="Arial"/>
        </w:rPr>
        <w:t>x + 0.5) to reduce the CV value (Cahyani, 2021). If the CV value remained greater than 30% after transformation, the data were analyzed descriptively and presented in the form of histograms.</w:t>
      </w:r>
    </w:p>
    <w:p w14:paraId="78BBA2E5" w14:textId="6E1ABF75" w:rsidR="008D1D00" w:rsidRPr="00A71035" w:rsidRDefault="005339BE" w:rsidP="005339BE">
      <w:pPr>
        <w:pStyle w:val="Body"/>
        <w:tabs>
          <w:tab w:val="left" w:pos="6564"/>
        </w:tabs>
        <w:spacing w:after="0"/>
        <w:rPr>
          <w:rFonts w:ascii="Arial" w:hAnsi="Arial" w:cs="Arial"/>
          <w:lang w:val="id"/>
        </w:rPr>
      </w:pPr>
      <w:r w:rsidRPr="00A71035">
        <w:rPr>
          <w:rFonts w:ascii="Arial" w:hAnsi="Arial" w:cs="Arial"/>
          <w:lang w:val="id"/>
        </w:rPr>
        <w:tab/>
      </w:r>
    </w:p>
    <w:p w14:paraId="4D083C80" w14:textId="55D1591A" w:rsidR="008636BE" w:rsidRPr="00F3193F" w:rsidRDefault="00F220E9" w:rsidP="00F3193F">
      <w:pPr>
        <w:pStyle w:val="AbstHead"/>
        <w:spacing w:after="0"/>
        <w:jc w:val="both"/>
        <w:rPr>
          <w:rFonts w:ascii="Arial" w:hAnsi="Arial" w:cs="Arial"/>
          <w:b w:val="0"/>
          <w:caps w:val="0"/>
          <w:lang w:val="id"/>
        </w:rPr>
      </w:pPr>
      <w:r w:rsidRPr="00D94979">
        <w:rPr>
          <w:rFonts w:ascii="Arial" w:hAnsi="Arial" w:cs="Arial"/>
          <w:lang w:val="id"/>
        </w:rPr>
        <w:t xml:space="preserve">3. </w:t>
      </w:r>
      <w:r w:rsidR="00622688" w:rsidRPr="00622688">
        <w:rPr>
          <w:rFonts w:ascii="Arial" w:hAnsi="Arial" w:cs="Arial"/>
        </w:rPr>
        <w:t>RESULTS AND DISCUSSION</w:t>
      </w:r>
    </w:p>
    <w:p w14:paraId="4DFE3BC6" w14:textId="77777777" w:rsidR="008636BE" w:rsidRPr="003223F1" w:rsidRDefault="008636BE" w:rsidP="00441B6F">
      <w:pPr>
        <w:pStyle w:val="Body"/>
        <w:spacing w:after="0"/>
        <w:rPr>
          <w:rFonts w:ascii="Arial" w:hAnsi="Arial" w:cs="Arial"/>
          <w:lang w:val="id"/>
        </w:rPr>
      </w:pPr>
    </w:p>
    <w:p w14:paraId="245C09A4" w14:textId="60DBD85F" w:rsidR="009F7636" w:rsidRDefault="00B422D7" w:rsidP="00A87A92">
      <w:pPr>
        <w:tabs>
          <w:tab w:val="left" w:pos="1080"/>
        </w:tabs>
        <w:jc w:val="both"/>
        <w:rPr>
          <w:rFonts w:ascii="Arial" w:hAnsi="Arial" w:cs="Arial"/>
        </w:rPr>
      </w:pPr>
      <w:r w:rsidRPr="00B422D7">
        <w:rPr>
          <w:rFonts w:ascii="Arial" w:hAnsi="Arial" w:cs="Arial"/>
        </w:rPr>
        <w:t>The results showed that there was an interaction between the concentration of</w:t>
      </w:r>
      <w:r w:rsidR="00E11F81">
        <w:rPr>
          <w:rFonts w:ascii="Arial" w:hAnsi="Arial" w:cs="Arial"/>
        </w:rPr>
        <w:t xml:space="preserve"> NPK</w:t>
      </w:r>
      <w:r w:rsidRPr="00B422D7">
        <w:rPr>
          <w:rFonts w:ascii="Arial" w:hAnsi="Arial" w:cs="Arial"/>
        </w:rPr>
        <w:t xml:space="preserve"> compound</w:t>
      </w:r>
      <w:r w:rsidR="00E11F81">
        <w:rPr>
          <w:rFonts w:ascii="Arial" w:hAnsi="Arial" w:cs="Arial"/>
        </w:rPr>
        <w:t xml:space="preserve"> </w:t>
      </w:r>
      <w:r w:rsidRPr="00B422D7">
        <w:rPr>
          <w:rFonts w:ascii="Arial" w:hAnsi="Arial" w:cs="Arial"/>
        </w:rPr>
        <w:t xml:space="preserve">fertilizer and sucrose </w:t>
      </w:r>
      <w:r w:rsidR="00E11F81">
        <w:rPr>
          <w:rFonts w:ascii="Arial" w:hAnsi="Arial" w:cs="Arial"/>
        </w:rPr>
        <w:t>addition</w:t>
      </w:r>
      <w:r w:rsidRPr="00B422D7">
        <w:rPr>
          <w:rFonts w:ascii="Arial" w:hAnsi="Arial" w:cs="Arial"/>
        </w:rPr>
        <w:t xml:space="preserve"> in the culture medium on the variables of number of roots and number of micro</w:t>
      </w:r>
      <w:r w:rsidR="00E11F81">
        <w:rPr>
          <w:rFonts w:ascii="Arial" w:hAnsi="Arial" w:cs="Arial"/>
        </w:rPr>
        <w:t xml:space="preserve"> </w:t>
      </w:r>
      <w:r w:rsidRPr="00B422D7">
        <w:rPr>
          <w:rFonts w:ascii="Arial" w:hAnsi="Arial" w:cs="Arial"/>
        </w:rPr>
        <w:t xml:space="preserve">leaves. The other six variables showed no interaction (Table 1). Sucrose addition had a significant effect on the number of micro-roots and plant height, but had no significant effect on the other six variables. The treatment of compound NPK fertilizer </w:t>
      </w:r>
      <w:r w:rsidRPr="00B422D7">
        <w:rPr>
          <w:rFonts w:ascii="Arial" w:hAnsi="Arial" w:cs="Arial"/>
        </w:rPr>
        <w:lastRenderedPageBreak/>
        <w:t>concentration showed a significant effect on all observed variables, except for the percentage of micro</w:t>
      </w:r>
      <w:r w:rsidR="00AC58EF">
        <w:rPr>
          <w:rFonts w:ascii="Arial" w:hAnsi="Arial" w:cs="Arial"/>
        </w:rPr>
        <w:t xml:space="preserve"> </w:t>
      </w:r>
      <w:r w:rsidRPr="00B422D7">
        <w:rPr>
          <w:rFonts w:ascii="Arial" w:hAnsi="Arial" w:cs="Arial"/>
        </w:rPr>
        <w:t>bulb formation,</w:t>
      </w:r>
      <w:r w:rsidR="00164DF6">
        <w:rPr>
          <w:rFonts w:ascii="Arial" w:hAnsi="Arial" w:cs="Arial"/>
        </w:rPr>
        <w:t xml:space="preserve"> and time </w:t>
      </w:r>
      <w:r w:rsidR="00C22252">
        <w:rPr>
          <w:rFonts w:ascii="Arial" w:hAnsi="Arial" w:cs="Arial"/>
        </w:rPr>
        <w:t>to micro shoot emergence</w:t>
      </w:r>
      <w:r w:rsidR="00A9174F">
        <w:rPr>
          <w:rFonts w:ascii="Arial" w:hAnsi="Arial" w:cs="Arial"/>
        </w:rPr>
        <w:t>,</w:t>
      </w:r>
      <w:r w:rsidRPr="00B422D7">
        <w:rPr>
          <w:rFonts w:ascii="Arial" w:hAnsi="Arial" w:cs="Arial"/>
        </w:rPr>
        <w:t xml:space="preserve"> which was not significantly affected.</w:t>
      </w:r>
    </w:p>
    <w:p w14:paraId="0548852E" w14:textId="77777777" w:rsidR="009C31A2" w:rsidRPr="009F7636" w:rsidRDefault="009C31A2" w:rsidP="00A87A92">
      <w:pPr>
        <w:tabs>
          <w:tab w:val="left" w:pos="1080"/>
        </w:tabs>
        <w:jc w:val="both"/>
        <w:rPr>
          <w:rFonts w:ascii="Arial" w:hAnsi="Arial" w:cs="Arial"/>
          <w:lang w:val="id"/>
        </w:rPr>
      </w:pPr>
    </w:p>
    <w:p w14:paraId="4CE94228" w14:textId="78BE10B7" w:rsidR="002E11C5" w:rsidRDefault="00A87A92" w:rsidP="00A87A92">
      <w:pPr>
        <w:tabs>
          <w:tab w:val="left" w:pos="1080"/>
        </w:tabs>
        <w:jc w:val="both"/>
        <w:rPr>
          <w:rFonts w:ascii="Arial" w:hAnsi="Arial"/>
          <w:b/>
          <w:lang w:val="id"/>
        </w:rPr>
      </w:pPr>
      <w:r w:rsidRPr="00EC715B">
        <w:rPr>
          <w:rFonts w:ascii="Arial" w:hAnsi="Arial"/>
          <w:b/>
          <w:lang w:val="id"/>
        </w:rPr>
        <w:t>Tab</w:t>
      </w:r>
      <w:r w:rsidR="009C31A2">
        <w:rPr>
          <w:rFonts w:ascii="Arial" w:hAnsi="Arial"/>
          <w:b/>
          <w:lang w:val="id"/>
        </w:rPr>
        <w:t>le</w:t>
      </w:r>
      <w:r w:rsidRPr="00EC715B">
        <w:rPr>
          <w:rFonts w:ascii="Arial" w:hAnsi="Arial"/>
          <w:b/>
          <w:lang w:val="id"/>
        </w:rPr>
        <w:t xml:space="preserve"> 1.</w:t>
      </w:r>
      <w:r w:rsidRPr="00EC715B">
        <w:rPr>
          <w:lang w:val="id"/>
        </w:rPr>
        <w:t xml:space="preserve"> </w:t>
      </w:r>
      <w:r w:rsidR="009C31A2" w:rsidRPr="009C31A2">
        <w:rPr>
          <w:rFonts w:ascii="Arial" w:hAnsi="Arial"/>
          <w:b/>
          <w:lang w:val="id"/>
        </w:rPr>
        <w:t>Summary of F</w:t>
      </w:r>
      <w:r w:rsidR="009C31A2">
        <w:rPr>
          <w:rFonts w:ascii="Arial" w:hAnsi="Arial"/>
          <w:b/>
          <w:lang w:val="id"/>
        </w:rPr>
        <w:t>-</w:t>
      </w:r>
      <w:r w:rsidR="009C31A2" w:rsidRPr="009C31A2">
        <w:rPr>
          <w:rFonts w:ascii="Arial" w:hAnsi="Arial"/>
          <w:b/>
          <w:lang w:val="id"/>
        </w:rPr>
        <w:t>values on the growth and micro</w:t>
      </w:r>
      <w:r w:rsidR="00FD5EFA">
        <w:rPr>
          <w:rFonts w:ascii="Arial" w:hAnsi="Arial"/>
          <w:b/>
          <w:lang w:val="id"/>
        </w:rPr>
        <w:t xml:space="preserve"> </w:t>
      </w:r>
      <w:r w:rsidR="009C31A2" w:rsidRPr="009C31A2">
        <w:rPr>
          <w:rFonts w:ascii="Arial" w:hAnsi="Arial"/>
          <w:b/>
          <w:lang w:val="id"/>
        </w:rPr>
        <w:t>bulb formation of shallot from True Shallot Seeds under in vitro conditions</w:t>
      </w:r>
    </w:p>
    <w:p w14:paraId="0577A3A3" w14:textId="77777777" w:rsidR="009C31A2" w:rsidRPr="00EC715B" w:rsidRDefault="009C31A2" w:rsidP="00A87A92">
      <w:pPr>
        <w:tabs>
          <w:tab w:val="left" w:pos="1080"/>
        </w:tabs>
        <w:jc w:val="both"/>
        <w:rPr>
          <w:rFonts w:ascii="Arial" w:hAnsi="Arial"/>
          <w:b/>
          <w:lang w:val="id"/>
        </w:rPr>
      </w:pPr>
    </w:p>
    <w:tbl>
      <w:tblPr>
        <w:tblW w:w="8505" w:type="dxa"/>
        <w:tblLayout w:type="fixed"/>
        <w:tblLook w:val="0400" w:firstRow="0" w:lastRow="0" w:firstColumn="0" w:lastColumn="0" w:noHBand="0" w:noVBand="1"/>
      </w:tblPr>
      <w:tblGrid>
        <w:gridCol w:w="653"/>
        <w:gridCol w:w="3170"/>
        <w:gridCol w:w="1275"/>
        <w:gridCol w:w="1134"/>
        <w:gridCol w:w="1247"/>
        <w:gridCol w:w="1026"/>
      </w:tblGrid>
      <w:tr w:rsidR="00A87A92" w:rsidRPr="00A87A92" w14:paraId="4EAF37F3" w14:textId="77777777" w:rsidTr="009C31A2">
        <w:trPr>
          <w:trHeight w:val="469"/>
        </w:trPr>
        <w:tc>
          <w:tcPr>
            <w:tcW w:w="653" w:type="dxa"/>
            <w:vMerge w:val="restart"/>
            <w:tcBorders>
              <w:top w:val="single" w:sz="4" w:space="0" w:color="auto"/>
            </w:tcBorders>
            <w:vAlign w:val="center"/>
          </w:tcPr>
          <w:p w14:paraId="25BD502C" w14:textId="77777777" w:rsidR="00A87A92" w:rsidRPr="00A87A92" w:rsidRDefault="00A87A92" w:rsidP="00A87A92">
            <w:pPr>
              <w:tabs>
                <w:tab w:val="left" w:pos="1080"/>
              </w:tabs>
              <w:jc w:val="both"/>
              <w:rPr>
                <w:rFonts w:ascii="Arial" w:hAnsi="Arial"/>
                <w:b/>
                <w:bCs/>
                <w:lang w:val="id-ID"/>
              </w:rPr>
            </w:pPr>
            <w:bookmarkStart w:id="0" w:name="_Hlk170424538"/>
          </w:p>
          <w:p w14:paraId="6AB96C18" w14:textId="77777777" w:rsidR="00A87A92" w:rsidRPr="00A87A92" w:rsidRDefault="00A87A92" w:rsidP="00A87A92">
            <w:pPr>
              <w:tabs>
                <w:tab w:val="left" w:pos="1080"/>
              </w:tabs>
              <w:jc w:val="both"/>
              <w:rPr>
                <w:rFonts w:ascii="Arial" w:hAnsi="Arial"/>
                <w:b/>
                <w:bCs/>
                <w:lang w:val="id-ID"/>
              </w:rPr>
            </w:pPr>
          </w:p>
        </w:tc>
        <w:tc>
          <w:tcPr>
            <w:tcW w:w="3170" w:type="dxa"/>
            <w:vMerge w:val="restart"/>
            <w:tcBorders>
              <w:top w:val="single" w:sz="4" w:space="0" w:color="auto"/>
            </w:tcBorders>
            <w:vAlign w:val="center"/>
          </w:tcPr>
          <w:p w14:paraId="6674B2D4" w14:textId="580D643D" w:rsidR="00A87A92" w:rsidRPr="00A87A92" w:rsidRDefault="00A87A92" w:rsidP="00A87A92">
            <w:pPr>
              <w:tabs>
                <w:tab w:val="left" w:pos="1080"/>
              </w:tabs>
              <w:jc w:val="center"/>
              <w:rPr>
                <w:rFonts w:ascii="Arial" w:hAnsi="Arial"/>
                <w:b/>
                <w:bCs/>
                <w:lang w:val="id-ID"/>
              </w:rPr>
            </w:pPr>
            <w:r w:rsidRPr="00A87A92">
              <w:rPr>
                <w:rFonts w:ascii="Arial" w:hAnsi="Arial"/>
                <w:b/>
                <w:bCs/>
                <w:lang w:val="id-ID"/>
              </w:rPr>
              <w:t>Vari</w:t>
            </w:r>
            <w:r w:rsidR="009C31A2">
              <w:rPr>
                <w:rFonts w:ascii="Arial" w:hAnsi="Arial"/>
                <w:b/>
                <w:bCs/>
                <w:lang w:val="id-ID"/>
              </w:rPr>
              <w:t>able</w:t>
            </w:r>
          </w:p>
        </w:tc>
        <w:tc>
          <w:tcPr>
            <w:tcW w:w="3656" w:type="dxa"/>
            <w:gridSpan w:val="3"/>
            <w:tcBorders>
              <w:top w:val="single" w:sz="4" w:space="0" w:color="auto"/>
            </w:tcBorders>
            <w:vAlign w:val="center"/>
          </w:tcPr>
          <w:p w14:paraId="25FD4E40" w14:textId="5FBCA49A" w:rsidR="00A87A92" w:rsidRPr="00A87A92" w:rsidRDefault="00A87A92" w:rsidP="00A87A92">
            <w:pPr>
              <w:tabs>
                <w:tab w:val="left" w:pos="1080"/>
              </w:tabs>
              <w:jc w:val="center"/>
              <w:rPr>
                <w:rFonts w:ascii="Arial" w:hAnsi="Arial"/>
                <w:b/>
                <w:bCs/>
                <w:lang w:val="id-ID"/>
              </w:rPr>
            </w:pPr>
            <w:r w:rsidRPr="00A87A92">
              <w:rPr>
                <w:rFonts w:ascii="Arial" w:hAnsi="Arial"/>
                <w:b/>
                <w:bCs/>
                <w:lang w:val="id-ID"/>
              </w:rPr>
              <w:t>F-</w:t>
            </w:r>
            <w:r w:rsidR="009C31A2">
              <w:rPr>
                <w:rFonts w:ascii="Arial" w:hAnsi="Arial"/>
                <w:b/>
                <w:bCs/>
                <w:lang w:val="id-ID"/>
              </w:rPr>
              <w:t>Values</w:t>
            </w:r>
          </w:p>
        </w:tc>
        <w:tc>
          <w:tcPr>
            <w:tcW w:w="1026" w:type="dxa"/>
            <w:vMerge w:val="restart"/>
            <w:tcBorders>
              <w:top w:val="single" w:sz="4" w:space="0" w:color="auto"/>
            </w:tcBorders>
            <w:vAlign w:val="center"/>
          </w:tcPr>
          <w:p w14:paraId="01AFC1EC" w14:textId="04420646" w:rsidR="00A87A92" w:rsidRPr="00A87A92" w:rsidRDefault="009C31A2" w:rsidP="00A87A92">
            <w:pPr>
              <w:tabs>
                <w:tab w:val="left" w:pos="1080"/>
              </w:tabs>
              <w:jc w:val="center"/>
              <w:rPr>
                <w:rFonts w:ascii="Arial" w:hAnsi="Arial"/>
                <w:b/>
                <w:bCs/>
                <w:lang w:val="id-ID"/>
              </w:rPr>
            </w:pPr>
            <w:r>
              <w:rPr>
                <w:rFonts w:ascii="Arial" w:hAnsi="Arial"/>
                <w:b/>
                <w:bCs/>
                <w:lang w:val="id-ID"/>
              </w:rPr>
              <w:t>CV</w:t>
            </w:r>
            <w:r w:rsidR="002F0BE7">
              <w:rPr>
                <w:rFonts w:ascii="Arial" w:hAnsi="Arial"/>
                <w:b/>
                <w:bCs/>
                <w:lang w:val="id-ID"/>
              </w:rPr>
              <w:t xml:space="preserve"> (%)</w:t>
            </w:r>
          </w:p>
        </w:tc>
      </w:tr>
      <w:tr w:rsidR="00A87A92" w:rsidRPr="00A87A92" w14:paraId="1275FE52" w14:textId="77777777" w:rsidTr="009C31A2">
        <w:trPr>
          <w:trHeight w:val="469"/>
        </w:trPr>
        <w:tc>
          <w:tcPr>
            <w:tcW w:w="653" w:type="dxa"/>
            <w:vMerge/>
            <w:tcBorders>
              <w:bottom w:val="single" w:sz="4" w:space="0" w:color="auto"/>
            </w:tcBorders>
            <w:vAlign w:val="center"/>
          </w:tcPr>
          <w:p w14:paraId="33024E7B" w14:textId="77777777" w:rsidR="00A87A92" w:rsidRPr="00A87A92" w:rsidRDefault="00A87A92" w:rsidP="00A87A92">
            <w:pPr>
              <w:tabs>
                <w:tab w:val="left" w:pos="1080"/>
              </w:tabs>
              <w:jc w:val="both"/>
              <w:rPr>
                <w:rFonts w:ascii="Arial" w:hAnsi="Arial"/>
                <w:b/>
                <w:bCs/>
                <w:lang w:val="id-ID"/>
              </w:rPr>
            </w:pPr>
          </w:p>
        </w:tc>
        <w:tc>
          <w:tcPr>
            <w:tcW w:w="3170" w:type="dxa"/>
            <w:vMerge/>
            <w:tcBorders>
              <w:bottom w:val="single" w:sz="4" w:space="0" w:color="auto"/>
            </w:tcBorders>
            <w:vAlign w:val="center"/>
          </w:tcPr>
          <w:p w14:paraId="7A89900F" w14:textId="77777777" w:rsidR="00A87A92" w:rsidRPr="00A87A92" w:rsidRDefault="00A87A92" w:rsidP="00A87A92">
            <w:pPr>
              <w:tabs>
                <w:tab w:val="left" w:pos="1080"/>
              </w:tabs>
              <w:jc w:val="both"/>
              <w:rPr>
                <w:rFonts w:ascii="Arial" w:hAnsi="Arial"/>
                <w:b/>
                <w:bCs/>
                <w:lang w:val="id-ID"/>
              </w:rPr>
            </w:pPr>
          </w:p>
        </w:tc>
        <w:tc>
          <w:tcPr>
            <w:tcW w:w="1275" w:type="dxa"/>
            <w:tcBorders>
              <w:top w:val="single" w:sz="4" w:space="0" w:color="auto"/>
              <w:bottom w:val="single" w:sz="4" w:space="0" w:color="auto"/>
            </w:tcBorders>
            <w:vAlign w:val="bottom"/>
          </w:tcPr>
          <w:p w14:paraId="0A688551" w14:textId="622D8E50" w:rsidR="00A87A92" w:rsidRPr="00A87A92" w:rsidRDefault="009C31A2" w:rsidP="00A87A92">
            <w:pPr>
              <w:tabs>
                <w:tab w:val="left" w:pos="1080"/>
              </w:tabs>
              <w:jc w:val="center"/>
              <w:rPr>
                <w:rFonts w:ascii="Arial" w:hAnsi="Arial"/>
                <w:b/>
                <w:bCs/>
                <w:lang w:val="id-ID"/>
              </w:rPr>
            </w:pPr>
            <w:r>
              <w:rPr>
                <w:rFonts w:ascii="Arial" w:hAnsi="Arial"/>
                <w:b/>
                <w:bCs/>
                <w:lang w:val="id-ID"/>
              </w:rPr>
              <w:t>Compound Fertilizer</w:t>
            </w:r>
          </w:p>
        </w:tc>
        <w:tc>
          <w:tcPr>
            <w:tcW w:w="1134" w:type="dxa"/>
            <w:tcBorders>
              <w:top w:val="single" w:sz="4" w:space="0" w:color="auto"/>
              <w:bottom w:val="single" w:sz="4" w:space="0" w:color="auto"/>
            </w:tcBorders>
            <w:vAlign w:val="center"/>
          </w:tcPr>
          <w:p w14:paraId="66CF1D42" w14:textId="1E26038B" w:rsidR="00A87A92" w:rsidRPr="00A87A92" w:rsidRDefault="00A87A92" w:rsidP="00A87A92">
            <w:pPr>
              <w:tabs>
                <w:tab w:val="left" w:pos="1080"/>
              </w:tabs>
              <w:jc w:val="both"/>
              <w:rPr>
                <w:rFonts w:ascii="Arial" w:hAnsi="Arial"/>
                <w:b/>
                <w:bCs/>
                <w:lang w:val="id-ID"/>
              </w:rPr>
            </w:pPr>
            <w:r w:rsidRPr="00A87A92">
              <w:rPr>
                <w:rFonts w:ascii="Arial" w:hAnsi="Arial"/>
                <w:b/>
                <w:bCs/>
                <w:lang w:val="id-ID"/>
              </w:rPr>
              <w:t>Su</w:t>
            </w:r>
            <w:r w:rsidR="009C31A2">
              <w:rPr>
                <w:rFonts w:ascii="Arial" w:hAnsi="Arial"/>
                <w:b/>
                <w:bCs/>
                <w:lang w:val="id-ID"/>
              </w:rPr>
              <w:t>crose</w:t>
            </w:r>
          </w:p>
        </w:tc>
        <w:tc>
          <w:tcPr>
            <w:tcW w:w="1247" w:type="dxa"/>
            <w:tcBorders>
              <w:top w:val="single" w:sz="4" w:space="0" w:color="auto"/>
              <w:bottom w:val="single" w:sz="4" w:space="0" w:color="auto"/>
            </w:tcBorders>
            <w:vAlign w:val="center"/>
          </w:tcPr>
          <w:p w14:paraId="32A26CF5" w14:textId="2373BE09" w:rsidR="00A87A92" w:rsidRPr="00A87A92" w:rsidRDefault="00A87A92" w:rsidP="00A87A92">
            <w:pPr>
              <w:tabs>
                <w:tab w:val="left" w:pos="1080"/>
              </w:tabs>
              <w:jc w:val="center"/>
              <w:rPr>
                <w:rFonts w:ascii="Arial" w:hAnsi="Arial"/>
                <w:b/>
                <w:bCs/>
                <w:lang w:val="id-ID"/>
              </w:rPr>
            </w:pPr>
            <w:r w:rsidRPr="00A87A92">
              <w:rPr>
                <w:rFonts w:ascii="Arial" w:hAnsi="Arial"/>
                <w:b/>
                <w:bCs/>
                <w:lang w:val="id-ID"/>
              </w:rPr>
              <w:t>Inter</w:t>
            </w:r>
            <w:r w:rsidR="009C31A2">
              <w:rPr>
                <w:rFonts w:ascii="Arial" w:hAnsi="Arial"/>
                <w:b/>
                <w:bCs/>
                <w:lang w:val="id-ID"/>
              </w:rPr>
              <w:t>action</w:t>
            </w:r>
          </w:p>
        </w:tc>
        <w:tc>
          <w:tcPr>
            <w:tcW w:w="1026" w:type="dxa"/>
            <w:vMerge/>
            <w:tcBorders>
              <w:bottom w:val="single" w:sz="4" w:space="0" w:color="auto"/>
            </w:tcBorders>
            <w:vAlign w:val="center"/>
          </w:tcPr>
          <w:p w14:paraId="1C3AAFC6" w14:textId="77777777" w:rsidR="00A87A92" w:rsidRPr="00A87A92" w:rsidRDefault="00A87A92" w:rsidP="00A87A92">
            <w:pPr>
              <w:tabs>
                <w:tab w:val="left" w:pos="1080"/>
              </w:tabs>
              <w:jc w:val="both"/>
              <w:rPr>
                <w:rFonts w:ascii="Arial" w:hAnsi="Arial"/>
                <w:b/>
                <w:bCs/>
                <w:lang w:val="id-ID"/>
              </w:rPr>
            </w:pPr>
          </w:p>
        </w:tc>
      </w:tr>
      <w:tr w:rsidR="00A87A92" w:rsidRPr="00A87A92" w14:paraId="3E278EB6" w14:textId="77777777" w:rsidTr="009C31A2">
        <w:trPr>
          <w:trHeight w:val="257"/>
        </w:trPr>
        <w:tc>
          <w:tcPr>
            <w:tcW w:w="653" w:type="dxa"/>
            <w:tcBorders>
              <w:top w:val="single" w:sz="4" w:space="0" w:color="auto"/>
            </w:tcBorders>
          </w:tcPr>
          <w:p w14:paraId="53AA5CE4"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1</w:t>
            </w:r>
          </w:p>
        </w:tc>
        <w:tc>
          <w:tcPr>
            <w:tcW w:w="3170" w:type="dxa"/>
            <w:tcBorders>
              <w:top w:val="single" w:sz="4" w:space="0" w:color="auto"/>
            </w:tcBorders>
          </w:tcPr>
          <w:p w14:paraId="49BA6D25" w14:textId="1425259D" w:rsidR="00A87A92" w:rsidRPr="00A87A92" w:rsidRDefault="00DA0944" w:rsidP="00A87A92">
            <w:pPr>
              <w:tabs>
                <w:tab w:val="left" w:pos="1080"/>
              </w:tabs>
              <w:jc w:val="both"/>
              <w:rPr>
                <w:rFonts w:ascii="Arial" w:hAnsi="Arial"/>
                <w:bCs/>
                <w:lang w:val="id-ID"/>
              </w:rPr>
            </w:pPr>
            <w:r w:rsidRPr="00DA0944">
              <w:rPr>
                <w:rFonts w:ascii="Arial" w:hAnsi="Arial"/>
                <w:bCs/>
                <w:lang w:val="id-ID"/>
              </w:rPr>
              <w:t>Germination Percentage</w:t>
            </w:r>
          </w:p>
        </w:tc>
        <w:tc>
          <w:tcPr>
            <w:tcW w:w="1275" w:type="dxa"/>
            <w:tcBorders>
              <w:top w:val="single" w:sz="4" w:space="0" w:color="auto"/>
            </w:tcBorders>
          </w:tcPr>
          <w:p w14:paraId="0FFA07E0" w14:textId="74090BE7" w:rsidR="00A87A92" w:rsidRPr="00A87A92" w:rsidRDefault="004A5D4A" w:rsidP="00A87A92">
            <w:pPr>
              <w:tabs>
                <w:tab w:val="left" w:pos="1080"/>
              </w:tabs>
              <w:jc w:val="both"/>
              <w:rPr>
                <w:rFonts w:ascii="Arial" w:hAnsi="Arial"/>
                <w:bCs/>
                <w:lang w:val="id-ID"/>
              </w:rPr>
            </w:pPr>
            <w:r>
              <w:rPr>
                <w:rFonts w:ascii="Arial" w:hAnsi="Arial"/>
                <w:bCs/>
                <w:lang w:val="id-ID"/>
              </w:rPr>
              <w:t>13,14</w:t>
            </w:r>
            <w:r w:rsidR="00A87A92" w:rsidRPr="00A87A92">
              <w:rPr>
                <w:rFonts w:ascii="Arial" w:hAnsi="Arial"/>
                <w:bCs/>
                <w:lang w:val="id-ID"/>
              </w:rPr>
              <w:t xml:space="preserve"> </w:t>
            </w:r>
            <w:r w:rsidR="00A87A92" w:rsidRPr="00A87A92">
              <w:rPr>
                <w:rFonts w:ascii="Arial" w:hAnsi="Arial"/>
                <w:bCs/>
                <w:vertAlign w:val="superscript"/>
                <w:lang w:val="id-ID"/>
              </w:rPr>
              <w:t>*</w:t>
            </w:r>
          </w:p>
        </w:tc>
        <w:tc>
          <w:tcPr>
            <w:tcW w:w="1134" w:type="dxa"/>
            <w:tcBorders>
              <w:top w:val="single" w:sz="4" w:space="0" w:color="auto"/>
            </w:tcBorders>
          </w:tcPr>
          <w:p w14:paraId="060CD147" w14:textId="178F7D21" w:rsidR="00A87A92" w:rsidRPr="00A87A92" w:rsidRDefault="004A5D4A" w:rsidP="00A87A92">
            <w:pPr>
              <w:tabs>
                <w:tab w:val="left" w:pos="1080"/>
              </w:tabs>
              <w:jc w:val="both"/>
              <w:rPr>
                <w:rFonts w:ascii="Arial" w:hAnsi="Arial"/>
                <w:bCs/>
                <w:lang w:val="id-ID"/>
              </w:rPr>
            </w:pPr>
            <w:r>
              <w:rPr>
                <w:rFonts w:ascii="Arial" w:hAnsi="Arial"/>
                <w:bCs/>
                <w:lang w:val="id-ID"/>
              </w:rPr>
              <w:t>1,08</w:t>
            </w:r>
            <w:r w:rsidR="00A87A92" w:rsidRPr="00A87A92">
              <w:rPr>
                <w:rFonts w:ascii="Arial" w:hAnsi="Arial"/>
                <w:bCs/>
                <w:lang w:val="id-ID"/>
              </w:rPr>
              <w:t xml:space="preserve"> </w:t>
            </w:r>
            <w:r w:rsidR="00A87A92" w:rsidRPr="00A87A92">
              <w:rPr>
                <w:rFonts w:ascii="Arial" w:hAnsi="Arial"/>
                <w:bCs/>
                <w:vertAlign w:val="superscript"/>
                <w:lang w:val="id-ID"/>
              </w:rPr>
              <w:t>ns</w:t>
            </w:r>
          </w:p>
        </w:tc>
        <w:tc>
          <w:tcPr>
            <w:tcW w:w="1247" w:type="dxa"/>
            <w:tcBorders>
              <w:top w:val="single" w:sz="4" w:space="0" w:color="auto"/>
            </w:tcBorders>
          </w:tcPr>
          <w:p w14:paraId="34C54D69" w14:textId="505FA029" w:rsidR="00A87A92" w:rsidRPr="00A87A92" w:rsidRDefault="004A5D4A" w:rsidP="00A87A92">
            <w:pPr>
              <w:tabs>
                <w:tab w:val="left" w:pos="1080"/>
              </w:tabs>
              <w:jc w:val="both"/>
              <w:rPr>
                <w:rFonts w:ascii="Arial" w:hAnsi="Arial"/>
                <w:bCs/>
                <w:lang w:val="id-ID"/>
              </w:rPr>
            </w:pPr>
            <w:r>
              <w:rPr>
                <w:rFonts w:ascii="Arial" w:hAnsi="Arial"/>
                <w:bCs/>
                <w:lang w:val="id-ID"/>
              </w:rPr>
              <w:t>1,04</w:t>
            </w:r>
            <w:r w:rsidR="00A87A92" w:rsidRPr="00A87A92">
              <w:rPr>
                <w:rFonts w:ascii="Arial" w:hAnsi="Arial"/>
                <w:bCs/>
                <w:lang w:val="id-ID"/>
              </w:rPr>
              <w:t xml:space="preserve"> </w:t>
            </w:r>
            <w:r w:rsidR="00A87A92" w:rsidRPr="00A87A92">
              <w:rPr>
                <w:rFonts w:ascii="Arial" w:hAnsi="Arial"/>
                <w:bCs/>
                <w:vertAlign w:val="superscript"/>
                <w:lang w:val="id-ID"/>
              </w:rPr>
              <w:t>ns</w:t>
            </w:r>
          </w:p>
        </w:tc>
        <w:tc>
          <w:tcPr>
            <w:tcW w:w="1026" w:type="dxa"/>
            <w:tcBorders>
              <w:top w:val="single" w:sz="4" w:space="0" w:color="auto"/>
            </w:tcBorders>
            <w:vAlign w:val="center"/>
          </w:tcPr>
          <w:p w14:paraId="10378CF7" w14:textId="7A729515" w:rsidR="00A87A92" w:rsidRPr="00A87A92" w:rsidRDefault="00A87A92" w:rsidP="00A87A92">
            <w:pPr>
              <w:tabs>
                <w:tab w:val="left" w:pos="1080"/>
              </w:tabs>
              <w:jc w:val="both"/>
              <w:rPr>
                <w:rFonts w:ascii="Arial" w:hAnsi="Arial"/>
                <w:bCs/>
                <w:lang w:val="id-ID"/>
              </w:rPr>
            </w:pPr>
            <w:r w:rsidRPr="00A87A92">
              <w:rPr>
                <w:rFonts w:ascii="Arial" w:hAnsi="Arial"/>
                <w:bCs/>
                <w:lang w:val="id-ID"/>
              </w:rPr>
              <w:t>2</w:t>
            </w:r>
            <w:r w:rsidR="00904EA7">
              <w:rPr>
                <w:rFonts w:ascii="Arial" w:hAnsi="Arial"/>
                <w:bCs/>
                <w:lang w:val="id-ID"/>
              </w:rPr>
              <w:t>2,05</w:t>
            </w:r>
          </w:p>
        </w:tc>
      </w:tr>
      <w:tr w:rsidR="00A87A92" w:rsidRPr="00A87A92" w14:paraId="2CE28CAB" w14:textId="77777777" w:rsidTr="009C31A2">
        <w:trPr>
          <w:trHeight w:val="257"/>
        </w:trPr>
        <w:tc>
          <w:tcPr>
            <w:tcW w:w="653" w:type="dxa"/>
          </w:tcPr>
          <w:p w14:paraId="0E9AB1B0"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2</w:t>
            </w:r>
          </w:p>
        </w:tc>
        <w:tc>
          <w:tcPr>
            <w:tcW w:w="3170" w:type="dxa"/>
          </w:tcPr>
          <w:p w14:paraId="5F9F710C" w14:textId="0835F540" w:rsidR="00A87A92" w:rsidRPr="00A87A92" w:rsidRDefault="00DA0944" w:rsidP="00A87A92">
            <w:pPr>
              <w:tabs>
                <w:tab w:val="left" w:pos="1080"/>
              </w:tabs>
              <w:jc w:val="both"/>
              <w:rPr>
                <w:rFonts w:ascii="Arial" w:hAnsi="Arial"/>
                <w:bCs/>
                <w:lang w:val="id-ID"/>
              </w:rPr>
            </w:pPr>
            <w:r w:rsidRPr="00DA0944">
              <w:rPr>
                <w:rFonts w:ascii="Arial" w:hAnsi="Arial"/>
                <w:bCs/>
                <w:lang w:val="id-ID"/>
              </w:rPr>
              <w:t>Germination Time</w:t>
            </w:r>
          </w:p>
        </w:tc>
        <w:tc>
          <w:tcPr>
            <w:tcW w:w="1275" w:type="dxa"/>
          </w:tcPr>
          <w:p w14:paraId="02C0B779"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11,37 </w:t>
            </w:r>
            <w:r w:rsidRPr="00A87A92">
              <w:rPr>
                <w:rFonts w:ascii="Arial" w:hAnsi="Arial"/>
                <w:bCs/>
                <w:vertAlign w:val="superscript"/>
                <w:lang w:val="id-ID"/>
              </w:rPr>
              <w:t>*</w:t>
            </w:r>
          </w:p>
        </w:tc>
        <w:tc>
          <w:tcPr>
            <w:tcW w:w="1134" w:type="dxa"/>
          </w:tcPr>
          <w:p w14:paraId="364B55D4"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91,53 </w:t>
            </w:r>
            <w:r w:rsidRPr="00A87A92">
              <w:rPr>
                <w:rFonts w:ascii="Arial" w:hAnsi="Arial"/>
                <w:bCs/>
                <w:vertAlign w:val="superscript"/>
                <w:lang w:val="id-ID"/>
              </w:rPr>
              <w:t>ns</w:t>
            </w:r>
          </w:p>
        </w:tc>
        <w:tc>
          <w:tcPr>
            <w:tcW w:w="1247" w:type="dxa"/>
          </w:tcPr>
          <w:p w14:paraId="03287AB1"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0,53 </w:t>
            </w:r>
            <w:r w:rsidRPr="00A87A92">
              <w:rPr>
                <w:rFonts w:ascii="Arial" w:hAnsi="Arial"/>
                <w:bCs/>
                <w:vertAlign w:val="superscript"/>
                <w:lang w:val="id-ID"/>
              </w:rPr>
              <w:t>ns</w:t>
            </w:r>
          </w:p>
        </w:tc>
        <w:tc>
          <w:tcPr>
            <w:tcW w:w="1026" w:type="dxa"/>
            <w:vAlign w:val="center"/>
          </w:tcPr>
          <w:p w14:paraId="42F78628" w14:textId="18CE3753" w:rsidR="00A87A92" w:rsidRPr="00A87A92" w:rsidRDefault="00A87A92" w:rsidP="00A87A92">
            <w:pPr>
              <w:tabs>
                <w:tab w:val="left" w:pos="1080"/>
              </w:tabs>
              <w:jc w:val="both"/>
              <w:rPr>
                <w:rFonts w:ascii="Arial" w:hAnsi="Arial"/>
                <w:bCs/>
                <w:lang w:val="id-ID"/>
              </w:rPr>
            </w:pPr>
            <w:r w:rsidRPr="00A87A92">
              <w:rPr>
                <w:rFonts w:ascii="Arial" w:hAnsi="Arial"/>
                <w:bCs/>
                <w:lang w:val="id-ID"/>
              </w:rPr>
              <w:t>8,34</w:t>
            </w:r>
          </w:p>
        </w:tc>
      </w:tr>
      <w:tr w:rsidR="00A87A92" w:rsidRPr="00A87A92" w14:paraId="40F64DF1" w14:textId="77777777" w:rsidTr="009C31A2">
        <w:trPr>
          <w:trHeight w:val="257"/>
        </w:trPr>
        <w:tc>
          <w:tcPr>
            <w:tcW w:w="653" w:type="dxa"/>
          </w:tcPr>
          <w:p w14:paraId="7DF8A3C4" w14:textId="1757555B" w:rsidR="00A87A92" w:rsidRPr="00A87A92" w:rsidRDefault="00D953D0" w:rsidP="00A87A92">
            <w:pPr>
              <w:tabs>
                <w:tab w:val="left" w:pos="1080"/>
              </w:tabs>
              <w:jc w:val="both"/>
              <w:rPr>
                <w:rFonts w:ascii="Arial" w:hAnsi="Arial"/>
                <w:bCs/>
                <w:lang w:val="id-ID"/>
              </w:rPr>
            </w:pPr>
            <w:r>
              <w:rPr>
                <w:rFonts w:ascii="Arial" w:hAnsi="Arial"/>
                <w:bCs/>
                <w:lang w:val="id-ID"/>
              </w:rPr>
              <w:t>3</w:t>
            </w:r>
          </w:p>
        </w:tc>
        <w:tc>
          <w:tcPr>
            <w:tcW w:w="3170" w:type="dxa"/>
          </w:tcPr>
          <w:p w14:paraId="46AF8BC4" w14:textId="1A419B8B" w:rsidR="00A87A92" w:rsidRPr="00A87A92" w:rsidRDefault="00DA0944" w:rsidP="00A87A92">
            <w:pPr>
              <w:tabs>
                <w:tab w:val="left" w:pos="1080"/>
              </w:tabs>
              <w:jc w:val="both"/>
              <w:rPr>
                <w:rFonts w:ascii="Arial" w:hAnsi="Arial"/>
                <w:bCs/>
                <w:lang w:val="id-ID"/>
              </w:rPr>
            </w:pPr>
            <w:r w:rsidRPr="00DA0944">
              <w:rPr>
                <w:rFonts w:ascii="Arial" w:hAnsi="Arial"/>
                <w:bCs/>
              </w:rPr>
              <w:t>Number of Micro Shoots</w:t>
            </w:r>
          </w:p>
        </w:tc>
        <w:tc>
          <w:tcPr>
            <w:tcW w:w="1275" w:type="dxa"/>
          </w:tcPr>
          <w:p w14:paraId="5791B7E4"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75,51</w:t>
            </w:r>
            <w:r w:rsidRPr="00A87A92">
              <w:rPr>
                <w:rFonts w:ascii="Arial" w:hAnsi="Arial"/>
                <w:bCs/>
                <w:vertAlign w:val="superscript"/>
                <w:lang w:val="id-ID"/>
              </w:rPr>
              <w:t>*</w:t>
            </w:r>
          </w:p>
        </w:tc>
        <w:tc>
          <w:tcPr>
            <w:tcW w:w="1134" w:type="dxa"/>
          </w:tcPr>
          <w:p w14:paraId="0C488FEE"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1,77 </w:t>
            </w:r>
            <w:r w:rsidRPr="00A87A92">
              <w:rPr>
                <w:rFonts w:ascii="Arial" w:hAnsi="Arial"/>
                <w:bCs/>
                <w:vertAlign w:val="superscript"/>
                <w:lang w:val="id-ID"/>
              </w:rPr>
              <w:t>ns</w:t>
            </w:r>
          </w:p>
        </w:tc>
        <w:tc>
          <w:tcPr>
            <w:tcW w:w="1247" w:type="dxa"/>
          </w:tcPr>
          <w:p w14:paraId="56C658BA"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1,44 </w:t>
            </w:r>
            <w:r w:rsidRPr="00A87A92">
              <w:rPr>
                <w:rFonts w:ascii="Arial" w:hAnsi="Arial"/>
                <w:bCs/>
                <w:vertAlign w:val="superscript"/>
                <w:lang w:val="id-ID"/>
              </w:rPr>
              <w:t>ns</w:t>
            </w:r>
          </w:p>
        </w:tc>
        <w:tc>
          <w:tcPr>
            <w:tcW w:w="1026" w:type="dxa"/>
            <w:vAlign w:val="center"/>
          </w:tcPr>
          <w:p w14:paraId="1246CB6A" w14:textId="7110CBBE" w:rsidR="00A87A92" w:rsidRPr="00A87A92" w:rsidRDefault="00A87A92" w:rsidP="00A87A92">
            <w:pPr>
              <w:tabs>
                <w:tab w:val="left" w:pos="1080"/>
              </w:tabs>
              <w:jc w:val="both"/>
              <w:rPr>
                <w:rFonts w:ascii="Arial" w:hAnsi="Arial"/>
                <w:bCs/>
                <w:lang w:val="id-ID"/>
              </w:rPr>
            </w:pPr>
            <w:r w:rsidRPr="00A87A92">
              <w:rPr>
                <w:rFonts w:ascii="Arial" w:hAnsi="Arial"/>
                <w:bCs/>
                <w:lang w:val="id-ID"/>
              </w:rPr>
              <w:t>9,26</w:t>
            </w:r>
            <w:r w:rsidRPr="00A87A92">
              <w:rPr>
                <w:rFonts w:ascii="Arial" w:hAnsi="Arial"/>
                <w:bCs/>
                <w:vertAlign w:val="superscript"/>
                <w:lang w:val="id-ID"/>
              </w:rPr>
              <w:t>T</w:t>
            </w:r>
          </w:p>
        </w:tc>
      </w:tr>
      <w:tr w:rsidR="0063389A" w:rsidRPr="00A87A92" w14:paraId="1A52AF4C" w14:textId="77777777" w:rsidTr="009C31A2">
        <w:trPr>
          <w:trHeight w:val="257"/>
        </w:trPr>
        <w:tc>
          <w:tcPr>
            <w:tcW w:w="653" w:type="dxa"/>
          </w:tcPr>
          <w:p w14:paraId="60E242F8" w14:textId="0F376F08" w:rsidR="0063389A" w:rsidRDefault="008D181F" w:rsidP="00A87A92">
            <w:pPr>
              <w:tabs>
                <w:tab w:val="left" w:pos="1080"/>
              </w:tabs>
              <w:jc w:val="both"/>
              <w:rPr>
                <w:rFonts w:ascii="Arial" w:hAnsi="Arial"/>
                <w:bCs/>
                <w:lang w:val="id-ID"/>
              </w:rPr>
            </w:pPr>
            <w:r>
              <w:rPr>
                <w:rFonts w:ascii="Arial" w:hAnsi="Arial"/>
                <w:bCs/>
                <w:lang w:val="id-ID"/>
              </w:rPr>
              <w:t>4</w:t>
            </w:r>
          </w:p>
        </w:tc>
        <w:tc>
          <w:tcPr>
            <w:tcW w:w="3170" w:type="dxa"/>
          </w:tcPr>
          <w:p w14:paraId="632FFD1B" w14:textId="38627479" w:rsidR="0063389A" w:rsidRPr="00A87A92" w:rsidRDefault="00DA0944" w:rsidP="00A87A92">
            <w:pPr>
              <w:tabs>
                <w:tab w:val="left" w:pos="1080"/>
              </w:tabs>
              <w:jc w:val="both"/>
              <w:rPr>
                <w:rFonts w:ascii="Arial" w:hAnsi="Arial"/>
                <w:bCs/>
                <w:lang w:val="id-ID"/>
              </w:rPr>
            </w:pPr>
            <w:r>
              <w:rPr>
                <w:rFonts w:ascii="Arial" w:hAnsi="Arial"/>
                <w:bCs/>
                <w:lang w:val="id-ID"/>
              </w:rPr>
              <w:t>Number of Micro Leaves</w:t>
            </w:r>
          </w:p>
        </w:tc>
        <w:tc>
          <w:tcPr>
            <w:tcW w:w="1275" w:type="dxa"/>
          </w:tcPr>
          <w:p w14:paraId="430DECEB" w14:textId="5532213C" w:rsidR="0063389A" w:rsidRPr="00A87A92" w:rsidRDefault="0063389A" w:rsidP="00A87A92">
            <w:pPr>
              <w:tabs>
                <w:tab w:val="left" w:pos="1080"/>
              </w:tabs>
              <w:jc w:val="both"/>
              <w:rPr>
                <w:rFonts w:ascii="Arial" w:hAnsi="Arial"/>
                <w:bCs/>
                <w:lang w:val="id-ID"/>
              </w:rPr>
            </w:pPr>
            <w:r>
              <w:rPr>
                <w:rFonts w:ascii="Arial" w:hAnsi="Arial"/>
                <w:bCs/>
                <w:lang w:val="id-ID"/>
              </w:rPr>
              <w:t>102,41</w:t>
            </w:r>
            <w:r w:rsidRPr="0063389A">
              <w:rPr>
                <w:rFonts w:ascii="Arial" w:hAnsi="Arial"/>
                <w:bCs/>
                <w:vertAlign w:val="superscript"/>
                <w:lang w:val="id-ID"/>
              </w:rPr>
              <w:t>*</w:t>
            </w:r>
          </w:p>
        </w:tc>
        <w:tc>
          <w:tcPr>
            <w:tcW w:w="1134" w:type="dxa"/>
          </w:tcPr>
          <w:p w14:paraId="0846D3BC" w14:textId="553D2F01" w:rsidR="0063389A" w:rsidRPr="00A87A92" w:rsidRDefault="0063389A" w:rsidP="00A87A92">
            <w:pPr>
              <w:tabs>
                <w:tab w:val="left" w:pos="1080"/>
              </w:tabs>
              <w:jc w:val="both"/>
              <w:rPr>
                <w:rFonts w:ascii="Arial" w:hAnsi="Arial"/>
                <w:bCs/>
                <w:lang w:val="id-ID"/>
              </w:rPr>
            </w:pPr>
            <w:r>
              <w:rPr>
                <w:rFonts w:ascii="Arial" w:hAnsi="Arial"/>
                <w:bCs/>
                <w:lang w:val="id-ID"/>
              </w:rPr>
              <w:t>0,22</w:t>
            </w:r>
            <w:r w:rsidRPr="0063389A">
              <w:rPr>
                <w:rFonts w:ascii="Arial" w:hAnsi="Arial"/>
                <w:bCs/>
                <w:vertAlign w:val="superscript"/>
                <w:lang w:val="id-ID"/>
              </w:rPr>
              <w:t>ns</w:t>
            </w:r>
          </w:p>
        </w:tc>
        <w:tc>
          <w:tcPr>
            <w:tcW w:w="1247" w:type="dxa"/>
          </w:tcPr>
          <w:p w14:paraId="2035770A" w14:textId="4ED3CC79" w:rsidR="0063389A" w:rsidRPr="00A87A92" w:rsidRDefault="0063389A" w:rsidP="00A87A92">
            <w:pPr>
              <w:tabs>
                <w:tab w:val="left" w:pos="1080"/>
              </w:tabs>
              <w:jc w:val="both"/>
              <w:rPr>
                <w:rFonts w:ascii="Arial" w:hAnsi="Arial"/>
                <w:bCs/>
                <w:lang w:val="id-ID"/>
              </w:rPr>
            </w:pPr>
            <w:r>
              <w:rPr>
                <w:rFonts w:ascii="Arial" w:hAnsi="Arial"/>
                <w:bCs/>
                <w:lang w:val="id-ID"/>
              </w:rPr>
              <w:t>3,40</w:t>
            </w:r>
            <w:r w:rsidRPr="0063389A">
              <w:rPr>
                <w:rFonts w:ascii="Arial" w:hAnsi="Arial"/>
                <w:bCs/>
                <w:vertAlign w:val="superscript"/>
                <w:lang w:val="id-ID"/>
              </w:rPr>
              <w:t>*</w:t>
            </w:r>
          </w:p>
        </w:tc>
        <w:tc>
          <w:tcPr>
            <w:tcW w:w="1026" w:type="dxa"/>
            <w:vAlign w:val="center"/>
          </w:tcPr>
          <w:p w14:paraId="3E2486C3" w14:textId="7F70BA6E" w:rsidR="0063389A" w:rsidRPr="00A87A92" w:rsidRDefault="0063389A" w:rsidP="00A87A92">
            <w:pPr>
              <w:tabs>
                <w:tab w:val="left" w:pos="1080"/>
              </w:tabs>
              <w:jc w:val="both"/>
              <w:rPr>
                <w:rFonts w:ascii="Arial" w:hAnsi="Arial"/>
                <w:bCs/>
                <w:lang w:val="id-ID"/>
              </w:rPr>
            </w:pPr>
            <w:r>
              <w:rPr>
                <w:rFonts w:ascii="Arial" w:hAnsi="Arial"/>
                <w:bCs/>
                <w:lang w:val="id-ID"/>
              </w:rPr>
              <w:t>17,7</w:t>
            </w:r>
            <w:r w:rsidR="002F0BE7">
              <w:rPr>
                <w:rFonts w:ascii="Arial" w:hAnsi="Arial"/>
                <w:bCs/>
                <w:lang w:val="id-ID"/>
              </w:rPr>
              <w:t>3</w:t>
            </w:r>
            <w:r w:rsidRPr="0063389A">
              <w:rPr>
                <w:rFonts w:ascii="Arial" w:hAnsi="Arial"/>
                <w:bCs/>
                <w:vertAlign w:val="superscript"/>
                <w:lang w:val="id-ID"/>
              </w:rPr>
              <w:t>T</w:t>
            </w:r>
          </w:p>
        </w:tc>
      </w:tr>
      <w:tr w:rsidR="00A87A92" w:rsidRPr="00A87A92" w14:paraId="7C9D6B4D" w14:textId="77777777" w:rsidTr="009C31A2">
        <w:trPr>
          <w:trHeight w:val="257"/>
        </w:trPr>
        <w:tc>
          <w:tcPr>
            <w:tcW w:w="653" w:type="dxa"/>
          </w:tcPr>
          <w:p w14:paraId="4418E560" w14:textId="3140A534" w:rsidR="00A87A92" w:rsidRPr="00A87A92" w:rsidRDefault="008D181F" w:rsidP="00A87A92">
            <w:pPr>
              <w:tabs>
                <w:tab w:val="left" w:pos="1080"/>
              </w:tabs>
              <w:jc w:val="both"/>
              <w:rPr>
                <w:rFonts w:ascii="Arial" w:hAnsi="Arial"/>
                <w:bCs/>
                <w:lang w:val="id-ID"/>
              </w:rPr>
            </w:pPr>
            <w:r>
              <w:rPr>
                <w:rFonts w:ascii="Arial" w:hAnsi="Arial"/>
                <w:bCs/>
                <w:lang w:val="id-ID"/>
              </w:rPr>
              <w:t>5</w:t>
            </w:r>
          </w:p>
        </w:tc>
        <w:tc>
          <w:tcPr>
            <w:tcW w:w="3170" w:type="dxa"/>
          </w:tcPr>
          <w:p w14:paraId="0A247104" w14:textId="50634ADF" w:rsidR="00A87A92" w:rsidRPr="00A87A92" w:rsidRDefault="00DA0944" w:rsidP="00A87A92">
            <w:pPr>
              <w:tabs>
                <w:tab w:val="left" w:pos="1080"/>
              </w:tabs>
              <w:jc w:val="both"/>
              <w:rPr>
                <w:rFonts w:ascii="Arial" w:hAnsi="Arial"/>
                <w:bCs/>
                <w:lang w:val="id-ID"/>
              </w:rPr>
            </w:pPr>
            <w:r>
              <w:rPr>
                <w:rFonts w:ascii="Arial" w:hAnsi="Arial"/>
                <w:bCs/>
                <w:lang w:val="id-ID"/>
              </w:rPr>
              <w:t>Number of Micro Roots</w:t>
            </w:r>
          </w:p>
        </w:tc>
        <w:tc>
          <w:tcPr>
            <w:tcW w:w="1275" w:type="dxa"/>
          </w:tcPr>
          <w:p w14:paraId="33105177"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411,19 </w:t>
            </w:r>
            <w:r w:rsidRPr="00A87A92">
              <w:rPr>
                <w:rFonts w:ascii="Arial" w:hAnsi="Arial"/>
                <w:bCs/>
                <w:vertAlign w:val="superscript"/>
                <w:lang w:val="id-ID"/>
              </w:rPr>
              <w:t>*</w:t>
            </w:r>
          </w:p>
        </w:tc>
        <w:tc>
          <w:tcPr>
            <w:tcW w:w="1134" w:type="dxa"/>
          </w:tcPr>
          <w:p w14:paraId="1411FFC0"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64,92 </w:t>
            </w:r>
            <w:r w:rsidRPr="00A87A92">
              <w:rPr>
                <w:rFonts w:ascii="Arial" w:hAnsi="Arial"/>
                <w:bCs/>
                <w:vertAlign w:val="superscript"/>
                <w:lang w:val="id-ID"/>
              </w:rPr>
              <w:t>*</w:t>
            </w:r>
          </w:p>
        </w:tc>
        <w:tc>
          <w:tcPr>
            <w:tcW w:w="1247" w:type="dxa"/>
          </w:tcPr>
          <w:p w14:paraId="118D2119"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55,03 </w:t>
            </w:r>
            <w:r w:rsidRPr="00A87A92">
              <w:rPr>
                <w:rFonts w:ascii="Arial" w:hAnsi="Arial"/>
                <w:bCs/>
                <w:vertAlign w:val="superscript"/>
                <w:lang w:val="id-ID"/>
              </w:rPr>
              <w:t>*</w:t>
            </w:r>
          </w:p>
        </w:tc>
        <w:tc>
          <w:tcPr>
            <w:tcW w:w="1026" w:type="dxa"/>
            <w:vAlign w:val="center"/>
          </w:tcPr>
          <w:p w14:paraId="6E3B8655" w14:textId="22AD0CF7" w:rsidR="00A87A92" w:rsidRPr="00A87A92" w:rsidRDefault="00A87A92" w:rsidP="00A87A92">
            <w:pPr>
              <w:tabs>
                <w:tab w:val="left" w:pos="1080"/>
              </w:tabs>
              <w:jc w:val="both"/>
              <w:rPr>
                <w:rFonts w:ascii="Arial" w:hAnsi="Arial"/>
                <w:bCs/>
                <w:lang w:val="id-ID"/>
              </w:rPr>
            </w:pPr>
            <w:r w:rsidRPr="00A87A92">
              <w:rPr>
                <w:rFonts w:ascii="Arial" w:hAnsi="Arial"/>
                <w:bCs/>
                <w:lang w:val="id-ID"/>
              </w:rPr>
              <w:t>20,48</w:t>
            </w:r>
          </w:p>
        </w:tc>
      </w:tr>
      <w:tr w:rsidR="00A87A92" w:rsidRPr="00A87A92" w14:paraId="34BCDB85" w14:textId="77777777" w:rsidTr="009C31A2">
        <w:trPr>
          <w:trHeight w:val="257"/>
        </w:trPr>
        <w:tc>
          <w:tcPr>
            <w:tcW w:w="653" w:type="dxa"/>
          </w:tcPr>
          <w:p w14:paraId="3E2A7610" w14:textId="01794549" w:rsidR="00A87A92" w:rsidRPr="00A87A92" w:rsidRDefault="008D181F" w:rsidP="00A87A92">
            <w:pPr>
              <w:tabs>
                <w:tab w:val="left" w:pos="1080"/>
              </w:tabs>
              <w:jc w:val="both"/>
              <w:rPr>
                <w:rFonts w:ascii="Arial" w:hAnsi="Arial"/>
                <w:bCs/>
                <w:lang w:val="id-ID"/>
              </w:rPr>
            </w:pPr>
            <w:r>
              <w:rPr>
                <w:rFonts w:ascii="Arial" w:hAnsi="Arial"/>
                <w:bCs/>
                <w:lang w:val="id-ID"/>
              </w:rPr>
              <w:t>6</w:t>
            </w:r>
          </w:p>
        </w:tc>
        <w:tc>
          <w:tcPr>
            <w:tcW w:w="3170" w:type="dxa"/>
          </w:tcPr>
          <w:p w14:paraId="7E001ED9" w14:textId="6CCCE6F4" w:rsidR="00A87A92" w:rsidRPr="00A87A92" w:rsidRDefault="00DA0944" w:rsidP="00A87A92">
            <w:pPr>
              <w:tabs>
                <w:tab w:val="left" w:pos="1080"/>
              </w:tabs>
              <w:jc w:val="both"/>
              <w:rPr>
                <w:rFonts w:ascii="Arial" w:hAnsi="Arial"/>
                <w:bCs/>
                <w:lang w:val="id-ID"/>
              </w:rPr>
            </w:pPr>
            <w:r w:rsidRPr="00DA0944">
              <w:rPr>
                <w:rFonts w:ascii="Arial" w:hAnsi="Arial"/>
                <w:bCs/>
                <w:lang w:val="id-ID"/>
              </w:rPr>
              <w:t>Micro Root Length</w:t>
            </w:r>
          </w:p>
        </w:tc>
        <w:tc>
          <w:tcPr>
            <w:tcW w:w="1275" w:type="dxa"/>
          </w:tcPr>
          <w:p w14:paraId="65AC5F45"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172,40 </w:t>
            </w:r>
            <w:r w:rsidRPr="00A87A92">
              <w:rPr>
                <w:rFonts w:ascii="Arial" w:hAnsi="Arial"/>
                <w:bCs/>
                <w:vertAlign w:val="superscript"/>
                <w:lang w:val="id-ID"/>
              </w:rPr>
              <w:t>*</w:t>
            </w:r>
          </w:p>
        </w:tc>
        <w:tc>
          <w:tcPr>
            <w:tcW w:w="1134" w:type="dxa"/>
          </w:tcPr>
          <w:p w14:paraId="20CFBE66"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2,41 </w:t>
            </w:r>
            <w:r w:rsidRPr="00A87A92">
              <w:rPr>
                <w:rFonts w:ascii="Arial" w:hAnsi="Arial"/>
                <w:bCs/>
                <w:vertAlign w:val="superscript"/>
                <w:lang w:val="id-ID"/>
              </w:rPr>
              <w:t>ns</w:t>
            </w:r>
          </w:p>
        </w:tc>
        <w:tc>
          <w:tcPr>
            <w:tcW w:w="1247" w:type="dxa"/>
          </w:tcPr>
          <w:p w14:paraId="5CC80AD9"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1,16 </w:t>
            </w:r>
            <w:r w:rsidRPr="00A87A92">
              <w:rPr>
                <w:rFonts w:ascii="Arial" w:hAnsi="Arial"/>
                <w:bCs/>
                <w:vertAlign w:val="superscript"/>
                <w:lang w:val="id-ID"/>
              </w:rPr>
              <w:t>ns</w:t>
            </w:r>
          </w:p>
        </w:tc>
        <w:tc>
          <w:tcPr>
            <w:tcW w:w="1026" w:type="dxa"/>
            <w:vAlign w:val="center"/>
          </w:tcPr>
          <w:p w14:paraId="0154FEBA" w14:textId="63D73512" w:rsidR="00A87A92" w:rsidRPr="00A87A92" w:rsidRDefault="00A87A92" w:rsidP="00A87A92">
            <w:pPr>
              <w:tabs>
                <w:tab w:val="left" w:pos="1080"/>
              </w:tabs>
              <w:jc w:val="both"/>
              <w:rPr>
                <w:rFonts w:ascii="Arial" w:hAnsi="Arial"/>
                <w:bCs/>
                <w:lang w:val="id-ID"/>
              </w:rPr>
            </w:pPr>
            <w:r w:rsidRPr="00A87A92">
              <w:rPr>
                <w:rFonts w:ascii="Arial" w:hAnsi="Arial"/>
                <w:bCs/>
                <w:lang w:val="id-ID"/>
              </w:rPr>
              <w:t>11,54</w:t>
            </w:r>
            <w:r w:rsidRPr="00A87A92">
              <w:rPr>
                <w:rFonts w:ascii="Arial" w:hAnsi="Arial"/>
                <w:bCs/>
                <w:vertAlign w:val="superscript"/>
                <w:lang w:val="id-ID"/>
              </w:rPr>
              <w:t>T</w:t>
            </w:r>
          </w:p>
        </w:tc>
      </w:tr>
      <w:tr w:rsidR="00A87A92" w:rsidRPr="00A87A92" w14:paraId="4F820258" w14:textId="77777777" w:rsidTr="009C31A2">
        <w:trPr>
          <w:trHeight w:val="257"/>
        </w:trPr>
        <w:tc>
          <w:tcPr>
            <w:tcW w:w="653" w:type="dxa"/>
          </w:tcPr>
          <w:p w14:paraId="0261EE57" w14:textId="1D5A8C63" w:rsidR="00A87A92" w:rsidRPr="00A87A92" w:rsidRDefault="008D181F" w:rsidP="00A87A92">
            <w:pPr>
              <w:tabs>
                <w:tab w:val="left" w:pos="1080"/>
              </w:tabs>
              <w:jc w:val="both"/>
              <w:rPr>
                <w:rFonts w:ascii="Arial" w:hAnsi="Arial"/>
                <w:bCs/>
                <w:lang w:val="id-ID"/>
              </w:rPr>
            </w:pPr>
            <w:r>
              <w:rPr>
                <w:rFonts w:ascii="Arial" w:hAnsi="Arial"/>
                <w:bCs/>
                <w:lang w:val="id-ID"/>
              </w:rPr>
              <w:t>7</w:t>
            </w:r>
          </w:p>
        </w:tc>
        <w:tc>
          <w:tcPr>
            <w:tcW w:w="3170" w:type="dxa"/>
          </w:tcPr>
          <w:p w14:paraId="02013B54" w14:textId="7DA260C3" w:rsidR="00A87A92" w:rsidRPr="00A87A92" w:rsidRDefault="00DA0944" w:rsidP="00A87A92">
            <w:pPr>
              <w:tabs>
                <w:tab w:val="left" w:pos="1080"/>
              </w:tabs>
              <w:jc w:val="both"/>
              <w:rPr>
                <w:rFonts w:ascii="Arial" w:hAnsi="Arial"/>
                <w:bCs/>
                <w:lang w:val="id-ID"/>
              </w:rPr>
            </w:pPr>
            <w:r w:rsidRPr="00DA0944">
              <w:rPr>
                <w:rFonts w:ascii="Arial" w:hAnsi="Arial"/>
                <w:bCs/>
                <w:lang w:val="id-ID"/>
              </w:rPr>
              <w:t>Microbulb Percentage</w:t>
            </w:r>
          </w:p>
        </w:tc>
        <w:tc>
          <w:tcPr>
            <w:tcW w:w="1275" w:type="dxa"/>
          </w:tcPr>
          <w:p w14:paraId="044DB015" w14:textId="0DC94630"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300,26 </w:t>
            </w:r>
            <w:r w:rsidR="002F0BE7">
              <w:rPr>
                <w:rFonts w:ascii="Arial" w:hAnsi="Arial"/>
                <w:bCs/>
                <w:vertAlign w:val="superscript"/>
                <w:lang w:val="id-ID"/>
              </w:rPr>
              <w:t>ns</w:t>
            </w:r>
          </w:p>
        </w:tc>
        <w:tc>
          <w:tcPr>
            <w:tcW w:w="1134" w:type="dxa"/>
          </w:tcPr>
          <w:p w14:paraId="3368C056" w14:textId="34B2C6DC"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7,26 </w:t>
            </w:r>
            <w:r w:rsidR="002F0BE7">
              <w:rPr>
                <w:rFonts w:ascii="Arial" w:hAnsi="Arial"/>
                <w:bCs/>
                <w:vertAlign w:val="superscript"/>
                <w:lang w:val="id-ID"/>
              </w:rPr>
              <w:t>ns</w:t>
            </w:r>
          </w:p>
        </w:tc>
        <w:tc>
          <w:tcPr>
            <w:tcW w:w="1247" w:type="dxa"/>
          </w:tcPr>
          <w:p w14:paraId="54A7639E" w14:textId="1B00ED9E" w:rsidR="00A87A92" w:rsidRPr="00A87A92" w:rsidRDefault="00A87A92" w:rsidP="00A87A92">
            <w:pPr>
              <w:tabs>
                <w:tab w:val="left" w:pos="1080"/>
              </w:tabs>
              <w:jc w:val="both"/>
              <w:rPr>
                <w:rFonts w:ascii="Arial" w:hAnsi="Arial"/>
                <w:bCs/>
                <w:lang w:val="id-ID"/>
              </w:rPr>
            </w:pPr>
            <w:r w:rsidRPr="00A87A92">
              <w:rPr>
                <w:rFonts w:ascii="Arial" w:hAnsi="Arial"/>
                <w:bCs/>
                <w:lang w:val="id-ID"/>
              </w:rPr>
              <w:t>5,11</w:t>
            </w:r>
            <w:r w:rsidR="002F0BE7">
              <w:rPr>
                <w:rFonts w:ascii="Arial" w:hAnsi="Arial"/>
                <w:bCs/>
                <w:vertAlign w:val="superscript"/>
                <w:lang w:val="id-ID"/>
              </w:rPr>
              <w:t>ns</w:t>
            </w:r>
          </w:p>
        </w:tc>
        <w:tc>
          <w:tcPr>
            <w:tcW w:w="1026" w:type="dxa"/>
            <w:vAlign w:val="center"/>
          </w:tcPr>
          <w:p w14:paraId="34A59641" w14:textId="521BEF78" w:rsidR="00A87A92" w:rsidRPr="00A87A92" w:rsidRDefault="00A87A92" w:rsidP="00A87A92">
            <w:pPr>
              <w:tabs>
                <w:tab w:val="left" w:pos="1080"/>
              </w:tabs>
              <w:jc w:val="both"/>
              <w:rPr>
                <w:rFonts w:ascii="Arial" w:hAnsi="Arial"/>
                <w:bCs/>
                <w:lang w:val="id-ID"/>
              </w:rPr>
            </w:pPr>
            <w:r w:rsidRPr="00A87A92">
              <w:rPr>
                <w:rFonts w:ascii="Arial" w:hAnsi="Arial"/>
                <w:bCs/>
                <w:lang w:val="id-ID"/>
              </w:rPr>
              <w:t>15,50</w:t>
            </w:r>
            <w:r w:rsidRPr="00A87A92">
              <w:rPr>
                <w:rFonts w:ascii="Arial" w:hAnsi="Arial"/>
                <w:bCs/>
                <w:vertAlign w:val="superscript"/>
                <w:lang w:val="id-ID"/>
              </w:rPr>
              <w:t>T</w:t>
            </w:r>
          </w:p>
        </w:tc>
      </w:tr>
      <w:tr w:rsidR="00A87A92" w:rsidRPr="00A87A92" w14:paraId="20B987F8" w14:textId="77777777" w:rsidTr="009C31A2">
        <w:trPr>
          <w:trHeight w:val="257"/>
        </w:trPr>
        <w:tc>
          <w:tcPr>
            <w:tcW w:w="653" w:type="dxa"/>
          </w:tcPr>
          <w:p w14:paraId="49A0D5CA" w14:textId="637F8671" w:rsidR="00A87A92" w:rsidRPr="00A87A92" w:rsidRDefault="008D181F" w:rsidP="00A87A92">
            <w:pPr>
              <w:tabs>
                <w:tab w:val="left" w:pos="1080"/>
              </w:tabs>
              <w:jc w:val="both"/>
              <w:rPr>
                <w:rFonts w:ascii="Arial" w:hAnsi="Arial"/>
                <w:bCs/>
                <w:lang w:val="id-ID"/>
              </w:rPr>
            </w:pPr>
            <w:r>
              <w:rPr>
                <w:rFonts w:ascii="Arial" w:hAnsi="Arial"/>
                <w:bCs/>
                <w:lang w:val="id-ID"/>
              </w:rPr>
              <w:t>8</w:t>
            </w:r>
          </w:p>
          <w:p w14:paraId="3A368ED5" w14:textId="7F4DAD09" w:rsidR="00A87A92" w:rsidRPr="00A87A92" w:rsidRDefault="008D181F" w:rsidP="00A87A92">
            <w:pPr>
              <w:tabs>
                <w:tab w:val="left" w:pos="1080"/>
              </w:tabs>
              <w:jc w:val="both"/>
              <w:rPr>
                <w:rFonts w:ascii="Arial" w:hAnsi="Arial"/>
                <w:bCs/>
                <w:lang w:val="id-ID"/>
              </w:rPr>
            </w:pPr>
            <w:r>
              <w:rPr>
                <w:rFonts w:ascii="Arial" w:hAnsi="Arial"/>
                <w:bCs/>
                <w:lang w:val="id-ID"/>
              </w:rPr>
              <w:t>9</w:t>
            </w:r>
          </w:p>
        </w:tc>
        <w:tc>
          <w:tcPr>
            <w:tcW w:w="3170" w:type="dxa"/>
          </w:tcPr>
          <w:p w14:paraId="7437E73B" w14:textId="77777777" w:rsidR="00A87A92" w:rsidRDefault="00DA0944" w:rsidP="00A87A92">
            <w:pPr>
              <w:tabs>
                <w:tab w:val="left" w:pos="1080"/>
              </w:tabs>
              <w:jc w:val="both"/>
              <w:rPr>
                <w:rFonts w:ascii="Arial" w:hAnsi="Arial"/>
                <w:bCs/>
              </w:rPr>
            </w:pPr>
            <w:proofErr w:type="spellStart"/>
            <w:r w:rsidRPr="00DA0944">
              <w:rPr>
                <w:rFonts w:ascii="Arial" w:hAnsi="Arial"/>
                <w:bCs/>
              </w:rPr>
              <w:t>Microbulb</w:t>
            </w:r>
            <w:proofErr w:type="spellEnd"/>
            <w:r w:rsidRPr="00DA0944">
              <w:rPr>
                <w:rFonts w:ascii="Arial" w:hAnsi="Arial"/>
                <w:bCs/>
              </w:rPr>
              <w:t xml:space="preserve"> Diameter</w:t>
            </w:r>
          </w:p>
          <w:p w14:paraId="0E72F74F" w14:textId="41F24F8E" w:rsidR="00485654" w:rsidRPr="00A87A92" w:rsidRDefault="00485654" w:rsidP="00A87A92">
            <w:pPr>
              <w:tabs>
                <w:tab w:val="left" w:pos="1080"/>
              </w:tabs>
              <w:jc w:val="both"/>
              <w:rPr>
                <w:rFonts w:ascii="Arial" w:hAnsi="Arial"/>
                <w:bCs/>
                <w:lang w:val="id-ID"/>
              </w:rPr>
            </w:pPr>
            <w:r>
              <w:rPr>
                <w:rFonts w:ascii="Arial" w:hAnsi="Arial"/>
                <w:bCs/>
              </w:rPr>
              <w:t>Plant Height</w:t>
            </w:r>
          </w:p>
        </w:tc>
        <w:tc>
          <w:tcPr>
            <w:tcW w:w="1275" w:type="dxa"/>
          </w:tcPr>
          <w:p w14:paraId="6B865C40"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84,86 </w:t>
            </w:r>
            <w:r w:rsidRPr="00A87A92">
              <w:rPr>
                <w:rFonts w:ascii="Arial" w:hAnsi="Arial"/>
                <w:bCs/>
                <w:vertAlign w:val="superscript"/>
                <w:lang w:val="id-ID"/>
              </w:rPr>
              <w:t>*</w:t>
            </w:r>
          </w:p>
          <w:p w14:paraId="1C8DF931"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483,85 </w:t>
            </w:r>
            <w:r w:rsidRPr="00A87A92">
              <w:rPr>
                <w:rFonts w:ascii="Arial" w:hAnsi="Arial"/>
                <w:bCs/>
                <w:vertAlign w:val="superscript"/>
                <w:lang w:val="id-ID"/>
              </w:rPr>
              <w:t>*</w:t>
            </w:r>
          </w:p>
        </w:tc>
        <w:tc>
          <w:tcPr>
            <w:tcW w:w="1134" w:type="dxa"/>
          </w:tcPr>
          <w:p w14:paraId="0D9D7CAF" w14:textId="77777777" w:rsidR="00A87A92" w:rsidRPr="00A87A92" w:rsidRDefault="00A87A92" w:rsidP="00A87A92">
            <w:pPr>
              <w:tabs>
                <w:tab w:val="left" w:pos="1080"/>
              </w:tabs>
              <w:jc w:val="both"/>
              <w:rPr>
                <w:rFonts w:ascii="Arial" w:hAnsi="Arial"/>
                <w:bCs/>
                <w:vertAlign w:val="superscript"/>
                <w:lang w:val="id-ID"/>
              </w:rPr>
            </w:pPr>
            <w:r w:rsidRPr="00A87A92">
              <w:rPr>
                <w:rFonts w:ascii="Arial" w:hAnsi="Arial"/>
                <w:bCs/>
                <w:lang w:val="id-ID"/>
              </w:rPr>
              <w:t xml:space="preserve">1,26 </w:t>
            </w:r>
            <w:r w:rsidRPr="00A87A92">
              <w:rPr>
                <w:rFonts w:ascii="Arial" w:hAnsi="Arial"/>
                <w:bCs/>
                <w:vertAlign w:val="superscript"/>
                <w:lang w:val="id-ID"/>
              </w:rPr>
              <w:t>ns</w:t>
            </w:r>
          </w:p>
          <w:p w14:paraId="6DC4FBAC"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7,98 </w:t>
            </w:r>
            <w:r w:rsidRPr="00A87A92">
              <w:rPr>
                <w:rFonts w:ascii="Arial" w:hAnsi="Arial"/>
                <w:bCs/>
                <w:vertAlign w:val="superscript"/>
                <w:lang w:val="id-ID"/>
              </w:rPr>
              <w:t>*</w:t>
            </w:r>
          </w:p>
        </w:tc>
        <w:tc>
          <w:tcPr>
            <w:tcW w:w="1247" w:type="dxa"/>
          </w:tcPr>
          <w:p w14:paraId="38F7D4DE"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0,50 </w:t>
            </w:r>
            <w:r w:rsidRPr="00A87A92">
              <w:rPr>
                <w:rFonts w:ascii="Arial" w:hAnsi="Arial"/>
                <w:bCs/>
                <w:vertAlign w:val="superscript"/>
                <w:lang w:val="id-ID"/>
              </w:rPr>
              <w:t>ns</w:t>
            </w:r>
          </w:p>
          <w:p w14:paraId="16AE2B55"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3,13 </w:t>
            </w:r>
            <w:r w:rsidRPr="00A87A92">
              <w:rPr>
                <w:rFonts w:ascii="Arial" w:hAnsi="Arial"/>
                <w:bCs/>
                <w:vertAlign w:val="superscript"/>
                <w:lang w:val="id-ID"/>
              </w:rPr>
              <w:t>ns</w:t>
            </w:r>
          </w:p>
        </w:tc>
        <w:tc>
          <w:tcPr>
            <w:tcW w:w="1026" w:type="dxa"/>
            <w:vAlign w:val="center"/>
          </w:tcPr>
          <w:p w14:paraId="32C117D3" w14:textId="495D706D" w:rsidR="00A87A92" w:rsidRPr="00A87A92" w:rsidRDefault="00A87A92" w:rsidP="00A87A92">
            <w:pPr>
              <w:tabs>
                <w:tab w:val="left" w:pos="1080"/>
              </w:tabs>
              <w:jc w:val="both"/>
              <w:rPr>
                <w:rFonts w:ascii="Arial" w:hAnsi="Arial"/>
                <w:bCs/>
                <w:lang w:val="id-ID"/>
              </w:rPr>
            </w:pPr>
            <w:r w:rsidRPr="00A87A92">
              <w:rPr>
                <w:rFonts w:ascii="Arial" w:hAnsi="Arial"/>
                <w:bCs/>
                <w:lang w:val="id-ID"/>
              </w:rPr>
              <w:t>21,49</w:t>
            </w:r>
            <w:r w:rsidRPr="00A87A92">
              <w:rPr>
                <w:rFonts w:ascii="Arial" w:hAnsi="Arial"/>
                <w:bCs/>
                <w:vertAlign w:val="superscript"/>
                <w:lang w:val="id-ID"/>
              </w:rPr>
              <w:t>T</w:t>
            </w:r>
          </w:p>
          <w:p w14:paraId="34BBB91E" w14:textId="20AEDC97" w:rsidR="00A87A92" w:rsidRPr="00A87A92" w:rsidRDefault="00A87A92" w:rsidP="00A87A92">
            <w:pPr>
              <w:tabs>
                <w:tab w:val="left" w:pos="1080"/>
              </w:tabs>
              <w:jc w:val="both"/>
              <w:rPr>
                <w:rFonts w:ascii="Arial" w:hAnsi="Arial"/>
                <w:bCs/>
                <w:lang w:val="id-ID"/>
              </w:rPr>
            </w:pPr>
            <w:r w:rsidRPr="00A87A92">
              <w:rPr>
                <w:rFonts w:ascii="Arial" w:hAnsi="Arial"/>
                <w:bCs/>
                <w:lang w:val="id-ID"/>
              </w:rPr>
              <w:t>21,71</w:t>
            </w:r>
          </w:p>
        </w:tc>
      </w:tr>
      <w:tr w:rsidR="00D953D0" w:rsidRPr="00A87A92" w14:paraId="6613DA7A" w14:textId="77777777" w:rsidTr="009C31A2">
        <w:trPr>
          <w:trHeight w:val="257"/>
        </w:trPr>
        <w:tc>
          <w:tcPr>
            <w:tcW w:w="653" w:type="dxa"/>
          </w:tcPr>
          <w:p w14:paraId="7D2296B9" w14:textId="6EBFEF08" w:rsidR="00D953D0" w:rsidRPr="00A87A92" w:rsidRDefault="00D953D0" w:rsidP="00D953D0">
            <w:pPr>
              <w:tabs>
                <w:tab w:val="left" w:pos="1080"/>
              </w:tabs>
              <w:jc w:val="both"/>
              <w:rPr>
                <w:rFonts w:ascii="Arial" w:hAnsi="Arial"/>
                <w:bCs/>
                <w:lang w:val="id-ID"/>
              </w:rPr>
            </w:pPr>
            <w:r>
              <w:rPr>
                <w:rFonts w:ascii="Arial" w:hAnsi="Arial"/>
                <w:bCs/>
                <w:lang w:val="id-ID"/>
              </w:rPr>
              <w:t>1</w:t>
            </w:r>
            <w:r w:rsidR="008D181F">
              <w:rPr>
                <w:rFonts w:ascii="Arial" w:hAnsi="Arial"/>
                <w:bCs/>
                <w:lang w:val="id-ID"/>
              </w:rPr>
              <w:t>0</w:t>
            </w:r>
          </w:p>
        </w:tc>
        <w:tc>
          <w:tcPr>
            <w:tcW w:w="3170" w:type="dxa"/>
          </w:tcPr>
          <w:p w14:paraId="32FD3264" w14:textId="34A1D557" w:rsidR="00D953D0" w:rsidRPr="00A87A92" w:rsidRDefault="00485654" w:rsidP="00D953D0">
            <w:pPr>
              <w:tabs>
                <w:tab w:val="left" w:pos="1080"/>
              </w:tabs>
              <w:jc w:val="both"/>
              <w:rPr>
                <w:rFonts w:ascii="Arial" w:hAnsi="Arial"/>
                <w:bCs/>
                <w:lang w:val="id-ID"/>
              </w:rPr>
            </w:pPr>
            <w:r w:rsidRPr="00485654">
              <w:rPr>
                <w:rFonts w:ascii="Arial" w:hAnsi="Arial"/>
                <w:bCs/>
                <w:lang w:val="id-ID"/>
              </w:rPr>
              <w:t>Time to Micro Shoot Emergence</w:t>
            </w:r>
          </w:p>
        </w:tc>
        <w:tc>
          <w:tcPr>
            <w:tcW w:w="1275" w:type="dxa"/>
          </w:tcPr>
          <w:p w14:paraId="3682F17B" w14:textId="23C3414A" w:rsidR="00D953D0" w:rsidRPr="00A87A92" w:rsidRDefault="001A33CD" w:rsidP="00D953D0">
            <w:pPr>
              <w:tabs>
                <w:tab w:val="left" w:pos="1080"/>
              </w:tabs>
              <w:jc w:val="both"/>
              <w:rPr>
                <w:rFonts w:ascii="Arial" w:hAnsi="Arial"/>
                <w:bCs/>
                <w:lang w:val="id-ID"/>
              </w:rPr>
            </w:pPr>
            <w:r>
              <w:rPr>
                <w:rFonts w:ascii="Arial" w:hAnsi="Arial"/>
                <w:bCs/>
                <w:lang w:val="id-ID"/>
              </w:rPr>
              <w:t>1,66</w:t>
            </w:r>
            <w:r w:rsidRPr="001A33CD">
              <w:rPr>
                <w:rFonts w:ascii="Arial" w:hAnsi="Arial"/>
                <w:bCs/>
                <w:vertAlign w:val="superscript"/>
                <w:lang w:val="id-ID"/>
              </w:rPr>
              <w:t>ns</w:t>
            </w:r>
          </w:p>
        </w:tc>
        <w:tc>
          <w:tcPr>
            <w:tcW w:w="1134" w:type="dxa"/>
          </w:tcPr>
          <w:p w14:paraId="5876DCA4" w14:textId="3753D6EF" w:rsidR="00D953D0" w:rsidRPr="00A87A92" w:rsidRDefault="001A33CD" w:rsidP="00D953D0">
            <w:pPr>
              <w:tabs>
                <w:tab w:val="left" w:pos="1080"/>
              </w:tabs>
              <w:jc w:val="both"/>
              <w:rPr>
                <w:rFonts w:ascii="Arial" w:hAnsi="Arial"/>
                <w:bCs/>
                <w:lang w:val="id-ID"/>
              </w:rPr>
            </w:pPr>
            <w:r>
              <w:rPr>
                <w:rFonts w:ascii="Arial" w:hAnsi="Arial"/>
                <w:bCs/>
                <w:lang w:val="id-ID"/>
              </w:rPr>
              <w:t xml:space="preserve">0,85 </w:t>
            </w:r>
            <w:r w:rsidRPr="001A33CD">
              <w:rPr>
                <w:rFonts w:ascii="Arial" w:hAnsi="Arial"/>
                <w:bCs/>
                <w:vertAlign w:val="superscript"/>
                <w:lang w:val="id-ID"/>
              </w:rPr>
              <w:t>ns</w:t>
            </w:r>
          </w:p>
        </w:tc>
        <w:tc>
          <w:tcPr>
            <w:tcW w:w="1247" w:type="dxa"/>
          </w:tcPr>
          <w:p w14:paraId="62FB5B10" w14:textId="104D29BB" w:rsidR="00D953D0" w:rsidRPr="00A87A92" w:rsidRDefault="001A33CD" w:rsidP="00D953D0">
            <w:pPr>
              <w:tabs>
                <w:tab w:val="left" w:pos="1080"/>
              </w:tabs>
              <w:jc w:val="both"/>
              <w:rPr>
                <w:rFonts w:ascii="Arial" w:hAnsi="Arial"/>
                <w:bCs/>
                <w:lang w:val="id-ID"/>
              </w:rPr>
            </w:pPr>
            <w:r>
              <w:rPr>
                <w:rFonts w:ascii="Arial" w:hAnsi="Arial"/>
                <w:bCs/>
                <w:lang w:val="id-ID"/>
              </w:rPr>
              <w:t xml:space="preserve">0,61 </w:t>
            </w:r>
            <w:r w:rsidRPr="001A33CD">
              <w:rPr>
                <w:rFonts w:ascii="Arial" w:hAnsi="Arial"/>
                <w:bCs/>
                <w:vertAlign w:val="superscript"/>
                <w:lang w:val="id-ID"/>
              </w:rPr>
              <w:t>ns</w:t>
            </w:r>
          </w:p>
        </w:tc>
        <w:tc>
          <w:tcPr>
            <w:tcW w:w="1026" w:type="dxa"/>
            <w:vAlign w:val="center"/>
          </w:tcPr>
          <w:p w14:paraId="5FE16CB2" w14:textId="6F516245" w:rsidR="00D953D0" w:rsidRPr="00A87A92" w:rsidRDefault="001A33CD" w:rsidP="00D953D0">
            <w:pPr>
              <w:tabs>
                <w:tab w:val="left" w:pos="1080"/>
              </w:tabs>
              <w:jc w:val="both"/>
              <w:rPr>
                <w:rFonts w:ascii="Arial" w:hAnsi="Arial"/>
                <w:bCs/>
                <w:lang w:val="id-ID"/>
              </w:rPr>
            </w:pPr>
            <w:r>
              <w:rPr>
                <w:rFonts w:ascii="Arial" w:hAnsi="Arial"/>
                <w:bCs/>
                <w:lang w:val="id-ID"/>
              </w:rPr>
              <w:t>38,19</w:t>
            </w:r>
            <w:r w:rsidRPr="001A33CD">
              <w:rPr>
                <w:rFonts w:ascii="Arial" w:hAnsi="Arial"/>
                <w:bCs/>
                <w:vertAlign w:val="superscript"/>
                <w:lang w:val="id-ID"/>
              </w:rPr>
              <w:t>T-</w:t>
            </w:r>
          </w:p>
        </w:tc>
      </w:tr>
      <w:tr w:rsidR="00D953D0" w:rsidRPr="00A87A92" w14:paraId="6AF7702B" w14:textId="77777777" w:rsidTr="009C31A2">
        <w:trPr>
          <w:trHeight w:val="257"/>
        </w:trPr>
        <w:tc>
          <w:tcPr>
            <w:tcW w:w="653" w:type="dxa"/>
          </w:tcPr>
          <w:p w14:paraId="1CA80FB1" w14:textId="01702EB0" w:rsidR="00D953D0" w:rsidRPr="00A87A92" w:rsidRDefault="00D953D0" w:rsidP="00D953D0">
            <w:pPr>
              <w:tabs>
                <w:tab w:val="left" w:pos="1080"/>
              </w:tabs>
              <w:jc w:val="both"/>
              <w:rPr>
                <w:rFonts w:ascii="Arial" w:hAnsi="Arial"/>
                <w:bCs/>
                <w:lang w:val="id-ID"/>
              </w:rPr>
            </w:pPr>
            <w:r>
              <w:rPr>
                <w:rFonts w:ascii="Arial" w:hAnsi="Arial"/>
                <w:bCs/>
                <w:lang w:val="id-ID"/>
              </w:rPr>
              <w:t>1</w:t>
            </w:r>
            <w:r w:rsidR="008D181F">
              <w:rPr>
                <w:rFonts w:ascii="Arial" w:hAnsi="Arial"/>
                <w:bCs/>
                <w:lang w:val="id-ID"/>
              </w:rPr>
              <w:t>1</w:t>
            </w:r>
          </w:p>
        </w:tc>
        <w:tc>
          <w:tcPr>
            <w:tcW w:w="3170" w:type="dxa"/>
          </w:tcPr>
          <w:p w14:paraId="766EAC06" w14:textId="1425AEDC" w:rsidR="00D953D0" w:rsidRPr="00A87A92" w:rsidRDefault="00485654" w:rsidP="00D953D0">
            <w:pPr>
              <w:tabs>
                <w:tab w:val="left" w:pos="1080"/>
              </w:tabs>
              <w:jc w:val="both"/>
              <w:rPr>
                <w:rFonts w:ascii="Arial" w:hAnsi="Arial"/>
                <w:bCs/>
                <w:lang w:val="id-ID"/>
              </w:rPr>
            </w:pPr>
            <w:r w:rsidRPr="00485654">
              <w:rPr>
                <w:rFonts w:ascii="Arial" w:hAnsi="Arial"/>
                <w:bCs/>
              </w:rPr>
              <w:t>Time to Micro Leaf Emergence</w:t>
            </w:r>
          </w:p>
        </w:tc>
        <w:tc>
          <w:tcPr>
            <w:tcW w:w="1275" w:type="dxa"/>
          </w:tcPr>
          <w:p w14:paraId="0ECA6143" w14:textId="0090E1B9" w:rsidR="00D953D0" w:rsidRPr="00A87A92" w:rsidRDefault="001A33CD" w:rsidP="00D953D0">
            <w:pPr>
              <w:tabs>
                <w:tab w:val="left" w:pos="1080"/>
              </w:tabs>
              <w:jc w:val="both"/>
              <w:rPr>
                <w:rFonts w:ascii="Arial" w:hAnsi="Arial"/>
                <w:bCs/>
                <w:lang w:val="id-ID"/>
              </w:rPr>
            </w:pPr>
            <w:r>
              <w:rPr>
                <w:rFonts w:ascii="Arial" w:hAnsi="Arial"/>
                <w:bCs/>
                <w:lang w:val="id-ID"/>
              </w:rPr>
              <w:t>23,52</w:t>
            </w:r>
            <w:r w:rsidRPr="001A33CD">
              <w:rPr>
                <w:rFonts w:ascii="Arial" w:hAnsi="Arial"/>
                <w:bCs/>
                <w:vertAlign w:val="superscript"/>
                <w:lang w:val="id-ID"/>
              </w:rPr>
              <w:t>*</w:t>
            </w:r>
          </w:p>
        </w:tc>
        <w:tc>
          <w:tcPr>
            <w:tcW w:w="1134" w:type="dxa"/>
          </w:tcPr>
          <w:p w14:paraId="0501FD38" w14:textId="2E04AF85" w:rsidR="00D953D0" w:rsidRPr="00A87A92" w:rsidRDefault="001A33CD" w:rsidP="00D953D0">
            <w:pPr>
              <w:tabs>
                <w:tab w:val="left" w:pos="1080"/>
              </w:tabs>
              <w:jc w:val="both"/>
              <w:rPr>
                <w:rFonts w:ascii="Arial" w:hAnsi="Arial"/>
                <w:bCs/>
                <w:lang w:val="id-ID"/>
              </w:rPr>
            </w:pPr>
            <w:r>
              <w:rPr>
                <w:rFonts w:ascii="Arial" w:hAnsi="Arial"/>
                <w:bCs/>
                <w:lang w:val="id-ID"/>
              </w:rPr>
              <w:t>0,10</w:t>
            </w:r>
            <w:r w:rsidRPr="001A33CD">
              <w:rPr>
                <w:rFonts w:ascii="Arial" w:hAnsi="Arial"/>
                <w:bCs/>
                <w:vertAlign w:val="superscript"/>
                <w:lang w:val="id-ID"/>
              </w:rPr>
              <w:t>ns</w:t>
            </w:r>
          </w:p>
        </w:tc>
        <w:tc>
          <w:tcPr>
            <w:tcW w:w="1247" w:type="dxa"/>
          </w:tcPr>
          <w:p w14:paraId="385BF176" w14:textId="793AB7F0" w:rsidR="00D953D0" w:rsidRPr="00A87A92" w:rsidRDefault="001A33CD" w:rsidP="00D953D0">
            <w:pPr>
              <w:tabs>
                <w:tab w:val="left" w:pos="1080"/>
              </w:tabs>
              <w:jc w:val="both"/>
              <w:rPr>
                <w:rFonts w:ascii="Arial" w:hAnsi="Arial"/>
                <w:bCs/>
                <w:lang w:val="id-ID"/>
              </w:rPr>
            </w:pPr>
            <w:r>
              <w:rPr>
                <w:rFonts w:ascii="Arial" w:hAnsi="Arial"/>
                <w:bCs/>
                <w:lang w:val="id-ID"/>
              </w:rPr>
              <w:t>0,06</w:t>
            </w:r>
            <w:r w:rsidRPr="001A33CD">
              <w:rPr>
                <w:rFonts w:ascii="Arial" w:hAnsi="Arial"/>
                <w:bCs/>
                <w:vertAlign w:val="superscript"/>
                <w:lang w:val="id-ID"/>
              </w:rPr>
              <w:t>ns</w:t>
            </w:r>
          </w:p>
        </w:tc>
        <w:tc>
          <w:tcPr>
            <w:tcW w:w="1026" w:type="dxa"/>
            <w:vAlign w:val="center"/>
          </w:tcPr>
          <w:p w14:paraId="3A4B0479" w14:textId="2033F3F8" w:rsidR="00D953D0" w:rsidRPr="00A87A92" w:rsidRDefault="001A33CD" w:rsidP="00D953D0">
            <w:pPr>
              <w:tabs>
                <w:tab w:val="left" w:pos="1080"/>
              </w:tabs>
              <w:jc w:val="both"/>
              <w:rPr>
                <w:rFonts w:ascii="Arial" w:hAnsi="Arial"/>
                <w:bCs/>
                <w:lang w:val="id-ID"/>
              </w:rPr>
            </w:pPr>
            <w:r>
              <w:rPr>
                <w:rFonts w:ascii="Arial" w:hAnsi="Arial"/>
                <w:bCs/>
                <w:lang w:val="id-ID"/>
              </w:rPr>
              <w:t>43,07</w:t>
            </w:r>
            <w:r w:rsidRPr="001A33CD">
              <w:rPr>
                <w:rFonts w:ascii="Arial" w:hAnsi="Arial"/>
                <w:bCs/>
                <w:vertAlign w:val="superscript"/>
                <w:lang w:val="id-ID"/>
              </w:rPr>
              <w:t>T-</w:t>
            </w:r>
          </w:p>
        </w:tc>
      </w:tr>
      <w:tr w:rsidR="00D953D0" w:rsidRPr="00A87A92" w14:paraId="33421CE5" w14:textId="77777777" w:rsidTr="009C31A2">
        <w:trPr>
          <w:trHeight w:val="257"/>
        </w:trPr>
        <w:tc>
          <w:tcPr>
            <w:tcW w:w="653" w:type="dxa"/>
            <w:tcBorders>
              <w:bottom w:val="single" w:sz="4" w:space="0" w:color="auto"/>
            </w:tcBorders>
          </w:tcPr>
          <w:p w14:paraId="3D2B2CBD" w14:textId="2614FFBD" w:rsidR="00D953D0" w:rsidRPr="00A87A92" w:rsidRDefault="00D953D0" w:rsidP="00D953D0">
            <w:pPr>
              <w:tabs>
                <w:tab w:val="left" w:pos="1080"/>
              </w:tabs>
              <w:jc w:val="both"/>
              <w:rPr>
                <w:rFonts w:ascii="Arial" w:hAnsi="Arial"/>
                <w:bCs/>
                <w:lang w:val="id-ID"/>
              </w:rPr>
            </w:pPr>
            <w:r>
              <w:rPr>
                <w:rFonts w:ascii="Arial" w:hAnsi="Arial"/>
                <w:bCs/>
                <w:lang w:val="id-ID"/>
              </w:rPr>
              <w:t>1</w:t>
            </w:r>
            <w:r w:rsidR="008D181F">
              <w:rPr>
                <w:rFonts w:ascii="Arial" w:hAnsi="Arial"/>
                <w:bCs/>
                <w:lang w:val="id-ID"/>
              </w:rPr>
              <w:t>2</w:t>
            </w:r>
          </w:p>
        </w:tc>
        <w:tc>
          <w:tcPr>
            <w:tcW w:w="3170" w:type="dxa"/>
            <w:tcBorders>
              <w:bottom w:val="single" w:sz="4" w:space="0" w:color="auto"/>
            </w:tcBorders>
          </w:tcPr>
          <w:p w14:paraId="3C6015C5" w14:textId="42CC76A3" w:rsidR="00D953D0" w:rsidRPr="00A87A92" w:rsidRDefault="00485654" w:rsidP="00D953D0">
            <w:pPr>
              <w:tabs>
                <w:tab w:val="left" w:pos="1080"/>
              </w:tabs>
              <w:jc w:val="both"/>
              <w:rPr>
                <w:rFonts w:ascii="Arial" w:hAnsi="Arial"/>
                <w:bCs/>
                <w:lang w:val="id-ID"/>
              </w:rPr>
            </w:pPr>
            <w:r w:rsidRPr="00485654">
              <w:rPr>
                <w:rFonts w:ascii="Arial" w:hAnsi="Arial"/>
                <w:bCs/>
                <w:lang w:val="id-ID"/>
              </w:rPr>
              <w:t>Time to Microbulb Emergence</w:t>
            </w:r>
          </w:p>
        </w:tc>
        <w:tc>
          <w:tcPr>
            <w:tcW w:w="1275" w:type="dxa"/>
            <w:tcBorders>
              <w:bottom w:val="single" w:sz="4" w:space="0" w:color="auto"/>
            </w:tcBorders>
          </w:tcPr>
          <w:p w14:paraId="4D2FE881" w14:textId="230B06C7" w:rsidR="00D953D0" w:rsidRPr="00A87A92" w:rsidRDefault="001A33CD" w:rsidP="00D953D0">
            <w:pPr>
              <w:tabs>
                <w:tab w:val="left" w:pos="1080"/>
              </w:tabs>
              <w:jc w:val="both"/>
              <w:rPr>
                <w:rFonts w:ascii="Arial" w:hAnsi="Arial"/>
                <w:bCs/>
                <w:lang w:val="id-ID"/>
              </w:rPr>
            </w:pPr>
            <w:r>
              <w:rPr>
                <w:rFonts w:ascii="Arial" w:hAnsi="Arial"/>
                <w:bCs/>
                <w:lang w:val="id-ID"/>
              </w:rPr>
              <w:t>52,69</w:t>
            </w:r>
            <w:r w:rsidRPr="001A33CD">
              <w:rPr>
                <w:rFonts w:ascii="Arial" w:hAnsi="Arial"/>
                <w:bCs/>
                <w:vertAlign w:val="superscript"/>
                <w:lang w:val="id-ID"/>
              </w:rPr>
              <w:t>*</w:t>
            </w:r>
          </w:p>
        </w:tc>
        <w:tc>
          <w:tcPr>
            <w:tcW w:w="1134" w:type="dxa"/>
            <w:tcBorders>
              <w:bottom w:val="single" w:sz="4" w:space="0" w:color="auto"/>
            </w:tcBorders>
          </w:tcPr>
          <w:p w14:paraId="41F770B5" w14:textId="0AEB53F2" w:rsidR="00D953D0" w:rsidRPr="00A87A92" w:rsidRDefault="001A33CD" w:rsidP="00D953D0">
            <w:pPr>
              <w:tabs>
                <w:tab w:val="left" w:pos="1080"/>
              </w:tabs>
              <w:jc w:val="both"/>
              <w:rPr>
                <w:rFonts w:ascii="Arial" w:hAnsi="Arial"/>
                <w:bCs/>
                <w:lang w:val="id-ID"/>
              </w:rPr>
            </w:pPr>
            <w:r>
              <w:rPr>
                <w:rFonts w:ascii="Arial" w:hAnsi="Arial"/>
                <w:bCs/>
                <w:lang w:val="id-ID"/>
              </w:rPr>
              <w:t>0,51</w:t>
            </w:r>
            <w:r w:rsidRPr="001A33CD">
              <w:rPr>
                <w:rFonts w:ascii="Arial" w:hAnsi="Arial"/>
                <w:bCs/>
                <w:vertAlign w:val="superscript"/>
                <w:lang w:val="id-ID"/>
              </w:rPr>
              <w:t>ns</w:t>
            </w:r>
          </w:p>
        </w:tc>
        <w:tc>
          <w:tcPr>
            <w:tcW w:w="1247" w:type="dxa"/>
            <w:tcBorders>
              <w:bottom w:val="single" w:sz="4" w:space="0" w:color="auto"/>
            </w:tcBorders>
          </w:tcPr>
          <w:p w14:paraId="4CABB368" w14:textId="47F0BA83" w:rsidR="00D953D0" w:rsidRPr="00A87A92" w:rsidRDefault="001A33CD" w:rsidP="00D953D0">
            <w:pPr>
              <w:tabs>
                <w:tab w:val="left" w:pos="1080"/>
              </w:tabs>
              <w:jc w:val="both"/>
              <w:rPr>
                <w:rFonts w:ascii="Arial" w:hAnsi="Arial"/>
                <w:bCs/>
                <w:lang w:val="id-ID"/>
              </w:rPr>
            </w:pPr>
            <w:r>
              <w:rPr>
                <w:rFonts w:ascii="Arial" w:hAnsi="Arial"/>
                <w:bCs/>
                <w:lang w:val="id-ID"/>
              </w:rPr>
              <w:t>0,83</w:t>
            </w:r>
            <w:r w:rsidRPr="001A33CD">
              <w:rPr>
                <w:rFonts w:ascii="Arial" w:hAnsi="Arial"/>
                <w:bCs/>
                <w:vertAlign w:val="superscript"/>
                <w:lang w:val="id-ID"/>
              </w:rPr>
              <w:t>ns</w:t>
            </w:r>
          </w:p>
        </w:tc>
        <w:tc>
          <w:tcPr>
            <w:tcW w:w="1026" w:type="dxa"/>
            <w:tcBorders>
              <w:bottom w:val="single" w:sz="4" w:space="0" w:color="auto"/>
            </w:tcBorders>
            <w:vAlign w:val="center"/>
          </w:tcPr>
          <w:p w14:paraId="720E8CF2" w14:textId="04233129" w:rsidR="00D953D0" w:rsidRPr="00A87A92" w:rsidRDefault="001A33CD" w:rsidP="00D953D0">
            <w:pPr>
              <w:tabs>
                <w:tab w:val="left" w:pos="1080"/>
              </w:tabs>
              <w:jc w:val="both"/>
              <w:rPr>
                <w:rFonts w:ascii="Arial" w:hAnsi="Arial"/>
                <w:bCs/>
                <w:lang w:val="id-ID"/>
              </w:rPr>
            </w:pPr>
            <w:r>
              <w:rPr>
                <w:rFonts w:ascii="Arial" w:hAnsi="Arial"/>
                <w:bCs/>
                <w:lang w:val="id-ID"/>
              </w:rPr>
              <w:t>36,39</w:t>
            </w:r>
            <w:r w:rsidRPr="001A33CD">
              <w:rPr>
                <w:rFonts w:ascii="Arial" w:hAnsi="Arial"/>
                <w:bCs/>
                <w:vertAlign w:val="superscript"/>
                <w:lang w:val="id-ID"/>
              </w:rPr>
              <w:t>T-</w:t>
            </w:r>
          </w:p>
        </w:tc>
      </w:tr>
    </w:tbl>
    <w:bookmarkEnd w:id="0"/>
    <w:p w14:paraId="35138B0D" w14:textId="2B4ECC0C" w:rsidR="00A87A92" w:rsidRPr="009C31A2" w:rsidRDefault="009C31A2" w:rsidP="009C31A2">
      <w:pPr>
        <w:pStyle w:val="BodyText3"/>
        <w:ind w:left="851" w:hanging="851"/>
        <w:jc w:val="both"/>
        <w:rPr>
          <w:rFonts w:ascii="Arial" w:hAnsi="Arial"/>
          <w:bCs/>
          <w:i/>
          <w:sz w:val="18"/>
          <w:lang w:val="en-ID"/>
        </w:rPr>
      </w:pPr>
      <w:r w:rsidRPr="009C31A2">
        <w:rPr>
          <w:rFonts w:ascii="Arial" w:hAnsi="Arial"/>
          <w:bCs/>
          <w:i/>
          <w:sz w:val="18"/>
          <w:lang w:val="en-ID"/>
        </w:rPr>
        <w:t>Note:  * = significantly affected at the 5% level, ns = not significantly affected at the 5% level. T= data transformed with √(x+0.5), T− = data with KK &gt;30% after transformation.</w:t>
      </w:r>
    </w:p>
    <w:p w14:paraId="3C52CBCA" w14:textId="61E2C721" w:rsidR="00332385" w:rsidRPr="00F56EC5" w:rsidRDefault="00332385" w:rsidP="00441B6F">
      <w:pPr>
        <w:pStyle w:val="Body"/>
        <w:spacing w:after="0"/>
        <w:rPr>
          <w:rFonts w:ascii="Arial" w:hAnsi="Arial" w:cs="Arial"/>
          <w:b/>
          <w:caps/>
          <w:sz w:val="22"/>
          <w:lang w:val="en-ID"/>
        </w:rPr>
      </w:pPr>
      <w:r w:rsidRPr="00F56EC5">
        <w:rPr>
          <w:rFonts w:ascii="Arial" w:hAnsi="Arial" w:cs="Arial"/>
          <w:b/>
          <w:caps/>
          <w:sz w:val="22"/>
          <w:lang w:val="en-ID"/>
        </w:rPr>
        <w:t>3.1</w:t>
      </w:r>
      <w:r w:rsidR="00F56EC5">
        <w:rPr>
          <w:rFonts w:ascii="Arial" w:hAnsi="Arial" w:cs="Arial"/>
          <w:b/>
          <w:caps/>
          <w:sz w:val="22"/>
          <w:lang w:val="en-ID"/>
        </w:rPr>
        <w:t xml:space="preserve"> </w:t>
      </w:r>
      <w:r w:rsidR="00F56EC5" w:rsidRPr="00F56EC5">
        <w:rPr>
          <w:rFonts w:ascii="Arial" w:hAnsi="Arial" w:cs="Arial"/>
          <w:b/>
          <w:sz w:val="22"/>
        </w:rPr>
        <w:t>Interaction Effect of Compound NPK Fertilizer Concentration and Sucrose in In Vitro Culture Medium</w:t>
      </w:r>
      <w:r w:rsidR="005A2CF2" w:rsidRPr="00F56EC5">
        <w:rPr>
          <w:rFonts w:ascii="Arial" w:hAnsi="Arial" w:cs="Arial"/>
          <w:b/>
          <w:sz w:val="22"/>
          <w:lang w:val="en-ID"/>
        </w:rPr>
        <w:t xml:space="preserve"> </w:t>
      </w:r>
    </w:p>
    <w:p w14:paraId="464678E3" w14:textId="77777777" w:rsidR="0081501D" w:rsidRPr="00F56EC5" w:rsidRDefault="0081501D" w:rsidP="00441B6F">
      <w:pPr>
        <w:pStyle w:val="Body"/>
        <w:spacing w:after="0"/>
        <w:rPr>
          <w:rFonts w:ascii="Arial" w:hAnsi="Arial" w:cs="Arial"/>
          <w:lang w:val="en-ID"/>
        </w:rPr>
      </w:pPr>
    </w:p>
    <w:p w14:paraId="6A381544" w14:textId="6184E508" w:rsidR="00B1701E" w:rsidRDefault="00F56EC5" w:rsidP="00441B6F">
      <w:pPr>
        <w:pStyle w:val="Body"/>
        <w:spacing w:after="0"/>
        <w:rPr>
          <w:rFonts w:ascii="Arial" w:hAnsi="Arial" w:cs="Arial"/>
          <w:lang w:val="en-ID"/>
        </w:rPr>
      </w:pPr>
      <w:r w:rsidRPr="00F56EC5">
        <w:rPr>
          <w:rFonts w:ascii="Arial" w:hAnsi="Arial" w:cs="Arial"/>
          <w:lang w:val="en-ID"/>
        </w:rPr>
        <w:t>There was an interaction between the concentration of compound NPK fertilizer and sucrose concentration on the number of micro-roots (Table 2). This interaction indicated different response patterns in the number of micro-roots for each treatment combination. MS medium supplemented with 60 g/L sucrose produced the highest mean number of micro-roots and was significantly different from sucrose concentrations of 30, 90, and 120 g/L.</w:t>
      </w:r>
      <w:r>
        <w:rPr>
          <w:rFonts w:ascii="Arial" w:hAnsi="Arial" w:cs="Arial"/>
          <w:lang w:val="en-ID"/>
        </w:rPr>
        <w:t xml:space="preserve"> </w:t>
      </w:r>
      <w:r w:rsidRPr="00F56EC5">
        <w:rPr>
          <w:rFonts w:ascii="Arial" w:hAnsi="Arial" w:cs="Arial"/>
          <w:lang w:val="en-ID"/>
        </w:rPr>
        <w:t>Under the 2 g/L compound NPK fertilizer treatment, a sucrose concentration of 60 g/L resulted in the highest mean number of micro-roots and was significantly different from the other sucrose concentrations. A similar pattern was observed under the 4 g/L compound NPK fertilizer treatment; however, all treatment combinations in this group produced a lower number of micro-roots compared to those grown on MS medium.</w:t>
      </w:r>
      <w:r>
        <w:rPr>
          <w:rFonts w:ascii="Arial" w:hAnsi="Arial" w:cs="Arial"/>
          <w:lang w:val="en-ID"/>
        </w:rPr>
        <w:t xml:space="preserve"> </w:t>
      </w:r>
      <w:r w:rsidRPr="00F56EC5">
        <w:rPr>
          <w:rFonts w:ascii="Arial" w:hAnsi="Arial" w:cs="Arial"/>
          <w:lang w:val="en-ID"/>
        </w:rPr>
        <w:t xml:space="preserve">The lower mean number of micro-roots observed in the compound NPK fertilizer media was presumably due to nutrient imbalance, particularly nitrogen, which may inhibit root initiation. This result is consistent with the findings of Utomo and Yunus (2021), who reported that compound NPK fertilizer media produced fewer roots than MS medium due to nitrogen imbalance, leading to nitrogen accumulation in the area where root primordia </w:t>
      </w:r>
      <w:proofErr w:type="spellStart"/>
      <w:proofErr w:type="gramStart"/>
      <w:r w:rsidRPr="00F56EC5">
        <w:rPr>
          <w:rFonts w:ascii="Arial" w:hAnsi="Arial" w:cs="Arial"/>
          <w:lang w:val="en-ID"/>
        </w:rPr>
        <w:t>develop.Overall</w:t>
      </w:r>
      <w:proofErr w:type="spellEnd"/>
      <w:proofErr w:type="gramEnd"/>
      <w:r w:rsidRPr="00F56EC5">
        <w:rPr>
          <w:rFonts w:ascii="Arial" w:hAnsi="Arial" w:cs="Arial"/>
          <w:lang w:val="en-ID"/>
        </w:rPr>
        <w:t>, the combination of MS medium supplemented with 60 g/L sucrose was the most effective treatment in increasing the number of micro</w:t>
      </w:r>
      <w:r w:rsidR="00641D81">
        <w:rPr>
          <w:rFonts w:ascii="Arial" w:hAnsi="Arial" w:cs="Arial"/>
          <w:lang w:val="en-ID"/>
        </w:rPr>
        <w:t xml:space="preserve"> </w:t>
      </w:r>
      <w:r w:rsidRPr="00F56EC5">
        <w:rPr>
          <w:rFonts w:ascii="Arial" w:hAnsi="Arial" w:cs="Arial"/>
          <w:lang w:val="en-ID"/>
        </w:rPr>
        <w:t>roots</w:t>
      </w:r>
      <w:r>
        <w:rPr>
          <w:rFonts w:ascii="Arial" w:hAnsi="Arial" w:cs="Arial"/>
          <w:lang w:val="en-ID"/>
        </w:rPr>
        <w:t>.</w:t>
      </w:r>
    </w:p>
    <w:p w14:paraId="0C4F7D46" w14:textId="77777777" w:rsidR="00D750F0" w:rsidRDefault="00D750F0" w:rsidP="00441B6F">
      <w:pPr>
        <w:pStyle w:val="Body"/>
        <w:spacing w:after="0"/>
        <w:rPr>
          <w:rFonts w:ascii="Arial" w:hAnsi="Arial" w:cs="Arial"/>
          <w:lang w:val="en-ID"/>
        </w:rPr>
      </w:pPr>
    </w:p>
    <w:p w14:paraId="7FB3535B" w14:textId="77777777" w:rsidR="00D750F0" w:rsidRDefault="00D750F0" w:rsidP="00441B6F">
      <w:pPr>
        <w:pStyle w:val="Body"/>
        <w:spacing w:after="0"/>
        <w:rPr>
          <w:rFonts w:ascii="Arial" w:hAnsi="Arial" w:cs="Arial"/>
          <w:lang w:val="en-ID"/>
        </w:rPr>
      </w:pPr>
    </w:p>
    <w:p w14:paraId="7CDE1FF3" w14:textId="77777777" w:rsidR="00D750F0" w:rsidRDefault="00D750F0" w:rsidP="00441B6F">
      <w:pPr>
        <w:pStyle w:val="Body"/>
        <w:spacing w:after="0"/>
        <w:rPr>
          <w:rFonts w:ascii="Arial" w:hAnsi="Arial" w:cs="Arial"/>
          <w:lang w:val="en-ID"/>
        </w:rPr>
      </w:pPr>
    </w:p>
    <w:p w14:paraId="77CAD404" w14:textId="77777777" w:rsidR="00D750F0" w:rsidRDefault="00D750F0" w:rsidP="00441B6F">
      <w:pPr>
        <w:pStyle w:val="Body"/>
        <w:spacing w:after="0"/>
        <w:rPr>
          <w:rFonts w:ascii="Arial" w:hAnsi="Arial" w:cs="Arial"/>
          <w:lang w:val="en-ID"/>
        </w:rPr>
      </w:pPr>
    </w:p>
    <w:p w14:paraId="68F93129" w14:textId="77777777" w:rsidR="00D750F0" w:rsidRDefault="00D750F0" w:rsidP="00441B6F">
      <w:pPr>
        <w:pStyle w:val="Body"/>
        <w:spacing w:after="0"/>
        <w:rPr>
          <w:rFonts w:ascii="Arial" w:hAnsi="Arial" w:cs="Arial"/>
          <w:lang w:val="en-ID"/>
        </w:rPr>
      </w:pPr>
    </w:p>
    <w:p w14:paraId="39B9B8E3" w14:textId="77777777" w:rsidR="00D750F0" w:rsidRPr="00F56EC5" w:rsidRDefault="00D750F0" w:rsidP="00441B6F">
      <w:pPr>
        <w:pStyle w:val="Body"/>
        <w:spacing w:after="0"/>
        <w:rPr>
          <w:rFonts w:ascii="Arial" w:hAnsi="Arial" w:cs="Arial"/>
          <w:lang w:val="en-ID"/>
        </w:rPr>
      </w:pPr>
    </w:p>
    <w:p w14:paraId="3D9F8EEF" w14:textId="631EE696" w:rsidR="00EA1D1F" w:rsidRPr="00DC65C5" w:rsidRDefault="00B1701E" w:rsidP="00B1701E">
      <w:pPr>
        <w:tabs>
          <w:tab w:val="left" w:pos="1080"/>
        </w:tabs>
        <w:jc w:val="both"/>
        <w:rPr>
          <w:rFonts w:ascii="Arial" w:hAnsi="Arial"/>
          <w:b/>
        </w:rPr>
      </w:pPr>
      <w:r w:rsidRPr="00EC715B">
        <w:rPr>
          <w:rFonts w:ascii="Arial" w:hAnsi="Arial"/>
          <w:b/>
          <w:lang w:val="id"/>
        </w:rPr>
        <w:lastRenderedPageBreak/>
        <w:t xml:space="preserve">Table </w:t>
      </w:r>
      <w:r w:rsidR="00A3462C">
        <w:rPr>
          <w:rFonts w:ascii="Arial" w:hAnsi="Arial"/>
          <w:b/>
          <w:lang w:val="id"/>
        </w:rPr>
        <w:t>2</w:t>
      </w:r>
      <w:r w:rsidRPr="00EC715B">
        <w:rPr>
          <w:rFonts w:ascii="Arial" w:hAnsi="Arial"/>
          <w:b/>
          <w:lang w:val="id"/>
        </w:rPr>
        <w:t>.</w:t>
      </w:r>
      <w:r w:rsidRPr="00EC715B">
        <w:rPr>
          <w:lang w:val="id"/>
        </w:rPr>
        <w:t xml:space="preserve"> </w:t>
      </w:r>
      <w:r w:rsidR="00EA1D1F" w:rsidRPr="00EA1D1F">
        <w:rPr>
          <w:rFonts w:ascii="Arial" w:hAnsi="Arial"/>
          <w:b/>
        </w:rPr>
        <w:t>Interaction of NPK Fertilizer Concentration and Sucrose on Micro</w:t>
      </w:r>
      <w:r w:rsidR="00C638E5">
        <w:rPr>
          <w:rFonts w:ascii="Arial" w:hAnsi="Arial"/>
          <w:b/>
        </w:rPr>
        <w:t xml:space="preserve"> </w:t>
      </w:r>
      <w:r w:rsidR="00EA1D1F" w:rsidRPr="00EA1D1F">
        <w:rPr>
          <w:rFonts w:ascii="Arial" w:hAnsi="Arial"/>
          <w:b/>
        </w:rPr>
        <w:t>Root Number</w:t>
      </w:r>
    </w:p>
    <w:tbl>
      <w:tblPr>
        <w:tblW w:w="5000" w:type="pct"/>
        <w:tblLayout w:type="fixed"/>
        <w:tblLook w:val="04A0" w:firstRow="1" w:lastRow="0" w:firstColumn="1" w:lastColumn="0" w:noHBand="0" w:noVBand="1"/>
      </w:tblPr>
      <w:tblGrid>
        <w:gridCol w:w="1580"/>
        <w:gridCol w:w="1648"/>
        <w:gridCol w:w="1700"/>
        <w:gridCol w:w="1702"/>
        <w:gridCol w:w="1794"/>
      </w:tblGrid>
      <w:tr w:rsidR="00B64658" w:rsidRPr="00B64658" w14:paraId="5C1E23A0" w14:textId="77777777" w:rsidTr="006D4AD5">
        <w:trPr>
          <w:trHeight w:val="300"/>
        </w:trPr>
        <w:tc>
          <w:tcPr>
            <w:tcW w:w="938" w:type="pct"/>
            <w:vMerge w:val="restart"/>
            <w:tcBorders>
              <w:top w:val="single" w:sz="4" w:space="0" w:color="auto"/>
            </w:tcBorders>
            <w:vAlign w:val="center"/>
            <w:hideMark/>
          </w:tcPr>
          <w:p w14:paraId="756BB7EA" w14:textId="11BA2660" w:rsidR="00B64658" w:rsidRPr="00EA1D1F" w:rsidRDefault="00EA1D1F" w:rsidP="00B64658">
            <w:pPr>
              <w:pStyle w:val="Body"/>
              <w:spacing w:after="0"/>
              <w:jc w:val="center"/>
              <w:rPr>
                <w:rFonts w:ascii="Arial" w:hAnsi="Arial" w:cs="Arial"/>
                <w:lang w:val="sv-SE"/>
              </w:rPr>
            </w:pPr>
            <w:r>
              <w:rPr>
                <w:lang w:val="sv-SE"/>
              </w:rPr>
              <w:t>Compound Fertilizer</w:t>
            </w:r>
            <w:r w:rsidRPr="00EA1D1F">
              <w:rPr>
                <w:lang w:val="sv-SE"/>
              </w:rPr>
              <w:t xml:space="preserve"> </w:t>
            </w:r>
            <w:r w:rsidRPr="00EA1D1F">
              <w:rPr>
                <w:rFonts w:ascii="Arial" w:hAnsi="Arial" w:cs="Arial"/>
                <w:lang w:val="sv-SE"/>
              </w:rPr>
              <w:t>Concentration</w:t>
            </w:r>
          </w:p>
        </w:tc>
        <w:tc>
          <w:tcPr>
            <w:tcW w:w="4062" w:type="pct"/>
            <w:gridSpan w:val="4"/>
            <w:tcBorders>
              <w:top w:val="single" w:sz="4" w:space="0" w:color="auto"/>
              <w:bottom w:val="single" w:sz="4" w:space="0" w:color="auto"/>
            </w:tcBorders>
            <w:noWrap/>
            <w:vAlign w:val="center"/>
            <w:hideMark/>
          </w:tcPr>
          <w:p w14:paraId="407B7AAD" w14:textId="52505F1A" w:rsidR="00B64658" w:rsidRPr="00B64658" w:rsidRDefault="002F65A7" w:rsidP="00B64658">
            <w:pPr>
              <w:pStyle w:val="Body"/>
              <w:spacing w:after="0"/>
              <w:jc w:val="center"/>
              <w:rPr>
                <w:rFonts w:ascii="Arial" w:hAnsi="Arial" w:cs="Arial"/>
              </w:rPr>
            </w:pPr>
            <w:r>
              <w:rPr>
                <w:rFonts w:ascii="Arial" w:hAnsi="Arial" w:cs="Arial"/>
              </w:rPr>
              <w:t>Su</w:t>
            </w:r>
            <w:r w:rsidR="00EA1D1F">
              <w:rPr>
                <w:rFonts w:ascii="Arial" w:hAnsi="Arial" w:cs="Arial"/>
              </w:rPr>
              <w:t>c</w:t>
            </w:r>
            <w:r>
              <w:rPr>
                <w:rFonts w:ascii="Arial" w:hAnsi="Arial" w:cs="Arial"/>
              </w:rPr>
              <w:t>ros</w:t>
            </w:r>
            <w:r w:rsidR="00EA1D1F">
              <w:rPr>
                <w:rFonts w:ascii="Arial" w:hAnsi="Arial" w:cs="Arial"/>
              </w:rPr>
              <w:t xml:space="preserve">e </w:t>
            </w:r>
            <w:r w:rsidR="00EA1D1F" w:rsidRPr="00EA1D1F">
              <w:rPr>
                <w:rFonts w:ascii="Arial" w:hAnsi="Arial" w:cs="Arial"/>
              </w:rPr>
              <w:t>Concentration</w:t>
            </w:r>
          </w:p>
        </w:tc>
      </w:tr>
      <w:tr w:rsidR="00B64658" w:rsidRPr="00B64658" w14:paraId="63774421" w14:textId="77777777" w:rsidTr="006D4AD5">
        <w:trPr>
          <w:trHeight w:val="1068"/>
        </w:trPr>
        <w:tc>
          <w:tcPr>
            <w:tcW w:w="938" w:type="pct"/>
            <w:vMerge/>
            <w:tcBorders>
              <w:bottom w:val="single" w:sz="4" w:space="0" w:color="auto"/>
            </w:tcBorders>
            <w:vAlign w:val="center"/>
            <w:hideMark/>
          </w:tcPr>
          <w:p w14:paraId="0B4996BB" w14:textId="77777777" w:rsidR="00B64658" w:rsidRPr="00B64658" w:rsidRDefault="00B64658" w:rsidP="00B64658">
            <w:pPr>
              <w:pStyle w:val="Body"/>
              <w:spacing w:after="0"/>
              <w:jc w:val="center"/>
              <w:rPr>
                <w:rFonts w:ascii="Arial" w:hAnsi="Arial" w:cs="Arial"/>
              </w:rPr>
            </w:pPr>
          </w:p>
        </w:tc>
        <w:tc>
          <w:tcPr>
            <w:tcW w:w="978" w:type="pct"/>
            <w:tcBorders>
              <w:top w:val="single" w:sz="4" w:space="0" w:color="auto"/>
              <w:bottom w:val="single" w:sz="4" w:space="0" w:color="auto"/>
            </w:tcBorders>
            <w:noWrap/>
            <w:vAlign w:val="center"/>
            <w:hideMark/>
          </w:tcPr>
          <w:p w14:paraId="2128431A" w14:textId="4168DFCD" w:rsidR="00B64658" w:rsidRPr="00B64658" w:rsidRDefault="002F65A7" w:rsidP="00B64658">
            <w:pPr>
              <w:pStyle w:val="Body"/>
              <w:spacing w:after="0"/>
              <w:jc w:val="center"/>
              <w:rPr>
                <w:rFonts w:ascii="Arial" w:hAnsi="Arial" w:cs="Arial"/>
              </w:rPr>
            </w:pPr>
            <w:r>
              <w:rPr>
                <w:rFonts w:ascii="Arial" w:hAnsi="Arial" w:cs="Arial"/>
              </w:rPr>
              <w:t>S0</w:t>
            </w:r>
          </w:p>
          <w:p w14:paraId="20A2F4A5" w14:textId="0949AE12" w:rsidR="00B64658" w:rsidRPr="00B64658" w:rsidRDefault="00B64658" w:rsidP="00B64658">
            <w:pPr>
              <w:pStyle w:val="Body"/>
              <w:spacing w:after="0"/>
              <w:jc w:val="center"/>
              <w:rPr>
                <w:rFonts w:ascii="Arial" w:hAnsi="Arial" w:cs="Arial"/>
              </w:rPr>
            </w:pPr>
            <w:r w:rsidRPr="00B64658">
              <w:rPr>
                <w:rFonts w:ascii="Arial" w:hAnsi="Arial" w:cs="Arial"/>
              </w:rPr>
              <w:t>(</w:t>
            </w:r>
            <w:r w:rsidR="002F65A7">
              <w:rPr>
                <w:rFonts w:ascii="Arial" w:hAnsi="Arial" w:cs="Arial"/>
              </w:rPr>
              <w:t>Su</w:t>
            </w:r>
            <w:r w:rsidR="00EA1D1F">
              <w:rPr>
                <w:rFonts w:ascii="Arial" w:hAnsi="Arial" w:cs="Arial"/>
              </w:rPr>
              <w:t>crose</w:t>
            </w:r>
            <w:r w:rsidR="002F65A7">
              <w:rPr>
                <w:rFonts w:ascii="Arial" w:hAnsi="Arial" w:cs="Arial"/>
              </w:rPr>
              <w:t xml:space="preserve"> 30g/L</w:t>
            </w:r>
            <w:r w:rsidRPr="00B64658">
              <w:rPr>
                <w:rFonts w:ascii="Arial" w:hAnsi="Arial" w:cs="Arial"/>
              </w:rPr>
              <w:t>)</w:t>
            </w:r>
          </w:p>
        </w:tc>
        <w:tc>
          <w:tcPr>
            <w:tcW w:w="1009" w:type="pct"/>
            <w:tcBorders>
              <w:top w:val="single" w:sz="4" w:space="0" w:color="auto"/>
              <w:bottom w:val="single" w:sz="4" w:space="0" w:color="auto"/>
            </w:tcBorders>
            <w:noWrap/>
            <w:vAlign w:val="center"/>
            <w:hideMark/>
          </w:tcPr>
          <w:p w14:paraId="26901A43" w14:textId="2F8A8915" w:rsidR="00B64658" w:rsidRPr="00B64658" w:rsidRDefault="002F65A7" w:rsidP="00B64658">
            <w:pPr>
              <w:pStyle w:val="Body"/>
              <w:spacing w:after="0"/>
              <w:jc w:val="center"/>
              <w:rPr>
                <w:rFonts w:ascii="Arial" w:hAnsi="Arial" w:cs="Arial"/>
              </w:rPr>
            </w:pPr>
            <w:r>
              <w:rPr>
                <w:rFonts w:ascii="Arial" w:hAnsi="Arial" w:cs="Arial"/>
              </w:rPr>
              <w:t>S</w:t>
            </w:r>
            <w:r w:rsidR="00B64658" w:rsidRPr="00B64658">
              <w:rPr>
                <w:rFonts w:ascii="Arial" w:hAnsi="Arial" w:cs="Arial"/>
              </w:rPr>
              <w:t>1</w:t>
            </w:r>
          </w:p>
          <w:p w14:paraId="641807FB" w14:textId="79A60675" w:rsidR="00B64658" w:rsidRPr="00B64658" w:rsidRDefault="00B64658" w:rsidP="002F65A7">
            <w:pPr>
              <w:pStyle w:val="Body"/>
              <w:spacing w:after="0"/>
              <w:jc w:val="center"/>
              <w:rPr>
                <w:rFonts w:ascii="Arial" w:hAnsi="Arial" w:cs="Arial"/>
              </w:rPr>
            </w:pPr>
            <w:r w:rsidRPr="00B64658">
              <w:rPr>
                <w:rFonts w:ascii="Arial" w:hAnsi="Arial" w:cs="Arial"/>
              </w:rPr>
              <w:t>(S</w:t>
            </w:r>
            <w:r w:rsidR="002F65A7">
              <w:rPr>
                <w:rFonts w:ascii="Arial" w:hAnsi="Arial" w:cs="Arial"/>
              </w:rPr>
              <w:t>u</w:t>
            </w:r>
            <w:r w:rsidR="00EA1D1F">
              <w:rPr>
                <w:rFonts w:ascii="Arial" w:hAnsi="Arial" w:cs="Arial"/>
              </w:rPr>
              <w:t>crose</w:t>
            </w:r>
            <w:r w:rsidR="002F65A7">
              <w:rPr>
                <w:rFonts w:ascii="Arial" w:hAnsi="Arial" w:cs="Arial"/>
              </w:rPr>
              <w:t xml:space="preserve"> 60g/L</w:t>
            </w:r>
            <w:r w:rsidRPr="00B64658">
              <w:rPr>
                <w:rFonts w:ascii="Arial" w:hAnsi="Arial" w:cs="Arial"/>
              </w:rPr>
              <w:t>)</w:t>
            </w:r>
          </w:p>
        </w:tc>
        <w:tc>
          <w:tcPr>
            <w:tcW w:w="1010" w:type="pct"/>
            <w:tcBorders>
              <w:top w:val="single" w:sz="4" w:space="0" w:color="auto"/>
              <w:bottom w:val="single" w:sz="4" w:space="0" w:color="auto"/>
            </w:tcBorders>
            <w:noWrap/>
            <w:vAlign w:val="center"/>
            <w:hideMark/>
          </w:tcPr>
          <w:p w14:paraId="08F7229F" w14:textId="7FE2CC09" w:rsidR="00B64658" w:rsidRPr="00B64658" w:rsidRDefault="002F65A7" w:rsidP="00B64658">
            <w:pPr>
              <w:pStyle w:val="Body"/>
              <w:spacing w:after="0"/>
              <w:jc w:val="center"/>
              <w:rPr>
                <w:rFonts w:ascii="Arial" w:hAnsi="Arial" w:cs="Arial"/>
              </w:rPr>
            </w:pPr>
            <w:r>
              <w:rPr>
                <w:rFonts w:ascii="Arial" w:hAnsi="Arial" w:cs="Arial"/>
              </w:rPr>
              <w:t>S</w:t>
            </w:r>
            <w:r w:rsidR="00B64658" w:rsidRPr="00B64658">
              <w:rPr>
                <w:rFonts w:ascii="Arial" w:hAnsi="Arial" w:cs="Arial"/>
              </w:rPr>
              <w:t>2</w:t>
            </w:r>
          </w:p>
          <w:p w14:paraId="0BF7E510" w14:textId="57F42038" w:rsidR="00B64658" w:rsidRPr="00B64658" w:rsidRDefault="00B64658" w:rsidP="00B64658">
            <w:pPr>
              <w:pStyle w:val="Body"/>
              <w:spacing w:after="0"/>
              <w:jc w:val="center"/>
              <w:rPr>
                <w:rFonts w:ascii="Arial" w:hAnsi="Arial" w:cs="Arial"/>
              </w:rPr>
            </w:pPr>
            <w:r w:rsidRPr="00B64658">
              <w:rPr>
                <w:rFonts w:ascii="Arial" w:hAnsi="Arial" w:cs="Arial"/>
              </w:rPr>
              <w:t>(S</w:t>
            </w:r>
            <w:r w:rsidR="002F65A7">
              <w:rPr>
                <w:rFonts w:ascii="Arial" w:hAnsi="Arial" w:cs="Arial"/>
              </w:rPr>
              <w:t>u</w:t>
            </w:r>
            <w:r w:rsidR="00EA1D1F">
              <w:rPr>
                <w:rFonts w:ascii="Arial" w:hAnsi="Arial" w:cs="Arial"/>
              </w:rPr>
              <w:t xml:space="preserve">crose </w:t>
            </w:r>
            <w:r w:rsidR="002F65A7">
              <w:rPr>
                <w:rFonts w:ascii="Arial" w:hAnsi="Arial" w:cs="Arial"/>
              </w:rPr>
              <w:t>90g/L</w:t>
            </w:r>
            <w:r w:rsidRPr="00B64658">
              <w:rPr>
                <w:rFonts w:ascii="Arial" w:hAnsi="Arial" w:cs="Arial"/>
              </w:rPr>
              <w:t>)</w:t>
            </w:r>
          </w:p>
        </w:tc>
        <w:tc>
          <w:tcPr>
            <w:tcW w:w="1065" w:type="pct"/>
            <w:tcBorders>
              <w:top w:val="single" w:sz="4" w:space="0" w:color="auto"/>
              <w:bottom w:val="single" w:sz="4" w:space="0" w:color="auto"/>
            </w:tcBorders>
            <w:noWrap/>
            <w:vAlign w:val="center"/>
            <w:hideMark/>
          </w:tcPr>
          <w:p w14:paraId="401B4C3D" w14:textId="402F1A50" w:rsidR="00B64658" w:rsidRPr="00B64658" w:rsidRDefault="002F65A7" w:rsidP="00B64658">
            <w:pPr>
              <w:pStyle w:val="Body"/>
              <w:spacing w:after="0"/>
              <w:jc w:val="center"/>
              <w:rPr>
                <w:rFonts w:ascii="Arial" w:hAnsi="Arial" w:cs="Arial"/>
              </w:rPr>
            </w:pPr>
            <w:r>
              <w:rPr>
                <w:rFonts w:ascii="Arial" w:hAnsi="Arial" w:cs="Arial"/>
              </w:rPr>
              <w:t>S</w:t>
            </w:r>
            <w:r w:rsidR="00B64658" w:rsidRPr="00B64658">
              <w:rPr>
                <w:rFonts w:ascii="Arial" w:hAnsi="Arial" w:cs="Arial"/>
              </w:rPr>
              <w:t>3</w:t>
            </w:r>
          </w:p>
          <w:p w14:paraId="72488730" w14:textId="02ACA021" w:rsidR="00B64658" w:rsidRPr="00B64658" w:rsidRDefault="00B64658" w:rsidP="00B64658">
            <w:pPr>
              <w:pStyle w:val="Body"/>
              <w:spacing w:after="0"/>
              <w:jc w:val="center"/>
              <w:rPr>
                <w:rFonts w:ascii="Arial" w:hAnsi="Arial" w:cs="Arial"/>
              </w:rPr>
            </w:pPr>
            <w:r w:rsidRPr="00B64658">
              <w:rPr>
                <w:rFonts w:ascii="Arial" w:hAnsi="Arial" w:cs="Arial"/>
              </w:rPr>
              <w:t>(</w:t>
            </w:r>
            <w:r w:rsidR="002F65A7">
              <w:rPr>
                <w:rFonts w:ascii="Arial" w:hAnsi="Arial" w:cs="Arial"/>
              </w:rPr>
              <w:t>Su</w:t>
            </w:r>
            <w:r w:rsidR="00EA1D1F">
              <w:rPr>
                <w:rFonts w:ascii="Arial" w:hAnsi="Arial" w:cs="Arial"/>
              </w:rPr>
              <w:t>crose</w:t>
            </w:r>
            <w:r w:rsidR="002F65A7">
              <w:rPr>
                <w:rFonts w:ascii="Arial" w:hAnsi="Arial" w:cs="Arial"/>
              </w:rPr>
              <w:t>120 g/L</w:t>
            </w:r>
            <w:r w:rsidRPr="00B64658">
              <w:rPr>
                <w:rFonts w:ascii="Arial" w:hAnsi="Arial" w:cs="Arial"/>
              </w:rPr>
              <w:t>)</w:t>
            </w:r>
          </w:p>
        </w:tc>
      </w:tr>
      <w:tr w:rsidR="002E12EE" w:rsidRPr="00B64658" w14:paraId="465190E9" w14:textId="77777777" w:rsidTr="006D4AD5">
        <w:trPr>
          <w:trHeight w:val="300"/>
        </w:trPr>
        <w:tc>
          <w:tcPr>
            <w:tcW w:w="938" w:type="pct"/>
            <w:vMerge w:val="restart"/>
            <w:tcBorders>
              <w:top w:val="single" w:sz="4" w:space="0" w:color="auto"/>
            </w:tcBorders>
            <w:noWrap/>
            <w:vAlign w:val="center"/>
            <w:hideMark/>
          </w:tcPr>
          <w:p w14:paraId="717DA464" w14:textId="7E05545F" w:rsidR="002E12EE" w:rsidRPr="00B64658" w:rsidRDefault="002E12EE" w:rsidP="002E12EE">
            <w:pPr>
              <w:pStyle w:val="Body"/>
              <w:spacing w:after="0"/>
              <w:jc w:val="center"/>
              <w:rPr>
                <w:rFonts w:ascii="Arial" w:hAnsi="Arial" w:cs="Arial"/>
              </w:rPr>
            </w:pPr>
            <w:r>
              <w:rPr>
                <w:rFonts w:ascii="Arial" w:hAnsi="Arial" w:cs="Arial"/>
              </w:rPr>
              <w:t>P0</w:t>
            </w:r>
            <w:r w:rsidRPr="00B64658">
              <w:rPr>
                <w:rFonts w:ascii="Arial" w:hAnsi="Arial" w:cs="Arial"/>
              </w:rPr>
              <w:t xml:space="preserve"> (</w:t>
            </w:r>
            <w:r>
              <w:rPr>
                <w:rFonts w:ascii="Arial" w:hAnsi="Arial" w:cs="Arial"/>
              </w:rPr>
              <w:t xml:space="preserve">Murashige and </w:t>
            </w:r>
            <w:proofErr w:type="spellStart"/>
            <w:r>
              <w:rPr>
                <w:rFonts w:ascii="Arial" w:hAnsi="Arial" w:cs="Arial"/>
              </w:rPr>
              <w:t>Skooq</w:t>
            </w:r>
            <w:proofErr w:type="spellEnd"/>
            <w:r w:rsidRPr="00B64658">
              <w:rPr>
                <w:rFonts w:ascii="Arial" w:hAnsi="Arial" w:cs="Arial"/>
              </w:rPr>
              <w:t>)</w:t>
            </w:r>
          </w:p>
        </w:tc>
        <w:tc>
          <w:tcPr>
            <w:tcW w:w="978" w:type="pct"/>
            <w:tcBorders>
              <w:top w:val="single" w:sz="4" w:space="0" w:color="auto"/>
            </w:tcBorders>
            <w:noWrap/>
            <w:hideMark/>
          </w:tcPr>
          <w:p w14:paraId="7C187A93" w14:textId="38A4DEC6" w:rsidR="002E12EE" w:rsidRPr="00B64658" w:rsidRDefault="002E12EE" w:rsidP="002E12EE">
            <w:pPr>
              <w:pStyle w:val="Body"/>
              <w:spacing w:after="0"/>
              <w:jc w:val="center"/>
              <w:rPr>
                <w:rFonts w:ascii="Arial" w:hAnsi="Arial" w:cs="Arial"/>
              </w:rPr>
            </w:pPr>
            <w:r w:rsidRPr="007B54B7">
              <w:t>4,67</w:t>
            </w:r>
            <w:r>
              <w:t xml:space="preserve"> </w:t>
            </w:r>
            <w:r w:rsidR="00753001">
              <w:t>c</w:t>
            </w:r>
          </w:p>
        </w:tc>
        <w:tc>
          <w:tcPr>
            <w:tcW w:w="1009" w:type="pct"/>
            <w:tcBorders>
              <w:top w:val="single" w:sz="4" w:space="0" w:color="auto"/>
            </w:tcBorders>
            <w:noWrap/>
            <w:hideMark/>
          </w:tcPr>
          <w:p w14:paraId="5223491F" w14:textId="3DB9B612" w:rsidR="002E12EE" w:rsidRPr="00B64658" w:rsidRDefault="002E12EE" w:rsidP="002E12EE">
            <w:pPr>
              <w:pStyle w:val="Body"/>
              <w:spacing w:after="0"/>
              <w:jc w:val="center"/>
              <w:rPr>
                <w:rFonts w:ascii="Arial" w:hAnsi="Arial" w:cs="Arial"/>
              </w:rPr>
            </w:pPr>
            <w:r w:rsidRPr="00B204C6">
              <w:t>12,89</w:t>
            </w:r>
            <w:r>
              <w:t xml:space="preserve"> </w:t>
            </w:r>
            <w:r w:rsidR="00753001">
              <w:t>a</w:t>
            </w:r>
          </w:p>
        </w:tc>
        <w:tc>
          <w:tcPr>
            <w:tcW w:w="1010" w:type="pct"/>
            <w:tcBorders>
              <w:top w:val="single" w:sz="4" w:space="0" w:color="auto"/>
            </w:tcBorders>
            <w:noWrap/>
            <w:hideMark/>
          </w:tcPr>
          <w:p w14:paraId="2EB8FD82" w14:textId="3F5AE074" w:rsidR="002E12EE" w:rsidRPr="00B64658" w:rsidRDefault="002E12EE" w:rsidP="002E12EE">
            <w:pPr>
              <w:pStyle w:val="Body"/>
              <w:spacing w:after="0"/>
              <w:jc w:val="center"/>
              <w:rPr>
                <w:rFonts w:ascii="Arial" w:hAnsi="Arial" w:cs="Arial"/>
              </w:rPr>
            </w:pPr>
            <w:r w:rsidRPr="00F7529B">
              <w:t>5,70</w:t>
            </w:r>
            <w:r>
              <w:t xml:space="preserve"> </w:t>
            </w:r>
            <w:r w:rsidR="00753001">
              <w:t>b</w:t>
            </w:r>
          </w:p>
        </w:tc>
        <w:tc>
          <w:tcPr>
            <w:tcW w:w="1065" w:type="pct"/>
            <w:tcBorders>
              <w:top w:val="single" w:sz="4" w:space="0" w:color="auto"/>
            </w:tcBorders>
            <w:noWrap/>
            <w:hideMark/>
          </w:tcPr>
          <w:p w14:paraId="09E23680" w14:textId="7D0DE393" w:rsidR="002E12EE" w:rsidRPr="00B64658" w:rsidRDefault="002E12EE" w:rsidP="002E12EE">
            <w:pPr>
              <w:pStyle w:val="Body"/>
              <w:spacing w:after="0"/>
              <w:jc w:val="center"/>
              <w:rPr>
                <w:rFonts w:ascii="Arial" w:hAnsi="Arial" w:cs="Arial"/>
              </w:rPr>
            </w:pPr>
            <w:r w:rsidRPr="006215BF">
              <w:t>3,15</w:t>
            </w:r>
            <w:r>
              <w:t xml:space="preserve"> </w:t>
            </w:r>
            <w:r w:rsidR="00753001">
              <w:t>d</w:t>
            </w:r>
          </w:p>
        </w:tc>
      </w:tr>
      <w:tr w:rsidR="002E12EE" w:rsidRPr="00B64658" w14:paraId="7B86FE37" w14:textId="77777777" w:rsidTr="006D4AD5">
        <w:trPr>
          <w:trHeight w:val="300"/>
        </w:trPr>
        <w:tc>
          <w:tcPr>
            <w:tcW w:w="938" w:type="pct"/>
            <w:vMerge/>
            <w:vAlign w:val="center"/>
            <w:hideMark/>
          </w:tcPr>
          <w:p w14:paraId="42310E44" w14:textId="77777777" w:rsidR="002E12EE" w:rsidRPr="00B64658" w:rsidRDefault="002E12EE" w:rsidP="002E12EE">
            <w:pPr>
              <w:pStyle w:val="Body"/>
              <w:spacing w:after="0"/>
              <w:jc w:val="center"/>
              <w:rPr>
                <w:rFonts w:ascii="Arial" w:hAnsi="Arial" w:cs="Arial"/>
              </w:rPr>
            </w:pPr>
          </w:p>
        </w:tc>
        <w:tc>
          <w:tcPr>
            <w:tcW w:w="978" w:type="pct"/>
            <w:noWrap/>
            <w:hideMark/>
          </w:tcPr>
          <w:p w14:paraId="6EFD1573" w14:textId="19D5F738" w:rsidR="002E12EE" w:rsidRPr="00B64658" w:rsidRDefault="00753001" w:rsidP="002E12EE">
            <w:pPr>
              <w:pStyle w:val="Body"/>
              <w:spacing w:after="0"/>
              <w:jc w:val="center"/>
              <w:rPr>
                <w:rFonts w:ascii="Arial" w:hAnsi="Arial" w:cs="Arial"/>
              </w:rPr>
            </w:pPr>
            <w:r>
              <w:rPr>
                <w:rFonts w:cs="Arial"/>
              </w:rPr>
              <w:t>A</w:t>
            </w:r>
          </w:p>
        </w:tc>
        <w:tc>
          <w:tcPr>
            <w:tcW w:w="1009" w:type="pct"/>
            <w:noWrap/>
            <w:hideMark/>
          </w:tcPr>
          <w:p w14:paraId="7E2CD94E" w14:textId="19E5465B" w:rsidR="002E12EE" w:rsidRPr="00B64658" w:rsidRDefault="00753001" w:rsidP="002E12EE">
            <w:pPr>
              <w:pStyle w:val="Body"/>
              <w:spacing w:after="0"/>
              <w:jc w:val="center"/>
              <w:rPr>
                <w:rFonts w:ascii="Arial" w:hAnsi="Arial" w:cs="Arial"/>
              </w:rPr>
            </w:pPr>
            <w:r>
              <w:rPr>
                <w:rFonts w:cs="Arial"/>
              </w:rPr>
              <w:t>A</w:t>
            </w:r>
          </w:p>
        </w:tc>
        <w:tc>
          <w:tcPr>
            <w:tcW w:w="1010" w:type="pct"/>
            <w:noWrap/>
            <w:hideMark/>
          </w:tcPr>
          <w:p w14:paraId="19998158" w14:textId="6756619B" w:rsidR="002E12EE" w:rsidRPr="00B64658" w:rsidRDefault="00753001" w:rsidP="002E12EE">
            <w:pPr>
              <w:pStyle w:val="Body"/>
              <w:spacing w:after="0"/>
              <w:jc w:val="center"/>
              <w:rPr>
                <w:rFonts w:ascii="Arial" w:hAnsi="Arial" w:cs="Arial"/>
              </w:rPr>
            </w:pPr>
            <w:r>
              <w:rPr>
                <w:rFonts w:cs="Arial"/>
              </w:rPr>
              <w:t>A</w:t>
            </w:r>
          </w:p>
        </w:tc>
        <w:tc>
          <w:tcPr>
            <w:tcW w:w="1065" w:type="pct"/>
            <w:noWrap/>
            <w:hideMark/>
          </w:tcPr>
          <w:p w14:paraId="3103D820" w14:textId="75748880" w:rsidR="002E12EE" w:rsidRPr="00B64658" w:rsidRDefault="00753001" w:rsidP="002E12EE">
            <w:pPr>
              <w:pStyle w:val="Body"/>
              <w:spacing w:after="0"/>
              <w:jc w:val="center"/>
              <w:rPr>
                <w:rFonts w:ascii="Arial" w:hAnsi="Arial" w:cs="Arial"/>
              </w:rPr>
            </w:pPr>
            <w:r>
              <w:rPr>
                <w:rFonts w:cs="Arial"/>
              </w:rPr>
              <w:t>A</w:t>
            </w:r>
          </w:p>
        </w:tc>
      </w:tr>
      <w:tr w:rsidR="002E12EE" w:rsidRPr="00B64658" w14:paraId="309C6FD4" w14:textId="77777777" w:rsidTr="006D4AD5">
        <w:trPr>
          <w:trHeight w:val="300"/>
        </w:trPr>
        <w:tc>
          <w:tcPr>
            <w:tcW w:w="938" w:type="pct"/>
            <w:vMerge w:val="restart"/>
            <w:noWrap/>
            <w:vAlign w:val="center"/>
            <w:hideMark/>
          </w:tcPr>
          <w:p w14:paraId="04D385D6" w14:textId="6439833E" w:rsidR="002E12EE" w:rsidRPr="00B64658" w:rsidRDefault="002E12EE" w:rsidP="002E12EE">
            <w:pPr>
              <w:pStyle w:val="Body"/>
              <w:spacing w:after="0"/>
              <w:jc w:val="center"/>
              <w:rPr>
                <w:rFonts w:ascii="Arial" w:hAnsi="Arial" w:cs="Arial"/>
              </w:rPr>
            </w:pPr>
            <w:r>
              <w:rPr>
                <w:rFonts w:ascii="Arial" w:hAnsi="Arial" w:cs="Arial"/>
              </w:rPr>
              <w:t>P1</w:t>
            </w:r>
            <w:r w:rsidRPr="00B64658">
              <w:rPr>
                <w:rFonts w:ascii="Arial" w:hAnsi="Arial" w:cs="Arial"/>
              </w:rPr>
              <w:t xml:space="preserve"> (</w:t>
            </w:r>
            <w:r>
              <w:rPr>
                <w:rFonts w:ascii="Arial" w:hAnsi="Arial" w:cs="Arial"/>
              </w:rPr>
              <w:t>NPK 2 g/L</w:t>
            </w:r>
            <w:r w:rsidRPr="00B64658">
              <w:rPr>
                <w:rFonts w:ascii="Arial" w:hAnsi="Arial" w:cs="Arial"/>
              </w:rPr>
              <w:t>)</w:t>
            </w:r>
          </w:p>
        </w:tc>
        <w:tc>
          <w:tcPr>
            <w:tcW w:w="978" w:type="pct"/>
            <w:noWrap/>
            <w:hideMark/>
          </w:tcPr>
          <w:p w14:paraId="41C20DFA" w14:textId="1ECA1ABF" w:rsidR="002E12EE" w:rsidRPr="00B64658" w:rsidRDefault="002E12EE" w:rsidP="002E12EE">
            <w:pPr>
              <w:pStyle w:val="Body"/>
              <w:spacing w:after="0"/>
              <w:jc w:val="center"/>
              <w:rPr>
                <w:rFonts w:ascii="Arial" w:hAnsi="Arial" w:cs="Arial"/>
              </w:rPr>
            </w:pPr>
            <w:r w:rsidRPr="007B54B7">
              <w:t>0,74</w:t>
            </w:r>
            <w:r>
              <w:t xml:space="preserve"> </w:t>
            </w:r>
            <w:r w:rsidR="00753001">
              <w:t>b</w:t>
            </w:r>
          </w:p>
        </w:tc>
        <w:tc>
          <w:tcPr>
            <w:tcW w:w="1009" w:type="pct"/>
            <w:noWrap/>
            <w:hideMark/>
          </w:tcPr>
          <w:p w14:paraId="4C9F023E" w14:textId="2F2E78B2" w:rsidR="002E12EE" w:rsidRPr="00B64658" w:rsidRDefault="002E12EE" w:rsidP="002E12EE">
            <w:pPr>
              <w:pStyle w:val="Body"/>
              <w:spacing w:after="0"/>
              <w:jc w:val="center"/>
              <w:rPr>
                <w:rFonts w:ascii="Arial" w:hAnsi="Arial" w:cs="Arial"/>
              </w:rPr>
            </w:pPr>
            <w:r w:rsidRPr="00B204C6">
              <w:t>1,48</w:t>
            </w:r>
            <w:r>
              <w:t xml:space="preserve"> </w:t>
            </w:r>
            <w:r w:rsidR="00753001">
              <w:t>a</w:t>
            </w:r>
          </w:p>
        </w:tc>
        <w:tc>
          <w:tcPr>
            <w:tcW w:w="1010" w:type="pct"/>
            <w:noWrap/>
            <w:hideMark/>
          </w:tcPr>
          <w:p w14:paraId="0B25D6E0" w14:textId="1A2D49A0" w:rsidR="002E12EE" w:rsidRPr="00B64658" w:rsidRDefault="002E12EE" w:rsidP="002E12EE">
            <w:pPr>
              <w:pStyle w:val="Body"/>
              <w:spacing w:after="0"/>
              <w:jc w:val="center"/>
              <w:rPr>
                <w:rFonts w:ascii="Arial" w:hAnsi="Arial" w:cs="Arial"/>
              </w:rPr>
            </w:pPr>
            <w:r w:rsidRPr="00F7529B">
              <w:t>0,85</w:t>
            </w:r>
            <w:r>
              <w:t xml:space="preserve"> </w:t>
            </w:r>
            <w:r w:rsidR="00753001">
              <w:t>b</w:t>
            </w:r>
          </w:p>
        </w:tc>
        <w:tc>
          <w:tcPr>
            <w:tcW w:w="1065" w:type="pct"/>
            <w:noWrap/>
            <w:hideMark/>
          </w:tcPr>
          <w:p w14:paraId="45B0F464" w14:textId="75346D7A" w:rsidR="002E12EE" w:rsidRPr="00B64658" w:rsidRDefault="002E12EE" w:rsidP="002E12EE">
            <w:pPr>
              <w:pStyle w:val="Body"/>
              <w:spacing w:after="0"/>
              <w:jc w:val="center"/>
              <w:rPr>
                <w:rFonts w:ascii="Arial" w:hAnsi="Arial" w:cs="Arial"/>
              </w:rPr>
            </w:pPr>
            <w:r w:rsidRPr="006215BF">
              <w:t>1,31</w:t>
            </w:r>
            <w:r>
              <w:t xml:space="preserve"> </w:t>
            </w:r>
            <w:r w:rsidR="00753001">
              <w:t>b</w:t>
            </w:r>
          </w:p>
        </w:tc>
      </w:tr>
      <w:tr w:rsidR="002E12EE" w:rsidRPr="00B64658" w14:paraId="74D76112" w14:textId="77777777" w:rsidTr="006D4AD5">
        <w:trPr>
          <w:trHeight w:val="300"/>
        </w:trPr>
        <w:tc>
          <w:tcPr>
            <w:tcW w:w="938" w:type="pct"/>
            <w:vMerge/>
            <w:vAlign w:val="center"/>
            <w:hideMark/>
          </w:tcPr>
          <w:p w14:paraId="7C7AE723" w14:textId="77777777" w:rsidR="002E12EE" w:rsidRPr="00B64658" w:rsidRDefault="002E12EE" w:rsidP="002E12EE">
            <w:pPr>
              <w:pStyle w:val="Body"/>
              <w:spacing w:after="0"/>
              <w:jc w:val="center"/>
              <w:rPr>
                <w:rFonts w:ascii="Arial" w:hAnsi="Arial" w:cs="Arial"/>
              </w:rPr>
            </w:pPr>
          </w:p>
        </w:tc>
        <w:tc>
          <w:tcPr>
            <w:tcW w:w="978" w:type="pct"/>
            <w:noWrap/>
            <w:hideMark/>
          </w:tcPr>
          <w:p w14:paraId="120222BA" w14:textId="6379813D" w:rsidR="002E12EE" w:rsidRPr="00B64658" w:rsidRDefault="00753001" w:rsidP="002E12EE">
            <w:pPr>
              <w:pStyle w:val="Body"/>
              <w:spacing w:after="0"/>
              <w:jc w:val="center"/>
              <w:rPr>
                <w:rFonts w:ascii="Arial" w:hAnsi="Arial" w:cs="Arial"/>
              </w:rPr>
            </w:pPr>
            <w:r>
              <w:rPr>
                <w:rFonts w:cs="Arial"/>
              </w:rPr>
              <w:t>B</w:t>
            </w:r>
          </w:p>
        </w:tc>
        <w:tc>
          <w:tcPr>
            <w:tcW w:w="1009" w:type="pct"/>
            <w:noWrap/>
            <w:hideMark/>
          </w:tcPr>
          <w:p w14:paraId="76FAFA88" w14:textId="349FD8A3" w:rsidR="002E12EE" w:rsidRPr="00B64658" w:rsidRDefault="00753001" w:rsidP="002E12EE">
            <w:pPr>
              <w:pStyle w:val="Body"/>
              <w:spacing w:after="0"/>
              <w:jc w:val="center"/>
              <w:rPr>
                <w:rFonts w:ascii="Arial" w:hAnsi="Arial" w:cs="Arial"/>
              </w:rPr>
            </w:pPr>
            <w:r>
              <w:rPr>
                <w:rFonts w:cs="Arial"/>
              </w:rPr>
              <w:t>B</w:t>
            </w:r>
          </w:p>
        </w:tc>
        <w:tc>
          <w:tcPr>
            <w:tcW w:w="1010" w:type="pct"/>
            <w:noWrap/>
            <w:hideMark/>
          </w:tcPr>
          <w:p w14:paraId="156A1FC1" w14:textId="5E4CFBF5" w:rsidR="002E12EE" w:rsidRPr="00B64658" w:rsidRDefault="00753001" w:rsidP="002E12EE">
            <w:pPr>
              <w:pStyle w:val="Body"/>
              <w:spacing w:after="0"/>
              <w:jc w:val="center"/>
              <w:rPr>
                <w:rFonts w:ascii="Arial" w:hAnsi="Arial" w:cs="Arial"/>
              </w:rPr>
            </w:pPr>
            <w:r>
              <w:rPr>
                <w:rFonts w:cs="Arial"/>
              </w:rPr>
              <w:t>B</w:t>
            </w:r>
          </w:p>
        </w:tc>
        <w:tc>
          <w:tcPr>
            <w:tcW w:w="1065" w:type="pct"/>
            <w:noWrap/>
            <w:hideMark/>
          </w:tcPr>
          <w:p w14:paraId="2350FBC4" w14:textId="27384A5C" w:rsidR="002E12EE" w:rsidRPr="00B64658" w:rsidRDefault="00753001" w:rsidP="002E12EE">
            <w:pPr>
              <w:pStyle w:val="Body"/>
              <w:spacing w:after="0"/>
              <w:jc w:val="center"/>
              <w:rPr>
                <w:rFonts w:ascii="Arial" w:hAnsi="Arial" w:cs="Arial"/>
              </w:rPr>
            </w:pPr>
            <w:r>
              <w:rPr>
                <w:rFonts w:cs="Arial"/>
              </w:rPr>
              <w:t>B</w:t>
            </w:r>
          </w:p>
        </w:tc>
      </w:tr>
      <w:tr w:rsidR="002E12EE" w:rsidRPr="00B64658" w14:paraId="3B360A32" w14:textId="77777777" w:rsidTr="006D4AD5">
        <w:trPr>
          <w:trHeight w:val="300"/>
        </w:trPr>
        <w:tc>
          <w:tcPr>
            <w:tcW w:w="938" w:type="pct"/>
            <w:vMerge w:val="restart"/>
            <w:noWrap/>
            <w:vAlign w:val="center"/>
            <w:hideMark/>
          </w:tcPr>
          <w:p w14:paraId="05B3EBB3" w14:textId="07CA475F" w:rsidR="002E12EE" w:rsidRPr="00B64658" w:rsidRDefault="002E12EE" w:rsidP="002E12EE">
            <w:pPr>
              <w:pStyle w:val="Body"/>
              <w:spacing w:after="0"/>
              <w:jc w:val="center"/>
              <w:rPr>
                <w:rFonts w:ascii="Arial" w:hAnsi="Arial" w:cs="Arial"/>
              </w:rPr>
            </w:pPr>
            <w:r>
              <w:rPr>
                <w:rFonts w:ascii="Arial" w:hAnsi="Arial" w:cs="Arial"/>
              </w:rPr>
              <w:t>P2</w:t>
            </w:r>
            <w:r w:rsidRPr="00B64658">
              <w:rPr>
                <w:rFonts w:ascii="Arial" w:hAnsi="Arial" w:cs="Arial"/>
              </w:rPr>
              <w:t xml:space="preserve"> (</w:t>
            </w:r>
            <w:r>
              <w:rPr>
                <w:rFonts w:ascii="Arial" w:hAnsi="Arial" w:cs="Arial"/>
              </w:rPr>
              <w:t>NPK 4 g/L</w:t>
            </w:r>
            <w:r w:rsidRPr="00B64658">
              <w:rPr>
                <w:rFonts w:ascii="Arial" w:hAnsi="Arial" w:cs="Arial"/>
              </w:rPr>
              <w:t>)</w:t>
            </w:r>
          </w:p>
        </w:tc>
        <w:tc>
          <w:tcPr>
            <w:tcW w:w="978" w:type="pct"/>
            <w:noWrap/>
            <w:hideMark/>
          </w:tcPr>
          <w:p w14:paraId="6265E4C1" w14:textId="4797502D" w:rsidR="002E12EE" w:rsidRPr="00B64658" w:rsidRDefault="002E12EE" w:rsidP="002E12EE">
            <w:pPr>
              <w:pStyle w:val="Body"/>
              <w:spacing w:after="0"/>
              <w:jc w:val="center"/>
              <w:rPr>
                <w:rFonts w:ascii="Arial" w:hAnsi="Arial" w:cs="Arial"/>
              </w:rPr>
            </w:pPr>
            <w:r w:rsidRPr="007B54B7">
              <w:t>0,56</w:t>
            </w:r>
            <w:r>
              <w:t xml:space="preserve"> </w:t>
            </w:r>
            <w:r w:rsidR="00753001">
              <w:t>b</w:t>
            </w:r>
          </w:p>
        </w:tc>
        <w:tc>
          <w:tcPr>
            <w:tcW w:w="1009" w:type="pct"/>
            <w:noWrap/>
            <w:hideMark/>
          </w:tcPr>
          <w:p w14:paraId="7A0598D3" w14:textId="79EBC6F9" w:rsidR="002E12EE" w:rsidRPr="00B64658" w:rsidRDefault="002E12EE" w:rsidP="002E12EE">
            <w:pPr>
              <w:pStyle w:val="Body"/>
              <w:spacing w:after="0"/>
              <w:jc w:val="center"/>
              <w:rPr>
                <w:rFonts w:ascii="Arial" w:hAnsi="Arial" w:cs="Arial"/>
              </w:rPr>
            </w:pPr>
            <w:r w:rsidRPr="00B204C6">
              <w:t>0,70</w:t>
            </w:r>
            <w:r>
              <w:t xml:space="preserve"> </w:t>
            </w:r>
            <w:r w:rsidR="00753001">
              <w:t>a</w:t>
            </w:r>
          </w:p>
        </w:tc>
        <w:tc>
          <w:tcPr>
            <w:tcW w:w="1010" w:type="pct"/>
            <w:noWrap/>
            <w:hideMark/>
          </w:tcPr>
          <w:p w14:paraId="43C4D941" w14:textId="001A276F" w:rsidR="002E12EE" w:rsidRPr="00B64658" w:rsidRDefault="002E12EE" w:rsidP="002E12EE">
            <w:pPr>
              <w:pStyle w:val="Body"/>
              <w:spacing w:after="0"/>
              <w:jc w:val="center"/>
              <w:rPr>
                <w:rFonts w:ascii="Arial" w:hAnsi="Arial" w:cs="Arial"/>
              </w:rPr>
            </w:pPr>
            <w:r w:rsidRPr="00F7529B">
              <w:t>0,56</w:t>
            </w:r>
            <w:r>
              <w:t xml:space="preserve"> </w:t>
            </w:r>
            <w:r w:rsidR="00753001">
              <w:t>b</w:t>
            </w:r>
          </w:p>
        </w:tc>
        <w:tc>
          <w:tcPr>
            <w:tcW w:w="1065" w:type="pct"/>
            <w:noWrap/>
            <w:hideMark/>
          </w:tcPr>
          <w:p w14:paraId="71CF5D2A" w14:textId="724F6C1F" w:rsidR="002E12EE" w:rsidRPr="00B64658" w:rsidRDefault="002E12EE" w:rsidP="002E12EE">
            <w:pPr>
              <w:pStyle w:val="Body"/>
              <w:spacing w:after="0"/>
              <w:jc w:val="center"/>
              <w:rPr>
                <w:rFonts w:ascii="Arial" w:hAnsi="Arial" w:cs="Arial"/>
              </w:rPr>
            </w:pPr>
            <w:r w:rsidRPr="006215BF">
              <w:t>0,67</w:t>
            </w:r>
            <w:r>
              <w:t xml:space="preserve"> </w:t>
            </w:r>
            <w:r w:rsidR="00753001">
              <w:t>b</w:t>
            </w:r>
          </w:p>
        </w:tc>
      </w:tr>
      <w:tr w:rsidR="002E12EE" w:rsidRPr="00B64658" w14:paraId="40BA986C" w14:textId="77777777" w:rsidTr="006D4AD5">
        <w:trPr>
          <w:trHeight w:val="300"/>
        </w:trPr>
        <w:tc>
          <w:tcPr>
            <w:tcW w:w="938" w:type="pct"/>
            <w:vMerge/>
            <w:tcBorders>
              <w:bottom w:val="single" w:sz="4" w:space="0" w:color="auto"/>
            </w:tcBorders>
            <w:vAlign w:val="center"/>
            <w:hideMark/>
          </w:tcPr>
          <w:p w14:paraId="2331F669" w14:textId="77777777" w:rsidR="002E12EE" w:rsidRPr="00B64658" w:rsidRDefault="002E12EE" w:rsidP="002E12EE">
            <w:pPr>
              <w:pStyle w:val="Body"/>
              <w:spacing w:after="0"/>
              <w:jc w:val="center"/>
              <w:rPr>
                <w:rFonts w:ascii="Arial" w:hAnsi="Arial" w:cs="Arial"/>
              </w:rPr>
            </w:pPr>
          </w:p>
        </w:tc>
        <w:tc>
          <w:tcPr>
            <w:tcW w:w="978" w:type="pct"/>
            <w:tcBorders>
              <w:bottom w:val="single" w:sz="4" w:space="0" w:color="auto"/>
            </w:tcBorders>
            <w:noWrap/>
            <w:hideMark/>
          </w:tcPr>
          <w:p w14:paraId="4EC6D03E" w14:textId="73EDFEA2" w:rsidR="002E12EE" w:rsidRPr="00B64658" w:rsidRDefault="00753001" w:rsidP="002E12EE">
            <w:pPr>
              <w:pStyle w:val="Body"/>
              <w:spacing w:after="0"/>
              <w:jc w:val="center"/>
              <w:rPr>
                <w:rFonts w:ascii="Arial" w:hAnsi="Arial" w:cs="Arial"/>
              </w:rPr>
            </w:pPr>
            <w:r>
              <w:rPr>
                <w:rFonts w:cs="Arial"/>
              </w:rPr>
              <w:t>B</w:t>
            </w:r>
          </w:p>
        </w:tc>
        <w:tc>
          <w:tcPr>
            <w:tcW w:w="1009" w:type="pct"/>
            <w:tcBorders>
              <w:bottom w:val="single" w:sz="4" w:space="0" w:color="auto"/>
            </w:tcBorders>
            <w:noWrap/>
            <w:hideMark/>
          </w:tcPr>
          <w:p w14:paraId="3C2FB9E8" w14:textId="793DAF47" w:rsidR="002E12EE" w:rsidRPr="00B64658" w:rsidRDefault="00753001" w:rsidP="002E12EE">
            <w:pPr>
              <w:pStyle w:val="Body"/>
              <w:spacing w:after="0"/>
              <w:jc w:val="center"/>
              <w:rPr>
                <w:rFonts w:ascii="Arial" w:hAnsi="Arial" w:cs="Arial"/>
              </w:rPr>
            </w:pPr>
            <w:r>
              <w:rPr>
                <w:rFonts w:cs="Arial"/>
              </w:rPr>
              <w:t>B</w:t>
            </w:r>
          </w:p>
        </w:tc>
        <w:tc>
          <w:tcPr>
            <w:tcW w:w="1010" w:type="pct"/>
            <w:tcBorders>
              <w:bottom w:val="single" w:sz="4" w:space="0" w:color="auto"/>
            </w:tcBorders>
            <w:noWrap/>
            <w:hideMark/>
          </w:tcPr>
          <w:p w14:paraId="0DFBDBE4" w14:textId="49ED9F5B" w:rsidR="002E12EE" w:rsidRPr="00B64658" w:rsidRDefault="00753001" w:rsidP="002E12EE">
            <w:pPr>
              <w:pStyle w:val="Body"/>
              <w:spacing w:after="0"/>
              <w:jc w:val="center"/>
              <w:rPr>
                <w:rFonts w:ascii="Arial" w:hAnsi="Arial" w:cs="Arial"/>
              </w:rPr>
            </w:pPr>
            <w:r>
              <w:rPr>
                <w:rFonts w:cs="Arial"/>
              </w:rPr>
              <w:t>B</w:t>
            </w:r>
          </w:p>
        </w:tc>
        <w:tc>
          <w:tcPr>
            <w:tcW w:w="1065" w:type="pct"/>
            <w:tcBorders>
              <w:bottom w:val="single" w:sz="4" w:space="0" w:color="auto"/>
            </w:tcBorders>
            <w:noWrap/>
            <w:hideMark/>
          </w:tcPr>
          <w:p w14:paraId="122F6ECE" w14:textId="02B94B0A" w:rsidR="002E12EE" w:rsidRPr="00B64658" w:rsidRDefault="00753001" w:rsidP="002E12EE">
            <w:pPr>
              <w:pStyle w:val="Body"/>
              <w:spacing w:after="0"/>
              <w:jc w:val="center"/>
              <w:rPr>
                <w:rFonts w:ascii="Arial" w:hAnsi="Arial" w:cs="Arial"/>
              </w:rPr>
            </w:pPr>
            <w:r>
              <w:rPr>
                <w:rFonts w:cs="Arial"/>
              </w:rPr>
              <w:t>B</w:t>
            </w:r>
          </w:p>
        </w:tc>
      </w:tr>
    </w:tbl>
    <w:p w14:paraId="0D00E46E" w14:textId="77777777" w:rsidR="003C7623" w:rsidRPr="003C7623" w:rsidRDefault="003C7623" w:rsidP="003C7623">
      <w:pPr>
        <w:ind w:left="567" w:hanging="567"/>
        <w:jc w:val="both"/>
        <w:rPr>
          <w:rFonts w:ascii="Arial" w:hAnsi="Arial"/>
          <w:bCs/>
          <w:i/>
          <w:sz w:val="18"/>
          <w:lang w:val="en-ID"/>
        </w:rPr>
      </w:pPr>
      <w:r w:rsidRPr="003C7623">
        <w:rPr>
          <w:rFonts w:ascii="Arial" w:hAnsi="Arial"/>
          <w:bCs/>
          <w:i/>
          <w:sz w:val="18"/>
          <w:lang w:val="en-ID"/>
        </w:rPr>
        <w:t>Note: Numbers followed by the same capital letter and in the same column are not significantly different in the DMRT 5% level follow-up test. Numbers followed by the same lowercase letter and in the same row are not significantly different in the DMRT 5% level follow-up test.</w:t>
      </w:r>
    </w:p>
    <w:p w14:paraId="63468F12" w14:textId="77777777" w:rsidR="004F60D9" w:rsidRPr="003C7623" w:rsidRDefault="004F60D9" w:rsidP="004F60D9">
      <w:pPr>
        <w:tabs>
          <w:tab w:val="left" w:pos="1080"/>
        </w:tabs>
        <w:ind w:left="1080" w:hanging="1080"/>
        <w:jc w:val="both"/>
        <w:rPr>
          <w:rFonts w:ascii="Arial" w:hAnsi="Arial"/>
          <w:b/>
          <w:lang w:val="en-ID"/>
        </w:rPr>
      </w:pPr>
    </w:p>
    <w:p w14:paraId="40D14E80" w14:textId="77777777" w:rsidR="00DC65C5" w:rsidRPr="00DC65C5" w:rsidRDefault="00DC65C5" w:rsidP="00DC65C5">
      <w:pPr>
        <w:tabs>
          <w:tab w:val="left" w:pos="1080"/>
        </w:tabs>
        <w:jc w:val="both"/>
        <w:rPr>
          <w:rFonts w:ascii="Arial" w:hAnsi="Arial" w:cs="Arial"/>
          <w:lang w:val="en-ID"/>
        </w:rPr>
      </w:pPr>
      <w:r w:rsidRPr="00DC65C5">
        <w:rPr>
          <w:rFonts w:ascii="Arial" w:hAnsi="Arial" w:cs="Arial"/>
          <w:lang w:val="en-ID"/>
        </w:rPr>
        <w:t>An interaction was observed between the concentration of compound NPK fertilizer and sucrose concentration on the number of micro-leaves (Table 3).</w:t>
      </w:r>
    </w:p>
    <w:p w14:paraId="7139E9CC" w14:textId="77777777" w:rsidR="006D4AD5" w:rsidRPr="00DC65C5" w:rsidRDefault="006D4AD5" w:rsidP="00BA2791">
      <w:pPr>
        <w:tabs>
          <w:tab w:val="left" w:pos="1080"/>
        </w:tabs>
        <w:jc w:val="both"/>
        <w:rPr>
          <w:rFonts w:ascii="Arial" w:hAnsi="Arial"/>
          <w:b/>
          <w:lang w:val="en-ID"/>
        </w:rPr>
      </w:pPr>
    </w:p>
    <w:p w14:paraId="2935D1C0" w14:textId="439971C3" w:rsidR="00DB7AC8" w:rsidRPr="00B1701E" w:rsidRDefault="0039064A" w:rsidP="0039064A">
      <w:pPr>
        <w:tabs>
          <w:tab w:val="left" w:pos="1080"/>
        </w:tabs>
        <w:jc w:val="both"/>
        <w:rPr>
          <w:rFonts w:ascii="Arial" w:hAnsi="Arial"/>
          <w:b/>
          <w:lang w:val="id"/>
        </w:rPr>
      </w:pPr>
      <w:r w:rsidRPr="00EC715B">
        <w:rPr>
          <w:rFonts w:ascii="Arial" w:hAnsi="Arial"/>
          <w:b/>
          <w:lang w:val="id"/>
        </w:rPr>
        <w:t xml:space="preserve">Table </w:t>
      </w:r>
      <w:r w:rsidR="007B0EB8">
        <w:rPr>
          <w:rFonts w:ascii="Arial" w:hAnsi="Arial"/>
          <w:b/>
          <w:lang w:val="id"/>
        </w:rPr>
        <w:t>3</w:t>
      </w:r>
      <w:r w:rsidR="00DC65C5">
        <w:rPr>
          <w:rFonts w:ascii="Arial" w:hAnsi="Arial"/>
          <w:b/>
          <w:lang w:val="id"/>
        </w:rPr>
        <w:t xml:space="preserve">. </w:t>
      </w:r>
      <w:r w:rsidR="00DC65C5" w:rsidRPr="00DC65C5">
        <w:rPr>
          <w:rFonts w:ascii="Arial" w:hAnsi="Arial"/>
          <w:b/>
        </w:rPr>
        <w:t>Interaction of NPK Fertilizer Concentration and Sucrose on Micro</w:t>
      </w:r>
      <w:r w:rsidR="00C638E5">
        <w:rPr>
          <w:rFonts w:ascii="Arial" w:hAnsi="Arial"/>
          <w:b/>
        </w:rPr>
        <w:t xml:space="preserve"> </w:t>
      </w:r>
      <w:r w:rsidR="00DC65C5" w:rsidRPr="00DC65C5">
        <w:rPr>
          <w:rFonts w:ascii="Arial" w:hAnsi="Arial"/>
          <w:b/>
        </w:rPr>
        <w:t>Leaf Number</w:t>
      </w:r>
    </w:p>
    <w:tbl>
      <w:tblPr>
        <w:tblW w:w="5000" w:type="pct"/>
        <w:tblLayout w:type="fixed"/>
        <w:tblLook w:val="04A0" w:firstRow="1" w:lastRow="0" w:firstColumn="1" w:lastColumn="0" w:noHBand="0" w:noVBand="1"/>
      </w:tblPr>
      <w:tblGrid>
        <w:gridCol w:w="1580"/>
        <w:gridCol w:w="1648"/>
        <w:gridCol w:w="1700"/>
        <w:gridCol w:w="1702"/>
        <w:gridCol w:w="1794"/>
      </w:tblGrid>
      <w:tr w:rsidR="00DB7AC8" w:rsidRPr="00B64658" w14:paraId="4BE282D5" w14:textId="77777777" w:rsidTr="002E1D2B">
        <w:trPr>
          <w:trHeight w:val="300"/>
        </w:trPr>
        <w:tc>
          <w:tcPr>
            <w:tcW w:w="938" w:type="pct"/>
            <w:vMerge w:val="restart"/>
            <w:tcBorders>
              <w:top w:val="single" w:sz="4" w:space="0" w:color="auto"/>
            </w:tcBorders>
            <w:vAlign w:val="center"/>
            <w:hideMark/>
          </w:tcPr>
          <w:p w14:paraId="21713495" w14:textId="7092BF79" w:rsidR="00DB7AC8" w:rsidRPr="00840C4C" w:rsidRDefault="00DC65C5" w:rsidP="002E1D2B">
            <w:pPr>
              <w:pStyle w:val="Body"/>
              <w:spacing w:after="0"/>
              <w:jc w:val="center"/>
              <w:rPr>
                <w:rFonts w:ascii="Arial" w:hAnsi="Arial" w:cs="Arial"/>
                <w:lang w:val="sv-SE"/>
              </w:rPr>
            </w:pPr>
            <w:r>
              <w:rPr>
                <w:lang w:val="sv-SE"/>
              </w:rPr>
              <w:t>Compound Fertilizer</w:t>
            </w:r>
            <w:r w:rsidRPr="00EA1D1F">
              <w:rPr>
                <w:lang w:val="sv-SE"/>
              </w:rPr>
              <w:t xml:space="preserve"> </w:t>
            </w:r>
            <w:r w:rsidRPr="00EA1D1F">
              <w:rPr>
                <w:rFonts w:ascii="Arial" w:hAnsi="Arial" w:cs="Arial"/>
                <w:lang w:val="sv-SE"/>
              </w:rPr>
              <w:t>Concentration</w:t>
            </w:r>
          </w:p>
        </w:tc>
        <w:tc>
          <w:tcPr>
            <w:tcW w:w="4062" w:type="pct"/>
            <w:gridSpan w:val="4"/>
            <w:tcBorders>
              <w:top w:val="single" w:sz="4" w:space="0" w:color="auto"/>
            </w:tcBorders>
            <w:noWrap/>
            <w:vAlign w:val="center"/>
            <w:hideMark/>
          </w:tcPr>
          <w:p w14:paraId="0EFAF054" w14:textId="6EEE6A6B" w:rsidR="00DB7AC8" w:rsidRPr="00B64658" w:rsidRDefault="00DC65C5" w:rsidP="002E1D2B">
            <w:pPr>
              <w:pStyle w:val="Body"/>
              <w:spacing w:after="0"/>
              <w:jc w:val="center"/>
              <w:rPr>
                <w:rFonts w:ascii="Arial" w:hAnsi="Arial" w:cs="Arial"/>
              </w:rPr>
            </w:pPr>
            <w:r>
              <w:rPr>
                <w:rFonts w:ascii="Arial" w:hAnsi="Arial" w:cs="Arial"/>
              </w:rPr>
              <w:t xml:space="preserve">Sucrose </w:t>
            </w:r>
            <w:r w:rsidRPr="00EA1D1F">
              <w:rPr>
                <w:rFonts w:ascii="Arial" w:hAnsi="Arial" w:cs="Arial"/>
              </w:rPr>
              <w:t>Concentration</w:t>
            </w:r>
          </w:p>
        </w:tc>
      </w:tr>
      <w:tr w:rsidR="00DC65C5" w:rsidRPr="00B64658" w14:paraId="7EF7F50C" w14:textId="77777777" w:rsidTr="002E1D2B">
        <w:trPr>
          <w:trHeight w:val="1068"/>
        </w:trPr>
        <w:tc>
          <w:tcPr>
            <w:tcW w:w="938" w:type="pct"/>
            <w:vMerge/>
            <w:tcBorders>
              <w:bottom w:val="single" w:sz="4" w:space="0" w:color="auto"/>
            </w:tcBorders>
            <w:vAlign w:val="center"/>
            <w:hideMark/>
          </w:tcPr>
          <w:p w14:paraId="4BC207AF" w14:textId="77777777" w:rsidR="00DC65C5" w:rsidRPr="00B64658" w:rsidRDefault="00DC65C5" w:rsidP="00DC65C5">
            <w:pPr>
              <w:pStyle w:val="Body"/>
              <w:spacing w:after="0"/>
              <w:jc w:val="center"/>
              <w:rPr>
                <w:rFonts w:ascii="Arial" w:hAnsi="Arial" w:cs="Arial"/>
              </w:rPr>
            </w:pPr>
          </w:p>
        </w:tc>
        <w:tc>
          <w:tcPr>
            <w:tcW w:w="978" w:type="pct"/>
            <w:tcBorders>
              <w:top w:val="single" w:sz="4" w:space="0" w:color="auto"/>
              <w:bottom w:val="single" w:sz="4" w:space="0" w:color="auto"/>
            </w:tcBorders>
            <w:noWrap/>
            <w:vAlign w:val="center"/>
            <w:hideMark/>
          </w:tcPr>
          <w:p w14:paraId="75D2947E" w14:textId="77777777" w:rsidR="00DC65C5" w:rsidRPr="00B64658" w:rsidRDefault="00DC65C5" w:rsidP="00DC65C5">
            <w:pPr>
              <w:pStyle w:val="Body"/>
              <w:spacing w:after="0"/>
              <w:jc w:val="center"/>
              <w:rPr>
                <w:rFonts w:ascii="Arial" w:hAnsi="Arial" w:cs="Arial"/>
              </w:rPr>
            </w:pPr>
            <w:r>
              <w:rPr>
                <w:rFonts w:ascii="Arial" w:hAnsi="Arial" w:cs="Arial"/>
              </w:rPr>
              <w:t>S0</w:t>
            </w:r>
          </w:p>
          <w:p w14:paraId="3A6F057D" w14:textId="2A97ABD2" w:rsidR="00DC65C5" w:rsidRPr="00B64658" w:rsidRDefault="00DC65C5" w:rsidP="00DC65C5">
            <w:pPr>
              <w:pStyle w:val="Body"/>
              <w:spacing w:after="0"/>
              <w:jc w:val="center"/>
              <w:rPr>
                <w:rFonts w:ascii="Arial" w:hAnsi="Arial" w:cs="Arial"/>
              </w:rPr>
            </w:pPr>
            <w:r w:rsidRPr="00B64658">
              <w:rPr>
                <w:rFonts w:ascii="Arial" w:hAnsi="Arial" w:cs="Arial"/>
              </w:rPr>
              <w:t>(</w:t>
            </w:r>
            <w:r>
              <w:rPr>
                <w:rFonts w:ascii="Arial" w:hAnsi="Arial" w:cs="Arial"/>
              </w:rPr>
              <w:t>Sucrose 30g/L</w:t>
            </w:r>
            <w:r w:rsidRPr="00B64658">
              <w:rPr>
                <w:rFonts w:ascii="Arial" w:hAnsi="Arial" w:cs="Arial"/>
              </w:rPr>
              <w:t>)</w:t>
            </w:r>
          </w:p>
        </w:tc>
        <w:tc>
          <w:tcPr>
            <w:tcW w:w="1009" w:type="pct"/>
            <w:tcBorders>
              <w:top w:val="single" w:sz="4" w:space="0" w:color="auto"/>
              <w:bottom w:val="single" w:sz="4" w:space="0" w:color="auto"/>
            </w:tcBorders>
            <w:noWrap/>
            <w:vAlign w:val="center"/>
            <w:hideMark/>
          </w:tcPr>
          <w:p w14:paraId="0D6C9382" w14:textId="77777777" w:rsidR="00DC65C5" w:rsidRPr="00B64658" w:rsidRDefault="00DC65C5" w:rsidP="00DC65C5">
            <w:pPr>
              <w:pStyle w:val="Body"/>
              <w:spacing w:after="0"/>
              <w:jc w:val="center"/>
              <w:rPr>
                <w:rFonts w:ascii="Arial" w:hAnsi="Arial" w:cs="Arial"/>
              </w:rPr>
            </w:pPr>
            <w:r>
              <w:rPr>
                <w:rFonts w:ascii="Arial" w:hAnsi="Arial" w:cs="Arial"/>
              </w:rPr>
              <w:t>S</w:t>
            </w:r>
            <w:r w:rsidRPr="00B64658">
              <w:rPr>
                <w:rFonts w:ascii="Arial" w:hAnsi="Arial" w:cs="Arial"/>
              </w:rPr>
              <w:t>1</w:t>
            </w:r>
          </w:p>
          <w:p w14:paraId="376A03DB" w14:textId="1963A331" w:rsidR="00DC65C5" w:rsidRPr="00B64658" w:rsidRDefault="00DC65C5" w:rsidP="00DC65C5">
            <w:pPr>
              <w:pStyle w:val="Body"/>
              <w:spacing w:after="0"/>
              <w:jc w:val="center"/>
              <w:rPr>
                <w:rFonts w:ascii="Arial" w:hAnsi="Arial" w:cs="Arial"/>
              </w:rPr>
            </w:pPr>
            <w:r w:rsidRPr="00B64658">
              <w:rPr>
                <w:rFonts w:ascii="Arial" w:hAnsi="Arial" w:cs="Arial"/>
              </w:rPr>
              <w:t>(S</w:t>
            </w:r>
            <w:r>
              <w:rPr>
                <w:rFonts w:ascii="Arial" w:hAnsi="Arial" w:cs="Arial"/>
              </w:rPr>
              <w:t>ucrose 60g/L</w:t>
            </w:r>
            <w:r w:rsidRPr="00B64658">
              <w:rPr>
                <w:rFonts w:ascii="Arial" w:hAnsi="Arial" w:cs="Arial"/>
              </w:rPr>
              <w:t>)</w:t>
            </w:r>
          </w:p>
        </w:tc>
        <w:tc>
          <w:tcPr>
            <w:tcW w:w="1010" w:type="pct"/>
            <w:tcBorders>
              <w:top w:val="single" w:sz="4" w:space="0" w:color="auto"/>
              <w:bottom w:val="single" w:sz="4" w:space="0" w:color="auto"/>
            </w:tcBorders>
            <w:noWrap/>
            <w:vAlign w:val="center"/>
            <w:hideMark/>
          </w:tcPr>
          <w:p w14:paraId="09596F86" w14:textId="77777777" w:rsidR="00DC65C5" w:rsidRPr="00B64658" w:rsidRDefault="00DC65C5" w:rsidP="00DC65C5">
            <w:pPr>
              <w:pStyle w:val="Body"/>
              <w:spacing w:after="0"/>
              <w:jc w:val="center"/>
              <w:rPr>
                <w:rFonts w:ascii="Arial" w:hAnsi="Arial" w:cs="Arial"/>
              </w:rPr>
            </w:pPr>
            <w:r>
              <w:rPr>
                <w:rFonts w:ascii="Arial" w:hAnsi="Arial" w:cs="Arial"/>
              </w:rPr>
              <w:t>S</w:t>
            </w:r>
            <w:r w:rsidRPr="00B64658">
              <w:rPr>
                <w:rFonts w:ascii="Arial" w:hAnsi="Arial" w:cs="Arial"/>
              </w:rPr>
              <w:t>2</w:t>
            </w:r>
          </w:p>
          <w:p w14:paraId="43FBE693" w14:textId="47182C9D" w:rsidR="00DC65C5" w:rsidRPr="00B64658" w:rsidRDefault="00DC65C5" w:rsidP="00DC65C5">
            <w:pPr>
              <w:pStyle w:val="Body"/>
              <w:spacing w:after="0"/>
              <w:jc w:val="center"/>
              <w:rPr>
                <w:rFonts w:ascii="Arial" w:hAnsi="Arial" w:cs="Arial"/>
              </w:rPr>
            </w:pPr>
            <w:r w:rsidRPr="00B64658">
              <w:rPr>
                <w:rFonts w:ascii="Arial" w:hAnsi="Arial" w:cs="Arial"/>
              </w:rPr>
              <w:t>(S</w:t>
            </w:r>
            <w:r>
              <w:rPr>
                <w:rFonts w:ascii="Arial" w:hAnsi="Arial" w:cs="Arial"/>
              </w:rPr>
              <w:t>ucrose 90g/L</w:t>
            </w:r>
            <w:r w:rsidRPr="00B64658">
              <w:rPr>
                <w:rFonts w:ascii="Arial" w:hAnsi="Arial" w:cs="Arial"/>
              </w:rPr>
              <w:t>)</w:t>
            </w:r>
          </w:p>
        </w:tc>
        <w:tc>
          <w:tcPr>
            <w:tcW w:w="1065" w:type="pct"/>
            <w:tcBorders>
              <w:top w:val="single" w:sz="4" w:space="0" w:color="auto"/>
              <w:bottom w:val="single" w:sz="4" w:space="0" w:color="auto"/>
            </w:tcBorders>
            <w:noWrap/>
            <w:vAlign w:val="center"/>
            <w:hideMark/>
          </w:tcPr>
          <w:p w14:paraId="5CBCC7CE" w14:textId="77777777" w:rsidR="00DC65C5" w:rsidRPr="00B64658" w:rsidRDefault="00DC65C5" w:rsidP="00DC65C5">
            <w:pPr>
              <w:pStyle w:val="Body"/>
              <w:spacing w:after="0"/>
              <w:jc w:val="center"/>
              <w:rPr>
                <w:rFonts w:ascii="Arial" w:hAnsi="Arial" w:cs="Arial"/>
              </w:rPr>
            </w:pPr>
            <w:r>
              <w:rPr>
                <w:rFonts w:ascii="Arial" w:hAnsi="Arial" w:cs="Arial"/>
              </w:rPr>
              <w:t>S</w:t>
            </w:r>
            <w:r w:rsidRPr="00B64658">
              <w:rPr>
                <w:rFonts w:ascii="Arial" w:hAnsi="Arial" w:cs="Arial"/>
              </w:rPr>
              <w:t>3</w:t>
            </w:r>
          </w:p>
          <w:p w14:paraId="16A97B9D" w14:textId="514A02A0" w:rsidR="00DC65C5" w:rsidRPr="00B64658" w:rsidRDefault="00DC65C5" w:rsidP="00DC65C5">
            <w:pPr>
              <w:pStyle w:val="Body"/>
              <w:spacing w:after="0"/>
              <w:jc w:val="center"/>
              <w:rPr>
                <w:rFonts w:ascii="Arial" w:hAnsi="Arial" w:cs="Arial"/>
              </w:rPr>
            </w:pPr>
            <w:r w:rsidRPr="00B64658">
              <w:rPr>
                <w:rFonts w:ascii="Arial" w:hAnsi="Arial" w:cs="Arial"/>
              </w:rPr>
              <w:t>(</w:t>
            </w:r>
            <w:r>
              <w:rPr>
                <w:rFonts w:ascii="Arial" w:hAnsi="Arial" w:cs="Arial"/>
              </w:rPr>
              <w:t>Sucrose120 g/L</w:t>
            </w:r>
            <w:r w:rsidRPr="00B64658">
              <w:rPr>
                <w:rFonts w:ascii="Arial" w:hAnsi="Arial" w:cs="Arial"/>
              </w:rPr>
              <w:t>)</w:t>
            </w:r>
          </w:p>
        </w:tc>
      </w:tr>
      <w:tr w:rsidR="00DB7AC8" w:rsidRPr="00B64658" w14:paraId="3F4DDDD3" w14:textId="77777777" w:rsidTr="002E1D2B">
        <w:trPr>
          <w:trHeight w:val="300"/>
        </w:trPr>
        <w:tc>
          <w:tcPr>
            <w:tcW w:w="938" w:type="pct"/>
            <w:vMerge w:val="restart"/>
            <w:tcBorders>
              <w:top w:val="single" w:sz="4" w:space="0" w:color="auto"/>
            </w:tcBorders>
            <w:noWrap/>
            <w:vAlign w:val="center"/>
            <w:hideMark/>
          </w:tcPr>
          <w:p w14:paraId="0980C459" w14:textId="77777777" w:rsidR="00DB7AC8" w:rsidRPr="00B64658" w:rsidRDefault="00DB7AC8" w:rsidP="002E1D2B">
            <w:pPr>
              <w:pStyle w:val="Body"/>
              <w:spacing w:after="0"/>
              <w:jc w:val="center"/>
              <w:rPr>
                <w:rFonts w:ascii="Arial" w:hAnsi="Arial" w:cs="Arial"/>
              </w:rPr>
            </w:pPr>
            <w:r>
              <w:rPr>
                <w:rFonts w:ascii="Arial" w:hAnsi="Arial" w:cs="Arial"/>
              </w:rPr>
              <w:t>P0</w:t>
            </w:r>
            <w:r w:rsidRPr="00B64658">
              <w:rPr>
                <w:rFonts w:ascii="Arial" w:hAnsi="Arial" w:cs="Arial"/>
              </w:rPr>
              <w:t xml:space="preserve"> (</w:t>
            </w:r>
            <w:r>
              <w:rPr>
                <w:rFonts w:ascii="Arial" w:hAnsi="Arial" w:cs="Arial"/>
              </w:rPr>
              <w:t xml:space="preserve">Murashige and </w:t>
            </w:r>
            <w:proofErr w:type="spellStart"/>
            <w:r>
              <w:rPr>
                <w:rFonts w:ascii="Arial" w:hAnsi="Arial" w:cs="Arial"/>
              </w:rPr>
              <w:t>Skooq</w:t>
            </w:r>
            <w:proofErr w:type="spellEnd"/>
            <w:r w:rsidRPr="00B64658">
              <w:rPr>
                <w:rFonts w:ascii="Arial" w:hAnsi="Arial" w:cs="Arial"/>
              </w:rPr>
              <w:t>)</w:t>
            </w:r>
          </w:p>
        </w:tc>
        <w:tc>
          <w:tcPr>
            <w:tcW w:w="978" w:type="pct"/>
            <w:tcBorders>
              <w:top w:val="single" w:sz="4" w:space="0" w:color="auto"/>
            </w:tcBorders>
            <w:noWrap/>
            <w:hideMark/>
          </w:tcPr>
          <w:p w14:paraId="2BF94EE5" w14:textId="44342E0A" w:rsidR="00DB7AC8" w:rsidRPr="00B64658" w:rsidRDefault="006F08DF" w:rsidP="002E1D2B">
            <w:pPr>
              <w:pStyle w:val="Body"/>
              <w:spacing w:after="0"/>
              <w:jc w:val="center"/>
              <w:rPr>
                <w:rFonts w:ascii="Arial" w:hAnsi="Arial" w:cs="Arial"/>
              </w:rPr>
            </w:pPr>
            <w:r>
              <w:t>1,40</w:t>
            </w:r>
            <w:r w:rsidR="00DB7AC8">
              <w:t xml:space="preserve"> </w:t>
            </w:r>
            <w:r w:rsidR="00753001">
              <w:t>a</w:t>
            </w:r>
          </w:p>
        </w:tc>
        <w:tc>
          <w:tcPr>
            <w:tcW w:w="1009" w:type="pct"/>
            <w:tcBorders>
              <w:top w:val="single" w:sz="4" w:space="0" w:color="auto"/>
            </w:tcBorders>
            <w:noWrap/>
            <w:hideMark/>
          </w:tcPr>
          <w:p w14:paraId="16546263" w14:textId="4B4163CA" w:rsidR="00DB7AC8" w:rsidRPr="00B64658" w:rsidRDefault="006F08DF" w:rsidP="002E1D2B">
            <w:pPr>
              <w:pStyle w:val="Body"/>
              <w:spacing w:after="0"/>
              <w:jc w:val="center"/>
              <w:rPr>
                <w:rFonts w:ascii="Arial" w:hAnsi="Arial" w:cs="Arial"/>
              </w:rPr>
            </w:pPr>
            <w:r>
              <w:t>1,99</w:t>
            </w:r>
            <w:r w:rsidR="00DB7AC8">
              <w:t xml:space="preserve"> </w:t>
            </w:r>
            <w:r w:rsidR="00753001">
              <w:t>a</w:t>
            </w:r>
          </w:p>
        </w:tc>
        <w:tc>
          <w:tcPr>
            <w:tcW w:w="1010" w:type="pct"/>
            <w:tcBorders>
              <w:top w:val="single" w:sz="4" w:space="0" w:color="auto"/>
            </w:tcBorders>
            <w:noWrap/>
            <w:hideMark/>
          </w:tcPr>
          <w:p w14:paraId="3E4F3679" w14:textId="313DCA0D" w:rsidR="00DB7AC8" w:rsidRPr="00B64658" w:rsidRDefault="00463346" w:rsidP="002E1D2B">
            <w:pPr>
              <w:pStyle w:val="Body"/>
              <w:spacing w:after="0"/>
              <w:jc w:val="center"/>
              <w:rPr>
                <w:rFonts w:ascii="Arial" w:hAnsi="Arial" w:cs="Arial"/>
              </w:rPr>
            </w:pPr>
            <w:r>
              <w:t>1,78</w:t>
            </w:r>
            <w:r w:rsidR="00DB7AC8">
              <w:t xml:space="preserve"> </w:t>
            </w:r>
            <w:r w:rsidR="00753001">
              <w:t>a</w:t>
            </w:r>
          </w:p>
        </w:tc>
        <w:tc>
          <w:tcPr>
            <w:tcW w:w="1065" w:type="pct"/>
            <w:tcBorders>
              <w:top w:val="single" w:sz="4" w:space="0" w:color="auto"/>
            </w:tcBorders>
            <w:noWrap/>
            <w:hideMark/>
          </w:tcPr>
          <w:p w14:paraId="7FE996DF" w14:textId="28196B13" w:rsidR="00DB7AC8" w:rsidRPr="00B64658" w:rsidRDefault="00463346" w:rsidP="002E1D2B">
            <w:pPr>
              <w:pStyle w:val="Body"/>
              <w:spacing w:after="0"/>
              <w:jc w:val="center"/>
              <w:rPr>
                <w:rFonts w:ascii="Arial" w:hAnsi="Arial" w:cs="Arial"/>
              </w:rPr>
            </w:pPr>
            <w:r>
              <w:t>1,79</w:t>
            </w:r>
            <w:r w:rsidR="00DB7AC8">
              <w:t xml:space="preserve"> </w:t>
            </w:r>
            <w:r w:rsidR="00753001">
              <w:t>a</w:t>
            </w:r>
          </w:p>
        </w:tc>
      </w:tr>
      <w:tr w:rsidR="00DB7AC8" w:rsidRPr="00B64658" w14:paraId="5992AA0B" w14:textId="77777777" w:rsidTr="002E1D2B">
        <w:trPr>
          <w:trHeight w:val="300"/>
        </w:trPr>
        <w:tc>
          <w:tcPr>
            <w:tcW w:w="938" w:type="pct"/>
            <w:vMerge/>
            <w:vAlign w:val="center"/>
            <w:hideMark/>
          </w:tcPr>
          <w:p w14:paraId="2943C863" w14:textId="77777777" w:rsidR="00DB7AC8" w:rsidRPr="00B64658" w:rsidRDefault="00DB7AC8" w:rsidP="002E1D2B">
            <w:pPr>
              <w:pStyle w:val="Body"/>
              <w:spacing w:after="0"/>
              <w:jc w:val="center"/>
              <w:rPr>
                <w:rFonts w:ascii="Arial" w:hAnsi="Arial" w:cs="Arial"/>
              </w:rPr>
            </w:pPr>
          </w:p>
        </w:tc>
        <w:tc>
          <w:tcPr>
            <w:tcW w:w="978" w:type="pct"/>
            <w:noWrap/>
            <w:hideMark/>
          </w:tcPr>
          <w:p w14:paraId="286B448D" w14:textId="410DA9B4" w:rsidR="00DB7AC8" w:rsidRPr="00B64658" w:rsidRDefault="00753001" w:rsidP="002E1D2B">
            <w:pPr>
              <w:pStyle w:val="Body"/>
              <w:spacing w:after="0"/>
              <w:jc w:val="center"/>
              <w:rPr>
                <w:rFonts w:ascii="Arial" w:hAnsi="Arial" w:cs="Arial"/>
              </w:rPr>
            </w:pPr>
            <w:r>
              <w:rPr>
                <w:rFonts w:cs="Arial"/>
              </w:rPr>
              <w:t>A</w:t>
            </w:r>
          </w:p>
        </w:tc>
        <w:tc>
          <w:tcPr>
            <w:tcW w:w="1009" w:type="pct"/>
            <w:noWrap/>
            <w:hideMark/>
          </w:tcPr>
          <w:p w14:paraId="36318CBF" w14:textId="1BC4237E" w:rsidR="00DB7AC8" w:rsidRPr="00B64658" w:rsidRDefault="00753001" w:rsidP="002E1D2B">
            <w:pPr>
              <w:pStyle w:val="Body"/>
              <w:spacing w:after="0"/>
              <w:jc w:val="center"/>
              <w:rPr>
                <w:rFonts w:ascii="Arial" w:hAnsi="Arial" w:cs="Arial"/>
              </w:rPr>
            </w:pPr>
            <w:r>
              <w:rPr>
                <w:rFonts w:cs="Arial"/>
              </w:rPr>
              <w:t>A</w:t>
            </w:r>
          </w:p>
        </w:tc>
        <w:tc>
          <w:tcPr>
            <w:tcW w:w="1010" w:type="pct"/>
            <w:noWrap/>
            <w:hideMark/>
          </w:tcPr>
          <w:p w14:paraId="25F145B8" w14:textId="1C34413C" w:rsidR="00DB7AC8" w:rsidRPr="00B64658" w:rsidRDefault="00753001" w:rsidP="002E1D2B">
            <w:pPr>
              <w:pStyle w:val="Body"/>
              <w:spacing w:after="0"/>
              <w:jc w:val="center"/>
              <w:rPr>
                <w:rFonts w:ascii="Arial" w:hAnsi="Arial" w:cs="Arial"/>
              </w:rPr>
            </w:pPr>
            <w:r>
              <w:rPr>
                <w:rFonts w:cs="Arial"/>
              </w:rPr>
              <w:t>A</w:t>
            </w:r>
          </w:p>
        </w:tc>
        <w:tc>
          <w:tcPr>
            <w:tcW w:w="1065" w:type="pct"/>
            <w:noWrap/>
            <w:hideMark/>
          </w:tcPr>
          <w:p w14:paraId="340C5E83" w14:textId="5429B226" w:rsidR="00DB7AC8" w:rsidRPr="00B64658" w:rsidRDefault="00753001" w:rsidP="002E1D2B">
            <w:pPr>
              <w:pStyle w:val="Body"/>
              <w:spacing w:after="0"/>
              <w:jc w:val="center"/>
              <w:rPr>
                <w:rFonts w:ascii="Arial" w:hAnsi="Arial" w:cs="Arial"/>
              </w:rPr>
            </w:pPr>
            <w:r>
              <w:rPr>
                <w:rFonts w:cs="Arial"/>
              </w:rPr>
              <w:t>A</w:t>
            </w:r>
          </w:p>
        </w:tc>
      </w:tr>
      <w:tr w:rsidR="00DB7AC8" w:rsidRPr="00B64658" w14:paraId="5EC67DD3" w14:textId="77777777" w:rsidTr="002E1D2B">
        <w:trPr>
          <w:trHeight w:val="300"/>
        </w:trPr>
        <w:tc>
          <w:tcPr>
            <w:tcW w:w="938" w:type="pct"/>
            <w:vMerge w:val="restart"/>
            <w:noWrap/>
            <w:vAlign w:val="center"/>
            <w:hideMark/>
          </w:tcPr>
          <w:p w14:paraId="6A925BC2" w14:textId="77777777" w:rsidR="00DB7AC8" w:rsidRPr="00B64658" w:rsidRDefault="00DB7AC8" w:rsidP="002E1D2B">
            <w:pPr>
              <w:pStyle w:val="Body"/>
              <w:spacing w:after="0"/>
              <w:jc w:val="center"/>
              <w:rPr>
                <w:rFonts w:ascii="Arial" w:hAnsi="Arial" w:cs="Arial"/>
              </w:rPr>
            </w:pPr>
            <w:r>
              <w:rPr>
                <w:rFonts w:ascii="Arial" w:hAnsi="Arial" w:cs="Arial"/>
              </w:rPr>
              <w:t>P1</w:t>
            </w:r>
            <w:r w:rsidRPr="00B64658">
              <w:rPr>
                <w:rFonts w:ascii="Arial" w:hAnsi="Arial" w:cs="Arial"/>
              </w:rPr>
              <w:t xml:space="preserve"> (</w:t>
            </w:r>
            <w:r>
              <w:rPr>
                <w:rFonts w:ascii="Arial" w:hAnsi="Arial" w:cs="Arial"/>
              </w:rPr>
              <w:t>NPK 2 g/L</w:t>
            </w:r>
            <w:r w:rsidRPr="00B64658">
              <w:rPr>
                <w:rFonts w:ascii="Arial" w:hAnsi="Arial" w:cs="Arial"/>
              </w:rPr>
              <w:t>)</w:t>
            </w:r>
          </w:p>
        </w:tc>
        <w:tc>
          <w:tcPr>
            <w:tcW w:w="978" w:type="pct"/>
            <w:noWrap/>
            <w:hideMark/>
          </w:tcPr>
          <w:p w14:paraId="0BD713AC" w14:textId="790389AE" w:rsidR="00DB7AC8" w:rsidRPr="00B64658" w:rsidRDefault="006F08DF" w:rsidP="002E1D2B">
            <w:pPr>
              <w:pStyle w:val="Body"/>
              <w:spacing w:after="0"/>
              <w:jc w:val="center"/>
              <w:rPr>
                <w:rFonts w:ascii="Arial" w:hAnsi="Arial" w:cs="Arial"/>
              </w:rPr>
            </w:pPr>
            <w:r>
              <w:t>1,05</w:t>
            </w:r>
            <w:r w:rsidR="00DB7AC8">
              <w:t xml:space="preserve"> </w:t>
            </w:r>
            <w:r w:rsidR="00753001">
              <w:t>a</w:t>
            </w:r>
          </w:p>
        </w:tc>
        <w:tc>
          <w:tcPr>
            <w:tcW w:w="1009" w:type="pct"/>
            <w:noWrap/>
            <w:hideMark/>
          </w:tcPr>
          <w:p w14:paraId="551A5A11" w14:textId="587AA637" w:rsidR="00DB7AC8" w:rsidRPr="00B64658" w:rsidRDefault="006F08DF" w:rsidP="002E1D2B">
            <w:pPr>
              <w:pStyle w:val="Body"/>
              <w:spacing w:after="0"/>
              <w:jc w:val="center"/>
              <w:rPr>
                <w:rFonts w:ascii="Arial" w:hAnsi="Arial" w:cs="Arial"/>
              </w:rPr>
            </w:pPr>
            <w:r>
              <w:t>0,71</w:t>
            </w:r>
            <w:r w:rsidR="00DB7AC8">
              <w:t xml:space="preserve"> </w:t>
            </w:r>
            <w:r w:rsidR="00753001">
              <w:t>a</w:t>
            </w:r>
          </w:p>
        </w:tc>
        <w:tc>
          <w:tcPr>
            <w:tcW w:w="1010" w:type="pct"/>
            <w:noWrap/>
            <w:hideMark/>
          </w:tcPr>
          <w:p w14:paraId="6EFE1AEF" w14:textId="64468B43" w:rsidR="00DB7AC8" w:rsidRPr="00B64658" w:rsidRDefault="00463346" w:rsidP="002E1D2B">
            <w:pPr>
              <w:pStyle w:val="Body"/>
              <w:spacing w:after="0"/>
              <w:jc w:val="center"/>
              <w:rPr>
                <w:rFonts w:ascii="Arial" w:hAnsi="Arial" w:cs="Arial"/>
              </w:rPr>
            </w:pPr>
            <w:r>
              <w:t>0,78</w:t>
            </w:r>
            <w:r w:rsidR="00753001">
              <w:t xml:space="preserve"> a</w:t>
            </w:r>
          </w:p>
        </w:tc>
        <w:tc>
          <w:tcPr>
            <w:tcW w:w="1065" w:type="pct"/>
            <w:noWrap/>
            <w:hideMark/>
          </w:tcPr>
          <w:p w14:paraId="255C3E15" w14:textId="5FCFA866" w:rsidR="00DB7AC8" w:rsidRPr="00B64658" w:rsidRDefault="00463346" w:rsidP="002E1D2B">
            <w:pPr>
              <w:pStyle w:val="Body"/>
              <w:spacing w:after="0"/>
              <w:jc w:val="center"/>
              <w:rPr>
                <w:rFonts w:ascii="Arial" w:hAnsi="Arial" w:cs="Arial"/>
              </w:rPr>
            </w:pPr>
            <w:r>
              <w:t>0,71</w:t>
            </w:r>
            <w:r w:rsidR="00DB7AC8">
              <w:t xml:space="preserve"> </w:t>
            </w:r>
            <w:r w:rsidR="00753001">
              <w:t>a</w:t>
            </w:r>
          </w:p>
        </w:tc>
      </w:tr>
      <w:tr w:rsidR="00DB7AC8" w:rsidRPr="00B64658" w14:paraId="2A07516A" w14:textId="77777777" w:rsidTr="002E1D2B">
        <w:trPr>
          <w:trHeight w:val="300"/>
        </w:trPr>
        <w:tc>
          <w:tcPr>
            <w:tcW w:w="938" w:type="pct"/>
            <w:vMerge/>
            <w:vAlign w:val="center"/>
            <w:hideMark/>
          </w:tcPr>
          <w:p w14:paraId="7FD5EB74" w14:textId="77777777" w:rsidR="00DB7AC8" w:rsidRPr="00B64658" w:rsidRDefault="00DB7AC8" w:rsidP="002E1D2B">
            <w:pPr>
              <w:pStyle w:val="Body"/>
              <w:spacing w:after="0"/>
              <w:jc w:val="center"/>
              <w:rPr>
                <w:rFonts w:ascii="Arial" w:hAnsi="Arial" w:cs="Arial"/>
              </w:rPr>
            </w:pPr>
          </w:p>
        </w:tc>
        <w:tc>
          <w:tcPr>
            <w:tcW w:w="978" w:type="pct"/>
            <w:noWrap/>
            <w:hideMark/>
          </w:tcPr>
          <w:p w14:paraId="4CB6BF3F" w14:textId="1A3D6127" w:rsidR="00DB7AC8" w:rsidRPr="00B64658" w:rsidRDefault="00753001" w:rsidP="002E1D2B">
            <w:pPr>
              <w:pStyle w:val="Body"/>
              <w:spacing w:after="0"/>
              <w:jc w:val="center"/>
              <w:rPr>
                <w:rFonts w:ascii="Arial" w:hAnsi="Arial" w:cs="Arial"/>
              </w:rPr>
            </w:pPr>
            <w:r>
              <w:rPr>
                <w:rFonts w:cs="Arial"/>
              </w:rPr>
              <w:t>A</w:t>
            </w:r>
          </w:p>
        </w:tc>
        <w:tc>
          <w:tcPr>
            <w:tcW w:w="1009" w:type="pct"/>
            <w:noWrap/>
            <w:hideMark/>
          </w:tcPr>
          <w:p w14:paraId="19D3A257" w14:textId="711A2678" w:rsidR="00DB7AC8" w:rsidRPr="00B64658" w:rsidRDefault="00753001" w:rsidP="002E1D2B">
            <w:pPr>
              <w:pStyle w:val="Body"/>
              <w:spacing w:after="0"/>
              <w:jc w:val="center"/>
              <w:rPr>
                <w:rFonts w:ascii="Arial" w:hAnsi="Arial" w:cs="Arial"/>
              </w:rPr>
            </w:pPr>
            <w:r>
              <w:rPr>
                <w:rFonts w:cs="Arial"/>
              </w:rPr>
              <w:t>B</w:t>
            </w:r>
          </w:p>
        </w:tc>
        <w:tc>
          <w:tcPr>
            <w:tcW w:w="1010" w:type="pct"/>
            <w:noWrap/>
            <w:hideMark/>
          </w:tcPr>
          <w:p w14:paraId="67079DE6" w14:textId="5DF0E55D" w:rsidR="00DB7AC8" w:rsidRPr="00B64658" w:rsidRDefault="00753001" w:rsidP="002E1D2B">
            <w:pPr>
              <w:pStyle w:val="Body"/>
              <w:spacing w:after="0"/>
              <w:jc w:val="center"/>
              <w:rPr>
                <w:rFonts w:ascii="Arial" w:hAnsi="Arial" w:cs="Arial"/>
              </w:rPr>
            </w:pPr>
            <w:r>
              <w:rPr>
                <w:rFonts w:cs="Arial"/>
              </w:rPr>
              <w:t>B</w:t>
            </w:r>
          </w:p>
        </w:tc>
        <w:tc>
          <w:tcPr>
            <w:tcW w:w="1065" w:type="pct"/>
            <w:noWrap/>
            <w:hideMark/>
          </w:tcPr>
          <w:p w14:paraId="2A416689" w14:textId="07C1E89A" w:rsidR="00DB7AC8" w:rsidRPr="00B64658" w:rsidRDefault="00753001" w:rsidP="002E1D2B">
            <w:pPr>
              <w:pStyle w:val="Body"/>
              <w:spacing w:after="0"/>
              <w:jc w:val="center"/>
              <w:rPr>
                <w:rFonts w:ascii="Arial" w:hAnsi="Arial" w:cs="Arial"/>
              </w:rPr>
            </w:pPr>
            <w:r>
              <w:rPr>
                <w:rFonts w:cs="Arial"/>
              </w:rPr>
              <w:t>B</w:t>
            </w:r>
          </w:p>
        </w:tc>
      </w:tr>
      <w:tr w:rsidR="00DB7AC8" w:rsidRPr="00B64658" w14:paraId="6235D0A3" w14:textId="77777777" w:rsidTr="002E1D2B">
        <w:trPr>
          <w:trHeight w:val="300"/>
        </w:trPr>
        <w:tc>
          <w:tcPr>
            <w:tcW w:w="938" w:type="pct"/>
            <w:vMerge w:val="restart"/>
            <w:noWrap/>
            <w:vAlign w:val="center"/>
            <w:hideMark/>
          </w:tcPr>
          <w:p w14:paraId="75CB1976" w14:textId="77777777" w:rsidR="00DB7AC8" w:rsidRPr="00B64658" w:rsidRDefault="00DB7AC8" w:rsidP="002E1D2B">
            <w:pPr>
              <w:pStyle w:val="Body"/>
              <w:spacing w:after="0"/>
              <w:jc w:val="center"/>
              <w:rPr>
                <w:rFonts w:ascii="Arial" w:hAnsi="Arial" w:cs="Arial"/>
              </w:rPr>
            </w:pPr>
            <w:r>
              <w:rPr>
                <w:rFonts w:ascii="Arial" w:hAnsi="Arial" w:cs="Arial"/>
              </w:rPr>
              <w:t>P2</w:t>
            </w:r>
            <w:r w:rsidRPr="00B64658">
              <w:rPr>
                <w:rFonts w:ascii="Arial" w:hAnsi="Arial" w:cs="Arial"/>
              </w:rPr>
              <w:t xml:space="preserve"> (</w:t>
            </w:r>
            <w:r>
              <w:rPr>
                <w:rFonts w:ascii="Arial" w:hAnsi="Arial" w:cs="Arial"/>
              </w:rPr>
              <w:t>NPK 4 g/L</w:t>
            </w:r>
            <w:r w:rsidRPr="00B64658">
              <w:rPr>
                <w:rFonts w:ascii="Arial" w:hAnsi="Arial" w:cs="Arial"/>
              </w:rPr>
              <w:t>)</w:t>
            </w:r>
          </w:p>
        </w:tc>
        <w:tc>
          <w:tcPr>
            <w:tcW w:w="978" w:type="pct"/>
            <w:noWrap/>
            <w:hideMark/>
          </w:tcPr>
          <w:p w14:paraId="0B9CA86D" w14:textId="7F09A8CE" w:rsidR="00DB7AC8" w:rsidRPr="00B64658" w:rsidRDefault="006F08DF" w:rsidP="002E1D2B">
            <w:pPr>
              <w:pStyle w:val="Body"/>
              <w:spacing w:after="0"/>
              <w:jc w:val="center"/>
              <w:rPr>
                <w:rFonts w:ascii="Arial" w:hAnsi="Arial" w:cs="Arial"/>
              </w:rPr>
            </w:pPr>
            <w:r>
              <w:t>0,75</w:t>
            </w:r>
            <w:r w:rsidR="00DB7AC8">
              <w:t xml:space="preserve"> </w:t>
            </w:r>
            <w:r w:rsidR="00753001">
              <w:t>a</w:t>
            </w:r>
          </w:p>
        </w:tc>
        <w:tc>
          <w:tcPr>
            <w:tcW w:w="1009" w:type="pct"/>
            <w:noWrap/>
            <w:hideMark/>
          </w:tcPr>
          <w:p w14:paraId="13F60816" w14:textId="01AF469B" w:rsidR="00DB7AC8" w:rsidRPr="00B64658" w:rsidRDefault="006F08DF" w:rsidP="002E1D2B">
            <w:pPr>
              <w:pStyle w:val="Body"/>
              <w:spacing w:after="0"/>
              <w:jc w:val="center"/>
              <w:rPr>
                <w:rFonts w:ascii="Arial" w:hAnsi="Arial" w:cs="Arial"/>
              </w:rPr>
            </w:pPr>
            <w:r>
              <w:t>0,71</w:t>
            </w:r>
            <w:r w:rsidR="00DB7AC8">
              <w:t xml:space="preserve"> </w:t>
            </w:r>
            <w:r w:rsidR="00753001">
              <w:t>a</w:t>
            </w:r>
          </w:p>
        </w:tc>
        <w:tc>
          <w:tcPr>
            <w:tcW w:w="1010" w:type="pct"/>
            <w:noWrap/>
            <w:hideMark/>
          </w:tcPr>
          <w:p w14:paraId="60A0E717" w14:textId="65CD9388" w:rsidR="00DB7AC8" w:rsidRPr="00B64658" w:rsidRDefault="00463346" w:rsidP="002E1D2B">
            <w:pPr>
              <w:pStyle w:val="Body"/>
              <w:spacing w:after="0"/>
              <w:jc w:val="center"/>
              <w:rPr>
                <w:rFonts w:ascii="Arial" w:hAnsi="Arial" w:cs="Arial"/>
              </w:rPr>
            </w:pPr>
            <w:r>
              <w:t>0,71</w:t>
            </w:r>
            <w:r w:rsidR="00DB7AC8">
              <w:t xml:space="preserve"> </w:t>
            </w:r>
            <w:r w:rsidR="00753001">
              <w:t>a</w:t>
            </w:r>
          </w:p>
        </w:tc>
        <w:tc>
          <w:tcPr>
            <w:tcW w:w="1065" w:type="pct"/>
            <w:noWrap/>
            <w:hideMark/>
          </w:tcPr>
          <w:p w14:paraId="17CE58EA" w14:textId="1DC5F890" w:rsidR="00DB7AC8" w:rsidRPr="00B64658" w:rsidRDefault="00463346" w:rsidP="002E1D2B">
            <w:pPr>
              <w:pStyle w:val="Body"/>
              <w:spacing w:after="0"/>
              <w:jc w:val="center"/>
              <w:rPr>
                <w:rFonts w:ascii="Arial" w:hAnsi="Arial" w:cs="Arial"/>
              </w:rPr>
            </w:pPr>
            <w:r>
              <w:t>0,71</w:t>
            </w:r>
            <w:r w:rsidR="00DB7AC8">
              <w:t xml:space="preserve"> </w:t>
            </w:r>
            <w:r w:rsidR="00753001">
              <w:t>a</w:t>
            </w:r>
          </w:p>
        </w:tc>
      </w:tr>
      <w:tr w:rsidR="00DB7AC8" w:rsidRPr="00B64658" w14:paraId="7D7119E7" w14:textId="77777777" w:rsidTr="002E1D2B">
        <w:trPr>
          <w:trHeight w:val="300"/>
        </w:trPr>
        <w:tc>
          <w:tcPr>
            <w:tcW w:w="938" w:type="pct"/>
            <w:vMerge/>
            <w:tcBorders>
              <w:bottom w:val="single" w:sz="4" w:space="0" w:color="auto"/>
            </w:tcBorders>
            <w:vAlign w:val="center"/>
            <w:hideMark/>
          </w:tcPr>
          <w:p w14:paraId="4591EFEE" w14:textId="77777777" w:rsidR="00DB7AC8" w:rsidRPr="00B64658" w:rsidRDefault="00DB7AC8" w:rsidP="002E1D2B">
            <w:pPr>
              <w:pStyle w:val="Body"/>
              <w:spacing w:after="0"/>
              <w:jc w:val="center"/>
              <w:rPr>
                <w:rFonts w:ascii="Arial" w:hAnsi="Arial" w:cs="Arial"/>
              </w:rPr>
            </w:pPr>
          </w:p>
        </w:tc>
        <w:tc>
          <w:tcPr>
            <w:tcW w:w="978" w:type="pct"/>
            <w:tcBorders>
              <w:bottom w:val="single" w:sz="4" w:space="0" w:color="auto"/>
            </w:tcBorders>
            <w:noWrap/>
            <w:hideMark/>
          </w:tcPr>
          <w:p w14:paraId="0AAE5AD3" w14:textId="3170C1F1" w:rsidR="00DB7AC8" w:rsidRPr="00B64658" w:rsidRDefault="00753001" w:rsidP="002E1D2B">
            <w:pPr>
              <w:pStyle w:val="Body"/>
              <w:spacing w:after="0"/>
              <w:jc w:val="center"/>
              <w:rPr>
                <w:rFonts w:ascii="Arial" w:hAnsi="Arial" w:cs="Arial"/>
              </w:rPr>
            </w:pPr>
            <w:r>
              <w:rPr>
                <w:rFonts w:cs="Arial"/>
              </w:rPr>
              <w:t>A</w:t>
            </w:r>
          </w:p>
        </w:tc>
        <w:tc>
          <w:tcPr>
            <w:tcW w:w="1009" w:type="pct"/>
            <w:tcBorders>
              <w:bottom w:val="single" w:sz="4" w:space="0" w:color="auto"/>
            </w:tcBorders>
            <w:noWrap/>
            <w:hideMark/>
          </w:tcPr>
          <w:p w14:paraId="5DDF1091" w14:textId="3EFCE7D7" w:rsidR="00DB7AC8" w:rsidRPr="00B64658" w:rsidRDefault="00753001" w:rsidP="002E1D2B">
            <w:pPr>
              <w:pStyle w:val="Body"/>
              <w:spacing w:after="0"/>
              <w:jc w:val="center"/>
              <w:rPr>
                <w:rFonts w:ascii="Arial" w:hAnsi="Arial" w:cs="Arial"/>
              </w:rPr>
            </w:pPr>
            <w:r>
              <w:rPr>
                <w:rFonts w:cs="Arial"/>
              </w:rPr>
              <w:t>B</w:t>
            </w:r>
          </w:p>
        </w:tc>
        <w:tc>
          <w:tcPr>
            <w:tcW w:w="1010" w:type="pct"/>
            <w:tcBorders>
              <w:bottom w:val="single" w:sz="4" w:space="0" w:color="auto"/>
            </w:tcBorders>
            <w:noWrap/>
            <w:hideMark/>
          </w:tcPr>
          <w:p w14:paraId="518B6231" w14:textId="4A12EBEF" w:rsidR="00DB7AC8" w:rsidRPr="00B64658" w:rsidRDefault="00753001" w:rsidP="002E1D2B">
            <w:pPr>
              <w:pStyle w:val="Body"/>
              <w:spacing w:after="0"/>
              <w:jc w:val="center"/>
              <w:rPr>
                <w:rFonts w:ascii="Arial" w:hAnsi="Arial" w:cs="Arial"/>
              </w:rPr>
            </w:pPr>
            <w:r>
              <w:rPr>
                <w:rFonts w:cs="Arial"/>
              </w:rPr>
              <w:t>B</w:t>
            </w:r>
          </w:p>
        </w:tc>
        <w:tc>
          <w:tcPr>
            <w:tcW w:w="1065" w:type="pct"/>
            <w:tcBorders>
              <w:bottom w:val="single" w:sz="4" w:space="0" w:color="auto"/>
            </w:tcBorders>
            <w:noWrap/>
            <w:hideMark/>
          </w:tcPr>
          <w:p w14:paraId="6B42D1A2" w14:textId="229BA169" w:rsidR="00DB7AC8" w:rsidRPr="00B64658" w:rsidRDefault="00753001" w:rsidP="002E1D2B">
            <w:pPr>
              <w:pStyle w:val="Body"/>
              <w:spacing w:after="0"/>
              <w:jc w:val="center"/>
              <w:rPr>
                <w:rFonts w:ascii="Arial" w:hAnsi="Arial" w:cs="Arial"/>
              </w:rPr>
            </w:pPr>
            <w:r>
              <w:rPr>
                <w:rFonts w:cs="Arial"/>
              </w:rPr>
              <w:t>B</w:t>
            </w:r>
          </w:p>
        </w:tc>
      </w:tr>
    </w:tbl>
    <w:p w14:paraId="6B9F4B87" w14:textId="6E871C80" w:rsidR="0040263B" w:rsidRDefault="00DC65C5" w:rsidP="00DC65C5">
      <w:pPr>
        <w:pStyle w:val="Body"/>
        <w:spacing w:after="0"/>
        <w:ind w:left="567" w:hanging="567"/>
        <w:rPr>
          <w:rFonts w:ascii="Arial" w:hAnsi="Arial"/>
          <w:bCs/>
          <w:i/>
          <w:sz w:val="18"/>
          <w:lang w:val="en-ID"/>
        </w:rPr>
      </w:pPr>
      <w:r w:rsidRPr="00DC65C5">
        <w:rPr>
          <w:rFonts w:ascii="Arial" w:hAnsi="Arial"/>
          <w:bCs/>
          <w:i/>
          <w:sz w:val="18"/>
          <w:lang w:val="en-ID"/>
        </w:rPr>
        <w:t>Note: Numbers followed by the same capital letter and in the same column are not significantly different in the DMRT 5% level follow-up test. Numbers followed by the same lowercase letter and in the same row are not significantly different in the DMRT 5% level follow-up test.</w:t>
      </w:r>
    </w:p>
    <w:p w14:paraId="20A3EC4F" w14:textId="77777777" w:rsidR="00DC65C5" w:rsidRPr="00DC65C5" w:rsidRDefault="00DC65C5" w:rsidP="00441B6F">
      <w:pPr>
        <w:pStyle w:val="Body"/>
        <w:spacing w:after="0"/>
        <w:rPr>
          <w:rFonts w:ascii="Arial" w:hAnsi="Arial" w:cs="Arial"/>
          <w:lang w:val="en-ID"/>
        </w:rPr>
      </w:pPr>
    </w:p>
    <w:p w14:paraId="3AD76CD8" w14:textId="0A77518C" w:rsidR="00DC65C5" w:rsidRPr="00DC65C5" w:rsidRDefault="00DC65C5" w:rsidP="00DC65C5">
      <w:pPr>
        <w:pStyle w:val="Body"/>
        <w:spacing w:after="0"/>
        <w:rPr>
          <w:rFonts w:ascii="Arial" w:hAnsi="Arial" w:cs="Arial"/>
          <w:lang w:val="en-ID"/>
        </w:rPr>
      </w:pPr>
      <w:r w:rsidRPr="00DC65C5">
        <w:rPr>
          <w:rFonts w:ascii="Arial" w:hAnsi="Arial" w:cs="Arial"/>
          <w:lang w:val="en-ID"/>
        </w:rPr>
        <w:t xml:space="preserve">There was an interaction between the concentration of compound NPK fertilizer and sucrose concentration on the number of micro-leaves (Table 3). This interaction indicated different response patterns in the number of micro-leaves for each treatment combination. In MS medium, a sucrose concentration of 60 g/L resulted in the highest number of micro-leaves and was not significantly different from sucrose concentrations of 30, 90, and 120 g/L. These results indicate that increasing sucrose concentration up to a certain level still supports micro-leaf formation. This finding is in line with </w:t>
      </w:r>
      <w:proofErr w:type="spellStart"/>
      <w:r w:rsidRPr="00DC65C5">
        <w:rPr>
          <w:rFonts w:ascii="Arial" w:hAnsi="Arial" w:cs="Arial"/>
          <w:lang w:val="en-ID"/>
        </w:rPr>
        <w:t>Rahmawidowati</w:t>
      </w:r>
      <w:proofErr w:type="spellEnd"/>
      <w:r w:rsidRPr="00DC65C5">
        <w:rPr>
          <w:rFonts w:ascii="Arial" w:hAnsi="Arial" w:cs="Arial"/>
          <w:lang w:val="en-ID"/>
        </w:rPr>
        <w:t xml:space="preserve"> et al. (2022), who reported that increasing sucrose concentration can enhance the availability of carbon and energy sources for explant cells, thereby supporting cell division and differentiation processes involved in micro-leaf formation under in vitro conditions.</w:t>
      </w:r>
    </w:p>
    <w:p w14:paraId="7FA7EF8B" w14:textId="713F0D30" w:rsidR="00DC65C5" w:rsidRPr="00DC65C5" w:rsidRDefault="0085172C" w:rsidP="00DC65C5">
      <w:pPr>
        <w:pStyle w:val="Body"/>
        <w:spacing w:after="0"/>
        <w:rPr>
          <w:rFonts w:ascii="Arial" w:hAnsi="Arial" w:cs="Arial"/>
          <w:lang w:val="en-ID"/>
        </w:rPr>
      </w:pPr>
      <w:r w:rsidRPr="0085172C">
        <w:rPr>
          <w:rFonts w:ascii="Arial" w:hAnsi="Arial" w:cs="Arial"/>
        </w:rPr>
        <w:lastRenderedPageBreak/>
        <w:t xml:space="preserve">In the </w:t>
      </w:r>
      <w:r>
        <w:rPr>
          <w:rFonts w:ascii="Arial" w:hAnsi="Arial" w:cs="Arial"/>
        </w:rPr>
        <w:t xml:space="preserve">NPK </w:t>
      </w:r>
      <w:r w:rsidRPr="0085172C">
        <w:rPr>
          <w:rFonts w:ascii="Arial" w:hAnsi="Arial" w:cs="Arial"/>
        </w:rPr>
        <w:t>compound</w:t>
      </w:r>
      <w:r>
        <w:rPr>
          <w:rFonts w:ascii="Arial" w:hAnsi="Arial" w:cs="Arial"/>
        </w:rPr>
        <w:t xml:space="preserve"> </w:t>
      </w:r>
      <w:r w:rsidRPr="0085172C">
        <w:rPr>
          <w:rFonts w:ascii="Arial" w:hAnsi="Arial" w:cs="Arial"/>
        </w:rPr>
        <w:t>fertilizer medium at concentrations of 2 g/L and 4 g/L combined with 30 g/L sucrose, the highest number of micro leaves was produced; however, it was not significantly different from the treatments with 60, 90, and 120 g/L sucrose. The compound fertilizer medium showed significant differences compared to the MS medium at sucrose concentrations of 60, 90, and 120 g/L, but no significant difference was observed at 30 g/L sucrose</w:t>
      </w:r>
      <w:r w:rsidR="00DC65C5" w:rsidRPr="00DC65C5">
        <w:rPr>
          <w:rFonts w:ascii="Arial" w:hAnsi="Arial" w:cs="Arial"/>
          <w:lang w:val="en-ID"/>
        </w:rPr>
        <w:t>.</w:t>
      </w:r>
      <w:r w:rsidR="00DC65C5">
        <w:rPr>
          <w:rFonts w:ascii="Arial" w:hAnsi="Arial" w:cs="Arial"/>
          <w:lang w:val="en-ID"/>
        </w:rPr>
        <w:t xml:space="preserve"> </w:t>
      </w:r>
      <w:r w:rsidR="00DC65C5" w:rsidRPr="00DC65C5">
        <w:rPr>
          <w:rFonts w:ascii="Arial" w:hAnsi="Arial" w:cs="Arial"/>
          <w:lang w:val="en-ID"/>
        </w:rPr>
        <w:t xml:space="preserve">Overall, MS medium produced a higher number of micro-leaves compared to compound NPK fertilizer media at concentrations of 2 g/L and 4 g/L. This result is consistent with the findings of </w:t>
      </w:r>
      <w:proofErr w:type="spellStart"/>
      <w:r w:rsidR="00DC65C5" w:rsidRPr="00DC65C5">
        <w:rPr>
          <w:rFonts w:ascii="Arial" w:hAnsi="Arial" w:cs="Arial"/>
          <w:lang w:val="en-ID"/>
        </w:rPr>
        <w:t>Asharo</w:t>
      </w:r>
      <w:proofErr w:type="spellEnd"/>
      <w:r w:rsidR="00DC65C5" w:rsidRPr="00DC65C5">
        <w:rPr>
          <w:rFonts w:ascii="Arial" w:hAnsi="Arial" w:cs="Arial"/>
          <w:lang w:val="en-ID"/>
        </w:rPr>
        <w:t xml:space="preserve"> et al. (2024), who reported that MS medium produced the highest number of leaves compared to compound NPK</w:t>
      </w:r>
      <w:r w:rsidR="00D76E4E">
        <w:rPr>
          <w:rFonts w:ascii="Arial" w:hAnsi="Arial" w:cs="Arial"/>
          <w:lang w:val="en-ID"/>
        </w:rPr>
        <w:t xml:space="preserve"> </w:t>
      </w:r>
      <w:r w:rsidR="00DC65C5" w:rsidRPr="00DC65C5">
        <w:rPr>
          <w:rFonts w:ascii="Arial" w:hAnsi="Arial" w:cs="Arial"/>
          <w:lang w:val="en-ID"/>
        </w:rPr>
        <w:t xml:space="preserve">based media due to its nitrogen content, which more effectively supports leaf formation. However, the results of this study contrast with those reported by </w:t>
      </w:r>
      <w:proofErr w:type="spellStart"/>
      <w:r w:rsidR="00DC65C5" w:rsidRPr="00DC65C5">
        <w:rPr>
          <w:rFonts w:ascii="Arial" w:hAnsi="Arial" w:cs="Arial"/>
          <w:lang w:val="en-ID"/>
        </w:rPr>
        <w:t>Vallepy</w:t>
      </w:r>
      <w:proofErr w:type="spellEnd"/>
      <w:r w:rsidR="00DC65C5" w:rsidRPr="00DC65C5">
        <w:rPr>
          <w:rFonts w:ascii="Arial" w:hAnsi="Arial" w:cs="Arial"/>
          <w:lang w:val="en-ID"/>
        </w:rPr>
        <w:t xml:space="preserve"> et al. (2024), who found that the use of compound NPK fertilizer as a culture medium at concentrations of 3 g/L and 4 g/L resulted in better leaf proliferation. This discrepancy is presumably due to the nitrogen content at those concentrations being sufficient to meet the nutritional requirements of orchids, particularly for chlorophyll formation in leaf tissues, thereby enhancing leaf development.</w:t>
      </w:r>
    </w:p>
    <w:p w14:paraId="1CFD911D" w14:textId="77777777" w:rsidR="005E2090" w:rsidRPr="00DC65C5" w:rsidRDefault="005E2090" w:rsidP="00441B6F">
      <w:pPr>
        <w:pStyle w:val="Body"/>
        <w:spacing w:after="0"/>
        <w:rPr>
          <w:rFonts w:ascii="Arial" w:hAnsi="Arial" w:cs="Arial"/>
          <w:lang w:val="en-ID"/>
        </w:rPr>
      </w:pPr>
    </w:p>
    <w:p w14:paraId="0920DEB4" w14:textId="0F1A6164" w:rsidR="000F7785" w:rsidRDefault="00C20A57" w:rsidP="00441B6F">
      <w:pPr>
        <w:pStyle w:val="Body"/>
        <w:spacing w:after="0"/>
        <w:rPr>
          <w:rFonts w:ascii="Arial" w:hAnsi="Arial" w:cs="Arial"/>
          <w:b/>
          <w:sz w:val="22"/>
        </w:rPr>
      </w:pPr>
      <w:r w:rsidRPr="000F7785">
        <w:rPr>
          <w:rFonts w:ascii="Arial" w:hAnsi="Arial" w:cs="Arial"/>
          <w:b/>
          <w:caps/>
          <w:sz w:val="22"/>
          <w:lang w:val="en-ID"/>
        </w:rPr>
        <w:t>3.2</w:t>
      </w:r>
      <w:r w:rsidR="000F7785">
        <w:rPr>
          <w:rFonts w:ascii="Arial" w:hAnsi="Arial" w:cs="Arial"/>
          <w:b/>
          <w:caps/>
          <w:sz w:val="22"/>
          <w:lang w:val="en-ID"/>
        </w:rPr>
        <w:t xml:space="preserve"> </w:t>
      </w:r>
      <w:r w:rsidR="000F7785" w:rsidRPr="000F7785">
        <w:rPr>
          <w:rFonts w:ascii="Arial" w:hAnsi="Arial" w:cs="Arial"/>
          <w:b/>
          <w:sz w:val="22"/>
        </w:rPr>
        <w:t>Effect of NPK Fertilizer Concentration on Growth and Micro</w:t>
      </w:r>
      <w:r w:rsidR="00C638E5">
        <w:rPr>
          <w:rFonts w:ascii="Arial" w:hAnsi="Arial" w:cs="Arial"/>
          <w:b/>
          <w:sz w:val="22"/>
        </w:rPr>
        <w:t xml:space="preserve"> </w:t>
      </w:r>
      <w:r w:rsidR="000F7785" w:rsidRPr="000F7785">
        <w:rPr>
          <w:rFonts w:ascii="Arial" w:hAnsi="Arial" w:cs="Arial"/>
          <w:b/>
          <w:sz w:val="22"/>
        </w:rPr>
        <w:t>Bulb Formation of T</w:t>
      </w:r>
      <w:r w:rsidR="001D3603">
        <w:rPr>
          <w:rFonts w:ascii="Arial" w:hAnsi="Arial" w:cs="Arial"/>
          <w:b/>
          <w:sz w:val="22"/>
        </w:rPr>
        <w:t>rue Shallot Seed</w:t>
      </w:r>
    </w:p>
    <w:p w14:paraId="152FEE27" w14:textId="77777777" w:rsidR="000F7785" w:rsidRDefault="000F7785" w:rsidP="00441B6F">
      <w:pPr>
        <w:pStyle w:val="Body"/>
        <w:spacing w:after="0"/>
        <w:rPr>
          <w:rFonts w:ascii="Arial" w:hAnsi="Arial" w:cs="Arial"/>
          <w:b/>
          <w:sz w:val="22"/>
        </w:rPr>
      </w:pPr>
    </w:p>
    <w:p w14:paraId="4FBF0545" w14:textId="77777777" w:rsidR="000F7785" w:rsidRPr="000F7785" w:rsidRDefault="000F7785" w:rsidP="000F7785">
      <w:pPr>
        <w:pStyle w:val="Body"/>
        <w:spacing w:after="0"/>
        <w:rPr>
          <w:rFonts w:ascii="Arial" w:hAnsi="Arial" w:cs="Arial"/>
          <w:lang w:val="en-ID"/>
        </w:rPr>
      </w:pPr>
      <w:r w:rsidRPr="000F7785">
        <w:rPr>
          <w:rFonts w:ascii="Arial" w:hAnsi="Arial" w:cs="Arial"/>
          <w:lang w:val="en-ID"/>
        </w:rPr>
        <w:t>The treatment of compound NPK fertilizer concentration had a significant effect on the observed variables of plant height, germination time, germination percentage, number of micro-shoots, micro-root length, and micro-bulb diameter.</w:t>
      </w:r>
    </w:p>
    <w:p w14:paraId="75988E7C" w14:textId="77777777" w:rsidR="00472BEB" w:rsidRPr="000F7785" w:rsidRDefault="00472BEB" w:rsidP="00441B6F">
      <w:pPr>
        <w:pStyle w:val="Body"/>
        <w:spacing w:after="0"/>
        <w:rPr>
          <w:rFonts w:ascii="Arial" w:hAnsi="Arial" w:cs="Arial"/>
          <w:lang w:val="en-ID"/>
        </w:rPr>
      </w:pPr>
    </w:p>
    <w:p w14:paraId="0E030A74" w14:textId="3AE53B85" w:rsidR="00404C03" w:rsidRDefault="00E11EC2" w:rsidP="00441B6F">
      <w:pPr>
        <w:pStyle w:val="Body"/>
        <w:spacing w:after="0"/>
        <w:rPr>
          <w:rFonts w:ascii="Arial" w:hAnsi="Arial"/>
          <w:b/>
          <w:lang w:val="id"/>
        </w:rPr>
      </w:pPr>
      <w:r w:rsidRPr="00EC715B">
        <w:rPr>
          <w:rFonts w:ascii="Arial" w:hAnsi="Arial"/>
          <w:b/>
          <w:lang w:val="id"/>
        </w:rPr>
        <w:t xml:space="preserve">Table </w:t>
      </w:r>
      <w:r>
        <w:rPr>
          <w:rFonts w:ascii="Arial" w:hAnsi="Arial"/>
          <w:b/>
          <w:lang w:val="id"/>
        </w:rPr>
        <w:t xml:space="preserve">4. </w:t>
      </w:r>
      <w:r w:rsidR="000F7785" w:rsidRPr="000F7785">
        <w:rPr>
          <w:rFonts w:ascii="Arial" w:hAnsi="Arial"/>
          <w:b/>
        </w:rPr>
        <w:t>Mean values of compound NPK fertilizer concentration treatments on plant height, germination time, germination percentage, number of shoots, root length, and bulb diameter</w:t>
      </w:r>
      <w:r w:rsidR="000F7785">
        <w:rPr>
          <w:rFonts w:ascii="Arial" w:hAnsi="Arial"/>
          <w:b/>
        </w:rPr>
        <w:t>.</w:t>
      </w:r>
    </w:p>
    <w:p w14:paraId="10E15B6D" w14:textId="3D374FF4" w:rsidR="00F25138" w:rsidRPr="00E11EC2" w:rsidRDefault="00E11EC2" w:rsidP="00441B6F">
      <w:pPr>
        <w:pStyle w:val="Body"/>
        <w:spacing w:after="0"/>
        <w:rPr>
          <w:rFonts w:ascii="Arial" w:hAnsi="Arial" w:cs="Arial"/>
          <w:lang w:val="id"/>
        </w:rPr>
      </w:pPr>
      <w:r>
        <w:rPr>
          <w:rFonts w:ascii="Arial" w:hAnsi="Arial"/>
          <w:b/>
          <w:lang w:val="id"/>
        </w:rPr>
        <w:t xml:space="preserve"> </w:t>
      </w:r>
    </w:p>
    <w:tbl>
      <w:tblPr>
        <w:tblW w:w="5000" w:type="pct"/>
        <w:tblLayout w:type="fixed"/>
        <w:tblLook w:val="04A0" w:firstRow="1" w:lastRow="0" w:firstColumn="1" w:lastColumn="0" w:noHBand="0" w:noVBand="1"/>
      </w:tblPr>
      <w:tblGrid>
        <w:gridCol w:w="1951"/>
        <w:gridCol w:w="1134"/>
        <w:gridCol w:w="1410"/>
        <w:gridCol w:w="1307"/>
        <w:gridCol w:w="797"/>
        <w:gridCol w:w="878"/>
        <w:gridCol w:w="947"/>
      </w:tblGrid>
      <w:tr w:rsidR="006F1BCA" w:rsidRPr="006F1BCA" w14:paraId="5ACFAB6B" w14:textId="77777777" w:rsidTr="00941EB8">
        <w:trPr>
          <w:trHeight w:val="300"/>
        </w:trPr>
        <w:tc>
          <w:tcPr>
            <w:tcW w:w="1158" w:type="pct"/>
            <w:tcBorders>
              <w:top w:val="single" w:sz="4" w:space="0" w:color="auto"/>
              <w:bottom w:val="single" w:sz="4" w:space="0" w:color="auto"/>
            </w:tcBorders>
            <w:noWrap/>
            <w:vAlign w:val="center"/>
            <w:hideMark/>
          </w:tcPr>
          <w:p w14:paraId="7EE06D6D" w14:textId="52D5292D" w:rsidR="006F1BCA" w:rsidRPr="00F25138" w:rsidRDefault="00E51726" w:rsidP="006F1BCA">
            <w:pPr>
              <w:pStyle w:val="Body"/>
              <w:spacing w:after="0"/>
              <w:jc w:val="center"/>
              <w:rPr>
                <w:rFonts w:ascii="Arial" w:hAnsi="Arial" w:cs="Arial"/>
                <w:lang w:val="sv-SE"/>
              </w:rPr>
            </w:pPr>
            <w:r w:rsidRPr="00E51726">
              <w:rPr>
                <w:rFonts w:ascii="Arial" w:hAnsi="Arial" w:cs="Arial"/>
                <w:lang w:val="sv-SE"/>
              </w:rPr>
              <w:t>Treatment</w:t>
            </w:r>
          </w:p>
        </w:tc>
        <w:tc>
          <w:tcPr>
            <w:tcW w:w="673" w:type="pct"/>
            <w:tcBorders>
              <w:top w:val="single" w:sz="4" w:space="0" w:color="auto"/>
              <w:bottom w:val="single" w:sz="4" w:space="0" w:color="auto"/>
            </w:tcBorders>
            <w:vAlign w:val="center"/>
          </w:tcPr>
          <w:p w14:paraId="02D2F805" w14:textId="7736A614" w:rsidR="006F1BCA" w:rsidRPr="006F1BCA" w:rsidRDefault="00E51726" w:rsidP="006F1BCA">
            <w:pPr>
              <w:pStyle w:val="Body"/>
              <w:spacing w:after="0"/>
              <w:jc w:val="center"/>
              <w:rPr>
                <w:rFonts w:ascii="Arial" w:hAnsi="Arial" w:cs="Arial"/>
              </w:rPr>
            </w:pPr>
            <w:r w:rsidRPr="00E51726">
              <w:rPr>
                <w:rFonts w:ascii="Arial" w:hAnsi="Arial" w:cs="Arial"/>
              </w:rPr>
              <w:t xml:space="preserve">Plant height </w:t>
            </w:r>
            <w:r w:rsidR="006F1BCA" w:rsidRPr="006F1BCA">
              <w:rPr>
                <w:rFonts w:ascii="Arial" w:hAnsi="Arial" w:cs="Arial"/>
              </w:rPr>
              <w:t>(cm)</w:t>
            </w:r>
          </w:p>
        </w:tc>
        <w:tc>
          <w:tcPr>
            <w:tcW w:w="837" w:type="pct"/>
            <w:tcBorders>
              <w:top w:val="single" w:sz="4" w:space="0" w:color="auto"/>
              <w:bottom w:val="single" w:sz="4" w:space="0" w:color="auto"/>
            </w:tcBorders>
            <w:vAlign w:val="center"/>
          </w:tcPr>
          <w:p w14:paraId="72819062" w14:textId="0597BF3D" w:rsidR="006F1BCA" w:rsidRPr="006F1BCA" w:rsidRDefault="00E51726" w:rsidP="006F1BCA">
            <w:pPr>
              <w:pStyle w:val="Body"/>
              <w:spacing w:after="0"/>
              <w:jc w:val="center"/>
              <w:rPr>
                <w:rFonts w:ascii="Arial" w:hAnsi="Arial" w:cs="Arial"/>
              </w:rPr>
            </w:pPr>
            <w:r w:rsidRPr="00E51726">
              <w:rPr>
                <w:rFonts w:ascii="Arial" w:hAnsi="Arial" w:cs="Arial"/>
              </w:rPr>
              <w:t xml:space="preserve">Germination time </w:t>
            </w:r>
            <w:r w:rsidR="006F1BCA" w:rsidRPr="006F1BCA">
              <w:rPr>
                <w:rFonts w:ascii="Arial" w:hAnsi="Arial" w:cs="Arial"/>
              </w:rPr>
              <w:t>(HST)</w:t>
            </w:r>
          </w:p>
        </w:tc>
        <w:tc>
          <w:tcPr>
            <w:tcW w:w="776" w:type="pct"/>
            <w:tcBorders>
              <w:top w:val="single" w:sz="4" w:space="0" w:color="auto"/>
              <w:bottom w:val="single" w:sz="4" w:space="0" w:color="auto"/>
            </w:tcBorders>
            <w:vAlign w:val="center"/>
          </w:tcPr>
          <w:p w14:paraId="6F8D0520" w14:textId="622C1ACB" w:rsidR="006F1BCA" w:rsidRPr="006F1BCA" w:rsidRDefault="00E51726" w:rsidP="006F1BCA">
            <w:pPr>
              <w:pStyle w:val="Body"/>
              <w:spacing w:after="0"/>
              <w:jc w:val="center"/>
              <w:rPr>
                <w:rFonts w:ascii="Arial" w:hAnsi="Arial" w:cs="Arial"/>
              </w:rPr>
            </w:pPr>
            <w:r w:rsidRPr="00E51726">
              <w:rPr>
                <w:rFonts w:ascii="Arial" w:hAnsi="Arial" w:cs="Arial"/>
              </w:rPr>
              <w:t xml:space="preserve">Germination percentage </w:t>
            </w:r>
            <w:r w:rsidR="006F1BCA" w:rsidRPr="006F1BCA">
              <w:rPr>
                <w:rFonts w:ascii="Arial" w:hAnsi="Arial" w:cs="Arial"/>
              </w:rPr>
              <w:t>(%)</w:t>
            </w:r>
          </w:p>
        </w:tc>
        <w:tc>
          <w:tcPr>
            <w:tcW w:w="473" w:type="pct"/>
            <w:tcBorders>
              <w:top w:val="single" w:sz="4" w:space="0" w:color="auto"/>
              <w:bottom w:val="single" w:sz="4" w:space="0" w:color="auto"/>
            </w:tcBorders>
            <w:vAlign w:val="center"/>
          </w:tcPr>
          <w:p w14:paraId="100A8168" w14:textId="5BC8A241" w:rsidR="006F1BCA" w:rsidRPr="006F1BCA" w:rsidRDefault="00E51726" w:rsidP="006F1BCA">
            <w:pPr>
              <w:pStyle w:val="Body"/>
              <w:spacing w:after="0"/>
              <w:jc w:val="center"/>
              <w:rPr>
                <w:rFonts w:ascii="Arial" w:hAnsi="Arial" w:cs="Arial"/>
              </w:rPr>
            </w:pPr>
            <w:r w:rsidRPr="00E51726">
              <w:rPr>
                <w:rFonts w:ascii="Arial" w:hAnsi="Arial" w:cs="Arial"/>
              </w:rPr>
              <w:t>Number of shoots</w:t>
            </w:r>
          </w:p>
        </w:tc>
        <w:tc>
          <w:tcPr>
            <w:tcW w:w="521" w:type="pct"/>
            <w:tcBorders>
              <w:top w:val="single" w:sz="4" w:space="0" w:color="auto"/>
              <w:bottom w:val="single" w:sz="4" w:space="0" w:color="auto"/>
            </w:tcBorders>
            <w:vAlign w:val="center"/>
          </w:tcPr>
          <w:p w14:paraId="7E133218" w14:textId="053E2DAD" w:rsidR="006F1BCA" w:rsidRPr="006F1BCA" w:rsidRDefault="00E51726" w:rsidP="006F1BCA">
            <w:pPr>
              <w:pStyle w:val="Body"/>
              <w:spacing w:after="0"/>
              <w:jc w:val="center"/>
              <w:rPr>
                <w:rFonts w:ascii="Arial" w:hAnsi="Arial" w:cs="Arial"/>
              </w:rPr>
            </w:pPr>
            <w:r w:rsidRPr="00E51726">
              <w:rPr>
                <w:rFonts w:ascii="Arial" w:hAnsi="Arial" w:cs="Arial"/>
              </w:rPr>
              <w:t>Root length (cm)</w:t>
            </w:r>
          </w:p>
        </w:tc>
        <w:tc>
          <w:tcPr>
            <w:tcW w:w="562" w:type="pct"/>
            <w:tcBorders>
              <w:top w:val="single" w:sz="4" w:space="0" w:color="auto"/>
              <w:bottom w:val="single" w:sz="4" w:space="0" w:color="auto"/>
            </w:tcBorders>
            <w:vAlign w:val="center"/>
          </w:tcPr>
          <w:p w14:paraId="4175AF37" w14:textId="21800F97" w:rsidR="006F1BCA" w:rsidRPr="006F1BCA" w:rsidRDefault="00993603" w:rsidP="006F1BCA">
            <w:pPr>
              <w:pStyle w:val="Body"/>
              <w:spacing w:after="0"/>
              <w:jc w:val="center"/>
              <w:rPr>
                <w:rFonts w:ascii="Arial" w:hAnsi="Arial" w:cs="Arial"/>
              </w:rPr>
            </w:pPr>
            <w:r>
              <w:rPr>
                <w:rFonts w:ascii="Arial" w:hAnsi="Arial" w:cs="Arial"/>
              </w:rPr>
              <w:t>Bulb</w:t>
            </w:r>
            <w:r w:rsidR="00E51726" w:rsidRPr="00E51726">
              <w:rPr>
                <w:rFonts w:ascii="Arial" w:hAnsi="Arial" w:cs="Arial"/>
              </w:rPr>
              <w:t xml:space="preserve"> diameter (mm)</w:t>
            </w:r>
          </w:p>
        </w:tc>
      </w:tr>
      <w:tr w:rsidR="006F1BCA" w:rsidRPr="006F1BCA" w14:paraId="25B6AB28" w14:textId="77777777" w:rsidTr="00941EB8">
        <w:trPr>
          <w:trHeight w:val="300"/>
        </w:trPr>
        <w:tc>
          <w:tcPr>
            <w:tcW w:w="1158" w:type="pct"/>
            <w:tcBorders>
              <w:top w:val="single" w:sz="4" w:space="0" w:color="auto"/>
            </w:tcBorders>
            <w:noWrap/>
            <w:vAlign w:val="center"/>
            <w:hideMark/>
          </w:tcPr>
          <w:p w14:paraId="6BF00AED" w14:textId="77777777" w:rsidR="006F1BCA" w:rsidRPr="006F1BCA" w:rsidRDefault="006F1BCA" w:rsidP="006F1BCA">
            <w:pPr>
              <w:pStyle w:val="Body"/>
              <w:spacing w:after="0"/>
              <w:jc w:val="center"/>
              <w:rPr>
                <w:rFonts w:ascii="Arial" w:hAnsi="Arial" w:cs="Arial"/>
              </w:rPr>
            </w:pPr>
            <w:r w:rsidRPr="006F1BCA">
              <w:rPr>
                <w:rFonts w:ascii="Arial" w:hAnsi="Arial" w:cs="Arial"/>
              </w:rPr>
              <w:t>P0 (</w:t>
            </w:r>
            <w:proofErr w:type="spellStart"/>
            <w:r w:rsidRPr="006F1BCA">
              <w:rPr>
                <w:rFonts w:ascii="Arial" w:hAnsi="Arial" w:cs="Arial"/>
              </w:rPr>
              <w:t>Murahige</w:t>
            </w:r>
            <w:proofErr w:type="spellEnd"/>
            <w:r w:rsidRPr="006F1BCA">
              <w:rPr>
                <w:rFonts w:ascii="Arial" w:hAnsi="Arial" w:cs="Arial"/>
              </w:rPr>
              <w:t xml:space="preserve"> and </w:t>
            </w:r>
            <w:proofErr w:type="spellStart"/>
            <w:r w:rsidRPr="006F1BCA">
              <w:rPr>
                <w:rFonts w:ascii="Arial" w:hAnsi="Arial" w:cs="Arial"/>
              </w:rPr>
              <w:t>Skooq</w:t>
            </w:r>
            <w:proofErr w:type="spellEnd"/>
            <w:r w:rsidRPr="006F1BCA">
              <w:rPr>
                <w:rFonts w:ascii="Arial" w:hAnsi="Arial" w:cs="Arial"/>
              </w:rPr>
              <w:t>)</w:t>
            </w:r>
          </w:p>
        </w:tc>
        <w:tc>
          <w:tcPr>
            <w:tcW w:w="673" w:type="pct"/>
            <w:tcBorders>
              <w:top w:val="single" w:sz="4" w:space="0" w:color="auto"/>
            </w:tcBorders>
            <w:vAlign w:val="center"/>
          </w:tcPr>
          <w:p w14:paraId="72E004E1" w14:textId="77777777" w:rsidR="006F1BCA" w:rsidRPr="006F1BCA" w:rsidRDefault="006F1BCA" w:rsidP="006F1BCA">
            <w:pPr>
              <w:pStyle w:val="Body"/>
              <w:spacing w:after="0"/>
              <w:jc w:val="center"/>
              <w:rPr>
                <w:rFonts w:ascii="Arial" w:hAnsi="Arial" w:cs="Arial"/>
              </w:rPr>
            </w:pPr>
            <w:r w:rsidRPr="006F1BCA">
              <w:rPr>
                <w:rFonts w:ascii="Arial" w:hAnsi="Arial" w:cs="Arial"/>
              </w:rPr>
              <w:t>14,73 a</w:t>
            </w:r>
          </w:p>
        </w:tc>
        <w:tc>
          <w:tcPr>
            <w:tcW w:w="837" w:type="pct"/>
            <w:tcBorders>
              <w:top w:val="single" w:sz="4" w:space="0" w:color="auto"/>
            </w:tcBorders>
            <w:vAlign w:val="center"/>
          </w:tcPr>
          <w:p w14:paraId="17282367" w14:textId="77777777" w:rsidR="006F1BCA" w:rsidRPr="006F1BCA" w:rsidRDefault="006F1BCA" w:rsidP="006F1BCA">
            <w:pPr>
              <w:pStyle w:val="Body"/>
              <w:spacing w:after="0"/>
              <w:jc w:val="center"/>
              <w:rPr>
                <w:rFonts w:ascii="Arial" w:hAnsi="Arial" w:cs="Arial"/>
              </w:rPr>
            </w:pPr>
            <w:r w:rsidRPr="006F1BCA">
              <w:rPr>
                <w:rFonts w:ascii="Arial" w:hAnsi="Arial" w:cs="Arial"/>
              </w:rPr>
              <w:t>7,59 a</w:t>
            </w:r>
          </w:p>
        </w:tc>
        <w:tc>
          <w:tcPr>
            <w:tcW w:w="776" w:type="pct"/>
            <w:tcBorders>
              <w:top w:val="single" w:sz="4" w:space="0" w:color="auto"/>
            </w:tcBorders>
            <w:vAlign w:val="center"/>
          </w:tcPr>
          <w:p w14:paraId="79E2DD0A" w14:textId="77777777" w:rsidR="006F1BCA" w:rsidRPr="006F1BCA" w:rsidRDefault="006F1BCA" w:rsidP="006F1BCA">
            <w:pPr>
              <w:pStyle w:val="Body"/>
              <w:spacing w:after="0"/>
              <w:jc w:val="center"/>
              <w:rPr>
                <w:rFonts w:ascii="Arial" w:hAnsi="Arial" w:cs="Arial"/>
              </w:rPr>
            </w:pPr>
            <w:r w:rsidRPr="006F1BCA">
              <w:rPr>
                <w:rFonts w:ascii="Arial" w:hAnsi="Arial" w:cs="Arial"/>
              </w:rPr>
              <w:t>100 a</w:t>
            </w:r>
          </w:p>
        </w:tc>
        <w:tc>
          <w:tcPr>
            <w:tcW w:w="473" w:type="pct"/>
            <w:tcBorders>
              <w:top w:val="single" w:sz="4" w:space="0" w:color="auto"/>
            </w:tcBorders>
            <w:vAlign w:val="center"/>
          </w:tcPr>
          <w:p w14:paraId="0F46B26F" w14:textId="77777777" w:rsidR="006F1BCA" w:rsidRPr="006F1BCA" w:rsidRDefault="006F1BCA" w:rsidP="006F1BCA">
            <w:pPr>
              <w:pStyle w:val="Body"/>
              <w:spacing w:after="0"/>
              <w:jc w:val="center"/>
              <w:rPr>
                <w:rFonts w:ascii="Arial" w:hAnsi="Arial" w:cs="Arial"/>
              </w:rPr>
            </w:pPr>
            <w:r w:rsidRPr="006F1BCA">
              <w:rPr>
                <w:rFonts w:ascii="Arial" w:hAnsi="Arial" w:cs="Arial"/>
              </w:rPr>
              <w:t>1,22 a</w:t>
            </w:r>
          </w:p>
        </w:tc>
        <w:tc>
          <w:tcPr>
            <w:tcW w:w="521" w:type="pct"/>
            <w:tcBorders>
              <w:top w:val="single" w:sz="4" w:space="0" w:color="auto"/>
            </w:tcBorders>
            <w:vAlign w:val="center"/>
          </w:tcPr>
          <w:p w14:paraId="26381216" w14:textId="77777777" w:rsidR="006F1BCA" w:rsidRPr="006F1BCA" w:rsidRDefault="006F1BCA" w:rsidP="006F1BCA">
            <w:pPr>
              <w:pStyle w:val="Body"/>
              <w:spacing w:after="0"/>
              <w:jc w:val="center"/>
              <w:rPr>
                <w:rFonts w:ascii="Arial" w:hAnsi="Arial" w:cs="Arial"/>
              </w:rPr>
            </w:pPr>
            <w:r w:rsidRPr="006F1BCA">
              <w:rPr>
                <w:rFonts w:ascii="Arial" w:hAnsi="Arial" w:cs="Arial"/>
              </w:rPr>
              <w:t>1,82 a</w:t>
            </w:r>
          </w:p>
        </w:tc>
        <w:tc>
          <w:tcPr>
            <w:tcW w:w="562" w:type="pct"/>
            <w:tcBorders>
              <w:top w:val="single" w:sz="4" w:space="0" w:color="auto"/>
            </w:tcBorders>
            <w:vAlign w:val="center"/>
          </w:tcPr>
          <w:p w14:paraId="501A8D97" w14:textId="77777777" w:rsidR="006F1BCA" w:rsidRPr="006F1BCA" w:rsidRDefault="006F1BCA" w:rsidP="006F1BCA">
            <w:pPr>
              <w:pStyle w:val="Body"/>
              <w:spacing w:after="0"/>
              <w:jc w:val="center"/>
              <w:rPr>
                <w:rFonts w:ascii="Arial" w:hAnsi="Arial" w:cs="Arial"/>
              </w:rPr>
            </w:pPr>
            <w:r w:rsidRPr="006F1BCA">
              <w:rPr>
                <w:rFonts w:ascii="Arial" w:hAnsi="Arial" w:cs="Arial"/>
              </w:rPr>
              <w:t>2,03 a</w:t>
            </w:r>
          </w:p>
        </w:tc>
      </w:tr>
      <w:tr w:rsidR="006F1BCA" w:rsidRPr="006F1BCA" w14:paraId="31C32F16" w14:textId="77777777" w:rsidTr="00941EB8">
        <w:trPr>
          <w:trHeight w:val="300"/>
        </w:trPr>
        <w:tc>
          <w:tcPr>
            <w:tcW w:w="1158" w:type="pct"/>
            <w:noWrap/>
            <w:vAlign w:val="center"/>
            <w:hideMark/>
          </w:tcPr>
          <w:p w14:paraId="6BD0D414"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P1 (Majemuk NPK 2 g/L)</w:t>
            </w:r>
          </w:p>
        </w:tc>
        <w:tc>
          <w:tcPr>
            <w:tcW w:w="673" w:type="pct"/>
            <w:vAlign w:val="center"/>
          </w:tcPr>
          <w:p w14:paraId="4564E619"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1, 64 b</w:t>
            </w:r>
          </w:p>
        </w:tc>
        <w:tc>
          <w:tcPr>
            <w:tcW w:w="837" w:type="pct"/>
            <w:vAlign w:val="center"/>
          </w:tcPr>
          <w:p w14:paraId="4ADC1709"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8,42 ab</w:t>
            </w:r>
          </w:p>
        </w:tc>
        <w:tc>
          <w:tcPr>
            <w:tcW w:w="776" w:type="pct"/>
            <w:vAlign w:val="center"/>
          </w:tcPr>
          <w:p w14:paraId="786C98D2"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81,48 ab</w:t>
            </w:r>
          </w:p>
        </w:tc>
        <w:tc>
          <w:tcPr>
            <w:tcW w:w="473" w:type="pct"/>
            <w:vAlign w:val="center"/>
          </w:tcPr>
          <w:p w14:paraId="792FA759"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0,95 b</w:t>
            </w:r>
          </w:p>
        </w:tc>
        <w:tc>
          <w:tcPr>
            <w:tcW w:w="521" w:type="pct"/>
            <w:vAlign w:val="center"/>
          </w:tcPr>
          <w:p w14:paraId="3433F34D"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0,87 b</w:t>
            </w:r>
          </w:p>
        </w:tc>
        <w:tc>
          <w:tcPr>
            <w:tcW w:w="562" w:type="pct"/>
            <w:vAlign w:val="center"/>
          </w:tcPr>
          <w:p w14:paraId="48098F17"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1,10 b</w:t>
            </w:r>
          </w:p>
        </w:tc>
      </w:tr>
      <w:tr w:rsidR="006F1BCA" w:rsidRPr="006F1BCA" w14:paraId="4C26D164" w14:textId="77777777" w:rsidTr="00941EB8">
        <w:trPr>
          <w:trHeight w:val="300"/>
        </w:trPr>
        <w:tc>
          <w:tcPr>
            <w:tcW w:w="1158" w:type="pct"/>
            <w:tcBorders>
              <w:bottom w:val="single" w:sz="4" w:space="0" w:color="auto"/>
            </w:tcBorders>
            <w:noWrap/>
            <w:vAlign w:val="center"/>
            <w:hideMark/>
          </w:tcPr>
          <w:p w14:paraId="27F22EA5"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P2 (Majemuk NPK 4 g/L)</w:t>
            </w:r>
          </w:p>
        </w:tc>
        <w:tc>
          <w:tcPr>
            <w:tcW w:w="673" w:type="pct"/>
            <w:tcBorders>
              <w:bottom w:val="single" w:sz="4" w:space="0" w:color="auto"/>
            </w:tcBorders>
            <w:vAlign w:val="center"/>
          </w:tcPr>
          <w:p w14:paraId="10F426A4"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0,18 c</w:t>
            </w:r>
          </w:p>
        </w:tc>
        <w:tc>
          <w:tcPr>
            <w:tcW w:w="837" w:type="pct"/>
            <w:tcBorders>
              <w:bottom w:val="single" w:sz="4" w:space="0" w:color="auto"/>
            </w:tcBorders>
            <w:vAlign w:val="center"/>
          </w:tcPr>
          <w:p w14:paraId="017B2BFC"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9,17 b</w:t>
            </w:r>
          </w:p>
        </w:tc>
        <w:tc>
          <w:tcPr>
            <w:tcW w:w="776" w:type="pct"/>
            <w:tcBorders>
              <w:bottom w:val="single" w:sz="4" w:space="0" w:color="auto"/>
            </w:tcBorders>
            <w:vAlign w:val="center"/>
          </w:tcPr>
          <w:p w14:paraId="6D53242E"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55,56 b</w:t>
            </w:r>
          </w:p>
        </w:tc>
        <w:tc>
          <w:tcPr>
            <w:tcW w:w="473" w:type="pct"/>
            <w:tcBorders>
              <w:bottom w:val="single" w:sz="4" w:space="0" w:color="auto"/>
            </w:tcBorders>
            <w:vAlign w:val="center"/>
          </w:tcPr>
          <w:p w14:paraId="299FFD69"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0,77 b</w:t>
            </w:r>
          </w:p>
        </w:tc>
        <w:tc>
          <w:tcPr>
            <w:tcW w:w="521" w:type="pct"/>
            <w:tcBorders>
              <w:bottom w:val="single" w:sz="4" w:space="0" w:color="auto"/>
            </w:tcBorders>
            <w:vAlign w:val="center"/>
          </w:tcPr>
          <w:p w14:paraId="79C97E88"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0,81 b</w:t>
            </w:r>
          </w:p>
        </w:tc>
        <w:tc>
          <w:tcPr>
            <w:tcW w:w="562" w:type="pct"/>
            <w:tcBorders>
              <w:bottom w:val="single" w:sz="4" w:space="0" w:color="auto"/>
            </w:tcBorders>
            <w:vAlign w:val="center"/>
          </w:tcPr>
          <w:p w14:paraId="42081BFF"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0,71 b</w:t>
            </w:r>
          </w:p>
        </w:tc>
      </w:tr>
    </w:tbl>
    <w:p w14:paraId="12142147" w14:textId="6040B26A" w:rsidR="00F03FBE" w:rsidRPr="000F7785" w:rsidRDefault="000F7785" w:rsidP="000F7785">
      <w:pPr>
        <w:pStyle w:val="Body"/>
        <w:spacing w:after="0"/>
        <w:ind w:left="567" w:hanging="567"/>
        <w:rPr>
          <w:rFonts w:ascii="Arial" w:hAnsi="Arial"/>
          <w:bCs/>
          <w:i/>
          <w:sz w:val="18"/>
          <w:lang w:val="en-ID"/>
        </w:rPr>
      </w:pPr>
      <w:r w:rsidRPr="000F7785">
        <w:rPr>
          <w:rFonts w:ascii="Arial" w:hAnsi="Arial"/>
          <w:i/>
          <w:sz w:val="18"/>
        </w:rPr>
        <w:t>Notes</w:t>
      </w:r>
      <w:r w:rsidRPr="000F7785">
        <w:rPr>
          <w:rFonts w:ascii="Arial" w:hAnsi="Arial"/>
          <w:b/>
          <w:bCs/>
          <w:i/>
          <w:sz w:val="18"/>
        </w:rPr>
        <w:t>:</w:t>
      </w:r>
      <w:r w:rsidRPr="000F7785">
        <w:rPr>
          <w:rFonts w:ascii="Arial" w:hAnsi="Arial"/>
          <w:bCs/>
          <w:i/>
          <w:sz w:val="18"/>
        </w:rPr>
        <w:t xml:space="preserve"> Values followed by the same letter in the same column are not significantly different according</w:t>
      </w:r>
      <w:r>
        <w:rPr>
          <w:rFonts w:ascii="Arial" w:hAnsi="Arial"/>
          <w:bCs/>
          <w:i/>
          <w:sz w:val="18"/>
        </w:rPr>
        <w:t xml:space="preserve"> </w:t>
      </w:r>
      <w:r w:rsidRPr="000F7785">
        <w:rPr>
          <w:rFonts w:ascii="Arial" w:hAnsi="Arial"/>
          <w:bCs/>
          <w:i/>
          <w:sz w:val="18"/>
        </w:rPr>
        <w:t>to Duncan’s Multiple Range Test (DMRT) at the 5% significance level.</w:t>
      </w:r>
    </w:p>
    <w:p w14:paraId="1B2695E5" w14:textId="77777777" w:rsidR="00B44296" w:rsidRDefault="00B44296" w:rsidP="00654308">
      <w:pPr>
        <w:pStyle w:val="Body"/>
        <w:spacing w:after="0"/>
        <w:rPr>
          <w:rFonts w:ascii="Arial" w:hAnsi="Arial" w:cs="Arial"/>
          <w:lang w:val="en-ID"/>
        </w:rPr>
      </w:pPr>
    </w:p>
    <w:p w14:paraId="0D1DF056" w14:textId="2614B094" w:rsidR="006A6692" w:rsidRDefault="00CA638F" w:rsidP="00ED5965">
      <w:pPr>
        <w:pStyle w:val="Body"/>
        <w:rPr>
          <w:rFonts w:ascii="Arial" w:hAnsi="Arial" w:cs="Arial"/>
          <w:lang w:val="en-ID"/>
        </w:rPr>
      </w:pPr>
      <w:r>
        <w:rPr>
          <w:rFonts w:ascii="Arial" w:hAnsi="Arial" w:cs="Arial"/>
          <w:lang w:val="en-ID"/>
        </w:rPr>
        <w:t>in</w:t>
      </w:r>
      <w:r w:rsidR="00ED5965" w:rsidRPr="00ED5965">
        <w:rPr>
          <w:rFonts w:ascii="Arial" w:hAnsi="Arial" w:cs="Arial"/>
          <w:lang w:val="en-ID"/>
        </w:rPr>
        <w:t xml:space="preserve"> the variables of germination percentage and germination time, the MS medium treatment produced a higher mean germination percentage and a faster germination time compared to the 4 g/L NPK compound fertilizer, while the 2 g/L NPK compound fertilizer showed no significant difference from the MS medium treatment.</w:t>
      </w:r>
      <w:r w:rsidR="00ED5965">
        <w:rPr>
          <w:rFonts w:ascii="Arial" w:hAnsi="Arial" w:cs="Arial"/>
          <w:lang w:val="en-ID"/>
        </w:rPr>
        <w:t xml:space="preserve"> </w:t>
      </w:r>
      <w:r w:rsidR="00ED5965" w:rsidRPr="00ED5965">
        <w:rPr>
          <w:rFonts w:ascii="Arial" w:hAnsi="Arial" w:cs="Arial"/>
          <w:lang w:val="en-ID"/>
        </w:rPr>
        <w:t xml:space="preserve">This pattern is consistent with Leksono (2015) in chrysanthemum, where MS medium resulted in a faster root initiation time at 8.11 days after planting (DAP), compared to 17.78 DAP in the 2 g/L compound fertilizer medium and 28 </w:t>
      </w:r>
      <w:proofErr w:type="gramStart"/>
      <w:r w:rsidR="00ED5965" w:rsidRPr="00ED5965">
        <w:rPr>
          <w:rFonts w:ascii="Arial" w:hAnsi="Arial" w:cs="Arial"/>
          <w:lang w:val="en-ID"/>
        </w:rPr>
        <w:t>DAP</w:t>
      </w:r>
      <w:proofErr w:type="gramEnd"/>
      <w:r w:rsidR="00ED5965" w:rsidRPr="00ED5965">
        <w:rPr>
          <w:rFonts w:ascii="Arial" w:hAnsi="Arial" w:cs="Arial"/>
          <w:lang w:val="en-ID"/>
        </w:rPr>
        <w:t xml:space="preserve"> in the 3 g/L compound fertilizer medium. Increasing the concentration of compound fertilizer in the culture medium tended to prolong the root initiation time. These differences indicate that higher fertilizer concentrations in the culture medium slow down the early growth process of plants, including the germination phase.</w:t>
      </w:r>
      <w:r w:rsidR="00ED5965">
        <w:rPr>
          <w:rFonts w:ascii="Arial" w:hAnsi="Arial" w:cs="Arial"/>
          <w:lang w:val="en-ID"/>
        </w:rPr>
        <w:t xml:space="preserve"> </w:t>
      </w:r>
      <w:r>
        <w:rPr>
          <w:rFonts w:ascii="Arial" w:hAnsi="Arial" w:cs="Arial"/>
          <w:lang w:val="en-ID"/>
        </w:rPr>
        <w:t>in</w:t>
      </w:r>
      <w:r w:rsidR="00ED5965" w:rsidRPr="00ED5965">
        <w:rPr>
          <w:rFonts w:ascii="Arial" w:hAnsi="Arial" w:cs="Arial"/>
          <w:lang w:val="en-ID"/>
        </w:rPr>
        <w:t xml:space="preserve"> the variable of shoot number, the MS medium treatment produced the highest mean number of shoots and was significantly different from the 2 g/L and 4 g/L NPK compound fertilizer treatments. These results are in line with </w:t>
      </w:r>
      <w:proofErr w:type="spellStart"/>
      <w:r w:rsidR="00ED5965" w:rsidRPr="00ED5965">
        <w:rPr>
          <w:rFonts w:ascii="Arial" w:hAnsi="Arial" w:cs="Arial"/>
          <w:lang w:val="en-ID"/>
        </w:rPr>
        <w:t>Isda</w:t>
      </w:r>
      <w:proofErr w:type="spellEnd"/>
      <w:r w:rsidR="00ED5965" w:rsidRPr="00ED5965">
        <w:rPr>
          <w:rFonts w:ascii="Arial" w:hAnsi="Arial" w:cs="Arial"/>
          <w:lang w:val="en-ID"/>
        </w:rPr>
        <w:t xml:space="preserve"> and </w:t>
      </w:r>
      <w:proofErr w:type="spellStart"/>
      <w:r w:rsidR="00ED5965" w:rsidRPr="00ED5965">
        <w:rPr>
          <w:rFonts w:ascii="Arial" w:hAnsi="Arial" w:cs="Arial"/>
          <w:lang w:val="en-ID"/>
        </w:rPr>
        <w:t>Wusqa</w:t>
      </w:r>
      <w:proofErr w:type="spellEnd"/>
      <w:r w:rsidR="00ED5965" w:rsidRPr="00ED5965">
        <w:rPr>
          <w:rFonts w:ascii="Arial" w:hAnsi="Arial" w:cs="Arial"/>
          <w:lang w:val="en-ID"/>
        </w:rPr>
        <w:t xml:space="preserve"> (2024), who reported that the application of </w:t>
      </w:r>
      <w:r w:rsidR="00ED5965" w:rsidRPr="00ED5965">
        <w:rPr>
          <w:rFonts w:ascii="Arial" w:hAnsi="Arial" w:cs="Arial"/>
          <w:lang w:val="en-ID"/>
        </w:rPr>
        <w:lastRenderedPageBreak/>
        <w:t>compound foliar fertilizer at higher concentrations (2 g/L and 3 g/L) resulted in a lower percentage of micro-shoot formation in orchids compared to the 1 g/L compound fertilizer concentration.</w:t>
      </w:r>
    </w:p>
    <w:p w14:paraId="05C011F5" w14:textId="58CA0F19" w:rsidR="00B44296" w:rsidRPr="0003233C" w:rsidRDefault="004652EF" w:rsidP="004652EF">
      <w:pPr>
        <w:pStyle w:val="Body"/>
        <w:rPr>
          <w:rFonts w:ascii="Arial" w:hAnsi="Arial" w:cs="Arial"/>
          <w:lang w:val="en-ID"/>
        </w:rPr>
      </w:pPr>
      <w:r w:rsidRPr="004652EF">
        <w:rPr>
          <w:rFonts w:ascii="Arial" w:hAnsi="Arial" w:cs="Arial"/>
          <w:lang w:val="en-ID"/>
        </w:rPr>
        <w:t xml:space="preserve">In the variable of root length, the MS medium treatment produced the highest average root length and differed significantly from the compound NPK fertilizer treatments at 2 g/L and 4 g/L. This result is presumably due to the proportion of nitrogen in the compound fertilizer medium being excessively high, leading to nutrient imbalance and increased osmotic pressure in the culture medium, thereby inhibiting root growth and cell elongation. This finding is consistent with </w:t>
      </w:r>
      <w:proofErr w:type="spellStart"/>
      <w:r w:rsidRPr="004652EF">
        <w:rPr>
          <w:rFonts w:ascii="Arial" w:hAnsi="Arial" w:cs="Arial"/>
          <w:lang w:val="en-ID"/>
        </w:rPr>
        <w:t>Vallepy</w:t>
      </w:r>
      <w:proofErr w:type="spellEnd"/>
      <w:r w:rsidRPr="004652EF">
        <w:rPr>
          <w:rFonts w:ascii="Arial" w:hAnsi="Arial" w:cs="Arial"/>
          <w:lang w:val="en-ID"/>
        </w:rPr>
        <w:t xml:space="preserve"> et al. (2024), who reported that increasing the concentration of compound NPK fertilizer up to 4 g/L reduced root length in in vitro orchids.</w:t>
      </w:r>
      <w:r>
        <w:rPr>
          <w:rFonts w:ascii="Arial" w:hAnsi="Arial" w:cs="Arial"/>
          <w:lang w:val="en-ID"/>
        </w:rPr>
        <w:t xml:space="preserve"> </w:t>
      </w:r>
      <w:r w:rsidRPr="004652EF">
        <w:rPr>
          <w:rFonts w:ascii="Arial" w:hAnsi="Arial" w:cs="Arial"/>
          <w:lang w:val="en-ID"/>
        </w:rPr>
        <w:t xml:space="preserve">In the variable of tuber diameter, the MS medium treatment resulted in the highest average tuber diameter and differed significantly from the NPK treatments at 2 g/L and 4 g/L. This outcome is presumably due to the concentration of compound NPK fertilizer used being unsuitable for </w:t>
      </w:r>
      <w:proofErr w:type="spellStart"/>
      <w:r w:rsidRPr="004652EF">
        <w:rPr>
          <w:rFonts w:ascii="Arial" w:hAnsi="Arial" w:cs="Arial"/>
          <w:lang w:val="en-ID"/>
        </w:rPr>
        <w:t>microtuber</w:t>
      </w:r>
      <w:proofErr w:type="spellEnd"/>
      <w:r w:rsidRPr="004652EF">
        <w:rPr>
          <w:rFonts w:ascii="Arial" w:hAnsi="Arial" w:cs="Arial"/>
          <w:lang w:val="en-ID"/>
        </w:rPr>
        <w:t xml:space="preserve"> formation from TSS. According to </w:t>
      </w:r>
      <w:proofErr w:type="spellStart"/>
      <w:r w:rsidRPr="004652EF">
        <w:rPr>
          <w:rFonts w:ascii="Arial" w:hAnsi="Arial" w:cs="Arial"/>
          <w:lang w:val="en-ID"/>
        </w:rPr>
        <w:t>Hardianti</w:t>
      </w:r>
      <w:proofErr w:type="spellEnd"/>
      <w:r w:rsidRPr="004652EF">
        <w:rPr>
          <w:rFonts w:ascii="Arial" w:hAnsi="Arial" w:cs="Arial"/>
          <w:lang w:val="en-ID"/>
        </w:rPr>
        <w:t xml:space="preserve"> and </w:t>
      </w:r>
      <w:proofErr w:type="spellStart"/>
      <w:r w:rsidRPr="004652EF">
        <w:rPr>
          <w:rFonts w:ascii="Arial" w:hAnsi="Arial" w:cs="Arial"/>
          <w:lang w:val="en-ID"/>
        </w:rPr>
        <w:t>Soetopo</w:t>
      </w:r>
      <w:proofErr w:type="spellEnd"/>
      <w:r w:rsidRPr="004652EF">
        <w:rPr>
          <w:rFonts w:ascii="Arial" w:hAnsi="Arial" w:cs="Arial"/>
          <w:lang w:val="en-ID"/>
        </w:rPr>
        <w:t xml:space="preserve"> (2019), nitrogen levels that match the requirements of plantlets can promote cell and tissue regeneration, whereas excessively high nitrogen concentrations can inhibit plantlet growth. Therefore, optimizing the concentration of foliar fertilizer added to the culture medium is essential to achieve the best plantlet growth response.</w:t>
      </w:r>
      <w:r>
        <w:rPr>
          <w:rFonts w:ascii="Arial" w:hAnsi="Arial" w:cs="Arial"/>
          <w:lang w:val="en-ID"/>
        </w:rPr>
        <w:t xml:space="preserve"> </w:t>
      </w:r>
      <w:r w:rsidRPr="004652EF">
        <w:rPr>
          <w:rFonts w:ascii="Arial" w:hAnsi="Arial" w:cs="Arial"/>
          <w:lang w:val="en-ID"/>
        </w:rPr>
        <w:t>In the variable of plant height, the MS medium treatment produced the tallest plants and differed significantly from the compound NPK fertilizer treatments at 2 g/L and 4 g/L. This result is related to the availability and balanced composition of macro- and micronutrients in the MS medium, which is complete, well-defined, and readily absorbed by plant tissues under in vitro conditions (Murashige and Skoog, 1962). In contrast, compound fertilizers formulated for field application have nutrient ratios that are less suitable for in vitro conditions, resulting in reduced plant growth (Utomo and Yunus, 2021).</w:t>
      </w:r>
      <w:r>
        <w:rPr>
          <w:rFonts w:ascii="Arial" w:hAnsi="Arial" w:cs="Arial"/>
          <w:lang w:val="en-ID"/>
        </w:rPr>
        <w:t xml:space="preserve"> </w:t>
      </w:r>
      <w:r w:rsidRPr="004652EF">
        <w:rPr>
          <w:rFonts w:ascii="Arial" w:hAnsi="Arial" w:cs="Arial"/>
          <w:lang w:val="en-ID"/>
        </w:rPr>
        <w:t>Therefore, when using compound fertilizer as a culture medium, the addition of organic substances is necessary to improve nutrient balance and enhance the availability of essential nutrients, thereby increasing its potential as an alternative to MS medium (</w:t>
      </w:r>
      <w:proofErr w:type="spellStart"/>
      <w:r w:rsidRPr="004652EF">
        <w:rPr>
          <w:rFonts w:ascii="Arial" w:hAnsi="Arial" w:cs="Arial"/>
          <w:lang w:val="en-ID"/>
        </w:rPr>
        <w:t>Hapsoro</w:t>
      </w:r>
      <w:proofErr w:type="spellEnd"/>
      <w:r w:rsidRPr="004652EF">
        <w:rPr>
          <w:rFonts w:ascii="Arial" w:hAnsi="Arial" w:cs="Arial"/>
          <w:lang w:val="en-ID"/>
        </w:rPr>
        <w:t xml:space="preserve"> et al., 2018).</w:t>
      </w:r>
    </w:p>
    <w:p w14:paraId="36458140" w14:textId="2281C0C7" w:rsidR="00162D1E" w:rsidRPr="00162D1E" w:rsidRDefault="00654308" w:rsidP="00404C03">
      <w:pPr>
        <w:pStyle w:val="Body"/>
        <w:spacing w:after="0"/>
        <w:rPr>
          <w:rFonts w:ascii="Arial" w:hAnsi="Arial" w:cs="Arial"/>
          <w:b/>
          <w:sz w:val="22"/>
          <w:lang w:val="en-ID"/>
        </w:rPr>
      </w:pPr>
      <w:proofErr w:type="gramStart"/>
      <w:r w:rsidRPr="00162D1E">
        <w:rPr>
          <w:rFonts w:ascii="Arial" w:hAnsi="Arial" w:cs="Arial"/>
          <w:b/>
          <w:caps/>
          <w:sz w:val="22"/>
          <w:lang w:val="en-ID"/>
        </w:rPr>
        <w:t xml:space="preserve">3.3 </w:t>
      </w:r>
      <w:r w:rsidRPr="00162D1E">
        <w:rPr>
          <w:rFonts w:ascii="Arial" w:hAnsi="Arial" w:cs="Arial"/>
          <w:b/>
          <w:sz w:val="22"/>
          <w:lang w:val="en-ID"/>
        </w:rPr>
        <w:t xml:space="preserve"> </w:t>
      </w:r>
      <w:r w:rsidR="00162D1E" w:rsidRPr="00162D1E">
        <w:rPr>
          <w:rFonts w:ascii="Arial" w:hAnsi="Arial" w:cs="Arial"/>
          <w:b/>
          <w:sz w:val="22"/>
          <w:lang w:val="en-ID"/>
        </w:rPr>
        <w:t>Effect</w:t>
      </w:r>
      <w:proofErr w:type="gramEnd"/>
      <w:r w:rsidR="00162D1E" w:rsidRPr="00162D1E">
        <w:rPr>
          <w:rFonts w:ascii="Arial" w:hAnsi="Arial" w:cs="Arial"/>
          <w:b/>
          <w:sz w:val="22"/>
          <w:lang w:val="en-ID"/>
        </w:rPr>
        <w:t xml:space="preserve"> of Sucrose Concentration on the Growth of Shallot from True Shallot Seed </w:t>
      </w:r>
    </w:p>
    <w:p w14:paraId="77BDF1CA" w14:textId="77777777" w:rsidR="00162D1E" w:rsidRPr="00162D1E" w:rsidRDefault="00162D1E" w:rsidP="00404C03">
      <w:pPr>
        <w:pStyle w:val="Body"/>
        <w:spacing w:after="0"/>
        <w:rPr>
          <w:rFonts w:ascii="Arial" w:hAnsi="Arial" w:cs="Arial"/>
          <w:b/>
          <w:sz w:val="22"/>
          <w:lang w:val="en-ID"/>
        </w:rPr>
      </w:pPr>
    </w:p>
    <w:p w14:paraId="577EC7C3" w14:textId="38D10F22" w:rsidR="00162D1E" w:rsidRPr="00090BC7" w:rsidRDefault="00162D1E" w:rsidP="00404C03">
      <w:pPr>
        <w:pStyle w:val="Body"/>
        <w:spacing w:after="0"/>
        <w:rPr>
          <w:rFonts w:ascii="Arial" w:hAnsi="Arial" w:cs="Arial"/>
        </w:rPr>
      </w:pPr>
      <w:r w:rsidRPr="00162D1E">
        <w:rPr>
          <w:rFonts w:ascii="Arial" w:hAnsi="Arial" w:cs="Arial"/>
        </w:rPr>
        <w:t>The application of various sucrose concentrations in the culture medium of shallots</w:t>
      </w:r>
      <w:r w:rsidR="00FC314E">
        <w:rPr>
          <w:rFonts w:ascii="Arial" w:hAnsi="Arial" w:cs="Arial"/>
        </w:rPr>
        <w:t xml:space="preserve"> </w:t>
      </w:r>
      <w:r w:rsidRPr="00162D1E">
        <w:rPr>
          <w:rFonts w:ascii="Arial" w:hAnsi="Arial" w:cs="Arial"/>
        </w:rPr>
        <w:t>from TSS did not significantly affect the variables of germination percentage, germination time, number of micro shoots, number of micro leaves, micro root length, and bulb diameter. However, plant height was significantly affected by the application of different sucrose concentrations in the culture medium.</w:t>
      </w:r>
    </w:p>
    <w:p w14:paraId="287BE474" w14:textId="77777777" w:rsidR="007A1496" w:rsidRPr="00162D1E" w:rsidRDefault="007A1496" w:rsidP="00404C03">
      <w:pPr>
        <w:pStyle w:val="Body"/>
        <w:spacing w:after="0"/>
        <w:rPr>
          <w:rFonts w:ascii="Arial" w:hAnsi="Arial"/>
          <w:b/>
          <w:lang w:val="en-ID"/>
        </w:rPr>
      </w:pPr>
    </w:p>
    <w:p w14:paraId="649A6F3B" w14:textId="061B533F" w:rsidR="00404C03" w:rsidRDefault="00404C03" w:rsidP="00404C03">
      <w:pPr>
        <w:pStyle w:val="Body"/>
        <w:spacing w:after="0"/>
        <w:rPr>
          <w:rFonts w:ascii="Arial" w:hAnsi="Arial"/>
          <w:b/>
          <w:lang w:val="id"/>
        </w:rPr>
      </w:pPr>
      <w:r w:rsidRPr="00EC715B">
        <w:rPr>
          <w:rFonts w:ascii="Arial" w:hAnsi="Arial"/>
          <w:b/>
          <w:lang w:val="id"/>
        </w:rPr>
        <w:t xml:space="preserve">Table </w:t>
      </w:r>
      <w:r>
        <w:rPr>
          <w:rFonts w:ascii="Arial" w:hAnsi="Arial"/>
          <w:b/>
          <w:lang w:val="id"/>
        </w:rPr>
        <w:t xml:space="preserve">5. </w:t>
      </w:r>
      <w:r w:rsidR="00162D1E" w:rsidRPr="00162D1E">
        <w:rPr>
          <w:rFonts w:ascii="Arial" w:hAnsi="Arial"/>
          <w:b/>
        </w:rPr>
        <w:t>The mean values of sucrose concentration treatments on the plant height variable</w:t>
      </w:r>
      <w:r w:rsidR="00162D1E">
        <w:rPr>
          <w:rFonts w:ascii="Arial" w:hAnsi="Arial"/>
          <w:b/>
        </w:rPr>
        <w:t xml:space="preserve">. </w:t>
      </w:r>
    </w:p>
    <w:p w14:paraId="3318A8C0" w14:textId="77777777" w:rsidR="00404C03" w:rsidRDefault="00404C03" w:rsidP="00441B6F">
      <w:pPr>
        <w:pStyle w:val="Body"/>
        <w:spacing w:after="0"/>
        <w:rPr>
          <w:rFonts w:ascii="Arial" w:hAnsi="Arial" w:cs="Arial"/>
          <w:lang w:val="id"/>
        </w:rPr>
      </w:pPr>
    </w:p>
    <w:tbl>
      <w:tblPr>
        <w:tblW w:w="5000" w:type="pct"/>
        <w:tblLook w:val="04A0" w:firstRow="1" w:lastRow="0" w:firstColumn="1" w:lastColumn="0" w:noHBand="0" w:noVBand="1"/>
      </w:tblPr>
      <w:tblGrid>
        <w:gridCol w:w="5327"/>
        <w:gridCol w:w="3097"/>
      </w:tblGrid>
      <w:tr w:rsidR="00AB1634" w:rsidRPr="006F1BCA" w14:paraId="1B52B2FD" w14:textId="77777777" w:rsidTr="00AB1634">
        <w:trPr>
          <w:trHeight w:val="300"/>
        </w:trPr>
        <w:tc>
          <w:tcPr>
            <w:tcW w:w="3162" w:type="pct"/>
            <w:tcBorders>
              <w:top w:val="single" w:sz="4" w:space="0" w:color="auto"/>
              <w:bottom w:val="single" w:sz="4" w:space="0" w:color="auto"/>
            </w:tcBorders>
            <w:noWrap/>
            <w:vAlign w:val="center"/>
            <w:hideMark/>
          </w:tcPr>
          <w:p w14:paraId="451C7C54" w14:textId="4B1DC153" w:rsidR="00AB1634" w:rsidRPr="00F25138" w:rsidRDefault="00162D1E" w:rsidP="00E41695">
            <w:pPr>
              <w:pStyle w:val="Body"/>
              <w:spacing w:after="0"/>
              <w:jc w:val="center"/>
              <w:rPr>
                <w:rFonts w:ascii="Arial" w:hAnsi="Arial" w:cs="Arial"/>
                <w:lang w:val="sv-SE"/>
              </w:rPr>
            </w:pPr>
            <w:r>
              <w:rPr>
                <w:rFonts w:ascii="Arial" w:hAnsi="Arial" w:cs="Arial"/>
                <w:lang w:val="sv-SE"/>
              </w:rPr>
              <w:t>Treatment</w:t>
            </w:r>
          </w:p>
          <w:p w14:paraId="70DA8C76" w14:textId="77777777" w:rsidR="00AB1634" w:rsidRPr="00F25138" w:rsidRDefault="00AB1634" w:rsidP="00E41695">
            <w:pPr>
              <w:pStyle w:val="Body"/>
              <w:spacing w:after="0"/>
              <w:jc w:val="center"/>
              <w:rPr>
                <w:rFonts w:ascii="Arial" w:hAnsi="Arial" w:cs="Arial"/>
                <w:lang w:val="sv-SE"/>
              </w:rPr>
            </w:pPr>
          </w:p>
        </w:tc>
        <w:tc>
          <w:tcPr>
            <w:tcW w:w="1838" w:type="pct"/>
            <w:tcBorders>
              <w:top w:val="single" w:sz="4" w:space="0" w:color="auto"/>
              <w:bottom w:val="single" w:sz="4" w:space="0" w:color="auto"/>
            </w:tcBorders>
            <w:vAlign w:val="center"/>
          </w:tcPr>
          <w:p w14:paraId="0B4B84EE" w14:textId="02E1BD18" w:rsidR="00AB1634" w:rsidRPr="006F1BCA" w:rsidRDefault="00162D1E" w:rsidP="00E41695">
            <w:pPr>
              <w:pStyle w:val="Body"/>
              <w:spacing w:after="0"/>
              <w:jc w:val="center"/>
              <w:rPr>
                <w:rFonts w:ascii="Arial" w:hAnsi="Arial" w:cs="Arial"/>
              </w:rPr>
            </w:pPr>
            <w:r>
              <w:rPr>
                <w:rFonts w:ascii="Arial" w:hAnsi="Arial" w:cs="Arial"/>
              </w:rPr>
              <w:t>Plant Height</w:t>
            </w:r>
            <w:r w:rsidR="00AB1634" w:rsidRPr="006F1BCA">
              <w:rPr>
                <w:rFonts w:ascii="Arial" w:hAnsi="Arial" w:cs="Arial"/>
              </w:rPr>
              <w:t xml:space="preserve"> (cm)</w:t>
            </w:r>
          </w:p>
        </w:tc>
      </w:tr>
      <w:tr w:rsidR="00AB1634" w:rsidRPr="006F1BCA" w14:paraId="765C0ADB" w14:textId="77777777" w:rsidTr="00AB1634">
        <w:trPr>
          <w:trHeight w:val="300"/>
        </w:trPr>
        <w:tc>
          <w:tcPr>
            <w:tcW w:w="3162" w:type="pct"/>
            <w:tcBorders>
              <w:top w:val="single" w:sz="4" w:space="0" w:color="auto"/>
            </w:tcBorders>
            <w:noWrap/>
            <w:vAlign w:val="center"/>
            <w:hideMark/>
          </w:tcPr>
          <w:p w14:paraId="4EA95420" w14:textId="4024B612" w:rsidR="00AB1634" w:rsidRPr="006F1BCA" w:rsidRDefault="007F687F" w:rsidP="00E41695">
            <w:pPr>
              <w:pStyle w:val="Body"/>
              <w:spacing w:after="0"/>
              <w:jc w:val="center"/>
              <w:rPr>
                <w:rFonts w:ascii="Arial" w:hAnsi="Arial" w:cs="Arial"/>
              </w:rPr>
            </w:pPr>
            <w:r>
              <w:rPr>
                <w:rFonts w:ascii="Arial" w:hAnsi="Arial" w:cs="Arial"/>
              </w:rPr>
              <w:t>S0</w:t>
            </w:r>
            <w:r w:rsidR="00AB1634" w:rsidRPr="006F1BCA">
              <w:rPr>
                <w:rFonts w:ascii="Arial" w:hAnsi="Arial" w:cs="Arial"/>
              </w:rPr>
              <w:t xml:space="preserve"> (</w:t>
            </w:r>
            <w:r>
              <w:rPr>
                <w:rFonts w:ascii="Arial" w:hAnsi="Arial" w:cs="Arial"/>
              </w:rPr>
              <w:t>Su</w:t>
            </w:r>
            <w:r w:rsidR="00162D1E">
              <w:rPr>
                <w:rFonts w:ascii="Arial" w:hAnsi="Arial" w:cs="Arial"/>
              </w:rPr>
              <w:t>crose</w:t>
            </w:r>
            <w:r>
              <w:rPr>
                <w:rFonts w:ascii="Arial" w:hAnsi="Arial" w:cs="Arial"/>
              </w:rPr>
              <w:t xml:space="preserve"> 30 g/L</w:t>
            </w:r>
            <w:r w:rsidR="00AB1634" w:rsidRPr="006F1BCA">
              <w:rPr>
                <w:rFonts w:ascii="Arial" w:hAnsi="Arial" w:cs="Arial"/>
              </w:rPr>
              <w:t>)</w:t>
            </w:r>
          </w:p>
        </w:tc>
        <w:tc>
          <w:tcPr>
            <w:tcW w:w="1838" w:type="pct"/>
            <w:tcBorders>
              <w:top w:val="single" w:sz="4" w:space="0" w:color="auto"/>
            </w:tcBorders>
            <w:vAlign w:val="center"/>
          </w:tcPr>
          <w:p w14:paraId="510D1CA7" w14:textId="498C668E" w:rsidR="00AB1634" w:rsidRPr="006F1BCA" w:rsidRDefault="007F687F" w:rsidP="00E41695">
            <w:pPr>
              <w:pStyle w:val="Body"/>
              <w:spacing w:after="0"/>
              <w:jc w:val="center"/>
              <w:rPr>
                <w:rFonts w:ascii="Arial" w:hAnsi="Arial" w:cs="Arial"/>
              </w:rPr>
            </w:pPr>
            <w:r>
              <w:rPr>
                <w:rFonts w:ascii="Arial" w:hAnsi="Arial" w:cs="Arial"/>
              </w:rPr>
              <w:t>15,73</w:t>
            </w:r>
            <w:r w:rsidR="00AB1634" w:rsidRPr="006F1BCA">
              <w:rPr>
                <w:rFonts w:ascii="Arial" w:hAnsi="Arial" w:cs="Arial"/>
              </w:rPr>
              <w:t xml:space="preserve"> a</w:t>
            </w:r>
          </w:p>
        </w:tc>
      </w:tr>
      <w:tr w:rsidR="00AB1634" w:rsidRPr="006F1BCA" w14:paraId="06C5A74E" w14:textId="77777777" w:rsidTr="00AB1634">
        <w:trPr>
          <w:trHeight w:val="300"/>
        </w:trPr>
        <w:tc>
          <w:tcPr>
            <w:tcW w:w="3162" w:type="pct"/>
            <w:noWrap/>
            <w:vAlign w:val="center"/>
            <w:hideMark/>
          </w:tcPr>
          <w:p w14:paraId="44197A0E" w14:textId="61F37556" w:rsidR="00AB1634" w:rsidRPr="007F687F" w:rsidRDefault="007F687F" w:rsidP="00E41695">
            <w:pPr>
              <w:pStyle w:val="Body"/>
              <w:spacing w:after="0"/>
              <w:jc w:val="center"/>
              <w:rPr>
                <w:rFonts w:ascii="Arial" w:hAnsi="Arial" w:cs="Arial"/>
                <w:lang w:val="en-ID"/>
              </w:rPr>
            </w:pPr>
            <w:r w:rsidRPr="007F687F">
              <w:rPr>
                <w:rFonts w:ascii="Arial" w:hAnsi="Arial" w:cs="Arial"/>
                <w:lang w:val="en-ID"/>
              </w:rPr>
              <w:t>S1</w:t>
            </w:r>
            <w:r w:rsidR="00AB1634" w:rsidRPr="007F687F">
              <w:rPr>
                <w:rFonts w:ascii="Arial" w:hAnsi="Arial" w:cs="Arial"/>
                <w:lang w:val="en-ID"/>
              </w:rPr>
              <w:t xml:space="preserve"> (</w:t>
            </w:r>
            <w:r>
              <w:rPr>
                <w:rFonts w:ascii="Arial" w:hAnsi="Arial" w:cs="Arial"/>
                <w:lang w:val="en-ID"/>
              </w:rPr>
              <w:t>Su</w:t>
            </w:r>
            <w:r w:rsidR="00162D1E">
              <w:rPr>
                <w:rFonts w:ascii="Arial" w:hAnsi="Arial" w:cs="Arial"/>
                <w:lang w:val="en-ID"/>
              </w:rPr>
              <w:t>crose</w:t>
            </w:r>
            <w:r>
              <w:rPr>
                <w:rFonts w:ascii="Arial" w:hAnsi="Arial" w:cs="Arial"/>
                <w:lang w:val="en-ID"/>
              </w:rPr>
              <w:t xml:space="preserve"> 60 g/L</w:t>
            </w:r>
            <w:r w:rsidR="00AB1634" w:rsidRPr="007F687F">
              <w:rPr>
                <w:rFonts w:ascii="Arial" w:hAnsi="Arial" w:cs="Arial"/>
                <w:lang w:val="en-ID"/>
              </w:rPr>
              <w:t>)</w:t>
            </w:r>
          </w:p>
        </w:tc>
        <w:tc>
          <w:tcPr>
            <w:tcW w:w="1838" w:type="pct"/>
            <w:vAlign w:val="center"/>
          </w:tcPr>
          <w:p w14:paraId="206C46BA" w14:textId="432954FB" w:rsidR="00AB1634" w:rsidRPr="006F1BCA" w:rsidRDefault="00AB1634" w:rsidP="00E41695">
            <w:pPr>
              <w:pStyle w:val="Body"/>
              <w:spacing w:after="0"/>
              <w:jc w:val="center"/>
              <w:rPr>
                <w:rFonts w:ascii="Arial" w:hAnsi="Arial" w:cs="Arial"/>
                <w:lang w:val="sv-SE"/>
              </w:rPr>
            </w:pPr>
            <w:r w:rsidRPr="006F1BCA">
              <w:rPr>
                <w:rFonts w:ascii="Arial" w:hAnsi="Arial" w:cs="Arial"/>
                <w:lang w:val="sv-SE"/>
              </w:rPr>
              <w:t>1</w:t>
            </w:r>
            <w:r w:rsidR="007F687F">
              <w:rPr>
                <w:rFonts w:ascii="Arial" w:hAnsi="Arial" w:cs="Arial"/>
                <w:lang w:val="sv-SE"/>
              </w:rPr>
              <w:t>4,73</w:t>
            </w:r>
            <w:r w:rsidRPr="006F1BCA">
              <w:rPr>
                <w:rFonts w:ascii="Arial" w:hAnsi="Arial" w:cs="Arial"/>
                <w:lang w:val="sv-SE"/>
              </w:rPr>
              <w:t xml:space="preserve"> </w:t>
            </w:r>
            <w:r w:rsidR="007F687F">
              <w:rPr>
                <w:rFonts w:ascii="Arial" w:hAnsi="Arial" w:cs="Arial"/>
                <w:lang w:val="sv-SE"/>
              </w:rPr>
              <w:t>a</w:t>
            </w:r>
          </w:p>
        </w:tc>
      </w:tr>
      <w:tr w:rsidR="00AB1634" w:rsidRPr="006F1BCA" w14:paraId="763C7828" w14:textId="77777777" w:rsidTr="007F687F">
        <w:trPr>
          <w:trHeight w:val="300"/>
        </w:trPr>
        <w:tc>
          <w:tcPr>
            <w:tcW w:w="3162" w:type="pct"/>
            <w:noWrap/>
            <w:vAlign w:val="center"/>
            <w:hideMark/>
          </w:tcPr>
          <w:p w14:paraId="67B0055E" w14:textId="3AC0A268" w:rsidR="007F687F" w:rsidRPr="007F687F" w:rsidRDefault="007F687F" w:rsidP="007F687F">
            <w:pPr>
              <w:pStyle w:val="Body"/>
              <w:spacing w:after="0"/>
              <w:jc w:val="center"/>
              <w:rPr>
                <w:rFonts w:ascii="Arial" w:hAnsi="Arial" w:cs="Arial"/>
                <w:lang w:val="en-ID"/>
              </w:rPr>
            </w:pPr>
            <w:r w:rsidRPr="007F687F">
              <w:rPr>
                <w:rFonts w:ascii="Arial" w:hAnsi="Arial" w:cs="Arial"/>
                <w:lang w:val="en-ID"/>
              </w:rPr>
              <w:t>S2</w:t>
            </w:r>
            <w:r w:rsidR="00AB1634" w:rsidRPr="007F687F">
              <w:rPr>
                <w:rFonts w:ascii="Arial" w:hAnsi="Arial" w:cs="Arial"/>
                <w:lang w:val="en-ID"/>
              </w:rPr>
              <w:t xml:space="preserve"> (</w:t>
            </w:r>
            <w:r>
              <w:rPr>
                <w:rFonts w:ascii="Arial" w:hAnsi="Arial" w:cs="Arial"/>
                <w:lang w:val="en-ID"/>
              </w:rPr>
              <w:t>Su</w:t>
            </w:r>
            <w:r w:rsidR="00162D1E">
              <w:rPr>
                <w:rFonts w:ascii="Arial" w:hAnsi="Arial" w:cs="Arial"/>
                <w:lang w:val="en-ID"/>
              </w:rPr>
              <w:t>crose</w:t>
            </w:r>
            <w:r>
              <w:rPr>
                <w:rFonts w:ascii="Arial" w:hAnsi="Arial" w:cs="Arial"/>
                <w:lang w:val="en-ID"/>
              </w:rPr>
              <w:t xml:space="preserve"> 90 g/L</w:t>
            </w:r>
            <w:r w:rsidR="00AB1634" w:rsidRPr="007F687F">
              <w:rPr>
                <w:rFonts w:ascii="Arial" w:hAnsi="Arial" w:cs="Arial"/>
                <w:lang w:val="en-ID"/>
              </w:rPr>
              <w:t>)</w:t>
            </w:r>
          </w:p>
        </w:tc>
        <w:tc>
          <w:tcPr>
            <w:tcW w:w="1838" w:type="pct"/>
            <w:vAlign w:val="center"/>
          </w:tcPr>
          <w:p w14:paraId="66CAE387" w14:textId="491F14CF" w:rsidR="00AB1634" w:rsidRPr="006F1BCA" w:rsidRDefault="007F687F" w:rsidP="00E41695">
            <w:pPr>
              <w:pStyle w:val="Body"/>
              <w:spacing w:after="0"/>
              <w:jc w:val="center"/>
              <w:rPr>
                <w:rFonts w:ascii="Arial" w:hAnsi="Arial" w:cs="Arial"/>
                <w:lang w:val="sv-SE"/>
              </w:rPr>
            </w:pPr>
            <w:r>
              <w:rPr>
                <w:rFonts w:ascii="Arial" w:hAnsi="Arial" w:cs="Arial"/>
                <w:lang w:val="sv-SE"/>
              </w:rPr>
              <w:t>12,01</w:t>
            </w:r>
            <w:r w:rsidR="00AB1634" w:rsidRPr="006F1BCA">
              <w:rPr>
                <w:rFonts w:ascii="Arial" w:hAnsi="Arial" w:cs="Arial"/>
                <w:lang w:val="sv-SE"/>
              </w:rPr>
              <w:t xml:space="preserve"> </w:t>
            </w:r>
            <w:r>
              <w:rPr>
                <w:rFonts w:ascii="Arial" w:hAnsi="Arial" w:cs="Arial"/>
                <w:lang w:val="sv-SE"/>
              </w:rPr>
              <w:t>b</w:t>
            </w:r>
          </w:p>
        </w:tc>
      </w:tr>
      <w:tr w:rsidR="007F687F" w:rsidRPr="006F1BCA" w14:paraId="7965F93D" w14:textId="77777777" w:rsidTr="00AB1634">
        <w:trPr>
          <w:trHeight w:val="300"/>
        </w:trPr>
        <w:tc>
          <w:tcPr>
            <w:tcW w:w="3162" w:type="pct"/>
            <w:tcBorders>
              <w:bottom w:val="single" w:sz="4" w:space="0" w:color="auto"/>
            </w:tcBorders>
            <w:noWrap/>
            <w:vAlign w:val="center"/>
          </w:tcPr>
          <w:p w14:paraId="07AE0C4B" w14:textId="535D96A5" w:rsidR="007F687F" w:rsidRPr="006F1BCA" w:rsidRDefault="007F687F" w:rsidP="007F687F">
            <w:pPr>
              <w:pStyle w:val="Body"/>
              <w:spacing w:after="0"/>
              <w:jc w:val="center"/>
              <w:rPr>
                <w:rFonts w:ascii="Arial" w:hAnsi="Arial" w:cs="Arial"/>
                <w:lang w:val="sv-SE"/>
              </w:rPr>
            </w:pPr>
            <w:r>
              <w:rPr>
                <w:rFonts w:ascii="Arial" w:hAnsi="Arial" w:cs="Arial"/>
                <w:lang w:val="sv-SE"/>
              </w:rPr>
              <w:t>S3 (Su</w:t>
            </w:r>
            <w:r w:rsidR="00162D1E">
              <w:rPr>
                <w:rFonts w:ascii="Arial" w:hAnsi="Arial" w:cs="Arial"/>
                <w:lang w:val="sv-SE"/>
              </w:rPr>
              <w:t xml:space="preserve">crose </w:t>
            </w:r>
            <w:r>
              <w:rPr>
                <w:rFonts w:ascii="Arial" w:hAnsi="Arial" w:cs="Arial"/>
                <w:lang w:val="sv-SE"/>
              </w:rPr>
              <w:t>120 g/L)</w:t>
            </w:r>
          </w:p>
        </w:tc>
        <w:tc>
          <w:tcPr>
            <w:tcW w:w="1838" w:type="pct"/>
            <w:tcBorders>
              <w:bottom w:val="single" w:sz="4" w:space="0" w:color="auto"/>
            </w:tcBorders>
            <w:vAlign w:val="center"/>
          </w:tcPr>
          <w:p w14:paraId="3B1A4215" w14:textId="7D6D94E4" w:rsidR="007F687F" w:rsidRPr="006F1BCA" w:rsidRDefault="007F687F" w:rsidP="00E41695">
            <w:pPr>
              <w:pStyle w:val="Body"/>
              <w:spacing w:after="0"/>
              <w:jc w:val="center"/>
              <w:rPr>
                <w:rFonts w:ascii="Arial" w:hAnsi="Arial" w:cs="Arial"/>
                <w:lang w:val="sv-SE"/>
              </w:rPr>
            </w:pPr>
            <w:r>
              <w:rPr>
                <w:rFonts w:ascii="Arial" w:hAnsi="Arial" w:cs="Arial"/>
                <w:lang w:val="sv-SE"/>
              </w:rPr>
              <w:t>11,31 b</w:t>
            </w:r>
          </w:p>
        </w:tc>
      </w:tr>
    </w:tbl>
    <w:p w14:paraId="42D3B941" w14:textId="387008DC" w:rsidR="00AB1634" w:rsidRDefault="00906496" w:rsidP="00906496">
      <w:pPr>
        <w:pStyle w:val="Body"/>
        <w:spacing w:after="0"/>
        <w:ind w:left="567" w:hanging="567"/>
        <w:rPr>
          <w:rFonts w:ascii="Arial" w:hAnsi="Arial"/>
          <w:bCs/>
          <w:i/>
          <w:sz w:val="18"/>
        </w:rPr>
      </w:pPr>
      <w:r w:rsidRPr="00906496">
        <w:rPr>
          <w:rFonts w:ascii="Arial" w:hAnsi="Arial"/>
          <w:bCs/>
          <w:i/>
          <w:sz w:val="18"/>
        </w:rPr>
        <w:t>Note: Means followed by the same letter within the same column are not significantly different according to the DMRT at the 5% significance level</w:t>
      </w:r>
    </w:p>
    <w:p w14:paraId="04748794" w14:textId="77777777" w:rsidR="00906496" w:rsidRPr="00906496" w:rsidRDefault="00906496" w:rsidP="00441B6F">
      <w:pPr>
        <w:pStyle w:val="Body"/>
        <w:spacing w:after="0"/>
        <w:rPr>
          <w:rFonts w:ascii="Arial" w:hAnsi="Arial" w:cs="Arial"/>
          <w:lang w:val="en-ID"/>
        </w:rPr>
      </w:pPr>
    </w:p>
    <w:p w14:paraId="503BBB68" w14:textId="4B3DF285" w:rsidR="00162D1E" w:rsidRDefault="00162D1E" w:rsidP="00441B6F">
      <w:pPr>
        <w:pStyle w:val="Body"/>
        <w:spacing w:after="0"/>
        <w:rPr>
          <w:rFonts w:ascii="Arial" w:hAnsi="Arial" w:cs="Arial"/>
        </w:rPr>
      </w:pPr>
      <w:r w:rsidRPr="00162D1E">
        <w:rPr>
          <w:rFonts w:ascii="Arial" w:hAnsi="Arial" w:cs="Arial"/>
        </w:rPr>
        <w:t xml:space="preserve">The sucrose treatments at 30 g/L and 60 g/L resulted in mean plant height values that were not significantly different from each other, but were significantly different from those at 90 g/L </w:t>
      </w:r>
      <w:r w:rsidRPr="00162D1E">
        <w:rPr>
          <w:rFonts w:ascii="Arial" w:hAnsi="Arial" w:cs="Arial"/>
        </w:rPr>
        <w:lastRenderedPageBreak/>
        <w:t xml:space="preserve">and 120 g/L. Meanwhile, the sucrose treatment at 90 g/L was not significantly different from that at 120 g/L. These results indicate that sucrose concentrations of 30–60 g/L produced the best plant height compared to sucrose concentrations of 90–120 g/L. This condition is consistent with the study by Putri (2024), which reported that culture media supplemented with sucrose in the range of 50–70 g/L were able to enhance shallot plant height under in vitro conditions. Conversely, excessively high sucrose concentrations may induce osmotic stress that inhibits plant tissue growth (Dos Reis and Ayub, 2025; Huh et al., 2016). </w:t>
      </w:r>
      <w:r w:rsidR="00500108" w:rsidRPr="00500108">
        <w:rPr>
          <w:rFonts w:ascii="Arial" w:hAnsi="Arial" w:cs="Arial"/>
        </w:rPr>
        <w:t>According to</w:t>
      </w:r>
      <w:r w:rsidR="00FF24A0">
        <w:rPr>
          <w:rFonts w:ascii="Arial" w:hAnsi="Arial" w:cs="Arial"/>
        </w:rPr>
        <w:t xml:space="preserve"> </w:t>
      </w:r>
      <w:r w:rsidRPr="00162D1E">
        <w:rPr>
          <w:rFonts w:ascii="Arial" w:hAnsi="Arial" w:cs="Arial"/>
        </w:rPr>
        <w:t>Maharani (2019), who stated that increasing sucrose concentration above the optimum level can suppress plant growth in vitro.</w:t>
      </w:r>
      <w:r w:rsidR="00CC6AE6">
        <w:rPr>
          <w:rFonts w:ascii="Arial" w:hAnsi="Arial" w:cs="Arial"/>
        </w:rPr>
        <w:t xml:space="preserve"> </w:t>
      </w:r>
      <w:r w:rsidR="00CC6AE6" w:rsidRPr="00CC6AE6">
        <w:rPr>
          <w:rFonts w:ascii="Arial" w:hAnsi="Arial" w:cs="Arial"/>
        </w:rPr>
        <w:t xml:space="preserve">This finding is supported by the study of </w:t>
      </w:r>
      <w:proofErr w:type="spellStart"/>
      <w:r w:rsidR="00CC6AE6" w:rsidRPr="00CC6AE6">
        <w:rPr>
          <w:rFonts w:ascii="Arial" w:hAnsi="Arial" w:cs="Arial"/>
        </w:rPr>
        <w:t>Irmawati</w:t>
      </w:r>
      <w:proofErr w:type="spellEnd"/>
      <w:r w:rsidR="00CC6AE6" w:rsidRPr="00CC6AE6">
        <w:rPr>
          <w:rFonts w:ascii="Arial" w:hAnsi="Arial" w:cs="Arial"/>
        </w:rPr>
        <w:t xml:space="preserve"> and Rahayu (2023) on </w:t>
      </w:r>
      <w:proofErr w:type="spellStart"/>
      <w:r w:rsidR="00CC6AE6" w:rsidRPr="00CC6AE6">
        <w:rPr>
          <w:rFonts w:ascii="Arial" w:hAnsi="Arial" w:cs="Arial"/>
        </w:rPr>
        <w:t>photomixotrophic</w:t>
      </w:r>
      <w:proofErr w:type="spellEnd"/>
      <w:r w:rsidR="00CC6AE6" w:rsidRPr="00CC6AE6">
        <w:rPr>
          <w:rFonts w:ascii="Arial" w:hAnsi="Arial" w:cs="Arial"/>
        </w:rPr>
        <w:t xml:space="preserve"> lemongrass cultures, which demonstrated that higher sucrose concentrations led to reduced explant growth. This reduction in growth occurs because elevated sucrose levels decrease the osmotic potential of the culture medium, thereby restricting the movement of water and nutrients into plant tissues and ultimately suppressing overall culture growth.</w:t>
      </w:r>
    </w:p>
    <w:p w14:paraId="4DDB8EA3" w14:textId="77777777" w:rsidR="00162D1E" w:rsidRDefault="00162D1E" w:rsidP="00441B6F">
      <w:pPr>
        <w:pStyle w:val="Body"/>
        <w:spacing w:after="0"/>
        <w:rPr>
          <w:rFonts w:ascii="Arial" w:hAnsi="Arial" w:cs="Arial"/>
        </w:rPr>
      </w:pPr>
    </w:p>
    <w:p w14:paraId="348277CF" w14:textId="3F0418FE" w:rsidR="007E1203" w:rsidRPr="00E51A13" w:rsidRDefault="00826C73" w:rsidP="007E1203">
      <w:pPr>
        <w:pStyle w:val="Body"/>
        <w:spacing w:after="0"/>
        <w:rPr>
          <w:rFonts w:ascii="Arial" w:hAnsi="Arial" w:cs="Arial"/>
          <w:b/>
          <w:sz w:val="22"/>
          <w:lang w:val="en-ID"/>
        </w:rPr>
      </w:pPr>
      <w:r w:rsidRPr="00162D1E">
        <w:rPr>
          <w:rFonts w:ascii="Arial" w:hAnsi="Arial" w:cs="Arial"/>
          <w:b/>
          <w:caps/>
          <w:sz w:val="22"/>
          <w:lang w:val="en-ID"/>
        </w:rPr>
        <w:t xml:space="preserve">3.4 </w:t>
      </w:r>
      <w:r w:rsidR="00162D1E" w:rsidRPr="00162D1E">
        <w:rPr>
          <w:rFonts w:ascii="Arial" w:hAnsi="Arial" w:cs="Arial"/>
          <w:b/>
          <w:sz w:val="22"/>
        </w:rPr>
        <w:t xml:space="preserve">Descriptive Analysis of Growth and </w:t>
      </w:r>
      <w:proofErr w:type="spellStart"/>
      <w:r w:rsidR="00162D1E" w:rsidRPr="00162D1E">
        <w:rPr>
          <w:rFonts w:ascii="Arial" w:hAnsi="Arial" w:cs="Arial"/>
          <w:b/>
          <w:sz w:val="22"/>
        </w:rPr>
        <w:t>Microbulb</w:t>
      </w:r>
      <w:proofErr w:type="spellEnd"/>
      <w:r w:rsidR="00162D1E" w:rsidRPr="00162D1E">
        <w:rPr>
          <w:rFonts w:ascii="Arial" w:hAnsi="Arial" w:cs="Arial"/>
          <w:b/>
          <w:sz w:val="22"/>
        </w:rPr>
        <w:t xml:space="preserve"> Formation of Shallots from True Shallot Seed</w:t>
      </w:r>
    </w:p>
    <w:p w14:paraId="13626459" w14:textId="2ACC1AEF" w:rsidR="00162D1E" w:rsidRDefault="00162D1E" w:rsidP="007E1203">
      <w:pPr>
        <w:pStyle w:val="Body"/>
        <w:spacing w:after="0"/>
        <w:rPr>
          <w:rFonts w:ascii="Arial" w:hAnsi="Arial" w:cs="Arial"/>
        </w:rPr>
      </w:pPr>
      <w:r w:rsidRPr="00162D1E">
        <w:rPr>
          <w:rFonts w:ascii="Arial" w:hAnsi="Arial" w:cs="Arial"/>
        </w:rPr>
        <w:t xml:space="preserve">Descriptive analysis was conducted on the variables of time to shoot emergence, leaf emergence, and </w:t>
      </w:r>
      <w:proofErr w:type="spellStart"/>
      <w:r w:rsidRPr="00162D1E">
        <w:rPr>
          <w:rFonts w:ascii="Arial" w:hAnsi="Arial" w:cs="Arial"/>
        </w:rPr>
        <w:t>microbulb</w:t>
      </w:r>
      <w:proofErr w:type="spellEnd"/>
      <w:r w:rsidRPr="00162D1E">
        <w:rPr>
          <w:rFonts w:ascii="Arial" w:hAnsi="Arial" w:cs="Arial"/>
        </w:rPr>
        <w:t xml:space="preserve"> formation because the coefficient of variation (CV) remained above 30% even after data transformation. Therefore, the data were analyzed descriptively and presented in the form of histograms.</w:t>
      </w:r>
    </w:p>
    <w:p w14:paraId="23E7694A" w14:textId="6EA38CED" w:rsidR="007E1203" w:rsidRPr="007E1203" w:rsidRDefault="007E1203" w:rsidP="007E1203">
      <w:pPr>
        <w:pStyle w:val="Body"/>
        <w:spacing w:after="0"/>
        <w:rPr>
          <w:rFonts w:ascii="Arial" w:hAnsi="Arial" w:cs="Arial"/>
          <w:lang w:val="id"/>
        </w:rPr>
      </w:pPr>
      <w:r w:rsidRPr="00162D1E">
        <w:rPr>
          <w:rFonts w:ascii="Arial" w:hAnsi="Arial" w:cs="Arial"/>
          <w:lang w:val="en-ID"/>
        </w:rPr>
        <w:tab/>
      </w:r>
    </w:p>
    <w:p w14:paraId="12BF72BB" w14:textId="7EDDCE69" w:rsidR="00826C73" w:rsidRPr="0003233C" w:rsidRDefault="00291D8D" w:rsidP="00441B6F">
      <w:pPr>
        <w:pStyle w:val="Body"/>
        <w:spacing w:after="0"/>
        <w:rPr>
          <w:rFonts w:ascii="Arial" w:hAnsi="Arial" w:cs="Arial"/>
          <w:b/>
          <w:color w:val="000000" w:themeColor="text1"/>
          <w:u w:val="single"/>
          <w:lang w:val="en-ID"/>
        </w:rPr>
      </w:pPr>
      <w:r w:rsidRPr="0003233C">
        <w:rPr>
          <w:rFonts w:ascii="Arial" w:hAnsi="Arial" w:cs="Arial"/>
          <w:b/>
          <w:color w:val="000000" w:themeColor="text1"/>
          <w:u w:val="single"/>
          <w:lang w:val="en-ID"/>
        </w:rPr>
        <w:t>3.</w:t>
      </w:r>
      <w:r w:rsidR="008217AB" w:rsidRPr="0003233C">
        <w:rPr>
          <w:rFonts w:ascii="Arial" w:hAnsi="Arial" w:cs="Arial"/>
          <w:b/>
          <w:color w:val="000000" w:themeColor="text1"/>
          <w:u w:val="single"/>
          <w:lang w:val="en-ID"/>
        </w:rPr>
        <w:t>4.1</w:t>
      </w:r>
      <w:r w:rsidRPr="0003233C">
        <w:rPr>
          <w:rFonts w:ascii="Arial" w:hAnsi="Arial" w:cs="Arial"/>
          <w:b/>
          <w:color w:val="000000" w:themeColor="text1"/>
          <w:u w:val="single"/>
          <w:lang w:val="en-ID"/>
        </w:rPr>
        <w:t xml:space="preserve"> </w:t>
      </w:r>
      <w:r w:rsidR="00906496" w:rsidRPr="00906496">
        <w:rPr>
          <w:rFonts w:ascii="Arial" w:hAnsi="Arial" w:cs="Arial"/>
          <w:b/>
          <w:color w:val="000000" w:themeColor="text1"/>
          <w:u w:val="single"/>
        </w:rPr>
        <w:t>Time to Micro Shoot Emergence</w:t>
      </w:r>
    </w:p>
    <w:p w14:paraId="510291AF" w14:textId="3A03FFE2" w:rsidR="00E51A13" w:rsidRDefault="00162D1E" w:rsidP="00162D1E">
      <w:pPr>
        <w:pStyle w:val="Body"/>
        <w:spacing w:after="0"/>
        <w:rPr>
          <w:rFonts w:ascii="Arial" w:hAnsi="Arial" w:cs="Arial"/>
        </w:rPr>
      </w:pPr>
      <w:r w:rsidRPr="00162D1E">
        <w:rPr>
          <w:rFonts w:ascii="Arial" w:hAnsi="Arial" w:cs="Arial"/>
        </w:rPr>
        <w:t xml:space="preserve">The time to micro shoot emergence showed differences among treatments of culture media type and sucrose concentration (Figure 1). MS medium supplemented with 30 g/L sucrose produced a mean time to micro shoot emergence of 12.89 days after planting (DAP). In the </w:t>
      </w:r>
      <w:r w:rsidR="0073339E">
        <w:rPr>
          <w:rFonts w:ascii="Arial" w:hAnsi="Arial" w:cs="Arial"/>
        </w:rPr>
        <w:t xml:space="preserve">NPK </w:t>
      </w:r>
      <w:r w:rsidRPr="00162D1E">
        <w:rPr>
          <w:rFonts w:ascii="Arial" w:hAnsi="Arial" w:cs="Arial"/>
        </w:rPr>
        <w:t>compound fertilizer</w:t>
      </w:r>
      <w:r w:rsidR="0073339E">
        <w:rPr>
          <w:rFonts w:ascii="Arial" w:hAnsi="Arial" w:cs="Arial"/>
        </w:rPr>
        <w:t xml:space="preserve"> </w:t>
      </w:r>
      <w:r w:rsidRPr="00162D1E">
        <w:rPr>
          <w:rFonts w:ascii="Arial" w:hAnsi="Arial" w:cs="Arial"/>
        </w:rPr>
        <w:t xml:space="preserve">medium at a concentration of 2 g/L combined with 30 g/L sucrose, the mean time to micro shoot emergence was 13.28 DAP, whereas the treatment with 4 g/L compound fertilizer and 120 g/L sucrose resulted in the longest mean time to micro shoot emergence, at 20.67 DAP. This pattern indicates that increasing sucrose concentration in the culture medium can inhibit micro shoot formation. These results are consistent with the findings of </w:t>
      </w:r>
      <w:proofErr w:type="spellStart"/>
      <w:r w:rsidRPr="00162D1E">
        <w:rPr>
          <w:rFonts w:ascii="Arial" w:hAnsi="Arial" w:cs="Arial"/>
        </w:rPr>
        <w:t>Triyastuti</w:t>
      </w:r>
      <w:proofErr w:type="spellEnd"/>
      <w:r w:rsidRPr="00162D1E">
        <w:rPr>
          <w:rFonts w:ascii="Arial" w:hAnsi="Arial" w:cs="Arial"/>
        </w:rPr>
        <w:t xml:space="preserve"> et al. (2018), reported that increasing sucrose concentration delayed the time of shoot emergence in chrysanthemum plantlets due to a decrease in the osmotic potential of the culture medium. According to </w:t>
      </w:r>
      <w:proofErr w:type="spellStart"/>
      <w:r w:rsidRPr="00162D1E">
        <w:rPr>
          <w:rFonts w:ascii="Arial" w:hAnsi="Arial" w:cs="Arial"/>
        </w:rPr>
        <w:t>Apriliani</w:t>
      </w:r>
      <w:proofErr w:type="spellEnd"/>
      <w:r w:rsidRPr="00162D1E">
        <w:rPr>
          <w:rFonts w:ascii="Arial" w:hAnsi="Arial" w:cs="Arial"/>
        </w:rPr>
        <w:t xml:space="preserve"> et al. (2023), axillary shoots of chrysanthemum grown on media containing higher sucrose concentrations emerged at 2 weeks after planting (WAP), which was one week later than those grown on media with lower sucrose concentrations. In addition to sucrose concentration, delayed micro shoot emergence at high levels of compound fertilizer is presumed to be caused by excess phosphorus in the medium. Excess phosphorus can lead to nutrient imbalance by interfering with the uptake of micronutrients such as Fe and Zn, which play important roles in cell division and differentiation, thereby slowing the initiation of micro shoots (Wahidah and Achmad, 2020). This finding is in line with </w:t>
      </w:r>
      <w:proofErr w:type="spellStart"/>
      <w:r w:rsidRPr="00162D1E">
        <w:rPr>
          <w:rFonts w:ascii="Arial" w:hAnsi="Arial" w:cs="Arial"/>
        </w:rPr>
        <w:t>Isda</w:t>
      </w:r>
      <w:proofErr w:type="spellEnd"/>
      <w:r w:rsidRPr="00162D1E">
        <w:rPr>
          <w:rFonts w:ascii="Arial" w:hAnsi="Arial" w:cs="Arial"/>
        </w:rPr>
        <w:t xml:space="preserve"> and </w:t>
      </w:r>
      <w:proofErr w:type="spellStart"/>
      <w:r w:rsidRPr="00162D1E">
        <w:rPr>
          <w:rFonts w:ascii="Arial" w:hAnsi="Arial" w:cs="Arial"/>
        </w:rPr>
        <w:t>Wusqa</w:t>
      </w:r>
      <w:proofErr w:type="spellEnd"/>
      <w:r w:rsidRPr="00162D1E">
        <w:rPr>
          <w:rFonts w:ascii="Arial" w:hAnsi="Arial" w:cs="Arial"/>
        </w:rPr>
        <w:t xml:space="preserve"> (2024), who reported that excess</w:t>
      </w:r>
      <w:r w:rsidR="00E51A13">
        <w:rPr>
          <w:rFonts w:ascii="Arial" w:hAnsi="Arial" w:cs="Arial"/>
        </w:rPr>
        <w:t xml:space="preserve"> </w:t>
      </w:r>
      <w:r w:rsidRPr="00162D1E">
        <w:rPr>
          <w:rFonts w:ascii="Arial" w:hAnsi="Arial" w:cs="Arial"/>
        </w:rPr>
        <w:t>phosphorus can result in slower shoot growth.</w:t>
      </w:r>
      <w:r>
        <w:rPr>
          <w:rFonts w:ascii="Arial" w:hAnsi="Arial" w:cs="Arial"/>
        </w:rPr>
        <w:tab/>
      </w:r>
    </w:p>
    <w:p w14:paraId="2AA20132" w14:textId="33F96434" w:rsidR="00C17BB5" w:rsidRPr="00D708FF" w:rsidRDefault="00162D1E" w:rsidP="00D708FF">
      <w:pPr>
        <w:pStyle w:val="Body"/>
        <w:spacing w:after="0"/>
        <w:rPr>
          <w:rFonts w:ascii="Arial" w:hAnsi="Arial" w:cs="Arial"/>
          <w:lang w:val="en-ID"/>
        </w:rPr>
      </w:pPr>
      <w:r>
        <w:rPr>
          <w:rFonts w:ascii="Arial" w:hAnsi="Arial" w:cs="Arial"/>
        </w:rPr>
        <w:tab/>
      </w:r>
    </w:p>
    <w:p w14:paraId="5B6AF675" w14:textId="317AD92E" w:rsidR="002E13DB" w:rsidRDefault="002E13DB" w:rsidP="005F6588">
      <w:pPr>
        <w:pStyle w:val="Body"/>
        <w:spacing w:after="0"/>
        <w:ind w:left="993" w:hanging="1134"/>
        <w:jc w:val="center"/>
        <w:rPr>
          <w:rFonts w:ascii="Arial" w:hAnsi="Arial" w:cs="Arial"/>
          <w:b/>
          <w:bCs/>
          <w:szCs w:val="22"/>
          <w:lang w:val="en-ID"/>
        </w:rPr>
      </w:pPr>
      <w:r>
        <w:rPr>
          <w:noProof/>
        </w:rPr>
        <w:lastRenderedPageBreak/>
        <w:drawing>
          <wp:inline distT="0" distB="0" distL="0" distR="0" wp14:anchorId="50EA9679" wp14:editId="6B477583">
            <wp:extent cx="4320000" cy="2001600"/>
            <wp:effectExtent l="0" t="0" r="0" b="0"/>
            <wp:docPr id="1278617120" name="Chart 1">
              <a:extLst xmlns:a="http://schemas.openxmlformats.org/drawingml/2006/main">
                <a:ext uri="{FF2B5EF4-FFF2-40B4-BE49-F238E27FC236}">
                  <a16:creationId xmlns:a16="http://schemas.microsoft.com/office/drawing/2014/main" id="{4E8C0942-6C67-353F-48E3-9B8FB28029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6EFB8E" w14:textId="4C51A93F" w:rsidR="00200F2A" w:rsidRDefault="00162D1E" w:rsidP="00F64417">
      <w:pPr>
        <w:pStyle w:val="Body"/>
        <w:spacing w:after="0"/>
        <w:ind w:left="993" w:hanging="993"/>
        <w:rPr>
          <w:rFonts w:ascii="Arial" w:hAnsi="Arial" w:cs="Arial"/>
          <w:b/>
          <w:bCs/>
          <w:szCs w:val="22"/>
          <w:lang w:val="en-ID"/>
        </w:rPr>
      </w:pPr>
      <w:r w:rsidRPr="00162D1E">
        <w:rPr>
          <w:rFonts w:ascii="Arial" w:hAnsi="Arial" w:cs="Arial"/>
          <w:b/>
          <w:bCs/>
          <w:szCs w:val="22"/>
          <w:lang w:val="en-ID"/>
        </w:rPr>
        <w:t>Figure 1. Effect of compound fertilizer and sucrose concentrations on the time to micro shoot emergence of shallots under in vitro conditions.</w:t>
      </w:r>
    </w:p>
    <w:p w14:paraId="2C4BED33" w14:textId="77777777" w:rsidR="00162D1E" w:rsidRPr="00162D1E" w:rsidRDefault="00162D1E" w:rsidP="00200F2A">
      <w:pPr>
        <w:pStyle w:val="Body"/>
        <w:spacing w:after="0"/>
        <w:rPr>
          <w:rFonts w:ascii="Arial" w:hAnsi="Arial" w:cs="Arial"/>
          <w:b/>
          <w:color w:val="000000" w:themeColor="text1"/>
          <w:u w:val="single"/>
          <w:lang w:val="en-ID"/>
        </w:rPr>
      </w:pPr>
    </w:p>
    <w:p w14:paraId="033AE933" w14:textId="7C812F6B" w:rsidR="00200F2A" w:rsidRPr="0003233C" w:rsidRDefault="00200F2A" w:rsidP="00200F2A">
      <w:pPr>
        <w:pStyle w:val="Body"/>
        <w:spacing w:after="0"/>
        <w:rPr>
          <w:rFonts w:ascii="Arial" w:hAnsi="Arial" w:cs="Arial"/>
          <w:lang w:val="en-ID"/>
        </w:rPr>
      </w:pPr>
      <w:r w:rsidRPr="0003233C">
        <w:rPr>
          <w:rFonts w:ascii="Arial" w:hAnsi="Arial" w:cs="Arial"/>
          <w:b/>
          <w:color w:val="000000" w:themeColor="text1"/>
          <w:u w:val="single"/>
          <w:lang w:val="en-ID"/>
        </w:rPr>
        <w:t xml:space="preserve">3.4.2 </w:t>
      </w:r>
      <w:r w:rsidR="00906496" w:rsidRPr="00906496">
        <w:rPr>
          <w:rFonts w:ascii="Arial" w:hAnsi="Arial" w:cs="Arial"/>
          <w:b/>
          <w:color w:val="000000" w:themeColor="text1"/>
          <w:u w:val="single"/>
        </w:rPr>
        <w:t>Time to Micro Leaf Emergence</w:t>
      </w:r>
    </w:p>
    <w:p w14:paraId="4A503BDB" w14:textId="4153A949" w:rsidR="00B96E01" w:rsidRDefault="00162D1E" w:rsidP="00F71F32">
      <w:pPr>
        <w:pStyle w:val="Body"/>
        <w:spacing w:after="0"/>
        <w:rPr>
          <w:rFonts w:ascii="Arial" w:hAnsi="Arial" w:cs="Arial"/>
          <w:lang w:val="en-ID"/>
        </w:rPr>
      </w:pPr>
      <w:r w:rsidRPr="00162D1E">
        <w:rPr>
          <w:rFonts w:ascii="Arial" w:hAnsi="Arial" w:cs="Arial"/>
        </w:rPr>
        <w:t xml:space="preserve">The time to micro leaf emergence differed among treatments of culture media type and sucrose concentration (Figure 2). MS medium supplemented with 60 g/L sucrose resulted in a mean time to micro leaf emergence of 5.15 weeks after planting (WAP). In the compound fertilizer medium at a concentration of 2 g/L combined with 30 g/L sucrose, the mean time to micro leaf emergence was 6.00 WAP, whereas the treatment with 2 g/L compound fertilizer and 120 g/L sucrose showed a mean time of 7.50 WAP. This pattern indicates that the time to micro leaf emergence tends to increase with increasing sucrose concentration in the culture medium. These results are consistent with the findings of </w:t>
      </w:r>
      <w:proofErr w:type="spellStart"/>
      <w:r w:rsidRPr="00162D1E">
        <w:rPr>
          <w:rFonts w:ascii="Arial" w:hAnsi="Arial" w:cs="Arial"/>
        </w:rPr>
        <w:t>Hapsari</w:t>
      </w:r>
      <w:proofErr w:type="spellEnd"/>
      <w:r w:rsidRPr="00162D1E">
        <w:rPr>
          <w:rFonts w:ascii="Arial" w:hAnsi="Arial" w:cs="Arial"/>
        </w:rPr>
        <w:t xml:space="preserve"> and </w:t>
      </w:r>
      <w:proofErr w:type="spellStart"/>
      <w:r w:rsidRPr="00162D1E">
        <w:rPr>
          <w:rFonts w:ascii="Arial" w:hAnsi="Arial" w:cs="Arial"/>
        </w:rPr>
        <w:t>Saptadi</w:t>
      </w:r>
      <w:proofErr w:type="spellEnd"/>
      <w:r w:rsidRPr="00162D1E">
        <w:rPr>
          <w:rFonts w:ascii="Arial" w:hAnsi="Arial" w:cs="Arial"/>
        </w:rPr>
        <w:t xml:space="preserve"> (2018), who reported that in culture media containing 90 g/L and 120 g/L sucrose, the time to leaf emergence of garlic explants tended to be longer than in media with sucrose concentrations of 30 g/L and 60 g/L. In addition to sucrose concentration, leaf formation was also inhibited by high concentrations of compound fertilizer (NPK). In the medium containing 4 g/L compound fertilizer, none of the treatments showed leaf emergence until the end of the observation period. This finding is in line with </w:t>
      </w:r>
      <w:proofErr w:type="spellStart"/>
      <w:r w:rsidRPr="00162D1E">
        <w:rPr>
          <w:rFonts w:ascii="Arial" w:hAnsi="Arial" w:cs="Arial"/>
        </w:rPr>
        <w:t>Sumihar</w:t>
      </w:r>
      <w:proofErr w:type="spellEnd"/>
      <w:r w:rsidRPr="00162D1E">
        <w:rPr>
          <w:rFonts w:ascii="Arial" w:hAnsi="Arial" w:cs="Arial"/>
        </w:rPr>
        <w:t xml:space="preserve"> et al. (2021), who reported that leaves of Raja Bulu banana explants had not formed at 5 WAP in culture media containing NPK compound fertilizer 32–10–10, whereas leaf formation in MS medium began at 5 WAP. This condition is presumably caused by osmotic stress in the medium due to excessive nitrogen, which can suppress leaf growth, induce toxicity in the form of necrosis, and interfere with water uptake (</w:t>
      </w:r>
      <w:proofErr w:type="spellStart"/>
      <w:r w:rsidRPr="00162D1E">
        <w:rPr>
          <w:rFonts w:ascii="Arial" w:hAnsi="Arial" w:cs="Arial"/>
        </w:rPr>
        <w:t>Hardianti</w:t>
      </w:r>
      <w:proofErr w:type="spellEnd"/>
      <w:r w:rsidRPr="00162D1E">
        <w:rPr>
          <w:rFonts w:ascii="Arial" w:hAnsi="Arial" w:cs="Arial"/>
        </w:rPr>
        <w:t xml:space="preserve"> and </w:t>
      </w:r>
      <w:proofErr w:type="spellStart"/>
      <w:r w:rsidRPr="00162D1E">
        <w:rPr>
          <w:rFonts w:ascii="Arial" w:hAnsi="Arial" w:cs="Arial"/>
        </w:rPr>
        <w:t>Soetopo</w:t>
      </w:r>
      <w:proofErr w:type="spellEnd"/>
      <w:r w:rsidRPr="00162D1E">
        <w:rPr>
          <w:rFonts w:ascii="Arial" w:hAnsi="Arial" w:cs="Arial"/>
        </w:rPr>
        <w:t>, 2019)</w:t>
      </w:r>
      <w:r>
        <w:rPr>
          <w:rFonts w:ascii="Arial" w:hAnsi="Arial" w:cs="Arial"/>
        </w:rPr>
        <w:t xml:space="preserve">. </w:t>
      </w:r>
    </w:p>
    <w:p w14:paraId="02C5015A" w14:textId="3DB8D136" w:rsidR="009311EB" w:rsidRPr="00162D1E" w:rsidRDefault="009311EB" w:rsidP="00972516">
      <w:pPr>
        <w:pStyle w:val="Body"/>
        <w:spacing w:after="0"/>
        <w:jc w:val="center"/>
        <w:rPr>
          <w:rFonts w:ascii="Arial" w:hAnsi="Arial" w:cs="Arial"/>
          <w:lang w:val="en-ID"/>
        </w:rPr>
      </w:pPr>
      <w:r>
        <w:rPr>
          <w:noProof/>
        </w:rPr>
        <w:drawing>
          <wp:inline distT="0" distB="0" distL="0" distR="0" wp14:anchorId="763EE725" wp14:editId="2E80E508">
            <wp:extent cx="4559963" cy="2160000"/>
            <wp:effectExtent l="0" t="0" r="0" b="0"/>
            <wp:docPr id="917947157" name="Chart 1">
              <a:extLst xmlns:a="http://schemas.openxmlformats.org/drawingml/2006/main">
                <a:ext uri="{FF2B5EF4-FFF2-40B4-BE49-F238E27FC236}">
                  <a16:creationId xmlns:a16="http://schemas.microsoft.com/office/drawing/2014/main" id="{2EC6AC53-E122-3CCA-BA36-99C5F149D2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BDBA88" w14:textId="01214AD3" w:rsidR="00972516" w:rsidRPr="00906496" w:rsidRDefault="00906496" w:rsidP="00906496">
      <w:pPr>
        <w:pStyle w:val="Body"/>
        <w:spacing w:after="0"/>
        <w:ind w:left="993" w:hanging="993"/>
        <w:rPr>
          <w:rFonts w:ascii="Arial" w:hAnsi="Arial" w:cs="Arial"/>
          <w:lang w:val="en-ID"/>
        </w:rPr>
      </w:pPr>
      <w:r w:rsidRPr="00906496">
        <w:rPr>
          <w:rFonts w:ascii="Arial" w:hAnsi="Arial" w:cs="Arial"/>
          <w:b/>
          <w:bCs/>
          <w:szCs w:val="22"/>
        </w:rPr>
        <w:t>Figure 2. Effects of compound fertilizer and sucrose concentrations on micro leaf emergence time of shallots in vitro.</w:t>
      </w:r>
    </w:p>
    <w:p w14:paraId="22A69D81" w14:textId="77777777" w:rsidR="00972516" w:rsidRPr="00906496" w:rsidRDefault="00972516" w:rsidP="00972516">
      <w:pPr>
        <w:pStyle w:val="Body"/>
        <w:spacing w:after="0"/>
        <w:jc w:val="left"/>
        <w:rPr>
          <w:rFonts w:ascii="Arial" w:hAnsi="Arial" w:cs="Arial"/>
          <w:lang w:val="en-ID"/>
        </w:rPr>
      </w:pPr>
    </w:p>
    <w:p w14:paraId="02D0A6BA" w14:textId="32739E87" w:rsidR="00050C19" w:rsidRPr="0003233C" w:rsidRDefault="00050C19" w:rsidP="00441B6F">
      <w:pPr>
        <w:pStyle w:val="Body"/>
        <w:spacing w:after="0"/>
        <w:rPr>
          <w:rFonts w:ascii="Arial" w:hAnsi="Arial" w:cs="Arial"/>
          <w:lang w:val="en-ID"/>
        </w:rPr>
      </w:pPr>
      <w:r w:rsidRPr="0003233C">
        <w:rPr>
          <w:rFonts w:ascii="Arial" w:hAnsi="Arial" w:cs="Arial"/>
          <w:b/>
          <w:color w:val="000000" w:themeColor="text1"/>
          <w:u w:val="single"/>
          <w:lang w:val="en-ID"/>
        </w:rPr>
        <w:t xml:space="preserve">3.4.3 </w:t>
      </w:r>
      <w:r w:rsidR="00906496" w:rsidRPr="00906496">
        <w:rPr>
          <w:rFonts w:ascii="Arial" w:hAnsi="Arial" w:cs="Arial"/>
          <w:b/>
          <w:color w:val="000000" w:themeColor="text1"/>
          <w:u w:val="single"/>
        </w:rPr>
        <w:t xml:space="preserve">Time to </w:t>
      </w:r>
      <w:proofErr w:type="spellStart"/>
      <w:r w:rsidR="00906496" w:rsidRPr="00906496">
        <w:rPr>
          <w:rFonts w:ascii="Arial" w:hAnsi="Arial" w:cs="Arial"/>
          <w:b/>
          <w:color w:val="000000" w:themeColor="text1"/>
          <w:u w:val="single"/>
        </w:rPr>
        <w:t>Microbulb</w:t>
      </w:r>
      <w:proofErr w:type="spellEnd"/>
      <w:r w:rsidR="00906496" w:rsidRPr="00906496">
        <w:rPr>
          <w:rFonts w:ascii="Arial" w:hAnsi="Arial" w:cs="Arial"/>
          <w:b/>
          <w:color w:val="000000" w:themeColor="text1"/>
          <w:u w:val="single"/>
        </w:rPr>
        <w:t xml:space="preserve"> Emergence</w:t>
      </w:r>
    </w:p>
    <w:p w14:paraId="74C8ABBA" w14:textId="6CDA386E" w:rsidR="00050C19" w:rsidRPr="008751AB" w:rsidRDefault="00906496" w:rsidP="008751AB">
      <w:pPr>
        <w:pStyle w:val="Body"/>
        <w:spacing w:after="0"/>
        <w:rPr>
          <w:rFonts w:ascii="Arial" w:hAnsi="Arial" w:cs="Arial"/>
          <w:lang w:val="en-ID"/>
        </w:rPr>
      </w:pPr>
      <w:r w:rsidRPr="00906496">
        <w:rPr>
          <w:rFonts w:ascii="Arial" w:hAnsi="Arial" w:cs="Arial"/>
        </w:rPr>
        <w:t xml:space="preserve">The time to </w:t>
      </w:r>
      <w:proofErr w:type="spellStart"/>
      <w:r w:rsidRPr="00906496">
        <w:rPr>
          <w:rFonts w:ascii="Arial" w:hAnsi="Arial" w:cs="Arial"/>
        </w:rPr>
        <w:t>microbulb</w:t>
      </w:r>
      <w:proofErr w:type="spellEnd"/>
      <w:r w:rsidRPr="00906496">
        <w:rPr>
          <w:rFonts w:ascii="Arial" w:hAnsi="Arial" w:cs="Arial"/>
        </w:rPr>
        <w:t xml:space="preserve"> formation showed clear differences among culture media and sucrose concentration treatments (Figure 3). In MS medium supplemented with 60 g/L sucrose, </w:t>
      </w:r>
      <w:proofErr w:type="spellStart"/>
      <w:r w:rsidRPr="00906496">
        <w:rPr>
          <w:rFonts w:ascii="Arial" w:hAnsi="Arial" w:cs="Arial"/>
        </w:rPr>
        <w:t>microbulb</w:t>
      </w:r>
      <w:proofErr w:type="spellEnd"/>
      <w:r w:rsidRPr="00906496">
        <w:rPr>
          <w:rFonts w:ascii="Arial" w:hAnsi="Arial" w:cs="Arial"/>
        </w:rPr>
        <w:t xml:space="preserve"> formation occurred at 7.71 weeks after planting (WAP). This result is consistent with the statement of </w:t>
      </w:r>
      <w:proofErr w:type="spellStart"/>
      <w:r w:rsidRPr="00906496">
        <w:rPr>
          <w:rFonts w:ascii="Arial" w:hAnsi="Arial" w:cs="Arial"/>
        </w:rPr>
        <w:t>Hapsari</w:t>
      </w:r>
      <w:proofErr w:type="spellEnd"/>
      <w:r w:rsidRPr="00906496">
        <w:rPr>
          <w:rFonts w:ascii="Arial" w:hAnsi="Arial" w:cs="Arial"/>
        </w:rPr>
        <w:t xml:space="preserve"> and </w:t>
      </w:r>
      <w:proofErr w:type="spellStart"/>
      <w:r w:rsidRPr="00906496">
        <w:rPr>
          <w:rFonts w:ascii="Arial" w:hAnsi="Arial" w:cs="Arial"/>
        </w:rPr>
        <w:t>Saptadi</w:t>
      </w:r>
      <w:proofErr w:type="spellEnd"/>
      <w:r w:rsidRPr="00906496">
        <w:rPr>
          <w:rFonts w:ascii="Arial" w:hAnsi="Arial" w:cs="Arial"/>
        </w:rPr>
        <w:t xml:space="preserve"> (2018), who reported that a sucrose concentration of 60 g/L has the potential to induce </w:t>
      </w:r>
      <w:proofErr w:type="spellStart"/>
      <w:r w:rsidRPr="00906496">
        <w:rPr>
          <w:rFonts w:ascii="Arial" w:hAnsi="Arial" w:cs="Arial"/>
        </w:rPr>
        <w:t>microbulb</w:t>
      </w:r>
      <w:proofErr w:type="spellEnd"/>
      <w:r w:rsidRPr="00906496">
        <w:rPr>
          <w:rFonts w:ascii="Arial" w:hAnsi="Arial" w:cs="Arial"/>
        </w:rPr>
        <w:t xml:space="preserve"> formation. In the compound fertilizer medium, </w:t>
      </w:r>
      <w:proofErr w:type="spellStart"/>
      <w:r w:rsidRPr="00906496">
        <w:rPr>
          <w:rFonts w:ascii="Arial" w:hAnsi="Arial" w:cs="Arial"/>
        </w:rPr>
        <w:t>microbulbs</w:t>
      </w:r>
      <w:proofErr w:type="spellEnd"/>
      <w:r w:rsidRPr="00906496">
        <w:rPr>
          <w:rFonts w:ascii="Arial" w:hAnsi="Arial" w:cs="Arial"/>
        </w:rPr>
        <w:t xml:space="preserve"> were formed only at a concentration of 2 g/L combined with sucrose concentrations of 30 and 60 g/L. This condition is presumably due to the addition of compound fertilizer increasing the nutrient content of the culture medium. Excessive nutrient availability is unfavorable for plant growth. Excess nitrogen can inhibit the uptake of other nutrients such as potassium, while excess phosphorus can slow growth, particularly shoot growth, and excessive potassium may cause toxicity leading to plant damage or death (</w:t>
      </w:r>
      <w:proofErr w:type="spellStart"/>
      <w:r w:rsidRPr="00906496">
        <w:rPr>
          <w:rFonts w:ascii="Arial" w:hAnsi="Arial" w:cs="Arial"/>
        </w:rPr>
        <w:t>Isda</w:t>
      </w:r>
      <w:proofErr w:type="spellEnd"/>
      <w:r w:rsidRPr="00906496">
        <w:rPr>
          <w:rFonts w:ascii="Arial" w:hAnsi="Arial" w:cs="Arial"/>
        </w:rPr>
        <w:t xml:space="preserve"> and </w:t>
      </w:r>
      <w:proofErr w:type="spellStart"/>
      <w:r w:rsidRPr="00906496">
        <w:rPr>
          <w:rFonts w:ascii="Arial" w:hAnsi="Arial" w:cs="Arial"/>
        </w:rPr>
        <w:t>Wusqa</w:t>
      </w:r>
      <w:proofErr w:type="spellEnd"/>
      <w:r w:rsidRPr="00906496">
        <w:rPr>
          <w:rFonts w:ascii="Arial" w:hAnsi="Arial" w:cs="Arial"/>
        </w:rPr>
        <w:t>, 2024).</w:t>
      </w:r>
    </w:p>
    <w:p w14:paraId="1F7D83B2" w14:textId="6F8CEAE6" w:rsidR="008B66F3" w:rsidRDefault="00EB58D3" w:rsidP="006331FA">
      <w:pPr>
        <w:pStyle w:val="Body"/>
        <w:spacing w:after="0"/>
        <w:jc w:val="center"/>
        <w:rPr>
          <w:rFonts w:ascii="Arial" w:hAnsi="Arial" w:cs="Arial"/>
          <w:lang w:val="sv-SE"/>
        </w:rPr>
      </w:pPr>
      <w:r>
        <w:rPr>
          <w:noProof/>
        </w:rPr>
        <w:drawing>
          <wp:inline distT="0" distB="0" distL="0" distR="0" wp14:anchorId="0C1C7245" wp14:editId="24DC76F8">
            <wp:extent cx="4500000" cy="2160000"/>
            <wp:effectExtent l="0" t="0" r="0" b="0"/>
            <wp:docPr id="1764826274" name="Chart 1">
              <a:extLst xmlns:a="http://schemas.openxmlformats.org/drawingml/2006/main">
                <a:ext uri="{FF2B5EF4-FFF2-40B4-BE49-F238E27FC236}">
                  <a16:creationId xmlns:a16="http://schemas.microsoft.com/office/drawing/2014/main" id="{51B7EED6-EA5A-02F5-AE0C-255CFF69CA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5AE230" w14:textId="758ACB34" w:rsidR="00790ADA" w:rsidRDefault="00906496" w:rsidP="00906496">
      <w:pPr>
        <w:pStyle w:val="Body"/>
        <w:spacing w:after="0"/>
        <w:ind w:left="993" w:hanging="993"/>
        <w:rPr>
          <w:rFonts w:ascii="Arial" w:hAnsi="Arial" w:cs="Arial"/>
          <w:b/>
          <w:bCs/>
          <w:szCs w:val="22"/>
          <w:lang w:val="en-ID"/>
        </w:rPr>
      </w:pPr>
      <w:r w:rsidRPr="00906496">
        <w:rPr>
          <w:rFonts w:ascii="Arial" w:hAnsi="Arial" w:cs="Arial"/>
          <w:b/>
          <w:bCs/>
          <w:szCs w:val="22"/>
          <w:lang w:val="en-ID"/>
        </w:rPr>
        <w:t xml:space="preserve">Figure 3. Effect of compound fertilizer and sucrose concentrations on the time to </w:t>
      </w:r>
      <w:proofErr w:type="spellStart"/>
      <w:r w:rsidRPr="00906496">
        <w:rPr>
          <w:rFonts w:ascii="Arial" w:hAnsi="Arial" w:cs="Arial"/>
          <w:b/>
          <w:bCs/>
          <w:szCs w:val="22"/>
          <w:lang w:val="en-ID"/>
        </w:rPr>
        <w:t>microbulb</w:t>
      </w:r>
      <w:proofErr w:type="spellEnd"/>
      <w:r w:rsidRPr="00906496">
        <w:rPr>
          <w:rFonts w:ascii="Arial" w:hAnsi="Arial" w:cs="Arial"/>
          <w:b/>
          <w:bCs/>
          <w:szCs w:val="22"/>
          <w:lang w:val="en-ID"/>
        </w:rPr>
        <w:t xml:space="preserve"> emergence of shallots under in vitro conditions.</w:t>
      </w:r>
    </w:p>
    <w:p w14:paraId="193B5976" w14:textId="77777777" w:rsidR="00906496" w:rsidRPr="00906496" w:rsidRDefault="00906496" w:rsidP="00441B6F">
      <w:pPr>
        <w:pStyle w:val="Body"/>
        <w:spacing w:after="0"/>
        <w:rPr>
          <w:rFonts w:ascii="Arial" w:hAnsi="Arial" w:cs="Arial"/>
          <w:lang w:val="en-ID"/>
        </w:rPr>
      </w:pPr>
    </w:p>
    <w:p w14:paraId="20A40030" w14:textId="7712F6E6" w:rsidR="00B01FCD" w:rsidRPr="0003233C" w:rsidRDefault="00000F8F" w:rsidP="00441B6F">
      <w:pPr>
        <w:pStyle w:val="ConcHead"/>
        <w:spacing w:after="0"/>
        <w:jc w:val="both"/>
        <w:rPr>
          <w:rFonts w:ascii="Arial" w:hAnsi="Arial" w:cs="Arial"/>
          <w:lang w:val="en-ID"/>
        </w:rPr>
      </w:pPr>
      <w:r w:rsidRPr="0003233C">
        <w:rPr>
          <w:rFonts w:ascii="Arial" w:hAnsi="Arial" w:cs="Arial"/>
          <w:lang w:val="en-ID"/>
        </w:rPr>
        <w:t xml:space="preserve">4. </w:t>
      </w:r>
      <w:r w:rsidR="00906496" w:rsidRPr="0003233C">
        <w:rPr>
          <w:rFonts w:ascii="Arial" w:hAnsi="Arial" w:cs="Arial"/>
          <w:lang w:val="en-ID"/>
        </w:rPr>
        <w:t>CONCLUSION</w:t>
      </w:r>
    </w:p>
    <w:p w14:paraId="4EA8067B" w14:textId="77777777" w:rsidR="00790ADA" w:rsidRPr="0003233C" w:rsidRDefault="00790ADA" w:rsidP="00441B6F">
      <w:pPr>
        <w:pStyle w:val="ConcHead"/>
        <w:spacing w:after="0"/>
        <w:jc w:val="both"/>
        <w:rPr>
          <w:rFonts w:ascii="Arial" w:hAnsi="Arial" w:cs="Arial"/>
          <w:lang w:val="en-ID"/>
        </w:rPr>
      </w:pPr>
    </w:p>
    <w:p w14:paraId="517C01F2" w14:textId="08178CE9" w:rsidR="00C901D9" w:rsidRDefault="00906496" w:rsidP="00441B6F">
      <w:pPr>
        <w:pStyle w:val="Body"/>
        <w:spacing w:after="0"/>
        <w:rPr>
          <w:rFonts w:ascii="Arial" w:hAnsi="Arial" w:cs="Arial"/>
        </w:rPr>
      </w:pPr>
      <w:r w:rsidRPr="00906496">
        <w:rPr>
          <w:rFonts w:ascii="Arial" w:hAnsi="Arial" w:cs="Arial"/>
        </w:rPr>
        <w:t xml:space="preserve">The combination of MS medium supplemented with 60 g/L sucrose produced the highest number of leaves and roots. MS medium resulted in the highest mean values for the variables of germination time, germination percentage, plant height, number of shoots, root length, and bulb diameter. However, the </w:t>
      </w:r>
      <w:r w:rsidR="00F40608">
        <w:rPr>
          <w:rFonts w:ascii="Arial" w:hAnsi="Arial" w:cs="Arial"/>
        </w:rPr>
        <w:t xml:space="preserve">NPK </w:t>
      </w:r>
      <w:r w:rsidRPr="00906496">
        <w:rPr>
          <w:rFonts w:ascii="Arial" w:hAnsi="Arial" w:cs="Arial"/>
        </w:rPr>
        <w:t xml:space="preserve">compound fertilizer medium at a concentration of 2 g/L was only able to match MS medium in terms of germination percentage and germination time. Therefore, MS medium supplemented with 60 g/L sucrose was identified as the best combination to support growth and </w:t>
      </w:r>
      <w:proofErr w:type="spellStart"/>
      <w:r w:rsidRPr="00906496">
        <w:rPr>
          <w:rFonts w:ascii="Arial" w:hAnsi="Arial" w:cs="Arial"/>
        </w:rPr>
        <w:t>microbulb</w:t>
      </w:r>
      <w:proofErr w:type="spellEnd"/>
      <w:r w:rsidRPr="00906496">
        <w:rPr>
          <w:rFonts w:ascii="Arial" w:hAnsi="Arial" w:cs="Arial"/>
        </w:rPr>
        <w:t xml:space="preserve"> formation of shallots derived from True Shallot Seed under in vitro conditions.</w:t>
      </w:r>
    </w:p>
    <w:p w14:paraId="20C21724" w14:textId="77777777" w:rsidR="00906496" w:rsidRPr="00906496" w:rsidRDefault="00906496" w:rsidP="00441B6F">
      <w:pPr>
        <w:pStyle w:val="Body"/>
        <w:spacing w:after="0"/>
        <w:rPr>
          <w:rFonts w:ascii="Arial" w:hAnsi="Arial" w:cs="Arial"/>
          <w:lang w:val="en-ID"/>
        </w:rPr>
      </w:pPr>
    </w:p>
    <w:p w14:paraId="00393D0D" w14:textId="2D661F6D" w:rsidR="00790ADA" w:rsidRDefault="00906496" w:rsidP="00441B6F">
      <w:pPr>
        <w:pStyle w:val="AcknHead"/>
        <w:spacing w:after="0"/>
        <w:jc w:val="both"/>
        <w:rPr>
          <w:rFonts w:ascii="Arial" w:hAnsi="Arial" w:cs="Arial"/>
        </w:rPr>
      </w:pPr>
      <w:r w:rsidRPr="00906496">
        <w:rPr>
          <w:rFonts w:ascii="Arial" w:hAnsi="Arial" w:cs="Arial"/>
        </w:rPr>
        <w:t>DISCLAIMER (ARTIFICIAL INTELLIGENCE)</w:t>
      </w:r>
    </w:p>
    <w:p w14:paraId="5AA527A8" w14:textId="77777777" w:rsidR="00906496" w:rsidRPr="0003233C" w:rsidRDefault="00906496" w:rsidP="00441B6F">
      <w:pPr>
        <w:pStyle w:val="AcknHead"/>
        <w:spacing w:after="0"/>
        <w:jc w:val="both"/>
        <w:rPr>
          <w:rFonts w:ascii="Arial" w:hAnsi="Arial" w:cs="Arial"/>
          <w:lang w:val="en-ID"/>
        </w:rPr>
      </w:pPr>
    </w:p>
    <w:p w14:paraId="4510B01E" w14:textId="298B274C" w:rsidR="00860000" w:rsidRPr="00906496" w:rsidRDefault="00906496" w:rsidP="00E113DE">
      <w:pPr>
        <w:pStyle w:val="Body"/>
        <w:spacing w:after="0"/>
        <w:rPr>
          <w:rFonts w:ascii="Arial" w:hAnsi="Arial" w:cs="Arial"/>
          <w:lang w:val="en-ID"/>
        </w:rPr>
      </w:pPr>
      <w:r w:rsidRPr="00906496">
        <w:rPr>
          <w:rFonts w:ascii="Arial" w:hAnsi="Arial" w:cs="Arial"/>
        </w:rPr>
        <w:t>The authors hereby declare that ChatGPT (OpenAI) was used solely to assist with language editing, sentence structure improvement, and translation to enhance the clarity and readability of the manuscript. All scientific content, data analysis, interpretation of results, and final conclusions were thoroughly reviewed, verified, and fully approved by the authors. The use of artificial intelligence did not affect the scientific integrity or originality of this work.</w:t>
      </w:r>
    </w:p>
    <w:p w14:paraId="2F459778" w14:textId="77777777" w:rsidR="00027B03" w:rsidRDefault="00027B03" w:rsidP="00441B6F">
      <w:pPr>
        <w:pStyle w:val="ReferHead"/>
        <w:spacing w:after="0"/>
        <w:jc w:val="both"/>
        <w:rPr>
          <w:rFonts w:ascii="Arial" w:hAnsi="Arial" w:cs="Arial"/>
        </w:rPr>
      </w:pPr>
    </w:p>
    <w:p w14:paraId="6E2603C2" w14:textId="77777777" w:rsidR="00027B03" w:rsidRDefault="00027B03" w:rsidP="00441B6F">
      <w:pPr>
        <w:pStyle w:val="ReferHead"/>
        <w:spacing w:after="0"/>
        <w:jc w:val="both"/>
        <w:rPr>
          <w:rFonts w:ascii="Arial" w:hAnsi="Arial" w:cs="Arial"/>
        </w:rPr>
      </w:pPr>
    </w:p>
    <w:p w14:paraId="2C41575A" w14:textId="45BC917B" w:rsidR="00B01FCD" w:rsidRDefault="00B01FCD" w:rsidP="00441B6F">
      <w:pPr>
        <w:pStyle w:val="ReferHead"/>
        <w:spacing w:after="0"/>
        <w:jc w:val="both"/>
        <w:rPr>
          <w:rFonts w:ascii="Arial" w:hAnsi="Arial" w:cs="Arial"/>
        </w:rPr>
      </w:pPr>
      <w:r w:rsidRPr="00FB3A86">
        <w:rPr>
          <w:rFonts w:ascii="Arial" w:hAnsi="Arial" w:cs="Arial"/>
        </w:rPr>
        <w:t>References</w:t>
      </w:r>
    </w:p>
    <w:p w14:paraId="405FF8A0" w14:textId="77777777" w:rsidR="00284C4C" w:rsidRPr="00284C4C" w:rsidRDefault="00284C4C" w:rsidP="00441B6F">
      <w:pPr>
        <w:pStyle w:val="Body"/>
        <w:spacing w:after="0"/>
        <w:rPr>
          <w:rFonts w:ascii="Arial" w:hAnsi="Arial" w:cs="Arial"/>
          <w:i/>
          <w:u w:val="single"/>
        </w:rPr>
      </w:pPr>
    </w:p>
    <w:p w14:paraId="4E5B0CEF"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Apriliani</w:t>
      </w:r>
      <w:proofErr w:type="spellEnd"/>
      <w:r w:rsidRPr="0066797A">
        <w:rPr>
          <w:rFonts w:ascii="Arial" w:hAnsi="Arial" w:cs="Arial"/>
        </w:rPr>
        <w:t xml:space="preserve">, E., </w:t>
      </w:r>
      <w:proofErr w:type="spellStart"/>
      <w:r w:rsidRPr="0066797A">
        <w:rPr>
          <w:rFonts w:ascii="Arial" w:hAnsi="Arial" w:cs="Arial"/>
        </w:rPr>
        <w:t>Widyajayantie</w:t>
      </w:r>
      <w:proofErr w:type="spellEnd"/>
      <w:r w:rsidRPr="0066797A">
        <w:rPr>
          <w:rFonts w:ascii="Arial" w:hAnsi="Arial" w:cs="Arial"/>
        </w:rPr>
        <w:t xml:space="preserve">, D., Hidayah, U. F., &amp; </w:t>
      </w:r>
      <w:proofErr w:type="spellStart"/>
      <w:r w:rsidRPr="0066797A">
        <w:rPr>
          <w:rFonts w:ascii="Arial" w:hAnsi="Arial" w:cs="Arial"/>
        </w:rPr>
        <w:t>Yudha</w:t>
      </w:r>
      <w:proofErr w:type="spellEnd"/>
      <w:r w:rsidRPr="0066797A">
        <w:rPr>
          <w:rFonts w:ascii="Arial" w:hAnsi="Arial" w:cs="Arial"/>
        </w:rPr>
        <w:t>, Y. S. (2023). In vitro Propagation of Chrysanthemum Plants under Photoautotrophic Conditions</w:t>
      </w:r>
      <w:r w:rsidRPr="00EF2D7F">
        <w:rPr>
          <w:rFonts w:ascii="Arial" w:hAnsi="Arial" w:cs="Arial"/>
          <w:i/>
          <w:iCs/>
        </w:rPr>
        <w:t>. Agriculture and Biological Technology</w:t>
      </w:r>
      <w:r w:rsidRPr="0066797A">
        <w:rPr>
          <w:rFonts w:ascii="Arial" w:hAnsi="Arial" w:cs="Arial"/>
        </w:rPr>
        <w:t>, 1(1), 1-9. https://doi.org/10.61761/agiotech.1.1.1-9</w:t>
      </w:r>
    </w:p>
    <w:p w14:paraId="160C0A6A" w14:textId="37C5E70E" w:rsidR="0066797A" w:rsidRPr="00305399" w:rsidRDefault="0066797A" w:rsidP="0066797A">
      <w:pPr>
        <w:pStyle w:val="Body"/>
        <w:ind w:left="720" w:hanging="720"/>
        <w:rPr>
          <w:rFonts w:ascii="Arial" w:hAnsi="Arial" w:cs="Arial"/>
          <w:lang w:val="sv-SE"/>
        </w:rPr>
      </w:pPr>
      <w:proofErr w:type="spellStart"/>
      <w:r w:rsidRPr="0066797A">
        <w:rPr>
          <w:rFonts w:ascii="Arial" w:hAnsi="Arial" w:cs="Arial"/>
        </w:rPr>
        <w:t>Aryanta</w:t>
      </w:r>
      <w:proofErr w:type="spellEnd"/>
      <w:r w:rsidRPr="0066797A">
        <w:rPr>
          <w:rFonts w:ascii="Arial" w:hAnsi="Arial" w:cs="Arial"/>
        </w:rPr>
        <w:t xml:space="preserve">, I. W. R. </w:t>
      </w:r>
      <w:r w:rsidR="005C531C">
        <w:rPr>
          <w:rFonts w:ascii="Arial" w:hAnsi="Arial" w:cs="Arial"/>
        </w:rPr>
        <w:t>(</w:t>
      </w:r>
      <w:r w:rsidRPr="0066797A">
        <w:rPr>
          <w:rFonts w:ascii="Arial" w:hAnsi="Arial" w:cs="Arial"/>
        </w:rPr>
        <w:t>2019</w:t>
      </w:r>
      <w:r w:rsidR="005C531C">
        <w:rPr>
          <w:rFonts w:ascii="Arial" w:hAnsi="Arial" w:cs="Arial"/>
        </w:rPr>
        <w:t>)</w:t>
      </w:r>
      <w:r w:rsidRPr="0066797A">
        <w:rPr>
          <w:rFonts w:ascii="Arial" w:hAnsi="Arial" w:cs="Arial"/>
        </w:rPr>
        <w:t xml:space="preserve">. Shallots and Their Health Benefits. </w:t>
      </w:r>
      <w:r w:rsidRPr="00EF2D7F">
        <w:rPr>
          <w:rFonts w:ascii="Arial" w:hAnsi="Arial" w:cs="Arial"/>
          <w:i/>
          <w:iCs/>
          <w:lang w:val="sv-SE"/>
        </w:rPr>
        <w:t>Widya Kesehatan</w:t>
      </w:r>
      <w:r w:rsidRPr="00305399">
        <w:rPr>
          <w:rFonts w:ascii="Arial" w:hAnsi="Arial" w:cs="Arial"/>
          <w:lang w:val="sv-SE"/>
        </w:rPr>
        <w:t>, 1(1), 29-35. https://doi.org/10.32795/widyakesehatan.v1i1.280</w:t>
      </w:r>
    </w:p>
    <w:p w14:paraId="66F832F6"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Asharo</w:t>
      </w:r>
      <w:proofErr w:type="spellEnd"/>
      <w:r w:rsidRPr="0066797A">
        <w:rPr>
          <w:rFonts w:ascii="Arial" w:hAnsi="Arial" w:cs="Arial"/>
        </w:rPr>
        <w:t xml:space="preserve">, R. K., </w:t>
      </w:r>
      <w:proofErr w:type="spellStart"/>
      <w:r w:rsidRPr="0066797A">
        <w:rPr>
          <w:rFonts w:ascii="Arial" w:hAnsi="Arial" w:cs="Arial"/>
        </w:rPr>
        <w:t>Indrayanti</w:t>
      </w:r>
      <w:proofErr w:type="spellEnd"/>
      <w:r w:rsidRPr="0066797A">
        <w:rPr>
          <w:rFonts w:ascii="Arial" w:hAnsi="Arial" w:cs="Arial"/>
        </w:rPr>
        <w:t xml:space="preserve">, R., Nathania, N., </w:t>
      </w:r>
      <w:proofErr w:type="spellStart"/>
      <w:r w:rsidRPr="0066797A">
        <w:rPr>
          <w:rFonts w:ascii="Arial" w:hAnsi="Arial" w:cs="Arial"/>
        </w:rPr>
        <w:t>Setyaningsih</w:t>
      </w:r>
      <w:proofErr w:type="spellEnd"/>
      <w:r w:rsidRPr="0066797A">
        <w:rPr>
          <w:rFonts w:ascii="Arial" w:hAnsi="Arial" w:cs="Arial"/>
        </w:rPr>
        <w:t xml:space="preserve">, F., </w:t>
      </w:r>
      <w:proofErr w:type="spellStart"/>
      <w:r w:rsidRPr="0066797A">
        <w:rPr>
          <w:rFonts w:ascii="Arial" w:hAnsi="Arial" w:cs="Arial"/>
        </w:rPr>
        <w:t>Sholichah</w:t>
      </w:r>
      <w:proofErr w:type="spellEnd"/>
      <w:r w:rsidRPr="0066797A">
        <w:rPr>
          <w:rFonts w:ascii="Arial" w:hAnsi="Arial" w:cs="Arial"/>
        </w:rPr>
        <w:t>, B. A. M. A., Nasikah, A., &amp; Karina, K. (2024). Effect of growing media types with the addition of PGR and mung bean sprouts extract on potato (</w:t>
      </w:r>
      <w:r w:rsidRPr="00EF2D7F">
        <w:rPr>
          <w:rFonts w:ascii="Arial" w:hAnsi="Arial" w:cs="Arial"/>
          <w:i/>
          <w:iCs/>
        </w:rPr>
        <w:t>Solanum tuberosum</w:t>
      </w:r>
      <w:r w:rsidRPr="0066797A">
        <w:rPr>
          <w:rFonts w:ascii="Arial" w:hAnsi="Arial" w:cs="Arial"/>
        </w:rPr>
        <w:t xml:space="preserve"> L.) cv. Granola In vitro multiplication. In BIO Web of Conferences (Vol. 117, p. 01003). </w:t>
      </w:r>
      <w:r w:rsidRPr="00EF2D7F">
        <w:rPr>
          <w:rFonts w:ascii="Arial" w:hAnsi="Arial" w:cs="Arial"/>
          <w:i/>
          <w:iCs/>
        </w:rPr>
        <w:t>EDP Sciences</w:t>
      </w:r>
      <w:r w:rsidRPr="0066797A">
        <w:rPr>
          <w:rFonts w:ascii="Arial" w:hAnsi="Arial" w:cs="Arial"/>
        </w:rPr>
        <w:t>. https://doi.org/10.1051/bioconf/202411701003</w:t>
      </w:r>
    </w:p>
    <w:p w14:paraId="5AC7F8E2" w14:textId="77777777" w:rsidR="0066797A" w:rsidRPr="0066797A" w:rsidRDefault="0066797A" w:rsidP="0066797A">
      <w:pPr>
        <w:pStyle w:val="Body"/>
        <w:ind w:left="720" w:hanging="720"/>
        <w:rPr>
          <w:rFonts w:ascii="Arial" w:hAnsi="Arial" w:cs="Arial"/>
        </w:rPr>
      </w:pPr>
      <w:r w:rsidRPr="0066797A">
        <w:rPr>
          <w:rFonts w:ascii="Arial" w:hAnsi="Arial" w:cs="Arial"/>
        </w:rPr>
        <w:t xml:space="preserve">Atman, A. (2021). Shallot Cultivation Technology from True Shallot Seed. </w:t>
      </w:r>
      <w:r w:rsidRPr="00EF2D7F">
        <w:rPr>
          <w:rFonts w:ascii="Arial" w:hAnsi="Arial" w:cs="Arial"/>
          <w:i/>
          <w:iCs/>
        </w:rPr>
        <w:t xml:space="preserve">Sains </w:t>
      </w:r>
      <w:proofErr w:type="spellStart"/>
      <w:r w:rsidRPr="00EF2D7F">
        <w:rPr>
          <w:rFonts w:ascii="Arial" w:hAnsi="Arial" w:cs="Arial"/>
          <w:i/>
          <w:iCs/>
        </w:rPr>
        <w:t>Agro</w:t>
      </w:r>
      <w:proofErr w:type="spellEnd"/>
      <w:r w:rsidRPr="0066797A">
        <w:rPr>
          <w:rFonts w:ascii="Arial" w:hAnsi="Arial" w:cs="Arial"/>
        </w:rPr>
        <w:t>, 6(1), 11–21. https://doi.org/10.36355/jsa.v6i1.497</w:t>
      </w:r>
    </w:p>
    <w:p w14:paraId="44A3D70F" w14:textId="77777777" w:rsidR="0066797A" w:rsidRPr="0066797A" w:rsidRDefault="0066797A" w:rsidP="0066797A">
      <w:pPr>
        <w:pStyle w:val="Body"/>
        <w:ind w:left="720" w:hanging="720"/>
        <w:rPr>
          <w:rFonts w:ascii="Arial" w:hAnsi="Arial" w:cs="Arial"/>
        </w:rPr>
      </w:pPr>
      <w:r w:rsidRPr="0066797A">
        <w:rPr>
          <w:rFonts w:ascii="Arial" w:hAnsi="Arial" w:cs="Arial"/>
        </w:rPr>
        <w:t>Central Statistics Agency. (2024). Production of Vegetable Crops by Province and Type of Plant. https://www.bps.go.id</w:t>
      </w:r>
    </w:p>
    <w:p w14:paraId="5C7E35EF" w14:textId="77777777" w:rsidR="0066797A" w:rsidRPr="0066797A" w:rsidRDefault="0066797A" w:rsidP="0066797A">
      <w:pPr>
        <w:pStyle w:val="Body"/>
        <w:ind w:left="720" w:hanging="720"/>
        <w:rPr>
          <w:rFonts w:ascii="Arial" w:hAnsi="Arial" w:cs="Arial"/>
        </w:rPr>
      </w:pPr>
      <w:r w:rsidRPr="0066797A">
        <w:rPr>
          <w:rFonts w:ascii="Arial" w:hAnsi="Arial" w:cs="Arial"/>
        </w:rPr>
        <w:t xml:space="preserve">Basri, A. H. H. (2016). Study on the utilization of tissue culture in the propagation of virus-free plants. </w:t>
      </w:r>
      <w:proofErr w:type="spellStart"/>
      <w:r w:rsidRPr="00EF2D7F">
        <w:rPr>
          <w:rFonts w:ascii="Arial" w:hAnsi="Arial" w:cs="Arial"/>
          <w:i/>
          <w:iCs/>
        </w:rPr>
        <w:t>Agrica</w:t>
      </w:r>
      <w:proofErr w:type="spellEnd"/>
      <w:r w:rsidRPr="00EF2D7F">
        <w:rPr>
          <w:rFonts w:ascii="Arial" w:hAnsi="Arial" w:cs="Arial"/>
          <w:i/>
          <w:iCs/>
        </w:rPr>
        <w:t xml:space="preserve"> </w:t>
      </w:r>
      <w:proofErr w:type="spellStart"/>
      <w:r w:rsidRPr="00EF2D7F">
        <w:rPr>
          <w:rFonts w:ascii="Arial" w:hAnsi="Arial" w:cs="Arial"/>
          <w:i/>
          <w:iCs/>
        </w:rPr>
        <w:t>Ekstensia</w:t>
      </w:r>
      <w:proofErr w:type="spellEnd"/>
      <w:r w:rsidRPr="0066797A">
        <w:rPr>
          <w:rFonts w:ascii="Arial" w:hAnsi="Arial" w:cs="Arial"/>
        </w:rPr>
        <w:t>, 10(6), 64–73. https://ojs.umb-bungo.ac.id/index.php/saingro/article/view/497</w:t>
      </w:r>
    </w:p>
    <w:p w14:paraId="10C95693" w14:textId="77777777" w:rsidR="0066797A" w:rsidRPr="0066797A" w:rsidRDefault="0066797A" w:rsidP="0066797A">
      <w:pPr>
        <w:pStyle w:val="Body"/>
        <w:ind w:left="720" w:hanging="720"/>
        <w:rPr>
          <w:rFonts w:ascii="Arial" w:hAnsi="Arial" w:cs="Arial"/>
        </w:rPr>
      </w:pPr>
      <w:r w:rsidRPr="0066797A">
        <w:rPr>
          <w:rFonts w:ascii="Arial" w:hAnsi="Arial" w:cs="Arial"/>
        </w:rPr>
        <w:t>Cahyani, S.K (2021). Induction of Roselle (</w:t>
      </w:r>
      <w:r w:rsidRPr="00290F54">
        <w:rPr>
          <w:rFonts w:ascii="Arial" w:hAnsi="Arial" w:cs="Arial"/>
          <w:i/>
          <w:iCs/>
        </w:rPr>
        <w:t>Hibiscus sabdariffa</w:t>
      </w:r>
      <w:r w:rsidRPr="0066797A">
        <w:rPr>
          <w:rFonts w:ascii="Arial" w:hAnsi="Arial" w:cs="Arial"/>
        </w:rPr>
        <w:t xml:space="preserve"> L.) Callus with the Addition of 2,4 D Benzyl Amino Purine (BAP) In Vitro. (Undergraduate Thesis, </w:t>
      </w:r>
      <w:proofErr w:type="spellStart"/>
      <w:r w:rsidRPr="0066797A">
        <w:rPr>
          <w:rFonts w:ascii="Arial" w:hAnsi="Arial" w:cs="Arial"/>
        </w:rPr>
        <w:t>Agroecotechnology</w:t>
      </w:r>
      <w:proofErr w:type="spellEnd"/>
      <w:r w:rsidRPr="0066797A">
        <w:rPr>
          <w:rFonts w:ascii="Arial" w:hAnsi="Arial" w:cs="Arial"/>
        </w:rPr>
        <w:t xml:space="preserve"> Study Program, Department of Agricultural Cultivation, Faculty of Agriculture, Bengkulu University, Bengkulu).</w:t>
      </w:r>
    </w:p>
    <w:p w14:paraId="170AF596" w14:textId="0394E622" w:rsidR="0066797A" w:rsidRPr="0066797A" w:rsidRDefault="0066797A" w:rsidP="0066797A">
      <w:pPr>
        <w:pStyle w:val="Body"/>
        <w:ind w:left="720" w:hanging="720"/>
        <w:rPr>
          <w:rFonts w:ascii="Arial" w:hAnsi="Arial" w:cs="Arial"/>
        </w:rPr>
      </w:pPr>
      <w:r w:rsidRPr="0066797A">
        <w:rPr>
          <w:rFonts w:ascii="Arial" w:hAnsi="Arial" w:cs="Arial"/>
        </w:rPr>
        <w:t xml:space="preserve">Dos Reis, C. A., &amp; </w:t>
      </w:r>
      <w:proofErr w:type="spellStart"/>
      <w:r w:rsidRPr="0066797A">
        <w:rPr>
          <w:rFonts w:ascii="Arial" w:hAnsi="Arial" w:cs="Arial"/>
        </w:rPr>
        <w:t>Antô</w:t>
      </w:r>
      <w:proofErr w:type="spellEnd"/>
      <w:r w:rsidRPr="0066797A">
        <w:rPr>
          <w:rFonts w:ascii="Arial" w:hAnsi="Arial" w:cs="Arial"/>
        </w:rPr>
        <w:t xml:space="preserve">, R.A (2025). </w:t>
      </w:r>
      <w:r w:rsidRPr="002016C0">
        <w:rPr>
          <w:rFonts w:ascii="Arial" w:hAnsi="Arial" w:cs="Arial"/>
          <w:i/>
          <w:iCs/>
        </w:rPr>
        <w:t>Clivia miniata</w:t>
      </w:r>
      <w:r w:rsidRPr="0066797A">
        <w:rPr>
          <w:rFonts w:ascii="Arial" w:hAnsi="Arial" w:cs="Arial"/>
        </w:rPr>
        <w:t xml:space="preserve"> Seedlings Germinated in Vitro under Different Sucrose Concentrations and Used as Explants for Callus Induction. </w:t>
      </w:r>
      <w:r w:rsidRPr="002016C0">
        <w:rPr>
          <w:rFonts w:ascii="Arial" w:hAnsi="Arial" w:cs="Arial"/>
          <w:i/>
          <w:iCs/>
        </w:rPr>
        <w:t>Advances in Bioscience and Biotechnology</w:t>
      </w:r>
      <w:r w:rsidRPr="0066797A">
        <w:rPr>
          <w:rFonts w:ascii="Arial" w:hAnsi="Arial" w:cs="Arial"/>
        </w:rPr>
        <w:t>, 16(6), 244-259.</w:t>
      </w:r>
      <w:r w:rsidR="002016C0">
        <w:rPr>
          <w:rFonts w:ascii="Arial" w:hAnsi="Arial" w:cs="Arial"/>
        </w:rPr>
        <w:tab/>
      </w:r>
      <w:r w:rsidRPr="0066797A">
        <w:rPr>
          <w:rFonts w:ascii="Arial" w:hAnsi="Arial" w:cs="Arial"/>
        </w:rPr>
        <w:t xml:space="preserve"> https://doi.org/10.4236/abb.2025.166016</w:t>
      </w:r>
    </w:p>
    <w:p w14:paraId="1A7C271A" w14:textId="3C7585A5" w:rsidR="0066797A" w:rsidRPr="0066797A" w:rsidRDefault="0066797A" w:rsidP="0066797A">
      <w:pPr>
        <w:pStyle w:val="Body"/>
        <w:ind w:left="720" w:hanging="720"/>
        <w:rPr>
          <w:rFonts w:ascii="Arial" w:hAnsi="Arial" w:cs="Arial"/>
        </w:rPr>
      </w:pPr>
      <w:proofErr w:type="spellStart"/>
      <w:r w:rsidRPr="0066797A">
        <w:rPr>
          <w:rFonts w:ascii="Arial" w:hAnsi="Arial" w:cs="Arial"/>
        </w:rPr>
        <w:t>Hapsari</w:t>
      </w:r>
      <w:proofErr w:type="spellEnd"/>
      <w:r w:rsidRPr="0066797A">
        <w:rPr>
          <w:rFonts w:ascii="Arial" w:hAnsi="Arial" w:cs="Arial"/>
        </w:rPr>
        <w:t xml:space="preserve">, L. W., &amp; </w:t>
      </w:r>
      <w:proofErr w:type="spellStart"/>
      <w:r w:rsidRPr="0066797A">
        <w:rPr>
          <w:rFonts w:ascii="Arial" w:hAnsi="Arial" w:cs="Arial"/>
        </w:rPr>
        <w:t>Saptadi</w:t>
      </w:r>
      <w:proofErr w:type="spellEnd"/>
      <w:r w:rsidRPr="0066797A">
        <w:rPr>
          <w:rFonts w:ascii="Arial" w:hAnsi="Arial" w:cs="Arial"/>
        </w:rPr>
        <w:t xml:space="preserve">, D. (2018). Response of several garlic varieties in growth and potential for </w:t>
      </w:r>
      <w:proofErr w:type="spellStart"/>
      <w:r w:rsidRPr="0066797A">
        <w:rPr>
          <w:rFonts w:ascii="Arial" w:hAnsi="Arial" w:cs="Arial"/>
        </w:rPr>
        <w:t>microtuber</w:t>
      </w:r>
      <w:proofErr w:type="spellEnd"/>
      <w:r w:rsidRPr="0066797A">
        <w:rPr>
          <w:rFonts w:ascii="Arial" w:hAnsi="Arial" w:cs="Arial"/>
        </w:rPr>
        <w:t xml:space="preserve"> formation to various sucrose concentrations. </w:t>
      </w:r>
      <w:r w:rsidRPr="002016C0">
        <w:rPr>
          <w:rFonts w:ascii="Arial" w:hAnsi="Arial" w:cs="Arial"/>
          <w:i/>
          <w:iCs/>
        </w:rPr>
        <w:t>Journal of Plant Production</w:t>
      </w:r>
      <w:r w:rsidRPr="0066797A">
        <w:rPr>
          <w:rFonts w:ascii="Arial" w:hAnsi="Arial" w:cs="Arial"/>
        </w:rPr>
        <w:t xml:space="preserve">, </w:t>
      </w:r>
      <w:proofErr w:type="spellStart"/>
      <w:r w:rsidRPr="002016C0">
        <w:rPr>
          <w:rFonts w:ascii="Arial" w:hAnsi="Arial" w:cs="Arial"/>
          <w:i/>
          <w:iCs/>
        </w:rPr>
        <w:t>Brawijaya</w:t>
      </w:r>
      <w:proofErr w:type="spellEnd"/>
      <w:r w:rsidRPr="002016C0">
        <w:rPr>
          <w:rFonts w:ascii="Arial" w:hAnsi="Arial" w:cs="Arial"/>
          <w:i/>
          <w:iCs/>
        </w:rPr>
        <w:t xml:space="preserve"> University,</w:t>
      </w:r>
      <w:r w:rsidRPr="0066797A">
        <w:rPr>
          <w:rFonts w:ascii="Arial" w:hAnsi="Arial" w:cs="Arial"/>
        </w:rPr>
        <w:t xml:space="preserve"> 6(9).</w:t>
      </w:r>
      <w:r w:rsidR="002016C0">
        <w:rPr>
          <w:rFonts w:ascii="Arial" w:hAnsi="Arial" w:cs="Arial"/>
        </w:rPr>
        <w:tab/>
      </w:r>
      <w:r w:rsidRPr="0066797A">
        <w:rPr>
          <w:rFonts w:ascii="Arial" w:hAnsi="Arial" w:cs="Arial"/>
        </w:rPr>
        <w:t xml:space="preserve"> https://protan.studentjournal.ub.ac.id/index.php/protan/article/view/893</w:t>
      </w:r>
    </w:p>
    <w:p w14:paraId="27F4DF59"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Hapsoro</w:t>
      </w:r>
      <w:proofErr w:type="spellEnd"/>
      <w:r w:rsidRPr="0066797A">
        <w:rPr>
          <w:rFonts w:ascii="Arial" w:hAnsi="Arial" w:cs="Arial"/>
        </w:rPr>
        <w:t xml:space="preserve">, D., </w:t>
      </w:r>
      <w:proofErr w:type="spellStart"/>
      <w:r w:rsidRPr="0066797A">
        <w:rPr>
          <w:rFonts w:ascii="Arial" w:hAnsi="Arial" w:cs="Arial"/>
        </w:rPr>
        <w:t>Septiana</w:t>
      </w:r>
      <w:proofErr w:type="spellEnd"/>
      <w:r w:rsidRPr="0066797A">
        <w:rPr>
          <w:rFonts w:ascii="Arial" w:hAnsi="Arial" w:cs="Arial"/>
        </w:rPr>
        <w:t xml:space="preserve">, V. A., </w:t>
      </w:r>
      <w:proofErr w:type="spellStart"/>
      <w:r w:rsidRPr="0066797A">
        <w:rPr>
          <w:rFonts w:ascii="Arial" w:hAnsi="Arial" w:cs="Arial"/>
        </w:rPr>
        <w:t>Ramadiana</w:t>
      </w:r>
      <w:proofErr w:type="spellEnd"/>
      <w:r w:rsidRPr="0066797A">
        <w:rPr>
          <w:rFonts w:ascii="Arial" w:hAnsi="Arial" w:cs="Arial"/>
        </w:rPr>
        <w:t xml:space="preserve">, S., &amp; </w:t>
      </w:r>
      <w:proofErr w:type="spellStart"/>
      <w:r w:rsidRPr="0066797A">
        <w:rPr>
          <w:rFonts w:ascii="Arial" w:hAnsi="Arial" w:cs="Arial"/>
        </w:rPr>
        <w:t>Yusnita</w:t>
      </w:r>
      <w:proofErr w:type="spellEnd"/>
      <w:r w:rsidRPr="0066797A">
        <w:rPr>
          <w:rFonts w:ascii="Arial" w:hAnsi="Arial" w:cs="Arial"/>
        </w:rPr>
        <w:t>, Y. (2018). A medium containing commercial foliar fertilizer and some organic additives could substitute MS medium for in vitro growth of Dendrobium hybrid seedlings, 13(1), 11-22. http://repository.lppm.unila.ac.id/id/eprint/9966</w:t>
      </w:r>
    </w:p>
    <w:p w14:paraId="78291712"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Hardianti</w:t>
      </w:r>
      <w:proofErr w:type="spellEnd"/>
      <w:r w:rsidRPr="0066797A">
        <w:rPr>
          <w:rFonts w:ascii="Arial" w:hAnsi="Arial" w:cs="Arial"/>
        </w:rPr>
        <w:t xml:space="preserve">, O., &amp; </w:t>
      </w:r>
      <w:proofErr w:type="spellStart"/>
      <w:r w:rsidRPr="0066797A">
        <w:rPr>
          <w:rFonts w:ascii="Arial" w:hAnsi="Arial" w:cs="Arial"/>
        </w:rPr>
        <w:t>Soetopo</w:t>
      </w:r>
      <w:proofErr w:type="spellEnd"/>
      <w:r w:rsidRPr="0066797A">
        <w:rPr>
          <w:rFonts w:ascii="Arial" w:hAnsi="Arial" w:cs="Arial"/>
        </w:rPr>
        <w:t xml:space="preserve">, L. (2019). The effect of foliar fertilizer concentration on Dendrobium and Cattleya orchid media in vitro. </w:t>
      </w:r>
      <w:r w:rsidRPr="007F12BE">
        <w:rPr>
          <w:rFonts w:ascii="Arial" w:hAnsi="Arial" w:cs="Arial"/>
          <w:i/>
          <w:iCs/>
        </w:rPr>
        <w:t>Journal of Plant Production</w:t>
      </w:r>
      <w:r w:rsidRPr="0066797A">
        <w:rPr>
          <w:rFonts w:ascii="Arial" w:hAnsi="Arial" w:cs="Arial"/>
        </w:rPr>
        <w:t>, 7(5), 881-888. https://repository.ub.ac.id/id/eprint/12644/1/OKTARINA%20HARDIANTI.pdf</w:t>
      </w:r>
    </w:p>
    <w:p w14:paraId="5B670127" w14:textId="77777777" w:rsidR="0066797A" w:rsidRPr="0066797A" w:rsidRDefault="0066797A" w:rsidP="0066797A">
      <w:pPr>
        <w:pStyle w:val="Body"/>
        <w:ind w:left="720" w:hanging="720"/>
        <w:rPr>
          <w:rFonts w:ascii="Arial" w:hAnsi="Arial" w:cs="Arial"/>
        </w:rPr>
      </w:pPr>
      <w:r w:rsidRPr="0066797A">
        <w:rPr>
          <w:rFonts w:ascii="Arial" w:hAnsi="Arial" w:cs="Arial"/>
        </w:rPr>
        <w:lastRenderedPageBreak/>
        <w:t>Haryanto, B., Basri, Z., &amp; Kasim, K. (2022). Growth of shallots (</w:t>
      </w:r>
      <w:r w:rsidRPr="007F12BE">
        <w:rPr>
          <w:rFonts w:ascii="Arial" w:hAnsi="Arial" w:cs="Arial"/>
          <w:i/>
          <w:iCs/>
        </w:rPr>
        <w:t>Allium ascalonicum</w:t>
      </w:r>
      <w:r w:rsidRPr="0066797A">
        <w:rPr>
          <w:rFonts w:ascii="Arial" w:hAnsi="Arial" w:cs="Arial"/>
        </w:rPr>
        <w:t xml:space="preserve"> L.) from seeds at various sucrose concentrations and Murashige and Skoog media concentrations. </w:t>
      </w:r>
      <w:r w:rsidRPr="007F12BE">
        <w:rPr>
          <w:rFonts w:ascii="Arial" w:hAnsi="Arial" w:cs="Arial"/>
          <w:i/>
          <w:iCs/>
        </w:rPr>
        <w:t xml:space="preserve">E-Journal </w:t>
      </w:r>
      <w:proofErr w:type="spellStart"/>
      <w:r w:rsidRPr="007F12BE">
        <w:rPr>
          <w:rFonts w:ascii="Arial" w:hAnsi="Arial" w:cs="Arial"/>
          <w:i/>
          <w:iCs/>
        </w:rPr>
        <w:t>Agrotekbis</w:t>
      </w:r>
      <w:proofErr w:type="spellEnd"/>
      <w:r w:rsidRPr="0066797A">
        <w:rPr>
          <w:rFonts w:ascii="Arial" w:hAnsi="Arial" w:cs="Arial"/>
        </w:rPr>
        <w:t>, 10(6), 1093–1104. http://jurnal.faperta.untad.ac.id/index.php/agrotekbis/article/view/1567</w:t>
      </w:r>
    </w:p>
    <w:p w14:paraId="19A41980"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Heriansyah</w:t>
      </w:r>
      <w:proofErr w:type="spellEnd"/>
      <w:r w:rsidRPr="0066797A">
        <w:rPr>
          <w:rFonts w:ascii="Arial" w:hAnsi="Arial" w:cs="Arial"/>
        </w:rPr>
        <w:t xml:space="preserve">, P. (2019). Somatic embryo multiplication of orchid plants (Dendrobium sp.) with the application of kinetin and sucrose in vitro. </w:t>
      </w:r>
      <w:r w:rsidRPr="007F12BE">
        <w:rPr>
          <w:rFonts w:ascii="Arial" w:hAnsi="Arial" w:cs="Arial"/>
          <w:i/>
          <w:iCs/>
        </w:rPr>
        <w:t>Scientific Journal of Agriculture,</w:t>
      </w:r>
      <w:r w:rsidRPr="0066797A">
        <w:rPr>
          <w:rFonts w:ascii="Arial" w:hAnsi="Arial" w:cs="Arial"/>
        </w:rPr>
        <w:t xml:space="preserve"> 15(2): 67–78. https://doi.org/10.31849/jip.v15i2.1974</w:t>
      </w:r>
    </w:p>
    <w:p w14:paraId="4772FF4B" w14:textId="77777777" w:rsidR="0066797A" w:rsidRPr="0066797A" w:rsidRDefault="0066797A" w:rsidP="0066797A">
      <w:pPr>
        <w:pStyle w:val="Body"/>
        <w:ind w:left="720" w:hanging="720"/>
        <w:rPr>
          <w:rFonts w:ascii="Arial" w:hAnsi="Arial" w:cs="Arial"/>
        </w:rPr>
      </w:pPr>
      <w:r w:rsidRPr="0066797A">
        <w:rPr>
          <w:rFonts w:ascii="Arial" w:hAnsi="Arial" w:cs="Arial"/>
        </w:rPr>
        <w:t xml:space="preserve">Huh, Y. S., Lee, J. K., Nam, S. Y., Hong, E. Y., Paek, K. Y., &amp; Son, S. W. (2016). Effects of altering medium strength and sucrose concentration on in vitro germination and seedling growth of Cypripedium </w:t>
      </w:r>
      <w:proofErr w:type="spellStart"/>
      <w:r w:rsidRPr="0066797A">
        <w:rPr>
          <w:rFonts w:ascii="Arial" w:hAnsi="Arial" w:cs="Arial"/>
        </w:rPr>
        <w:t>macranthos</w:t>
      </w:r>
      <w:proofErr w:type="spellEnd"/>
      <w:r w:rsidRPr="0066797A">
        <w:rPr>
          <w:rFonts w:ascii="Arial" w:hAnsi="Arial" w:cs="Arial"/>
        </w:rPr>
        <w:t xml:space="preserve"> Sw. </w:t>
      </w:r>
      <w:r w:rsidRPr="007F12BE">
        <w:rPr>
          <w:rFonts w:ascii="Arial" w:hAnsi="Arial" w:cs="Arial"/>
          <w:i/>
          <w:iCs/>
        </w:rPr>
        <w:t>Journal of Plant Biotechnology</w:t>
      </w:r>
      <w:r w:rsidRPr="0066797A">
        <w:rPr>
          <w:rFonts w:ascii="Arial" w:hAnsi="Arial" w:cs="Arial"/>
        </w:rPr>
        <w:t>, 43(1), 132-137. https://doi.org/10.5010/JPB.2016.43.1.132</w:t>
      </w:r>
    </w:p>
    <w:p w14:paraId="467CF307" w14:textId="77777777" w:rsidR="0066797A" w:rsidRPr="0066797A" w:rsidRDefault="0066797A" w:rsidP="0066797A">
      <w:pPr>
        <w:pStyle w:val="Body"/>
        <w:ind w:left="720" w:hanging="720"/>
        <w:rPr>
          <w:rFonts w:ascii="Arial" w:hAnsi="Arial" w:cs="Arial"/>
        </w:rPr>
      </w:pPr>
      <w:proofErr w:type="spellStart"/>
      <w:r w:rsidRPr="00A940D1">
        <w:rPr>
          <w:rFonts w:ascii="Arial" w:hAnsi="Arial" w:cs="Arial"/>
          <w:lang w:val="en-ID"/>
        </w:rPr>
        <w:t>Irmawati</w:t>
      </w:r>
      <w:proofErr w:type="spellEnd"/>
      <w:r w:rsidRPr="00A940D1">
        <w:rPr>
          <w:rFonts w:ascii="Arial" w:hAnsi="Arial" w:cs="Arial"/>
          <w:lang w:val="en-ID"/>
        </w:rPr>
        <w:t xml:space="preserve">, D., &amp; Rahayu, E. S. (2023). </w:t>
      </w:r>
      <w:r w:rsidRPr="0066797A">
        <w:rPr>
          <w:rFonts w:ascii="Arial" w:hAnsi="Arial" w:cs="Arial"/>
        </w:rPr>
        <w:t xml:space="preserve">Development of </w:t>
      </w:r>
      <w:proofErr w:type="spellStart"/>
      <w:r w:rsidRPr="0066797A">
        <w:rPr>
          <w:rFonts w:ascii="Arial" w:hAnsi="Arial" w:cs="Arial"/>
        </w:rPr>
        <w:t>photomyxotrophic</w:t>
      </w:r>
      <w:proofErr w:type="spellEnd"/>
      <w:r w:rsidRPr="0066797A">
        <w:rPr>
          <w:rFonts w:ascii="Arial" w:hAnsi="Arial" w:cs="Arial"/>
        </w:rPr>
        <w:t xml:space="preserve"> culture protocol of lemongrass through sucrose concentration increase and light intensity decrease. </w:t>
      </w:r>
      <w:proofErr w:type="spellStart"/>
      <w:r w:rsidRPr="0066797A">
        <w:rPr>
          <w:rFonts w:ascii="Arial" w:hAnsi="Arial" w:cs="Arial"/>
        </w:rPr>
        <w:t>Biosaintifika</w:t>
      </w:r>
      <w:proofErr w:type="spellEnd"/>
      <w:r w:rsidRPr="0066797A">
        <w:rPr>
          <w:rFonts w:ascii="Arial" w:hAnsi="Arial" w:cs="Arial"/>
        </w:rPr>
        <w:t xml:space="preserve">: </w:t>
      </w:r>
      <w:r w:rsidRPr="007F12BE">
        <w:rPr>
          <w:rFonts w:ascii="Arial" w:hAnsi="Arial" w:cs="Arial"/>
          <w:i/>
          <w:iCs/>
        </w:rPr>
        <w:t>Journal of Biology &amp; Biology Education</w:t>
      </w:r>
      <w:r w:rsidRPr="0066797A">
        <w:rPr>
          <w:rFonts w:ascii="Arial" w:hAnsi="Arial" w:cs="Arial"/>
        </w:rPr>
        <w:t>, 15(2), 212-219. http://dx.doi.org/10.15294/biosaintifika.v15i2.38303</w:t>
      </w:r>
    </w:p>
    <w:p w14:paraId="428424FD" w14:textId="77777777" w:rsidR="0066797A" w:rsidRPr="00A940D1" w:rsidRDefault="0066797A" w:rsidP="0066797A">
      <w:pPr>
        <w:pStyle w:val="Body"/>
        <w:ind w:left="720" w:hanging="720"/>
        <w:rPr>
          <w:rFonts w:ascii="Arial" w:hAnsi="Arial" w:cs="Arial"/>
          <w:lang w:val="sv-SE"/>
        </w:rPr>
      </w:pPr>
      <w:r w:rsidRPr="00305399">
        <w:rPr>
          <w:rFonts w:ascii="Arial" w:hAnsi="Arial" w:cs="Arial"/>
          <w:lang w:val="sv-SE"/>
        </w:rPr>
        <w:t xml:space="preserve">Isda, M. N., &amp; Wusqa, W. (2024). </w:t>
      </w:r>
      <w:r w:rsidRPr="0066797A">
        <w:rPr>
          <w:rFonts w:ascii="Arial" w:hAnsi="Arial" w:cs="Arial"/>
        </w:rPr>
        <w:t xml:space="preserve">Growth response of </w:t>
      </w:r>
      <w:proofErr w:type="spellStart"/>
      <w:r w:rsidRPr="00082E50">
        <w:rPr>
          <w:rFonts w:ascii="Arial" w:hAnsi="Arial" w:cs="Arial"/>
          <w:i/>
          <w:iCs/>
        </w:rPr>
        <w:t>Grammatophyllum</w:t>
      </w:r>
      <w:proofErr w:type="spellEnd"/>
      <w:r w:rsidRPr="00082E50">
        <w:rPr>
          <w:rFonts w:ascii="Arial" w:hAnsi="Arial" w:cs="Arial"/>
          <w:i/>
          <w:iCs/>
        </w:rPr>
        <w:t xml:space="preserve"> </w:t>
      </w:r>
      <w:proofErr w:type="spellStart"/>
      <w:r w:rsidRPr="00082E50">
        <w:rPr>
          <w:rFonts w:ascii="Arial" w:hAnsi="Arial" w:cs="Arial"/>
          <w:i/>
          <w:iCs/>
        </w:rPr>
        <w:t>Stapeliiflorum</w:t>
      </w:r>
      <w:proofErr w:type="spellEnd"/>
      <w:r w:rsidRPr="0066797A">
        <w:rPr>
          <w:rFonts w:ascii="Arial" w:hAnsi="Arial" w:cs="Arial"/>
        </w:rPr>
        <w:t xml:space="preserve"> protocorms with the addition of several types of foliar fertilizers in vitro. </w:t>
      </w:r>
      <w:r w:rsidRPr="00A940D1">
        <w:rPr>
          <w:rFonts w:ascii="Arial" w:hAnsi="Arial" w:cs="Arial"/>
          <w:i/>
          <w:iCs/>
          <w:lang w:val="sv-SE"/>
        </w:rPr>
        <w:t>Jurnal Agroteknologi,</w:t>
      </w:r>
      <w:r w:rsidRPr="00A940D1">
        <w:rPr>
          <w:rFonts w:ascii="Arial" w:hAnsi="Arial" w:cs="Arial"/>
          <w:lang w:val="sv-SE"/>
        </w:rPr>
        <w:t xml:space="preserve"> 14(2), 97-104. http://dx.doi.org/10.24014/ja.v14i2.17244</w:t>
      </w:r>
    </w:p>
    <w:p w14:paraId="7D20301E" w14:textId="02E0FC84" w:rsidR="0010574F" w:rsidRPr="0010574F" w:rsidRDefault="0010574F" w:rsidP="0066797A">
      <w:pPr>
        <w:pStyle w:val="Body"/>
        <w:ind w:left="720" w:hanging="720"/>
        <w:rPr>
          <w:rFonts w:ascii="Arial" w:hAnsi="Arial" w:cs="Arial"/>
          <w:lang w:val="en-ID"/>
        </w:rPr>
      </w:pPr>
      <w:r w:rsidRPr="00A940D1">
        <w:rPr>
          <w:rFonts w:ascii="Arial" w:hAnsi="Arial" w:cs="Arial"/>
          <w:lang w:val="sv-SE"/>
        </w:rPr>
        <w:t xml:space="preserve">Islam, M. S., Roni, M. Z. K., Jamal Uddin, A. F. M., &amp; Shimasaki, K. (2017). </w:t>
      </w:r>
      <w:r w:rsidRPr="00215894">
        <w:rPr>
          <w:rFonts w:ascii="Arial" w:hAnsi="Arial" w:cs="Arial"/>
        </w:rPr>
        <w:t xml:space="preserve">Tracing the role of sucrose in potato </w:t>
      </w:r>
      <w:proofErr w:type="spellStart"/>
      <w:r w:rsidRPr="00215894">
        <w:rPr>
          <w:rFonts w:ascii="Arial" w:hAnsi="Arial" w:cs="Arial"/>
        </w:rPr>
        <w:t>microtuber</w:t>
      </w:r>
      <w:proofErr w:type="spellEnd"/>
      <w:r w:rsidRPr="00215894">
        <w:rPr>
          <w:rFonts w:ascii="Arial" w:hAnsi="Arial" w:cs="Arial"/>
        </w:rPr>
        <w:t xml:space="preserve"> </w:t>
      </w:r>
      <w:proofErr w:type="spellStart"/>
      <w:r w:rsidRPr="00215894">
        <w:rPr>
          <w:rFonts w:ascii="Arial" w:hAnsi="Arial" w:cs="Arial"/>
        </w:rPr>
        <w:t>formation'in</w:t>
      </w:r>
      <w:proofErr w:type="spellEnd"/>
      <w:r w:rsidRPr="00215894">
        <w:rPr>
          <w:rFonts w:ascii="Arial" w:hAnsi="Arial" w:cs="Arial"/>
        </w:rPr>
        <w:t xml:space="preserve"> vitro'. </w:t>
      </w:r>
      <w:r w:rsidRPr="00215894">
        <w:rPr>
          <w:rFonts w:ascii="Arial" w:hAnsi="Arial" w:cs="Arial"/>
          <w:i/>
          <w:iCs/>
        </w:rPr>
        <w:t>Plant omics</w:t>
      </w:r>
      <w:r w:rsidRPr="00215894">
        <w:rPr>
          <w:rFonts w:ascii="Arial" w:hAnsi="Arial" w:cs="Arial"/>
        </w:rPr>
        <w:t>, </w:t>
      </w:r>
      <w:r w:rsidRPr="00215894">
        <w:rPr>
          <w:rFonts w:ascii="Arial" w:hAnsi="Arial" w:cs="Arial"/>
          <w:i/>
          <w:iCs/>
        </w:rPr>
        <w:t>10</w:t>
      </w:r>
      <w:r w:rsidRPr="00215894">
        <w:rPr>
          <w:rFonts w:ascii="Arial" w:hAnsi="Arial" w:cs="Arial"/>
        </w:rPr>
        <w:t>(1), 15-19.</w:t>
      </w:r>
      <w:r w:rsidR="00E22637" w:rsidRPr="00E22637">
        <w:rPr>
          <w:rFonts w:ascii="Courier New" w:hAnsi="Courier New" w:cs="Courier New"/>
          <w:color w:val="333333"/>
          <w:sz w:val="18"/>
          <w:szCs w:val="18"/>
          <w:shd w:val="clear" w:color="auto" w:fill="F9F9F9"/>
        </w:rPr>
        <w:t xml:space="preserve"> </w:t>
      </w:r>
      <w:r w:rsidR="00E22637" w:rsidRPr="00E22637">
        <w:rPr>
          <w:rFonts w:ascii="Arial" w:hAnsi="Arial" w:cs="Arial"/>
        </w:rPr>
        <w:t>https://search.informit.org/doi/10.3316/informit.720926734710952</w:t>
      </w:r>
      <w:r w:rsidRPr="00F62E08">
        <w:rPr>
          <w:rFonts w:ascii="Courier New" w:hAnsi="Courier New" w:cs="Courier New"/>
          <w:color w:val="333333"/>
          <w:sz w:val="18"/>
          <w:szCs w:val="18"/>
          <w:shd w:val="clear" w:color="auto" w:fill="F9F9F9"/>
        </w:rPr>
        <w:t xml:space="preserve"> </w:t>
      </w:r>
    </w:p>
    <w:p w14:paraId="628BE8C2" w14:textId="2FCA40AE" w:rsidR="0066797A" w:rsidRPr="003425EA" w:rsidRDefault="0066797A" w:rsidP="0066797A">
      <w:pPr>
        <w:pStyle w:val="Body"/>
        <w:ind w:left="720" w:hanging="720"/>
        <w:rPr>
          <w:rFonts w:ascii="Arial" w:hAnsi="Arial" w:cs="Arial"/>
          <w:lang w:val="sv-SE"/>
        </w:rPr>
      </w:pPr>
      <w:r w:rsidRPr="0010574F">
        <w:rPr>
          <w:rFonts w:ascii="Arial" w:hAnsi="Arial" w:cs="Arial"/>
          <w:lang w:val="en-ID"/>
        </w:rPr>
        <w:t xml:space="preserve">Laia, D. A. S. (2019). </w:t>
      </w:r>
      <w:r w:rsidRPr="0066797A">
        <w:rPr>
          <w:rFonts w:ascii="Arial" w:hAnsi="Arial" w:cs="Arial"/>
        </w:rPr>
        <w:t>The effect of foliar fertilizer as a culture medium in the micropropagation of Raja Bulu Banana (</w:t>
      </w:r>
      <w:r w:rsidRPr="00082E50">
        <w:rPr>
          <w:rFonts w:ascii="Arial" w:hAnsi="Arial" w:cs="Arial"/>
          <w:i/>
          <w:iCs/>
        </w:rPr>
        <w:t>Musa paradisiaca</w:t>
      </w:r>
      <w:r w:rsidRPr="0066797A">
        <w:rPr>
          <w:rFonts w:ascii="Arial" w:hAnsi="Arial" w:cs="Arial"/>
        </w:rPr>
        <w:t xml:space="preserve"> L. cv. </w:t>
      </w:r>
      <w:r w:rsidRPr="003425EA">
        <w:rPr>
          <w:rFonts w:ascii="Arial" w:hAnsi="Arial" w:cs="Arial"/>
          <w:lang w:val="sv-SE"/>
        </w:rPr>
        <w:t>Raja Bulu). https://repository.uhn.ac.id/handle/123456789/3041</w:t>
      </w:r>
    </w:p>
    <w:p w14:paraId="2C6D3511" w14:textId="77777777" w:rsidR="0066797A" w:rsidRPr="0066797A" w:rsidRDefault="0066797A" w:rsidP="0066797A">
      <w:pPr>
        <w:pStyle w:val="Body"/>
        <w:ind w:left="720" w:hanging="720"/>
        <w:rPr>
          <w:rFonts w:ascii="Arial" w:hAnsi="Arial" w:cs="Arial"/>
        </w:rPr>
      </w:pPr>
      <w:r w:rsidRPr="002D66B0">
        <w:rPr>
          <w:rFonts w:ascii="Arial" w:hAnsi="Arial" w:cs="Arial"/>
          <w:lang w:val="en-ID"/>
        </w:rPr>
        <w:t xml:space="preserve">Leksono, B H. (2015). </w:t>
      </w:r>
      <w:r w:rsidRPr="0066797A">
        <w:rPr>
          <w:rFonts w:ascii="Arial" w:hAnsi="Arial" w:cs="Arial"/>
        </w:rPr>
        <w:t>The Effect of Compound Fertilizer Media on Chrysanthemum Seed Production (</w:t>
      </w:r>
      <w:r w:rsidRPr="00082E50">
        <w:rPr>
          <w:rFonts w:ascii="Arial" w:hAnsi="Arial" w:cs="Arial"/>
          <w:i/>
          <w:iCs/>
        </w:rPr>
        <w:t>Dendranthema Grandiflora</w:t>
      </w:r>
      <w:r w:rsidRPr="0066797A">
        <w:rPr>
          <w:rFonts w:ascii="Arial" w:hAnsi="Arial" w:cs="Arial"/>
        </w:rPr>
        <w:t xml:space="preserve"> Tzvelev) In vitro </w:t>
      </w:r>
      <w:proofErr w:type="gramStart"/>
      <w:r w:rsidRPr="0066797A">
        <w:rPr>
          <w:rFonts w:ascii="Arial" w:hAnsi="Arial" w:cs="Arial"/>
        </w:rPr>
        <w:t>( doctoral</w:t>
      </w:r>
      <w:proofErr w:type="gramEnd"/>
      <w:r w:rsidRPr="0066797A">
        <w:rPr>
          <w:rFonts w:ascii="Arial" w:hAnsi="Arial" w:cs="Arial"/>
        </w:rPr>
        <w:t xml:space="preserve"> dissertation, Universitas </w:t>
      </w:r>
      <w:proofErr w:type="spellStart"/>
      <w:r w:rsidRPr="0066797A">
        <w:rPr>
          <w:rFonts w:ascii="Arial" w:hAnsi="Arial" w:cs="Arial"/>
        </w:rPr>
        <w:t>Brawijaya</w:t>
      </w:r>
      <w:proofErr w:type="spellEnd"/>
      <w:r w:rsidRPr="0066797A">
        <w:rPr>
          <w:rFonts w:ascii="Arial" w:hAnsi="Arial" w:cs="Arial"/>
        </w:rPr>
        <w:t>). https://repository.ub.ac.id/id/eprint/130090</w:t>
      </w:r>
    </w:p>
    <w:p w14:paraId="7EFDDD9A" w14:textId="68D7695B" w:rsidR="0066797A" w:rsidRPr="0066797A" w:rsidRDefault="0066797A" w:rsidP="0066797A">
      <w:pPr>
        <w:pStyle w:val="Body"/>
        <w:ind w:left="720" w:hanging="720"/>
        <w:rPr>
          <w:rFonts w:ascii="Arial" w:hAnsi="Arial" w:cs="Arial"/>
        </w:rPr>
      </w:pPr>
      <w:r w:rsidRPr="0066797A">
        <w:rPr>
          <w:rFonts w:ascii="Arial" w:hAnsi="Arial" w:cs="Arial"/>
        </w:rPr>
        <w:t xml:space="preserve">Maharani, F. (2019). Growth and </w:t>
      </w:r>
      <w:proofErr w:type="spellStart"/>
      <w:r w:rsidRPr="0066797A">
        <w:rPr>
          <w:rFonts w:ascii="Arial" w:hAnsi="Arial" w:cs="Arial"/>
        </w:rPr>
        <w:t>Microtuber</w:t>
      </w:r>
      <w:proofErr w:type="spellEnd"/>
      <w:r w:rsidRPr="0066797A">
        <w:rPr>
          <w:rFonts w:ascii="Arial" w:hAnsi="Arial" w:cs="Arial"/>
        </w:rPr>
        <w:t xml:space="preserve"> Production of Several Types of E</w:t>
      </w:r>
      <w:r w:rsidRPr="0066797A">
        <w:t xml:space="preserve"> </w:t>
      </w:r>
      <w:r w:rsidRPr="0066797A">
        <w:rPr>
          <w:rFonts w:ascii="Arial" w:hAnsi="Arial" w:cs="Arial"/>
        </w:rPr>
        <w:t xml:space="preserve">Explant of Potato </w:t>
      </w:r>
      <w:r w:rsidRPr="00082E50">
        <w:rPr>
          <w:rFonts w:ascii="Arial" w:hAnsi="Arial" w:cs="Arial"/>
          <w:i/>
          <w:iCs/>
        </w:rPr>
        <w:t>Solanum Tuberosum</w:t>
      </w:r>
      <w:r w:rsidRPr="0066797A">
        <w:rPr>
          <w:rFonts w:ascii="Arial" w:hAnsi="Arial" w:cs="Arial"/>
        </w:rPr>
        <w:t xml:space="preserve"> L. Ap-4 Variety on Media with the Addition of Different Sucrose Concentrations In Vitro (Bachelor's thesis, Faculty of Science and Technology UIN </w:t>
      </w:r>
      <w:proofErr w:type="spellStart"/>
      <w:r w:rsidRPr="0066797A">
        <w:rPr>
          <w:rFonts w:ascii="Arial" w:hAnsi="Arial" w:cs="Arial"/>
        </w:rPr>
        <w:t>Syarif</w:t>
      </w:r>
      <w:proofErr w:type="spellEnd"/>
      <w:r w:rsidRPr="0066797A">
        <w:rPr>
          <w:rFonts w:ascii="Arial" w:hAnsi="Arial" w:cs="Arial"/>
        </w:rPr>
        <w:t xml:space="preserve"> Hidayatullah Jakarta).</w:t>
      </w:r>
      <w:r w:rsidR="00082E50">
        <w:rPr>
          <w:rFonts w:ascii="Arial" w:hAnsi="Arial" w:cs="Arial"/>
        </w:rPr>
        <w:tab/>
      </w:r>
      <w:r w:rsidRPr="0066797A">
        <w:rPr>
          <w:rFonts w:ascii="Arial" w:hAnsi="Arial" w:cs="Arial"/>
        </w:rPr>
        <w:t xml:space="preserve"> https://repository.uinjkt.ac.id/dspace/handle/123456789/55098</w:t>
      </w:r>
    </w:p>
    <w:p w14:paraId="6C2B5C2C" w14:textId="77777777" w:rsidR="0066797A" w:rsidRPr="00305399" w:rsidRDefault="0066797A" w:rsidP="0066797A">
      <w:pPr>
        <w:pStyle w:val="Body"/>
        <w:ind w:left="720" w:hanging="720"/>
        <w:rPr>
          <w:rFonts w:ascii="Arial" w:hAnsi="Arial" w:cs="Arial"/>
          <w:lang w:val="sv-SE"/>
        </w:rPr>
      </w:pPr>
      <w:proofErr w:type="spellStart"/>
      <w:r w:rsidRPr="0066797A">
        <w:rPr>
          <w:rFonts w:ascii="Arial" w:hAnsi="Arial" w:cs="Arial"/>
        </w:rPr>
        <w:t>Mardiana</w:t>
      </w:r>
      <w:proofErr w:type="spellEnd"/>
      <w:r w:rsidRPr="0066797A">
        <w:rPr>
          <w:rFonts w:ascii="Arial" w:hAnsi="Arial" w:cs="Arial"/>
        </w:rPr>
        <w:t xml:space="preserve">, Y., &amp; </w:t>
      </w:r>
      <w:proofErr w:type="spellStart"/>
      <w:r w:rsidRPr="0066797A">
        <w:rPr>
          <w:rFonts w:ascii="Arial" w:hAnsi="Arial" w:cs="Arial"/>
        </w:rPr>
        <w:t>Sumarji</w:t>
      </w:r>
      <w:proofErr w:type="spellEnd"/>
      <w:r w:rsidRPr="0066797A">
        <w:rPr>
          <w:rFonts w:ascii="Arial" w:hAnsi="Arial" w:cs="Arial"/>
        </w:rPr>
        <w:t>. (2022). Effect of lighting and sucrose concentration on the growth and production of potato micro tubers (</w:t>
      </w:r>
      <w:r w:rsidRPr="00082E50">
        <w:rPr>
          <w:rFonts w:ascii="Arial" w:hAnsi="Arial" w:cs="Arial"/>
          <w:i/>
          <w:iCs/>
        </w:rPr>
        <w:t>Solanum tuberosum</w:t>
      </w:r>
      <w:r w:rsidRPr="0066797A">
        <w:rPr>
          <w:rFonts w:ascii="Arial" w:hAnsi="Arial" w:cs="Arial"/>
        </w:rPr>
        <w:t xml:space="preserve"> L.). </w:t>
      </w:r>
      <w:r w:rsidRPr="00082E50">
        <w:rPr>
          <w:rFonts w:ascii="Arial" w:hAnsi="Arial" w:cs="Arial"/>
          <w:i/>
          <w:iCs/>
          <w:lang w:val="sv-SE"/>
        </w:rPr>
        <w:t>Jurnal Multidisiplin Madani</w:t>
      </w:r>
      <w:r w:rsidRPr="00305399">
        <w:rPr>
          <w:rFonts w:ascii="Arial" w:hAnsi="Arial" w:cs="Arial"/>
          <w:lang w:val="sv-SE"/>
        </w:rPr>
        <w:t>, 2(6), 2963–2976. https://doi.org/10.55927/mudima.v2i6.583</w:t>
      </w:r>
    </w:p>
    <w:p w14:paraId="567BEE4E" w14:textId="77777777" w:rsidR="0066797A" w:rsidRPr="0066797A" w:rsidRDefault="0066797A" w:rsidP="0066797A">
      <w:pPr>
        <w:pStyle w:val="Body"/>
        <w:ind w:left="720" w:hanging="720"/>
        <w:rPr>
          <w:rFonts w:ascii="Arial" w:hAnsi="Arial" w:cs="Arial"/>
        </w:rPr>
      </w:pPr>
      <w:r w:rsidRPr="00305399">
        <w:rPr>
          <w:rFonts w:ascii="Arial" w:hAnsi="Arial" w:cs="Arial"/>
          <w:lang w:val="sv-SE"/>
        </w:rPr>
        <w:t xml:space="preserve">Murashige, T., &amp; Skoog, F. (1962). </w:t>
      </w:r>
      <w:r w:rsidRPr="0066797A">
        <w:rPr>
          <w:rFonts w:ascii="Arial" w:hAnsi="Arial" w:cs="Arial"/>
        </w:rPr>
        <w:t xml:space="preserve">A revised medium for rapid growth and bio assays with tobacco tissue cultures. </w:t>
      </w:r>
      <w:proofErr w:type="spellStart"/>
      <w:r w:rsidRPr="0066797A">
        <w:rPr>
          <w:rFonts w:ascii="Arial" w:hAnsi="Arial" w:cs="Arial"/>
        </w:rPr>
        <w:t>Physiologia</w:t>
      </w:r>
      <w:proofErr w:type="spellEnd"/>
      <w:r w:rsidRPr="0066797A">
        <w:rPr>
          <w:rFonts w:ascii="Arial" w:hAnsi="Arial" w:cs="Arial"/>
        </w:rPr>
        <w:t xml:space="preserve"> plantarum, 15(3). https://doi.org/10.1111/j.1399-3054.1962.tb08052.x</w:t>
      </w:r>
    </w:p>
    <w:p w14:paraId="6B721CF2" w14:textId="77777777" w:rsidR="0066797A" w:rsidRPr="00305399" w:rsidRDefault="0066797A" w:rsidP="0066797A">
      <w:pPr>
        <w:pStyle w:val="Body"/>
        <w:ind w:left="720" w:hanging="720"/>
        <w:rPr>
          <w:rFonts w:ascii="Arial" w:hAnsi="Arial" w:cs="Arial"/>
          <w:lang w:val="sv-SE"/>
        </w:rPr>
      </w:pPr>
      <w:r w:rsidRPr="0066797A">
        <w:rPr>
          <w:rFonts w:ascii="Arial" w:hAnsi="Arial" w:cs="Arial"/>
        </w:rPr>
        <w:t xml:space="preserve">Nabila, M., </w:t>
      </w:r>
      <w:proofErr w:type="spellStart"/>
      <w:r w:rsidRPr="0066797A">
        <w:rPr>
          <w:rFonts w:ascii="Arial" w:hAnsi="Arial" w:cs="Arial"/>
        </w:rPr>
        <w:t>Alzami</w:t>
      </w:r>
      <w:proofErr w:type="spellEnd"/>
      <w:r w:rsidRPr="0066797A">
        <w:rPr>
          <w:rFonts w:ascii="Arial" w:hAnsi="Arial" w:cs="Arial"/>
        </w:rPr>
        <w:t xml:space="preserve">, F., Megantara, R.A., </w:t>
      </w:r>
      <w:proofErr w:type="spellStart"/>
      <w:r w:rsidRPr="0066797A">
        <w:rPr>
          <w:rFonts w:ascii="Arial" w:hAnsi="Arial" w:cs="Arial"/>
        </w:rPr>
        <w:t>Tananto</w:t>
      </w:r>
      <w:proofErr w:type="spellEnd"/>
      <w:r w:rsidRPr="0066797A">
        <w:rPr>
          <w:rFonts w:ascii="Arial" w:hAnsi="Arial" w:cs="Arial"/>
        </w:rPr>
        <w:t xml:space="preserve">, F.F., Syafrudin, H.A., Handoko, L.B., &amp; </w:t>
      </w:r>
      <w:proofErr w:type="spellStart"/>
      <w:r w:rsidRPr="0066797A">
        <w:rPr>
          <w:rFonts w:ascii="Arial" w:hAnsi="Arial" w:cs="Arial"/>
        </w:rPr>
        <w:t>Umam</w:t>
      </w:r>
      <w:proofErr w:type="spellEnd"/>
      <w:r w:rsidRPr="0066797A">
        <w:rPr>
          <w:rFonts w:ascii="Arial" w:hAnsi="Arial" w:cs="Arial"/>
        </w:rPr>
        <w:t xml:space="preserve">, C. (2023). Implementation of a supply chain management system blockchain based in red onion farming. </w:t>
      </w:r>
      <w:r w:rsidRPr="00642390">
        <w:rPr>
          <w:rFonts w:ascii="Arial" w:hAnsi="Arial" w:cs="Arial"/>
          <w:i/>
          <w:iCs/>
          <w:lang w:val="sv-SE"/>
        </w:rPr>
        <w:t>Jurnal Ilmiah Merpati (Menara Penelitian Akademika Teknologi Informasi),</w:t>
      </w:r>
      <w:r w:rsidRPr="00305399">
        <w:rPr>
          <w:rFonts w:ascii="Arial" w:hAnsi="Arial" w:cs="Arial"/>
          <w:lang w:val="sv-SE"/>
        </w:rPr>
        <w:t xml:space="preserve"> 11(1), 13. https://doi.org/10.24843/JIM.2023.V11.I01.P02</w:t>
      </w:r>
    </w:p>
    <w:p w14:paraId="331F7215" w14:textId="77777777" w:rsidR="0066797A" w:rsidRPr="0066797A" w:rsidRDefault="0066797A" w:rsidP="0066797A">
      <w:pPr>
        <w:pStyle w:val="Body"/>
        <w:ind w:left="720" w:hanging="720"/>
        <w:rPr>
          <w:rFonts w:ascii="Arial" w:hAnsi="Arial" w:cs="Arial"/>
        </w:rPr>
      </w:pPr>
      <w:r w:rsidRPr="0066797A">
        <w:rPr>
          <w:rFonts w:ascii="Arial" w:hAnsi="Arial" w:cs="Arial"/>
        </w:rPr>
        <w:lastRenderedPageBreak/>
        <w:t xml:space="preserve">Prakoso, T., &amp; </w:t>
      </w:r>
      <w:proofErr w:type="spellStart"/>
      <w:r w:rsidRPr="0066797A">
        <w:rPr>
          <w:rFonts w:ascii="Arial" w:hAnsi="Arial" w:cs="Arial"/>
        </w:rPr>
        <w:t>Alpandari</w:t>
      </w:r>
      <w:proofErr w:type="spellEnd"/>
      <w:r w:rsidRPr="0066797A">
        <w:rPr>
          <w:rFonts w:ascii="Arial" w:hAnsi="Arial" w:cs="Arial"/>
        </w:rPr>
        <w:t>, H. (2021). The potential of using shallot (</w:t>
      </w:r>
      <w:r w:rsidRPr="00642390">
        <w:rPr>
          <w:rFonts w:ascii="Arial" w:hAnsi="Arial" w:cs="Arial"/>
          <w:i/>
          <w:iCs/>
        </w:rPr>
        <w:t>Allium ascalonicum</w:t>
      </w:r>
      <w:r w:rsidRPr="0066797A">
        <w:rPr>
          <w:rFonts w:ascii="Arial" w:hAnsi="Arial" w:cs="Arial"/>
        </w:rPr>
        <w:t xml:space="preserve"> L.) planting material through the TSS (True Shallot Seed) planting technique. </w:t>
      </w:r>
      <w:proofErr w:type="spellStart"/>
      <w:r w:rsidRPr="00642390">
        <w:rPr>
          <w:rFonts w:ascii="Arial" w:hAnsi="Arial" w:cs="Arial"/>
          <w:i/>
          <w:iCs/>
        </w:rPr>
        <w:t>Agrisintech</w:t>
      </w:r>
      <w:proofErr w:type="spellEnd"/>
      <w:r w:rsidRPr="00642390">
        <w:rPr>
          <w:rFonts w:ascii="Arial" w:hAnsi="Arial" w:cs="Arial"/>
          <w:i/>
          <w:iCs/>
        </w:rPr>
        <w:t xml:space="preserve"> (Journal of Agribusiness and Agrotechnology),</w:t>
      </w:r>
      <w:r w:rsidRPr="0066797A">
        <w:rPr>
          <w:rFonts w:ascii="Arial" w:hAnsi="Arial" w:cs="Arial"/>
        </w:rPr>
        <w:t xml:space="preserve"> 2(2), 59-66. https://doi.org/10.31938/agrisintech.v2i2.350</w:t>
      </w:r>
    </w:p>
    <w:p w14:paraId="58686FE9" w14:textId="77777777" w:rsidR="0066797A" w:rsidRPr="0066797A" w:rsidRDefault="0066797A" w:rsidP="0066797A">
      <w:pPr>
        <w:pStyle w:val="Body"/>
        <w:ind w:left="720" w:hanging="720"/>
        <w:rPr>
          <w:rFonts w:ascii="Arial" w:hAnsi="Arial" w:cs="Arial"/>
        </w:rPr>
      </w:pPr>
      <w:r w:rsidRPr="0066797A">
        <w:rPr>
          <w:rFonts w:ascii="Arial" w:hAnsi="Arial" w:cs="Arial"/>
        </w:rPr>
        <w:t xml:space="preserve">Putri, D.R. (2024). Growth Response of True Shallot Seeds (TSS) to BAP and Sucrose Concentrations In Vitro. (Undergraduate Thesis, </w:t>
      </w:r>
      <w:proofErr w:type="spellStart"/>
      <w:r w:rsidRPr="0066797A">
        <w:rPr>
          <w:rFonts w:ascii="Arial" w:hAnsi="Arial" w:cs="Arial"/>
        </w:rPr>
        <w:t>Agroecotechnology</w:t>
      </w:r>
      <w:proofErr w:type="spellEnd"/>
      <w:r w:rsidRPr="0066797A">
        <w:rPr>
          <w:rFonts w:ascii="Arial" w:hAnsi="Arial" w:cs="Arial"/>
        </w:rPr>
        <w:t xml:space="preserve"> Study Program, Department of Agricultural Cultivation, Faculty of Agriculture, Bengkulu University, Bengkulu).</w:t>
      </w:r>
    </w:p>
    <w:p w14:paraId="399A2725"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Rahmawidowati</w:t>
      </w:r>
      <w:proofErr w:type="spellEnd"/>
      <w:r w:rsidRPr="0066797A">
        <w:rPr>
          <w:rFonts w:ascii="Arial" w:hAnsi="Arial" w:cs="Arial"/>
        </w:rPr>
        <w:t xml:space="preserve">, F., </w:t>
      </w:r>
      <w:proofErr w:type="spellStart"/>
      <w:r w:rsidRPr="0066797A">
        <w:rPr>
          <w:rFonts w:ascii="Arial" w:hAnsi="Arial" w:cs="Arial"/>
        </w:rPr>
        <w:t>Nurliana</w:t>
      </w:r>
      <w:proofErr w:type="spellEnd"/>
      <w:r w:rsidRPr="0066797A">
        <w:rPr>
          <w:rFonts w:ascii="Arial" w:hAnsi="Arial" w:cs="Arial"/>
        </w:rPr>
        <w:t xml:space="preserve">, S., </w:t>
      </w:r>
      <w:proofErr w:type="spellStart"/>
      <w:r w:rsidRPr="0066797A">
        <w:rPr>
          <w:rFonts w:ascii="Arial" w:hAnsi="Arial" w:cs="Arial"/>
        </w:rPr>
        <w:t>Satriawan</w:t>
      </w:r>
      <w:proofErr w:type="spellEnd"/>
      <w:r w:rsidRPr="0066797A">
        <w:rPr>
          <w:rFonts w:ascii="Arial" w:hAnsi="Arial" w:cs="Arial"/>
        </w:rPr>
        <w:t>, D., Astuti, R. S., &amp; Marlin, M. (2022). The Effect of 6-Benzyl Amino Purine (BAP) and Sucrose Concentration on the Growth and Development of Dendrobium Sp. Woo Leng Orchid Subculture In Vitro. In Proceedings of SNPBS (National Seminar on Biology Education and Science and Technology) (pp. 94-103). https://proceedings.ums.ac.id/snpbs/article/view/1746</w:t>
      </w:r>
    </w:p>
    <w:p w14:paraId="69DC86B0"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Rinawati</w:t>
      </w:r>
      <w:proofErr w:type="spellEnd"/>
      <w:r w:rsidRPr="0066797A">
        <w:rPr>
          <w:rFonts w:ascii="Arial" w:hAnsi="Arial" w:cs="Arial"/>
        </w:rPr>
        <w:t>. (2023). Analysis of Shallot Commodity Trade Performance. Center for Data and Agricultural Information Systems, Ministry of Agriculture.</w:t>
      </w:r>
    </w:p>
    <w:p w14:paraId="4C27FC62" w14:textId="77777777" w:rsidR="0066797A" w:rsidRPr="0066797A" w:rsidRDefault="0066797A" w:rsidP="0066797A">
      <w:pPr>
        <w:pStyle w:val="Body"/>
        <w:ind w:left="720" w:hanging="720"/>
        <w:rPr>
          <w:rFonts w:ascii="Arial" w:hAnsi="Arial" w:cs="Arial"/>
        </w:rPr>
      </w:pPr>
      <w:r w:rsidRPr="00305399">
        <w:rPr>
          <w:rFonts w:ascii="Arial" w:hAnsi="Arial" w:cs="Arial"/>
          <w:lang w:val="sv-SE"/>
        </w:rPr>
        <w:t xml:space="preserve">Rosmaina, R., Endika, R., &amp; Zulfahmi, Z. (2021). </w:t>
      </w:r>
      <w:r w:rsidRPr="0066797A">
        <w:rPr>
          <w:rFonts w:ascii="Arial" w:hAnsi="Arial" w:cs="Arial"/>
        </w:rPr>
        <w:t>Study of the effect of alternative media for in vitro propagation of Barangan banana (</w:t>
      </w:r>
      <w:r w:rsidRPr="00727D91">
        <w:rPr>
          <w:rFonts w:ascii="Arial" w:hAnsi="Arial" w:cs="Arial"/>
          <w:i/>
          <w:iCs/>
        </w:rPr>
        <w:t>Musa acuminata</w:t>
      </w:r>
      <w:r w:rsidRPr="0066797A">
        <w:rPr>
          <w:rFonts w:ascii="Arial" w:hAnsi="Arial" w:cs="Arial"/>
        </w:rPr>
        <w:t xml:space="preserve"> L.). </w:t>
      </w:r>
      <w:r w:rsidRPr="00727D91">
        <w:rPr>
          <w:rFonts w:ascii="Arial" w:hAnsi="Arial" w:cs="Arial"/>
          <w:i/>
          <w:iCs/>
        </w:rPr>
        <w:t xml:space="preserve">Journal of Agrotechnology, </w:t>
      </w:r>
      <w:r w:rsidRPr="0066797A">
        <w:rPr>
          <w:rFonts w:ascii="Arial" w:hAnsi="Arial" w:cs="Arial"/>
        </w:rPr>
        <w:t>12(1), 33-40. http://dx.doi.org/10.24014/ja.v12i1.12425</w:t>
      </w:r>
    </w:p>
    <w:p w14:paraId="350A0B67" w14:textId="58E88E49" w:rsidR="0066797A" w:rsidRDefault="0066797A" w:rsidP="0066797A">
      <w:pPr>
        <w:pStyle w:val="Body"/>
        <w:ind w:left="720" w:hanging="720"/>
        <w:rPr>
          <w:rFonts w:ascii="Arial" w:hAnsi="Arial" w:cs="Arial"/>
        </w:rPr>
      </w:pPr>
      <w:proofErr w:type="spellStart"/>
      <w:r w:rsidRPr="0066797A">
        <w:rPr>
          <w:rFonts w:ascii="Arial" w:hAnsi="Arial" w:cs="Arial"/>
        </w:rPr>
        <w:t>Samudera</w:t>
      </w:r>
      <w:proofErr w:type="spellEnd"/>
      <w:r w:rsidRPr="0066797A">
        <w:rPr>
          <w:rFonts w:ascii="Arial" w:hAnsi="Arial" w:cs="Arial"/>
        </w:rPr>
        <w:t xml:space="preserve">, A. A., Rianto, H., &amp; </w:t>
      </w:r>
      <w:proofErr w:type="spellStart"/>
      <w:r w:rsidRPr="0066797A">
        <w:rPr>
          <w:rFonts w:ascii="Arial" w:hAnsi="Arial" w:cs="Arial"/>
        </w:rPr>
        <w:t>Historiawati</w:t>
      </w:r>
      <w:proofErr w:type="spellEnd"/>
      <w:r w:rsidRPr="0066797A">
        <w:rPr>
          <w:rFonts w:ascii="Arial" w:hAnsi="Arial" w:cs="Arial"/>
        </w:rPr>
        <w:t>, H. (2019). In vitro rooting of sugarcane explants (</w:t>
      </w:r>
      <w:r w:rsidRPr="00727D91">
        <w:rPr>
          <w:rFonts w:ascii="Arial" w:hAnsi="Arial" w:cs="Arial"/>
          <w:i/>
          <w:iCs/>
        </w:rPr>
        <w:t>Saccharum officinarum</w:t>
      </w:r>
      <w:r w:rsidRPr="0066797A">
        <w:rPr>
          <w:rFonts w:ascii="Arial" w:hAnsi="Arial" w:cs="Arial"/>
        </w:rPr>
        <w:t xml:space="preserve"> L.) </w:t>
      </w:r>
      <w:proofErr w:type="spellStart"/>
      <w:r w:rsidRPr="0066797A">
        <w:rPr>
          <w:rFonts w:ascii="Arial" w:hAnsi="Arial" w:cs="Arial"/>
        </w:rPr>
        <w:t>Bululawang</w:t>
      </w:r>
      <w:proofErr w:type="spellEnd"/>
      <w:r w:rsidRPr="0066797A">
        <w:rPr>
          <w:rFonts w:ascii="Arial" w:hAnsi="Arial" w:cs="Arial"/>
        </w:rPr>
        <w:t xml:space="preserve"> variety at various concentrations of NAA and sucrose on sugarcane plantlet growth. Vigor: </w:t>
      </w:r>
      <w:r w:rsidRPr="00727D91">
        <w:rPr>
          <w:rFonts w:ascii="Arial" w:hAnsi="Arial" w:cs="Arial"/>
          <w:i/>
          <w:iCs/>
        </w:rPr>
        <w:t>Journal of Tropical and Subtropical Agricultural Sciences</w:t>
      </w:r>
      <w:r w:rsidRPr="0066797A">
        <w:rPr>
          <w:rFonts w:ascii="Arial" w:hAnsi="Arial" w:cs="Arial"/>
        </w:rPr>
        <w:t>, 4(1), 5-13.</w:t>
      </w:r>
      <w:r w:rsidR="00727D91">
        <w:rPr>
          <w:rFonts w:ascii="Arial" w:hAnsi="Arial" w:cs="Arial"/>
        </w:rPr>
        <w:tab/>
      </w:r>
      <w:r w:rsidRPr="0066797A">
        <w:rPr>
          <w:rFonts w:ascii="Arial" w:hAnsi="Arial" w:cs="Arial"/>
        </w:rPr>
        <w:t xml:space="preserve"> https://doi.org/10.31002/vigor.v4i1.1306</w:t>
      </w:r>
    </w:p>
    <w:p w14:paraId="1505A69C" w14:textId="646053B8" w:rsidR="00EC1F94" w:rsidRPr="00EC1F94" w:rsidRDefault="00EC1F94" w:rsidP="00EC1F94">
      <w:pPr>
        <w:pStyle w:val="Body"/>
        <w:ind w:left="720" w:hanging="720"/>
        <w:rPr>
          <w:rFonts w:ascii="Arial" w:hAnsi="Arial" w:cs="Arial"/>
          <w:lang w:val="en-ID"/>
        </w:rPr>
      </w:pPr>
      <w:proofErr w:type="spellStart"/>
      <w:r w:rsidRPr="00EC1F94">
        <w:rPr>
          <w:rFonts w:ascii="Arial" w:hAnsi="Arial" w:cs="Arial"/>
          <w:lang w:val="en-ID"/>
        </w:rPr>
        <w:t>Somowiyarjo</w:t>
      </w:r>
      <w:proofErr w:type="spellEnd"/>
      <w:r w:rsidRPr="00EC1F94">
        <w:rPr>
          <w:rFonts w:ascii="Arial" w:hAnsi="Arial" w:cs="Arial"/>
          <w:lang w:val="en-ID"/>
        </w:rPr>
        <w:t xml:space="preserve">, S. (2021). </w:t>
      </w:r>
      <w:r w:rsidRPr="00EC1F94">
        <w:rPr>
          <w:rFonts w:ascii="Arial" w:hAnsi="Arial" w:cs="Arial"/>
          <w:i/>
          <w:iCs/>
          <w:lang w:val="en-ID"/>
        </w:rPr>
        <w:t>Weed Aspects in Tropical Plant Protection</w:t>
      </w:r>
      <w:r w:rsidRPr="00EC1F94">
        <w:rPr>
          <w:rFonts w:ascii="Arial" w:hAnsi="Arial" w:cs="Arial"/>
          <w:lang w:val="en-ID"/>
        </w:rPr>
        <w:t>. UGM Press.</w:t>
      </w:r>
      <w:r w:rsidR="005A27F4" w:rsidRPr="005A27F4">
        <w:t xml:space="preserve"> </w:t>
      </w:r>
      <w:r w:rsidR="005A27F4" w:rsidRPr="005A27F4">
        <w:rPr>
          <w:rFonts w:ascii="Arial" w:hAnsi="Arial" w:cs="Arial"/>
          <w:lang w:val="en-ID"/>
        </w:rPr>
        <w:t>https://books.google.co.id/books?id=u3tJEAAAQBAJ&amp;printsec=copyright&amp;hl=id&amp;source=gbs_pub_info_r</w:t>
      </w:r>
    </w:p>
    <w:p w14:paraId="5D64330D" w14:textId="77777777" w:rsidR="0066797A" w:rsidRPr="00305399" w:rsidRDefault="0066797A" w:rsidP="0066797A">
      <w:pPr>
        <w:pStyle w:val="Body"/>
        <w:ind w:left="720" w:hanging="720"/>
        <w:rPr>
          <w:rFonts w:ascii="Arial" w:hAnsi="Arial" w:cs="Arial"/>
          <w:lang w:val="sv-SE"/>
        </w:rPr>
      </w:pPr>
      <w:r w:rsidRPr="0066797A">
        <w:rPr>
          <w:rFonts w:ascii="Arial" w:hAnsi="Arial" w:cs="Arial"/>
        </w:rPr>
        <w:t xml:space="preserve">Sopha, G. A., &amp; Basuki, R.S. (2017). Optimization of seed coating materials in direct planting cultivation of True Shallot Seed (TSS). </w:t>
      </w:r>
      <w:r w:rsidRPr="00727D91">
        <w:rPr>
          <w:rFonts w:ascii="Arial" w:hAnsi="Arial" w:cs="Arial"/>
          <w:i/>
          <w:iCs/>
          <w:lang w:val="sv-SE"/>
        </w:rPr>
        <w:t>Galung Tropika Journal</w:t>
      </w:r>
      <w:r w:rsidRPr="00305399">
        <w:rPr>
          <w:rFonts w:ascii="Arial" w:hAnsi="Arial" w:cs="Arial"/>
          <w:lang w:val="sv-SE"/>
        </w:rPr>
        <w:t>, 6(3), 154–161. https://doi.org/10.31850/jgt.v6i3.245</w:t>
      </w:r>
    </w:p>
    <w:p w14:paraId="6807623F" w14:textId="77777777" w:rsidR="0066797A" w:rsidRPr="0066797A" w:rsidRDefault="0066797A" w:rsidP="0066797A">
      <w:pPr>
        <w:pStyle w:val="Body"/>
        <w:ind w:left="720" w:hanging="720"/>
        <w:rPr>
          <w:rFonts w:ascii="Arial" w:hAnsi="Arial" w:cs="Arial"/>
        </w:rPr>
      </w:pPr>
      <w:r w:rsidRPr="00305399">
        <w:rPr>
          <w:rFonts w:ascii="Arial" w:hAnsi="Arial" w:cs="Arial"/>
          <w:lang w:val="sv-SE"/>
        </w:rPr>
        <w:t xml:space="preserve">Sopha, G. A., Syakir, M., Setiawati, W., &amp; Sumarni, N. (2017). </w:t>
      </w:r>
      <w:r w:rsidRPr="0066797A">
        <w:rPr>
          <w:rFonts w:ascii="Arial" w:hAnsi="Arial" w:cs="Arial"/>
        </w:rPr>
        <w:t xml:space="preserve">Planting techniques for shallot seeds from True Shallot Seed in suboptimal land. </w:t>
      </w:r>
      <w:r w:rsidRPr="007D2342">
        <w:rPr>
          <w:rFonts w:ascii="Arial" w:hAnsi="Arial" w:cs="Arial"/>
          <w:i/>
          <w:iCs/>
        </w:rPr>
        <w:t>Journal of Horticulture</w:t>
      </w:r>
      <w:r w:rsidRPr="0066797A">
        <w:rPr>
          <w:rFonts w:ascii="Arial" w:hAnsi="Arial" w:cs="Arial"/>
        </w:rPr>
        <w:t>, 27(1), 35-44. https://doi.org/10.21082/jhort.v27n1.2017.p35-44</w:t>
      </w:r>
    </w:p>
    <w:p w14:paraId="7E50F3A2"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Sumihar</w:t>
      </w:r>
      <w:proofErr w:type="spellEnd"/>
      <w:r w:rsidRPr="0066797A">
        <w:rPr>
          <w:rFonts w:ascii="Arial" w:hAnsi="Arial" w:cs="Arial"/>
        </w:rPr>
        <w:t xml:space="preserve">, S. T. T., Siahaan, F. R., </w:t>
      </w:r>
      <w:proofErr w:type="spellStart"/>
      <w:r w:rsidRPr="0066797A">
        <w:rPr>
          <w:rFonts w:ascii="Arial" w:hAnsi="Arial" w:cs="Arial"/>
        </w:rPr>
        <w:t>Pujiastuti</w:t>
      </w:r>
      <w:proofErr w:type="spellEnd"/>
      <w:r w:rsidRPr="0066797A">
        <w:rPr>
          <w:rFonts w:ascii="Arial" w:hAnsi="Arial" w:cs="Arial"/>
        </w:rPr>
        <w:t>, E. S., &amp; Laia, D. A. S. (2021). Foliar fertilizer as a nutrient source for in vitro culture media of Raja Bulu banana (</w:t>
      </w:r>
      <w:r w:rsidRPr="007D2342">
        <w:rPr>
          <w:rFonts w:ascii="Arial" w:hAnsi="Arial" w:cs="Arial"/>
          <w:i/>
          <w:iCs/>
        </w:rPr>
        <w:t>Musa paradisiaca</w:t>
      </w:r>
      <w:r w:rsidRPr="0066797A">
        <w:rPr>
          <w:rFonts w:ascii="Arial" w:hAnsi="Arial" w:cs="Arial"/>
        </w:rPr>
        <w:t xml:space="preserve"> L. cv. Raja Bulu) propagation. </w:t>
      </w:r>
      <w:r w:rsidRPr="007D2342">
        <w:rPr>
          <w:rFonts w:ascii="Arial" w:hAnsi="Arial" w:cs="Arial"/>
          <w:i/>
          <w:iCs/>
        </w:rPr>
        <w:t>Journal of Agricultural Sciences</w:t>
      </w:r>
      <w:r w:rsidRPr="0066797A">
        <w:rPr>
          <w:rFonts w:ascii="Arial" w:hAnsi="Arial" w:cs="Arial"/>
        </w:rPr>
        <w:t>, 9(2), 89-94. https://www.academia.edu/download/93417880/483375914.pdf</w:t>
      </w:r>
    </w:p>
    <w:p w14:paraId="3DB7C53B" w14:textId="77777777" w:rsidR="0066797A" w:rsidRDefault="0066797A" w:rsidP="0066797A">
      <w:pPr>
        <w:pStyle w:val="Body"/>
        <w:ind w:left="720" w:hanging="720"/>
        <w:rPr>
          <w:rFonts w:ascii="Arial" w:hAnsi="Arial" w:cs="Arial"/>
          <w:lang w:val="sv-SE"/>
        </w:rPr>
      </w:pPr>
      <w:proofErr w:type="spellStart"/>
      <w:r w:rsidRPr="0066797A">
        <w:rPr>
          <w:rFonts w:ascii="Arial" w:hAnsi="Arial" w:cs="Arial"/>
        </w:rPr>
        <w:t>Trinawaty</w:t>
      </w:r>
      <w:proofErr w:type="spellEnd"/>
      <w:r w:rsidRPr="0066797A">
        <w:rPr>
          <w:rFonts w:ascii="Arial" w:hAnsi="Arial" w:cs="Arial"/>
        </w:rPr>
        <w:t>, M., &amp; Fitriani, N. (2016). The effect of various foliar fertilizers on the growth of axillary shoots of sweet potato (</w:t>
      </w:r>
      <w:r w:rsidRPr="007D2342">
        <w:rPr>
          <w:rFonts w:ascii="Arial" w:hAnsi="Arial" w:cs="Arial"/>
          <w:i/>
          <w:iCs/>
        </w:rPr>
        <w:t>Ipomoea batatas</w:t>
      </w:r>
      <w:r w:rsidRPr="0066797A">
        <w:rPr>
          <w:rFonts w:ascii="Arial" w:hAnsi="Arial" w:cs="Arial"/>
        </w:rPr>
        <w:t xml:space="preserve"> L.) </w:t>
      </w:r>
      <w:r w:rsidRPr="00305399">
        <w:rPr>
          <w:rFonts w:ascii="Arial" w:hAnsi="Arial" w:cs="Arial"/>
          <w:lang w:val="sv-SE"/>
        </w:rPr>
        <w:t xml:space="preserve">Cilembu variety In vitro. </w:t>
      </w:r>
      <w:r w:rsidRPr="007D2342">
        <w:rPr>
          <w:rFonts w:ascii="Arial" w:hAnsi="Arial" w:cs="Arial"/>
          <w:i/>
          <w:iCs/>
          <w:lang w:val="sv-SE"/>
        </w:rPr>
        <w:t>Jurnal Agroekoteknologi,</w:t>
      </w:r>
      <w:r w:rsidRPr="00305399">
        <w:rPr>
          <w:rFonts w:ascii="Arial" w:hAnsi="Arial" w:cs="Arial"/>
          <w:lang w:val="sv-SE"/>
        </w:rPr>
        <w:t xml:space="preserve"> 8(2). https://dx.doi.org/10.33512/j.agrtek.v8i2.1483</w:t>
      </w:r>
    </w:p>
    <w:p w14:paraId="4AFDAE99" w14:textId="77777777" w:rsidR="001F0198" w:rsidRPr="00305399" w:rsidRDefault="001F0198" w:rsidP="0066797A">
      <w:pPr>
        <w:pStyle w:val="Body"/>
        <w:ind w:left="720" w:hanging="720"/>
        <w:rPr>
          <w:rFonts w:ascii="Arial" w:hAnsi="Arial" w:cs="Arial"/>
          <w:lang w:val="sv-SE"/>
        </w:rPr>
      </w:pPr>
    </w:p>
    <w:p w14:paraId="4E163B75" w14:textId="77777777" w:rsidR="0066797A" w:rsidRPr="0066797A" w:rsidRDefault="0066797A" w:rsidP="0066797A">
      <w:pPr>
        <w:pStyle w:val="Body"/>
        <w:ind w:left="720" w:hanging="720"/>
        <w:rPr>
          <w:rFonts w:ascii="Arial" w:hAnsi="Arial" w:cs="Arial"/>
        </w:rPr>
      </w:pPr>
      <w:r w:rsidRPr="00305399">
        <w:rPr>
          <w:rFonts w:ascii="Arial" w:hAnsi="Arial" w:cs="Arial"/>
          <w:lang w:val="sv-SE"/>
        </w:rPr>
        <w:lastRenderedPageBreak/>
        <w:t xml:space="preserve">Triyastuti, N., Rahayu, E. S., &amp; Widiatningrum, T. (2018). </w:t>
      </w:r>
      <w:r w:rsidRPr="0066797A">
        <w:rPr>
          <w:rFonts w:ascii="Arial" w:hAnsi="Arial" w:cs="Arial"/>
        </w:rPr>
        <w:t>Optimization of chrysanthemum plantlet growth through increased bottle cap permeability and decreased sucrose concentration</w:t>
      </w:r>
      <w:r w:rsidRPr="007D2342">
        <w:rPr>
          <w:rFonts w:ascii="Arial" w:hAnsi="Arial" w:cs="Arial"/>
          <w:i/>
          <w:iCs/>
        </w:rPr>
        <w:t>. Indonesian Journal of Mathematics and Natural Sciences</w:t>
      </w:r>
      <w:r w:rsidRPr="0066797A">
        <w:rPr>
          <w:rFonts w:ascii="Arial" w:hAnsi="Arial" w:cs="Arial"/>
        </w:rPr>
        <w:t>, 41(1), 20-26. http://journal.unnes.ac.id/nju/index.php/JM</w:t>
      </w:r>
    </w:p>
    <w:p w14:paraId="45F3CBE0" w14:textId="77777777" w:rsidR="0066797A" w:rsidRPr="0066797A" w:rsidRDefault="0066797A" w:rsidP="0066797A">
      <w:pPr>
        <w:pStyle w:val="Body"/>
        <w:ind w:left="720" w:hanging="720"/>
        <w:rPr>
          <w:rFonts w:ascii="Arial" w:hAnsi="Arial" w:cs="Arial"/>
        </w:rPr>
      </w:pPr>
      <w:r w:rsidRPr="00305399">
        <w:rPr>
          <w:rFonts w:ascii="Arial" w:hAnsi="Arial" w:cs="Arial"/>
          <w:lang w:val="sv-SE"/>
        </w:rPr>
        <w:t xml:space="preserve">Utomo, A. R., &amp; Yunus, A. (2021). </w:t>
      </w:r>
      <w:r w:rsidRPr="0066797A">
        <w:rPr>
          <w:rFonts w:ascii="Arial" w:hAnsi="Arial" w:cs="Arial"/>
        </w:rPr>
        <w:t xml:space="preserve">The effect of Murashige and Skoog (MS) and NPK compound fertilizer media composition on growth of Ambon banana plants in vitro. </w:t>
      </w:r>
      <w:r w:rsidRPr="00C848A8">
        <w:rPr>
          <w:rFonts w:ascii="Arial" w:hAnsi="Arial" w:cs="Arial"/>
          <w:i/>
          <w:iCs/>
        </w:rPr>
        <w:t>In IOP Conference Series: Earth and Environmental Science</w:t>
      </w:r>
      <w:r w:rsidRPr="0066797A">
        <w:rPr>
          <w:rFonts w:ascii="Arial" w:hAnsi="Arial" w:cs="Arial"/>
        </w:rPr>
        <w:t xml:space="preserve"> (Vol. 637, No. 1, p. 012013). IOP Publishing. https://doi.org/10.1088/1755-1315/637/1/012013</w:t>
      </w:r>
    </w:p>
    <w:p w14:paraId="51D0A844" w14:textId="3AE936E1" w:rsidR="0066797A" w:rsidRPr="0066797A" w:rsidRDefault="0066797A" w:rsidP="0066797A">
      <w:pPr>
        <w:pStyle w:val="Body"/>
        <w:ind w:left="720" w:hanging="720"/>
        <w:rPr>
          <w:rFonts w:ascii="Arial" w:hAnsi="Arial" w:cs="Arial"/>
        </w:rPr>
      </w:pPr>
      <w:proofErr w:type="spellStart"/>
      <w:r w:rsidRPr="0066797A">
        <w:rPr>
          <w:rFonts w:ascii="Arial" w:hAnsi="Arial" w:cs="Arial"/>
        </w:rPr>
        <w:t>Vallepy</w:t>
      </w:r>
      <w:proofErr w:type="spellEnd"/>
      <w:r w:rsidRPr="0066797A">
        <w:rPr>
          <w:rFonts w:ascii="Arial" w:hAnsi="Arial" w:cs="Arial"/>
        </w:rPr>
        <w:t xml:space="preserve">, A., Yeni, Y., Ali, F., &amp; </w:t>
      </w:r>
      <w:proofErr w:type="spellStart"/>
      <w:r w:rsidRPr="0066797A">
        <w:rPr>
          <w:rFonts w:ascii="Arial" w:hAnsi="Arial" w:cs="Arial"/>
        </w:rPr>
        <w:t>Erfa</w:t>
      </w:r>
      <w:proofErr w:type="spellEnd"/>
      <w:r w:rsidRPr="0066797A">
        <w:rPr>
          <w:rFonts w:ascii="Arial" w:hAnsi="Arial" w:cs="Arial"/>
        </w:rPr>
        <w:t>, L. (2024). Effectiveness of Giving Different Concentrations of NPK Compound Foliar Fertilizer (32-10-10) and Media Types</w:t>
      </w:r>
      <w:r w:rsidRPr="0066797A">
        <w:t xml:space="preserve"> </w:t>
      </w:r>
      <w:r w:rsidRPr="0066797A">
        <w:rPr>
          <w:rFonts w:ascii="Arial" w:hAnsi="Arial" w:cs="Arial"/>
        </w:rPr>
        <w:t xml:space="preserve">Planting Against the Growth of Dendrobium Airey Peach x Dendrobium discolor Orchid Plants. </w:t>
      </w:r>
      <w:r w:rsidRPr="00C848A8">
        <w:rPr>
          <w:rFonts w:ascii="Arial" w:hAnsi="Arial" w:cs="Arial"/>
          <w:i/>
          <w:iCs/>
        </w:rPr>
        <w:t>Journal of Horticulture Production Technology,</w:t>
      </w:r>
      <w:r w:rsidRPr="0066797A">
        <w:rPr>
          <w:rFonts w:ascii="Arial" w:hAnsi="Arial" w:cs="Arial"/>
        </w:rPr>
        <w:t xml:space="preserve"> 2(2), 70-80. https://doi.org/10.25181/jhpt.v2i2.3725</w:t>
      </w:r>
    </w:p>
    <w:p w14:paraId="4CD414F0" w14:textId="77777777" w:rsidR="0066797A" w:rsidRPr="0066797A" w:rsidRDefault="0066797A" w:rsidP="0066797A">
      <w:pPr>
        <w:pStyle w:val="Body"/>
        <w:ind w:left="720" w:hanging="720"/>
        <w:rPr>
          <w:rFonts w:ascii="Arial" w:hAnsi="Arial" w:cs="Arial"/>
        </w:rPr>
      </w:pPr>
      <w:r w:rsidRPr="0066797A">
        <w:rPr>
          <w:rFonts w:ascii="Arial" w:hAnsi="Arial" w:cs="Arial"/>
        </w:rPr>
        <w:t xml:space="preserve">Wahidah, B. F., &amp; Achmad, C. A. (2020). Nutrient Science. Alinea Media </w:t>
      </w:r>
      <w:proofErr w:type="spellStart"/>
      <w:r w:rsidRPr="0066797A">
        <w:rPr>
          <w:rFonts w:ascii="Arial" w:hAnsi="Arial" w:cs="Arial"/>
        </w:rPr>
        <w:t>Dipantara</w:t>
      </w:r>
      <w:proofErr w:type="spellEnd"/>
      <w:r w:rsidRPr="0066797A">
        <w:rPr>
          <w:rFonts w:ascii="Arial" w:hAnsi="Arial" w:cs="Arial"/>
        </w:rPr>
        <w:t>. https://play.google.com/books/reader?id=14wIEAAAQBAJ&amp;pg=GBS.PA48&amp;hl=id</w:t>
      </w:r>
    </w:p>
    <w:p w14:paraId="7F342C07" w14:textId="77777777" w:rsidR="0066797A" w:rsidRPr="0066797A" w:rsidRDefault="0066797A" w:rsidP="0066797A">
      <w:pPr>
        <w:pStyle w:val="Body"/>
        <w:ind w:left="720" w:hanging="720"/>
        <w:rPr>
          <w:rFonts w:ascii="Arial" w:hAnsi="Arial" w:cs="Arial"/>
        </w:rPr>
      </w:pPr>
      <w:r w:rsidRPr="0066797A">
        <w:rPr>
          <w:rFonts w:ascii="Arial" w:hAnsi="Arial" w:cs="Arial"/>
        </w:rPr>
        <w:t>Waluyo, N., &amp; Sinaga, R. (2015). Shallots released by the vegetable crop research center. Vegetable Crop Science, 1(004): 1-5. https://adoc.pub/bawang-merah-yang-dirilis-oleh-balai-penelitian-tanaman-sayu.html#google_vignette</w:t>
      </w:r>
    </w:p>
    <w:p w14:paraId="17B305DD" w14:textId="0F89F784" w:rsidR="00B01FCD" w:rsidRPr="00E64CB4" w:rsidRDefault="0066797A" w:rsidP="0066797A">
      <w:pPr>
        <w:pStyle w:val="Body"/>
        <w:spacing w:after="0"/>
        <w:ind w:left="720" w:hanging="720"/>
        <w:rPr>
          <w:rFonts w:ascii="Arial" w:hAnsi="Arial" w:cs="Arial"/>
          <w:b/>
          <w:lang w:val="sv-SE"/>
        </w:rPr>
      </w:pPr>
      <w:r w:rsidRPr="00305399">
        <w:rPr>
          <w:rFonts w:ascii="Arial" w:hAnsi="Arial" w:cs="Arial"/>
          <w:lang w:val="sv-SE"/>
        </w:rPr>
        <w:t xml:space="preserve">Yassar, M., Hafsah, S., Juliaviani, N., &amp; Agustina, R. (2023). </w:t>
      </w:r>
      <w:r w:rsidRPr="0066797A">
        <w:rPr>
          <w:rFonts w:ascii="Arial" w:hAnsi="Arial" w:cs="Arial"/>
        </w:rPr>
        <w:t>Shallot Cultivation. Ruang Karya Bersama, Banjar.</w:t>
      </w:r>
    </w:p>
    <w:sectPr w:rsidR="00B01FCD" w:rsidRPr="00E64CB4" w:rsidSect="00F62B9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C9D6" w14:textId="77777777" w:rsidR="001E06ED" w:rsidRDefault="001E06ED" w:rsidP="00C37E61">
      <w:r>
        <w:separator/>
      </w:r>
    </w:p>
  </w:endnote>
  <w:endnote w:type="continuationSeparator" w:id="0">
    <w:p w14:paraId="1DA890F2" w14:textId="77777777" w:rsidR="001E06ED" w:rsidRDefault="001E06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3B2E" w14:textId="77777777" w:rsidR="009E048A" w:rsidRDefault="009E048A">
    <w:pPr>
      <w:pStyle w:val="Footer"/>
      <w:rPr>
        <w:rFonts w:ascii="Arial" w:hAnsi="Arial" w:cs="Arial"/>
        <w:sz w:val="16"/>
      </w:rPr>
    </w:pPr>
  </w:p>
  <w:p w14:paraId="4E3F053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2B8D178" w14:textId="77777777" w:rsidR="009E048A" w:rsidRDefault="009E048A">
    <w:pPr>
      <w:pStyle w:val="Footer"/>
      <w:rPr>
        <w:rFonts w:ascii="Arial" w:hAnsi="Arial" w:cs="Arial"/>
        <w:sz w:val="16"/>
      </w:rPr>
    </w:pPr>
  </w:p>
  <w:p w14:paraId="6748E06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9D4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B03B" w14:textId="77777777" w:rsidR="001E06ED" w:rsidRDefault="001E06ED" w:rsidP="00C37E61">
      <w:r>
        <w:separator/>
      </w:r>
    </w:p>
  </w:footnote>
  <w:footnote w:type="continuationSeparator" w:id="0">
    <w:p w14:paraId="078EBB7F" w14:textId="77777777" w:rsidR="001E06ED" w:rsidRDefault="001E06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B05A" w14:textId="4F3AEDC2" w:rsidR="00F62B9E" w:rsidRDefault="001E06ED">
    <w:pPr>
      <w:pStyle w:val="Header"/>
    </w:pPr>
    <w:r>
      <w:rPr>
        <w:noProof/>
      </w:rPr>
      <w:pict w14:anchorId="2FFB1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DB1A" w14:textId="146C4549" w:rsidR="00F62B9E" w:rsidRDefault="001E06ED">
    <w:pPr>
      <w:pStyle w:val="Header"/>
    </w:pPr>
    <w:r>
      <w:rPr>
        <w:noProof/>
      </w:rPr>
      <w:pict w14:anchorId="730EA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F939" w14:textId="4868ABB4" w:rsidR="00296529" w:rsidRPr="00296529" w:rsidRDefault="001E06ED" w:rsidP="00296529">
    <w:pPr>
      <w:ind w:left="2160"/>
      <w:jc w:val="center"/>
      <w:rPr>
        <w:rFonts w:ascii="Times New Roman" w:eastAsia="Calibri" w:hAnsi="Times New Roman"/>
        <w:i/>
        <w:sz w:val="18"/>
        <w:szCs w:val="22"/>
      </w:rPr>
    </w:pPr>
    <w:r>
      <w:rPr>
        <w:noProof/>
      </w:rPr>
      <w:pict w14:anchorId="3D3F8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55EF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D4BB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2A53A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D7F6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2994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32023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3AC7" w14:textId="4D57124E" w:rsidR="00F62B9E" w:rsidRDefault="001E06ED">
    <w:pPr>
      <w:pStyle w:val="Header"/>
    </w:pPr>
    <w:r>
      <w:rPr>
        <w:noProof/>
      </w:rPr>
      <w:pict w14:anchorId="3D56F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ABAC" w14:textId="5B21F258" w:rsidR="00F62B9E" w:rsidRDefault="001E06ED">
    <w:pPr>
      <w:pStyle w:val="Header"/>
    </w:pPr>
    <w:r>
      <w:rPr>
        <w:noProof/>
      </w:rPr>
      <w:pict w14:anchorId="1A6CC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CCC0" w14:textId="1644D88F" w:rsidR="00F62B9E" w:rsidRDefault="001E06ED">
    <w:pPr>
      <w:pStyle w:val="Header"/>
    </w:pPr>
    <w:r>
      <w:rPr>
        <w:noProof/>
      </w:rPr>
      <w:pict w14:anchorId="039C1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89114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5371463">
    <w:abstractNumId w:val="15"/>
  </w:num>
  <w:num w:numId="3" w16cid:durableId="583491452">
    <w:abstractNumId w:val="23"/>
  </w:num>
  <w:num w:numId="4" w16cid:durableId="7122721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7071912">
    <w:abstractNumId w:val="7"/>
  </w:num>
  <w:num w:numId="6" w16cid:durableId="1204098992">
    <w:abstractNumId w:val="6"/>
  </w:num>
  <w:num w:numId="7" w16cid:durableId="510534474">
    <w:abstractNumId w:val="1"/>
  </w:num>
  <w:num w:numId="8" w16cid:durableId="322314849">
    <w:abstractNumId w:val="12"/>
  </w:num>
  <w:num w:numId="9" w16cid:durableId="322393480">
    <w:abstractNumId w:val="25"/>
  </w:num>
  <w:num w:numId="10" w16cid:durableId="1558471488">
    <w:abstractNumId w:val="2"/>
  </w:num>
  <w:num w:numId="11" w16cid:durableId="1429079681">
    <w:abstractNumId w:val="18"/>
  </w:num>
  <w:num w:numId="12" w16cid:durableId="938829974">
    <w:abstractNumId w:val="3"/>
  </w:num>
  <w:num w:numId="13" w16cid:durableId="1858229217">
    <w:abstractNumId w:val="17"/>
  </w:num>
  <w:num w:numId="14" w16cid:durableId="598488679">
    <w:abstractNumId w:val="8"/>
  </w:num>
  <w:num w:numId="15" w16cid:durableId="1774666974">
    <w:abstractNumId w:val="21"/>
  </w:num>
  <w:num w:numId="16" w16cid:durableId="2035571194">
    <w:abstractNumId w:val="5"/>
  </w:num>
  <w:num w:numId="17" w16cid:durableId="977222628">
    <w:abstractNumId w:val="22"/>
  </w:num>
  <w:num w:numId="18" w16cid:durableId="19667208">
    <w:abstractNumId w:val="14"/>
  </w:num>
  <w:num w:numId="19" w16cid:durableId="753088503">
    <w:abstractNumId w:val="28"/>
  </w:num>
  <w:num w:numId="20" w16cid:durableId="1893997564">
    <w:abstractNumId w:val="11"/>
  </w:num>
  <w:num w:numId="21" w16cid:durableId="940183654">
    <w:abstractNumId w:val="9"/>
  </w:num>
  <w:num w:numId="22" w16cid:durableId="182405936">
    <w:abstractNumId w:val="13"/>
  </w:num>
  <w:num w:numId="23" w16cid:durableId="55860031">
    <w:abstractNumId w:val="19"/>
  </w:num>
  <w:num w:numId="24" w16cid:durableId="1780904830">
    <w:abstractNumId w:val="26"/>
  </w:num>
  <w:num w:numId="25" w16cid:durableId="412549577">
    <w:abstractNumId w:val="4"/>
  </w:num>
  <w:num w:numId="26" w16cid:durableId="670379258">
    <w:abstractNumId w:val="16"/>
  </w:num>
  <w:num w:numId="27" w16cid:durableId="822627978">
    <w:abstractNumId w:val="20"/>
  </w:num>
  <w:num w:numId="28" w16cid:durableId="1027679895">
    <w:abstractNumId w:val="27"/>
  </w:num>
  <w:num w:numId="29" w16cid:durableId="616906967">
    <w:abstractNumId w:val="24"/>
  </w:num>
  <w:num w:numId="30" w16cid:durableId="962082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E80"/>
    <w:rsid w:val="00000F8F"/>
    <w:rsid w:val="00002736"/>
    <w:rsid w:val="000065CB"/>
    <w:rsid w:val="00010C22"/>
    <w:rsid w:val="000132F1"/>
    <w:rsid w:val="00015196"/>
    <w:rsid w:val="00015E57"/>
    <w:rsid w:val="000268D5"/>
    <w:rsid w:val="00027B03"/>
    <w:rsid w:val="00030174"/>
    <w:rsid w:val="00030699"/>
    <w:rsid w:val="00031144"/>
    <w:rsid w:val="0003233C"/>
    <w:rsid w:val="00032944"/>
    <w:rsid w:val="00043174"/>
    <w:rsid w:val="0004579C"/>
    <w:rsid w:val="00050C19"/>
    <w:rsid w:val="0006377F"/>
    <w:rsid w:val="00064166"/>
    <w:rsid w:val="00066223"/>
    <w:rsid w:val="00067512"/>
    <w:rsid w:val="00071489"/>
    <w:rsid w:val="00074EA5"/>
    <w:rsid w:val="000755EC"/>
    <w:rsid w:val="00076910"/>
    <w:rsid w:val="00076B65"/>
    <w:rsid w:val="00082BE1"/>
    <w:rsid w:val="00082E50"/>
    <w:rsid w:val="000849AB"/>
    <w:rsid w:val="0008569C"/>
    <w:rsid w:val="000903EE"/>
    <w:rsid w:val="00090BC7"/>
    <w:rsid w:val="000952C6"/>
    <w:rsid w:val="00095D27"/>
    <w:rsid w:val="000A0C16"/>
    <w:rsid w:val="000A274F"/>
    <w:rsid w:val="000A47FA"/>
    <w:rsid w:val="000A4B00"/>
    <w:rsid w:val="000A65D3"/>
    <w:rsid w:val="000B1E33"/>
    <w:rsid w:val="000B5EAE"/>
    <w:rsid w:val="000B650E"/>
    <w:rsid w:val="000C0E8A"/>
    <w:rsid w:val="000C3570"/>
    <w:rsid w:val="000C3B52"/>
    <w:rsid w:val="000C3C2C"/>
    <w:rsid w:val="000C44BA"/>
    <w:rsid w:val="000D6179"/>
    <w:rsid w:val="000D65CE"/>
    <w:rsid w:val="000D689F"/>
    <w:rsid w:val="000D6ED0"/>
    <w:rsid w:val="000E05EB"/>
    <w:rsid w:val="000E29D2"/>
    <w:rsid w:val="000E6BC3"/>
    <w:rsid w:val="000E7B7B"/>
    <w:rsid w:val="000E7D62"/>
    <w:rsid w:val="000F1640"/>
    <w:rsid w:val="000F7785"/>
    <w:rsid w:val="00103357"/>
    <w:rsid w:val="0010574F"/>
    <w:rsid w:val="00111A13"/>
    <w:rsid w:val="00113872"/>
    <w:rsid w:val="00116115"/>
    <w:rsid w:val="00123C9F"/>
    <w:rsid w:val="00125344"/>
    <w:rsid w:val="001259D4"/>
    <w:rsid w:val="00126190"/>
    <w:rsid w:val="001266CE"/>
    <w:rsid w:val="00130F17"/>
    <w:rsid w:val="001320BF"/>
    <w:rsid w:val="001368A1"/>
    <w:rsid w:val="00136C20"/>
    <w:rsid w:val="001371AB"/>
    <w:rsid w:val="00137389"/>
    <w:rsid w:val="00140020"/>
    <w:rsid w:val="00140113"/>
    <w:rsid w:val="0014285C"/>
    <w:rsid w:val="00162D1E"/>
    <w:rsid w:val="00163BC4"/>
    <w:rsid w:val="00164DF6"/>
    <w:rsid w:val="00165BC4"/>
    <w:rsid w:val="00166183"/>
    <w:rsid w:val="00171628"/>
    <w:rsid w:val="00181014"/>
    <w:rsid w:val="00184268"/>
    <w:rsid w:val="00191062"/>
    <w:rsid w:val="00192B72"/>
    <w:rsid w:val="001A29D8"/>
    <w:rsid w:val="001A33CD"/>
    <w:rsid w:val="001A3A6A"/>
    <w:rsid w:val="001A3E42"/>
    <w:rsid w:val="001A5CAA"/>
    <w:rsid w:val="001B0427"/>
    <w:rsid w:val="001B4AF0"/>
    <w:rsid w:val="001B6626"/>
    <w:rsid w:val="001D3603"/>
    <w:rsid w:val="001D3A51"/>
    <w:rsid w:val="001D45D4"/>
    <w:rsid w:val="001D6A1B"/>
    <w:rsid w:val="001E06ED"/>
    <w:rsid w:val="001E10D2"/>
    <w:rsid w:val="001E25B4"/>
    <w:rsid w:val="001E44FE"/>
    <w:rsid w:val="001E7E6C"/>
    <w:rsid w:val="001F0198"/>
    <w:rsid w:val="001F2C16"/>
    <w:rsid w:val="001F724B"/>
    <w:rsid w:val="00200595"/>
    <w:rsid w:val="00200F2A"/>
    <w:rsid w:val="002016C0"/>
    <w:rsid w:val="00204835"/>
    <w:rsid w:val="00204E52"/>
    <w:rsid w:val="00205843"/>
    <w:rsid w:val="0021147B"/>
    <w:rsid w:val="00211553"/>
    <w:rsid w:val="00212F7E"/>
    <w:rsid w:val="002145E7"/>
    <w:rsid w:val="00216BBD"/>
    <w:rsid w:val="00221A1A"/>
    <w:rsid w:val="002225E1"/>
    <w:rsid w:val="00231920"/>
    <w:rsid w:val="0023195C"/>
    <w:rsid w:val="00232F43"/>
    <w:rsid w:val="0023791B"/>
    <w:rsid w:val="002402FA"/>
    <w:rsid w:val="0024282C"/>
    <w:rsid w:val="002460DC"/>
    <w:rsid w:val="00250985"/>
    <w:rsid w:val="00250B1F"/>
    <w:rsid w:val="00252246"/>
    <w:rsid w:val="00252B23"/>
    <w:rsid w:val="002556F6"/>
    <w:rsid w:val="00265F80"/>
    <w:rsid w:val="00267599"/>
    <w:rsid w:val="0027570E"/>
    <w:rsid w:val="00282026"/>
    <w:rsid w:val="00283105"/>
    <w:rsid w:val="00284C4C"/>
    <w:rsid w:val="002853DF"/>
    <w:rsid w:val="00287E68"/>
    <w:rsid w:val="00290F54"/>
    <w:rsid w:val="00291D8D"/>
    <w:rsid w:val="0029220D"/>
    <w:rsid w:val="00292671"/>
    <w:rsid w:val="002928D0"/>
    <w:rsid w:val="00295C2D"/>
    <w:rsid w:val="00296529"/>
    <w:rsid w:val="002B12DE"/>
    <w:rsid w:val="002B27FB"/>
    <w:rsid w:val="002B685A"/>
    <w:rsid w:val="002C1D1F"/>
    <w:rsid w:val="002C57D2"/>
    <w:rsid w:val="002D1EC4"/>
    <w:rsid w:val="002D66B0"/>
    <w:rsid w:val="002E0D56"/>
    <w:rsid w:val="002E11C5"/>
    <w:rsid w:val="002E12EE"/>
    <w:rsid w:val="002E13DB"/>
    <w:rsid w:val="002F0BE7"/>
    <w:rsid w:val="002F2DAD"/>
    <w:rsid w:val="002F3FD3"/>
    <w:rsid w:val="002F4C55"/>
    <w:rsid w:val="002F5696"/>
    <w:rsid w:val="002F65A7"/>
    <w:rsid w:val="0030015D"/>
    <w:rsid w:val="00305399"/>
    <w:rsid w:val="00306940"/>
    <w:rsid w:val="0031044F"/>
    <w:rsid w:val="00310A0C"/>
    <w:rsid w:val="0031210B"/>
    <w:rsid w:val="00315186"/>
    <w:rsid w:val="003223F1"/>
    <w:rsid w:val="00324419"/>
    <w:rsid w:val="00331050"/>
    <w:rsid w:val="00332385"/>
    <w:rsid w:val="0033343E"/>
    <w:rsid w:val="003368E9"/>
    <w:rsid w:val="003425EA"/>
    <w:rsid w:val="00344058"/>
    <w:rsid w:val="0034419C"/>
    <w:rsid w:val="003512C2"/>
    <w:rsid w:val="00352D80"/>
    <w:rsid w:val="003611C8"/>
    <w:rsid w:val="003622B2"/>
    <w:rsid w:val="00364780"/>
    <w:rsid w:val="00370F1B"/>
    <w:rsid w:val="00371E8C"/>
    <w:rsid w:val="00371FB6"/>
    <w:rsid w:val="00374B0C"/>
    <w:rsid w:val="003763C1"/>
    <w:rsid w:val="00376BBE"/>
    <w:rsid w:val="00377B12"/>
    <w:rsid w:val="0038239B"/>
    <w:rsid w:val="00384761"/>
    <w:rsid w:val="0038684B"/>
    <w:rsid w:val="0039064A"/>
    <w:rsid w:val="0039224F"/>
    <w:rsid w:val="003935A0"/>
    <w:rsid w:val="00393B11"/>
    <w:rsid w:val="003A3CFD"/>
    <w:rsid w:val="003A43A4"/>
    <w:rsid w:val="003A6643"/>
    <w:rsid w:val="003A7E18"/>
    <w:rsid w:val="003B3991"/>
    <w:rsid w:val="003C0D5A"/>
    <w:rsid w:val="003C1E81"/>
    <w:rsid w:val="003C34B3"/>
    <w:rsid w:val="003C4C86"/>
    <w:rsid w:val="003C6258"/>
    <w:rsid w:val="003C7623"/>
    <w:rsid w:val="003D01A3"/>
    <w:rsid w:val="003D1A36"/>
    <w:rsid w:val="003D500E"/>
    <w:rsid w:val="003D67BE"/>
    <w:rsid w:val="003E2904"/>
    <w:rsid w:val="003E37B0"/>
    <w:rsid w:val="003F046B"/>
    <w:rsid w:val="003F5607"/>
    <w:rsid w:val="00401927"/>
    <w:rsid w:val="0040263B"/>
    <w:rsid w:val="00402D22"/>
    <w:rsid w:val="00404C03"/>
    <w:rsid w:val="0041027F"/>
    <w:rsid w:val="004103E6"/>
    <w:rsid w:val="00412475"/>
    <w:rsid w:val="004141E5"/>
    <w:rsid w:val="004154DB"/>
    <w:rsid w:val="00415B31"/>
    <w:rsid w:val="0041756D"/>
    <w:rsid w:val="00421826"/>
    <w:rsid w:val="00421872"/>
    <w:rsid w:val="004224DD"/>
    <w:rsid w:val="00423789"/>
    <w:rsid w:val="00432FEF"/>
    <w:rsid w:val="00440D99"/>
    <w:rsid w:val="00440F43"/>
    <w:rsid w:val="004415FD"/>
    <w:rsid w:val="00441B6F"/>
    <w:rsid w:val="004453E6"/>
    <w:rsid w:val="004456A6"/>
    <w:rsid w:val="00445E5C"/>
    <w:rsid w:val="00446221"/>
    <w:rsid w:val="00450E62"/>
    <w:rsid w:val="004539DB"/>
    <w:rsid w:val="004601C7"/>
    <w:rsid w:val="00463346"/>
    <w:rsid w:val="004652EF"/>
    <w:rsid w:val="004700DC"/>
    <w:rsid w:val="00471A80"/>
    <w:rsid w:val="00472BEB"/>
    <w:rsid w:val="00473BBB"/>
    <w:rsid w:val="00485654"/>
    <w:rsid w:val="004A267D"/>
    <w:rsid w:val="004A3B5D"/>
    <w:rsid w:val="004A41CF"/>
    <w:rsid w:val="004A5C4C"/>
    <w:rsid w:val="004A5D4A"/>
    <w:rsid w:val="004A5EF0"/>
    <w:rsid w:val="004A6830"/>
    <w:rsid w:val="004A711A"/>
    <w:rsid w:val="004B1FC9"/>
    <w:rsid w:val="004B3909"/>
    <w:rsid w:val="004B6359"/>
    <w:rsid w:val="004B7BA5"/>
    <w:rsid w:val="004C0D48"/>
    <w:rsid w:val="004D305E"/>
    <w:rsid w:val="004D4277"/>
    <w:rsid w:val="004D5889"/>
    <w:rsid w:val="004D7F72"/>
    <w:rsid w:val="004E4B04"/>
    <w:rsid w:val="004F1539"/>
    <w:rsid w:val="004F60D9"/>
    <w:rsid w:val="004F6968"/>
    <w:rsid w:val="00500108"/>
    <w:rsid w:val="00502516"/>
    <w:rsid w:val="00505DF2"/>
    <w:rsid w:val="00505F06"/>
    <w:rsid w:val="00506828"/>
    <w:rsid w:val="00512D68"/>
    <w:rsid w:val="0053056E"/>
    <w:rsid w:val="005329AD"/>
    <w:rsid w:val="00532EC1"/>
    <w:rsid w:val="005336D0"/>
    <w:rsid w:val="005339BE"/>
    <w:rsid w:val="0055284D"/>
    <w:rsid w:val="00553FFA"/>
    <w:rsid w:val="00554FDA"/>
    <w:rsid w:val="00563429"/>
    <w:rsid w:val="00565ADA"/>
    <w:rsid w:val="00581D3B"/>
    <w:rsid w:val="0058595B"/>
    <w:rsid w:val="005874E3"/>
    <w:rsid w:val="005960EE"/>
    <w:rsid w:val="0059630D"/>
    <w:rsid w:val="005A256C"/>
    <w:rsid w:val="005A27F4"/>
    <w:rsid w:val="005A2CF2"/>
    <w:rsid w:val="005A704A"/>
    <w:rsid w:val="005B3DC9"/>
    <w:rsid w:val="005B574B"/>
    <w:rsid w:val="005C2882"/>
    <w:rsid w:val="005C2B34"/>
    <w:rsid w:val="005C2E60"/>
    <w:rsid w:val="005C531C"/>
    <w:rsid w:val="005C5BDB"/>
    <w:rsid w:val="005C784C"/>
    <w:rsid w:val="005D17F6"/>
    <w:rsid w:val="005E2090"/>
    <w:rsid w:val="005E5539"/>
    <w:rsid w:val="005E741A"/>
    <w:rsid w:val="005F6588"/>
    <w:rsid w:val="005F6A88"/>
    <w:rsid w:val="00602BF5"/>
    <w:rsid w:val="0060543C"/>
    <w:rsid w:val="006100F6"/>
    <w:rsid w:val="0061518B"/>
    <w:rsid w:val="00617FDD"/>
    <w:rsid w:val="00620E4F"/>
    <w:rsid w:val="00622688"/>
    <w:rsid w:val="00623814"/>
    <w:rsid w:val="00627FA5"/>
    <w:rsid w:val="00630402"/>
    <w:rsid w:val="006331FA"/>
    <w:rsid w:val="00633614"/>
    <w:rsid w:val="0063389A"/>
    <w:rsid w:val="00633F68"/>
    <w:rsid w:val="00636ACC"/>
    <w:rsid w:val="00636EB2"/>
    <w:rsid w:val="006375B8"/>
    <w:rsid w:val="006403AB"/>
    <w:rsid w:val="00641D81"/>
    <w:rsid w:val="006421CC"/>
    <w:rsid w:val="00642390"/>
    <w:rsid w:val="006461E5"/>
    <w:rsid w:val="0064752D"/>
    <w:rsid w:val="00654308"/>
    <w:rsid w:val="006547F5"/>
    <w:rsid w:val="00656508"/>
    <w:rsid w:val="006574A8"/>
    <w:rsid w:val="00660C1A"/>
    <w:rsid w:val="0066510A"/>
    <w:rsid w:val="0066797A"/>
    <w:rsid w:val="0067057A"/>
    <w:rsid w:val="00673F9F"/>
    <w:rsid w:val="006778DE"/>
    <w:rsid w:val="006804AF"/>
    <w:rsid w:val="006862D6"/>
    <w:rsid w:val="00686953"/>
    <w:rsid w:val="00687DEA"/>
    <w:rsid w:val="00687E67"/>
    <w:rsid w:val="00693628"/>
    <w:rsid w:val="006967F7"/>
    <w:rsid w:val="00697866"/>
    <w:rsid w:val="006A250C"/>
    <w:rsid w:val="006A3A22"/>
    <w:rsid w:val="006A5AB4"/>
    <w:rsid w:val="006A6692"/>
    <w:rsid w:val="006B21D3"/>
    <w:rsid w:val="006B57D0"/>
    <w:rsid w:val="006B5E98"/>
    <w:rsid w:val="006C6BE4"/>
    <w:rsid w:val="006C7296"/>
    <w:rsid w:val="006D30FF"/>
    <w:rsid w:val="006D4AD5"/>
    <w:rsid w:val="006D6940"/>
    <w:rsid w:val="006E6EAF"/>
    <w:rsid w:val="006F08DF"/>
    <w:rsid w:val="006F11EC"/>
    <w:rsid w:val="006F1BCA"/>
    <w:rsid w:val="0070082C"/>
    <w:rsid w:val="00706651"/>
    <w:rsid w:val="0071178D"/>
    <w:rsid w:val="00713A4C"/>
    <w:rsid w:val="0071419A"/>
    <w:rsid w:val="00724E0A"/>
    <w:rsid w:val="007255EB"/>
    <w:rsid w:val="00727D91"/>
    <w:rsid w:val="0073339E"/>
    <w:rsid w:val="00733D65"/>
    <w:rsid w:val="007369E6"/>
    <w:rsid w:val="0074002F"/>
    <w:rsid w:val="00741B91"/>
    <w:rsid w:val="00746E59"/>
    <w:rsid w:val="00752D0A"/>
    <w:rsid w:val="00752F52"/>
    <w:rsid w:val="00753001"/>
    <w:rsid w:val="00754C9A"/>
    <w:rsid w:val="0075599A"/>
    <w:rsid w:val="00755C30"/>
    <w:rsid w:val="007567BB"/>
    <w:rsid w:val="00761D52"/>
    <w:rsid w:val="00766818"/>
    <w:rsid w:val="007705B5"/>
    <w:rsid w:val="00770B0F"/>
    <w:rsid w:val="00773583"/>
    <w:rsid w:val="00773927"/>
    <w:rsid w:val="00776417"/>
    <w:rsid w:val="00777331"/>
    <w:rsid w:val="0077749E"/>
    <w:rsid w:val="00790ADA"/>
    <w:rsid w:val="00792CA2"/>
    <w:rsid w:val="007A1496"/>
    <w:rsid w:val="007A1F25"/>
    <w:rsid w:val="007A3FF8"/>
    <w:rsid w:val="007A52CF"/>
    <w:rsid w:val="007A5773"/>
    <w:rsid w:val="007B0EB8"/>
    <w:rsid w:val="007B173C"/>
    <w:rsid w:val="007B58CA"/>
    <w:rsid w:val="007B5AA8"/>
    <w:rsid w:val="007C0631"/>
    <w:rsid w:val="007C6524"/>
    <w:rsid w:val="007C7237"/>
    <w:rsid w:val="007D2288"/>
    <w:rsid w:val="007D2342"/>
    <w:rsid w:val="007E088F"/>
    <w:rsid w:val="007E0E43"/>
    <w:rsid w:val="007E1203"/>
    <w:rsid w:val="007F12BE"/>
    <w:rsid w:val="007F687F"/>
    <w:rsid w:val="007F718F"/>
    <w:rsid w:val="007F7B32"/>
    <w:rsid w:val="00804BC2"/>
    <w:rsid w:val="00804BEA"/>
    <w:rsid w:val="00811D97"/>
    <w:rsid w:val="008125ED"/>
    <w:rsid w:val="0081431A"/>
    <w:rsid w:val="0081501D"/>
    <w:rsid w:val="00815B61"/>
    <w:rsid w:val="008217AB"/>
    <w:rsid w:val="00822B74"/>
    <w:rsid w:val="00823D0D"/>
    <w:rsid w:val="00826C73"/>
    <w:rsid w:val="0082738B"/>
    <w:rsid w:val="0083216F"/>
    <w:rsid w:val="0083552F"/>
    <w:rsid w:val="00835585"/>
    <w:rsid w:val="00840C4C"/>
    <w:rsid w:val="00845112"/>
    <w:rsid w:val="00850E98"/>
    <w:rsid w:val="0085172C"/>
    <w:rsid w:val="008523A2"/>
    <w:rsid w:val="00860000"/>
    <w:rsid w:val="008621CE"/>
    <w:rsid w:val="00863168"/>
    <w:rsid w:val="008636BE"/>
    <w:rsid w:val="00863BD3"/>
    <w:rsid w:val="008641ED"/>
    <w:rsid w:val="00866D66"/>
    <w:rsid w:val="008671C6"/>
    <w:rsid w:val="00873015"/>
    <w:rsid w:val="00874AB1"/>
    <w:rsid w:val="00874DA1"/>
    <w:rsid w:val="00874E43"/>
    <w:rsid w:val="008751AB"/>
    <w:rsid w:val="00875803"/>
    <w:rsid w:val="00881EB0"/>
    <w:rsid w:val="00891DA4"/>
    <w:rsid w:val="00894F9D"/>
    <w:rsid w:val="008A5B07"/>
    <w:rsid w:val="008B2882"/>
    <w:rsid w:val="008B459E"/>
    <w:rsid w:val="008B66F3"/>
    <w:rsid w:val="008C0483"/>
    <w:rsid w:val="008C3CE5"/>
    <w:rsid w:val="008C5550"/>
    <w:rsid w:val="008C57CD"/>
    <w:rsid w:val="008D181F"/>
    <w:rsid w:val="008D1D00"/>
    <w:rsid w:val="008D378B"/>
    <w:rsid w:val="008D79B2"/>
    <w:rsid w:val="008E13AE"/>
    <w:rsid w:val="008E1506"/>
    <w:rsid w:val="008E638D"/>
    <w:rsid w:val="008E6785"/>
    <w:rsid w:val="008E710C"/>
    <w:rsid w:val="008F69D6"/>
    <w:rsid w:val="00900BC6"/>
    <w:rsid w:val="00900D94"/>
    <w:rsid w:val="00902823"/>
    <w:rsid w:val="00904789"/>
    <w:rsid w:val="00904EA7"/>
    <w:rsid w:val="00906496"/>
    <w:rsid w:val="009133E9"/>
    <w:rsid w:val="00915CA6"/>
    <w:rsid w:val="009244EE"/>
    <w:rsid w:val="00924A80"/>
    <w:rsid w:val="00927676"/>
    <w:rsid w:val="00927834"/>
    <w:rsid w:val="009311EB"/>
    <w:rsid w:val="0093448A"/>
    <w:rsid w:val="009358FA"/>
    <w:rsid w:val="00941EB8"/>
    <w:rsid w:val="009435B0"/>
    <w:rsid w:val="00946695"/>
    <w:rsid w:val="009500A6"/>
    <w:rsid w:val="00956C61"/>
    <w:rsid w:val="0095768E"/>
    <w:rsid w:val="009576AF"/>
    <w:rsid w:val="00957C18"/>
    <w:rsid w:val="00960F22"/>
    <w:rsid w:val="00961790"/>
    <w:rsid w:val="00962E5C"/>
    <w:rsid w:val="009659BA"/>
    <w:rsid w:val="00972516"/>
    <w:rsid w:val="0097328D"/>
    <w:rsid w:val="009759D8"/>
    <w:rsid w:val="00983040"/>
    <w:rsid w:val="00992801"/>
    <w:rsid w:val="00993603"/>
    <w:rsid w:val="009A03B7"/>
    <w:rsid w:val="009A1D10"/>
    <w:rsid w:val="009A6DCD"/>
    <w:rsid w:val="009A74C1"/>
    <w:rsid w:val="009B3FB9"/>
    <w:rsid w:val="009B7CE8"/>
    <w:rsid w:val="009C2465"/>
    <w:rsid w:val="009C31A2"/>
    <w:rsid w:val="009C32BA"/>
    <w:rsid w:val="009C7949"/>
    <w:rsid w:val="009D1CC3"/>
    <w:rsid w:val="009D33BD"/>
    <w:rsid w:val="009D35A0"/>
    <w:rsid w:val="009D45A4"/>
    <w:rsid w:val="009D7EB7"/>
    <w:rsid w:val="009E048A"/>
    <w:rsid w:val="009E08E9"/>
    <w:rsid w:val="009E35BA"/>
    <w:rsid w:val="009E3DB9"/>
    <w:rsid w:val="009E5A53"/>
    <w:rsid w:val="009E6E35"/>
    <w:rsid w:val="009E7924"/>
    <w:rsid w:val="009F0EDA"/>
    <w:rsid w:val="009F1375"/>
    <w:rsid w:val="009F57A2"/>
    <w:rsid w:val="009F7636"/>
    <w:rsid w:val="00A03B96"/>
    <w:rsid w:val="00A04303"/>
    <w:rsid w:val="00A05B19"/>
    <w:rsid w:val="00A07EFF"/>
    <w:rsid w:val="00A1070B"/>
    <w:rsid w:val="00A109DA"/>
    <w:rsid w:val="00A1134E"/>
    <w:rsid w:val="00A20275"/>
    <w:rsid w:val="00A203F0"/>
    <w:rsid w:val="00A2156F"/>
    <w:rsid w:val="00A22876"/>
    <w:rsid w:val="00A228B6"/>
    <w:rsid w:val="00A24E7E"/>
    <w:rsid w:val="00A258C3"/>
    <w:rsid w:val="00A3304C"/>
    <w:rsid w:val="00A3462C"/>
    <w:rsid w:val="00A347C0"/>
    <w:rsid w:val="00A3595A"/>
    <w:rsid w:val="00A40EFA"/>
    <w:rsid w:val="00A4398B"/>
    <w:rsid w:val="00A44CE8"/>
    <w:rsid w:val="00A50F1E"/>
    <w:rsid w:val="00A50F67"/>
    <w:rsid w:val="00A51431"/>
    <w:rsid w:val="00A51E9A"/>
    <w:rsid w:val="00A539AD"/>
    <w:rsid w:val="00A6336F"/>
    <w:rsid w:val="00A651BA"/>
    <w:rsid w:val="00A6751C"/>
    <w:rsid w:val="00A71035"/>
    <w:rsid w:val="00A71549"/>
    <w:rsid w:val="00A71999"/>
    <w:rsid w:val="00A76810"/>
    <w:rsid w:val="00A77971"/>
    <w:rsid w:val="00A87A92"/>
    <w:rsid w:val="00A87FF6"/>
    <w:rsid w:val="00A9174F"/>
    <w:rsid w:val="00A91C9C"/>
    <w:rsid w:val="00A92457"/>
    <w:rsid w:val="00A94063"/>
    <w:rsid w:val="00A940D1"/>
    <w:rsid w:val="00A96C07"/>
    <w:rsid w:val="00A96DA5"/>
    <w:rsid w:val="00AA5777"/>
    <w:rsid w:val="00AA6219"/>
    <w:rsid w:val="00AA6AB4"/>
    <w:rsid w:val="00AA74E0"/>
    <w:rsid w:val="00AB1634"/>
    <w:rsid w:val="00AB4652"/>
    <w:rsid w:val="00AB703F"/>
    <w:rsid w:val="00AB7F15"/>
    <w:rsid w:val="00AC3D5B"/>
    <w:rsid w:val="00AC4B4C"/>
    <w:rsid w:val="00AC58EF"/>
    <w:rsid w:val="00AC6BB8"/>
    <w:rsid w:val="00AD4CF0"/>
    <w:rsid w:val="00AE008F"/>
    <w:rsid w:val="00AE14ED"/>
    <w:rsid w:val="00AE253E"/>
    <w:rsid w:val="00AE4A52"/>
    <w:rsid w:val="00B01FCD"/>
    <w:rsid w:val="00B10E84"/>
    <w:rsid w:val="00B12567"/>
    <w:rsid w:val="00B13E3C"/>
    <w:rsid w:val="00B15C6B"/>
    <w:rsid w:val="00B16AD0"/>
    <w:rsid w:val="00B1701E"/>
    <w:rsid w:val="00B1776C"/>
    <w:rsid w:val="00B30378"/>
    <w:rsid w:val="00B342C7"/>
    <w:rsid w:val="00B40B62"/>
    <w:rsid w:val="00B422D7"/>
    <w:rsid w:val="00B422EE"/>
    <w:rsid w:val="00B44296"/>
    <w:rsid w:val="00B45254"/>
    <w:rsid w:val="00B47265"/>
    <w:rsid w:val="00B52206"/>
    <w:rsid w:val="00B52583"/>
    <w:rsid w:val="00B52896"/>
    <w:rsid w:val="00B63CB8"/>
    <w:rsid w:val="00B64658"/>
    <w:rsid w:val="00B706C6"/>
    <w:rsid w:val="00B74245"/>
    <w:rsid w:val="00B7696C"/>
    <w:rsid w:val="00B85345"/>
    <w:rsid w:val="00B85864"/>
    <w:rsid w:val="00B95236"/>
    <w:rsid w:val="00B959E2"/>
    <w:rsid w:val="00B96BD9"/>
    <w:rsid w:val="00B96E01"/>
    <w:rsid w:val="00BA16B9"/>
    <w:rsid w:val="00BA1B01"/>
    <w:rsid w:val="00BA2641"/>
    <w:rsid w:val="00BA2791"/>
    <w:rsid w:val="00BB37AA"/>
    <w:rsid w:val="00BB740E"/>
    <w:rsid w:val="00BB74AA"/>
    <w:rsid w:val="00BC466A"/>
    <w:rsid w:val="00BC53A0"/>
    <w:rsid w:val="00BD1B63"/>
    <w:rsid w:val="00BD2767"/>
    <w:rsid w:val="00BD2A79"/>
    <w:rsid w:val="00BD3B22"/>
    <w:rsid w:val="00BD3FCF"/>
    <w:rsid w:val="00BD614F"/>
    <w:rsid w:val="00BD6E2C"/>
    <w:rsid w:val="00BE0A02"/>
    <w:rsid w:val="00BE5399"/>
    <w:rsid w:val="00BE62AD"/>
    <w:rsid w:val="00BF121F"/>
    <w:rsid w:val="00BF1F80"/>
    <w:rsid w:val="00BF2F76"/>
    <w:rsid w:val="00C166EF"/>
    <w:rsid w:val="00C17BB5"/>
    <w:rsid w:val="00C17EB0"/>
    <w:rsid w:val="00C20A57"/>
    <w:rsid w:val="00C21624"/>
    <w:rsid w:val="00C22252"/>
    <w:rsid w:val="00C227E3"/>
    <w:rsid w:val="00C26F77"/>
    <w:rsid w:val="00C27F5F"/>
    <w:rsid w:val="00C303B4"/>
    <w:rsid w:val="00C30A0F"/>
    <w:rsid w:val="00C35F04"/>
    <w:rsid w:val="00C37E61"/>
    <w:rsid w:val="00C45141"/>
    <w:rsid w:val="00C47C30"/>
    <w:rsid w:val="00C5697B"/>
    <w:rsid w:val="00C62131"/>
    <w:rsid w:val="00C629C3"/>
    <w:rsid w:val="00C638E5"/>
    <w:rsid w:val="00C70F1B"/>
    <w:rsid w:val="00C71A47"/>
    <w:rsid w:val="00C74503"/>
    <w:rsid w:val="00C7464C"/>
    <w:rsid w:val="00C80742"/>
    <w:rsid w:val="00C80E85"/>
    <w:rsid w:val="00C848A8"/>
    <w:rsid w:val="00C85588"/>
    <w:rsid w:val="00C85DB4"/>
    <w:rsid w:val="00C8630C"/>
    <w:rsid w:val="00C86E60"/>
    <w:rsid w:val="00C901D9"/>
    <w:rsid w:val="00CA4373"/>
    <w:rsid w:val="00CA5095"/>
    <w:rsid w:val="00CA638F"/>
    <w:rsid w:val="00CB45EB"/>
    <w:rsid w:val="00CB700F"/>
    <w:rsid w:val="00CC5DAA"/>
    <w:rsid w:val="00CC6AE6"/>
    <w:rsid w:val="00CC76CC"/>
    <w:rsid w:val="00CD6755"/>
    <w:rsid w:val="00CD6856"/>
    <w:rsid w:val="00CE0089"/>
    <w:rsid w:val="00CE098C"/>
    <w:rsid w:val="00CE19AB"/>
    <w:rsid w:val="00CE2048"/>
    <w:rsid w:val="00CE35EC"/>
    <w:rsid w:val="00CE6118"/>
    <w:rsid w:val="00CE793C"/>
    <w:rsid w:val="00CF00F7"/>
    <w:rsid w:val="00CF03B3"/>
    <w:rsid w:val="00CF193C"/>
    <w:rsid w:val="00CF210B"/>
    <w:rsid w:val="00CF4C97"/>
    <w:rsid w:val="00CF4F2D"/>
    <w:rsid w:val="00D0751A"/>
    <w:rsid w:val="00D10ED5"/>
    <w:rsid w:val="00D1202E"/>
    <w:rsid w:val="00D1710A"/>
    <w:rsid w:val="00D173F1"/>
    <w:rsid w:val="00D31B43"/>
    <w:rsid w:val="00D33BAD"/>
    <w:rsid w:val="00D33C9F"/>
    <w:rsid w:val="00D45061"/>
    <w:rsid w:val="00D468B3"/>
    <w:rsid w:val="00D469F0"/>
    <w:rsid w:val="00D519AD"/>
    <w:rsid w:val="00D53616"/>
    <w:rsid w:val="00D56577"/>
    <w:rsid w:val="00D57B28"/>
    <w:rsid w:val="00D708FF"/>
    <w:rsid w:val="00D73DEE"/>
    <w:rsid w:val="00D74CB0"/>
    <w:rsid w:val="00D750F0"/>
    <w:rsid w:val="00D76E4E"/>
    <w:rsid w:val="00D8295D"/>
    <w:rsid w:val="00D840B1"/>
    <w:rsid w:val="00D84466"/>
    <w:rsid w:val="00D94979"/>
    <w:rsid w:val="00D953D0"/>
    <w:rsid w:val="00DA068E"/>
    <w:rsid w:val="00DA0944"/>
    <w:rsid w:val="00DB2A0A"/>
    <w:rsid w:val="00DB443D"/>
    <w:rsid w:val="00DB6E04"/>
    <w:rsid w:val="00DB7AC8"/>
    <w:rsid w:val="00DC02DD"/>
    <w:rsid w:val="00DC2132"/>
    <w:rsid w:val="00DC2A65"/>
    <w:rsid w:val="00DC43B5"/>
    <w:rsid w:val="00DC65C5"/>
    <w:rsid w:val="00DD22E5"/>
    <w:rsid w:val="00DD2939"/>
    <w:rsid w:val="00DD5A85"/>
    <w:rsid w:val="00DD650A"/>
    <w:rsid w:val="00DE0B6E"/>
    <w:rsid w:val="00DE0E49"/>
    <w:rsid w:val="00DE15F0"/>
    <w:rsid w:val="00DE5663"/>
    <w:rsid w:val="00DE78A3"/>
    <w:rsid w:val="00DE78AA"/>
    <w:rsid w:val="00DF2566"/>
    <w:rsid w:val="00DF561B"/>
    <w:rsid w:val="00E0012B"/>
    <w:rsid w:val="00E053D0"/>
    <w:rsid w:val="00E113DE"/>
    <w:rsid w:val="00E11EC2"/>
    <w:rsid w:val="00E11F81"/>
    <w:rsid w:val="00E15994"/>
    <w:rsid w:val="00E22637"/>
    <w:rsid w:val="00E24662"/>
    <w:rsid w:val="00E3114E"/>
    <w:rsid w:val="00E31623"/>
    <w:rsid w:val="00E31A70"/>
    <w:rsid w:val="00E34D68"/>
    <w:rsid w:val="00E35B02"/>
    <w:rsid w:val="00E4140C"/>
    <w:rsid w:val="00E417AA"/>
    <w:rsid w:val="00E47B73"/>
    <w:rsid w:val="00E509B9"/>
    <w:rsid w:val="00E51726"/>
    <w:rsid w:val="00E51A13"/>
    <w:rsid w:val="00E53262"/>
    <w:rsid w:val="00E64CB4"/>
    <w:rsid w:val="00E66496"/>
    <w:rsid w:val="00E66B35"/>
    <w:rsid w:val="00E66E10"/>
    <w:rsid w:val="00E71734"/>
    <w:rsid w:val="00E719D8"/>
    <w:rsid w:val="00E7315C"/>
    <w:rsid w:val="00E769F6"/>
    <w:rsid w:val="00E8407C"/>
    <w:rsid w:val="00E84F3C"/>
    <w:rsid w:val="00E92459"/>
    <w:rsid w:val="00E92739"/>
    <w:rsid w:val="00E92E8D"/>
    <w:rsid w:val="00E941A1"/>
    <w:rsid w:val="00E94A03"/>
    <w:rsid w:val="00EA012C"/>
    <w:rsid w:val="00EA1752"/>
    <w:rsid w:val="00EA1D1F"/>
    <w:rsid w:val="00EA38D5"/>
    <w:rsid w:val="00EA53BC"/>
    <w:rsid w:val="00EA6B52"/>
    <w:rsid w:val="00EA6D72"/>
    <w:rsid w:val="00EB03DB"/>
    <w:rsid w:val="00EB090F"/>
    <w:rsid w:val="00EB339C"/>
    <w:rsid w:val="00EB58D3"/>
    <w:rsid w:val="00EC1F94"/>
    <w:rsid w:val="00EC3C4D"/>
    <w:rsid w:val="00EC67A7"/>
    <w:rsid w:val="00EC6A55"/>
    <w:rsid w:val="00EC715B"/>
    <w:rsid w:val="00ED0288"/>
    <w:rsid w:val="00ED2699"/>
    <w:rsid w:val="00ED303E"/>
    <w:rsid w:val="00ED4D6C"/>
    <w:rsid w:val="00ED5965"/>
    <w:rsid w:val="00ED608C"/>
    <w:rsid w:val="00ED75AF"/>
    <w:rsid w:val="00EE2E32"/>
    <w:rsid w:val="00EE52CB"/>
    <w:rsid w:val="00EF2552"/>
    <w:rsid w:val="00EF2D7F"/>
    <w:rsid w:val="00EF581D"/>
    <w:rsid w:val="00EF7FD8"/>
    <w:rsid w:val="00F03FBE"/>
    <w:rsid w:val="00F0496B"/>
    <w:rsid w:val="00F06F59"/>
    <w:rsid w:val="00F17988"/>
    <w:rsid w:val="00F220E9"/>
    <w:rsid w:val="00F25138"/>
    <w:rsid w:val="00F3193F"/>
    <w:rsid w:val="00F35BB5"/>
    <w:rsid w:val="00F40608"/>
    <w:rsid w:val="00F43694"/>
    <w:rsid w:val="00F469F0"/>
    <w:rsid w:val="00F51FB2"/>
    <w:rsid w:val="00F52E3C"/>
    <w:rsid w:val="00F53273"/>
    <w:rsid w:val="00F56EC5"/>
    <w:rsid w:val="00F579A3"/>
    <w:rsid w:val="00F625C1"/>
    <w:rsid w:val="00F62B9E"/>
    <w:rsid w:val="00F63658"/>
    <w:rsid w:val="00F63685"/>
    <w:rsid w:val="00F64417"/>
    <w:rsid w:val="00F664AF"/>
    <w:rsid w:val="00F67415"/>
    <w:rsid w:val="00F7003E"/>
    <w:rsid w:val="00F71F32"/>
    <w:rsid w:val="00F7510B"/>
    <w:rsid w:val="00F755E4"/>
    <w:rsid w:val="00F7629A"/>
    <w:rsid w:val="00F77D02"/>
    <w:rsid w:val="00F94651"/>
    <w:rsid w:val="00F9518E"/>
    <w:rsid w:val="00F96FBA"/>
    <w:rsid w:val="00FA45E9"/>
    <w:rsid w:val="00FA5B84"/>
    <w:rsid w:val="00FB01DF"/>
    <w:rsid w:val="00FB3124"/>
    <w:rsid w:val="00FB3A86"/>
    <w:rsid w:val="00FB4A25"/>
    <w:rsid w:val="00FC314E"/>
    <w:rsid w:val="00FC4426"/>
    <w:rsid w:val="00FC7A1D"/>
    <w:rsid w:val="00FD060D"/>
    <w:rsid w:val="00FD36C8"/>
    <w:rsid w:val="00FD5EFA"/>
    <w:rsid w:val="00FD68F0"/>
    <w:rsid w:val="00FD6D7A"/>
    <w:rsid w:val="00FE0438"/>
    <w:rsid w:val="00FE0489"/>
    <w:rsid w:val="00FE1935"/>
    <w:rsid w:val="00FE3037"/>
    <w:rsid w:val="00FF24A0"/>
    <w:rsid w:val="00FF6E53"/>
    <w:rsid w:val="00FF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B4BC31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A25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52E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B342C7"/>
    <w:pPr>
      <w:spacing w:after="120"/>
    </w:pPr>
  </w:style>
  <w:style w:type="character" w:customStyle="1" w:styleId="BodyTextChar">
    <w:name w:val="Body Text Char"/>
    <w:basedOn w:val="DefaultParagraphFont"/>
    <w:link w:val="BodyText"/>
    <w:semiHidden/>
    <w:rsid w:val="00B342C7"/>
    <w:rPr>
      <w:rFonts w:ascii="Helvetica" w:hAnsi="Helvetica"/>
    </w:rPr>
  </w:style>
  <w:style w:type="character" w:customStyle="1" w:styleId="Heading3Char">
    <w:name w:val="Heading 3 Char"/>
    <w:basedOn w:val="DefaultParagraphFont"/>
    <w:link w:val="Heading3"/>
    <w:uiPriority w:val="9"/>
    <w:semiHidden/>
    <w:rsid w:val="00F52E3C"/>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5A256C"/>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DD29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58cc645fbf7de4f/Pictures/Documents/perjuangan%20nisa/OLAHAN%20DATA%20NI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58cc645fbf7de4f/Pictures/Documents/perjuangan%20nisa/OLAHAN%20DATA%20NIS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658cc645fbf7de4f/Pictures/Documents/perjuangan%20nisa/OLAHAN%20DATA%20NIS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02708392892898"/>
          <c:y val="3.9658859266957114E-2"/>
          <c:w val="0.76763424195670971"/>
          <c:h val="0.51996482673168387"/>
        </c:manualLayout>
      </c:layout>
      <c:barChart>
        <c:barDir val="col"/>
        <c:grouping val="clustered"/>
        <c:varyColors val="0"/>
        <c:ser>
          <c:idx val="0"/>
          <c:order val="0"/>
          <c:tx>
            <c:strRef>
              <c:f>'Waktu Muncul Tunas'!$J$22</c:f>
              <c:strCache>
                <c:ptCount val="1"/>
                <c:pt idx="0">
                  <c:v>P0 = MS</c:v>
                </c:pt>
              </c:strCache>
            </c:strRef>
          </c:tx>
          <c:spPr>
            <a:solidFill>
              <a:schemeClr val="accent1"/>
            </a:solidFill>
            <a:ln>
              <a:noFill/>
            </a:ln>
            <a:effectLst/>
          </c:spPr>
          <c:invertIfNegative val="0"/>
          <c:dLbls>
            <c:dLbl>
              <c:idx val="0"/>
              <c:layout>
                <c:manualLayout>
                  <c:x val="-2.0579156254593563E-2"/>
                  <c:y val="-1.90355329949238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52-4A38-954D-D089FB774FFE}"/>
                </c:ext>
              </c:extLst>
            </c:dLbl>
            <c:dLbl>
              <c:idx val="1"/>
              <c:layout>
                <c:manualLayout>
                  <c:x val="-1.4699397324709687E-2"/>
                  <c:y val="-1.90355329949238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52-4A38-954D-D089FB774FFE}"/>
                </c:ext>
              </c:extLst>
            </c:dLbl>
            <c:dLbl>
              <c:idx val="2"/>
              <c:layout>
                <c:manualLayout>
                  <c:x val="-5.879758929883874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05-4A20-91BA-70376AFAE4EA}"/>
                </c:ext>
              </c:extLst>
            </c:dLbl>
            <c:dLbl>
              <c:idx val="3"/>
              <c:layout>
                <c:manualLayout>
                  <c:x val="-1.1759517859767749E-2"/>
                  <c:y val="-6.34517766497461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05-4A20-91BA-70376AFAE4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Tunas'!$K$21:$N$21</c:f>
              <c:strCache>
                <c:ptCount val="4"/>
                <c:pt idx="0">
                  <c:v>S0</c:v>
                </c:pt>
                <c:pt idx="1">
                  <c:v>S1</c:v>
                </c:pt>
                <c:pt idx="2">
                  <c:v>S2</c:v>
                </c:pt>
                <c:pt idx="3">
                  <c:v>S3</c:v>
                </c:pt>
              </c:strCache>
            </c:strRef>
          </c:cat>
          <c:val>
            <c:numRef>
              <c:f>'Waktu Muncul Tunas'!$K$22:$N$22</c:f>
              <c:numCache>
                <c:formatCode>0.00</c:formatCode>
                <c:ptCount val="4"/>
                <c:pt idx="0">
                  <c:v>12.89</c:v>
                </c:pt>
                <c:pt idx="1">
                  <c:v>15.146666666666667</c:v>
                </c:pt>
                <c:pt idx="2">
                  <c:v>17.443333333333332</c:v>
                </c:pt>
                <c:pt idx="3">
                  <c:v>19.626666666666665</c:v>
                </c:pt>
              </c:numCache>
            </c:numRef>
          </c:val>
          <c:extLst>
            <c:ext xmlns:c16="http://schemas.microsoft.com/office/drawing/2014/chart" uri="{C3380CC4-5D6E-409C-BE32-E72D297353CC}">
              <c16:uniqueId val="{00000002-0C52-4A38-954D-D089FB774FFE}"/>
            </c:ext>
          </c:extLst>
        </c:ser>
        <c:ser>
          <c:idx val="1"/>
          <c:order val="1"/>
          <c:tx>
            <c:strRef>
              <c:f>'Waktu Muncul Tunas'!$J$23</c:f>
              <c:strCache>
                <c:ptCount val="1"/>
                <c:pt idx="0">
                  <c:v>P1 = NPK Compound Fertilizer 2 g/L</c:v>
                </c:pt>
              </c:strCache>
            </c:strRef>
          </c:tx>
          <c:spPr>
            <a:solidFill>
              <a:schemeClr val="accent2"/>
            </a:solidFill>
            <a:ln>
              <a:noFill/>
            </a:ln>
            <a:effectLst/>
          </c:spPr>
          <c:invertIfNegative val="0"/>
          <c:dLbls>
            <c:dLbl>
              <c:idx val="0"/>
              <c:layout>
                <c:manualLayout>
                  <c:x val="-2.9397637216559162E-3"/>
                  <c:y val="-2.908172834319288E-1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7.7862823372273224E-2"/>
                      <c:h val="0.12680862544466207"/>
                    </c:manualLayout>
                  </c15:layout>
                </c:ext>
                <c:ext xmlns:c16="http://schemas.microsoft.com/office/drawing/2014/chart" uri="{C3380CC4-5D6E-409C-BE32-E72D297353CC}">
                  <c16:uniqueId val="{00000003-0C52-4A38-954D-D089FB774FFE}"/>
                </c:ext>
              </c:extLst>
            </c:dLbl>
            <c:dLbl>
              <c:idx val="1"/>
              <c:layout>
                <c:manualLayout>
                  <c:x val="-5.3897167565923241E-17"/>
                  <c:y val="-1.26903553299492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52-4A38-954D-D089FB774FFE}"/>
                </c:ext>
              </c:extLst>
            </c:dLbl>
            <c:dLbl>
              <c:idx val="2"/>
              <c:layout>
                <c:manualLayout>
                  <c:x val="0"/>
                  <c:y val="-3.80710659898477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52-4A38-954D-D089FB774FFE}"/>
                </c:ext>
              </c:extLst>
            </c:dLbl>
            <c:dLbl>
              <c:idx val="3"/>
              <c:layout>
                <c:manualLayout>
                  <c:x val="0"/>
                  <c:y val="-2.5380710659898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05-4A20-91BA-70376AFAE4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Tunas'!$K$21:$N$21</c:f>
              <c:strCache>
                <c:ptCount val="4"/>
                <c:pt idx="0">
                  <c:v>S0</c:v>
                </c:pt>
                <c:pt idx="1">
                  <c:v>S1</c:v>
                </c:pt>
                <c:pt idx="2">
                  <c:v>S2</c:v>
                </c:pt>
                <c:pt idx="3">
                  <c:v>S3</c:v>
                </c:pt>
              </c:strCache>
            </c:strRef>
          </c:cat>
          <c:val>
            <c:numRef>
              <c:f>'Waktu Muncul Tunas'!$K$23:$N$23</c:f>
              <c:numCache>
                <c:formatCode>0.00</c:formatCode>
                <c:ptCount val="4"/>
                <c:pt idx="0">
                  <c:v>13.280000000000001</c:v>
                </c:pt>
                <c:pt idx="1">
                  <c:v>15.813333333333333</c:v>
                </c:pt>
                <c:pt idx="2">
                  <c:v>18.100000000000001</c:v>
                </c:pt>
                <c:pt idx="3">
                  <c:v>20.465</c:v>
                </c:pt>
              </c:numCache>
            </c:numRef>
          </c:val>
          <c:extLst>
            <c:ext xmlns:c16="http://schemas.microsoft.com/office/drawing/2014/chart" uri="{C3380CC4-5D6E-409C-BE32-E72D297353CC}">
              <c16:uniqueId val="{00000006-0C52-4A38-954D-D089FB774FFE}"/>
            </c:ext>
          </c:extLst>
        </c:ser>
        <c:ser>
          <c:idx val="2"/>
          <c:order val="2"/>
          <c:tx>
            <c:strRef>
              <c:f>'Waktu Muncul Tunas'!$J$24</c:f>
              <c:strCache>
                <c:ptCount val="1"/>
                <c:pt idx="0">
                  <c:v>P2 = NPK Coumpound Fertilizer 4 g/L</c:v>
                </c:pt>
              </c:strCache>
            </c:strRef>
          </c:tx>
          <c:spPr>
            <a:solidFill>
              <a:schemeClr val="accent3"/>
            </a:solidFill>
            <a:ln>
              <a:noFill/>
            </a:ln>
            <a:effectLst/>
          </c:spPr>
          <c:invertIfNegative val="0"/>
          <c:dLbls>
            <c:dLbl>
              <c:idx val="0"/>
              <c:layout>
                <c:manualLayout>
                  <c:x val="1.469939732470963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52-4A38-954D-D089FB774FFE}"/>
                </c:ext>
              </c:extLst>
            </c:dLbl>
            <c:dLbl>
              <c:idx val="1"/>
              <c:layout>
                <c:manualLayout>
                  <c:x val="1.7639276789651624E-2"/>
                  <c:y val="-2.53807106598984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C52-4A38-954D-D089FB774FFE}"/>
                </c:ext>
              </c:extLst>
            </c:dLbl>
            <c:dLbl>
              <c:idx val="2"/>
              <c:layout>
                <c:manualLayout>
                  <c:x val="1.7639276789651624E-2"/>
                  <c:y val="-6.34517766497461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C52-4A38-954D-D089FB774FFE}"/>
                </c:ext>
              </c:extLst>
            </c:dLbl>
            <c:dLbl>
              <c:idx val="3"/>
              <c:layout>
                <c:manualLayout>
                  <c:x val="2.0579156254593455E-2"/>
                  <c:y val="-1.90355329949238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05-4A20-91BA-70376AFAE4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Tunas'!$K$21:$N$21</c:f>
              <c:strCache>
                <c:ptCount val="4"/>
                <c:pt idx="0">
                  <c:v>S0</c:v>
                </c:pt>
                <c:pt idx="1">
                  <c:v>S1</c:v>
                </c:pt>
                <c:pt idx="2">
                  <c:v>S2</c:v>
                </c:pt>
                <c:pt idx="3">
                  <c:v>S3</c:v>
                </c:pt>
              </c:strCache>
            </c:strRef>
          </c:cat>
          <c:val>
            <c:numRef>
              <c:f>'Waktu Muncul Tunas'!$K$24:$N$24</c:f>
              <c:numCache>
                <c:formatCode>0.00</c:formatCode>
                <c:ptCount val="4"/>
                <c:pt idx="0">
                  <c:v>14</c:v>
                </c:pt>
                <c:pt idx="1">
                  <c:v>16.443333333333332</c:v>
                </c:pt>
                <c:pt idx="2">
                  <c:v>18.5</c:v>
                </c:pt>
                <c:pt idx="3">
                  <c:v>20.664999999999999</c:v>
                </c:pt>
              </c:numCache>
            </c:numRef>
          </c:val>
          <c:extLst>
            <c:ext xmlns:c16="http://schemas.microsoft.com/office/drawing/2014/chart" uri="{C3380CC4-5D6E-409C-BE32-E72D297353CC}">
              <c16:uniqueId val="{0000000A-0C52-4A38-954D-D089FB774FFE}"/>
            </c:ext>
          </c:extLst>
        </c:ser>
        <c:dLbls>
          <c:dLblPos val="outEnd"/>
          <c:showLegendKey val="0"/>
          <c:showVal val="1"/>
          <c:showCatName val="0"/>
          <c:showSerName val="0"/>
          <c:showPercent val="0"/>
          <c:showBubbleSize val="0"/>
        </c:dLbls>
        <c:gapWidth val="105"/>
        <c:overlap val="-15"/>
        <c:axId val="679465080"/>
        <c:axId val="679464720"/>
      </c:barChart>
      <c:catAx>
        <c:axId val="67946508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D" sz="900" b="0" i="0" u="none" strike="noStrike" kern="1200" baseline="0">
                    <a:solidFill>
                      <a:sysClr val="windowText" lastClr="000000"/>
                    </a:solidFill>
                    <a:latin typeface="Arial" panose="020B0604020202020204" pitchFamily="34" charset="0"/>
                    <a:cs typeface="Arial" panose="020B0604020202020204" pitchFamily="34" charset="0"/>
                  </a:rPr>
                  <a:t>Note :     S0 = Sucrose 30g/L ; S1 = Sucrose 60 g/L ; </a:t>
                </a:r>
              </a:p>
              <a:p>
                <a:pPr>
                  <a:defRPr sz="900">
                    <a:latin typeface="Arial" panose="020B0604020202020204" pitchFamily="34" charset="0"/>
                    <a:cs typeface="Arial" panose="020B0604020202020204" pitchFamily="34" charset="0"/>
                  </a:defRPr>
                </a:pPr>
                <a:r>
                  <a:rPr lang="en-ID" sz="900" b="0" i="0" u="none" strike="noStrike" kern="1200" baseline="0">
                    <a:solidFill>
                      <a:sysClr val="windowText" lastClr="000000"/>
                    </a:solidFill>
                    <a:latin typeface="Arial" panose="020B0604020202020204" pitchFamily="34" charset="0"/>
                    <a:cs typeface="Arial" panose="020B0604020202020204" pitchFamily="34" charset="0"/>
                  </a:rPr>
                  <a:t>             S2 = Sucrose 90g/L ; S3 = Sucrose 120 g/L</a:t>
                </a:r>
              </a:p>
              <a:p>
                <a:pPr>
                  <a:defRPr sz="900">
                    <a:latin typeface="Arial" panose="020B0604020202020204" pitchFamily="34" charset="0"/>
                    <a:cs typeface="Arial" panose="020B0604020202020204" pitchFamily="34" charset="0"/>
                  </a:defRPr>
                </a:pPr>
                <a:endParaRPr lang="en-ID" sz="900">
                  <a:latin typeface="Arial" panose="020B0604020202020204" pitchFamily="34" charset="0"/>
                  <a:cs typeface="Arial" panose="020B0604020202020204" pitchFamily="34" charset="0"/>
                </a:endParaRPr>
              </a:p>
            </c:rich>
          </c:tx>
          <c:layout>
            <c:manualLayout>
              <c:xMode val="edge"/>
              <c:yMode val="edge"/>
              <c:x val="0.21300769345622186"/>
              <c:y val="0.801998481154322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9464720"/>
        <c:crosses val="autoZero"/>
        <c:auto val="1"/>
        <c:lblAlgn val="ctr"/>
        <c:lblOffset val="100"/>
        <c:noMultiLvlLbl val="0"/>
      </c:catAx>
      <c:valAx>
        <c:axId val="679464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ID" sz="900">
                    <a:latin typeface="Arial" panose="020B0604020202020204" pitchFamily="34" charset="0"/>
                    <a:cs typeface="Arial" panose="020B0604020202020204" pitchFamily="34" charset="0"/>
                  </a:rPr>
                  <a:t> </a:t>
                </a:r>
                <a:r>
                  <a:rPr lang="id-ID" sz="900" b="0" i="0" u="none" strike="noStrike" kern="1200" baseline="0">
                    <a:solidFill>
                      <a:sysClr val="windowText" lastClr="000000"/>
                    </a:solidFill>
                    <a:effectLst/>
                    <a:latin typeface="Arial" panose="020B0604020202020204" pitchFamily="34" charset="0"/>
                    <a:cs typeface="Arial" panose="020B0604020202020204" pitchFamily="34" charset="0"/>
                  </a:rPr>
                  <a:t>Time to Micro Shoot Emergence</a:t>
                </a:r>
                <a:r>
                  <a:rPr lang="en-US" sz="900" b="0" i="0" u="none" strike="noStrike" kern="1200" baseline="0">
                    <a:solidFill>
                      <a:sysClr val="windowText" lastClr="000000"/>
                    </a:solidFill>
                    <a:effectLst/>
                    <a:latin typeface="Arial" panose="020B0604020202020204" pitchFamily="34" charset="0"/>
                    <a:cs typeface="Arial" panose="020B0604020202020204" pitchFamily="34" charset="0"/>
                  </a:rPr>
                  <a:t> </a:t>
                </a:r>
                <a:r>
                  <a:rPr lang="en-ID" sz="900" b="0" i="0" u="none" strike="noStrike" kern="1200" baseline="0">
                    <a:solidFill>
                      <a:sysClr val="windowText" lastClr="000000"/>
                    </a:solidFill>
                    <a:latin typeface="Arial" panose="020B0604020202020204" pitchFamily="34" charset="0"/>
                    <a:cs typeface="Arial" panose="020B0604020202020204" pitchFamily="34" charset="0"/>
                  </a:rPr>
                  <a:t>(DAP)</a:t>
                </a:r>
              </a:p>
            </c:rich>
          </c:tx>
          <c:layout>
            <c:manualLayout>
              <c:xMode val="edge"/>
              <c:yMode val="edge"/>
              <c:x val="2.9398794649419375E-2"/>
              <c:y val="8.4075102921779443E-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9465080"/>
        <c:crosses val="autoZero"/>
        <c:crossBetween val="between"/>
      </c:valAx>
      <c:spPr>
        <a:noFill/>
        <a:ln>
          <a:noFill/>
        </a:ln>
        <a:effectLst/>
      </c:spPr>
    </c:plotArea>
    <c:legend>
      <c:legendPos val="t"/>
      <c:layout>
        <c:manualLayout>
          <c:xMode val="edge"/>
          <c:yMode val="edge"/>
          <c:x val="0"/>
          <c:y val="0.69933250729445617"/>
          <c:w val="0.99722222222222223"/>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ptos Display" panose="020B00040202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10060779375145"/>
          <c:y val="9.3355590180748155E-2"/>
          <c:w val="0.78826299059087468"/>
          <c:h val="0.51027094856306732"/>
        </c:manualLayout>
      </c:layout>
      <c:barChart>
        <c:barDir val="col"/>
        <c:grouping val="clustered"/>
        <c:varyColors val="0"/>
        <c:ser>
          <c:idx val="0"/>
          <c:order val="0"/>
          <c:tx>
            <c:strRef>
              <c:f>'waktu muncul daun'!$D$23</c:f>
              <c:strCache>
                <c:ptCount val="1"/>
                <c:pt idx="0">
                  <c:v>P0 = 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daun'!$E$22:$H$22</c:f>
              <c:strCache>
                <c:ptCount val="4"/>
                <c:pt idx="0">
                  <c:v>S0</c:v>
                </c:pt>
                <c:pt idx="1">
                  <c:v>S1</c:v>
                </c:pt>
                <c:pt idx="2">
                  <c:v>S2</c:v>
                </c:pt>
                <c:pt idx="3">
                  <c:v>S3</c:v>
                </c:pt>
              </c:strCache>
            </c:strRef>
          </c:cat>
          <c:val>
            <c:numRef>
              <c:f>'waktu muncul daun'!$E$23:$H$23</c:f>
              <c:numCache>
                <c:formatCode>0.00</c:formatCode>
                <c:ptCount val="4"/>
                <c:pt idx="0">
                  <c:v>5.333333333333333</c:v>
                </c:pt>
                <c:pt idx="1">
                  <c:v>5.1466666666666665</c:v>
                </c:pt>
                <c:pt idx="2">
                  <c:v>6.38</c:v>
                </c:pt>
                <c:pt idx="3">
                  <c:v>7</c:v>
                </c:pt>
              </c:numCache>
            </c:numRef>
          </c:val>
          <c:extLst>
            <c:ext xmlns:c16="http://schemas.microsoft.com/office/drawing/2014/chart" uri="{C3380CC4-5D6E-409C-BE32-E72D297353CC}">
              <c16:uniqueId val="{00000000-CCF8-4CC9-8E27-F46E6E79C1A0}"/>
            </c:ext>
          </c:extLst>
        </c:ser>
        <c:ser>
          <c:idx val="1"/>
          <c:order val="1"/>
          <c:tx>
            <c:strRef>
              <c:f>'waktu muncul daun'!$D$24</c:f>
              <c:strCache>
                <c:ptCount val="1"/>
                <c:pt idx="0">
                  <c:v>P1 = NPK Compound Fertilizer 2g/L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daun'!$E$22:$H$22</c:f>
              <c:strCache>
                <c:ptCount val="4"/>
                <c:pt idx="0">
                  <c:v>S0</c:v>
                </c:pt>
                <c:pt idx="1">
                  <c:v>S1</c:v>
                </c:pt>
                <c:pt idx="2">
                  <c:v>S2</c:v>
                </c:pt>
                <c:pt idx="3">
                  <c:v>S3</c:v>
                </c:pt>
              </c:strCache>
            </c:strRef>
          </c:cat>
          <c:val>
            <c:numRef>
              <c:f>'waktu muncul daun'!$E$24:$H$24</c:f>
              <c:numCache>
                <c:formatCode>0.00</c:formatCode>
                <c:ptCount val="4"/>
                <c:pt idx="0">
                  <c:v>6</c:v>
                </c:pt>
                <c:pt idx="1">
                  <c:v>6.75</c:v>
                </c:pt>
                <c:pt idx="2">
                  <c:v>7</c:v>
                </c:pt>
                <c:pt idx="3">
                  <c:v>7.5</c:v>
                </c:pt>
              </c:numCache>
            </c:numRef>
          </c:val>
          <c:extLst>
            <c:ext xmlns:c16="http://schemas.microsoft.com/office/drawing/2014/chart" uri="{C3380CC4-5D6E-409C-BE32-E72D297353CC}">
              <c16:uniqueId val="{00000001-CCF8-4CC9-8E27-F46E6E79C1A0}"/>
            </c:ext>
          </c:extLst>
        </c:ser>
        <c:ser>
          <c:idx val="2"/>
          <c:order val="2"/>
          <c:tx>
            <c:strRef>
              <c:f>'waktu muncul daun'!$D$25</c:f>
              <c:strCache>
                <c:ptCount val="1"/>
                <c:pt idx="0">
                  <c:v>P2 = NPK Compound Fertilizer 4 g/L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daun'!$E$22:$H$22</c:f>
              <c:strCache>
                <c:ptCount val="4"/>
                <c:pt idx="0">
                  <c:v>S0</c:v>
                </c:pt>
                <c:pt idx="1">
                  <c:v>S1</c:v>
                </c:pt>
                <c:pt idx="2">
                  <c:v>S2</c:v>
                </c:pt>
                <c:pt idx="3">
                  <c:v>S3</c:v>
                </c:pt>
              </c:strCache>
            </c:strRef>
          </c:cat>
          <c:val>
            <c:numRef>
              <c:f>'waktu muncul daun'!$E$25:$H$25</c:f>
              <c:numCache>
                <c:formatCode>0.00</c:formatCode>
                <c:ptCount val="4"/>
                <c:pt idx="0">
                  <c:v>0</c:v>
                </c:pt>
                <c:pt idx="1">
                  <c:v>0</c:v>
                </c:pt>
                <c:pt idx="2">
                  <c:v>0</c:v>
                </c:pt>
                <c:pt idx="3">
                  <c:v>0</c:v>
                </c:pt>
              </c:numCache>
            </c:numRef>
          </c:val>
          <c:extLst>
            <c:ext xmlns:c16="http://schemas.microsoft.com/office/drawing/2014/chart" uri="{C3380CC4-5D6E-409C-BE32-E72D297353CC}">
              <c16:uniqueId val="{00000002-CCF8-4CC9-8E27-F46E6E79C1A0}"/>
            </c:ext>
          </c:extLst>
        </c:ser>
        <c:dLbls>
          <c:dLblPos val="outEnd"/>
          <c:showLegendKey val="0"/>
          <c:showVal val="1"/>
          <c:showCatName val="0"/>
          <c:showSerName val="0"/>
          <c:showPercent val="0"/>
          <c:showBubbleSize val="0"/>
        </c:dLbls>
        <c:gapWidth val="75"/>
        <c:overlap val="-25"/>
        <c:axId val="635672656"/>
        <c:axId val="635667256"/>
      </c:barChart>
      <c:catAx>
        <c:axId val="635672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b="0" i="0" u="none" strike="noStrike" kern="1200" baseline="0">
                    <a:solidFill>
                      <a:sysClr val="windowText" lastClr="000000"/>
                    </a:solidFill>
                    <a:latin typeface="Times New Roman" panose="02020603050405020304" pitchFamily="18" charset="0"/>
                    <a:cs typeface="Times New Roman" panose="02020603050405020304" pitchFamily="18" charset="0"/>
                  </a:rPr>
                  <a:t>Note :     S0 = Sucrose 30g/L ; S1 = Sucrose 60 g/L ; </a:t>
                </a:r>
              </a:p>
              <a:p>
                <a:pPr>
                  <a:defRPr/>
                </a:pPr>
                <a:r>
                  <a:rPr lang="en-ID" sz="1000" b="0" i="0" u="none" strike="noStrike" kern="1200" baseline="0">
                    <a:solidFill>
                      <a:sysClr val="windowText" lastClr="000000"/>
                    </a:solidFill>
                    <a:latin typeface="Times New Roman" panose="02020603050405020304" pitchFamily="18" charset="0"/>
                    <a:cs typeface="Times New Roman" panose="02020603050405020304" pitchFamily="18" charset="0"/>
                  </a:rPr>
                  <a:t>             S2 = Sucrose 90g/L ; S3 = Sucrose 120 g/L</a:t>
                </a:r>
              </a:p>
            </c:rich>
          </c:tx>
          <c:layout>
            <c:manualLayout>
              <c:xMode val="edge"/>
              <c:yMode val="edge"/>
              <c:x val="0.23923433119112444"/>
              <c:y val="0.810614293619060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667256"/>
        <c:crosses val="autoZero"/>
        <c:auto val="1"/>
        <c:lblAlgn val="ctr"/>
        <c:lblOffset val="100"/>
        <c:noMultiLvlLbl val="0"/>
      </c:catAx>
      <c:valAx>
        <c:axId val="635667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ID" sz="900">
                    <a:solidFill>
                      <a:schemeClr val="tx1"/>
                    </a:solidFill>
                    <a:latin typeface="Arial" panose="020B0604020202020204" pitchFamily="34" charset="0"/>
                    <a:cs typeface="Arial" panose="020B0604020202020204" pitchFamily="34" charset="0"/>
                  </a:rPr>
                  <a:t> </a:t>
                </a:r>
                <a:r>
                  <a:rPr lang="en-US" sz="900" b="0" i="0" u="none" strike="noStrike" kern="1200" baseline="0">
                    <a:solidFill>
                      <a:schemeClr val="tx1"/>
                    </a:solidFill>
                    <a:effectLst/>
                    <a:latin typeface="Arial" panose="020B0604020202020204" pitchFamily="34" charset="0"/>
                    <a:cs typeface="Arial" panose="020B0604020202020204" pitchFamily="34" charset="0"/>
                  </a:rPr>
                  <a:t>Time to Micro Leaf Emergence</a:t>
                </a:r>
                <a:r>
                  <a:rPr lang="en-ID" sz="900" b="0" i="0" u="none" strike="noStrike" kern="1200" baseline="0">
                    <a:solidFill>
                      <a:schemeClr val="tx1"/>
                    </a:solidFill>
                    <a:latin typeface="Arial" panose="020B0604020202020204" pitchFamily="34" charset="0"/>
                    <a:cs typeface="Arial" panose="020B0604020202020204" pitchFamily="34" charset="0"/>
                  </a:rPr>
                  <a:t> (WAP)</a:t>
                </a:r>
                <a:endParaRPr lang="en-ID" sz="900">
                  <a:solidFill>
                    <a:schemeClr val="tx1"/>
                  </a:solidFill>
                  <a:latin typeface="Arial" panose="020B0604020202020204" pitchFamily="34" charset="0"/>
                  <a:cs typeface="Arial" panose="020B0604020202020204" pitchFamily="34" charset="0"/>
                </a:endParaRPr>
              </a:p>
            </c:rich>
          </c:tx>
          <c:layout>
            <c:manualLayout>
              <c:xMode val="edge"/>
              <c:yMode val="edge"/>
              <c:x val="1.9495891937056122E-2"/>
              <c:y val="7.5713720142524088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672656"/>
        <c:crosses val="autoZero"/>
        <c:crossBetween val="between"/>
        <c:majorUnit val="2"/>
      </c:valAx>
      <c:spPr>
        <a:noFill/>
        <a:ln>
          <a:noFill/>
        </a:ln>
        <a:effectLst/>
      </c:spPr>
    </c:plotArea>
    <c:legend>
      <c:legendPos val="t"/>
      <c:layout>
        <c:manualLayout>
          <c:xMode val="edge"/>
          <c:yMode val="edge"/>
          <c:x val="6.9495946762399022E-2"/>
          <c:y val="0.69979417818288736"/>
          <c:w val="0.89999989034931416"/>
          <c:h val="9.92362135268228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2857247628127"/>
          <c:y val="9.9236213526822839E-2"/>
          <c:w val="0.78542429232755728"/>
          <c:h val="0.55446406452942276"/>
        </c:manualLayout>
      </c:layout>
      <c:barChart>
        <c:barDir val="col"/>
        <c:grouping val="clustered"/>
        <c:varyColors val="0"/>
        <c:ser>
          <c:idx val="0"/>
          <c:order val="0"/>
          <c:tx>
            <c:strRef>
              <c:f>'Waktu muncul Umbi'!$C$26</c:f>
              <c:strCache>
                <c:ptCount val="1"/>
                <c:pt idx="0">
                  <c:v>P0 = 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Umbi'!$D$25:$G$25</c:f>
              <c:strCache>
                <c:ptCount val="4"/>
                <c:pt idx="0">
                  <c:v>S0</c:v>
                </c:pt>
                <c:pt idx="1">
                  <c:v>S1</c:v>
                </c:pt>
                <c:pt idx="2">
                  <c:v>S2</c:v>
                </c:pt>
                <c:pt idx="3">
                  <c:v>S3</c:v>
                </c:pt>
              </c:strCache>
            </c:strRef>
          </c:cat>
          <c:val>
            <c:numRef>
              <c:f>'Waktu muncul Umbi'!$D$26:$G$26</c:f>
              <c:numCache>
                <c:formatCode>0.00</c:formatCode>
                <c:ptCount val="4"/>
                <c:pt idx="0">
                  <c:v>8.7433333333333341</c:v>
                </c:pt>
                <c:pt idx="1">
                  <c:v>7.706666666666667</c:v>
                </c:pt>
                <c:pt idx="2">
                  <c:v>8.3966666666666665</c:v>
                </c:pt>
                <c:pt idx="3">
                  <c:v>9.7000000000000011</c:v>
                </c:pt>
              </c:numCache>
            </c:numRef>
          </c:val>
          <c:extLst>
            <c:ext xmlns:c16="http://schemas.microsoft.com/office/drawing/2014/chart" uri="{C3380CC4-5D6E-409C-BE32-E72D297353CC}">
              <c16:uniqueId val="{00000000-DDE8-46CF-BA3E-F259F3ED6463}"/>
            </c:ext>
          </c:extLst>
        </c:ser>
        <c:ser>
          <c:idx val="1"/>
          <c:order val="1"/>
          <c:tx>
            <c:strRef>
              <c:f>'Waktu muncul Umbi'!$C$27</c:f>
              <c:strCache>
                <c:ptCount val="1"/>
                <c:pt idx="0">
                  <c:v>P1 = NPK Compound Fertilizer 2g/L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Umbi'!$D$25:$G$25</c:f>
              <c:strCache>
                <c:ptCount val="4"/>
                <c:pt idx="0">
                  <c:v>S0</c:v>
                </c:pt>
                <c:pt idx="1">
                  <c:v>S1</c:v>
                </c:pt>
                <c:pt idx="2">
                  <c:v>S2</c:v>
                </c:pt>
                <c:pt idx="3">
                  <c:v>S3</c:v>
                </c:pt>
              </c:strCache>
            </c:strRef>
          </c:cat>
          <c:val>
            <c:numRef>
              <c:f>'Waktu muncul Umbi'!$D$27:$G$27</c:f>
              <c:numCache>
                <c:formatCode>0.00</c:formatCode>
                <c:ptCount val="4"/>
                <c:pt idx="0">
                  <c:v>10</c:v>
                </c:pt>
                <c:pt idx="1">
                  <c:v>9.5</c:v>
                </c:pt>
                <c:pt idx="2">
                  <c:v>0</c:v>
                </c:pt>
                <c:pt idx="3">
                  <c:v>0</c:v>
                </c:pt>
              </c:numCache>
            </c:numRef>
          </c:val>
          <c:extLst>
            <c:ext xmlns:c16="http://schemas.microsoft.com/office/drawing/2014/chart" uri="{C3380CC4-5D6E-409C-BE32-E72D297353CC}">
              <c16:uniqueId val="{00000001-DDE8-46CF-BA3E-F259F3ED6463}"/>
            </c:ext>
          </c:extLst>
        </c:ser>
        <c:ser>
          <c:idx val="2"/>
          <c:order val="2"/>
          <c:tx>
            <c:strRef>
              <c:f>'Waktu muncul Umbi'!$C$28</c:f>
              <c:strCache>
                <c:ptCount val="1"/>
                <c:pt idx="0">
                  <c:v>P2 = NPK Compound Fertilizer 4 g/L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Umbi'!$D$25:$G$25</c:f>
              <c:strCache>
                <c:ptCount val="4"/>
                <c:pt idx="0">
                  <c:v>S0</c:v>
                </c:pt>
                <c:pt idx="1">
                  <c:v>S1</c:v>
                </c:pt>
                <c:pt idx="2">
                  <c:v>S2</c:v>
                </c:pt>
                <c:pt idx="3">
                  <c:v>S3</c:v>
                </c:pt>
              </c:strCache>
            </c:strRef>
          </c:cat>
          <c:val>
            <c:numRef>
              <c:f>'Waktu muncul Umbi'!$D$28:$G$28</c:f>
              <c:numCache>
                <c:formatCode>0.00</c:formatCode>
                <c:ptCount val="4"/>
                <c:pt idx="0">
                  <c:v>0</c:v>
                </c:pt>
                <c:pt idx="1">
                  <c:v>0</c:v>
                </c:pt>
                <c:pt idx="2">
                  <c:v>0</c:v>
                </c:pt>
                <c:pt idx="3">
                  <c:v>0</c:v>
                </c:pt>
              </c:numCache>
            </c:numRef>
          </c:val>
          <c:extLst>
            <c:ext xmlns:c16="http://schemas.microsoft.com/office/drawing/2014/chart" uri="{C3380CC4-5D6E-409C-BE32-E72D297353CC}">
              <c16:uniqueId val="{00000002-DDE8-46CF-BA3E-F259F3ED6463}"/>
            </c:ext>
          </c:extLst>
        </c:ser>
        <c:dLbls>
          <c:dLblPos val="outEnd"/>
          <c:showLegendKey val="0"/>
          <c:showVal val="1"/>
          <c:showCatName val="0"/>
          <c:showSerName val="0"/>
          <c:showPercent val="0"/>
          <c:showBubbleSize val="0"/>
        </c:dLbls>
        <c:gapWidth val="219"/>
        <c:overlap val="-27"/>
        <c:axId val="786269464"/>
        <c:axId val="786268024"/>
      </c:barChart>
      <c:catAx>
        <c:axId val="7862694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D" sz="900" b="0" i="0" u="none" strike="noStrike" kern="1200" baseline="0">
                    <a:solidFill>
                      <a:sysClr val="windowText" lastClr="000000"/>
                    </a:solidFill>
                    <a:latin typeface="Arial" panose="020B0604020202020204" pitchFamily="34" charset="0"/>
                    <a:cs typeface="Arial" panose="020B0604020202020204" pitchFamily="34" charset="0"/>
                  </a:rPr>
                  <a:t>Note :     S0 = Sucrose 30g/L ; S1 = Sucrose 60 g/L ; </a:t>
                </a:r>
              </a:p>
              <a:p>
                <a:pPr>
                  <a:defRPr sz="900">
                    <a:latin typeface="Arial" panose="020B0604020202020204" pitchFamily="34" charset="0"/>
                    <a:cs typeface="Arial" panose="020B0604020202020204" pitchFamily="34" charset="0"/>
                  </a:defRPr>
                </a:pPr>
                <a:r>
                  <a:rPr lang="en-ID" sz="900" b="0" i="0" u="none" strike="noStrike" kern="1200" baseline="0">
                    <a:solidFill>
                      <a:sysClr val="windowText" lastClr="000000"/>
                    </a:solidFill>
                    <a:latin typeface="Arial" panose="020B0604020202020204" pitchFamily="34" charset="0"/>
                    <a:cs typeface="Arial" panose="020B0604020202020204" pitchFamily="34" charset="0"/>
                  </a:rPr>
                  <a:t>             S2 = Sucrose 90g/L ; S3 = Sucrose 120 g/L</a:t>
                </a:r>
                <a:endParaRPr lang="en-ID" sz="900" b="0" i="0" u="none" strike="noStrike" kern="1200" baseline="0">
                  <a:solidFill>
                    <a:sysClr val="windowText" lastClr="000000">
                      <a:lumMod val="95000"/>
                      <a:lumOff val="5000"/>
                    </a:sysClr>
                  </a:solidFill>
                  <a:latin typeface="Arial" panose="020B0604020202020204" pitchFamily="34" charset="0"/>
                  <a:cs typeface="Arial" panose="020B0604020202020204" pitchFamily="34" charset="0"/>
                </a:endParaRPr>
              </a:p>
            </c:rich>
          </c:tx>
          <c:layout>
            <c:manualLayout>
              <c:xMode val="edge"/>
              <c:yMode val="edge"/>
              <c:x val="0.20916479428217113"/>
              <c:y val="0.843046162893266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268024"/>
        <c:crosses val="autoZero"/>
        <c:auto val="1"/>
        <c:lblAlgn val="ctr"/>
        <c:lblOffset val="100"/>
        <c:noMultiLvlLbl val="0"/>
      </c:catAx>
      <c:valAx>
        <c:axId val="7862680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id-ID" sz="900" b="0" i="0" u="none" strike="noStrike" kern="1200" baseline="0">
                    <a:solidFill>
                      <a:sysClr val="windowText" lastClr="000000">
                        <a:lumMod val="95000"/>
                        <a:lumOff val="5000"/>
                      </a:sysClr>
                    </a:solidFill>
                    <a:effectLst/>
                    <a:latin typeface="Arial" panose="020B0604020202020204" pitchFamily="34" charset="0"/>
                    <a:cs typeface="Arial" panose="020B0604020202020204" pitchFamily="34" charset="0"/>
                  </a:rPr>
                  <a:t>Time to Microbulb Emergence</a:t>
                </a:r>
                <a:r>
                  <a:rPr lang="en-ID" sz="900" b="0" i="0" u="none" strike="noStrike" kern="1200" baseline="0">
                    <a:solidFill>
                      <a:sysClr val="windowText" lastClr="000000">
                        <a:lumMod val="95000"/>
                        <a:lumOff val="5000"/>
                      </a:sysClr>
                    </a:solidFill>
                    <a:latin typeface="Arial" panose="020B0604020202020204" pitchFamily="34" charset="0"/>
                    <a:cs typeface="Arial" panose="020B0604020202020204" pitchFamily="34" charset="0"/>
                  </a:rPr>
                  <a:t> (WAP)</a:t>
                </a:r>
              </a:p>
            </c:rich>
          </c:tx>
          <c:layout>
            <c:manualLayout>
              <c:xMode val="edge"/>
              <c:yMode val="edge"/>
              <c:x val="2.2579734688117414E-2"/>
              <c:y val="6.3952473450374706E-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86269464"/>
        <c:crosses val="autoZero"/>
        <c:crossBetween val="between"/>
      </c:valAx>
      <c:spPr>
        <a:noFill/>
        <a:ln>
          <a:noFill/>
        </a:ln>
        <a:effectLst/>
      </c:spPr>
    </c:plotArea>
    <c:legend>
      <c:legendPos val="t"/>
      <c:layout>
        <c:manualLayout>
          <c:xMode val="edge"/>
          <c:yMode val="edge"/>
          <c:x val="7.5402090403390534E-2"/>
          <c:y val="0.74683916495148484"/>
          <c:w val="0.9"/>
          <c:h val="9.92362135268228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D1020-CDB3-4043-87BE-FCC3D581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2501</TotalTime>
  <Pages>14</Pages>
  <Words>6151</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citra bimanda</cp:lastModifiedBy>
  <cp:revision>533</cp:revision>
  <cp:lastPrinted>1999-07-06T11:00:00Z</cp:lastPrinted>
  <dcterms:created xsi:type="dcterms:W3CDTF">2014-10-25T14:34:00Z</dcterms:created>
  <dcterms:modified xsi:type="dcterms:W3CDTF">2026-02-14T14:17:00Z</dcterms:modified>
</cp:coreProperties>
</file>