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0BB38" w14:textId="484CBD82" w:rsidR="0052447C" w:rsidRPr="0052447C" w:rsidRDefault="0052447C" w:rsidP="0052447C">
      <w:pPr>
        <w:pStyle w:val="Title"/>
        <w:jc w:val="left"/>
        <w:rPr>
          <w:rFonts w:ascii="Arial" w:hAnsi="Arial" w:cs="Arial"/>
          <w:color w:val="000000"/>
          <w:u w:val="single"/>
          <w:lang w:val="en-IN"/>
        </w:rPr>
      </w:pPr>
      <w:r w:rsidRPr="0052447C">
        <w:rPr>
          <w:rFonts w:ascii="Arial" w:hAnsi="Arial" w:cs="Arial"/>
          <w:color w:val="000000"/>
          <w:u w:val="single"/>
          <w:lang w:val="en-IN"/>
        </w:rPr>
        <w:t>Original Research Article</w:t>
      </w:r>
    </w:p>
    <w:p w14:paraId="3464BE0A" w14:textId="4CA0D88F" w:rsidR="007171C8" w:rsidRPr="0073211C" w:rsidRDefault="00856351" w:rsidP="0073211C">
      <w:pPr>
        <w:pStyle w:val="Title"/>
        <w:jc w:val="right"/>
        <w:rPr>
          <w:rFonts w:ascii="Arial" w:hAnsi="Arial" w:cs="Arial"/>
          <w:color w:val="000000"/>
          <w:lang w:val="en-IN"/>
        </w:rPr>
      </w:pPr>
      <w:r w:rsidRPr="0073211C">
        <w:rPr>
          <w:rFonts w:ascii="Arial" w:hAnsi="Arial" w:cs="Arial"/>
          <w:color w:val="000000"/>
          <w:lang w:val="en-IN"/>
        </w:rPr>
        <w:t>Probabilistic Break-even analysis of field crops in Madhya Pradesh</w:t>
      </w:r>
    </w:p>
    <w:p w14:paraId="09D9F6D4" w14:textId="77777777" w:rsidR="00F07C3E" w:rsidRPr="00F07C3E" w:rsidRDefault="00F07C3E" w:rsidP="00F07C3E">
      <w:pPr>
        <w:pStyle w:val="BodyText"/>
        <w:jc w:val="right"/>
        <w:rPr>
          <w:rStyle w:val="Hyperlink"/>
          <w:rFonts w:ascii="Arial" w:hAnsi="Arial" w:cs="Arial"/>
          <w:color w:val="000000"/>
          <w:sz w:val="16"/>
          <w:szCs w:val="16"/>
          <w:lang w:val="en-IN"/>
        </w:rPr>
      </w:pPr>
    </w:p>
    <w:p w14:paraId="2036AF85" w14:textId="77777777" w:rsidR="00F07C3E" w:rsidRPr="0073211C" w:rsidRDefault="00F07C3E" w:rsidP="0073211C">
      <w:pPr>
        <w:pStyle w:val="BodyText"/>
        <w:jc w:val="right"/>
        <w:rPr>
          <w:rStyle w:val="Hyperlink"/>
          <w:rFonts w:ascii="Arial" w:hAnsi="Arial" w:cs="Arial"/>
          <w:color w:val="000000"/>
          <w:sz w:val="16"/>
          <w:szCs w:val="16"/>
          <w:lang w:val="en-IN"/>
        </w:rPr>
      </w:pPr>
    </w:p>
    <w:p w14:paraId="37D1699E" w14:textId="1DC4F55F" w:rsidR="0073211C" w:rsidRPr="0073211C" w:rsidRDefault="00000000" w:rsidP="0073211C">
      <w:pPr>
        <w:pStyle w:val="FirstParagraph"/>
        <w:rPr>
          <w:rFonts w:ascii="Arial" w:hAnsi="Arial" w:cs="Arial"/>
          <w:b/>
          <w:bCs/>
          <w:color w:val="000000"/>
          <w:lang w:val="en-IN"/>
        </w:rPr>
      </w:pPr>
      <w:r>
        <w:rPr>
          <w:rFonts w:ascii="Arial" w:hAnsi="Arial" w:cs="Arial"/>
        </w:rPr>
      </w:r>
      <w:r>
        <w:rPr>
          <w:rFonts w:ascii="Arial" w:hAnsi="Arial" w:cs="Arial"/>
        </w:rPr>
        <w:pict w14:anchorId="27725C0D">
          <v:shapetype id="_x0000_t32" coordsize="21600,21600" o:spt="32" o:oned="t" path="m,l21600,21600e" filled="f">
            <v:path arrowok="t" fillok="f" o:connecttype="none"/>
            <o:lock v:ext="edit" shapetype="t"/>
          </v:shapetype>
          <v:shape id="_x0000_s2052" type="#_x0000_t32" style="width:470.25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A8615E6" w14:textId="2B415763" w:rsidR="0073211C" w:rsidRPr="00885237" w:rsidRDefault="00000000" w:rsidP="0073211C">
      <w:pPr>
        <w:pStyle w:val="FirstParagraph"/>
        <w:jc w:val="both"/>
        <w:rPr>
          <w:rFonts w:ascii="Arial" w:hAnsi="Arial" w:cs="Arial"/>
          <w:color w:val="000000"/>
          <w:sz w:val="20"/>
          <w:szCs w:val="20"/>
          <w:lang w:val="en-IN"/>
        </w:rPr>
      </w:pPr>
      <w:r w:rsidRPr="00885237">
        <w:rPr>
          <w:rFonts w:ascii="Arial" w:hAnsi="Arial" w:cs="Arial"/>
          <w:noProof/>
          <w:sz w:val="20"/>
          <w:szCs w:val="20"/>
        </w:rPr>
        <w:pict w14:anchorId="04C22831">
          <v:rect id="_x0000_s2051" style="position:absolute;left:0;text-align:left;margin-left:-8.25pt;margin-top:14.9pt;width:484.5pt;height:194.55pt;z-index:251658240" filled="f"/>
        </w:pict>
      </w:r>
      <w:r w:rsidR="0073211C" w:rsidRPr="00885237">
        <w:rPr>
          <w:rFonts w:ascii="Arial" w:hAnsi="Arial" w:cs="Arial"/>
          <w:sz w:val="20"/>
          <w:szCs w:val="20"/>
        </w:rPr>
        <w:t>ABSTRACT</w:t>
      </w:r>
      <w:r w:rsidR="0073211C" w:rsidRPr="00885237">
        <w:rPr>
          <w:rFonts w:ascii="Arial" w:hAnsi="Arial" w:cs="Arial"/>
          <w:color w:val="000000"/>
          <w:sz w:val="20"/>
          <w:szCs w:val="20"/>
          <w:lang w:val="en-IN"/>
        </w:rPr>
        <w:t xml:space="preserve"> </w:t>
      </w:r>
    </w:p>
    <w:p w14:paraId="4E71F0EF" w14:textId="051F7EFB" w:rsidR="003E0AB6" w:rsidRPr="00885237" w:rsidRDefault="00A179B3" w:rsidP="00A179B3">
      <w:pPr>
        <w:pStyle w:val="BodyText"/>
        <w:jc w:val="both"/>
        <w:rPr>
          <w:sz w:val="20"/>
          <w:szCs w:val="20"/>
          <w:lang w:val="en-IN"/>
        </w:rPr>
      </w:pPr>
      <w:r w:rsidRPr="00885237">
        <w:rPr>
          <w:rFonts w:ascii="Arial" w:hAnsi="Arial" w:cs="Arial"/>
          <w:color w:val="000000"/>
          <w:sz w:val="20"/>
          <w:szCs w:val="20"/>
        </w:rPr>
        <w:t>A study was conducted to assess farmers’ profitability for major field crops in Madhya Pradesh. Cross-sectional data for the year 2019–20 on plot and state level cost of cultivation were obtained from the Directorate of Economics and Statistics, Government of India. Break-even yield was estimated and the probability of farmers failing to achieve this threshold was calculated. The study adopted an integrated analytical framework combining break-even analysis with probabilistic risk assessment. Yield distributions were first tested for normality and, where normality was not satisfied, probability estimates were obtained using numerical integration techniques. The findings revealed that the probability of not breaking even was highest for cotton, followed by pigeon pea and maize, indicating significant production and income risk in these crops. The negative break-even yield values observed for soybean and black gram suggest that, under prevailing cost and revenue conditions, farmers may not be able to cover even their variable costs, reflecting a situation of severe economic stress rather than short-term losses. The results further indicate considerable variation in profitability risk across crops. However, since the analysis is based on pooled cost data, differences in farm-level cost structures and management practices may not be fully captured. The study demonstrates that probabilistic break-even analysis can serve as a useful decision-support tool for designing crop-specific and risk-sensitive policy interventions, especially for vulnerable crops such as cotton, pigeon pea and maize.</w:t>
      </w:r>
    </w:p>
    <w:p w14:paraId="19949C9C" w14:textId="4EBD47A2" w:rsidR="007171C8" w:rsidRPr="0073211C" w:rsidRDefault="00856351" w:rsidP="0073211C">
      <w:pPr>
        <w:pStyle w:val="BodyText"/>
        <w:rPr>
          <w:rFonts w:ascii="Arial" w:hAnsi="Arial" w:cs="Arial"/>
          <w:color w:val="000000"/>
          <w:sz w:val="20"/>
          <w:szCs w:val="20"/>
        </w:rPr>
      </w:pPr>
      <w:r w:rsidRPr="0073211C">
        <w:rPr>
          <w:rFonts w:ascii="Arial" w:hAnsi="Arial" w:cs="Arial"/>
          <w:color w:val="000000"/>
          <w:sz w:val="20"/>
          <w:szCs w:val="20"/>
          <w:lang w:val="en-IN"/>
        </w:rPr>
        <w:t>Key words: break-even yield, probability, profitability</w:t>
      </w:r>
    </w:p>
    <w:p w14:paraId="73A358B1" w14:textId="171EF671" w:rsidR="007171C8" w:rsidRPr="0073211C" w:rsidRDefault="0073211C" w:rsidP="0073211C">
      <w:pPr>
        <w:jc w:val="both"/>
        <w:rPr>
          <w:rFonts w:ascii="Arial" w:hAnsi="Arial" w:cs="Arial"/>
          <w:b/>
          <w:bCs/>
          <w:color w:val="000000"/>
          <w:sz w:val="22"/>
          <w:szCs w:val="22"/>
          <w:lang w:val="en-IN"/>
        </w:rPr>
      </w:pPr>
      <w:r w:rsidRPr="0073211C">
        <w:rPr>
          <w:rFonts w:ascii="Arial" w:hAnsi="Arial" w:cs="Arial"/>
          <w:b/>
          <w:bCs/>
          <w:sz w:val="22"/>
          <w:szCs w:val="22"/>
        </w:rPr>
        <w:t>1. INTRODUCTION</w:t>
      </w:r>
    </w:p>
    <w:p w14:paraId="2CEE98EF" w14:textId="77777777" w:rsidR="002A1F86" w:rsidRPr="002A1F86" w:rsidRDefault="00856351" w:rsidP="002A1F86">
      <w:pPr>
        <w:jc w:val="both"/>
        <w:rPr>
          <w:rFonts w:ascii="Arial" w:hAnsi="Arial" w:cs="Arial"/>
          <w:color w:val="000000"/>
          <w:sz w:val="22"/>
          <w:szCs w:val="22"/>
          <w:shd w:val="clear" w:color="auto" w:fill="FFFFFF"/>
          <w:lang w:val="en-IN"/>
        </w:rPr>
      </w:pPr>
      <w:r w:rsidRPr="0073211C">
        <w:rPr>
          <w:rFonts w:ascii="Arial" w:hAnsi="Arial" w:cs="Arial"/>
          <w:color w:val="000000"/>
          <w:shd w:val="clear" w:color="auto" w:fill="FFFFFF"/>
          <w:lang w:val="en-IN"/>
        </w:rPr>
        <w:t xml:space="preserve">    </w:t>
      </w:r>
      <w:r w:rsidR="002A1F86" w:rsidRPr="002A1F86">
        <w:rPr>
          <w:rFonts w:ascii="Arial" w:hAnsi="Arial" w:cs="Arial"/>
          <w:color w:val="000000"/>
          <w:sz w:val="22"/>
          <w:szCs w:val="22"/>
          <w:shd w:val="clear" w:color="auto" w:fill="FFFFFF"/>
          <w:lang w:val="en-IN"/>
        </w:rPr>
        <w:t xml:space="preserve">After the Green Revolution, there has been an increase in the availability of rice and wheat per person, whereas a decrease in the availability of pulses and millets per person </w:t>
      </w:r>
      <w:r w:rsidR="002A1F86" w:rsidRPr="002A1F86">
        <w:rPr>
          <w:rFonts w:ascii="Arial" w:hAnsi="Arial" w:cs="Arial"/>
          <w:b/>
          <w:bCs/>
          <w:color w:val="000000"/>
          <w:sz w:val="22"/>
          <w:szCs w:val="22"/>
          <w:shd w:val="clear" w:color="auto" w:fill="FFFFFF"/>
          <w:lang w:val="en-IN"/>
        </w:rPr>
        <w:t>has been observed</w:t>
      </w:r>
      <w:r w:rsidR="002A1F86" w:rsidRPr="002A1F86">
        <w:rPr>
          <w:rFonts w:ascii="Arial" w:hAnsi="Arial" w:cs="Arial"/>
          <w:color w:val="000000"/>
          <w:sz w:val="22"/>
          <w:szCs w:val="22"/>
          <w:shd w:val="clear" w:color="auto" w:fill="FFFFFF"/>
          <w:lang w:val="en-IN"/>
        </w:rPr>
        <w:t xml:space="preserve">. The major reason for this unavailability </w:t>
      </w:r>
      <w:r w:rsidR="002A1F86" w:rsidRPr="002A1F86">
        <w:rPr>
          <w:rFonts w:ascii="Arial" w:hAnsi="Arial" w:cs="Arial"/>
          <w:b/>
          <w:bCs/>
          <w:color w:val="000000"/>
          <w:sz w:val="22"/>
          <w:szCs w:val="22"/>
          <w:shd w:val="clear" w:color="auto" w:fill="FFFFFF"/>
          <w:lang w:val="en-IN"/>
        </w:rPr>
        <w:t>was the focus given mainly to</w:t>
      </w:r>
      <w:r w:rsidR="002A1F86" w:rsidRPr="002A1F86">
        <w:rPr>
          <w:rFonts w:ascii="Arial" w:hAnsi="Arial" w:cs="Arial"/>
          <w:color w:val="000000"/>
          <w:sz w:val="22"/>
          <w:szCs w:val="22"/>
          <w:shd w:val="clear" w:color="auto" w:fill="FFFFFF"/>
          <w:lang w:val="en-IN"/>
        </w:rPr>
        <w:t xml:space="preserve"> wheat and rice production during the Green Revolution. Per capita availability of pulses </w:t>
      </w:r>
      <w:r w:rsidR="002A1F86" w:rsidRPr="002A1F86">
        <w:rPr>
          <w:rFonts w:ascii="Arial" w:hAnsi="Arial" w:cs="Arial"/>
          <w:b/>
          <w:bCs/>
          <w:color w:val="000000"/>
          <w:sz w:val="22"/>
          <w:szCs w:val="22"/>
          <w:shd w:val="clear" w:color="auto" w:fill="FFFFFF"/>
          <w:lang w:val="en-IN"/>
        </w:rPr>
        <w:t>decreased</w:t>
      </w:r>
      <w:r w:rsidR="002A1F86" w:rsidRPr="002A1F86">
        <w:rPr>
          <w:rFonts w:ascii="Arial" w:hAnsi="Arial" w:cs="Arial"/>
          <w:color w:val="000000"/>
          <w:sz w:val="22"/>
          <w:szCs w:val="22"/>
          <w:shd w:val="clear" w:color="auto" w:fill="FFFFFF"/>
          <w:lang w:val="en-IN"/>
        </w:rPr>
        <w:t xml:space="preserve"> from 22.1 kg/year in 1951 to 19.9 kg/year in 2017 (Eliazer Nelson et al., 2019). However, </w:t>
      </w:r>
      <w:r w:rsidR="002A1F86" w:rsidRPr="002A1F86">
        <w:rPr>
          <w:rFonts w:ascii="Arial" w:hAnsi="Arial" w:cs="Arial"/>
          <w:b/>
          <w:bCs/>
          <w:color w:val="000000"/>
          <w:sz w:val="22"/>
          <w:szCs w:val="22"/>
          <w:shd w:val="clear" w:color="auto" w:fill="FFFFFF"/>
          <w:lang w:val="en-IN"/>
        </w:rPr>
        <w:t>the question of profitability in Indian agriculture remained a concern</w:t>
      </w:r>
      <w:r w:rsidR="002A1F86" w:rsidRPr="002A1F86">
        <w:rPr>
          <w:rFonts w:ascii="Arial" w:hAnsi="Arial" w:cs="Arial"/>
          <w:color w:val="000000"/>
          <w:sz w:val="22"/>
          <w:szCs w:val="22"/>
          <w:shd w:val="clear" w:color="auto" w:fill="FFFFFF"/>
          <w:lang w:val="en-IN"/>
        </w:rPr>
        <w:t xml:space="preserve">. The income levels in non-agricultural occupations </w:t>
      </w:r>
      <w:r w:rsidR="002A1F86" w:rsidRPr="002A1F86">
        <w:rPr>
          <w:rFonts w:ascii="Arial" w:hAnsi="Arial" w:cs="Arial"/>
          <w:b/>
          <w:bCs/>
          <w:color w:val="000000"/>
          <w:sz w:val="22"/>
          <w:szCs w:val="22"/>
          <w:shd w:val="clear" w:color="auto" w:fill="FFFFFF"/>
          <w:lang w:val="en-IN"/>
        </w:rPr>
        <w:t>have been at least three times higher than</w:t>
      </w:r>
      <w:r w:rsidR="002A1F86" w:rsidRPr="002A1F86">
        <w:rPr>
          <w:rFonts w:ascii="Arial" w:hAnsi="Arial" w:cs="Arial"/>
          <w:color w:val="000000"/>
          <w:sz w:val="22"/>
          <w:szCs w:val="22"/>
          <w:shd w:val="clear" w:color="auto" w:fill="FFFFFF"/>
          <w:lang w:val="en-IN"/>
        </w:rPr>
        <w:t xml:space="preserve"> the average income of a cultivator in India since 1983–84. The lagging income growth motivated </w:t>
      </w:r>
      <w:r w:rsidR="002A1F86" w:rsidRPr="002A1F86">
        <w:rPr>
          <w:rFonts w:ascii="Arial" w:hAnsi="Arial" w:cs="Arial"/>
          <w:b/>
          <w:bCs/>
          <w:color w:val="000000"/>
          <w:sz w:val="22"/>
          <w:szCs w:val="22"/>
          <w:shd w:val="clear" w:color="auto" w:fill="FFFFFF"/>
          <w:lang w:val="en-IN"/>
        </w:rPr>
        <w:t>the Government of India</w:t>
      </w:r>
      <w:r w:rsidR="002A1F86" w:rsidRPr="002A1F86">
        <w:rPr>
          <w:rFonts w:ascii="Arial" w:hAnsi="Arial" w:cs="Arial"/>
          <w:color w:val="000000"/>
          <w:sz w:val="22"/>
          <w:szCs w:val="22"/>
          <w:shd w:val="clear" w:color="auto" w:fill="FFFFFF"/>
          <w:lang w:val="en-IN"/>
        </w:rPr>
        <w:t xml:space="preserve"> to launch the programme “Doubling Farmers’ Income in India” (Chand, 2017).</w:t>
      </w:r>
    </w:p>
    <w:p w14:paraId="586DC870" w14:textId="77777777" w:rsidR="002A1F86" w:rsidRPr="002A1F86" w:rsidRDefault="002A1F86" w:rsidP="002A1F86">
      <w:pPr>
        <w:jc w:val="both"/>
        <w:rPr>
          <w:rFonts w:ascii="Arial" w:hAnsi="Arial" w:cs="Arial"/>
          <w:color w:val="000000"/>
          <w:sz w:val="22"/>
          <w:szCs w:val="22"/>
          <w:shd w:val="clear" w:color="auto" w:fill="FFFFFF"/>
          <w:lang w:val="en-IN"/>
        </w:rPr>
      </w:pPr>
      <w:r w:rsidRPr="002A1F86">
        <w:rPr>
          <w:rFonts w:ascii="Arial" w:hAnsi="Arial" w:cs="Arial"/>
          <w:color w:val="000000"/>
          <w:sz w:val="22"/>
          <w:szCs w:val="22"/>
          <w:shd w:val="clear" w:color="auto" w:fill="FFFFFF"/>
          <w:lang w:val="en-IN"/>
        </w:rPr>
        <w:t xml:space="preserve">A summary measure of profitability in agriculture is how fast </w:t>
      </w:r>
      <w:r w:rsidRPr="002A1F86">
        <w:rPr>
          <w:rFonts w:ascii="Arial" w:hAnsi="Arial" w:cs="Arial"/>
          <w:b/>
          <w:bCs/>
          <w:color w:val="000000"/>
          <w:sz w:val="22"/>
          <w:szCs w:val="22"/>
          <w:shd w:val="clear" w:color="auto" w:fill="FFFFFF"/>
          <w:lang w:val="en-IN"/>
        </w:rPr>
        <w:t>a farmer can achieve</w:t>
      </w:r>
      <w:r w:rsidRPr="002A1F86">
        <w:rPr>
          <w:rFonts w:ascii="Arial" w:hAnsi="Arial" w:cs="Arial"/>
          <w:color w:val="000000"/>
          <w:sz w:val="22"/>
          <w:szCs w:val="22"/>
          <w:shd w:val="clear" w:color="auto" w:fill="FFFFFF"/>
          <w:lang w:val="en-IN"/>
        </w:rPr>
        <w:t xml:space="preserve"> break-even output and how many farmers can achieve such output levels. Break-even output is the output level which, when produced, leads to a zero-profit, zero-loss situation (Rajput &amp; Vani, 2021). It shows the ability of the producer to recover fixed costs after covering variable costs. Rajput et al. (2023), while analysing major field crops of Madhya Pradesh, reported that break-even output is highly sensitive to output prices and that many farmers fail to achieve break-even even </w:t>
      </w:r>
      <w:r w:rsidRPr="002A1F86">
        <w:rPr>
          <w:rFonts w:ascii="Arial" w:hAnsi="Arial" w:cs="Arial"/>
          <w:color w:val="000000"/>
          <w:sz w:val="22"/>
          <w:szCs w:val="22"/>
          <w:shd w:val="clear" w:color="auto" w:fill="FFFFFF"/>
          <w:lang w:val="en-IN"/>
        </w:rPr>
        <w:lastRenderedPageBreak/>
        <w:t>under small adverse price or cost shocks, revealing risks not captured by static point estimates. Recent policy and market analyses highlight that price volatility and gaps in organised storage and market access substantially increase revenue risk for growers, implying that break-even calculations must explicitly incorporate price and market-risk dimensions for realistic profitability assessment (Price risk management for agricultural commodities, 2023). National-level assessments also document rising spatial and temporal variability in yields and production outcomes, reinforcing the need to move beyond static point estimates when evaluating farm incomes and viability (Ministry of Agriculture and Farmers Welfare, 2024).</w:t>
      </w:r>
    </w:p>
    <w:p w14:paraId="06AF52B3" w14:textId="77777777" w:rsidR="002A1F86" w:rsidRPr="002A1F86" w:rsidRDefault="002A1F86" w:rsidP="002A1F86">
      <w:pPr>
        <w:jc w:val="both"/>
        <w:rPr>
          <w:rFonts w:ascii="Arial" w:hAnsi="Arial" w:cs="Arial"/>
          <w:color w:val="000000"/>
          <w:sz w:val="22"/>
          <w:szCs w:val="22"/>
          <w:shd w:val="clear" w:color="auto" w:fill="FFFFFF"/>
          <w:lang w:val="en-IN"/>
        </w:rPr>
      </w:pPr>
      <w:r w:rsidRPr="002A1F86">
        <w:rPr>
          <w:rFonts w:ascii="Arial" w:hAnsi="Arial" w:cs="Arial"/>
          <w:color w:val="000000"/>
          <w:sz w:val="22"/>
          <w:szCs w:val="22"/>
          <w:shd w:val="clear" w:color="auto" w:fill="FFFFFF"/>
          <w:lang w:val="en-IN"/>
        </w:rPr>
        <w:t xml:space="preserve">The recent estimates of break-even yield for Madhya Pradesh by Rajput &amp; Vani (2021), Kolar et al. (2021), Sahu et al. (2021), and Kolar et al. (2020) were point estimates which neither inform about how many or what proportion of farmers achieve break-even output, nor do these publications provide estimates on how fast </w:t>
      </w:r>
      <w:r w:rsidRPr="002A1F86">
        <w:rPr>
          <w:rFonts w:ascii="Arial" w:hAnsi="Arial" w:cs="Arial"/>
          <w:b/>
          <w:bCs/>
          <w:color w:val="000000"/>
          <w:sz w:val="22"/>
          <w:szCs w:val="22"/>
          <w:shd w:val="clear" w:color="auto" w:fill="FFFFFF"/>
          <w:lang w:val="en-IN"/>
        </w:rPr>
        <w:t>farmers achieve</w:t>
      </w:r>
      <w:r w:rsidRPr="002A1F86">
        <w:rPr>
          <w:rFonts w:ascii="Arial" w:hAnsi="Arial" w:cs="Arial"/>
          <w:color w:val="000000"/>
          <w:sz w:val="22"/>
          <w:szCs w:val="22"/>
          <w:shd w:val="clear" w:color="auto" w:fill="FFFFFF"/>
          <w:lang w:val="en-IN"/>
        </w:rPr>
        <w:t xml:space="preserve"> break-even output. Giaoutzi (2012) suggested using scenario building to overcome such problems. Working in this direction, Rajput (2020) developed scenarios and also assessed the sensitivity of break-even output to changes in price, average variable cost, and fixed cost for the period 2000–01 to 2016–17. This study was very elaborate, and as such, conducting scenario-building exercises is cumbersome. Thus, the search for alternate methods must begin. Also, recent estimates for 2019–20 and onwards for break-even yield and output are missing. Field-level evaluations of recent frontline demonstrations and improved practices find substantial differences between demonstration and farmer yields and show that break-even yields for crops such as soybean are sensitive to the adoption of improved technologies, a point that strengthens the case for probabilistic, technology-aware break-even assessment (</w:t>
      </w:r>
      <w:proofErr w:type="spellStart"/>
      <w:r w:rsidRPr="002A1F86">
        <w:rPr>
          <w:rFonts w:ascii="Arial" w:hAnsi="Arial" w:cs="Arial"/>
          <w:color w:val="000000"/>
          <w:sz w:val="22"/>
          <w:szCs w:val="22"/>
          <w:shd w:val="clear" w:color="auto" w:fill="FFFFFF"/>
          <w:lang w:val="en-IN"/>
        </w:rPr>
        <w:t>Jaybhay</w:t>
      </w:r>
      <w:proofErr w:type="spellEnd"/>
      <w:r w:rsidRPr="002A1F86">
        <w:rPr>
          <w:rFonts w:ascii="Arial" w:hAnsi="Arial" w:cs="Arial"/>
          <w:color w:val="000000"/>
          <w:sz w:val="22"/>
          <w:szCs w:val="22"/>
          <w:shd w:val="clear" w:color="auto" w:fill="FFFFFF"/>
          <w:lang w:val="en-IN"/>
        </w:rPr>
        <w:t xml:space="preserve"> et al., 2025).</w:t>
      </w:r>
    </w:p>
    <w:p w14:paraId="0F04409F" w14:textId="77777777" w:rsidR="002A1F86" w:rsidRPr="002A1F86" w:rsidRDefault="002A1F86" w:rsidP="002A1F86">
      <w:pPr>
        <w:jc w:val="both"/>
        <w:rPr>
          <w:rFonts w:ascii="Arial" w:hAnsi="Arial" w:cs="Arial"/>
          <w:color w:val="000000"/>
          <w:sz w:val="22"/>
          <w:szCs w:val="22"/>
          <w:shd w:val="clear" w:color="auto" w:fill="FFFFFF"/>
          <w:lang w:val="en-IN"/>
        </w:rPr>
      </w:pPr>
      <w:r w:rsidRPr="002A1F86">
        <w:rPr>
          <w:rFonts w:ascii="Arial" w:hAnsi="Arial" w:cs="Arial"/>
          <w:color w:val="000000"/>
          <w:sz w:val="22"/>
          <w:szCs w:val="22"/>
          <w:shd w:val="clear" w:color="auto" w:fill="FFFFFF"/>
          <w:lang w:val="en-IN"/>
        </w:rPr>
        <w:t>Thus, with this background, this study was conducted to estimate break-even yield for major field crops of Madhya Pradesh and to identify a suitable methodology to assess the probability of achieving break-even yield in the state.</w:t>
      </w:r>
    </w:p>
    <w:p w14:paraId="6107B5F0" w14:textId="312FD1F4" w:rsidR="0073211C" w:rsidRPr="0073211C" w:rsidRDefault="0073211C" w:rsidP="002A1F86">
      <w:pPr>
        <w:jc w:val="both"/>
        <w:rPr>
          <w:rFonts w:ascii="Arial" w:hAnsi="Arial" w:cs="Arial"/>
          <w:b/>
          <w:bCs/>
          <w:sz w:val="22"/>
          <w:szCs w:val="22"/>
        </w:rPr>
      </w:pPr>
      <w:r>
        <w:rPr>
          <w:rFonts w:ascii="Arial" w:hAnsi="Arial" w:cs="Arial"/>
          <w:b/>
          <w:bCs/>
          <w:sz w:val="22"/>
          <w:szCs w:val="22"/>
        </w:rPr>
        <w:t xml:space="preserve">2. </w:t>
      </w:r>
      <w:r w:rsidRPr="0073211C">
        <w:rPr>
          <w:rFonts w:ascii="Arial" w:hAnsi="Arial" w:cs="Arial"/>
          <w:b/>
          <w:bCs/>
          <w:sz w:val="22"/>
          <w:szCs w:val="22"/>
        </w:rPr>
        <w:t>METHODOLOGY</w:t>
      </w:r>
    </w:p>
    <w:p w14:paraId="643084A8" w14:textId="77777777" w:rsidR="002A1F86" w:rsidRPr="002A1F86" w:rsidRDefault="002A1F86" w:rsidP="002A1F86">
      <w:pPr>
        <w:pStyle w:val="BodyText"/>
        <w:jc w:val="both"/>
        <w:rPr>
          <w:rFonts w:ascii="Arial" w:hAnsi="Arial" w:cs="Arial"/>
          <w:color w:val="000000"/>
          <w:sz w:val="22"/>
          <w:szCs w:val="22"/>
          <w:lang w:val="en-IN"/>
        </w:rPr>
      </w:pPr>
      <w:r w:rsidRPr="002A1F86">
        <w:rPr>
          <w:rFonts w:ascii="Arial" w:hAnsi="Arial" w:cs="Arial"/>
          <w:color w:val="000000"/>
          <w:sz w:val="22"/>
          <w:szCs w:val="22"/>
          <w:lang w:val="en-IN"/>
        </w:rPr>
        <w:t>Madhya Pradesh is the second largest state in the country in terms of area, accounting for 9.36 percent of the total area of the country. Out of the total geographical area of 307.56 lakh hectares in the state, only about 151.91 lakh hectares are arable. The economy of Madhya Pradesh is primarily agrarian in nature, with nearly 62 percent of the labour force employed in agriculture. At current prices, the Gross State Domestic Product (GSDP) of Madhya Pradesh for 2020–21 stood at Rs. 9.18 trillion. In rupee terms, between 2015–16 and 2020–21, the state’s GSDP grew at a CAGR of 11.14 percent, and Net State Domestic Product (NSDP) grew at a CAGR of around 11.22 percent. The contribution of the primary sector to the state’s Gross Value Added (GVA) increased from 33.85 percent in 2011–12 to 46.98 percent in 2020–21.</w:t>
      </w:r>
    </w:p>
    <w:p w14:paraId="345E0A75" w14:textId="77777777" w:rsidR="002A1F86" w:rsidRPr="002A1F86" w:rsidRDefault="002A1F86" w:rsidP="002A1F86">
      <w:pPr>
        <w:pStyle w:val="BodyText"/>
        <w:jc w:val="both"/>
        <w:rPr>
          <w:rFonts w:ascii="Arial" w:hAnsi="Arial" w:cs="Arial"/>
          <w:color w:val="000000"/>
          <w:sz w:val="22"/>
          <w:szCs w:val="22"/>
          <w:lang w:val="en-IN"/>
        </w:rPr>
      </w:pPr>
      <w:r w:rsidRPr="002A1F86">
        <w:rPr>
          <w:rFonts w:ascii="Arial" w:hAnsi="Arial" w:cs="Arial"/>
          <w:color w:val="000000"/>
          <w:sz w:val="22"/>
          <w:szCs w:val="22"/>
          <w:lang w:val="en-IN"/>
        </w:rPr>
        <w:t>The cross-sectional data for the year 2019–20 on plot and state-level cost of cultivation for various crops were obtained from the official website of the Directorate of Economics and Statistics, Government of India (</w:t>
      </w:r>
      <w:hyperlink r:id="rId6" w:tgtFrame="_new" w:history="1">
        <w:r w:rsidRPr="002A1F86">
          <w:rPr>
            <w:rStyle w:val="Hyperlink"/>
            <w:rFonts w:ascii="Arial" w:hAnsi="Arial" w:cs="Arial"/>
            <w:sz w:val="22"/>
            <w:szCs w:val="22"/>
            <w:lang w:val="en-IN"/>
          </w:rPr>
          <w:t>https://eands.dacnet.nic.in/</w:t>
        </w:r>
      </w:hyperlink>
      <w:r w:rsidRPr="002A1F86">
        <w:rPr>
          <w:rFonts w:ascii="Arial" w:hAnsi="Arial" w:cs="Arial"/>
          <w:color w:val="000000"/>
          <w:sz w:val="22"/>
          <w:szCs w:val="22"/>
          <w:lang w:val="en-IN"/>
        </w:rPr>
        <w:t>) (Government of India, n.d.). Summary statistics of yield of sample plots were obtained using Tukey’s five-number summary, which includes the minimum, first quartile, median, third quartile, and maximum value of the distribution. The break-even yield, defined as the minimum yield required per unit area to achieve a zero-profit, zero-loss situation, was calculated using the following formula.</w:t>
      </w:r>
    </w:p>
    <w:p w14:paraId="3C27A916" w14:textId="77777777" w:rsidR="0093608B" w:rsidRDefault="0093608B" w:rsidP="0093608B">
      <w:pPr>
        <w:pStyle w:val="BodyText"/>
        <w:rPr>
          <w:lang w:val="en-IN"/>
        </w:rPr>
      </w:pPr>
    </w:p>
    <w:p w14:paraId="6FF2393A" w14:textId="77777777" w:rsidR="0093608B" w:rsidRPr="0093608B" w:rsidRDefault="0093608B" w:rsidP="0093608B">
      <w:pPr>
        <w:pStyle w:val="BodyText"/>
        <w:rPr>
          <w:lang w:val="en-IN"/>
        </w:rPr>
      </w:pPr>
    </w:p>
    <w:p w14:paraId="63422FDC" w14:textId="77777777" w:rsidR="007171C8" w:rsidRPr="0073211C" w:rsidRDefault="00856351" w:rsidP="00E30F50">
      <w:pPr>
        <w:pStyle w:val="BodyText"/>
        <w:jc w:val="center"/>
        <w:rPr>
          <w:rFonts w:ascii="Arial" w:hAnsi="Arial" w:cs="Arial"/>
          <w:color w:val="000000"/>
          <w:sz w:val="22"/>
          <w:szCs w:val="22"/>
          <w:lang w:val="en-IN"/>
        </w:rPr>
      </w:pPr>
      <w:r w:rsidRPr="00E30F50">
        <w:rPr>
          <w:rFonts w:ascii="Arial" w:hAnsi="Arial" w:cs="Arial"/>
          <w:b/>
          <w:bCs/>
          <w:noProof/>
          <w:sz w:val="22"/>
          <w:szCs w:val="22"/>
        </w:rPr>
        <w:lastRenderedPageBreak/>
        <w:drawing>
          <wp:inline distT="0" distB="0" distL="0" distR="0" wp14:anchorId="7C4027E7" wp14:editId="6250DBFA">
            <wp:extent cx="3086100" cy="272415"/>
            <wp:effectExtent l="0" t="0" r="0" b="0"/>
            <wp:docPr id="1" name="Objec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1"/>
                    <pic:cNvPicPr>
                      <a:picLocks noChangeAspect="1" noChangeArrowheads="1"/>
                    </pic:cNvPicPr>
                  </pic:nvPicPr>
                  <pic:blipFill>
                    <a:blip r:embed="rId7"/>
                    <a:stretch>
                      <a:fillRect/>
                    </a:stretch>
                  </pic:blipFill>
                  <pic:spPr bwMode="auto">
                    <a:xfrm>
                      <a:off x="0" y="0"/>
                      <a:ext cx="3086100" cy="272415"/>
                    </a:xfrm>
                    <a:prstGeom prst="rect">
                      <a:avLst/>
                    </a:prstGeom>
                  </pic:spPr>
                </pic:pic>
              </a:graphicData>
            </a:graphic>
          </wp:inline>
        </w:drawing>
      </w:r>
    </w:p>
    <w:p w14:paraId="08BD075C" w14:textId="77777777" w:rsidR="002A1F86" w:rsidRPr="002A1F86" w:rsidRDefault="002A1F86" w:rsidP="002A1F86">
      <w:pPr>
        <w:pStyle w:val="Head1"/>
        <w:spacing w:after="0"/>
        <w:jc w:val="both"/>
        <w:rPr>
          <w:rFonts w:ascii="Arial" w:eastAsia="Cambria" w:hAnsi="Arial" w:cs="Arial"/>
          <w:b w:val="0"/>
          <w:caps w:val="0"/>
          <w:color w:val="000000"/>
          <w:szCs w:val="22"/>
          <w:lang w:val="en-IN"/>
        </w:rPr>
      </w:pPr>
      <w:r w:rsidRPr="002A1F86">
        <w:rPr>
          <w:rFonts w:ascii="Arial" w:eastAsia="Cambria" w:hAnsi="Arial" w:cs="Arial"/>
          <w:b w:val="0"/>
          <w:caps w:val="0"/>
          <w:color w:val="000000"/>
          <w:szCs w:val="22"/>
          <w:lang w:val="en-IN"/>
        </w:rPr>
        <w:t>where F was total fixed cost (Rs. per hectare), Y was the average yield (quintal per hectare) obtained from the sample, TR was total revenue from both main and by-product sales (Rs. per hectare), and TVC was total variable cost (Rs. per hectare). This formula can be derived by dividing both sides of the break-even production formula by the area under crop production and multiplying the numerator and denominator of the right-hand side by the actual yield of the crop.</w:t>
      </w:r>
    </w:p>
    <w:p w14:paraId="56D00486" w14:textId="77777777" w:rsidR="002A1F86" w:rsidRPr="002A1F86" w:rsidRDefault="002A1F86" w:rsidP="002A1F86">
      <w:pPr>
        <w:pStyle w:val="Head1"/>
        <w:spacing w:after="0"/>
        <w:jc w:val="both"/>
        <w:rPr>
          <w:rFonts w:ascii="Arial" w:eastAsia="Cambria" w:hAnsi="Arial" w:cs="Arial"/>
          <w:b w:val="0"/>
          <w:caps w:val="0"/>
          <w:color w:val="000000"/>
          <w:szCs w:val="22"/>
          <w:lang w:val="en-IN"/>
        </w:rPr>
      </w:pPr>
    </w:p>
    <w:p w14:paraId="054A7A0D" w14:textId="77777777" w:rsidR="002A1F86" w:rsidRPr="002A1F86" w:rsidRDefault="002A1F86" w:rsidP="002A1F86">
      <w:pPr>
        <w:pStyle w:val="Head1"/>
        <w:spacing w:after="0"/>
        <w:jc w:val="both"/>
        <w:rPr>
          <w:rFonts w:ascii="Arial" w:eastAsia="Cambria" w:hAnsi="Arial" w:cs="Arial"/>
          <w:b w:val="0"/>
          <w:caps w:val="0"/>
          <w:color w:val="000000"/>
          <w:szCs w:val="22"/>
          <w:lang w:val="en-IN"/>
        </w:rPr>
      </w:pPr>
      <w:r w:rsidRPr="002A1F86">
        <w:rPr>
          <w:rFonts w:ascii="Arial" w:eastAsia="Cambria" w:hAnsi="Arial" w:cs="Arial"/>
          <w:b w:val="0"/>
          <w:caps w:val="0"/>
          <w:color w:val="000000"/>
          <w:szCs w:val="22"/>
          <w:lang w:val="en-IN"/>
        </w:rPr>
        <w:t>The break-even yield was derived using cost and revenue components available at the aggregate level. This formulation provides an approximate threshold for profitability under average conditions. However, the use of pooled data does not capture variation across farms in terms of technology use, input intensity, and production efficiency. Therefore, the results should be interpreted as indicative rather than farm-specific estimates.</w:t>
      </w:r>
    </w:p>
    <w:p w14:paraId="1538F162" w14:textId="77777777" w:rsidR="002A1F86" w:rsidRPr="002A1F86" w:rsidRDefault="002A1F86" w:rsidP="002A1F86">
      <w:pPr>
        <w:pStyle w:val="Head1"/>
        <w:spacing w:after="0"/>
        <w:jc w:val="both"/>
        <w:rPr>
          <w:rFonts w:ascii="Arial" w:eastAsia="Cambria" w:hAnsi="Arial" w:cs="Arial"/>
          <w:b w:val="0"/>
          <w:caps w:val="0"/>
          <w:color w:val="000000"/>
          <w:szCs w:val="22"/>
          <w:lang w:val="en-IN"/>
        </w:rPr>
      </w:pPr>
    </w:p>
    <w:p w14:paraId="4490F9F8" w14:textId="77777777" w:rsidR="002A1F86" w:rsidRPr="002A1F86" w:rsidRDefault="002A1F86" w:rsidP="002A1F86">
      <w:pPr>
        <w:pStyle w:val="Head1"/>
        <w:spacing w:after="0"/>
        <w:jc w:val="both"/>
        <w:rPr>
          <w:rFonts w:ascii="Arial" w:eastAsia="Cambria" w:hAnsi="Arial" w:cs="Arial"/>
          <w:b w:val="0"/>
          <w:caps w:val="0"/>
          <w:color w:val="000000"/>
          <w:szCs w:val="22"/>
          <w:lang w:val="en-IN"/>
        </w:rPr>
      </w:pPr>
      <w:r w:rsidRPr="002A1F86">
        <w:rPr>
          <w:rFonts w:ascii="Arial" w:eastAsia="Cambria" w:hAnsi="Arial" w:cs="Arial"/>
          <w:b w:val="0"/>
          <w:caps w:val="0"/>
          <w:color w:val="000000"/>
          <w:szCs w:val="22"/>
          <w:lang w:val="en-IN"/>
        </w:rPr>
        <w:t>To determine the extent to which farmers could break even, two different approaches were used. Both approaches involved estimation of the area under the curve. In the first approach, which was developed on the lines of Jaedicke and Robichek (1964), if the distribution of yield follows a normal distribution, then the area under the curve below the break-even yield provides the probability that a farmer, on average, would not be able to break even. One minus this probability would be the probability of achieving at least the break-even yield. To determine whether the distribution of yield of different crops was normal, the Shapiro–Wilk test was used. This test has the null hypothesis that the population follows a normal distribution versus the alternative hypothesis that it does not. If yield was not found to follow a normal distribution, then the Box–Cox power transformation was used to find the value of λ such that yield raised to λ follows a normal distribution. However, it is not guaranteed that the transformed variable would follow a normal distribution. Hence, this method was limited to validating the second approach. The second approach was based on numerical integration techniques. While the first approach was statistical in nature, the second approach was mathematical. Thus, the second approach provides estimates of the area under the curve without assuming normality of data.</w:t>
      </w:r>
    </w:p>
    <w:p w14:paraId="08D26FDF" w14:textId="77777777" w:rsidR="002A1F86" w:rsidRPr="002A1F86" w:rsidRDefault="002A1F86" w:rsidP="002A1F86">
      <w:pPr>
        <w:pStyle w:val="Head1"/>
        <w:spacing w:after="0"/>
        <w:jc w:val="both"/>
        <w:rPr>
          <w:rFonts w:ascii="Arial" w:eastAsia="Cambria" w:hAnsi="Arial" w:cs="Arial"/>
          <w:b w:val="0"/>
          <w:caps w:val="0"/>
          <w:color w:val="000000"/>
          <w:szCs w:val="22"/>
          <w:lang w:val="en-IN"/>
        </w:rPr>
      </w:pPr>
    </w:p>
    <w:p w14:paraId="42AF67BC" w14:textId="77777777" w:rsidR="002A1F86" w:rsidRDefault="002A1F86" w:rsidP="002A1F86">
      <w:pPr>
        <w:pStyle w:val="Head1"/>
        <w:spacing w:after="0"/>
        <w:jc w:val="both"/>
        <w:rPr>
          <w:rFonts w:ascii="Arial" w:eastAsia="Cambria" w:hAnsi="Arial" w:cs="Arial"/>
          <w:b w:val="0"/>
          <w:caps w:val="0"/>
          <w:color w:val="000000"/>
          <w:szCs w:val="22"/>
          <w:lang w:val="en-IN"/>
        </w:rPr>
      </w:pPr>
      <w:r w:rsidRPr="002A1F86">
        <w:rPr>
          <w:rFonts w:ascii="Arial" w:eastAsia="Cambria" w:hAnsi="Arial" w:cs="Arial"/>
          <w:b w:val="0"/>
          <w:caps w:val="0"/>
          <w:color w:val="000000"/>
          <w:szCs w:val="22"/>
          <w:lang w:val="en-IN"/>
        </w:rPr>
        <w:t>The R software for statistical computing (R Core Team, 2022) was used along with the car package (Fox &amp; Weisberg, 2019) for computing the Box–Cox transformation of variables. The Shapiro–Wilk test for testing normality of yield of sample farmers was also performed in R. Numerical integration techniques were applied in R using the DescTools package (Andri Signorell et al., 2022).</w:t>
      </w:r>
    </w:p>
    <w:p w14:paraId="4224AE75" w14:textId="77777777" w:rsidR="002A1F86" w:rsidRDefault="002A1F86" w:rsidP="002A1F86">
      <w:pPr>
        <w:pStyle w:val="Head1"/>
        <w:spacing w:after="0"/>
        <w:jc w:val="both"/>
        <w:rPr>
          <w:rFonts w:ascii="Arial" w:eastAsia="Cambria" w:hAnsi="Arial" w:cs="Arial"/>
          <w:b w:val="0"/>
          <w:caps w:val="0"/>
          <w:color w:val="000000"/>
          <w:szCs w:val="22"/>
          <w:lang w:val="en-IN"/>
        </w:rPr>
      </w:pPr>
    </w:p>
    <w:p w14:paraId="1146D901" w14:textId="5E2B673E" w:rsidR="0073211C" w:rsidRPr="0073211C" w:rsidRDefault="0073211C" w:rsidP="002A1F86">
      <w:pPr>
        <w:pStyle w:val="Head1"/>
        <w:spacing w:after="0"/>
        <w:jc w:val="both"/>
        <w:rPr>
          <w:rFonts w:ascii="Arial" w:hAnsi="Arial" w:cs="Arial"/>
        </w:rPr>
      </w:pPr>
      <w:r>
        <w:rPr>
          <w:rFonts w:ascii="Arial" w:hAnsi="Arial" w:cs="Arial"/>
        </w:rPr>
        <w:t>3. results and discussion</w:t>
      </w:r>
    </w:p>
    <w:p w14:paraId="58129330" w14:textId="77777777" w:rsidR="008279F0" w:rsidRPr="008279F0" w:rsidRDefault="008279F0" w:rsidP="008279F0">
      <w:pPr>
        <w:pStyle w:val="BodyText"/>
        <w:jc w:val="both"/>
        <w:rPr>
          <w:rFonts w:ascii="Arial" w:hAnsi="Arial" w:cs="Arial"/>
          <w:color w:val="000000"/>
          <w:sz w:val="22"/>
          <w:szCs w:val="22"/>
          <w:lang w:val="en-IN"/>
        </w:rPr>
      </w:pPr>
      <w:r w:rsidRPr="008279F0">
        <w:rPr>
          <w:rFonts w:ascii="Arial" w:hAnsi="Arial" w:cs="Arial"/>
          <w:color w:val="000000"/>
          <w:sz w:val="22"/>
          <w:szCs w:val="22"/>
          <w:lang w:val="en-IN"/>
        </w:rPr>
        <w:t>Table 1 provides summary statistics for yield of several crops in Madhya Pradesh for 2019–20. Among all the crops, yield of maize had the highest inter-quartile range of 10.81 quintals per hectare, followed by paddy (10.4) and wheat (10.19). However, the IQR to median ratio was the highest for black gram (79.62%), followed by cotton (44.81%) and maize (38.61%). The higher IQR to median ratio is indicative of a wider spread of the density curve around the median. Figure 1 provides the boxplot of yield of various crops. The observation made about the spread of the data can be visualised by the height of the box. Cotton, lentil, and mustard have no outliers, while pigeon pea and black gram each have one outlier in the data. All other yield data have several outliers. The presence of outliers and wider spread weakens the probability that the data follow a normal distribution. These results indicate considerable variability in crop performance across farmers, which increases uncertainty in achieving minimum profitability levels. Therefore, a probabilistic framework becomes essential to capture production risk more realistically than static point estimates.</w:t>
      </w:r>
    </w:p>
    <w:p w14:paraId="5BA58575" w14:textId="77777777" w:rsidR="008279F0" w:rsidRPr="008279F0" w:rsidRDefault="008279F0" w:rsidP="008279F0">
      <w:pPr>
        <w:pStyle w:val="BodyText"/>
        <w:jc w:val="both"/>
        <w:rPr>
          <w:rFonts w:ascii="Arial" w:hAnsi="Arial" w:cs="Arial"/>
          <w:color w:val="000000"/>
          <w:sz w:val="22"/>
          <w:szCs w:val="22"/>
          <w:lang w:val="en-IN"/>
        </w:rPr>
      </w:pPr>
      <w:r w:rsidRPr="008279F0">
        <w:rPr>
          <w:rFonts w:ascii="Arial" w:hAnsi="Arial" w:cs="Arial"/>
          <w:color w:val="000000"/>
          <w:sz w:val="22"/>
          <w:szCs w:val="22"/>
          <w:lang w:val="en-IN"/>
        </w:rPr>
        <w:lastRenderedPageBreak/>
        <w:t>Table 2 provides the results for normality (Shapiro–Wilk test) before and after Box–Cox transformation of yield data. It can be seen that before transformation, except for pigeon pea and lentil, all other crops do not follow a normal distribution. Only three crops, namely pigeon pea, lentil, and mustard, follow normality even after transformation. Thus, using normal distribution parameters, only probabilities associated with some crops can be found. This situation was already discussed in the methodology section, and therefore the second approach had to be used. This finding further strengthens the justification for the use of numerical integration techniques, as they do not rely on strict distributional assumptions. Consequently, the probability estimates obtained are more robust under conditions of non-normal yield variability.</w:t>
      </w:r>
    </w:p>
    <w:p w14:paraId="77FDBE5B" w14:textId="77777777" w:rsidR="008279F0" w:rsidRPr="008279F0" w:rsidRDefault="008279F0" w:rsidP="008279F0">
      <w:pPr>
        <w:pStyle w:val="BodyText"/>
        <w:jc w:val="both"/>
        <w:rPr>
          <w:rFonts w:ascii="Arial" w:hAnsi="Arial" w:cs="Arial"/>
          <w:color w:val="000000"/>
          <w:sz w:val="22"/>
          <w:szCs w:val="22"/>
          <w:lang w:val="en-IN"/>
        </w:rPr>
      </w:pPr>
      <w:r w:rsidRPr="008279F0">
        <w:rPr>
          <w:rFonts w:ascii="Arial" w:hAnsi="Arial" w:cs="Arial"/>
          <w:color w:val="000000"/>
          <w:sz w:val="22"/>
          <w:szCs w:val="22"/>
          <w:lang w:val="en-IN"/>
        </w:rPr>
        <w:t>Table 3 provides the results of break-even yield. It can be seen from the table that for soybean and black gram, break-even yields were negative, which was the result of total variable cost being greater than total revenue. This means that farmers in the state suffered losses for soybean and black gram and were operating below the shutdown point. From an economic perspective, such negative break-even yield values imply that farmers are unable to recover even their variable production costs under prevailing price and cost conditions. This situation reflects serious economic stress and indicates the presence of structural profitability challenges in these crops. Continued cultivation of these crops may be driven by factors such as risk diversification, crop rotation needs, lack of alternative livelihood options, or expectations of future price improvement. Therefore, these findings should be interpreted as indicators of structural profitability constraints rather than temporary inefficiency. It is also important to recognise that the break-even estimates are based on pooled cost and revenue data. As a result, farm-level differences in input use, irrigation access, technology adoption, and management practices may not be fully captured. This limitation should be considered while interpreting the results. Further, break-even yields for cotton and pigeon pea were higher than the average yield levels observed for the sample. The greater the observed sample yields over break-even yields, the greater is the margin of safety.</w:t>
      </w:r>
    </w:p>
    <w:p w14:paraId="5C7C95A1" w14:textId="77777777" w:rsidR="008279F0" w:rsidRPr="008279F0" w:rsidRDefault="008279F0" w:rsidP="008279F0">
      <w:pPr>
        <w:pStyle w:val="BodyText"/>
        <w:jc w:val="both"/>
        <w:rPr>
          <w:rFonts w:ascii="Arial" w:hAnsi="Arial" w:cs="Arial"/>
          <w:color w:val="000000"/>
          <w:sz w:val="22"/>
          <w:szCs w:val="22"/>
          <w:lang w:val="en-IN"/>
        </w:rPr>
      </w:pPr>
      <w:r w:rsidRPr="008279F0">
        <w:rPr>
          <w:rFonts w:ascii="Arial" w:hAnsi="Arial" w:cs="Arial"/>
          <w:color w:val="000000"/>
          <w:sz w:val="22"/>
          <w:szCs w:val="22"/>
          <w:lang w:val="en-IN"/>
        </w:rPr>
        <w:t>The large gap between observed yield and break-even yield in cotton indicates a narrow or negative margin of safety for many farmers. This increases exposure to production and market risks, particularly under conditions of climatic variability and price fluctuations, making cotton a relatively high-risk crop in the study area.</w:t>
      </w:r>
    </w:p>
    <w:p w14:paraId="2521233C" w14:textId="7BDAEC9E" w:rsidR="001777CD" w:rsidRDefault="008279F0" w:rsidP="00396341">
      <w:pPr>
        <w:pStyle w:val="BodyText"/>
        <w:jc w:val="both"/>
        <w:rPr>
          <w:rFonts w:ascii="Arial" w:hAnsi="Arial" w:cs="Arial"/>
          <w:color w:val="000000"/>
          <w:sz w:val="22"/>
          <w:szCs w:val="22"/>
          <w:lang w:val="en-IN"/>
        </w:rPr>
      </w:pPr>
      <w:r w:rsidRPr="008279F0">
        <w:rPr>
          <w:rFonts w:ascii="Arial" w:hAnsi="Arial" w:cs="Arial"/>
          <w:color w:val="000000"/>
          <w:sz w:val="22"/>
          <w:szCs w:val="22"/>
          <w:lang w:val="en-IN"/>
        </w:rPr>
        <w:t>Table 4 provides the probability of not achieving break-even yields from two different approaches. The results were available from both approaches for crops where yields followed a normal distribution. Accordingly, for pigeon pea, lentil, and mustard, the probability estimates from both approaches were very close. The difference between the two estimates can be understood by observing Figure 2. From this figure, it can be observed that for lentil, where the difference was higher, the shape of the density curve was not exactly normal, and hence estimates from approach 1 were higher than those from approach 2. Thus, the second method was validated, and now the estimates of the remaining crops from the second approach are also valid. Overall, the probability of not achieving break-even yields was the highest for cotton, followed by pigeon pea and maize. These findings highlight the need for crop-specific risk management strategies and targeted policy interventions. Crops with higher probabilities of loss may require targeted interventions such as price stabilisation mechanisms, improved extension support, cost-reducing technologies, and crop insurance coverage. However, the probability estimates should be interpreted with caution because the analysis assumes uniform cost structures across farms. Future research may improve the robustness of such estimates by incorporating farm-level panel data, price variability, and dynamic cost conditions. This would enhance the practical usefulness of probabilistic break-even analysis for policy formulation.</w:t>
      </w:r>
    </w:p>
    <w:p w14:paraId="0079D1AA" w14:textId="73C8D6BA" w:rsidR="007171C8" w:rsidRPr="0073211C" w:rsidRDefault="00856351" w:rsidP="0073211C">
      <w:pPr>
        <w:pStyle w:val="BodyText"/>
        <w:rPr>
          <w:rFonts w:ascii="Arial" w:hAnsi="Arial" w:cs="Arial"/>
          <w:color w:val="000000"/>
          <w:sz w:val="22"/>
          <w:szCs w:val="22"/>
          <w:lang w:val="en-IN"/>
        </w:rPr>
      </w:pPr>
      <w:r w:rsidRPr="0073211C">
        <w:rPr>
          <w:rFonts w:ascii="Arial" w:hAnsi="Arial" w:cs="Arial"/>
          <w:b/>
          <w:bCs/>
          <w:color w:val="000000"/>
          <w:sz w:val="22"/>
          <w:szCs w:val="22"/>
          <w:lang w:val="en-IN"/>
        </w:rPr>
        <w:lastRenderedPageBreak/>
        <w:t xml:space="preserve">Table 1. Tukey’s five number summary of yield of various crops in Madhya Pradesh Unit: </w:t>
      </w:r>
      <w:proofErr w:type="spellStart"/>
      <w:r w:rsidRPr="0073211C">
        <w:rPr>
          <w:rFonts w:ascii="Arial" w:hAnsi="Arial" w:cs="Arial"/>
          <w:b/>
          <w:bCs/>
          <w:color w:val="000000"/>
          <w:sz w:val="22"/>
          <w:szCs w:val="22"/>
          <w:lang w:val="en-IN"/>
        </w:rPr>
        <w:t>Qtl</w:t>
      </w:r>
      <w:proofErr w:type="spellEnd"/>
      <w:r w:rsidRPr="0073211C">
        <w:rPr>
          <w:rFonts w:ascii="Arial" w:hAnsi="Arial" w:cs="Arial"/>
          <w:b/>
          <w:bCs/>
          <w:color w:val="000000"/>
          <w:sz w:val="22"/>
          <w:szCs w:val="22"/>
          <w:lang w:val="en-IN"/>
        </w:rPr>
        <w:t>/ha</w:t>
      </w:r>
    </w:p>
    <w:tbl>
      <w:tblPr>
        <w:tblStyle w:val="TableGrid"/>
        <w:tblW w:w="9183" w:type="dxa"/>
        <w:tblInd w:w="-108" w:type="dxa"/>
        <w:tblCellMar>
          <w:left w:w="0" w:type="dxa"/>
          <w:right w:w="0" w:type="dxa"/>
        </w:tblCellMar>
        <w:tblLook w:val="04A0" w:firstRow="1" w:lastRow="0" w:firstColumn="1" w:lastColumn="0" w:noHBand="0" w:noVBand="1"/>
      </w:tblPr>
      <w:tblGrid>
        <w:gridCol w:w="1102"/>
        <w:gridCol w:w="1048"/>
        <w:gridCol w:w="733"/>
        <w:gridCol w:w="879"/>
        <w:gridCol w:w="855"/>
        <w:gridCol w:w="1217"/>
        <w:gridCol w:w="1699"/>
        <w:gridCol w:w="1650"/>
      </w:tblGrid>
      <w:tr w:rsidR="007171C8" w:rsidRPr="0073211C" w14:paraId="3BFC08EE" w14:textId="77777777">
        <w:tc>
          <w:tcPr>
            <w:tcW w:w="1101" w:type="dxa"/>
            <w:tcBorders>
              <w:top w:val="single" w:sz="6" w:space="0" w:color="000000"/>
              <w:left w:val="nil"/>
              <w:bottom w:val="single" w:sz="6" w:space="0" w:color="000000"/>
              <w:right w:val="nil"/>
            </w:tcBorders>
            <w:vAlign w:val="center"/>
          </w:tcPr>
          <w:p w14:paraId="5C6D2A1E" w14:textId="77777777" w:rsidR="007171C8" w:rsidRPr="0073211C" w:rsidRDefault="00856351" w:rsidP="00AA7209">
            <w:pPr>
              <w:pStyle w:val="BodyText"/>
              <w:spacing w:before="0" w:after="0"/>
              <w:rPr>
                <w:rFonts w:ascii="Arial" w:hAnsi="Arial" w:cs="Arial"/>
                <w:b/>
                <w:bCs/>
                <w:color w:val="000000"/>
                <w:sz w:val="22"/>
                <w:szCs w:val="22"/>
                <w:lang w:val="en-IN"/>
              </w:rPr>
            </w:pPr>
            <w:r w:rsidRPr="0073211C">
              <w:rPr>
                <w:rFonts w:ascii="Arial" w:hAnsi="Arial" w:cs="Arial"/>
                <w:b/>
                <w:bCs/>
                <w:color w:val="000000"/>
                <w:sz w:val="22"/>
                <w:szCs w:val="22"/>
                <w:lang w:val="en-IN"/>
              </w:rPr>
              <w:t xml:space="preserve">Crops </w:t>
            </w:r>
          </w:p>
        </w:tc>
        <w:tc>
          <w:tcPr>
            <w:tcW w:w="1048" w:type="dxa"/>
            <w:tcBorders>
              <w:top w:val="single" w:sz="6" w:space="0" w:color="000000"/>
              <w:left w:val="nil"/>
              <w:bottom w:val="single" w:sz="6" w:space="0" w:color="000000"/>
              <w:right w:val="nil"/>
            </w:tcBorders>
            <w:vAlign w:val="center"/>
          </w:tcPr>
          <w:p w14:paraId="62F5A60D" w14:textId="77777777" w:rsidR="007171C8" w:rsidRPr="0073211C" w:rsidRDefault="00856351" w:rsidP="00AA7209">
            <w:pPr>
              <w:pStyle w:val="BodyText"/>
              <w:spacing w:before="0" w:after="0"/>
              <w:jc w:val="center"/>
              <w:rPr>
                <w:rFonts w:ascii="Arial" w:hAnsi="Arial" w:cs="Arial"/>
                <w:b/>
                <w:bCs/>
                <w:color w:val="000000"/>
                <w:sz w:val="22"/>
                <w:szCs w:val="22"/>
                <w:lang w:val="en-IN"/>
              </w:rPr>
            </w:pPr>
            <w:r w:rsidRPr="0073211C">
              <w:rPr>
                <w:rFonts w:ascii="Arial" w:hAnsi="Arial" w:cs="Arial"/>
                <w:b/>
                <w:bCs/>
                <w:color w:val="000000"/>
                <w:sz w:val="22"/>
                <w:szCs w:val="22"/>
                <w:lang w:val="en-IN"/>
              </w:rPr>
              <w:t xml:space="preserve">Minimum  </w:t>
            </w:r>
          </w:p>
        </w:tc>
        <w:tc>
          <w:tcPr>
            <w:tcW w:w="733" w:type="dxa"/>
            <w:tcBorders>
              <w:top w:val="single" w:sz="6" w:space="0" w:color="000000"/>
              <w:left w:val="nil"/>
              <w:bottom w:val="single" w:sz="6" w:space="0" w:color="000000"/>
              <w:right w:val="nil"/>
            </w:tcBorders>
            <w:vAlign w:val="center"/>
          </w:tcPr>
          <w:p w14:paraId="04F02E46" w14:textId="77777777" w:rsidR="007171C8" w:rsidRPr="0073211C" w:rsidRDefault="00856351" w:rsidP="00AA7209">
            <w:pPr>
              <w:pStyle w:val="BodyText"/>
              <w:spacing w:before="0" w:after="0"/>
              <w:jc w:val="center"/>
              <w:rPr>
                <w:rFonts w:ascii="Arial" w:hAnsi="Arial" w:cs="Arial"/>
                <w:b/>
                <w:bCs/>
                <w:color w:val="000000"/>
                <w:sz w:val="22"/>
                <w:szCs w:val="22"/>
                <w:lang w:val="en-IN"/>
              </w:rPr>
            </w:pPr>
            <w:r w:rsidRPr="0073211C">
              <w:rPr>
                <w:rFonts w:ascii="Arial" w:hAnsi="Arial" w:cs="Arial"/>
                <w:b/>
                <w:bCs/>
                <w:color w:val="000000"/>
                <w:sz w:val="22"/>
                <w:szCs w:val="22"/>
                <w:lang w:val="en-IN"/>
              </w:rPr>
              <w:t>1st Q</w:t>
            </w:r>
          </w:p>
        </w:tc>
        <w:tc>
          <w:tcPr>
            <w:tcW w:w="879" w:type="dxa"/>
            <w:tcBorders>
              <w:top w:val="single" w:sz="6" w:space="0" w:color="000000"/>
              <w:left w:val="nil"/>
              <w:bottom w:val="single" w:sz="6" w:space="0" w:color="000000"/>
              <w:right w:val="nil"/>
            </w:tcBorders>
            <w:vAlign w:val="center"/>
          </w:tcPr>
          <w:p w14:paraId="0D2BD5FA" w14:textId="77777777" w:rsidR="007171C8" w:rsidRPr="0073211C" w:rsidRDefault="00856351" w:rsidP="00AA7209">
            <w:pPr>
              <w:pStyle w:val="BodyText"/>
              <w:spacing w:before="0" w:after="0"/>
              <w:jc w:val="center"/>
              <w:rPr>
                <w:rFonts w:ascii="Arial" w:hAnsi="Arial" w:cs="Arial"/>
                <w:b/>
                <w:bCs/>
                <w:color w:val="000000"/>
                <w:sz w:val="22"/>
                <w:szCs w:val="22"/>
                <w:lang w:val="en-IN"/>
              </w:rPr>
            </w:pPr>
            <w:r w:rsidRPr="0073211C">
              <w:rPr>
                <w:rFonts w:ascii="Arial" w:hAnsi="Arial" w:cs="Arial"/>
                <w:b/>
                <w:bCs/>
                <w:color w:val="000000"/>
                <w:sz w:val="22"/>
                <w:szCs w:val="22"/>
                <w:lang w:val="en-IN"/>
              </w:rPr>
              <w:t xml:space="preserve"> Median</w:t>
            </w:r>
          </w:p>
        </w:tc>
        <w:tc>
          <w:tcPr>
            <w:tcW w:w="855" w:type="dxa"/>
            <w:tcBorders>
              <w:top w:val="single" w:sz="6" w:space="0" w:color="000000"/>
              <w:left w:val="nil"/>
              <w:bottom w:val="single" w:sz="6" w:space="0" w:color="000000"/>
              <w:right w:val="nil"/>
            </w:tcBorders>
            <w:vAlign w:val="center"/>
          </w:tcPr>
          <w:p w14:paraId="65BC812E" w14:textId="77777777" w:rsidR="007171C8" w:rsidRPr="0073211C" w:rsidRDefault="00856351" w:rsidP="00AA7209">
            <w:pPr>
              <w:pStyle w:val="BodyText"/>
              <w:spacing w:before="0" w:after="0"/>
              <w:jc w:val="center"/>
              <w:rPr>
                <w:rFonts w:ascii="Arial" w:hAnsi="Arial" w:cs="Arial"/>
                <w:b/>
                <w:bCs/>
                <w:color w:val="000000"/>
                <w:sz w:val="22"/>
                <w:szCs w:val="22"/>
                <w:lang w:val="en-IN"/>
              </w:rPr>
            </w:pPr>
            <w:r w:rsidRPr="0073211C">
              <w:rPr>
                <w:rFonts w:ascii="Arial" w:hAnsi="Arial" w:cs="Arial"/>
                <w:b/>
                <w:bCs/>
                <w:color w:val="000000"/>
                <w:sz w:val="22"/>
                <w:szCs w:val="22"/>
                <w:lang w:val="en-IN"/>
              </w:rPr>
              <w:t>3rd Q</w:t>
            </w:r>
          </w:p>
        </w:tc>
        <w:tc>
          <w:tcPr>
            <w:tcW w:w="1217" w:type="dxa"/>
            <w:tcBorders>
              <w:top w:val="single" w:sz="6" w:space="0" w:color="000000"/>
              <w:left w:val="nil"/>
              <w:bottom w:val="single" w:sz="6" w:space="0" w:color="000000"/>
              <w:right w:val="nil"/>
            </w:tcBorders>
            <w:vAlign w:val="center"/>
          </w:tcPr>
          <w:p w14:paraId="0BB4A5BE" w14:textId="77777777" w:rsidR="007171C8" w:rsidRPr="0073211C" w:rsidRDefault="00856351" w:rsidP="00AA7209">
            <w:pPr>
              <w:pStyle w:val="BodyText"/>
              <w:spacing w:before="0" w:after="0"/>
              <w:jc w:val="center"/>
              <w:rPr>
                <w:rFonts w:ascii="Arial" w:hAnsi="Arial" w:cs="Arial"/>
                <w:b/>
                <w:bCs/>
                <w:color w:val="000000"/>
                <w:sz w:val="22"/>
                <w:szCs w:val="22"/>
                <w:lang w:val="en-IN"/>
              </w:rPr>
            </w:pPr>
            <w:r w:rsidRPr="0073211C">
              <w:rPr>
                <w:rFonts w:ascii="Arial" w:hAnsi="Arial" w:cs="Arial"/>
                <w:b/>
                <w:bCs/>
                <w:color w:val="000000"/>
                <w:sz w:val="22"/>
                <w:szCs w:val="22"/>
                <w:lang w:val="en-IN"/>
              </w:rPr>
              <w:t>Maximum</w:t>
            </w:r>
          </w:p>
        </w:tc>
        <w:tc>
          <w:tcPr>
            <w:tcW w:w="1699" w:type="dxa"/>
            <w:tcBorders>
              <w:top w:val="single" w:sz="6" w:space="0" w:color="000000"/>
              <w:left w:val="nil"/>
              <w:bottom w:val="single" w:sz="6" w:space="0" w:color="000000"/>
              <w:right w:val="nil"/>
            </w:tcBorders>
            <w:vAlign w:val="center"/>
          </w:tcPr>
          <w:p w14:paraId="2C47304F" w14:textId="77777777" w:rsidR="007171C8" w:rsidRPr="0073211C" w:rsidRDefault="00856351" w:rsidP="00AA7209">
            <w:pPr>
              <w:pStyle w:val="BodyText"/>
              <w:spacing w:before="0" w:after="0"/>
              <w:jc w:val="center"/>
              <w:rPr>
                <w:rFonts w:ascii="Arial" w:hAnsi="Arial" w:cs="Arial"/>
                <w:b/>
                <w:bCs/>
                <w:color w:val="000000"/>
                <w:sz w:val="22"/>
                <w:szCs w:val="22"/>
                <w:lang w:val="en-IN"/>
              </w:rPr>
            </w:pPr>
            <w:r w:rsidRPr="0073211C">
              <w:rPr>
                <w:rFonts w:ascii="Arial" w:hAnsi="Arial" w:cs="Arial"/>
                <w:b/>
                <w:bCs/>
                <w:color w:val="000000"/>
                <w:sz w:val="22"/>
                <w:szCs w:val="22"/>
                <w:lang w:val="en-IN"/>
              </w:rPr>
              <w:t>Inter-Quartile Range (IQR)</w:t>
            </w:r>
          </w:p>
        </w:tc>
        <w:tc>
          <w:tcPr>
            <w:tcW w:w="1650" w:type="dxa"/>
            <w:tcBorders>
              <w:top w:val="single" w:sz="6" w:space="0" w:color="000000"/>
              <w:left w:val="nil"/>
              <w:bottom w:val="single" w:sz="6" w:space="0" w:color="000000"/>
              <w:right w:val="nil"/>
            </w:tcBorders>
            <w:vAlign w:val="center"/>
          </w:tcPr>
          <w:p w14:paraId="421508B6" w14:textId="77777777" w:rsidR="007171C8" w:rsidRPr="0073211C" w:rsidRDefault="00856351" w:rsidP="00AA7209">
            <w:pPr>
              <w:pStyle w:val="BodyText"/>
              <w:spacing w:before="0" w:after="0"/>
              <w:jc w:val="center"/>
              <w:rPr>
                <w:rFonts w:ascii="Arial" w:hAnsi="Arial" w:cs="Arial"/>
                <w:b/>
                <w:bCs/>
                <w:color w:val="000000"/>
                <w:sz w:val="22"/>
                <w:szCs w:val="22"/>
                <w:lang w:val="en-IN"/>
              </w:rPr>
            </w:pPr>
            <w:r w:rsidRPr="0073211C">
              <w:rPr>
                <w:rFonts w:ascii="Arial" w:hAnsi="Arial" w:cs="Arial"/>
                <w:b/>
                <w:bCs/>
                <w:color w:val="000000"/>
                <w:sz w:val="22"/>
                <w:szCs w:val="22"/>
                <w:lang w:val="en-IN"/>
              </w:rPr>
              <w:t>IQR to Median (%)</w:t>
            </w:r>
          </w:p>
        </w:tc>
      </w:tr>
      <w:tr w:rsidR="007171C8" w:rsidRPr="0073211C" w14:paraId="4B5AF15B" w14:textId="77777777">
        <w:trPr>
          <w:trHeight w:val="622"/>
        </w:trPr>
        <w:tc>
          <w:tcPr>
            <w:tcW w:w="1101" w:type="dxa"/>
            <w:tcBorders>
              <w:top w:val="nil"/>
              <w:left w:val="nil"/>
              <w:bottom w:val="nil"/>
              <w:right w:val="nil"/>
            </w:tcBorders>
            <w:vAlign w:val="center"/>
          </w:tcPr>
          <w:p w14:paraId="4EEF71FE" w14:textId="77777777" w:rsidR="007171C8" w:rsidRPr="0073211C" w:rsidRDefault="00856351" w:rsidP="00AA7209">
            <w:pPr>
              <w:pStyle w:val="BodyText"/>
              <w:spacing w:before="0" w:after="0"/>
              <w:rPr>
                <w:rFonts w:ascii="Arial" w:hAnsi="Arial" w:cs="Arial"/>
                <w:sz w:val="22"/>
                <w:szCs w:val="22"/>
              </w:rPr>
            </w:pPr>
            <w:r w:rsidRPr="0073211C">
              <w:rPr>
                <w:rStyle w:val="VerbatimChar"/>
                <w:rFonts w:ascii="Arial" w:hAnsi="Arial" w:cs="Arial"/>
                <w:color w:val="000000"/>
                <w:szCs w:val="22"/>
                <w:lang w:val="en-IN"/>
              </w:rPr>
              <w:t xml:space="preserve">Pigeon pea </w:t>
            </w:r>
          </w:p>
        </w:tc>
        <w:tc>
          <w:tcPr>
            <w:tcW w:w="1048" w:type="dxa"/>
            <w:tcBorders>
              <w:top w:val="nil"/>
              <w:left w:val="nil"/>
              <w:bottom w:val="nil"/>
              <w:right w:val="nil"/>
            </w:tcBorders>
            <w:vAlign w:val="center"/>
          </w:tcPr>
          <w:p w14:paraId="52F50DD1"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5</w:t>
            </w:r>
          </w:p>
        </w:tc>
        <w:tc>
          <w:tcPr>
            <w:tcW w:w="733" w:type="dxa"/>
            <w:tcBorders>
              <w:top w:val="nil"/>
              <w:left w:val="nil"/>
              <w:bottom w:val="nil"/>
              <w:right w:val="nil"/>
            </w:tcBorders>
            <w:vAlign w:val="center"/>
          </w:tcPr>
          <w:p w14:paraId="1E1FDE06"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7.07</w:t>
            </w:r>
          </w:p>
        </w:tc>
        <w:tc>
          <w:tcPr>
            <w:tcW w:w="879" w:type="dxa"/>
            <w:tcBorders>
              <w:top w:val="nil"/>
              <w:left w:val="nil"/>
              <w:bottom w:val="nil"/>
              <w:right w:val="nil"/>
            </w:tcBorders>
            <w:vAlign w:val="center"/>
          </w:tcPr>
          <w:p w14:paraId="47955084"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8</w:t>
            </w:r>
          </w:p>
        </w:tc>
        <w:tc>
          <w:tcPr>
            <w:tcW w:w="855" w:type="dxa"/>
            <w:tcBorders>
              <w:top w:val="nil"/>
              <w:left w:val="nil"/>
              <w:bottom w:val="nil"/>
              <w:right w:val="nil"/>
            </w:tcBorders>
            <w:vAlign w:val="center"/>
          </w:tcPr>
          <w:p w14:paraId="463EA49B"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9.19</w:t>
            </w:r>
          </w:p>
        </w:tc>
        <w:tc>
          <w:tcPr>
            <w:tcW w:w="1217" w:type="dxa"/>
            <w:tcBorders>
              <w:top w:val="nil"/>
              <w:left w:val="nil"/>
              <w:bottom w:val="nil"/>
              <w:right w:val="nil"/>
            </w:tcBorders>
            <w:vAlign w:val="center"/>
          </w:tcPr>
          <w:p w14:paraId="6C3DA12D"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12.5</w:t>
            </w:r>
          </w:p>
        </w:tc>
        <w:tc>
          <w:tcPr>
            <w:tcW w:w="1699" w:type="dxa"/>
            <w:tcBorders>
              <w:top w:val="nil"/>
              <w:left w:val="nil"/>
              <w:bottom w:val="nil"/>
              <w:right w:val="nil"/>
            </w:tcBorders>
            <w:vAlign w:val="center"/>
          </w:tcPr>
          <w:p w14:paraId="135D3782"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2.12</w:t>
            </w:r>
          </w:p>
        </w:tc>
        <w:tc>
          <w:tcPr>
            <w:tcW w:w="1650" w:type="dxa"/>
            <w:tcBorders>
              <w:top w:val="nil"/>
              <w:left w:val="nil"/>
              <w:bottom w:val="nil"/>
              <w:right w:val="nil"/>
            </w:tcBorders>
            <w:vAlign w:val="center"/>
          </w:tcPr>
          <w:p w14:paraId="7A2728F3"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26.5</w:t>
            </w:r>
          </w:p>
        </w:tc>
      </w:tr>
      <w:tr w:rsidR="007171C8" w:rsidRPr="0073211C" w14:paraId="4F502B39" w14:textId="77777777">
        <w:trPr>
          <w:trHeight w:val="565"/>
        </w:trPr>
        <w:tc>
          <w:tcPr>
            <w:tcW w:w="1101" w:type="dxa"/>
            <w:tcBorders>
              <w:top w:val="nil"/>
              <w:left w:val="nil"/>
              <w:bottom w:val="nil"/>
              <w:right w:val="nil"/>
            </w:tcBorders>
            <w:vAlign w:val="center"/>
          </w:tcPr>
          <w:p w14:paraId="7AEA0C4B" w14:textId="77777777" w:rsidR="007171C8" w:rsidRPr="0073211C" w:rsidRDefault="00856351" w:rsidP="00AA7209">
            <w:pPr>
              <w:pStyle w:val="BodyText"/>
              <w:spacing w:before="0" w:after="0"/>
              <w:rPr>
                <w:rFonts w:ascii="Arial" w:hAnsi="Arial" w:cs="Arial"/>
                <w:sz w:val="22"/>
                <w:szCs w:val="22"/>
              </w:rPr>
            </w:pPr>
            <w:r w:rsidRPr="0073211C">
              <w:rPr>
                <w:rStyle w:val="VerbatimChar"/>
                <w:rFonts w:ascii="Arial" w:hAnsi="Arial" w:cs="Arial"/>
                <w:color w:val="000000"/>
                <w:szCs w:val="22"/>
                <w:lang w:val="en-IN"/>
              </w:rPr>
              <w:t>Cotton</w:t>
            </w:r>
          </w:p>
        </w:tc>
        <w:tc>
          <w:tcPr>
            <w:tcW w:w="1048" w:type="dxa"/>
            <w:tcBorders>
              <w:top w:val="nil"/>
              <w:left w:val="nil"/>
              <w:bottom w:val="nil"/>
              <w:right w:val="nil"/>
            </w:tcBorders>
            <w:vAlign w:val="center"/>
          </w:tcPr>
          <w:p w14:paraId="7FE68A16"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8.02</w:t>
            </w:r>
          </w:p>
        </w:tc>
        <w:tc>
          <w:tcPr>
            <w:tcW w:w="733" w:type="dxa"/>
            <w:tcBorders>
              <w:top w:val="nil"/>
              <w:left w:val="nil"/>
              <w:bottom w:val="nil"/>
              <w:right w:val="nil"/>
            </w:tcBorders>
            <w:vAlign w:val="center"/>
          </w:tcPr>
          <w:p w14:paraId="4A4C5D1C"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10.58</w:t>
            </w:r>
          </w:p>
        </w:tc>
        <w:tc>
          <w:tcPr>
            <w:tcW w:w="879" w:type="dxa"/>
            <w:tcBorders>
              <w:top w:val="nil"/>
              <w:left w:val="nil"/>
              <w:bottom w:val="nil"/>
              <w:right w:val="nil"/>
            </w:tcBorders>
            <w:vAlign w:val="center"/>
          </w:tcPr>
          <w:p w14:paraId="6E9CE365"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15.6</w:t>
            </w:r>
          </w:p>
        </w:tc>
        <w:tc>
          <w:tcPr>
            <w:tcW w:w="855" w:type="dxa"/>
            <w:tcBorders>
              <w:top w:val="nil"/>
              <w:left w:val="nil"/>
              <w:bottom w:val="nil"/>
              <w:right w:val="nil"/>
            </w:tcBorders>
            <w:vAlign w:val="center"/>
          </w:tcPr>
          <w:p w14:paraId="13CC8CEF"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17.57</w:t>
            </w:r>
          </w:p>
        </w:tc>
        <w:tc>
          <w:tcPr>
            <w:tcW w:w="1217" w:type="dxa"/>
            <w:tcBorders>
              <w:top w:val="nil"/>
              <w:left w:val="nil"/>
              <w:bottom w:val="nil"/>
              <w:right w:val="nil"/>
            </w:tcBorders>
            <w:vAlign w:val="center"/>
          </w:tcPr>
          <w:p w14:paraId="29476E63"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19.73</w:t>
            </w:r>
          </w:p>
        </w:tc>
        <w:tc>
          <w:tcPr>
            <w:tcW w:w="1699" w:type="dxa"/>
            <w:tcBorders>
              <w:top w:val="nil"/>
              <w:left w:val="nil"/>
              <w:bottom w:val="nil"/>
              <w:right w:val="nil"/>
            </w:tcBorders>
            <w:vAlign w:val="center"/>
          </w:tcPr>
          <w:p w14:paraId="3462A355"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6.99</w:t>
            </w:r>
          </w:p>
        </w:tc>
        <w:tc>
          <w:tcPr>
            <w:tcW w:w="1650" w:type="dxa"/>
            <w:tcBorders>
              <w:top w:val="nil"/>
              <w:left w:val="nil"/>
              <w:bottom w:val="nil"/>
              <w:right w:val="nil"/>
            </w:tcBorders>
            <w:vAlign w:val="center"/>
          </w:tcPr>
          <w:p w14:paraId="4720C5C7"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44.81</w:t>
            </w:r>
          </w:p>
        </w:tc>
      </w:tr>
      <w:tr w:rsidR="007171C8" w:rsidRPr="0073211C" w14:paraId="1E5A78A8" w14:textId="77777777">
        <w:tc>
          <w:tcPr>
            <w:tcW w:w="1101" w:type="dxa"/>
            <w:tcBorders>
              <w:top w:val="nil"/>
              <w:left w:val="nil"/>
              <w:bottom w:val="nil"/>
              <w:right w:val="nil"/>
            </w:tcBorders>
            <w:vAlign w:val="center"/>
          </w:tcPr>
          <w:p w14:paraId="519711EE" w14:textId="77777777" w:rsidR="007171C8" w:rsidRPr="0073211C" w:rsidRDefault="00856351" w:rsidP="00AA7209">
            <w:pPr>
              <w:pStyle w:val="BodyText"/>
              <w:spacing w:before="0" w:after="0"/>
              <w:rPr>
                <w:rFonts w:ascii="Arial" w:hAnsi="Arial" w:cs="Arial"/>
                <w:sz w:val="22"/>
                <w:szCs w:val="22"/>
              </w:rPr>
            </w:pPr>
            <w:r w:rsidRPr="0073211C">
              <w:rPr>
                <w:rStyle w:val="VerbatimChar"/>
                <w:rFonts w:ascii="Arial" w:hAnsi="Arial" w:cs="Arial"/>
                <w:color w:val="000000"/>
                <w:szCs w:val="22"/>
                <w:lang w:val="en-IN"/>
              </w:rPr>
              <w:t>Gram</w:t>
            </w:r>
          </w:p>
        </w:tc>
        <w:tc>
          <w:tcPr>
            <w:tcW w:w="1048" w:type="dxa"/>
            <w:tcBorders>
              <w:top w:val="nil"/>
              <w:left w:val="nil"/>
              <w:bottom w:val="nil"/>
              <w:right w:val="nil"/>
            </w:tcBorders>
            <w:vAlign w:val="center"/>
          </w:tcPr>
          <w:p w14:paraId="2B97CAB4"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6.25</w:t>
            </w:r>
          </w:p>
        </w:tc>
        <w:tc>
          <w:tcPr>
            <w:tcW w:w="733" w:type="dxa"/>
            <w:tcBorders>
              <w:top w:val="nil"/>
              <w:left w:val="nil"/>
              <w:bottom w:val="nil"/>
              <w:right w:val="nil"/>
            </w:tcBorders>
            <w:vAlign w:val="center"/>
          </w:tcPr>
          <w:p w14:paraId="79481CCD"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13</w:t>
            </w:r>
          </w:p>
        </w:tc>
        <w:tc>
          <w:tcPr>
            <w:tcW w:w="879" w:type="dxa"/>
            <w:tcBorders>
              <w:top w:val="nil"/>
              <w:left w:val="nil"/>
              <w:bottom w:val="nil"/>
              <w:right w:val="nil"/>
            </w:tcBorders>
            <w:vAlign w:val="center"/>
          </w:tcPr>
          <w:p w14:paraId="5E85D444"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14.34</w:t>
            </w:r>
          </w:p>
        </w:tc>
        <w:tc>
          <w:tcPr>
            <w:tcW w:w="855" w:type="dxa"/>
            <w:tcBorders>
              <w:top w:val="nil"/>
              <w:left w:val="nil"/>
              <w:bottom w:val="nil"/>
              <w:right w:val="nil"/>
            </w:tcBorders>
            <w:vAlign w:val="center"/>
          </w:tcPr>
          <w:p w14:paraId="4F2D0ED7"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15.83</w:t>
            </w:r>
          </w:p>
        </w:tc>
        <w:tc>
          <w:tcPr>
            <w:tcW w:w="1217" w:type="dxa"/>
            <w:tcBorders>
              <w:top w:val="nil"/>
              <w:left w:val="nil"/>
              <w:bottom w:val="nil"/>
              <w:right w:val="nil"/>
            </w:tcBorders>
            <w:vAlign w:val="center"/>
          </w:tcPr>
          <w:p w14:paraId="0E9F3BA7"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25</w:t>
            </w:r>
          </w:p>
        </w:tc>
        <w:tc>
          <w:tcPr>
            <w:tcW w:w="1699" w:type="dxa"/>
            <w:tcBorders>
              <w:top w:val="nil"/>
              <w:left w:val="nil"/>
              <w:bottom w:val="nil"/>
              <w:right w:val="nil"/>
            </w:tcBorders>
            <w:vAlign w:val="center"/>
          </w:tcPr>
          <w:p w14:paraId="0DC03E94"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2.83</w:t>
            </w:r>
          </w:p>
        </w:tc>
        <w:tc>
          <w:tcPr>
            <w:tcW w:w="1650" w:type="dxa"/>
            <w:tcBorders>
              <w:top w:val="nil"/>
              <w:left w:val="nil"/>
              <w:bottom w:val="nil"/>
              <w:right w:val="nil"/>
            </w:tcBorders>
            <w:vAlign w:val="center"/>
          </w:tcPr>
          <w:p w14:paraId="232D5D21"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19.74</w:t>
            </w:r>
          </w:p>
        </w:tc>
      </w:tr>
      <w:tr w:rsidR="007171C8" w:rsidRPr="0073211C" w14:paraId="1B10613E" w14:textId="77777777">
        <w:trPr>
          <w:trHeight w:val="117"/>
        </w:trPr>
        <w:tc>
          <w:tcPr>
            <w:tcW w:w="1101" w:type="dxa"/>
            <w:tcBorders>
              <w:top w:val="nil"/>
              <w:left w:val="nil"/>
              <w:bottom w:val="nil"/>
              <w:right w:val="nil"/>
            </w:tcBorders>
            <w:vAlign w:val="center"/>
          </w:tcPr>
          <w:p w14:paraId="0FD38B51" w14:textId="77777777" w:rsidR="007171C8" w:rsidRPr="0073211C" w:rsidRDefault="00856351" w:rsidP="00AA7209">
            <w:pPr>
              <w:pStyle w:val="BodyText"/>
              <w:spacing w:before="0" w:after="0"/>
              <w:rPr>
                <w:rFonts w:ascii="Arial" w:hAnsi="Arial" w:cs="Arial"/>
                <w:sz w:val="22"/>
                <w:szCs w:val="22"/>
              </w:rPr>
            </w:pPr>
            <w:r w:rsidRPr="0073211C">
              <w:rPr>
                <w:rStyle w:val="VerbatimChar"/>
                <w:rFonts w:ascii="Arial" w:hAnsi="Arial" w:cs="Arial"/>
                <w:color w:val="000000"/>
                <w:szCs w:val="22"/>
                <w:lang w:val="en-IN"/>
              </w:rPr>
              <w:t>Maize</w:t>
            </w:r>
          </w:p>
        </w:tc>
        <w:tc>
          <w:tcPr>
            <w:tcW w:w="1048" w:type="dxa"/>
            <w:tcBorders>
              <w:top w:val="nil"/>
              <w:left w:val="nil"/>
              <w:bottom w:val="nil"/>
              <w:right w:val="nil"/>
            </w:tcBorders>
            <w:vAlign w:val="center"/>
          </w:tcPr>
          <w:p w14:paraId="41946470"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14.74</w:t>
            </w:r>
          </w:p>
        </w:tc>
        <w:tc>
          <w:tcPr>
            <w:tcW w:w="733" w:type="dxa"/>
            <w:tcBorders>
              <w:top w:val="nil"/>
              <w:left w:val="nil"/>
              <w:bottom w:val="nil"/>
              <w:right w:val="nil"/>
            </w:tcBorders>
            <w:vAlign w:val="center"/>
          </w:tcPr>
          <w:p w14:paraId="74DDF77F"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21.82</w:t>
            </w:r>
          </w:p>
        </w:tc>
        <w:tc>
          <w:tcPr>
            <w:tcW w:w="879" w:type="dxa"/>
            <w:tcBorders>
              <w:top w:val="nil"/>
              <w:left w:val="nil"/>
              <w:bottom w:val="nil"/>
              <w:right w:val="nil"/>
            </w:tcBorders>
            <w:vAlign w:val="center"/>
          </w:tcPr>
          <w:p w14:paraId="026CC90A"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28</w:t>
            </w:r>
          </w:p>
        </w:tc>
        <w:tc>
          <w:tcPr>
            <w:tcW w:w="855" w:type="dxa"/>
            <w:tcBorders>
              <w:top w:val="nil"/>
              <w:left w:val="nil"/>
              <w:bottom w:val="nil"/>
              <w:right w:val="nil"/>
            </w:tcBorders>
            <w:vAlign w:val="center"/>
          </w:tcPr>
          <w:p w14:paraId="22692887"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32.63</w:t>
            </w:r>
          </w:p>
        </w:tc>
        <w:tc>
          <w:tcPr>
            <w:tcW w:w="1217" w:type="dxa"/>
            <w:tcBorders>
              <w:top w:val="nil"/>
              <w:left w:val="nil"/>
              <w:bottom w:val="nil"/>
              <w:right w:val="nil"/>
            </w:tcBorders>
            <w:vAlign w:val="center"/>
          </w:tcPr>
          <w:p w14:paraId="374476BF"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70</w:t>
            </w:r>
          </w:p>
        </w:tc>
        <w:tc>
          <w:tcPr>
            <w:tcW w:w="1699" w:type="dxa"/>
            <w:tcBorders>
              <w:top w:val="nil"/>
              <w:left w:val="nil"/>
              <w:bottom w:val="nil"/>
              <w:right w:val="nil"/>
            </w:tcBorders>
            <w:vAlign w:val="center"/>
          </w:tcPr>
          <w:p w14:paraId="588C549A"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10.81</w:t>
            </w:r>
          </w:p>
        </w:tc>
        <w:tc>
          <w:tcPr>
            <w:tcW w:w="1650" w:type="dxa"/>
            <w:tcBorders>
              <w:top w:val="nil"/>
              <w:left w:val="nil"/>
              <w:bottom w:val="nil"/>
              <w:right w:val="nil"/>
            </w:tcBorders>
            <w:vAlign w:val="center"/>
          </w:tcPr>
          <w:p w14:paraId="1A968245"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38.61</w:t>
            </w:r>
          </w:p>
        </w:tc>
      </w:tr>
      <w:tr w:rsidR="007171C8" w:rsidRPr="0073211C" w14:paraId="4938819C" w14:textId="77777777">
        <w:trPr>
          <w:trHeight w:val="379"/>
        </w:trPr>
        <w:tc>
          <w:tcPr>
            <w:tcW w:w="1101" w:type="dxa"/>
            <w:tcBorders>
              <w:top w:val="nil"/>
              <w:left w:val="nil"/>
              <w:bottom w:val="nil"/>
              <w:right w:val="nil"/>
            </w:tcBorders>
            <w:vAlign w:val="center"/>
          </w:tcPr>
          <w:p w14:paraId="5E6F48A2" w14:textId="77777777" w:rsidR="007171C8" w:rsidRPr="0073211C" w:rsidRDefault="00856351" w:rsidP="00AA7209">
            <w:pPr>
              <w:pStyle w:val="BodyText"/>
              <w:spacing w:before="0" w:after="0"/>
              <w:rPr>
                <w:rFonts w:ascii="Arial" w:hAnsi="Arial" w:cs="Arial"/>
                <w:sz w:val="22"/>
                <w:szCs w:val="22"/>
              </w:rPr>
            </w:pPr>
            <w:r w:rsidRPr="0073211C">
              <w:rPr>
                <w:rStyle w:val="VerbatimChar"/>
                <w:rFonts w:ascii="Arial" w:hAnsi="Arial" w:cs="Arial"/>
                <w:color w:val="000000"/>
                <w:szCs w:val="22"/>
                <w:lang w:val="en-IN"/>
              </w:rPr>
              <w:t xml:space="preserve">Lentil  </w:t>
            </w:r>
          </w:p>
        </w:tc>
        <w:tc>
          <w:tcPr>
            <w:tcW w:w="1048" w:type="dxa"/>
            <w:tcBorders>
              <w:top w:val="nil"/>
              <w:left w:val="nil"/>
              <w:bottom w:val="nil"/>
              <w:right w:val="nil"/>
            </w:tcBorders>
            <w:vAlign w:val="center"/>
          </w:tcPr>
          <w:p w14:paraId="6E426922"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7.5</w:t>
            </w:r>
          </w:p>
        </w:tc>
        <w:tc>
          <w:tcPr>
            <w:tcW w:w="733" w:type="dxa"/>
            <w:tcBorders>
              <w:top w:val="nil"/>
              <w:left w:val="nil"/>
              <w:bottom w:val="nil"/>
              <w:right w:val="nil"/>
            </w:tcBorders>
            <w:vAlign w:val="center"/>
          </w:tcPr>
          <w:p w14:paraId="04C827FA"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9.35</w:t>
            </w:r>
          </w:p>
        </w:tc>
        <w:tc>
          <w:tcPr>
            <w:tcW w:w="879" w:type="dxa"/>
            <w:tcBorders>
              <w:top w:val="nil"/>
              <w:left w:val="nil"/>
              <w:bottom w:val="nil"/>
              <w:right w:val="nil"/>
            </w:tcBorders>
            <w:vAlign w:val="center"/>
          </w:tcPr>
          <w:p w14:paraId="0DB26795"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11</w:t>
            </w:r>
          </w:p>
        </w:tc>
        <w:tc>
          <w:tcPr>
            <w:tcW w:w="855" w:type="dxa"/>
            <w:tcBorders>
              <w:top w:val="nil"/>
              <w:left w:val="nil"/>
              <w:bottom w:val="nil"/>
              <w:right w:val="nil"/>
            </w:tcBorders>
            <w:vAlign w:val="center"/>
          </w:tcPr>
          <w:p w14:paraId="103C76BB"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12</w:t>
            </w:r>
          </w:p>
        </w:tc>
        <w:tc>
          <w:tcPr>
            <w:tcW w:w="1217" w:type="dxa"/>
            <w:tcBorders>
              <w:top w:val="nil"/>
              <w:left w:val="nil"/>
              <w:bottom w:val="nil"/>
              <w:right w:val="nil"/>
            </w:tcBorders>
            <w:vAlign w:val="center"/>
          </w:tcPr>
          <w:p w14:paraId="7AA38EDD"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13.55</w:t>
            </w:r>
          </w:p>
        </w:tc>
        <w:tc>
          <w:tcPr>
            <w:tcW w:w="1699" w:type="dxa"/>
            <w:tcBorders>
              <w:top w:val="nil"/>
              <w:left w:val="nil"/>
              <w:bottom w:val="nil"/>
              <w:right w:val="nil"/>
            </w:tcBorders>
            <w:vAlign w:val="center"/>
          </w:tcPr>
          <w:p w14:paraId="6FACB78F"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2.65</w:t>
            </w:r>
          </w:p>
        </w:tc>
        <w:tc>
          <w:tcPr>
            <w:tcW w:w="1650" w:type="dxa"/>
            <w:tcBorders>
              <w:top w:val="nil"/>
              <w:left w:val="nil"/>
              <w:bottom w:val="nil"/>
              <w:right w:val="nil"/>
            </w:tcBorders>
            <w:vAlign w:val="center"/>
          </w:tcPr>
          <w:p w14:paraId="500ACBC7"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24.09</w:t>
            </w:r>
          </w:p>
        </w:tc>
      </w:tr>
      <w:tr w:rsidR="007171C8" w:rsidRPr="0073211C" w14:paraId="79D072E6" w14:textId="77777777">
        <w:tc>
          <w:tcPr>
            <w:tcW w:w="1101" w:type="dxa"/>
            <w:tcBorders>
              <w:top w:val="nil"/>
              <w:left w:val="nil"/>
              <w:bottom w:val="nil"/>
              <w:right w:val="nil"/>
            </w:tcBorders>
            <w:vAlign w:val="center"/>
          </w:tcPr>
          <w:p w14:paraId="17D1223A" w14:textId="77777777" w:rsidR="007171C8" w:rsidRPr="0073211C" w:rsidRDefault="00856351" w:rsidP="00AA7209">
            <w:pPr>
              <w:pStyle w:val="BodyText"/>
              <w:spacing w:before="0" w:after="0"/>
              <w:rPr>
                <w:rFonts w:ascii="Arial" w:hAnsi="Arial" w:cs="Arial"/>
                <w:sz w:val="22"/>
                <w:szCs w:val="22"/>
              </w:rPr>
            </w:pPr>
            <w:r w:rsidRPr="0073211C">
              <w:rPr>
                <w:rStyle w:val="VerbatimChar"/>
                <w:rFonts w:ascii="Arial" w:hAnsi="Arial" w:cs="Arial"/>
                <w:color w:val="000000"/>
                <w:szCs w:val="22"/>
                <w:lang w:val="en-IN"/>
              </w:rPr>
              <w:t>Paddy</w:t>
            </w:r>
          </w:p>
        </w:tc>
        <w:tc>
          <w:tcPr>
            <w:tcW w:w="1048" w:type="dxa"/>
            <w:tcBorders>
              <w:top w:val="nil"/>
              <w:left w:val="nil"/>
              <w:bottom w:val="nil"/>
              <w:right w:val="nil"/>
            </w:tcBorders>
            <w:vAlign w:val="center"/>
          </w:tcPr>
          <w:p w14:paraId="4D1ADBC5"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10</w:t>
            </w:r>
          </w:p>
        </w:tc>
        <w:tc>
          <w:tcPr>
            <w:tcW w:w="733" w:type="dxa"/>
            <w:tcBorders>
              <w:top w:val="nil"/>
              <w:left w:val="nil"/>
              <w:bottom w:val="nil"/>
              <w:right w:val="nil"/>
            </w:tcBorders>
            <w:vAlign w:val="center"/>
          </w:tcPr>
          <w:p w14:paraId="1A6DE019"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27.24</w:t>
            </w:r>
          </w:p>
        </w:tc>
        <w:tc>
          <w:tcPr>
            <w:tcW w:w="879" w:type="dxa"/>
            <w:tcBorders>
              <w:top w:val="nil"/>
              <w:left w:val="nil"/>
              <w:bottom w:val="nil"/>
              <w:right w:val="nil"/>
            </w:tcBorders>
            <w:vAlign w:val="center"/>
          </w:tcPr>
          <w:p w14:paraId="043AD629"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31.75</w:t>
            </w:r>
          </w:p>
        </w:tc>
        <w:tc>
          <w:tcPr>
            <w:tcW w:w="855" w:type="dxa"/>
            <w:tcBorders>
              <w:top w:val="nil"/>
              <w:left w:val="nil"/>
              <w:bottom w:val="nil"/>
              <w:right w:val="nil"/>
            </w:tcBorders>
            <w:vAlign w:val="center"/>
          </w:tcPr>
          <w:p w14:paraId="60368369"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37.64</w:t>
            </w:r>
          </w:p>
        </w:tc>
        <w:tc>
          <w:tcPr>
            <w:tcW w:w="1217" w:type="dxa"/>
            <w:tcBorders>
              <w:top w:val="nil"/>
              <w:left w:val="nil"/>
              <w:bottom w:val="nil"/>
              <w:right w:val="nil"/>
            </w:tcBorders>
            <w:vAlign w:val="center"/>
          </w:tcPr>
          <w:p w14:paraId="265C4CE8"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66.67</w:t>
            </w:r>
          </w:p>
        </w:tc>
        <w:tc>
          <w:tcPr>
            <w:tcW w:w="1699" w:type="dxa"/>
            <w:tcBorders>
              <w:top w:val="nil"/>
              <w:left w:val="nil"/>
              <w:bottom w:val="nil"/>
              <w:right w:val="nil"/>
            </w:tcBorders>
            <w:vAlign w:val="center"/>
          </w:tcPr>
          <w:p w14:paraId="3DFF1A20"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10.4</w:t>
            </w:r>
          </w:p>
        </w:tc>
        <w:tc>
          <w:tcPr>
            <w:tcW w:w="1650" w:type="dxa"/>
            <w:tcBorders>
              <w:top w:val="nil"/>
              <w:left w:val="nil"/>
              <w:bottom w:val="nil"/>
              <w:right w:val="nil"/>
            </w:tcBorders>
            <w:vAlign w:val="center"/>
          </w:tcPr>
          <w:p w14:paraId="7E9A2027"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32.76</w:t>
            </w:r>
          </w:p>
        </w:tc>
      </w:tr>
      <w:tr w:rsidR="007171C8" w:rsidRPr="0073211C" w14:paraId="4CD2ACF3" w14:textId="77777777">
        <w:tc>
          <w:tcPr>
            <w:tcW w:w="1101" w:type="dxa"/>
            <w:tcBorders>
              <w:top w:val="nil"/>
              <w:left w:val="nil"/>
              <w:bottom w:val="nil"/>
              <w:right w:val="nil"/>
            </w:tcBorders>
            <w:vAlign w:val="center"/>
          </w:tcPr>
          <w:p w14:paraId="4CD4CFC6" w14:textId="77777777" w:rsidR="007171C8" w:rsidRPr="0073211C" w:rsidRDefault="00856351" w:rsidP="00AA7209">
            <w:pPr>
              <w:pStyle w:val="BodyText"/>
              <w:spacing w:before="0" w:after="0"/>
              <w:rPr>
                <w:rFonts w:ascii="Arial" w:hAnsi="Arial" w:cs="Arial"/>
                <w:sz w:val="22"/>
                <w:szCs w:val="22"/>
              </w:rPr>
            </w:pPr>
            <w:r w:rsidRPr="0073211C">
              <w:rPr>
                <w:rStyle w:val="VerbatimChar"/>
                <w:rFonts w:ascii="Arial" w:hAnsi="Arial" w:cs="Arial"/>
                <w:color w:val="000000"/>
                <w:szCs w:val="22"/>
                <w:lang w:val="en-IN"/>
              </w:rPr>
              <w:t>Mustard</w:t>
            </w:r>
          </w:p>
        </w:tc>
        <w:tc>
          <w:tcPr>
            <w:tcW w:w="1048" w:type="dxa"/>
            <w:tcBorders>
              <w:top w:val="nil"/>
              <w:left w:val="nil"/>
              <w:bottom w:val="nil"/>
              <w:right w:val="nil"/>
            </w:tcBorders>
            <w:vAlign w:val="center"/>
          </w:tcPr>
          <w:p w14:paraId="1B33C044"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5</w:t>
            </w:r>
          </w:p>
        </w:tc>
        <w:tc>
          <w:tcPr>
            <w:tcW w:w="733" w:type="dxa"/>
            <w:tcBorders>
              <w:top w:val="nil"/>
              <w:left w:val="nil"/>
              <w:bottom w:val="nil"/>
              <w:right w:val="nil"/>
            </w:tcBorders>
            <w:vAlign w:val="center"/>
          </w:tcPr>
          <w:p w14:paraId="2B63A24F"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14.36</w:t>
            </w:r>
          </w:p>
        </w:tc>
        <w:tc>
          <w:tcPr>
            <w:tcW w:w="879" w:type="dxa"/>
            <w:tcBorders>
              <w:top w:val="nil"/>
              <w:left w:val="nil"/>
              <w:bottom w:val="nil"/>
              <w:right w:val="nil"/>
            </w:tcBorders>
            <w:vAlign w:val="center"/>
          </w:tcPr>
          <w:p w14:paraId="28566D9E"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17.78</w:t>
            </w:r>
          </w:p>
        </w:tc>
        <w:tc>
          <w:tcPr>
            <w:tcW w:w="855" w:type="dxa"/>
            <w:tcBorders>
              <w:top w:val="nil"/>
              <w:left w:val="nil"/>
              <w:bottom w:val="nil"/>
              <w:right w:val="nil"/>
            </w:tcBorders>
            <w:vAlign w:val="center"/>
          </w:tcPr>
          <w:p w14:paraId="16B813BA"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18.8</w:t>
            </w:r>
          </w:p>
        </w:tc>
        <w:tc>
          <w:tcPr>
            <w:tcW w:w="1217" w:type="dxa"/>
            <w:tcBorders>
              <w:top w:val="nil"/>
              <w:left w:val="nil"/>
              <w:bottom w:val="nil"/>
              <w:right w:val="nil"/>
            </w:tcBorders>
            <w:vAlign w:val="center"/>
          </w:tcPr>
          <w:p w14:paraId="2ED98B6E"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20.83</w:t>
            </w:r>
          </w:p>
        </w:tc>
        <w:tc>
          <w:tcPr>
            <w:tcW w:w="1699" w:type="dxa"/>
            <w:tcBorders>
              <w:top w:val="nil"/>
              <w:left w:val="nil"/>
              <w:bottom w:val="nil"/>
              <w:right w:val="nil"/>
            </w:tcBorders>
            <w:vAlign w:val="center"/>
          </w:tcPr>
          <w:p w14:paraId="6AC6D206"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4.44</w:t>
            </w:r>
          </w:p>
        </w:tc>
        <w:tc>
          <w:tcPr>
            <w:tcW w:w="1650" w:type="dxa"/>
            <w:tcBorders>
              <w:top w:val="nil"/>
              <w:left w:val="nil"/>
              <w:bottom w:val="nil"/>
              <w:right w:val="nil"/>
            </w:tcBorders>
            <w:vAlign w:val="center"/>
          </w:tcPr>
          <w:p w14:paraId="687432ED"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24.97</w:t>
            </w:r>
          </w:p>
        </w:tc>
      </w:tr>
      <w:tr w:rsidR="007171C8" w:rsidRPr="0073211C" w14:paraId="368604C5" w14:textId="77777777">
        <w:tc>
          <w:tcPr>
            <w:tcW w:w="1101" w:type="dxa"/>
            <w:tcBorders>
              <w:top w:val="nil"/>
              <w:left w:val="nil"/>
              <w:bottom w:val="nil"/>
              <w:right w:val="nil"/>
            </w:tcBorders>
            <w:vAlign w:val="center"/>
          </w:tcPr>
          <w:p w14:paraId="4941D3F9" w14:textId="77777777" w:rsidR="007171C8" w:rsidRPr="0073211C" w:rsidRDefault="00856351" w:rsidP="00AA7209">
            <w:pPr>
              <w:pStyle w:val="BodyText"/>
              <w:spacing w:before="0" w:after="0"/>
              <w:rPr>
                <w:rFonts w:ascii="Arial" w:hAnsi="Arial" w:cs="Arial"/>
                <w:sz w:val="22"/>
                <w:szCs w:val="22"/>
              </w:rPr>
            </w:pPr>
            <w:r w:rsidRPr="0073211C">
              <w:rPr>
                <w:rStyle w:val="VerbatimChar"/>
                <w:rFonts w:ascii="Arial" w:hAnsi="Arial" w:cs="Arial"/>
                <w:color w:val="000000"/>
                <w:szCs w:val="22"/>
                <w:lang w:val="en-IN"/>
              </w:rPr>
              <w:t>Soybean</w:t>
            </w:r>
          </w:p>
        </w:tc>
        <w:tc>
          <w:tcPr>
            <w:tcW w:w="1048" w:type="dxa"/>
            <w:tcBorders>
              <w:top w:val="nil"/>
              <w:left w:val="nil"/>
              <w:bottom w:val="nil"/>
              <w:right w:val="nil"/>
            </w:tcBorders>
            <w:vAlign w:val="center"/>
          </w:tcPr>
          <w:p w14:paraId="7D6DCE4C"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1.6</w:t>
            </w:r>
          </w:p>
        </w:tc>
        <w:tc>
          <w:tcPr>
            <w:tcW w:w="733" w:type="dxa"/>
            <w:tcBorders>
              <w:top w:val="nil"/>
              <w:left w:val="nil"/>
              <w:bottom w:val="nil"/>
              <w:right w:val="nil"/>
            </w:tcBorders>
            <w:vAlign w:val="center"/>
          </w:tcPr>
          <w:p w14:paraId="78902773"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5.88</w:t>
            </w:r>
          </w:p>
        </w:tc>
        <w:tc>
          <w:tcPr>
            <w:tcW w:w="879" w:type="dxa"/>
            <w:tcBorders>
              <w:top w:val="nil"/>
              <w:left w:val="nil"/>
              <w:bottom w:val="nil"/>
              <w:right w:val="nil"/>
            </w:tcBorders>
            <w:vAlign w:val="center"/>
          </w:tcPr>
          <w:p w14:paraId="4D467212"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7.89</w:t>
            </w:r>
          </w:p>
        </w:tc>
        <w:tc>
          <w:tcPr>
            <w:tcW w:w="855" w:type="dxa"/>
            <w:tcBorders>
              <w:top w:val="nil"/>
              <w:left w:val="nil"/>
              <w:bottom w:val="nil"/>
              <w:right w:val="nil"/>
            </w:tcBorders>
            <w:vAlign w:val="center"/>
          </w:tcPr>
          <w:p w14:paraId="2292E9CB"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9.36</w:t>
            </w:r>
          </w:p>
        </w:tc>
        <w:tc>
          <w:tcPr>
            <w:tcW w:w="1217" w:type="dxa"/>
            <w:tcBorders>
              <w:top w:val="nil"/>
              <w:left w:val="nil"/>
              <w:bottom w:val="nil"/>
              <w:right w:val="nil"/>
            </w:tcBorders>
            <w:vAlign w:val="center"/>
          </w:tcPr>
          <w:p w14:paraId="791FCEA2"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16.98</w:t>
            </w:r>
          </w:p>
        </w:tc>
        <w:tc>
          <w:tcPr>
            <w:tcW w:w="1699" w:type="dxa"/>
            <w:tcBorders>
              <w:top w:val="nil"/>
              <w:left w:val="nil"/>
              <w:bottom w:val="nil"/>
              <w:right w:val="nil"/>
            </w:tcBorders>
            <w:vAlign w:val="center"/>
          </w:tcPr>
          <w:p w14:paraId="54471E67"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3.48</w:t>
            </w:r>
          </w:p>
        </w:tc>
        <w:tc>
          <w:tcPr>
            <w:tcW w:w="1650" w:type="dxa"/>
            <w:tcBorders>
              <w:top w:val="nil"/>
              <w:left w:val="nil"/>
              <w:bottom w:val="nil"/>
              <w:right w:val="nil"/>
            </w:tcBorders>
            <w:vAlign w:val="center"/>
          </w:tcPr>
          <w:p w14:paraId="47663181"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44.11</w:t>
            </w:r>
          </w:p>
        </w:tc>
      </w:tr>
      <w:tr w:rsidR="007171C8" w:rsidRPr="0073211C" w14:paraId="420303FF" w14:textId="77777777">
        <w:tc>
          <w:tcPr>
            <w:tcW w:w="1101" w:type="dxa"/>
            <w:tcBorders>
              <w:top w:val="nil"/>
              <w:left w:val="nil"/>
              <w:bottom w:val="nil"/>
              <w:right w:val="nil"/>
            </w:tcBorders>
            <w:vAlign w:val="center"/>
          </w:tcPr>
          <w:p w14:paraId="4E71CA6A" w14:textId="77777777" w:rsidR="007171C8" w:rsidRPr="0073211C" w:rsidRDefault="00856351" w:rsidP="00AA7209">
            <w:pPr>
              <w:pStyle w:val="BodyText"/>
              <w:spacing w:before="0" w:after="0"/>
              <w:rPr>
                <w:rFonts w:ascii="Arial" w:hAnsi="Arial" w:cs="Arial"/>
                <w:sz w:val="22"/>
                <w:szCs w:val="22"/>
              </w:rPr>
            </w:pPr>
            <w:r w:rsidRPr="0073211C">
              <w:rPr>
                <w:rStyle w:val="VerbatimChar"/>
                <w:rFonts w:ascii="Arial" w:hAnsi="Arial" w:cs="Arial"/>
                <w:color w:val="000000"/>
                <w:szCs w:val="22"/>
                <w:lang w:val="en-IN"/>
              </w:rPr>
              <w:t>Black gram</w:t>
            </w:r>
          </w:p>
        </w:tc>
        <w:tc>
          <w:tcPr>
            <w:tcW w:w="1048" w:type="dxa"/>
            <w:tcBorders>
              <w:top w:val="nil"/>
              <w:left w:val="nil"/>
              <w:bottom w:val="nil"/>
              <w:right w:val="nil"/>
            </w:tcBorders>
            <w:vAlign w:val="center"/>
          </w:tcPr>
          <w:p w14:paraId="7E6F1DF8"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1.25</w:t>
            </w:r>
          </w:p>
        </w:tc>
        <w:tc>
          <w:tcPr>
            <w:tcW w:w="733" w:type="dxa"/>
            <w:tcBorders>
              <w:top w:val="nil"/>
              <w:left w:val="nil"/>
              <w:bottom w:val="nil"/>
              <w:right w:val="nil"/>
            </w:tcBorders>
            <w:vAlign w:val="center"/>
          </w:tcPr>
          <w:p w14:paraId="07DDAEA7"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2.5</w:t>
            </w:r>
          </w:p>
        </w:tc>
        <w:tc>
          <w:tcPr>
            <w:tcW w:w="879" w:type="dxa"/>
            <w:tcBorders>
              <w:top w:val="nil"/>
              <w:left w:val="nil"/>
              <w:bottom w:val="nil"/>
              <w:right w:val="nil"/>
            </w:tcBorders>
            <w:vAlign w:val="center"/>
          </w:tcPr>
          <w:p w14:paraId="5E82045F"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3.14</w:t>
            </w:r>
          </w:p>
        </w:tc>
        <w:tc>
          <w:tcPr>
            <w:tcW w:w="855" w:type="dxa"/>
            <w:tcBorders>
              <w:top w:val="nil"/>
              <w:left w:val="nil"/>
              <w:bottom w:val="nil"/>
              <w:right w:val="nil"/>
            </w:tcBorders>
            <w:vAlign w:val="center"/>
          </w:tcPr>
          <w:p w14:paraId="3CEEAA32"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5</w:t>
            </w:r>
          </w:p>
        </w:tc>
        <w:tc>
          <w:tcPr>
            <w:tcW w:w="1217" w:type="dxa"/>
            <w:tcBorders>
              <w:top w:val="nil"/>
              <w:left w:val="nil"/>
              <w:bottom w:val="nil"/>
              <w:right w:val="nil"/>
            </w:tcBorders>
            <w:vAlign w:val="center"/>
          </w:tcPr>
          <w:p w14:paraId="2B041968"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8.67</w:t>
            </w:r>
          </w:p>
        </w:tc>
        <w:tc>
          <w:tcPr>
            <w:tcW w:w="1699" w:type="dxa"/>
            <w:tcBorders>
              <w:top w:val="nil"/>
              <w:left w:val="nil"/>
              <w:bottom w:val="nil"/>
              <w:right w:val="nil"/>
            </w:tcBorders>
            <w:vAlign w:val="center"/>
          </w:tcPr>
          <w:p w14:paraId="574F6B12"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2.5</w:t>
            </w:r>
          </w:p>
        </w:tc>
        <w:tc>
          <w:tcPr>
            <w:tcW w:w="1650" w:type="dxa"/>
            <w:tcBorders>
              <w:top w:val="nil"/>
              <w:left w:val="nil"/>
              <w:bottom w:val="nil"/>
              <w:right w:val="nil"/>
            </w:tcBorders>
            <w:vAlign w:val="center"/>
          </w:tcPr>
          <w:p w14:paraId="1CCB6589"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79.62</w:t>
            </w:r>
          </w:p>
        </w:tc>
      </w:tr>
      <w:tr w:rsidR="007171C8" w:rsidRPr="0073211C" w14:paraId="6D3E9A58" w14:textId="77777777">
        <w:tc>
          <w:tcPr>
            <w:tcW w:w="1101" w:type="dxa"/>
            <w:tcBorders>
              <w:top w:val="nil"/>
              <w:left w:val="nil"/>
              <w:bottom w:val="single" w:sz="6" w:space="0" w:color="000000"/>
              <w:right w:val="nil"/>
            </w:tcBorders>
            <w:vAlign w:val="center"/>
          </w:tcPr>
          <w:p w14:paraId="08BD3591" w14:textId="77777777" w:rsidR="007171C8" w:rsidRPr="0073211C" w:rsidRDefault="00856351" w:rsidP="00AA7209">
            <w:pPr>
              <w:pStyle w:val="BodyText"/>
              <w:spacing w:before="0" w:after="0"/>
              <w:rPr>
                <w:rFonts w:ascii="Arial" w:hAnsi="Arial" w:cs="Arial"/>
                <w:sz w:val="22"/>
                <w:szCs w:val="22"/>
              </w:rPr>
            </w:pPr>
            <w:r w:rsidRPr="0073211C">
              <w:rPr>
                <w:rStyle w:val="VerbatimChar"/>
                <w:rFonts w:ascii="Arial" w:hAnsi="Arial" w:cs="Arial"/>
                <w:color w:val="000000"/>
                <w:szCs w:val="22"/>
                <w:lang w:val="en-IN"/>
              </w:rPr>
              <w:t>Wheat</w:t>
            </w:r>
          </w:p>
        </w:tc>
        <w:tc>
          <w:tcPr>
            <w:tcW w:w="1048" w:type="dxa"/>
            <w:tcBorders>
              <w:top w:val="nil"/>
              <w:left w:val="nil"/>
              <w:bottom w:val="single" w:sz="6" w:space="0" w:color="000000"/>
              <w:right w:val="nil"/>
            </w:tcBorders>
            <w:vAlign w:val="center"/>
          </w:tcPr>
          <w:p w14:paraId="5DBCACAD"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17.89</w:t>
            </w:r>
          </w:p>
        </w:tc>
        <w:tc>
          <w:tcPr>
            <w:tcW w:w="733" w:type="dxa"/>
            <w:tcBorders>
              <w:top w:val="nil"/>
              <w:left w:val="nil"/>
              <w:bottom w:val="single" w:sz="6" w:space="0" w:color="000000"/>
              <w:right w:val="nil"/>
            </w:tcBorders>
            <w:vAlign w:val="center"/>
          </w:tcPr>
          <w:p w14:paraId="2A39611C"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37.5</w:t>
            </w:r>
          </w:p>
        </w:tc>
        <w:tc>
          <w:tcPr>
            <w:tcW w:w="879" w:type="dxa"/>
            <w:tcBorders>
              <w:top w:val="nil"/>
              <w:left w:val="nil"/>
              <w:bottom w:val="single" w:sz="6" w:space="0" w:color="000000"/>
              <w:right w:val="nil"/>
            </w:tcBorders>
            <w:vAlign w:val="center"/>
          </w:tcPr>
          <w:p w14:paraId="764F371A"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43</w:t>
            </w:r>
          </w:p>
        </w:tc>
        <w:tc>
          <w:tcPr>
            <w:tcW w:w="855" w:type="dxa"/>
            <w:tcBorders>
              <w:top w:val="nil"/>
              <w:left w:val="nil"/>
              <w:bottom w:val="single" w:sz="6" w:space="0" w:color="000000"/>
              <w:right w:val="nil"/>
            </w:tcBorders>
            <w:vAlign w:val="center"/>
          </w:tcPr>
          <w:p w14:paraId="5801C8AB"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47.69</w:t>
            </w:r>
          </w:p>
        </w:tc>
        <w:tc>
          <w:tcPr>
            <w:tcW w:w="1217" w:type="dxa"/>
            <w:tcBorders>
              <w:top w:val="nil"/>
              <w:left w:val="nil"/>
              <w:bottom w:val="single" w:sz="6" w:space="0" w:color="000000"/>
              <w:right w:val="nil"/>
            </w:tcBorders>
            <w:vAlign w:val="center"/>
          </w:tcPr>
          <w:p w14:paraId="577C3B6F"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61.4</w:t>
            </w:r>
          </w:p>
        </w:tc>
        <w:tc>
          <w:tcPr>
            <w:tcW w:w="1699" w:type="dxa"/>
            <w:tcBorders>
              <w:top w:val="nil"/>
              <w:left w:val="nil"/>
              <w:bottom w:val="single" w:sz="6" w:space="0" w:color="000000"/>
              <w:right w:val="nil"/>
            </w:tcBorders>
            <w:vAlign w:val="center"/>
          </w:tcPr>
          <w:p w14:paraId="54010011"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10.19</w:t>
            </w:r>
          </w:p>
        </w:tc>
        <w:tc>
          <w:tcPr>
            <w:tcW w:w="1650" w:type="dxa"/>
            <w:tcBorders>
              <w:top w:val="nil"/>
              <w:left w:val="nil"/>
              <w:bottom w:val="single" w:sz="6" w:space="0" w:color="000000"/>
              <w:right w:val="nil"/>
            </w:tcBorders>
            <w:vAlign w:val="center"/>
          </w:tcPr>
          <w:p w14:paraId="456C77D9"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23.7</w:t>
            </w:r>
          </w:p>
        </w:tc>
      </w:tr>
    </w:tbl>
    <w:p w14:paraId="329203AB" w14:textId="1D5CB992" w:rsidR="00AA7209" w:rsidRPr="00173980" w:rsidRDefault="00856351" w:rsidP="00173980">
      <w:pPr>
        <w:pStyle w:val="FirstParagraph"/>
        <w:rPr>
          <w:rFonts w:ascii="Arial" w:hAnsi="Arial" w:cs="Arial"/>
          <w:b/>
          <w:bCs/>
          <w:color w:val="000000"/>
          <w:sz w:val="22"/>
          <w:szCs w:val="22"/>
          <w:lang w:val="en-IN"/>
        </w:rPr>
      </w:pPr>
      <w:r w:rsidRPr="0073211C">
        <w:rPr>
          <w:rFonts w:ascii="Arial" w:hAnsi="Arial" w:cs="Arial"/>
          <w:noProof/>
          <w:sz w:val="22"/>
          <w:szCs w:val="22"/>
        </w:rPr>
        <w:drawing>
          <wp:anchor distT="0" distB="0" distL="0" distR="0" simplePos="0" relativeHeight="251657728" behindDoc="0" locked="0" layoutInCell="1" allowOverlap="1" wp14:anchorId="12124F64" wp14:editId="637C789B">
            <wp:simplePos x="0" y="0"/>
            <wp:positionH relativeFrom="column">
              <wp:align>center</wp:align>
            </wp:positionH>
            <wp:positionV relativeFrom="paragraph">
              <wp:posOffset>635</wp:posOffset>
            </wp:positionV>
            <wp:extent cx="5943600" cy="411670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tretch>
                      <a:fillRect/>
                    </a:stretch>
                  </pic:blipFill>
                  <pic:spPr bwMode="auto">
                    <a:xfrm>
                      <a:off x="0" y="0"/>
                      <a:ext cx="5943600" cy="4116705"/>
                    </a:xfrm>
                    <a:prstGeom prst="rect">
                      <a:avLst/>
                    </a:prstGeom>
                  </pic:spPr>
                </pic:pic>
              </a:graphicData>
            </a:graphic>
          </wp:anchor>
        </w:drawing>
      </w:r>
      <w:r w:rsidRPr="0073211C">
        <w:rPr>
          <w:rFonts w:ascii="Arial" w:hAnsi="Arial" w:cs="Arial"/>
          <w:b/>
          <w:bCs/>
          <w:color w:val="000000"/>
          <w:sz w:val="22"/>
          <w:szCs w:val="22"/>
          <w:lang w:val="en-IN"/>
        </w:rPr>
        <w:t>Figure 1.  Boxplot of yield (</w:t>
      </w:r>
      <w:proofErr w:type="spellStart"/>
      <w:proofErr w:type="gramStart"/>
      <w:r w:rsidRPr="0073211C">
        <w:rPr>
          <w:rFonts w:ascii="Arial" w:hAnsi="Arial" w:cs="Arial"/>
          <w:b/>
          <w:bCs/>
          <w:color w:val="000000"/>
          <w:sz w:val="22"/>
          <w:szCs w:val="22"/>
          <w:lang w:val="en-IN"/>
        </w:rPr>
        <w:t>Qtl</w:t>
      </w:r>
      <w:proofErr w:type="spellEnd"/>
      <w:r w:rsidRPr="0073211C">
        <w:rPr>
          <w:rFonts w:ascii="Arial" w:hAnsi="Arial" w:cs="Arial"/>
          <w:b/>
          <w:bCs/>
          <w:color w:val="000000"/>
          <w:sz w:val="22"/>
          <w:szCs w:val="22"/>
          <w:lang w:val="en-IN"/>
        </w:rPr>
        <w:t>./</w:t>
      </w:r>
      <w:proofErr w:type="gramEnd"/>
      <w:r w:rsidRPr="0073211C">
        <w:rPr>
          <w:rFonts w:ascii="Arial" w:hAnsi="Arial" w:cs="Arial"/>
          <w:b/>
          <w:bCs/>
          <w:color w:val="000000"/>
          <w:sz w:val="22"/>
          <w:szCs w:val="22"/>
          <w:lang w:val="en-IN"/>
        </w:rPr>
        <w:t>ha.) of various crops in Madhya Pradesh for 2019-20</w:t>
      </w:r>
    </w:p>
    <w:p w14:paraId="3D632585" w14:textId="77777777" w:rsidR="00646B82" w:rsidRDefault="00646B82" w:rsidP="0073211C">
      <w:pPr>
        <w:pStyle w:val="BodyText"/>
        <w:rPr>
          <w:rFonts w:ascii="Arial" w:hAnsi="Arial" w:cs="Arial"/>
          <w:b/>
          <w:bCs/>
          <w:color w:val="000000"/>
          <w:sz w:val="22"/>
          <w:szCs w:val="22"/>
          <w:lang w:val="en-IN"/>
        </w:rPr>
      </w:pPr>
    </w:p>
    <w:p w14:paraId="540B22BF" w14:textId="77777777" w:rsidR="00646B82" w:rsidRDefault="00646B82" w:rsidP="0073211C">
      <w:pPr>
        <w:pStyle w:val="BodyText"/>
        <w:rPr>
          <w:rFonts w:ascii="Arial" w:hAnsi="Arial" w:cs="Arial"/>
          <w:b/>
          <w:bCs/>
          <w:color w:val="000000"/>
          <w:sz w:val="22"/>
          <w:szCs w:val="22"/>
          <w:lang w:val="en-IN"/>
        </w:rPr>
      </w:pPr>
    </w:p>
    <w:p w14:paraId="0B375E16" w14:textId="1FA33A95" w:rsidR="007171C8" w:rsidRPr="0073211C" w:rsidRDefault="00856351" w:rsidP="0073211C">
      <w:pPr>
        <w:pStyle w:val="BodyText"/>
        <w:rPr>
          <w:rFonts w:ascii="Arial" w:hAnsi="Arial" w:cs="Arial"/>
          <w:color w:val="000000"/>
          <w:sz w:val="22"/>
          <w:szCs w:val="22"/>
          <w:lang w:val="en-IN"/>
        </w:rPr>
      </w:pPr>
      <w:r w:rsidRPr="0073211C">
        <w:rPr>
          <w:rFonts w:ascii="Arial" w:hAnsi="Arial" w:cs="Arial"/>
          <w:b/>
          <w:bCs/>
          <w:color w:val="000000"/>
          <w:sz w:val="22"/>
          <w:szCs w:val="22"/>
          <w:lang w:val="en-IN"/>
        </w:rPr>
        <w:lastRenderedPageBreak/>
        <w:t xml:space="preserve">Table 2.  Shapiro-Wilk test results before and after BC transformation of various crops yield </w:t>
      </w:r>
    </w:p>
    <w:tbl>
      <w:tblPr>
        <w:tblStyle w:val="TableGrid"/>
        <w:tblW w:w="9575" w:type="dxa"/>
        <w:tblInd w:w="-108" w:type="dxa"/>
        <w:tblCellMar>
          <w:left w:w="0" w:type="dxa"/>
          <w:right w:w="0" w:type="dxa"/>
        </w:tblCellMar>
        <w:tblLook w:val="04A0" w:firstRow="1" w:lastRow="0" w:firstColumn="1" w:lastColumn="0" w:noHBand="0" w:noVBand="1"/>
      </w:tblPr>
      <w:tblGrid>
        <w:gridCol w:w="1597"/>
        <w:gridCol w:w="1595"/>
        <w:gridCol w:w="1596"/>
        <w:gridCol w:w="1596"/>
        <w:gridCol w:w="1595"/>
        <w:gridCol w:w="1596"/>
      </w:tblGrid>
      <w:tr w:rsidR="007171C8" w:rsidRPr="0073211C" w14:paraId="779A2291" w14:textId="77777777">
        <w:trPr>
          <w:trHeight w:val="517"/>
        </w:trPr>
        <w:tc>
          <w:tcPr>
            <w:tcW w:w="1596" w:type="dxa"/>
            <w:vMerge w:val="restart"/>
            <w:tcBorders>
              <w:top w:val="single" w:sz="6" w:space="0" w:color="000000"/>
              <w:left w:val="nil"/>
              <w:bottom w:val="single" w:sz="6" w:space="0" w:color="000000"/>
              <w:right w:val="nil"/>
            </w:tcBorders>
            <w:vAlign w:val="center"/>
          </w:tcPr>
          <w:p w14:paraId="66211AAD" w14:textId="77777777" w:rsidR="007171C8" w:rsidRPr="0073211C" w:rsidRDefault="007171C8" w:rsidP="00AA7209">
            <w:pPr>
              <w:pStyle w:val="FirstParagraph"/>
              <w:spacing w:before="0" w:after="0"/>
              <w:rPr>
                <w:rFonts w:ascii="Arial" w:hAnsi="Arial" w:cs="Arial"/>
                <w:color w:val="000000"/>
                <w:sz w:val="22"/>
                <w:szCs w:val="22"/>
                <w:lang w:val="en-IN"/>
              </w:rPr>
            </w:pPr>
          </w:p>
          <w:p w14:paraId="1F0950E4" w14:textId="77777777" w:rsidR="007171C8" w:rsidRPr="0073211C" w:rsidRDefault="00856351" w:rsidP="00AA7209">
            <w:pPr>
              <w:pStyle w:val="FirstParagraph"/>
              <w:spacing w:before="0" w:after="0"/>
              <w:rPr>
                <w:rFonts w:ascii="Arial" w:hAnsi="Arial" w:cs="Arial"/>
                <w:color w:val="000000"/>
                <w:sz w:val="22"/>
                <w:szCs w:val="22"/>
                <w:lang w:val="en-IN"/>
              </w:rPr>
            </w:pPr>
            <w:r w:rsidRPr="0073211C">
              <w:rPr>
                <w:rFonts w:ascii="Arial" w:hAnsi="Arial" w:cs="Arial"/>
                <w:color w:val="000000"/>
                <w:sz w:val="22"/>
                <w:szCs w:val="22"/>
                <w:lang w:val="en-IN"/>
              </w:rPr>
              <w:t>Crop</w:t>
            </w:r>
          </w:p>
        </w:tc>
        <w:tc>
          <w:tcPr>
            <w:tcW w:w="3191" w:type="dxa"/>
            <w:gridSpan w:val="2"/>
            <w:tcBorders>
              <w:top w:val="single" w:sz="6" w:space="0" w:color="000000"/>
              <w:left w:val="nil"/>
              <w:bottom w:val="single" w:sz="6" w:space="0" w:color="000000"/>
              <w:right w:val="nil"/>
            </w:tcBorders>
            <w:vAlign w:val="center"/>
          </w:tcPr>
          <w:p w14:paraId="4370FFD6" w14:textId="77777777" w:rsidR="007171C8" w:rsidRPr="0073211C" w:rsidRDefault="00856351" w:rsidP="00AA7209">
            <w:pPr>
              <w:pStyle w:val="FirstParagraph"/>
              <w:spacing w:before="0" w:after="0"/>
              <w:rPr>
                <w:rFonts w:ascii="Arial" w:hAnsi="Arial" w:cs="Arial"/>
                <w:color w:val="000000"/>
                <w:sz w:val="22"/>
                <w:szCs w:val="22"/>
                <w:lang w:val="en-IN"/>
              </w:rPr>
            </w:pPr>
            <w:r w:rsidRPr="0073211C">
              <w:rPr>
                <w:rFonts w:ascii="Arial" w:hAnsi="Arial" w:cs="Arial"/>
                <w:color w:val="000000"/>
                <w:sz w:val="22"/>
                <w:szCs w:val="22"/>
                <w:lang w:val="en-IN"/>
              </w:rPr>
              <w:t>Before Transformation</w:t>
            </w:r>
          </w:p>
        </w:tc>
        <w:tc>
          <w:tcPr>
            <w:tcW w:w="1596" w:type="dxa"/>
            <w:vMerge w:val="restart"/>
            <w:tcBorders>
              <w:left w:val="nil"/>
              <w:right w:val="nil"/>
            </w:tcBorders>
            <w:tcMar>
              <w:top w:w="55" w:type="dxa"/>
              <w:left w:w="55" w:type="dxa"/>
              <w:bottom w:w="55" w:type="dxa"/>
              <w:right w:w="55" w:type="dxa"/>
            </w:tcMar>
            <w:vAlign w:val="center"/>
          </w:tcPr>
          <w:p w14:paraId="611399BE" w14:textId="77777777" w:rsidR="007171C8" w:rsidRPr="0073211C" w:rsidRDefault="00856351" w:rsidP="00AA7209">
            <w:pPr>
              <w:pStyle w:val="FirstParagraph"/>
              <w:spacing w:before="0" w:after="0"/>
              <w:rPr>
                <w:rFonts w:ascii="Arial" w:hAnsi="Arial" w:cs="Arial"/>
                <w:color w:val="000000"/>
                <w:sz w:val="22"/>
                <w:szCs w:val="22"/>
                <w:lang w:val="en-IN"/>
              </w:rPr>
            </w:pPr>
            <w:r w:rsidRPr="0073211C">
              <w:rPr>
                <w:rFonts w:ascii="Arial" w:hAnsi="Arial" w:cs="Arial"/>
                <w:color w:val="000000"/>
                <w:sz w:val="22"/>
                <w:szCs w:val="22"/>
                <w:lang w:val="en-IN"/>
              </w:rPr>
              <w:t>Box-Cox power</w:t>
            </w:r>
          </w:p>
        </w:tc>
        <w:tc>
          <w:tcPr>
            <w:tcW w:w="3191" w:type="dxa"/>
            <w:gridSpan w:val="2"/>
            <w:tcBorders>
              <w:top w:val="single" w:sz="6" w:space="0" w:color="000000"/>
              <w:left w:val="nil"/>
              <w:bottom w:val="single" w:sz="6" w:space="0" w:color="000000"/>
              <w:right w:val="nil"/>
            </w:tcBorders>
            <w:vAlign w:val="center"/>
          </w:tcPr>
          <w:p w14:paraId="47FE0888" w14:textId="77777777" w:rsidR="007171C8" w:rsidRPr="0073211C" w:rsidRDefault="00856351" w:rsidP="00AA7209">
            <w:pPr>
              <w:pStyle w:val="FirstParagraph"/>
              <w:spacing w:before="0" w:after="0"/>
              <w:rPr>
                <w:rFonts w:ascii="Arial" w:hAnsi="Arial" w:cs="Arial"/>
                <w:color w:val="000000"/>
                <w:sz w:val="22"/>
                <w:szCs w:val="22"/>
                <w:lang w:val="en-IN"/>
              </w:rPr>
            </w:pPr>
            <w:r w:rsidRPr="0073211C">
              <w:rPr>
                <w:rFonts w:ascii="Arial" w:hAnsi="Arial" w:cs="Arial"/>
                <w:color w:val="000000"/>
                <w:sz w:val="22"/>
                <w:szCs w:val="22"/>
                <w:lang w:val="en-IN"/>
              </w:rPr>
              <w:t>After Transformation</w:t>
            </w:r>
          </w:p>
        </w:tc>
      </w:tr>
      <w:tr w:rsidR="007171C8" w:rsidRPr="0073211C" w14:paraId="1C72686A" w14:textId="77777777">
        <w:trPr>
          <w:trHeight w:val="82"/>
        </w:trPr>
        <w:tc>
          <w:tcPr>
            <w:tcW w:w="1596" w:type="dxa"/>
            <w:vMerge/>
            <w:tcBorders>
              <w:top w:val="single" w:sz="6" w:space="0" w:color="000000"/>
              <w:left w:val="nil"/>
              <w:bottom w:val="single" w:sz="6" w:space="0" w:color="000000"/>
              <w:right w:val="nil"/>
            </w:tcBorders>
            <w:vAlign w:val="center"/>
          </w:tcPr>
          <w:p w14:paraId="6F2D1AB8" w14:textId="77777777" w:rsidR="007171C8" w:rsidRPr="0073211C" w:rsidRDefault="007171C8" w:rsidP="00AA7209">
            <w:pPr>
              <w:pStyle w:val="FirstParagraph"/>
              <w:spacing w:before="0" w:after="0"/>
              <w:rPr>
                <w:rFonts w:ascii="Arial" w:hAnsi="Arial" w:cs="Arial"/>
                <w:color w:val="000000"/>
                <w:sz w:val="22"/>
                <w:szCs w:val="22"/>
                <w:lang w:val="en-IN"/>
              </w:rPr>
            </w:pPr>
          </w:p>
        </w:tc>
        <w:tc>
          <w:tcPr>
            <w:tcW w:w="1595" w:type="dxa"/>
            <w:tcBorders>
              <w:left w:val="nil"/>
              <w:right w:val="nil"/>
            </w:tcBorders>
            <w:tcMar>
              <w:top w:w="55" w:type="dxa"/>
              <w:left w:w="55" w:type="dxa"/>
              <w:bottom w:w="55" w:type="dxa"/>
              <w:right w:w="55" w:type="dxa"/>
            </w:tcMar>
            <w:vAlign w:val="center"/>
          </w:tcPr>
          <w:p w14:paraId="30670366" w14:textId="77777777" w:rsidR="007171C8" w:rsidRPr="0073211C" w:rsidRDefault="00856351" w:rsidP="00AA7209">
            <w:pPr>
              <w:pStyle w:val="FirstParagraph"/>
              <w:spacing w:before="0" w:after="0"/>
              <w:rPr>
                <w:rFonts w:ascii="Arial" w:hAnsi="Arial" w:cs="Arial"/>
                <w:color w:val="000000"/>
                <w:sz w:val="22"/>
                <w:szCs w:val="22"/>
                <w:lang w:val="en-IN"/>
              </w:rPr>
            </w:pPr>
            <w:r w:rsidRPr="0073211C">
              <w:rPr>
                <w:rFonts w:ascii="Arial" w:hAnsi="Arial" w:cs="Arial"/>
                <w:color w:val="000000"/>
                <w:sz w:val="22"/>
                <w:szCs w:val="22"/>
                <w:lang w:val="en-IN"/>
              </w:rPr>
              <w:t>W</w:t>
            </w:r>
          </w:p>
        </w:tc>
        <w:tc>
          <w:tcPr>
            <w:tcW w:w="1596" w:type="dxa"/>
            <w:tcBorders>
              <w:left w:val="nil"/>
              <w:right w:val="nil"/>
            </w:tcBorders>
            <w:tcMar>
              <w:top w:w="55" w:type="dxa"/>
              <w:left w:w="55" w:type="dxa"/>
              <w:bottom w:w="55" w:type="dxa"/>
              <w:right w:w="55" w:type="dxa"/>
            </w:tcMar>
            <w:vAlign w:val="center"/>
          </w:tcPr>
          <w:p w14:paraId="7AFA31F3" w14:textId="77777777" w:rsidR="007171C8" w:rsidRPr="0073211C" w:rsidRDefault="00856351" w:rsidP="00AA7209">
            <w:pPr>
              <w:pStyle w:val="FirstParagraph"/>
              <w:spacing w:before="0" w:after="0"/>
              <w:rPr>
                <w:rFonts w:ascii="Arial" w:hAnsi="Arial" w:cs="Arial"/>
                <w:color w:val="000000"/>
                <w:sz w:val="22"/>
                <w:szCs w:val="22"/>
                <w:lang w:val="en-IN"/>
              </w:rPr>
            </w:pPr>
            <w:r w:rsidRPr="0073211C">
              <w:rPr>
                <w:rFonts w:ascii="Arial" w:hAnsi="Arial" w:cs="Arial"/>
                <w:color w:val="000000"/>
                <w:sz w:val="22"/>
                <w:szCs w:val="22"/>
                <w:lang w:val="en-IN"/>
              </w:rPr>
              <w:t>p-value</w:t>
            </w:r>
          </w:p>
        </w:tc>
        <w:tc>
          <w:tcPr>
            <w:tcW w:w="1596" w:type="dxa"/>
            <w:vMerge/>
            <w:tcBorders>
              <w:left w:val="nil"/>
              <w:right w:val="nil"/>
            </w:tcBorders>
            <w:tcMar>
              <w:top w:w="55" w:type="dxa"/>
              <w:left w:w="55" w:type="dxa"/>
              <w:bottom w:w="55" w:type="dxa"/>
              <w:right w:w="55" w:type="dxa"/>
            </w:tcMar>
            <w:vAlign w:val="center"/>
          </w:tcPr>
          <w:p w14:paraId="6B5B2592" w14:textId="77777777" w:rsidR="007171C8" w:rsidRPr="0073211C" w:rsidRDefault="007171C8" w:rsidP="00AA7209">
            <w:pPr>
              <w:pStyle w:val="FirstParagraph"/>
              <w:spacing w:before="0" w:after="0"/>
              <w:rPr>
                <w:rFonts w:ascii="Arial" w:hAnsi="Arial" w:cs="Arial"/>
                <w:color w:val="000000"/>
                <w:sz w:val="22"/>
                <w:szCs w:val="22"/>
                <w:lang w:val="en-IN"/>
              </w:rPr>
            </w:pPr>
          </w:p>
        </w:tc>
        <w:tc>
          <w:tcPr>
            <w:tcW w:w="1595" w:type="dxa"/>
            <w:tcBorders>
              <w:left w:val="nil"/>
              <w:right w:val="nil"/>
            </w:tcBorders>
            <w:tcMar>
              <w:top w:w="55" w:type="dxa"/>
              <w:left w:w="55" w:type="dxa"/>
              <w:bottom w:w="55" w:type="dxa"/>
              <w:right w:w="55" w:type="dxa"/>
            </w:tcMar>
            <w:vAlign w:val="center"/>
          </w:tcPr>
          <w:p w14:paraId="22BD3A44" w14:textId="77777777" w:rsidR="007171C8" w:rsidRPr="0073211C" w:rsidRDefault="00856351" w:rsidP="00AA7209">
            <w:pPr>
              <w:pStyle w:val="FirstParagraph"/>
              <w:spacing w:before="0" w:after="0"/>
              <w:rPr>
                <w:rFonts w:ascii="Arial" w:hAnsi="Arial" w:cs="Arial"/>
                <w:color w:val="000000"/>
                <w:sz w:val="22"/>
                <w:szCs w:val="22"/>
                <w:lang w:val="en-IN"/>
              </w:rPr>
            </w:pPr>
            <w:r w:rsidRPr="0073211C">
              <w:rPr>
                <w:rFonts w:ascii="Arial" w:hAnsi="Arial" w:cs="Arial"/>
                <w:color w:val="000000"/>
                <w:sz w:val="22"/>
                <w:szCs w:val="22"/>
                <w:lang w:val="en-IN"/>
              </w:rPr>
              <w:t>W</w:t>
            </w:r>
          </w:p>
        </w:tc>
        <w:tc>
          <w:tcPr>
            <w:tcW w:w="1596" w:type="dxa"/>
            <w:tcBorders>
              <w:left w:val="nil"/>
              <w:right w:val="nil"/>
            </w:tcBorders>
            <w:tcMar>
              <w:top w:w="55" w:type="dxa"/>
              <w:left w:w="55" w:type="dxa"/>
              <w:bottom w:w="55" w:type="dxa"/>
              <w:right w:w="55" w:type="dxa"/>
            </w:tcMar>
            <w:vAlign w:val="center"/>
          </w:tcPr>
          <w:p w14:paraId="50710FA7" w14:textId="77777777" w:rsidR="007171C8" w:rsidRPr="0073211C" w:rsidRDefault="00856351" w:rsidP="00AA7209">
            <w:pPr>
              <w:pStyle w:val="FirstParagraph"/>
              <w:spacing w:before="0" w:after="0"/>
              <w:rPr>
                <w:rFonts w:ascii="Arial" w:hAnsi="Arial" w:cs="Arial"/>
                <w:color w:val="000000"/>
                <w:sz w:val="22"/>
                <w:szCs w:val="22"/>
                <w:lang w:val="en-IN"/>
              </w:rPr>
            </w:pPr>
            <w:r w:rsidRPr="0073211C">
              <w:rPr>
                <w:rFonts w:ascii="Arial" w:hAnsi="Arial" w:cs="Arial"/>
                <w:color w:val="000000"/>
                <w:sz w:val="22"/>
                <w:szCs w:val="22"/>
                <w:lang w:val="en-IN"/>
              </w:rPr>
              <w:t>p-value</w:t>
            </w:r>
          </w:p>
        </w:tc>
      </w:tr>
      <w:tr w:rsidR="007171C8" w:rsidRPr="0073211C" w14:paraId="582E7A7C" w14:textId="77777777">
        <w:tc>
          <w:tcPr>
            <w:tcW w:w="1596" w:type="dxa"/>
            <w:tcBorders>
              <w:top w:val="nil"/>
              <w:left w:val="nil"/>
              <w:bottom w:val="nil"/>
              <w:right w:val="nil"/>
            </w:tcBorders>
            <w:vAlign w:val="center"/>
          </w:tcPr>
          <w:p w14:paraId="6C1C6FD0" w14:textId="77777777" w:rsidR="007171C8" w:rsidRPr="0073211C" w:rsidRDefault="00856351" w:rsidP="00AA7209">
            <w:pPr>
              <w:pStyle w:val="FirstParagraph"/>
              <w:spacing w:before="0" w:after="0"/>
              <w:rPr>
                <w:rFonts w:ascii="Arial" w:hAnsi="Arial" w:cs="Arial"/>
                <w:color w:val="000000"/>
                <w:sz w:val="22"/>
                <w:szCs w:val="22"/>
              </w:rPr>
            </w:pPr>
            <w:r w:rsidRPr="0073211C">
              <w:rPr>
                <w:rStyle w:val="VerbatimChar"/>
                <w:rFonts w:ascii="Arial" w:hAnsi="Arial" w:cs="Arial"/>
                <w:color w:val="000000"/>
                <w:szCs w:val="22"/>
                <w:lang w:val="en-IN"/>
              </w:rPr>
              <w:t>Pigeon pea</w:t>
            </w:r>
          </w:p>
        </w:tc>
        <w:tc>
          <w:tcPr>
            <w:tcW w:w="1595" w:type="dxa"/>
            <w:tcBorders>
              <w:top w:val="nil"/>
              <w:left w:val="nil"/>
              <w:bottom w:val="nil"/>
              <w:right w:val="nil"/>
            </w:tcBorders>
            <w:vAlign w:val="center"/>
          </w:tcPr>
          <w:p w14:paraId="19FA7F71"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0.98</w:t>
            </w:r>
          </w:p>
        </w:tc>
        <w:tc>
          <w:tcPr>
            <w:tcW w:w="1596" w:type="dxa"/>
            <w:tcBorders>
              <w:top w:val="nil"/>
              <w:left w:val="nil"/>
              <w:bottom w:val="nil"/>
              <w:right w:val="nil"/>
            </w:tcBorders>
            <w:vAlign w:val="center"/>
          </w:tcPr>
          <w:p w14:paraId="39F7D5B6"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0.87</w:t>
            </w:r>
          </w:p>
        </w:tc>
        <w:tc>
          <w:tcPr>
            <w:tcW w:w="1596" w:type="dxa"/>
            <w:tcBorders>
              <w:top w:val="nil"/>
              <w:left w:val="nil"/>
              <w:bottom w:val="nil"/>
              <w:right w:val="nil"/>
            </w:tcBorders>
            <w:vAlign w:val="center"/>
          </w:tcPr>
          <w:p w14:paraId="73CE81C7"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0.41</w:t>
            </w:r>
          </w:p>
        </w:tc>
        <w:tc>
          <w:tcPr>
            <w:tcW w:w="1595" w:type="dxa"/>
            <w:tcBorders>
              <w:top w:val="nil"/>
              <w:left w:val="nil"/>
              <w:bottom w:val="nil"/>
              <w:right w:val="nil"/>
            </w:tcBorders>
            <w:vAlign w:val="center"/>
          </w:tcPr>
          <w:p w14:paraId="5455A741"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0.99</w:t>
            </w:r>
          </w:p>
        </w:tc>
        <w:tc>
          <w:tcPr>
            <w:tcW w:w="1596" w:type="dxa"/>
            <w:tcBorders>
              <w:top w:val="nil"/>
              <w:left w:val="nil"/>
              <w:bottom w:val="nil"/>
              <w:right w:val="nil"/>
            </w:tcBorders>
            <w:vAlign w:val="center"/>
          </w:tcPr>
          <w:p w14:paraId="74FE3B1B"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0.98</w:t>
            </w:r>
          </w:p>
        </w:tc>
      </w:tr>
      <w:tr w:rsidR="007171C8" w:rsidRPr="0073211C" w14:paraId="5CC87730" w14:textId="77777777">
        <w:tc>
          <w:tcPr>
            <w:tcW w:w="1596" w:type="dxa"/>
            <w:tcBorders>
              <w:top w:val="nil"/>
              <w:left w:val="nil"/>
              <w:bottom w:val="nil"/>
              <w:right w:val="nil"/>
            </w:tcBorders>
            <w:vAlign w:val="center"/>
          </w:tcPr>
          <w:p w14:paraId="0A1DD4AC" w14:textId="77777777" w:rsidR="007171C8" w:rsidRPr="0073211C" w:rsidRDefault="00856351" w:rsidP="00AA7209">
            <w:pPr>
              <w:pStyle w:val="FirstParagraph"/>
              <w:spacing w:before="0" w:after="0"/>
              <w:rPr>
                <w:rFonts w:ascii="Arial" w:hAnsi="Arial" w:cs="Arial"/>
                <w:color w:val="000000"/>
                <w:sz w:val="22"/>
                <w:szCs w:val="22"/>
              </w:rPr>
            </w:pPr>
            <w:r w:rsidRPr="0073211C">
              <w:rPr>
                <w:rStyle w:val="VerbatimChar"/>
                <w:rFonts w:ascii="Arial" w:hAnsi="Arial" w:cs="Arial"/>
                <w:color w:val="000000"/>
                <w:szCs w:val="22"/>
                <w:lang w:val="en-IN"/>
              </w:rPr>
              <w:t>Cotton</w:t>
            </w:r>
          </w:p>
        </w:tc>
        <w:tc>
          <w:tcPr>
            <w:tcW w:w="1595" w:type="dxa"/>
            <w:tcBorders>
              <w:top w:val="nil"/>
              <w:left w:val="nil"/>
              <w:bottom w:val="nil"/>
              <w:right w:val="nil"/>
            </w:tcBorders>
            <w:vAlign w:val="center"/>
          </w:tcPr>
          <w:p w14:paraId="357473FF"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0.91</w:t>
            </w:r>
          </w:p>
        </w:tc>
        <w:tc>
          <w:tcPr>
            <w:tcW w:w="1596" w:type="dxa"/>
            <w:tcBorders>
              <w:top w:val="nil"/>
              <w:left w:val="nil"/>
              <w:bottom w:val="nil"/>
              <w:right w:val="nil"/>
            </w:tcBorders>
            <w:vAlign w:val="center"/>
          </w:tcPr>
          <w:p w14:paraId="4F92C93D"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0.01</w:t>
            </w:r>
          </w:p>
        </w:tc>
        <w:tc>
          <w:tcPr>
            <w:tcW w:w="1596" w:type="dxa"/>
            <w:tcBorders>
              <w:top w:val="nil"/>
              <w:left w:val="nil"/>
              <w:bottom w:val="nil"/>
              <w:right w:val="nil"/>
            </w:tcBorders>
            <w:vAlign w:val="center"/>
          </w:tcPr>
          <w:p w14:paraId="4D3F0D90"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1.23</w:t>
            </w:r>
          </w:p>
        </w:tc>
        <w:tc>
          <w:tcPr>
            <w:tcW w:w="1595" w:type="dxa"/>
            <w:tcBorders>
              <w:top w:val="nil"/>
              <w:left w:val="nil"/>
              <w:bottom w:val="nil"/>
              <w:right w:val="nil"/>
            </w:tcBorders>
            <w:vAlign w:val="center"/>
          </w:tcPr>
          <w:p w14:paraId="06F83671"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0.91</w:t>
            </w:r>
          </w:p>
        </w:tc>
        <w:tc>
          <w:tcPr>
            <w:tcW w:w="1596" w:type="dxa"/>
            <w:tcBorders>
              <w:top w:val="nil"/>
              <w:left w:val="nil"/>
              <w:bottom w:val="nil"/>
              <w:right w:val="nil"/>
            </w:tcBorders>
            <w:vAlign w:val="center"/>
          </w:tcPr>
          <w:p w14:paraId="7B4D3A74"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0.01</w:t>
            </w:r>
          </w:p>
        </w:tc>
      </w:tr>
      <w:tr w:rsidR="007171C8" w:rsidRPr="0073211C" w14:paraId="35B42BBB" w14:textId="77777777">
        <w:tc>
          <w:tcPr>
            <w:tcW w:w="1596" w:type="dxa"/>
            <w:tcBorders>
              <w:top w:val="nil"/>
              <w:left w:val="nil"/>
              <w:bottom w:val="nil"/>
              <w:right w:val="nil"/>
            </w:tcBorders>
            <w:vAlign w:val="center"/>
          </w:tcPr>
          <w:p w14:paraId="119160CE" w14:textId="77777777" w:rsidR="007171C8" w:rsidRPr="0073211C" w:rsidRDefault="00856351" w:rsidP="00AA7209">
            <w:pPr>
              <w:pStyle w:val="FirstParagraph"/>
              <w:spacing w:before="0" w:after="0"/>
              <w:rPr>
                <w:rFonts w:ascii="Arial" w:hAnsi="Arial" w:cs="Arial"/>
                <w:color w:val="000000"/>
                <w:sz w:val="22"/>
                <w:szCs w:val="22"/>
              </w:rPr>
            </w:pPr>
            <w:r w:rsidRPr="0073211C">
              <w:rPr>
                <w:rStyle w:val="VerbatimChar"/>
                <w:rFonts w:ascii="Arial" w:hAnsi="Arial" w:cs="Arial"/>
                <w:color w:val="000000"/>
                <w:szCs w:val="22"/>
                <w:lang w:val="en-IN"/>
              </w:rPr>
              <w:t xml:space="preserve">Gram      </w:t>
            </w:r>
          </w:p>
        </w:tc>
        <w:tc>
          <w:tcPr>
            <w:tcW w:w="1595" w:type="dxa"/>
            <w:tcBorders>
              <w:top w:val="nil"/>
              <w:left w:val="nil"/>
              <w:bottom w:val="nil"/>
              <w:right w:val="nil"/>
            </w:tcBorders>
            <w:vAlign w:val="center"/>
          </w:tcPr>
          <w:p w14:paraId="113B75B0"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0.96</w:t>
            </w:r>
          </w:p>
        </w:tc>
        <w:tc>
          <w:tcPr>
            <w:tcW w:w="1596" w:type="dxa"/>
            <w:tcBorders>
              <w:top w:val="nil"/>
              <w:left w:val="nil"/>
              <w:bottom w:val="nil"/>
              <w:right w:val="nil"/>
            </w:tcBorders>
            <w:vAlign w:val="center"/>
          </w:tcPr>
          <w:p w14:paraId="311E92EA"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c>
          <w:tcPr>
            <w:tcW w:w="1596" w:type="dxa"/>
            <w:tcBorders>
              <w:top w:val="nil"/>
              <w:left w:val="nil"/>
              <w:bottom w:val="nil"/>
              <w:right w:val="nil"/>
            </w:tcBorders>
            <w:vAlign w:val="center"/>
          </w:tcPr>
          <w:p w14:paraId="7CF6FAC3"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0.87</w:t>
            </w:r>
          </w:p>
        </w:tc>
        <w:tc>
          <w:tcPr>
            <w:tcW w:w="1595" w:type="dxa"/>
            <w:tcBorders>
              <w:top w:val="nil"/>
              <w:left w:val="nil"/>
              <w:bottom w:val="nil"/>
              <w:right w:val="nil"/>
            </w:tcBorders>
            <w:vAlign w:val="center"/>
          </w:tcPr>
          <w:p w14:paraId="29FF104A"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0.96</w:t>
            </w:r>
          </w:p>
        </w:tc>
        <w:tc>
          <w:tcPr>
            <w:tcW w:w="1596" w:type="dxa"/>
            <w:tcBorders>
              <w:top w:val="nil"/>
              <w:left w:val="nil"/>
              <w:bottom w:val="nil"/>
              <w:right w:val="nil"/>
            </w:tcBorders>
            <w:vAlign w:val="center"/>
          </w:tcPr>
          <w:p w14:paraId="3920ADB1"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r>
      <w:tr w:rsidR="007171C8" w:rsidRPr="0073211C" w14:paraId="3967EFFF" w14:textId="77777777">
        <w:tc>
          <w:tcPr>
            <w:tcW w:w="1596" w:type="dxa"/>
            <w:tcBorders>
              <w:top w:val="nil"/>
              <w:left w:val="nil"/>
              <w:bottom w:val="nil"/>
              <w:right w:val="nil"/>
            </w:tcBorders>
            <w:vAlign w:val="center"/>
          </w:tcPr>
          <w:p w14:paraId="5BFE62E6" w14:textId="77777777" w:rsidR="007171C8" w:rsidRPr="0073211C" w:rsidRDefault="00856351" w:rsidP="00AA7209">
            <w:pPr>
              <w:pStyle w:val="FirstParagraph"/>
              <w:spacing w:before="0" w:after="0"/>
              <w:rPr>
                <w:rFonts w:ascii="Arial" w:hAnsi="Arial" w:cs="Arial"/>
                <w:color w:val="000000"/>
                <w:sz w:val="22"/>
                <w:szCs w:val="22"/>
              </w:rPr>
            </w:pPr>
            <w:r w:rsidRPr="0073211C">
              <w:rPr>
                <w:rStyle w:val="VerbatimChar"/>
                <w:rFonts w:ascii="Arial" w:hAnsi="Arial" w:cs="Arial"/>
                <w:color w:val="000000"/>
                <w:szCs w:val="22"/>
                <w:lang w:val="en-IN"/>
              </w:rPr>
              <w:t xml:space="preserve">Maize       </w:t>
            </w:r>
          </w:p>
        </w:tc>
        <w:tc>
          <w:tcPr>
            <w:tcW w:w="1595" w:type="dxa"/>
            <w:tcBorders>
              <w:top w:val="nil"/>
              <w:left w:val="nil"/>
              <w:bottom w:val="nil"/>
              <w:right w:val="nil"/>
            </w:tcBorders>
            <w:vAlign w:val="center"/>
          </w:tcPr>
          <w:p w14:paraId="4924F3B6"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0.86</w:t>
            </w:r>
          </w:p>
        </w:tc>
        <w:tc>
          <w:tcPr>
            <w:tcW w:w="1596" w:type="dxa"/>
            <w:tcBorders>
              <w:top w:val="nil"/>
              <w:left w:val="nil"/>
              <w:bottom w:val="nil"/>
              <w:right w:val="nil"/>
            </w:tcBorders>
            <w:vAlign w:val="center"/>
          </w:tcPr>
          <w:p w14:paraId="29A66502"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c>
          <w:tcPr>
            <w:tcW w:w="1596" w:type="dxa"/>
            <w:tcBorders>
              <w:top w:val="nil"/>
              <w:left w:val="nil"/>
              <w:bottom w:val="nil"/>
              <w:right w:val="nil"/>
            </w:tcBorders>
            <w:vAlign w:val="center"/>
          </w:tcPr>
          <w:p w14:paraId="6F7DDA09"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-0.08</w:t>
            </w:r>
          </w:p>
        </w:tc>
        <w:tc>
          <w:tcPr>
            <w:tcW w:w="1595" w:type="dxa"/>
            <w:tcBorders>
              <w:top w:val="nil"/>
              <w:left w:val="nil"/>
              <w:bottom w:val="nil"/>
              <w:right w:val="nil"/>
            </w:tcBorders>
            <w:vAlign w:val="center"/>
          </w:tcPr>
          <w:p w14:paraId="4A228314"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0.94</w:t>
            </w:r>
          </w:p>
        </w:tc>
        <w:tc>
          <w:tcPr>
            <w:tcW w:w="1596" w:type="dxa"/>
            <w:tcBorders>
              <w:top w:val="nil"/>
              <w:left w:val="nil"/>
              <w:bottom w:val="nil"/>
              <w:right w:val="nil"/>
            </w:tcBorders>
            <w:vAlign w:val="center"/>
          </w:tcPr>
          <w:p w14:paraId="290B8131"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r>
      <w:tr w:rsidR="007171C8" w:rsidRPr="0073211C" w14:paraId="55F2B74F" w14:textId="77777777">
        <w:trPr>
          <w:trHeight w:val="538"/>
        </w:trPr>
        <w:tc>
          <w:tcPr>
            <w:tcW w:w="1596" w:type="dxa"/>
            <w:tcBorders>
              <w:top w:val="nil"/>
              <w:left w:val="nil"/>
              <w:bottom w:val="nil"/>
              <w:right w:val="nil"/>
            </w:tcBorders>
            <w:vAlign w:val="center"/>
          </w:tcPr>
          <w:p w14:paraId="636ED024" w14:textId="77777777" w:rsidR="007171C8" w:rsidRPr="0073211C" w:rsidRDefault="00856351" w:rsidP="00AA7209">
            <w:pPr>
              <w:pStyle w:val="FirstParagraph"/>
              <w:spacing w:before="0" w:after="0"/>
              <w:rPr>
                <w:rFonts w:ascii="Arial" w:hAnsi="Arial" w:cs="Arial"/>
                <w:color w:val="000000"/>
                <w:sz w:val="22"/>
                <w:szCs w:val="22"/>
              </w:rPr>
            </w:pPr>
            <w:r w:rsidRPr="0073211C">
              <w:rPr>
                <w:rStyle w:val="VerbatimChar"/>
                <w:rFonts w:ascii="Arial" w:hAnsi="Arial" w:cs="Arial"/>
                <w:color w:val="000000"/>
                <w:szCs w:val="22"/>
                <w:lang w:val="en-IN"/>
              </w:rPr>
              <w:t xml:space="preserve">Lentil    </w:t>
            </w:r>
          </w:p>
        </w:tc>
        <w:tc>
          <w:tcPr>
            <w:tcW w:w="1595" w:type="dxa"/>
            <w:tcBorders>
              <w:top w:val="nil"/>
              <w:left w:val="nil"/>
              <w:bottom w:val="nil"/>
              <w:right w:val="nil"/>
            </w:tcBorders>
            <w:vAlign w:val="center"/>
          </w:tcPr>
          <w:p w14:paraId="2D33F25C"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0.96</w:t>
            </w:r>
          </w:p>
        </w:tc>
        <w:tc>
          <w:tcPr>
            <w:tcW w:w="1596" w:type="dxa"/>
            <w:tcBorders>
              <w:top w:val="nil"/>
              <w:left w:val="nil"/>
              <w:bottom w:val="nil"/>
              <w:right w:val="nil"/>
            </w:tcBorders>
            <w:vAlign w:val="center"/>
          </w:tcPr>
          <w:p w14:paraId="3CE581DF"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0.29</w:t>
            </w:r>
          </w:p>
        </w:tc>
        <w:tc>
          <w:tcPr>
            <w:tcW w:w="1596" w:type="dxa"/>
            <w:tcBorders>
              <w:top w:val="nil"/>
              <w:left w:val="nil"/>
              <w:bottom w:val="nil"/>
              <w:right w:val="nil"/>
            </w:tcBorders>
            <w:vAlign w:val="center"/>
          </w:tcPr>
          <w:p w14:paraId="4BB428AB"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1.17</w:t>
            </w:r>
          </w:p>
        </w:tc>
        <w:tc>
          <w:tcPr>
            <w:tcW w:w="1595" w:type="dxa"/>
            <w:tcBorders>
              <w:top w:val="nil"/>
              <w:left w:val="nil"/>
              <w:bottom w:val="nil"/>
              <w:right w:val="nil"/>
            </w:tcBorders>
            <w:vAlign w:val="center"/>
          </w:tcPr>
          <w:p w14:paraId="59890E19"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0.96</w:t>
            </w:r>
          </w:p>
        </w:tc>
        <w:tc>
          <w:tcPr>
            <w:tcW w:w="1596" w:type="dxa"/>
            <w:tcBorders>
              <w:top w:val="nil"/>
              <w:left w:val="nil"/>
              <w:bottom w:val="nil"/>
              <w:right w:val="nil"/>
            </w:tcBorders>
            <w:vAlign w:val="center"/>
          </w:tcPr>
          <w:p w14:paraId="79EEB716"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0.3</w:t>
            </w:r>
          </w:p>
        </w:tc>
      </w:tr>
      <w:tr w:rsidR="007171C8" w:rsidRPr="0073211C" w14:paraId="3F6C7EF7" w14:textId="77777777">
        <w:tc>
          <w:tcPr>
            <w:tcW w:w="1596" w:type="dxa"/>
            <w:tcBorders>
              <w:top w:val="nil"/>
              <w:left w:val="nil"/>
              <w:bottom w:val="nil"/>
              <w:right w:val="nil"/>
            </w:tcBorders>
            <w:vAlign w:val="center"/>
          </w:tcPr>
          <w:p w14:paraId="5B6F3654" w14:textId="77777777" w:rsidR="007171C8" w:rsidRPr="0073211C" w:rsidRDefault="00856351" w:rsidP="00AA7209">
            <w:pPr>
              <w:pStyle w:val="FirstParagraph"/>
              <w:spacing w:before="0" w:after="0"/>
              <w:rPr>
                <w:rFonts w:ascii="Arial" w:hAnsi="Arial" w:cs="Arial"/>
                <w:color w:val="000000"/>
                <w:sz w:val="22"/>
                <w:szCs w:val="22"/>
              </w:rPr>
            </w:pPr>
            <w:r w:rsidRPr="0073211C">
              <w:rPr>
                <w:rStyle w:val="VerbatimChar"/>
                <w:rFonts w:ascii="Arial" w:hAnsi="Arial" w:cs="Arial"/>
                <w:color w:val="000000"/>
                <w:szCs w:val="22"/>
                <w:lang w:val="en-IN"/>
              </w:rPr>
              <w:t xml:space="preserve">Paddy     </w:t>
            </w:r>
          </w:p>
        </w:tc>
        <w:tc>
          <w:tcPr>
            <w:tcW w:w="1595" w:type="dxa"/>
            <w:tcBorders>
              <w:top w:val="nil"/>
              <w:left w:val="nil"/>
              <w:bottom w:val="nil"/>
              <w:right w:val="nil"/>
            </w:tcBorders>
            <w:vAlign w:val="center"/>
          </w:tcPr>
          <w:p w14:paraId="54840C2E"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0.94</w:t>
            </w:r>
          </w:p>
        </w:tc>
        <w:tc>
          <w:tcPr>
            <w:tcW w:w="1596" w:type="dxa"/>
            <w:tcBorders>
              <w:top w:val="nil"/>
              <w:left w:val="nil"/>
              <w:bottom w:val="nil"/>
              <w:right w:val="nil"/>
            </w:tcBorders>
            <w:vAlign w:val="center"/>
          </w:tcPr>
          <w:p w14:paraId="68D42E7B"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c>
          <w:tcPr>
            <w:tcW w:w="1596" w:type="dxa"/>
            <w:tcBorders>
              <w:top w:val="nil"/>
              <w:left w:val="nil"/>
              <w:bottom w:val="nil"/>
              <w:right w:val="nil"/>
            </w:tcBorders>
            <w:vAlign w:val="center"/>
          </w:tcPr>
          <w:p w14:paraId="2F08027F"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0.6</w:t>
            </w:r>
          </w:p>
        </w:tc>
        <w:tc>
          <w:tcPr>
            <w:tcW w:w="1595" w:type="dxa"/>
            <w:tcBorders>
              <w:top w:val="nil"/>
              <w:left w:val="nil"/>
              <w:bottom w:val="nil"/>
              <w:right w:val="nil"/>
            </w:tcBorders>
            <w:vAlign w:val="center"/>
          </w:tcPr>
          <w:p w14:paraId="6154857F"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0.95</w:t>
            </w:r>
          </w:p>
        </w:tc>
        <w:tc>
          <w:tcPr>
            <w:tcW w:w="1596" w:type="dxa"/>
            <w:tcBorders>
              <w:top w:val="nil"/>
              <w:left w:val="nil"/>
              <w:bottom w:val="nil"/>
              <w:right w:val="nil"/>
            </w:tcBorders>
            <w:vAlign w:val="center"/>
          </w:tcPr>
          <w:p w14:paraId="02923E4B"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r>
      <w:tr w:rsidR="007171C8" w:rsidRPr="0073211C" w14:paraId="17578B8E" w14:textId="77777777">
        <w:tc>
          <w:tcPr>
            <w:tcW w:w="1596" w:type="dxa"/>
            <w:tcBorders>
              <w:top w:val="nil"/>
              <w:left w:val="nil"/>
              <w:bottom w:val="nil"/>
              <w:right w:val="nil"/>
            </w:tcBorders>
            <w:vAlign w:val="center"/>
          </w:tcPr>
          <w:p w14:paraId="404F9AA8" w14:textId="77777777" w:rsidR="007171C8" w:rsidRPr="0073211C" w:rsidRDefault="00856351" w:rsidP="00AA7209">
            <w:pPr>
              <w:pStyle w:val="FirstParagraph"/>
              <w:spacing w:before="0" w:after="0"/>
              <w:rPr>
                <w:rFonts w:ascii="Arial" w:hAnsi="Arial" w:cs="Arial"/>
                <w:color w:val="000000"/>
                <w:sz w:val="22"/>
                <w:szCs w:val="22"/>
              </w:rPr>
            </w:pPr>
            <w:r w:rsidRPr="0073211C">
              <w:rPr>
                <w:rStyle w:val="VerbatimChar"/>
                <w:rFonts w:ascii="Arial" w:hAnsi="Arial" w:cs="Arial"/>
                <w:color w:val="000000"/>
                <w:szCs w:val="22"/>
                <w:lang w:val="en-IN"/>
              </w:rPr>
              <w:t xml:space="preserve">Mustard   </w:t>
            </w:r>
          </w:p>
        </w:tc>
        <w:tc>
          <w:tcPr>
            <w:tcW w:w="1595" w:type="dxa"/>
            <w:tcBorders>
              <w:top w:val="nil"/>
              <w:left w:val="nil"/>
              <w:bottom w:val="nil"/>
              <w:right w:val="nil"/>
            </w:tcBorders>
            <w:vAlign w:val="center"/>
          </w:tcPr>
          <w:p w14:paraId="48ECF01A"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0.85</w:t>
            </w:r>
          </w:p>
        </w:tc>
        <w:tc>
          <w:tcPr>
            <w:tcW w:w="1596" w:type="dxa"/>
            <w:tcBorders>
              <w:top w:val="nil"/>
              <w:left w:val="nil"/>
              <w:bottom w:val="nil"/>
              <w:right w:val="nil"/>
            </w:tcBorders>
            <w:vAlign w:val="center"/>
          </w:tcPr>
          <w:p w14:paraId="44C403D1"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c>
          <w:tcPr>
            <w:tcW w:w="1596" w:type="dxa"/>
            <w:tcBorders>
              <w:top w:val="nil"/>
              <w:left w:val="nil"/>
              <w:bottom w:val="nil"/>
              <w:right w:val="nil"/>
            </w:tcBorders>
            <w:vAlign w:val="center"/>
          </w:tcPr>
          <w:p w14:paraId="2ED331C2"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3.22</w:t>
            </w:r>
          </w:p>
        </w:tc>
        <w:tc>
          <w:tcPr>
            <w:tcW w:w="1595" w:type="dxa"/>
            <w:tcBorders>
              <w:top w:val="nil"/>
              <w:left w:val="nil"/>
              <w:bottom w:val="nil"/>
              <w:right w:val="nil"/>
            </w:tcBorders>
            <w:vAlign w:val="center"/>
          </w:tcPr>
          <w:p w14:paraId="7728A83B"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0.96</w:t>
            </w:r>
          </w:p>
        </w:tc>
        <w:tc>
          <w:tcPr>
            <w:tcW w:w="1596" w:type="dxa"/>
            <w:tcBorders>
              <w:top w:val="nil"/>
              <w:left w:val="nil"/>
              <w:bottom w:val="nil"/>
              <w:right w:val="nil"/>
            </w:tcBorders>
            <w:vAlign w:val="center"/>
          </w:tcPr>
          <w:p w14:paraId="6DCAC795"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0.14</w:t>
            </w:r>
          </w:p>
        </w:tc>
      </w:tr>
      <w:tr w:rsidR="007171C8" w:rsidRPr="0073211C" w14:paraId="28B5E6D6" w14:textId="77777777">
        <w:tc>
          <w:tcPr>
            <w:tcW w:w="1596" w:type="dxa"/>
            <w:tcBorders>
              <w:top w:val="nil"/>
              <w:left w:val="nil"/>
              <w:bottom w:val="nil"/>
              <w:right w:val="nil"/>
            </w:tcBorders>
            <w:vAlign w:val="center"/>
          </w:tcPr>
          <w:p w14:paraId="149173C5" w14:textId="77777777" w:rsidR="007171C8" w:rsidRPr="0073211C" w:rsidRDefault="00856351" w:rsidP="00AA7209">
            <w:pPr>
              <w:pStyle w:val="FirstParagraph"/>
              <w:spacing w:before="0" w:after="0"/>
              <w:rPr>
                <w:rFonts w:ascii="Arial" w:hAnsi="Arial" w:cs="Arial"/>
                <w:color w:val="000000"/>
                <w:sz w:val="22"/>
                <w:szCs w:val="22"/>
              </w:rPr>
            </w:pPr>
            <w:r w:rsidRPr="0073211C">
              <w:rPr>
                <w:rStyle w:val="VerbatimChar"/>
                <w:rFonts w:ascii="Arial" w:hAnsi="Arial" w:cs="Arial"/>
                <w:color w:val="000000"/>
                <w:szCs w:val="22"/>
                <w:lang w:val="en-IN"/>
              </w:rPr>
              <w:t xml:space="preserve"> Soybean   </w:t>
            </w:r>
          </w:p>
        </w:tc>
        <w:tc>
          <w:tcPr>
            <w:tcW w:w="1595" w:type="dxa"/>
            <w:tcBorders>
              <w:top w:val="nil"/>
              <w:left w:val="nil"/>
              <w:bottom w:val="nil"/>
              <w:right w:val="nil"/>
            </w:tcBorders>
            <w:vAlign w:val="center"/>
          </w:tcPr>
          <w:p w14:paraId="2B131459"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0.96</w:t>
            </w:r>
          </w:p>
        </w:tc>
        <w:tc>
          <w:tcPr>
            <w:tcW w:w="1596" w:type="dxa"/>
            <w:tcBorders>
              <w:top w:val="nil"/>
              <w:left w:val="nil"/>
              <w:bottom w:val="nil"/>
              <w:right w:val="nil"/>
            </w:tcBorders>
            <w:vAlign w:val="center"/>
          </w:tcPr>
          <w:p w14:paraId="160074A0"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c>
          <w:tcPr>
            <w:tcW w:w="1596" w:type="dxa"/>
            <w:tcBorders>
              <w:top w:val="nil"/>
              <w:left w:val="nil"/>
              <w:bottom w:val="nil"/>
              <w:right w:val="nil"/>
            </w:tcBorders>
            <w:vAlign w:val="center"/>
          </w:tcPr>
          <w:p w14:paraId="2A86CCE2"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0.38</w:t>
            </w:r>
          </w:p>
        </w:tc>
        <w:tc>
          <w:tcPr>
            <w:tcW w:w="1595" w:type="dxa"/>
            <w:tcBorders>
              <w:top w:val="nil"/>
              <w:left w:val="nil"/>
              <w:bottom w:val="nil"/>
              <w:right w:val="nil"/>
            </w:tcBorders>
            <w:vAlign w:val="center"/>
          </w:tcPr>
          <w:p w14:paraId="106EBAC5"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0.99</w:t>
            </w:r>
          </w:p>
        </w:tc>
        <w:tc>
          <w:tcPr>
            <w:tcW w:w="1596" w:type="dxa"/>
            <w:tcBorders>
              <w:top w:val="nil"/>
              <w:left w:val="nil"/>
              <w:bottom w:val="nil"/>
              <w:right w:val="nil"/>
            </w:tcBorders>
            <w:vAlign w:val="center"/>
          </w:tcPr>
          <w:p w14:paraId="02FFC1AE"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r>
      <w:tr w:rsidR="007171C8" w:rsidRPr="0073211C" w14:paraId="00A01619" w14:textId="77777777">
        <w:tc>
          <w:tcPr>
            <w:tcW w:w="1596" w:type="dxa"/>
            <w:tcBorders>
              <w:top w:val="nil"/>
              <w:left w:val="nil"/>
              <w:bottom w:val="nil"/>
              <w:right w:val="nil"/>
            </w:tcBorders>
            <w:vAlign w:val="center"/>
          </w:tcPr>
          <w:p w14:paraId="6565632E" w14:textId="77777777" w:rsidR="007171C8" w:rsidRPr="0073211C" w:rsidRDefault="00856351" w:rsidP="00AA7209">
            <w:pPr>
              <w:pStyle w:val="FirstParagraph"/>
              <w:spacing w:before="0" w:after="0"/>
              <w:rPr>
                <w:rFonts w:ascii="Arial" w:hAnsi="Arial" w:cs="Arial"/>
                <w:color w:val="000000"/>
                <w:sz w:val="22"/>
                <w:szCs w:val="22"/>
              </w:rPr>
            </w:pPr>
            <w:r w:rsidRPr="0073211C">
              <w:rPr>
                <w:rStyle w:val="VerbatimChar"/>
                <w:rFonts w:ascii="Arial" w:hAnsi="Arial" w:cs="Arial"/>
                <w:color w:val="000000"/>
                <w:szCs w:val="22"/>
                <w:lang w:val="en-IN"/>
              </w:rPr>
              <w:t xml:space="preserve">Black gram   </w:t>
            </w:r>
          </w:p>
        </w:tc>
        <w:tc>
          <w:tcPr>
            <w:tcW w:w="1595" w:type="dxa"/>
            <w:tcBorders>
              <w:top w:val="nil"/>
              <w:left w:val="nil"/>
              <w:bottom w:val="nil"/>
              <w:right w:val="nil"/>
            </w:tcBorders>
            <w:vAlign w:val="center"/>
          </w:tcPr>
          <w:p w14:paraId="7D9AB878"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0.89</w:t>
            </w:r>
          </w:p>
        </w:tc>
        <w:tc>
          <w:tcPr>
            <w:tcW w:w="1596" w:type="dxa"/>
            <w:tcBorders>
              <w:top w:val="nil"/>
              <w:left w:val="nil"/>
              <w:bottom w:val="nil"/>
              <w:right w:val="nil"/>
            </w:tcBorders>
            <w:vAlign w:val="center"/>
          </w:tcPr>
          <w:p w14:paraId="33A3CEDA"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c>
          <w:tcPr>
            <w:tcW w:w="1596" w:type="dxa"/>
            <w:tcBorders>
              <w:top w:val="nil"/>
              <w:left w:val="nil"/>
              <w:bottom w:val="nil"/>
              <w:right w:val="nil"/>
            </w:tcBorders>
            <w:vAlign w:val="center"/>
          </w:tcPr>
          <w:p w14:paraId="2E435365"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-0.15</w:t>
            </w:r>
          </w:p>
        </w:tc>
        <w:tc>
          <w:tcPr>
            <w:tcW w:w="1595" w:type="dxa"/>
            <w:tcBorders>
              <w:top w:val="nil"/>
              <w:left w:val="nil"/>
              <w:bottom w:val="nil"/>
              <w:right w:val="nil"/>
            </w:tcBorders>
            <w:vAlign w:val="center"/>
          </w:tcPr>
          <w:p w14:paraId="67E30721"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0.97</w:t>
            </w:r>
          </w:p>
        </w:tc>
        <w:tc>
          <w:tcPr>
            <w:tcW w:w="1596" w:type="dxa"/>
            <w:tcBorders>
              <w:top w:val="nil"/>
              <w:left w:val="nil"/>
              <w:bottom w:val="nil"/>
              <w:right w:val="nil"/>
            </w:tcBorders>
            <w:vAlign w:val="center"/>
          </w:tcPr>
          <w:p w14:paraId="0B957B19"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r>
      <w:tr w:rsidR="007171C8" w:rsidRPr="0073211C" w14:paraId="61F91117" w14:textId="77777777">
        <w:tc>
          <w:tcPr>
            <w:tcW w:w="1596" w:type="dxa"/>
            <w:tcBorders>
              <w:top w:val="nil"/>
              <w:left w:val="nil"/>
              <w:bottom w:val="single" w:sz="6" w:space="0" w:color="000000"/>
              <w:right w:val="nil"/>
            </w:tcBorders>
            <w:vAlign w:val="center"/>
          </w:tcPr>
          <w:p w14:paraId="187C7069" w14:textId="77777777" w:rsidR="007171C8" w:rsidRPr="0073211C" w:rsidRDefault="00856351" w:rsidP="00AA7209">
            <w:pPr>
              <w:spacing w:after="0"/>
              <w:rPr>
                <w:rFonts w:ascii="Arial" w:hAnsi="Arial" w:cs="Arial"/>
                <w:color w:val="000000"/>
                <w:sz w:val="22"/>
                <w:szCs w:val="22"/>
              </w:rPr>
            </w:pPr>
            <w:r w:rsidRPr="0073211C">
              <w:rPr>
                <w:rStyle w:val="VerbatimChar"/>
                <w:rFonts w:ascii="Arial" w:hAnsi="Arial" w:cs="Arial"/>
                <w:color w:val="000000"/>
                <w:szCs w:val="22"/>
                <w:lang w:val="en-IN"/>
              </w:rPr>
              <w:t xml:space="preserve">Wheat  </w:t>
            </w:r>
          </w:p>
        </w:tc>
        <w:tc>
          <w:tcPr>
            <w:tcW w:w="1595" w:type="dxa"/>
            <w:tcBorders>
              <w:top w:val="nil"/>
              <w:left w:val="nil"/>
              <w:bottom w:val="single" w:sz="6" w:space="0" w:color="000000"/>
              <w:right w:val="nil"/>
            </w:tcBorders>
            <w:vAlign w:val="center"/>
          </w:tcPr>
          <w:p w14:paraId="78F12FE1"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0.97</w:t>
            </w:r>
          </w:p>
        </w:tc>
        <w:tc>
          <w:tcPr>
            <w:tcW w:w="1596" w:type="dxa"/>
            <w:tcBorders>
              <w:top w:val="nil"/>
              <w:left w:val="nil"/>
              <w:bottom w:val="single" w:sz="6" w:space="0" w:color="000000"/>
              <w:right w:val="nil"/>
            </w:tcBorders>
            <w:vAlign w:val="center"/>
          </w:tcPr>
          <w:p w14:paraId="57C6B7DF"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c>
          <w:tcPr>
            <w:tcW w:w="1596" w:type="dxa"/>
            <w:tcBorders>
              <w:top w:val="nil"/>
              <w:left w:val="nil"/>
              <w:bottom w:val="single" w:sz="6" w:space="0" w:color="000000"/>
              <w:right w:val="nil"/>
            </w:tcBorders>
            <w:vAlign w:val="center"/>
          </w:tcPr>
          <w:p w14:paraId="7D88C23F"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1.73</w:t>
            </w:r>
          </w:p>
        </w:tc>
        <w:tc>
          <w:tcPr>
            <w:tcW w:w="1595" w:type="dxa"/>
            <w:tcBorders>
              <w:top w:val="nil"/>
              <w:left w:val="nil"/>
              <w:bottom w:val="single" w:sz="6" w:space="0" w:color="000000"/>
              <w:right w:val="nil"/>
            </w:tcBorders>
            <w:vAlign w:val="center"/>
          </w:tcPr>
          <w:p w14:paraId="0290DBBC"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0.99</w:t>
            </w:r>
          </w:p>
        </w:tc>
        <w:tc>
          <w:tcPr>
            <w:tcW w:w="1596" w:type="dxa"/>
            <w:tcBorders>
              <w:top w:val="nil"/>
              <w:left w:val="nil"/>
              <w:bottom w:val="single" w:sz="6" w:space="0" w:color="000000"/>
              <w:right w:val="nil"/>
            </w:tcBorders>
            <w:vAlign w:val="center"/>
          </w:tcPr>
          <w:p w14:paraId="0A4A5DB1"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r>
    </w:tbl>
    <w:p w14:paraId="58D8C385" w14:textId="77777777" w:rsidR="007171C8" w:rsidRPr="0073211C" w:rsidRDefault="007171C8" w:rsidP="0073211C">
      <w:pPr>
        <w:pStyle w:val="TableCaption"/>
        <w:rPr>
          <w:rFonts w:ascii="Arial" w:hAnsi="Arial" w:cs="Arial"/>
          <w:b/>
          <w:bCs/>
          <w:sz w:val="22"/>
          <w:szCs w:val="22"/>
          <w:lang w:val="en-IN"/>
        </w:rPr>
      </w:pPr>
    </w:p>
    <w:p w14:paraId="0ED1B377" w14:textId="77777777" w:rsidR="007171C8" w:rsidRPr="00AA7209" w:rsidRDefault="00856351" w:rsidP="0073211C">
      <w:pPr>
        <w:pStyle w:val="TableCaption"/>
        <w:rPr>
          <w:rFonts w:ascii="Arial" w:hAnsi="Arial" w:cs="Arial"/>
          <w:i w:val="0"/>
          <w:iCs/>
          <w:color w:val="000000"/>
          <w:sz w:val="22"/>
          <w:szCs w:val="22"/>
        </w:rPr>
      </w:pPr>
      <w:r w:rsidRPr="00AA7209">
        <w:rPr>
          <w:rFonts w:ascii="Arial" w:hAnsi="Arial" w:cs="Arial"/>
          <w:b/>
          <w:bCs/>
          <w:i w:val="0"/>
          <w:iCs/>
          <w:color w:val="000000"/>
          <w:sz w:val="22"/>
          <w:szCs w:val="22"/>
          <w:lang w:val="en-IN"/>
        </w:rPr>
        <w:t>Table 3. Information on cost, revenue and break-even yield of various crops in Madhya Pradesh (2019-20)</w:t>
      </w:r>
    </w:p>
    <w:tbl>
      <w:tblPr>
        <w:tblW w:w="5000" w:type="pct"/>
        <w:tblInd w:w="-108" w:type="dxa"/>
        <w:tblCellMar>
          <w:left w:w="0" w:type="dxa"/>
          <w:right w:w="0" w:type="dxa"/>
        </w:tblCellMar>
        <w:tblLook w:val="0000" w:firstRow="0" w:lastRow="0" w:firstColumn="0" w:lastColumn="0" w:noHBand="0" w:noVBand="0"/>
      </w:tblPr>
      <w:tblGrid>
        <w:gridCol w:w="1561"/>
        <w:gridCol w:w="1558"/>
        <w:gridCol w:w="1561"/>
        <w:gridCol w:w="1561"/>
        <w:gridCol w:w="1559"/>
        <w:gridCol w:w="1560"/>
      </w:tblGrid>
      <w:tr w:rsidR="007171C8" w:rsidRPr="0073211C" w14:paraId="1EF22E1A" w14:textId="77777777">
        <w:tc>
          <w:tcPr>
            <w:tcW w:w="1560" w:type="dxa"/>
            <w:tcBorders>
              <w:top w:val="single" w:sz="6" w:space="0" w:color="000000"/>
              <w:bottom w:val="single" w:sz="6" w:space="0" w:color="000000"/>
            </w:tcBorders>
            <w:vAlign w:val="bottom"/>
          </w:tcPr>
          <w:p w14:paraId="1DDE9028"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Crop</w:t>
            </w:r>
          </w:p>
        </w:tc>
        <w:tc>
          <w:tcPr>
            <w:tcW w:w="1558" w:type="dxa"/>
            <w:tcBorders>
              <w:top w:val="single" w:sz="6" w:space="0" w:color="000000"/>
              <w:bottom w:val="single" w:sz="6" w:space="0" w:color="000000"/>
            </w:tcBorders>
            <w:vAlign w:val="bottom"/>
          </w:tcPr>
          <w:p w14:paraId="7E4D23A5"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 xml:space="preserve">Fixed cost </w:t>
            </w:r>
          </w:p>
          <w:p w14:paraId="705D7E54"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(Rs. per hectare)</w:t>
            </w:r>
          </w:p>
        </w:tc>
        <w:tc>
          <w:tcPr>
            <w:tcW w:w="1561" w:type="dxa"/>
            <w:tcBorders>
              <w:top w:val="single" w:sz="6" w:space="0" w:color="000000"/>
              <w:bottom w:val="single" w:sz="6" w:space="0" w:color="000000"/>
            </w:tcBorders>
            <w:vAlign w:val="bottom"/>
          </w:tcPr>
          <w:p w14:paraId="4DC4536D"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 xml:space="preserve">Operational Cost </w:t>
            </w:r>
          </w:p>
          <w:p w14:paraId="7FC160A0"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(Rs. per hectare)</w:t>
            </w:r>
          </w:p>
        </w:tc>
        <w:tc>
          <w:tcPr>
            <w:tcW w:w="1561" w:type="dxa"/>
            <w:tcBorders>
              <w:top w:val="single" w:sz="6" w:space="0" w:color="000000"/>
              <w:bottom w:val="single" w:sz="6" w:space="0" w:color="000000"/>
            </w:tcBorders>
            <w:vAlign w:val="bottom"/>
          </w:tcPr>
          <w:p w14:paraId="38A4C6C6"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Derived Yield (Quintal per hectare)</w:t>
            </w:r>
          </w:p>
        </w:tc>
        <w:tc>
          <w:tcPr>
            <w:tcW w:w="1559" w:type="dxa"/>
            <w:tcBorders>
              <w:top w:val="single" w:sz="6" w:space="0" w:color="000000"/>
              <w:bottom w:val="single" w:sz="6" w:space="0" w:color="000000"/>
            </w:tcBorders>
            <w:vAlign w:val="bottom"/>
          </w:tcPr>
          <w:p w14:paraId="246A5C18"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Total revenue (Rs. per hectare)</w:t>
            </w:r>
          </w:p>
        </w:tc>
        <w:tc>
          <w:tcPr>
            <w:tcW w:w="1560" w:type="dxa"/>
            <w:tcBorders>
              <w:top w:val="single" w:sz="6" w:space="0" w:color="000000"/>
              <w:bottom w:val="single" w:sz="6" w:space="0" w:color="000000"/>
            </w:tcBorders>
            <w:vAlign w:val="bottom"/>
          </w:tcPr>
          <w:p w14:paraId="1F5BC71C"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Break-even yield (Quintal per hectare)</w:t>
            </w:r>
          </w:p>
        </w:tc>
      </w:tr>
      <w:tr w:rsidR="007171C8" w:rsidRPr="0073211C" w14:paraId="11BC6DB7" w14:textId="77777777">
        <w:tc>
          <w:tcPr>
            <w:tcW w:w="1560" w:type="dxa"/>
          </w:tcPr>
          <w:p w14:paraId="4BDF6660"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Pigeon pea</w:t>
            </w:r>
          </w:p>
        </w:tc>
        <w:tc>
          <w:tcPr>
            <w:tcW w:w="1558" w:type="dxa"/>
          </w:tcPr>
          <w:p w14:paraId="54673CED"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12823</w:t>
            </w:r>
          </w:p>
        </w:tc>
        <w:tc>
          <w:tcPr>
            <w:tcW w:w="1561" w:type="dxa"/>
          </w:tcPr>
          <w:p w14:paraId="179937F3"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26921</w:t>
            </w:r>
          </w:p>
        </w:tc>
        <w:tc>
          <w:tcPr>
            <w:tcW w:w="1561" w:type="dxa"/>
          </w:tcPr>
          <w:p w14:paraId="6C0435AC"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8.52</w:t>
            </w:r>
          </w:p>
        </w:tc>
        <w:tc>
          <w:tcPr>
            <w:tcW w:w="1559" w:type="dxa"/>
          </w:tcPr>
          <w:p w14:paraId="788C03DD"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39317</w:t>
            </w:r>
          </w:p>
        </w:tc>
        <w:tc>
          <w:tcPr>
            <w:tcW w:w="1560" w:type="dxa"/>
          </w:tcPr>
          <w:p w14:paraId="2E7D2335"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8.81</w:t>
            </w:r>
          </w:p>
        </w:tc>
      </w:tr>
      <w:tr w:rsidR="007171C8" w:rsidRPr="0073211C" w14:paraId="1DEA4609" w14:textId="77777777">
        <w:tc>
          <w:tcPr>
            <w:tcW w:w="1560" w:type="dxa"/>
          </w:tcPr>
          <w:p w14:paraId="04C9C792"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Cotton</w:t>
            </w:r>
          </w:p>
        </w:tc>
        <w:tc>
          <w:tcPr>
            <w:tcW w:w="1558" w:type="dxa"/>
          </w:tcPr>
          <w:p w14:paraId="4BF9E775"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19781</w:t>
            </w:r>
          </w:p>
        </w:tc>
        <w:tc>
          <w:tcPr>
            <w:tcW w:w="1561" w:type="dxa"/>
          </w:tcPr>
          <w:p w14:paraId="4D314EEA"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57359</w:t>
            </w:r>
          </w:p>
        </w:tc>
        <w:tc>
          <w:tcPr>
            <w:tcW w:w="1561" w:type="dxa"/>
          </w:tcPr>
          <w:p w14:paraId="77AD57EC"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13.73</w:t>
            </w:r>
          </w:p>
        </w:tc>
        <w:tc>
          <w:tcPr>
            <w:tcW w:w="1559" w:type="dxa"/>
          </w:tcPr>
          <w:p w14:paraId="5012EEAC"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62888</w:t>
            </w:r>
          </w:p>
        </w:tc>
        <w:tc>
          <w:tcPr>
            <w:tcW w:w="1560" w:type="dxa"/>
          </w:tcPr>
          <w:p w14:paraId="015B12BB"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49.13</w:t>
            </w:r>
          </w:p>
        </w:tc>
      </w:tr>
      <w:tr w:rsidR="007171C8" w:rsidRPr="0073211C" w14:paraId="479A72DB" w14:textId="77777777">
        <w:tc>
          <w:tcPr>
            <w:tcW w:w="1560" w:type="dxa"/>
          </w:tcPr>
          <w:p w14:paraId="3F8D804B"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Gram</w:t>
            </w:r>
          </w:p>
        </w:tc>
        <w:tc>
          <w:tcPr>
            <w:tcW w:w="1558" w:type="dxa"/>
          </w:tcPr>
          <w:p w14:paraId="327F84FE"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14750</w:t>
            </w:r>
          </w:p>
        </w:tc>
        <w:tc>
          <w:tcPr>
            <w:tcW w:w="1561" w:type="dxa"/>
          </w:tcPr>
          <w:p w14:paraId="611DC7DB"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29340</w:t>
            </w:r>
          </w:p>
        </w:tc>
        <w:tc>
          <w:tcPr>
            <w:tcW w:w="1561" w:type="dxa"/>
          </w:tcPr>
          <w:p w14:paraId="4E89169E"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14.33</w:t>
            </w:r>
          </w:p>
        </w:tc>
        <w:tc>
          <w:tcPr>
            <w:tcW w:w="1559" w:type="dxa"/>
          </w:tcPr>
          <w:p w14:paraId="7C35811D"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57244</w:t>
            </w:r>
          </w:p>
        </w:tc>
        <w:tc>
          <w:tcPr>
            <w:tcW w:w="1560" w:type="dxa"/>
          </w:tcPr>
          <w:p w14:paraId="2BA72DF2"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7.58</w:t>
            </w:r>
          </w:p>
        </w:tc>
      </w:tr>
      <w:tr w:rsidR="007171C8" w:rsidRPr="0073211C" w14:paraId="6E925A3C" w14:textId="77777777">
        <w:tc>
          <w:tcPr>
            <w:tcW w:w="1560" w:type="dxa"/>
          </w:tcPr>
          <w:p w14:paraId="0B352283"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Maize</w:t>
            </w:r>
          </w:p>
        </w:tc>
        <w:tc>
          <w:tcPr>
            <w:tcW w:w="1558" w:type="dxa"/>
          </w:tcPr>
          <w:p w14:paraId="1079C519"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12766</w:t>
            </w:r>
          </w:p>
        </w:tc>
        <w:tc>
          <w:tcPr>
            <w:tcW w:w="1561" w:type="dxa"/>
          </w:tcPr>
          <w:p w14:paraId="2A8B0AD4"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38530</w:t>
            </w:r>
          </w:p>
        </w:tc>
        <w:tc>
          <w:tcPr>
            <w:tcW w:w="1561" w:type="dxa"/>
          </w:tcPr>
          <w:p w14:paraId="332B2A14"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27.61</w:t>
            </w:r>
          </w:p>
        </w:tc>
        <w:tc>
          <w:tcPr>
            <w:tcW w:w="1559" w:type="dxa"/>
          </w:tcPr>
          <w:p w14:paraId="19FA0A8C"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52283</w:t>
            </w:r>
          </w:p>
        </w:tc>
        <w:tc>
          <w:tcPr>
            <w:tcW w:w="1560" w:type="dxa"/>
          </w:tcPr>
          <w:p w14:paraId="28736910"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25.63</w:t>
            </w:r>
          </w:p>
        </w:tc>
      </w:tr>
      <w:tr w:rsidR="007171C8" w:rsidRPr="0073211C" w14:paraId="39062E12" w14:textId="77777777">
        <w:tc>
          <w:tcPr>
            <w:tcW w:w="1560" w:type="dxa"/>
          </w:tcPr>
          <w:p w14:paraId="7F9C9E50"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Lentil</w:t>
            </w:r>
          </w:p>
        </w:tc>
        <w:tc>
          <w:tcPr>
            <w:tcW w:w="1558" w:type="dxa"/>
          </w:tcPr>
          <w:p w14:paraId="36726045"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12239</w:t>
            </w:r>
          </w:p>
        </w:tc>
        <w:tc>
          <w:tcPr>
            <w:tcW w:w="1561" w:type="dxa"/>
          </w:tcPr>
          <w:p w14:paraId="5CE3FE9F"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22730</w:t>
            </w:r>
          </w:p>
        </w:tc>
        <w:tc>
          <w:tcPr>
            <w:tcW w:w="1561" w:type="dxa"/>
          </w:tcPr>
          <w:p w14:paraId="31AC0583"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10.58</w:t>
            </w:r>
          </w:p>
        </w:tc>
        <w:tc>
          <w:tcPr>
            <w:tcW w:w="1559" w:type="dxa"/>
          </w:tcPr>
          <w:p w14:paraId="2F5C2DB6"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45897</w:t>
            </w:r>
          </w:p>
        </w:tc>
        <w:tc>
          <w:tcPr>
            <w:tcW w:w="1560" w:type="dxa"/>
          </w:tcPr>
          <w:p w14:paraId="7E525EA7"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5.59</w:t>
            </w:r>
          </w:p>
        </w:tc>
      </w:tr>
      <w:tr w:rsidR="007171C8" w:rsidRPr="0073211C" w14:paraId="41DA3BA0" w14:textId="77777777">
        <w:trPr>
          <w:trHeight w:val="365"/>
        </w:trPr>
        <w:tc>
          <w:tcPr>
            <w:tcW w:w="1560" w:type="dxa"/>
          </w:tcPr>
          <w:p w14:paraId="3D2236B1" w14:textId="77777777" w:rsidR="007171C8" w:rsidRPr="0073211C" w:rsidRDefault="00856351" w:rsidP="0073211C">
            <w:pPr>
              <w:pStyle w:val="BodyText"/>
              <w:rPr>
                <w:rFonts w:ascii="Arial" w:hAnsi="Arial" w:cs="Arial"/>
                <w:color w:val="000000"/>
                <w:sz w:val="22"/>
                <w:szCs w:val="22"/>
              </w:rPr>
            </w:pPr>
            <w:r w:rsidRPr="0073211C">
              <w:rPr>
                <w:rFonts w:ascii="Arial" w:hAnsi="Arial" w:cs="Arial"/>
                <w:color w:val="000000"/>
                <w:sz w:val="22"/>
                <w:szCs w:val="22"/>
              </w:rPr>
              <w:t>Paddy</w:t>
            </w:r>
          </w:p>
        </w:tc>
        <w:tc>
          <w:tcPr>
            <w:tcW w:w="1558" w:type="dxa"/>
          </w:tcPr>
          <w:p w14:paraId="6498E915" w14:textId="77777777" w:rsidR="007171C8" w:rsidRPr="0073211C" w:rsidRDefault="00856351" w:rsidP="0073211C">
            <w:pPr>
              <w:pStyle w:val="BodyText"/>
              <w:jc w:val="center"/>
              <w:rPr>
                <w:rFonts w:ascii="Arial" w:hAnsi="Arial" w:cs="Arial"/>
                <w:color w:val="000000"/>
                <w:sz w:val="22"/>
                <w:szCs w:val="22"/>
              </w:rPr>
            </w:pPr>
            <w:r w:rsidRPr="0073211C">
              <w:rPr>
                <w:rFonts w:ascii="Arial" w:hAnsi="Arial" w:cs="Arial"/>
                <w:color w:val="000000"/>
                <w:sz w:val="22"/>
                <w:szCs w:val="22"/>
              </w:rPr>
              <w:t>14563</w:t>
            </w:r>
          </w:p>
        </w:tc>
        <w:tc>
          <w:tcPr>
            <w:tcW w:w="1561" w:type="dxa"/>
          </w:tcPr>
          <w:p w14:paraId="5932C117" w14:textId="77777777" w:rsidR="007171C8" w:rsidRPr="0073211C" w:rsidRDefault="00856351" w:rsidP="0073211C">
            <w:pPr>
              <w:pStyle w:val="BodyText"/>
              <w:jc w:val="center"/>
              <w:rPr>
                <w:rFonts w:ascii="Arial" w:hAnsi="Arial" w:cs="Arial"/>
                <w:color w:val="000000"/>
                <w:sz w:val="22"/>
                <w:szCs w:val="22"/>
              </w:rPr>
            </w:pPr>
            <w:r w:rsidRPr="0073211C">
              <w:rPr>
                <w:rFonts w:ascii="Arial" w:hAnsi="Arial" w:cs="Arial"/>
                <w:color w:val="000000"/>
                <w:sz w:val="22"/>
                <w:szCs w:val="22"/>
              </w:rPr>
              <w:t>38102</w:t>
            </w:r>
          </w:p>
        </w:tc>
        <w:tc>
          <w:tcPr>
            <w:tcW w:w="1561" w:type="dxa"/>
          </w:tcPr>
          <w:p w14:paraId="0B266FDE" w14:textId="77777777" w:rsidR="007171C8" w:rsidRPr="0073211C" w:rsidRDefault="00856351" w:rsidP="0073211C">
            <w:pPr>
              <w:pStyle w:val="BodyText"/>
              <w:jc w:val="center"/>
              <w:rPr>
                <w:rFonts w:ascii="Arial" w:hAnsi="Arial" w:cs="Arial"/>
                <w:color w:val="000000"/>
                <w:sz w:val="22"/>
                <w:szCs w:val="22"/>
              </w:rPr>
            </w:pPr>
            <w:r w:rsidRPr="0073211C">
              <w:rPr>
                <w:rFonts w:ascii="Arial" w:hAnsi="Arial" w:cs="Arial"/>
                <w:color w:val="000000"/>
                <w:sz w:val="22"/>
                <w:szCs w:val="22"/>
              </w:rPr>
              <w:t>23.19</w:t>
            </w:r>
          </w:p>
        </w:tc>
        <w:tc>
          <w:tcPr>
            <w:tcW w:w="1559" w:type="dxa"/>
          </w:tcPr>
          <w:p w14:paraId="5C9E4953" w14:textId="77777777" w:rsidR="007171C8" w:rsidRPr="0073211C" w:rsidRDefault="00856351" w:rsidP="0073211C">
            <w:pPr>
              <w:pStyle w:val="BodyText"/>
              <w:jc w:val="center"/>
              <w:rPr>
                <w:rFonts w:ascii="Arial" w:hAnsi="Arial" w:cs="Arial"/>
                <w:color w:val="000000"/>
                <w:sz w:val="22"/>
                <w:szCs w:val="22"/>
              </w:rPr>
            </w:pPr>
            <w:r w:rsidRPr="0073211C">
              <w:rPr>
                <w:rFonts w:ascii="Arial" w:hAnsi="Arial" w:cs="Arial"/>
                <w:color w:val="000000"/>
                <w:sz w:val="22"/>
                <w:szCs w:val="22"/>
              </w:rPr>
              <w:t>52645</w:t>
            </w:r>
          </w:p>
        </w:tc>
        <w:tc>
          <w:tcPr>
            <w:tcW w:w="1560" w:type="dxa"/>
          </w:tcPr>
          <w:p w14:paraId="3F6FDF67" w14:textId="77777777" w:rsidR="007171C8" w:rsidRPr="0073211C" w:rsidRDefault="00856351" w:rsidP="0073211C">
            <w:pPr>
              <w:pStyle w:val="BodyText"/>
              <w:jc w:val="center"/>
              <w:rPr>
                <w:rFonts w:ascii="Arial" w:hAnsi="Arial" w:cs="Arial"/>
                <w:color w:val="000000"/>
                <w:sz w:val="22"/>
                <w:szCs w:val="22"/>
              </w:rPr>
            </w:pPr>
            <w:r w:rsidRPr="0073211C">
              <w:rPr>
                <w:rFonts w:ascii="Arial" w:hAnsi="Arial" w:cs="Arial"/>
                <w:color w:val="000000"/>
                <w:sz w:val="22"/>
                <w:szCs w:val="22"/>
              </w:rPr>
              <w:t>20.52</w:t>
            </w:r>
          </w:p>
        </w:tc>
      </w:tr>
      <w:tr w:rsidR="007171C8" w:rsidRPr="0073211C" w14:paraId="4069AF43" w14:textId="77777777">
        <w:tc>
          <w:tcPr>
            <w:tcW w:w="1560" w:type="dxa"/>
          </w:tcPr>
          <w:p w14:paraId="6C2E2E5B"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Mustard</w:t>
            </w:r>
          </w:p>
        </w:tc>
        <w:tc>
          <w:tcPr>
            <w:tcW w:w="1558" w:type="dxa"/>
          </w:tcPr>
          <w:p w14:paraId="42B552F8"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19717</w:t>
            </w:r>
          </w:p>
        </w:tc>
        <w:tc>
          <w:tcPr>
            <w:tcW w:w="1561" w:type="dxa"/>
          </w:tcPr>
          <w:p w14:paraId="413CBBF3"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30030</w:t>
            </w:r>
          </w:p>
        </w:tc>
        <w:tc>
          <w:tcPr>
            <w:tcW w:w="1561" w:type="dxa"/>
          </w:tcPr>
          <w:p w14:paraId="52033A89"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17.84</w:t>
            </w:r>
          </w:p>
        </w:tc>
        <w:tc>
          <w:tcPr>
            <w:tcW w:w="1559" w:type="dxa"/>
          </w:tcPr>
          <w:p w14:paraId="60E96AC4"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66370</w:t>
            </w:r>
          </w:p>
        </w:tc>
        <w:tc>
          <w:tcPr>
            <w:tcW w:w="1560" w:type="dxa"/>
          </w:tcPr>
          <w:p w14:paraId="75B1C89A"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9.68</w:t>
            </w:r>
          </w:p>
        </w:tc>
      </w:tr>
      <w:tr w:rsidR="007171C8" w:rsidRPr="0073211C" w14:paraId="7C85381A" w14:textId="77777777">
        <w:tc>
          <w:tcPr>
            <w:tcW w:w="1560" w:type="dxa"/>
          </w:tcPr>
          <w:p w14:paraId="317565CC"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Soybean</w:t>
            </w:r>
          </w:p>
        </w:tc>
        <w:tc>
          <w:tcPr>
            <w:tcW w:w="1558" w:type="dxa"/>
          </w:tcPr>
          <w:p w14:paraId="7FCF0F62"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8800</w:t>
            </w:r>
          </w:p>
        </w:tc>
        <w:tc>
          <w:tcPr>
            <w:tcW w:w="1561" w:type="dxa"/>
          </w:tcPr>
          <w:p w14:paraId="458E1F5B"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27524</w:t>
            </w:r>
          </w:p>
        </w:tc>
        <w:tc>
          <w:tcPr>
            <w:tcW w:w="1561" w:type="dxa"/>
          </w:tcPr>
          <w:p w14:paraId="7855D087"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7.7</w:t>
            </w:r>
          </w:p>
        </w:tc>
        <w:tc>
          <w:tcPr>
            <w:tcW w:w="1559" w:type="dxa"/>
          </w:tcPr>
          <w:p w14:paraId="0F2DCF85"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25972</w:t>
            </w:r>
          </w:p>
        </w:tc>
        <w:tc>
          <w:tcPr>
            <w:tcW w:w="1560" w:type="dxa"/>
          </w:tcPr>
          <w:p w14:paraId="6B7EDA2F"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-43.63</w:t>
            </w:r>
          </w:p>
        </w:tc>
      </w:tr>
      <w:tr w:rsidR="007171C8" w:rsidRPr="0073211C" w14:paraId="349D44C1" w14:textId="77777777">
        <w:tc>
          <w:tcPr>
            <w:tcW w:w="1560" w:type="dxa"/>
          </w:tcPr>
          <w:p w14:paraId="1DC6478A" w14:textId="77777777" w:rsidR="007171C8" w:rsidRPr="0073211C" w:rsidRDefault="00856351" w:rsidP="0073211C">
            <w:pPr>
              <w:pStyle w:val="Compact"/>
              <w:rPr>
                <w:rFonts w:ascii="Arial" w:hAnsi="Arial" w:cs="Arial"/>
                <w:color w:val="000000"/>
                <w:sz w:val="22"/>
                <w:szCs w:val="22"/>
                <w:lang w:val="en-IN"/>
              </w:rPr>
            </w:pPr>
            <w:proofErr w:type="spellStart"/>
            <w:r w:rsidRPr="0073211C">
              <w:rPr>
                <w:rFonts w:ascii="Arial" w:hAnsi="Arial" w:cs="Arial"/>
                <w:color w:val="000000"/>
                <w:sz w:val="22"/>
                <w:szCs w:val="22"/>
                <w:lang w:val="en-IN"/>
              </w:rPr>
              <w:t>Blackgram</w:t>
            </w:r>
            <w:proofErr w:type="spellEnd"/>
          </w:p>
        </w:tc>
        <w:tc>
          <w:tcPr>
            <w:tcW w:w="1558" w:type="dxa"/>
          </w:tcPr>
          <w:p w14:paraId="5AB349FB"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5150</w:t>
            </w:r>
          </w:p>
        </w:tc>
        <w:tc>
          <w:tcPr>
            <w:tcW w:w="1561" w:type="dxa"/>
          </w:tcPr>
          <w:p w14:paraId="2B29FBA6"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20220</w:t>
            </w:r>
          </w:p>
        </w:tc>
        <w:tc>
          <w:tcPr>
            <w:tcW w:w="1561" w:type="dxa"/>
          </w:tcPr>
          <w:p w14:paraId="04A7E481"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3.71</w:t>
            </w:r>
          </w:p>
        </w:tc>
        <w:tc>
          <w:tcPr>
            <w:tcW w:w="1559" w:type="dxa"/>
          </w:tcPr>
          <w:p w14:paraId="37F5CA22"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14817</w:t>
            </w:r>
          </w:p>
        </w:tc>
        <w:tc>
          <w:tcPr>
            <w:tcW w:w="1560" w:type="dxa"/>
          </w:tcPr>
          <w:p w14:paraId="6B5846B4"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-3.54</w:t>
            </w:r>
          </w:p>
        </w:tc>
      </w:tr>
      <w:tr w:rsidR="007171C8" w:rsidRPr="0073211C" w14:paraId="0081FBF2" w14:textId="77777777">
        <w:tc>
          <w:tcPr>
            <w:tcW w:w="1560" w:type="dxa"/>
            <w:tcBorders>
              <w:bottom w:val="single" w:sz="6" w:space="0" w:color="000000"/>
            </w:tcBorders>
          </w:tcPr>
          <w:p w14:paraId="1063602E"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Wheat</w:t>
            </w:r>
          </w:p>
        </w:tc>
        <w:tc>
          <w:tcPr>
            <w:tcW w:w="1558" w:type="dxa"/>
            <w:tcBorders>
              <w:bottom w:val="single" w:sz="6" w:space="0" w:color="000000"/>
            </w:tcBorders>
          </w:tcPr>
          <w:p w14:paraId="4F6D83CD"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18896</w:t>
            </w:r>
          </w:p>
        </w:tc>
        <w:tc>
          <w:tcPr>
            <w:tcW w:w="1561" w:type="dxa"/>
            <w:tcBorders>
              <w:bottom w:val="single" w:sz="6" w:space="0" w:color="000000"/>
            </w:tcBorders>
          </w:tcPr>
          <w:p w14:paraId="37662711"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33457</w:t>
            </w:r>
          </w:p>
        </w:tc>
        <w:tc>
          <w:tcPr>
            <w:tcW w:w="1561" w:type="dxa"/>
            <w:tcBorders>
              <w:bottom w:val="single" w:sz="6" w:space="0" w:color="000000"/>
            </w:tcBorders>
          </w:tcPr>
          <w:p w14:paraId="64F5779D"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39.71</w:t>
            </w:r>
          </w:p>
        </w:tc>
        <w:tc>
          <w:tcPr>
            <w:tcW w:w="1559" w:type="dxa"/>
            <w:tcBorders>
              <w:bottom w:val="single" w:sz="6" w:space="0" w:color="000000"/>
            </w:tcBorders>
          </w:tcPr>
          <w:p w14:paraId="37FAA3F8"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81904</w:t>
            </w:r>
          </w:p>
        </w:tc>
        <w:tc>
          <w:tcPr>
            <w:tcW w:w="1560" w:type="dxa"/>
            <w:tcBorders>
              <w:bottom w:val="single" w:sz="6" w:space="0" w:color="000000"/>
            </w:tcBorders>
          </w:tcPr>
          <w:p w14:paraId="25712415"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15.49</w:t>
            </w:r>
          </w:p>
        </w:tc>
      </w:tr>
    </w:tbl>
    <w:p w14:paraId="315BA0A5" w14:textId="77777777" w:rsidR="007171C8" w:rsidRDefault="007171C8" w:rsidP="0073211C">
      <w:pPr>
        <w:pStyle w:val="BodyText"/>
        <w:rPr>
          <w:rFonts w:ascii="Arial" w:hAnsi="Arial" w:cs="Arial"/>
          <w:color w:val="000000"/>
          <w:sz w:val="22"/>
          <w:szCs w:val="22"/>
          <w:lang w:val="en-IN"/>
        </w:rPr>
      </w:pPr>
    </w:p>
    <w:p w14:paraId="6D13D27E" w14:textId="77777777" w:rsidR="00AA7209" w:rsidRDefault="00AA7209" w:rsidP="0073211C">
      <w:pPr>
        <w:pStyle w:val="BodyText"/>
        <w:rPr>
          <w:rFonts w:ascii="Arial" w:hAnsi="Arial" w:cs="Arial"/>
          <w:color w:val="000000"/>
          <w:sz w:val="22"/>
          <w:szCs w:val="22"/>
          <w:lang w:val="en-IN"/>
        </w:rPr>
      </w:pPr>
    </w:p>
    <w:p w14:paraId="234BA43A" w14:textId="77777777" w:rsidR="00AA7209" w:rsidRDefault="00AA7209" w:rsidP="0073211C">
      <w:pPr>
        <w:pStyle w:val="BodyText"/>
        <w:rPr>
          <w:rFonts w:ascii="Arial" w:hAnsi="Arial" w:cs="Arial"/>
          <w:color w:val="000000"/>
          <w:sz w:val="22"/>
          <w:szCs w:val="22"/>
          <w:lang w:val="en-IN"/>
        </w:rPr>
      </w:pPr>
    </w:p>
    <w:p w14:paraId="09BDFE75" w14:textId="77777777" w:rsidR="00AA7209" w:rsidRDefault="00AA7209" w:rsidP="0073211C">
      <w:pPr>
        <w:pStyle w:val="BodyText"/>
        <w:rPr>
          <w:rFonts w:ascii="Arial" w:hAnsi="Arial" w:cs="Arial"/>
          <w:color w:val="000000"/>
          <w:sz w:val="22"/>
          <w:szCs w:val="22"/>
          <w:lang w:val="en-IN"/>
        </w:rPr>
      </w:pPr>
    </w:p>
    <w:p w14:paraId="6D94E382" w14:textId="77777777" w:rsidR="00173980" w:rsidRDefault="00173980" w:rsidP="0073211C">
      <w:pPr>
        <w:pStyle w:val="BodyText"/>
        <w:rPr>
          <w:rFonts w:ascii="Arial" w:hAnsi="Arial" w:cs="Arial"/>
          <w:color w:val="000000"/>
          <w:sz w:val="22"/>
          <w:szCs w:val="22"/>
          <w:lang w:val="en-IN"/>
        </w:rPr>
      </w:pPr>
    </w:p>
    <w:p w14:paraId="3FF2903A" w14:textId="77777777" w:rsidR="008A7BB2" w:rsidRPr="0073211C" w:rsidRDefault="008A7BB2" w:rsidP="0073211C">
      <w:pPr>
        <w:pStyle w:val="BodyText"/>
        <w:rPr>
          <w:rFonts w:ascii="Arial" w:hAnsi="Arial" w:cs="Arial"/>
          <w:color w:val="000000"/>
          <w:sz w:val="22"/>
          <w:szCs w:val="22"/>
          <w:lang w:val="en-IN"/>
        </w:rPr>
      </w:pPr>
    </w:p>
    <w:p w14:paraId="232EAF70" w14:textId="77777777" w:rsidR="007171C8" w:rsidRPr="0073211C" w:rsidRDefault="00856351" w:rsidP="0073211C">
      <w:pPr>
        <w:pStyle w:val="BodyText"/>
        <w:rPr>
          <w:rFonts w:ascii="Arial" w:hAnsi="Arial" w:cs="Arial"/>
          <w:color w:val="000000"/>
          <w:sz w:val="22"/>
          <w:szCs w:val="22"/>
          <w:lang w:val="en-IN"/>
        </w:rPr>
      </w:pPr>
      <w:r w:rsidRPr="0073211C">
        <w:rPr>
          <w:rFonts w:ascii="Arial" w:hAnsi="Arial" w:cs="Arial"/>
          <w:b/>
          <w:bCs/>
          <w:color w:val="000000"/>
          <w:sz w:val="22"/>
          <w:szCs w:val="22"/>
          <w:lang w:val="en-IN"/>
        </w:rPr>
        <w:lastRenderedPageBreak/>
        <w:t>Table 4. Probability of not achieving break-even yield in Madhya Pradesh (2019-20)</w:t>
      </w:r>
    </w:p>
    <w:tbl>
      <w:tblPr>
        <w:tblW w:w="9367" w:type="dxa"/>
        <w:tblCellMar>
          <w:left w:w="5" w:type="dxa"/>
          <w:right w:w="5" w:type="dxa"/>
        </w:tblCellMar>
        <w:tblLook w:val="0000" w:firstRow="0" w:lastRow="0" w:firstColumn="0" w:lastColumn="0" w:noHBand="0" w:noVBand="0"/>
      </w:tblPr>
      <w:tblGrid>
        <w:gridCol w:w="2675"/>
        <w:gridCol w:w="3997"/>
        <w:gridCol w:w="2695"/>
      </w:tblGrid>
      <w:tr w:rsidR="007171C8" w:rsidRPr="0073211C" w14:paraId="4059C1BA" w14:textId="77777777">
        <w:tc>
          <w:tcPr>
            <w:tcW w:w="2675" w:type="dxa"/>
            <w:tcBorders>
              <w:top w:val="single" w:sz="4" w:space="0" w:color="000000"/>
              <w:left w:val="single" w:sz="4" w:space="0" w:color="000000"/>
              <w:bottom w:val="single" w:sz="4" w:space="0" w:color="000000"/>
              <w:right w:val="single" w:sz="4" w:space="0" w:color="000000"/>
            </w:tcBorders>
          </w:tcPr>
          <w:p w14:paraId="510D18D4" w14:textId="77777777" w:rsidR="007171C8" w:rsidRPr="0073211C" w:rsidRDefault="00856351" w:rsidP="0073211C">
            <w:pPr>
              <w:pStyle w:val="TableContents"/>
              <w:rPr>
                <w:rFonts w:ascii="Arial" w:hAnsi="Arial" w:cs="Arial"/>
                <w:color w:val="000000"/>
                <w:sz w:val="22"/>
                <w:szCs w:val="22"/>
                <w:lang w:val="en-IN"/>
              </w:rPr>
            </w:pPr>
            <w:r w:rsidRPr="0073211C">
              <w:rPr>
                <w:rFonts w:ascii="Arial" w:hAnsi="Arial" w:cs="Arial"/>
                <w:color w:val="000000"/>
                <w:sz w:val="22"/>
                <w:szCs w:val="22"/>
                <w:lang w:val="en-IN"/>
              </w:rPr>
              <w:t>Crop</w:t>
            </w:r>
          </w:p>
        </w:tc>
        <w:tc>
          <w:tcPr>
            <w:tcW w:w="3997" w:type="dxa"/>
            <w:tcBorders>
              <w:top w:val="single" w:sz="4" w:space="0" w:color="000000"/>
              <w:left w:val="single" w:sz="4" w:space="0" w:color="000000"/>
              <w:bottom w:val="single" w:sz="4" w:space="0" w:color="000000"/>
              <w:right w:val="single" w:sz="4" w:space="0" w:color="000000"/>
            </w:tcBorders>
          </w:tcPr>
          <w:p w14:paraId="7E7E5F3E"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Approach 1</w:t>
            </w:r>
          </w:p>
        </w:tc>
        <w:tc>
          <w:tcPr>
            <w:tcW w:w="2695" w:type="dxa"/>
            <w:tcBorders>
              <w:top w:val="single" w:sz="4" w:space="0" w:color="000000"/>
              <w:left w:val="single" w:sz="4" w:space="0" w:color="000000"/>
              <w:bottom w:val="single" w:sz="4" w:space="0" w:color="000000"/>
              <w:right w:val="single" w:sz="4" w:space="0" w:color="000000"/>
            </w:tcBorders>
          </w:tcPr>
          <w:p w14:paraId="5118D2BF"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 xml:space="preserve">Approach 2 </w:t>
            </w:r>
          </w:p>
        </w:tc>
      </w:tr>
      <w:tr w:rsidR="007171C8" w:rsidRPr="0073211C" w14:paraId="36D833AC" w14:textId="77777777">
        <w:tc>
          <w:tcPr>
            <w:tcW w:w="2675" w:type="dxa"/>
            <w:tcBorders>
              <w:top w:val="single" w:sz="4" w:space="0" w:color="000000"/>
              <w:left w:val="single" w:sz="4" w:space="0" w:color="000000"/>
              <w:bottom w:val="single" w:sz="4" w:space="0" w:color="000000"/>
              <w:right w:val="single" w:sz="4" w:space="0" w:color="000000"/>
            </w:tcBorders>
          </w:tcPr>
          <w:p w14:paraId="4E69DC54" w14:textId="77777777" w:rsidR="007171C8" w:rsidRPr="0073211C" w:rsidRDefault="00856351" w:rsidP="0073211C">
            <w:pPr>
              <w:pStyle w:val="TableContents"/>
              <w:rPr>
                <w:rFonts w:ascii="Arial" w:hAnsi="Arial" w:cs="Arial"/>
                <w:color w:val="000000"/>
                <w:sz w:val="22"/>
                <w:szCs w:val="22"/>
                <w:lang w:val="en-IN"/>
              </w:rPr>
            </w:pPr>
            <w:r w:rsidRPr="0073211C">
              <w:rPr>
                <w:rFonts w:ascii="Arial" w:hAnsi="Arial" w:cs="Arial"/>
                <w:color w:val="000000"/>
                <w:sz w:val="22"/>
                <w:szCs w:val="22"/>
                <w:lang w:val="en-IN"/>
              </w:rPr>
              <w:t>Pigeon pea</w:t>
            </w:r>
          </w:p>
        </w:tc>
        <w:tc>
          <w:tcPr>
            <w:tcW w:w="3997" w:type="dxa"/>
            <w:tcBorders>
              <w:top w:val="single" w:sz="4" w:space="0" w:color="000000"/>
              <w:left w:val="single" w:sz="4" w:space="0" w:color="000000"/>
              <w:bottom w:val="single" w:sz="4" w:space="0" w:color="000000"/>
              <w:right w:val="single" w:sz="4" w:space="0" w:color="000000"/>
            </w:tcBorders>
          </w:tcPr>
          <w:p w14:paraId="4E366199"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0.6756</w:t>
            </w:r>
          </w:p>
        </w:tc>
        <w:tc>
          <w:tcPr>
            <w:tcW w:w="2695" w:type="dxa"/>
            <w:tcBorders>
              <w:top w:val="single" w:sz="4" w:space="0" w:color="000000"/>
              <w:left w:val="single" w:sz="4" w:space="0" w:color="000000"/>
              <w:bottom w:val="single" w:sz="4" w:space="0" w:color="000000"/>
              <w:right w:val="single" w:sz="4" w:space="0" w:color="000000"/>
            </w:tcBorders>
          </w:tcPr>
          <w:p w14:paraId="174B17AE"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0.6651</w:t>
            </w:r>
          </w:p>
        </w:tc>
      </w:tr>
      <w:tr w:rsidR="007171C8" w:rsidRPr="0073211C" w14:paraId="211F87F2" w14:textId="77777777">
        <w:tc>
          <w:tcPr>
            <w:tcW w:w="2675" w:type="dxa"/>
            <w:tcBorders>
              <w:top w:val="single" w:sz="4" w:space="0" w:color="000000"/>
              <w:left w:val="single" w:sz="4" w:space="0" w:color="000000"/>
              <w:bottom w:val="single" w:sz="4" w:space="0" w:color="000000"/>
              <w:right w:val="single" w:sz="4" w:space="0" w:color="000000"/>
            </w:tcBorders>
          </w:tcPr>
          <w:p w14:paraId="1F430F93" w14:textId="77777777" w:rsidR="007171C8" w:rsidRPr="0073211C" w:rsidRDefault="00856351" w:rsidP="0073211C">
            <w:pPr>
              <w:pStyle w:val="TableContents"/>
              <w:rPr>
                <w:rFonts w:ascii="Arial" w:hAnsi="Arial" w:cs="Arial"/>
                <w:color w:val="000000"/>
                <w:sz w:val="22"/>
                <w:szCs w:val="22"/>
                <w:lang w:val="en-IN"/>
              </w:rPr>
            </w:pPr>
            <w:r w:rsidRPr="0073211C">
              <w:rPr>
                <w:rFonts w:ascii="Arial" w:hAnsi="Arial" w:cs="Arial"/>
                <w:color w:val="000000"/>
                <w:sz w:val="22"/>
                <w:szCs w:val="22"/>
                <w:lang w:val="en-IN"/>
              </w:rPr>
              <w:t>Lentil</w:t>
            </w:r>
          </w:p>
        </w:tc>
        <w:tc>
          <w:tcPr>
            <w:tcW w:w="3997" w:type="dxa"/>
            <w:tcBorders>
              <w:top w:val="single" w:sz="4" w:space="0" w:color="000000"/>
              <w:left w:val="single" w:sz="4" w:space="0" w:color="000000"/>
              <w:bottom w:val="single" w:sz="4" w:space="0" w:color="000000"/>
              <w:right w:val="single" w:sz="4" w:space="0" w:color="000000"/>
            </w:tcBorders>
          </w:tcPr>
          <w:p w14:paraId="6AB935D1"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0.0011</w:t>
            </w:r>
          </w:p>
        </w:tc>
        <w:tc>
          <w:tcPr>
            <w:tcW w:w="2695" w:type="dxa"/>
            <w:tcBorders>
              <w:top w:val="single" w:sz="4" w:space="0" w:color="000000"/>
              <w:left w:val="single" w:sz="4" w:space="0" w:color="000000"/>
              <w:bottom w:val="single" w:sz="4" w:space="0" w:color="000000"/>
              <w:right w:val="single" w:sz="4" w:space="0" w:color="000000"/>
            </w:tcBorders>
          </w:tcPr>
          <w:p w14:paraId="5E5294B3"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5.807387e-05</w:t>
            </w:r>
          </w:p>
        </w:tc>
      </w:tr>
      <w:tr w:rsidR="007171C8" w:rsidRPr="0073211C" w14:paraId="25ABE398" w14:textId="77777777">
        <w:tc>
          <w:tcPr>
            <w:tcW w:w="2675" w:type="dxa"/>
            <w:tcBorders>
              <w:top w:val="single" w:sz="4" w:space="0" w:color="000000"/>
              <w:left w:val="single" w:sz="4" w:space="0" w:color="000000"/>
              <w:bottom w:val="single" w:sz="4" w:space="0" w:color="000000"/>
              <w:right w:val="single" w:sz="4" w:space="0" w:color="000000"/>
            </w:tcBorders>
          </w:tcPr>
          <w:p w14:paraId="51AF1E7D" w14:textId="77777777" w:rsidR="007171C8" w:rsidRPr="0073211C" w:rsidRDefault="00856351" w:rsidP="0073211C">
            <w:pPr>
              <w:pStyle w:val="TableContents"/>
              <w:rPr>
                <w:rFonts w:ascii="Arial" w:hAnsi="Arial" w:cs="Arial"/>
                <w:color w:val="000000"/>
                <w:sz w:val="22"/>
                <w:szCs w:val="22"/>
                <w:lang w:val="en-IN"/>
              </w:rPr>
            </w:pPr>
            <w:r w:rsidRPr="0073211C">
              <w:rPr>
                <w:rFonts w:ascii="Arial" w:hAnsi="Arial" w:cs="Arial"/>
                <w:color w:val="000000"/>
                <w:sz w:val="22"/>
                <w:szCs w:val="22"/>
                <w:lang w:val="en-IN"/>
              </w:rPr>
              <w:t>Mustard</w:t>
            </w:r>
          </w:p>
        </w:tc>
        <w:tc>
          <w:tcPr>
            <w:tcW w:w="3997" w:type="dxa"/>
            <w:tcBorders>
              <w:top w:val="single" w:sz="4" w:space="0" w:color="000000"/>
              <w:left w:val="single" w:sz="4" w:space="0" w:color="000000"/>
              <w:bottom w:val="single" w:sz="4" w:space="0" w:color="000000"/>
              <w:right w:val="single" w:sz="4" w:space="0" w:color="000000"/>
            </w:tcBorders>
          </w:tcPr>
          <w:p w14:paraId="46317781"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0.0308</w:t>
            </w:r>
          </w:p>
        </w:tc>
        <w:tc>
          <w:tcPr>
            <w:tcW w:w="2695" w:type="dxa"/>
            <w:tcBorders>
              <w:top w:val="single" w:sz="4" w:space="0" w:color="000000"/>
              <w:left w:val="single" w:sz="4" w:space="0" w:color="000000"/>
              <w:bottom w:val="single" w:sz="4" w:space="0" w:color="000000"/>
              <w:right w:val="single" w:sz="4" w:space="0" w:color="000000"/>
            </w:tcBorders>
          </w:tcPr>
          <w:p w14:paraId="72C25E63"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0.0548</w:t>
            </w:r>
          </w:p>
        </w:tc>
      </w:tr>
      <w:tr w:rsidR="007171C8" w:rsidRPr="0073211C" w14:paraId="3C4AD9FA" w14:textId="77777777">
        <w:tc>
          <w:tcPr>
            <w:tcW w:w="2675" w:type="dxa"/>
            <w:tcBorders>
              <w:left w:val="single" w:sz="4" w:space="0" w:color="000000"/>
              <w:bottom w:val="single" w:sz="4" w:space="0" w:color="000000"/>
              <w:right w:val="single" w:sz="4" w:space="0" w:color="000000"/>
            </w:tcBorders>
          </w:tcPr>
          <w:p w14:paraId="4E46F9C9"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Cotton</w:t>
            </w:r>
          </w:p>
        </w:tc>
        <w:tc>
          <w:tcPr>
            <w:tcW w:w="3997" w:type="dxa"/>
            <w:tcBorders>
              <w:left w:val="single" w:sz="4" w:space="0" w:color="000000"/>
              <w:bottom w:val="single" w:sz="4" w:space="0" w:color="000000"/>
              <w:right w:val="single" w:sz="4" w:space="0" w:color="000000"/>
            </w:tcBorders>
          </w:tcPr>
          <w:p w14:paraId="13E97D5F"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w:t>
            </w:r>
          </w:p>
        </w:tc>
        <w:tc>
          <w:tcPr>
            <w:tcW w:w="2695" w:type="dxa"/>
            <w:tcBorders>
              <w:left w:val="single" w:sz="4" w:space="0" w:color="000000"/>
              <w:bottom w:val="single" w:sz="4" w:space="0" w:color="000000"/>
              <w:right w:val="single" w:sz="4" w:space="0" w:color="000000"/>
            </w:tcBorders>
          </w:tcPr>
          <w:p w14:paraId="7F7B67D2"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1.0000</w:t>
            </w:r>
          </w:p>
        </w:tc>
      </w:tr>
      <w:tr w:rsidR="007171C8" w:rsidRPr="0073211C" w14:paraId="2FF4E2C7" w14:textId="77777777">
        <w:tc>
          <w:tcPr>
            <w:tcW w:w="2675" w:type="dxa"/>
            <w:tcBorders>
              <w:left w:val="single" w:sz="4" w:space="0" w:color="000000"/>
              <w:bottom w:val="single" w:sz="4" w:space="0" w:color="000000"/>
              <w:right w:val="single" w:sz="4" w:space="0" w:color="000000"/>
            </w:tcBorders>
          </w:tcPr>
          <w:p w14:paraId="1E991ADF"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Gram</w:t>
            </w:r>
          </w:p>
        </w:tc>
        <w:tc>
          <w:tcPr>
            <w:tcW w:w="3997" w:type="dxa"/>
            <w:tcBorders>
              <w:left w:val="single" w:sz="4" w:space="0" w:color="000000"/>
              <w:bottom w:val="single" w:sz="4" w:space="0" w:color="000000"/>
              <w:right w:val="single" w:sz="4" w:space="0" w:color="000000"/>
            </w:tcBorders>
          </w:tcPr>
          <w:p w14:paraId="72A8A8B0"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w:t>
            </w:r>
          </w:p>
        </w:tc>
        <w:tc>
          <w:tcPr>
            <w:tcW w:w="2695" w:type="dxa"/>
            <w:tcBorders>
              <w:left w:val="single" w:sz="4" w:space="0" w:color="000000"/>
              <w:bottom w:val="single" w:sz="4" w:space="0" w:color="000000"/>
              <w:right w:val="single" w:sz="4" w:space="0" w:color="000000"/>
            </w:tcBorders>
          </w:tcPr>
          <w:p w14:paraId="4B5C534F"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0.0160</w:t>
            </w:r>
          </w:p>
        </w:tc>
      </w:tr>
      <w:tr w:rsidR="007171C8" w:rsidRPr="0073211C" w14:paraId="526EFDB6" w14:textId="77777777">
        <w:tc>
          <w:tcPr>
            <w:tcW w:w="2675" w:type="dxa"/>
            <w:tcBorders>
              <w:left w:val="single" w:sz="4" w:space="0" w:color="000000"/>
              <w:bottom w:val="single" w:sz="4" w:space="0" w:color="000000"/>
              <w:right w:val="single" w:sz="4" w:space="0" w:color="000000"/>
            </w:tcBorders>
          </w:tcPr>
          <w:p w14:paraId="60ACC767"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Maize</w:t>
            </w:r>
          </w:p>
        </w:tc>
        <w:tc>
          <w:tcPr>
            <w:tcW w:w="3997" w:type="dxa"/>
            <w:tcBorders>
              <w:left w:val="single" w:sz="4" w:space="0" w:color="000000"/>
              <w:bottom w:val="single" w:sz="4" w:space="0" w:color="000000"/>
              <w:right w:val="single" w:sz="4" w:space="0" w:color="000000"/>
            </w:tcBorders>
          </w:tcPr>
          <w:p w14:paraId="5F6AB5D3"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w:t>
            </w:r>
          </w:p>
        </w:tc>
        <w:tc>
          <w:tcPr>
            <w:tcW w:w="2695" w:type="dxa"/>
            <w:tcBorders>
              <w:left w:val="single" w:sz="4" w:space="0" w:color="000000"/>
              <w:bottom w:val="single" w:sz="4" w:space="0" w:color="000000"/>
              <w:right w:val="single" w:sz="4" w:space="0" w:color="000000"/>
            </w:tcBorders>
          </w:tcPr>
          <w:p w14:paraId="1BCE3FB7"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0.3996</w:t>
            </w:r>
          </w:p>
        </w:tc>
      </w:tr>
      <w:tr w:rsidR="007171C8" w:rsidRPr="0073211C" w14:paraId="184B67E4" w14:textId="77777777">
        <w:tc>
          <w:tcPr>
            <w:tcW w:w="2675" w:type="dxa"/>
            <w:tcBorders>
              <w:left w:val="single" w:sz="4" w:space="0" w:color="000000"/>
              <w:bottom w:val="single" w:sz="4" w:space="0" w:color="000000"/>
              <w:right w:val="single" w:sz="4" w:space="0" w:color="000000"/>
            </w:tcBorders>
          </w:tcPr>
          <w:p w14:paraId="07080BBB" w14:textId="77777777" w:rsidR="007171C8" w:rsidRPr="0073211C" w:rsidRDefault="00856351" w:rsidP="0073211C">
            <w:pPr>
              <w:pStyle w:val="BodyText"/>
              <w:rPr>
                <w:rFonts w:ascii="Arial" w:hAnsi="Arial" w:cs="Arial"/>
                <w:color w:val="000000"/>
                <w:sz w:val="22"/>
                <w:szCs w:val="22"/>
              </w:rPr>
            </w:pPr>
            <w:r w:rsidRPr="0073211C">
              <w:rPr>
                <w:rFonts w:ascii="Arial" w:hAnsi="Arial" w:cs="Arial"/>
                <w:color w:val="000000"/>
                <w:sz w:val="22"/>
                <w:szCs w:val="22"/>
              </w:rPr>
              <w:t>Paddy</w:t>
            </w:r>
          </w:p>
        </w:tc>
        <w:tc>
          <w:tcPr>
            <w:tcW w:w="3997" w:type="dxa"/>
            <w:tcBorders>
              <w:left w:val="single" w:sz="4" w:space="0" w:color="000000"/>
              <w:bottom w:val="single" w:sz="4" w:space="0" w:color="000000"/>
              <w:right w:val="single" w:sz="4" w:space="0" w:color="000000"/>
            </w:tcBorders>
          </w:tcPr>
          <w:p w14:paraId="5AB6CBE4"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w:t>
            </w:r>
          </w:p>
        </w:tc>
        <w:tc>
          <w:tcPr>
            <w:tcW w:w="2695" w:type="dxa"/>
            <w:tcBorders>
              <w:left w:val="single" w:sz="4" w:space="0" w:color="000000"/>
              <w:bottom w:val="single" w:sz="4" w:space="0" w:color="000000"/>
              <w:right w:val="single" w:sz="4" w:space="0" w:color="000000"/>
            </w:tcBorders>
          </w:tcPr>
          <w:p w14:paraId="31B8C431"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0.1108</w:t>
            </w:r>
          </w:p>
        </w:tc>
      </w:tr>
      <w:tr w:rsidR="007171C8" w:rsidRPr="0073211C" w14:paraId="792082A8" w14:textId="77777777">
        <w:tc>
          <w:tcPr>
            <w:tcW w:w="2675" w:type="dxa"/>
            <w:tcBorders>
              <w:left w:val="single" w:sz="4" w:space="0" w:color="000000"/>
              <w:bottom w:val="single" w:sz="4" w:space="0" w:color="000000"/>
              <w:right w:val="single" w:sz="4" w:space="0" w:color="000000"/>
            </w:tcBorders>
          </w:tcPr>
          <w:p w14:paraId="1FDD525F"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Wheat</w:t>
            </w:r>
          </w:p>
        </w:tc>
        <w:tc>
          <w:tcPr>
            <w:tcW w:w="3997" w:type="dxa"/>
            <w:tcBorders>
              <w:left w:val="single" w:sz="4" w:space="0" w:color="000000"/>
              <w:bottom w:val="single" w:sz="4" w:space="0" w:color="000000"/>
              <w:right w:val="single" w:sz="4" w:space="0" w:color="000000"/>
            </w:tcBorders>
          </w:tcPr>
          <w:p w14:paraId="08ADD75D"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w:t>
            </w:r>
          </w:p>
        </w:tc>
        <w:tc>
          <w:tcPr>
            <w:tcW w:w="2695" w:type="dxa"/>
            <w:tcBorders>
              <w:left w:val="single" w:sz="4" w:space="0" w:color="000000"/>
              <w:bottom w:val="single" w:sz="4" w:space="0" w:color="000000"/>
              <w:right w:val="single" w:sz="4" w:space="0" w:color="000000"/>
            </w:tcBorders>
          </w:tcPr>
          <w:p w14:paraId="102BBDE4"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0.0004</w:t>
            </w:r>
          </w:p>
        </w:tc>
      </w:tr>
    </w:tbl>
    <w:p w14:paraId="6F415506" w14:textId="77777777" w:rsidR="007171C8" w:rsidRPr="0073211C" w:rsidRDefault="007171C8" w:rsidP="0073211C">
      <w:pPr>
        <w:pStyle w:val="FirstParagraph"/>
        <w:rPr>
          <w:rFonts w:ascii="Arial" w:hAnsi="Arial" w:cs="Arial"/>
          <w:sz w:val="22"/>
          <w:szCs w:val="22"/>
        </w:rPr>
      </w:pPr>
    </w:p>
    <w:p w14:paraId="3867B9E5" w14:textId="77777777" w:rsidR="007171C8" w:rsidRPr="00E50A0B" w:rsidRDefault="00856351" w:rsidP="0073211C">
      <w:pPr>
        <w:pStyle w:val="FirstParagraph"/>
        <w:rPr>
          <w:rFonts w:ascii="Arial" w:hAnsi="Arial" w:cs="Arial"/>
          <w:b/>
          <w:bCs/>
          <w:color w:val="000000"/>
          <w:sz w:val="22"/>
          <w:szCs w:val="22"/>
          <w:lang w:val="en-IN"/>
        </w:rPr>
      </w:pPr>
      <w:bookmarkStart w:id="0" w:name="result-and-discussion"/>
      <w:bookmarkEnd w:id="0"/>
      <w:r w:rsidRPr="00E50A0B">
        <w:rPr>
          <w:rFonts w:ascii="Arial" w:hAnsi="Arial" w:cs="Arial"/>
          <w:b/>
          <w:bCs/>
          <w:noProof/>
          <w:sz w:val="22"/>
          <w:szCs w:val="22"/>
        </w:rPr>
        <w:drawing>
          <wp:anchor distT="0" distB="0" distL="0" distR="0" simplePos="0" relativeHeight="251660800" behindDoc="0" locked="0" layoutInCell="1" allowOverlap="1" wp14:anchorId="392BC4E0" wp14:editId="5F2C94CC">
            <wp:simplePos x="0" y="0"/>
            <wp:positionH relativeFrom="column">
              <wp:posOffset>-63500</wp:posOffset>
            </wp:positionH>
            <wp:positionV relativeFrom="paragraph">
              <wp:posOffset>127635</wp:posOffset>
            </wp:positionV>
            <wp:extent cx="5943600" cy="4037965"/>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9"/>
                    <a:stretch>
                      <a:fillRect/>
                    </a:stretch>
                  </pic:blipFill>
                  <pic:spPr bwMode="auto">
                    <a:xfrm>
                      <a:off x="0" y="0"/>
                      <a:ext cx="5943600" cy="4037965"/>
                    </a:xfrm>
                    <a:prstGeom prst="rect">
                      <a:avLst/>
                    </a:prstGeom>
                  </pic:spPr>
                </pic:pic>
              </a:graphicData>
            </a:graphic>
          </wp:anchor>
        </w:drawing>
      </w:r>
      <w:r w:rsidRPr="00E50A0B">
        <w:rPr>
          <w:rFonts w:ascii="Arial" w:hAnsi="Arial" w:cs="Arial"/>
          <w:b/>
          <w:bCs/>
          <w:color w:val="000000"/>
          <w:sz w:val="22"/>
          <w:szCs w:val="22"/>
          <w:lang w:val="en-IN"/>
        </w:rPr>
        <w:t>Figure 2. Density plot of Pigeon pea, Lentil and Rapeseed &amp; Mustard yield in Madhya Pradesh (2019-20) with break-even yield.</w:t>
      </w:r>
    </w:p>
    <w:p w14:paraId="7E5363A0" w14:textId="328B2D2C" w:rsidR="007171C8" w:rsidRDefault="00AA7209" w:rsidP="00AA7209">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14:paraId="3577A87D" w14:textId="77777777" w:rsidR="007618B9" w:rsidRDefault="007618B9" w:rsidP="00AA7209">
      <w:pPr>
        <w:pStyle w:val="ConcHead"/>
        <w:spacing w:after="0"/>
        <w:jc w:val="both"/>
        <w:rPr>
          <w:rFonts w:ascii="Arial" w:hAnsi="Arial" w:cs="Arial"/>
        </w:rPr>
      </w:pPr>
    </w:p>
    <w:p w14:paraId="292E845B" w14:textId="77777777" w:rsidR="007618B9" w:rsidRDefault="007618B9" w:rsidP="007618B9">
      <w:pPr>
        <w:keepNext/>
        <w:keepLines/>
        <w:suppressAutoHyphens w:val="0"/>
        <w:spacing w:before="120" w:after="120"/>
        <w:jc w:val="both"/>
        <w:outlineLvl w:val="1"/>
        <w:rPr>
          <w:rFonts w:ascii="Arial" w:hAnsi="Arial" w:cs="Arial"/>
          <w:color w:val="000000"/>
          <w:sz w:val="22"/>
          <w:szCs w:val="22"/>
        </w:rPr>
      </w:pPr>
      <w:r w:rsidRPr="007618B9">
        <w:rPr>
          <w:rFonts w:ascii="Arial" w:hAnsi="Arial" w:cs="Arial"/>
          <w:color w:val="000000"/>
          <w:sz w:val="22"/>
          <w:szCs w:val="22"/>
        </w:rPr>
        <w:t>The break-even analysis of field crops in Madhya Pradesh offered important insights into agricultural profitability in the state. The results of the study provided first-of-its-kind estimates of the probability of achieving break-even output or yields. Policymakers can use these estimates to redesign agricultural support programmes in Madhya Pradesh to better address the needs of the farming community. Greater policy attention should be given to legumes, especially pigeon pea, soybean, and black gram, as well as maize, where the probability of not achieving break-even yield was high. It is also necessary that, at the policy level, such probabilities are estimated regularly for annual monitoring and evaluation. Such an approach would improve risk-sensitive agricultural planning and strengthen the resilience of farming systems in the state.</w:t>
      </w:r>
    </w:p>
    <w:p w14:paraId="215420D3" w14:textId="77777777" w:rsidR="007618B9" w:rsidRDefault="007618B9" w:rsidP="00DF11F9">
      <w:pPr>
        <w:keepNext/>
        <w:keepLines/>
        <w:suppressAutoHyphens w:val="0"/>
        <w:spacing w:before="120" w:after="120"/>
        <w:jc w:val="both"/>
        <w:outlineLvl w:val="1"/>
        <w:rPr>
          <w:rFonts w:ascii="Arial" w:hAnsi="Arial" w:cs="Arial"/>
          <w:color w:val="000000"/>
          <w:sz w:val="22"/>
          <w:szCs w:val="22"/>
        </w:rPr>
      </w:pPr>
      <w:bookmarkStart w:id="1" w:name="conclusion"/>
      <w:bookmarkStart w:id="2" w:name="_Hlk218867759"/>
      <w:bookmarkEnd w:id="1"/>
    </w:p>
    <w:p w14:paraId="751575B6" w14:textId="5351AB85" w:rsidR="007618B9" w:rsidRPr="007618B9" w:rsidRDefault="003A1957" w:rsidP="00DF11F9">
      <w:pPr>
        <w:keepNext/>
        <w:keepLines/>
        <w:suppressAutoHyphens w:val="0"/>
        <w:spacing w:before="120" w:after="120"/>
        <w:jc w:val="both"/>
        <w:outlineLvl w:val="1"/>
        <w:rPr>
          <w:rFonts w:ascii="Arial" w:eastAsia="Times New Roman" w:hAnsi="Arial" w:cs="Arial"/>
          <w:b/>
          <w:bCs/>
          <w:sz w:val="22"/>
          <w:szCs w:val="22"/>
          <w:lang w:val="en-GB" w:eastAsia="en-IN"/>
        </w:rPr>
      </w:pPr>
      <w:r w:rsidRPr="007618B9">
        <w:rPr>
          <w:rFonts w:ascii="Arial" w:eastAsia="Times New Roman" w:hAnsi="Arial" w:cs="Arial"/>
          <w:b/>
          <w:bCs/>
          <w:sz w:val="22"/>
          <w:szCs w:val="22"/>
          <w:lang w:val="en-GB" w:eastAsia="en-IN"/>
        </w:rPr>
        <w:t>Disclaimer (Artificial intelligence)</w:t>
      </w:r>
    </w:p>
    <w:p w14:paraId="68F6B940" w14:textId="77777777" w:rsidR="003A1957" w:rsidRPr="00DF11F9" w:rsidRDefault="003A1957" w:rsidP="00DF11F9">
      <w:pPr>
        <w:keepNext/>
        <w:keepLines/>
        <w:suppressAutoHyphens w:val="0"/>
        <w:spacing w:before="120" w:after="120"/>
        <w:jc w:val="both"/>
        <w:outlineLvl w:val="1"/>
        <w:rPr>
          <w:rFonts w:ascii="Arial" w:eastAsia="Times New Roman" w:hAnsi="Arial" w:cs="Arial"/>
          <w:bCs/>
          <w:sz w:val="22"/>
          <w:szCs w:val="22"/>
          <w:lang w:val="en-GB" w:eastAsia="en-IN"/>
        </w:rPr>
      </w:pPr>
      <w:r w:rsidRPr="00DF11F9">
        <w:rPr>
          <w:rFonts w:ascii="Arial" w:eastAsia="Times New Roman" w:hAnsi="Arial" w:cs="Arial"/>
          <w:bCs/>
          <w:sz w:val="22"/>
          <w:szCs w:val="22"/>
          <w:lang w:val="en-GB" w:eastAsia="en-IN"/>
        </w:rPr>
        <w:t xml:space="preserve">Author(s) hereby </w:t>
      </w:r>
      <w:proofErr w:type="gramStart"/>
      <w:r w:rsidRPr="00DF11F9">
        <w:rPr>
          <w:rFonts w:ascii="Arial" w:eastAsia="Times New Roman" w:hAnsi="Arial" w:cs="Arial"/>
          <w:bCs/>
          <w:sz w:val="22"/>
          <w:szCs w:val="22"/>
          <w:lang w:val="en-GB" w:eastAsia="en-IN"/>
        </w:rPr>
        <w:t>declare</w:t>
      </w:r>
      <w:proofErr w:type="gramEnd"/>
      <w:r w:rsidRPr="00DF11F9">
        <w:rPr>
          <w:rFonts w:ascii="Arial" w:eastAsia="Times New Roman" w:hAnsi="Arial" w:cs="Arial"/>
          <w:bCs/>
          <w:sz w:val="22"/>
          <w:szCs w:val="22"/>
          <w:lang w:val="en-GB" w:eastAsia="en-IN"/>
        </w:rPr>
        <w:t xml:space="preserve"> that NO generative AI technologies such as Large Language Models (ChatGPT, COPILOT, etc.) and text-to-image generators have been used during the writing or editing of this manuscript. </w:t>
      </w:r>
    </w:p>
    <w:bookmarkEnd w:id="2"/>
    <w:p w14:paraId="2995CE31" w14:textId="5E389935" w:rsidR="00661704" w:rsidRDefault="00661704" w:rsidP="00AA7209">
      <w:pPr>
        <w:pStyle w:val="ReferHead"/>
        <w:spacing w:after="0"/>
        <w:jc w:val="both"/>
        <w:rPr>
          <w:rFonts w:ascii="Arial" w:hAnsi="Arial" w:cs="Arial"/>
        </w:rPr>
      </w:pPr>
    </w:p>
    <w:p w14:paraId="3C5A7406" w14:textId="77777777" w:rsidR="00013B1F" w:rsidRDefault="00013B1F" w:rsidP="00AA7209">
      <w:pPr>
        <w:pStyle w:val="ReferHead"/>
        <w:spacing w:after="0"/>
        <w:jc w:val="both"/>
        <w:rPr>
          <w:rFonts w:ascii="Arial" w:hAnsi="Arial" w:cs="Arial"/>
        </w:rPr>
      </w:pPr>
    </w:p>
    <w:p w14:paraId="13DCA5E3" w14:textId="1B190737" w:rsidR="00AA7209" w:rsidRDefault="00AA7209" w:rsidP="00AA7209">
      <w:pPr>
        <w:pStyle w:val="ReferHead"/>
        <w:spacing w:after="0"/>
        <w:jc w:val="both"/>
        <w:rPr>
          <w:rFonts w:ascii="Arial" w:hAnsi="Arial" w:cs="Arial"/>
        </w:rPr>
      </w:pPr>
      <w:r w:rsidRPr="00FB3A86">
        <w:rPr>
          <w:rFonts w:ascii="Arial" w:hAnsi="Arial" w:cs="Arial"/>
        </w:rPr>
        <w:t>References</w:t>
      </w:r>
    </w:p>
    <w:p w14:paraId="1A99570C" w14:textId="77777777" w:rsidR="00AA7209" w:rsidRPr="00AA7209" w:rsidRDefault="00AA7209" w:rsidP="00AA7209">
      <w:pPr>
        <w:pStyle w:val="ReferHead"/>
        <w:spacing w:after="0"/>
        <w:jc w:val="both"/>
        <w:rPr>
          <w:rFonts w:ascii="Arial" w:hAnsi="Arial" w:cs="Arial"/>
        </w:rPr>
      </w:pPr>
    </w:p>
    <w:p w14:paraId="15C1253C" w14:textId="79FF974F" w:rsidR="007171C8" w:rsidRPr="0073211C" w:rsidRDefault="00856351" w:rsidP="00D50A67">
      <w:pPr>
        <w:pStyle w:val="Bibliography"/>
        <w:spacing w:after="0" w:line="360" w:lineRule="auto"/>
        <w:ind w:left="720" w:hanging="720"/>
        <w:jc w:val="both"/>
        <w:rPr>
          <w:rFonts w:ascii="Arial" w:hAnsi="Arial" w:cs="Arial"/>
          <w:color w:val="000000"/>
          <w:sz w:val="22"/>
          <w:szCs w:val="22"/>
          <w:lang w:val="en-IN"/>
        </w:rPr>
      </w:pPr>
      <w:r w:rsidRPr="003E0AB6">
        <w:rPr>
          <w:rFonts w:ascii="Arial" w:hAnsi="Arial" w:cs="Arial"/>
          <w:color w:val="000000"/>
          <w:sz w:val="22"/>
          <w:szCs w:val="22"/>
          <w:shd w:val="clear" w:color="auto" w:fill="FFFFFF"/>
          <w:lang w:val="en-IN"/>
        </w:rPr>
        <w:t xml:space="preserve">Andri Signorell et mult. al.   </w:t>
      </w:r>
      <w:r w:rsidRPr="0073211C">
        <w:rPr>
          <w:rFonts w:ascii="Arial" w:hAnsi="Arial" w:cs="Arial"/>
          <w:color w:val="000000"/>
          <w:sz w:val="22"/>
          <w:szCs w:val="22"/>
          <w:shd w:val="clear" w:color="auto" w:fill="FFFFFF"/>
          <w:lang w:val="en-IN"/>
        </w:rPr>
        <w:t>(2022). DescTools: Tools for descriptive statistics. R package version 0.99.45.</w:t>
      </w:r>
    </w:p>
    <w:p w14:paraId="2DBE22B9" w14:textId="77777777" w:rsidR="007171C8" w:rsidRPr="0073211C" w:rsidRDefault="007171C8" w:rsidP="00D50A67">
      <w:pPr>
        <w:spacing w:after="0" w:line="360" w:lineRule="auto"/>
        <w:ind w:left="720" w:hanging="720"/>
        <w:jc w:val="both"/>
        <w:rPr>
          <w:rFonts w:ascii="Arial" w:hAnsi="Arial" w:cs="Arial"/>
          <w:color w:val="000000"/>
          <w:sz w:val="22"/>
          <w:szCs w:val="22"/>
          <w:lang w:val="en-IN"/>
        </w:rPr>
      </w:pPr>
      <w:hyperlink r:id="rId10">
        <w:r w:rsidRPr="0073211C">
          <w:rPr>
            <w:rFonts w:ascii="Arial" w:hAnsi="Arial" w:cs="Arial"/>
            <w:color w:val="000000"/>
            <w:sz w:val="22"/>
            <w:szCs w:val="22"/>
            <w:shd w:val="clear" w:color="auto" w:fill="FFFFFF"/>
            <w:lang w:val="en-IN"/>
          </w:rPr>
          <w:t xml:space="preserve">Chand, Ramesh. (2017). </w:t>
        </w:r>
      </w:hyperlink>
      <w:r w:rsidRPr="0073211C">
        <w:rPr>
          <w:rFonts w:ascii="Arial" w:hAnsi="Arial" w:cs="Arial"/>
          <w:i/>
          <w:color w:val="000000"/>
          <w:sz w:val="22"/>
          <w:szCs w:val="22"/>
          <w:shd w:val="clear" w:color="auto" w:fill="FFFFFF"/>
          <w:lang w:val="en-IN"/>
        </w:rPr>
        <w:t>DOUBLING FARMERS INCOME Rational, Strategy, Prospects and Action Plan</w:t>
      </w:r>
      <w:r w:rsidRPr="0073211C">
        <w:rPr>
          <w:rFonts w:ascii="Arial" w:hAnsi="Arial" w:cs="Arial"/>
          <w:color w:val="000000"/>
          <w:sz w:val="22"/>
          <w:szCs w:val="22"/>
          <w:shd w:val="clear" w:color="auto" w:fill="FFFFFF"/>
          <w:lang w:val="en-IN"/>
        </w:rPr>
        <w:t xml:space="preserve"> (Policy Paper NITI Policy Paper No. 1/2017). National Institute for Transforming India, GOI, New Delhi. </w:t>
      </w:r>
      <w:hyperlink r:id="rId11">
        <w:r w:rsidRPr="0073211C">
          <w:rPr>
            <w:rStyle w:val="Hyperlink"/>
            <w:rFonts w:ascii="Arial" w:hAnsi="Arial" w:cs="Arial"/>
            <w:color w:val="000000"/>
            <w:sz w:val="22"/>
            <w:szCs w:val="22"/>
            <w:shd w:val="clear" w:color="auto" w:fill="FFFFFF"/>
            <w:lang w:val="en-IN"/>
          </w:rPr>
          <w:t>https://www.niti.gov.in/writereaddata/files/document_publication/DOUBLING%20FARMERS%20INCOME.pdf</w:t>
        </w:r>
      </w:hyperlink>
    </w:p>
    <w:p w14:paraId="7246E853" w14:textId="5D5CA0D1" w:rsidR="007171C8" w:rsidRPr="0073211C" w:rsidRDefault="00856351" w:rsidP="00D50A67">
      <w:pPr>
        <w:pStyle w:val="Bibliography"/>
        <w:spacing w:after="0" w:line="360" w:lineRule="auto"/>
        <w:ind w:left="720" w:hanging="720"/>
        <w:jc w:val="both"/>
        <w:rPr>
          <w:rFonts w:ascii="Arial" w:hAnsi="Arial" w:cs="Arial"/>
          <w:color w:val="000000"/>
          <w:sz w:val="22"/>
          <w:szCs w:val="22"/>
          <w:lang w:val="en-IN"/>
        </w:rPr>
      </w:pPr>
      <w:r w:rsidRPr="0073211C">
        <w:rPr>
          <w:rFonts w:ascii="Arial" w:hAnsi="Arial" w:cs="Arial"/>
          <w:color w:val="000000"/>
          <w:sz w:val="22"/>
          <w:szCs w:val="22"/>
          <w:shd w:val="clear" w:color="auto" w:fill="FFFFFF"/>
          <w:lang w:val="en-IN"/>
        </w:rPr>
        <w:t>Eliazer Nelson, A. R. L., Ravichandran, K., &amp; Antony, U. (2019). The impact of the Green Revolution on indigenous crops of India. </w:t>
      </w:r>
      <w:r w:rsidRPr="0073211C">
        <w:rPr>
          <w:rFonts w:ascii="Arial" w:hAnsi="Arial" w:cs="Arial"/>
          <w:i/>
          <w:iCs/>
          <w:color w:val="000000"/>
          <w:sz w:val="22"/>
          <w:szCs w:val="22"/>
          <w:shd w:val="clear" w:color="auto" w:fill="FFFFFF"/>
          <w:lang w:val="en-IN"/>
        </w:rPr>
        <w:t>Journal of Ethnic Foods</w:t>
      </w:r>
      <w:r w:rsidRPr="0073211C">
        <w:rPr>
          <w:rFonts w:ascii="Arial" w:hAnsi="Arial" w:cs="Arial"/>
          <w:color w:val="000000"/>
          <w:sz w:val="22"/>
          <w:szCs w:val="22"/>
          <w:shd w:val="clear" w:color="auto" w:fill="FFFFFF"/>
          <w:lang w:val="en-IN"/>
        </w:rPr>
        <w:t>, </w:t>
      </w:r>
      <w:r w:rsidRPr="0073211C">
        <w:rPr>
          <w:rFonts w:ascii="Arial" w:hAnsi="Arial" w:cs="Arial"/>
          <w:i/>
          <w:iCs/>
          <w:color w:val="000000"/>
          <w:sz w:val="22"/>
          <w:szCs w:val="22"/>
          <w:shd w:val="clear" w:color="auto" w:fill="FFFFFF"/>
          <w:lang w:val="en-IN"/>
        </w:rPr>
        <w:t>6</w:t>
      </w:r>
      <w:r w:rsidRPr="0073211C">
        <w:rPr>
          <w:rFonts w:ascii="Arial" w:hAnsi="Arial" w:cs="Arial"/>
          <w:color w:val="000000"/>
          <w:sz w:val="22"/>
          <w:szCs w:val="22"/>
          <w:shd w:val="clear" w:color="auto" w:fill="FFFFFF"/>
          <w:lang w:val="en-IN"/>
        </w:rPr>
        <w:t>(1), 1-10.</w:t>
      </w:r>
    </w:p>
    <w:p w14:paraId="254B9F2E" w14:textId="3FEF3165" w:rsidR="007171C8" w:rsidRPr="0073211C" w:rsidRDefault="00856351" w:rsidP="00D50A67">
      <w:pPr>
        <w:pStyle w:val="Bibliography"/>
        <w:spacing w:after="0" w:line="360" w:lineRule="auto"/>
        <w:ind w:left="720" w:hanging="720"/>
        <w:jc w:val="both"/>
        <w:rPr>
          <w:rFonts w:ascii="Arial" w:hAnsi="Arial" w:cs="Arial"/>
          <w:sz w:val="22"/>
          <w:szCs w:val="22"/>
        </w:rPr>
      </w:pPr>
      <w:r w:rsidRPr="0073211C">
        <w:rPr>
          <w:rFonts w:ascii="Arial" w:hAnsi="Arial" w:cs="Arial"/>
          <w:color w:val="000000"/>
          <w:sz w:val="22"/>
          <w:szCs w:val="22"/>
          <w:lang w:val="en-IN"/>
        </w:rPr>
        <w:t xml:space="preserve">Fox, John, and Sanford Weisberg. </w:t>
      </w:r>
      <w:r w:rsidR="00D50A67">
        <w:rPr>
          <w:rFonts w:ascii="Arial" w:hAnsi="Arial" w:cs="Arial"/>
          <w:color w:val="000000"/>
          <w:sz w:val="22"/>
          <w:szCs w:val="22"/>
          <w:lang w:val="en-IN"/>
        </w:rPr>
        <w:t>(</w:t>
      </w:r>
      <w:r w:rsidRPr="0073211C">
        <w:rPr>
          <w:rFonts w:ascii="Arial" w:hAnsi="Arial" w:cs="Arial"/>
          <w:color w:val="000000"/>
          <w:sz w:val="22"/>
          <w:szCs w:val="22"/>
          <w:lang w:val="en-IN"/>
        </w:rPr>
        <w:t>2019</w:t>
      </w:r>
      <w:r w:rsidR="00D50A67">
        <w:rPr>
          <w:rFonts w:ascii="Arial" w:hAnsi="Arial" w:cs="Arial"/>
          <w:color w:val="000000"/>
          <w:sz w:val="22"/>
          <w:szCs w:val="22"/>
          <w:lang w:val="en-IN"/>
        </w:rPr>
        <w:t>)</w:t>
      </w:r>
      <w:r w:rsidRPr="0073211C">
        <w:rPr>
          <w:rFonts w:ascii="Arial" w:hAnsi="Arial" w:cs="Arial"/>
          <w:color w:val="000000"/>
          <w:sz w:val="22"/>
          <w:szCs w:val="22"/>
          <w:lang w:val="en-IN"/>
        </w:rPr>
        <w:t xml:space="preserve">. “An R Companion to Applied Regression.” </w:t>
      </w:r>
      <w:hyperlink r:id="rId12">
        <w:r w:rsidR="007171C8" w:rsidRPr="0073211C">
          <w:rPr>
            <w:rStyle w:val="Hyperlink"/>
            <w:rFonts w:ascii="Arial" w:hAnsi="Arial" w:cs="Arial"/>
            <w:color w:val="000000"/>
            <w:sz w:val="22"/>
            <w:szCs w:val="22"/>
            <w:lang w:val="en-IN"/>
          </w:rPr>
          <w:t>https://socialsciences.mcmaster.ca/jfox/Books/Companion/</w:t>
        </w:r>
      </w:hyperlink>
      <w:r w:rsidRPr="0073211C">
        <w:rPr>
          <w:rFonts w:ascii="Arial" w:hAnsi="Arial" w:cs="Arial"/>
          <w:color w:val="000000"/>
          <w:sz w:val="22"/>
          <w:szCs w:val="22"/>
          <w:lang w:val="en-IN"/>
        </w:rPr>
        <w:t>.</w:t>
      </w:r>
    </w:p>
    <w:p w14:paraId="61267842" w14:textId="65E9C287" w:rsidR="007171C8" w:rsidRPr="00D50A67" w:rsidRDefault="00D50A67" w:rsidP="00D50A67">
      <w:pPr>
        <w:pStyle w:val="Bibliography"/>
        <w:spacing w:after="0" w:line="360" w:lineRule="auto"/>
        <w:ind w:left="720" w:hanging="720"/>
        <w:jc w:val="both"/>
        <w:rPr>
          <w:rFonts w:ascii="Arial" w:hAnsi="Arial" w:cs="Arial"/>
          <w:sz w:val="22"/>
          <w:szCs w:val="22"/>
          <w:lang w:val="en-IN"/>
        </w:rPr>
      </w:pPr>
      <w:r w:rsidRPr="00D50A67">
        <w:rPr>
          <w:rFonts w:ascii="Arial" w:hAnsi="Arial" w:cs="Arial"/>
          <w:color w:val="000000"/>
          <w:sz w:val="22"/>
          <w:szCs w:val="22"/>
        </w:rPr>
        <w:t>Government of India, Directorate of Economics and Statistics. (</w:t>
      </w:r>
      <w:r w:rsidR="009178D4">
        <w:rPr>
          <w:rFonts w:ascii="Arial" w:hAnsi="Arial" w:cs="Arial"/>
          <w:color w:val="000000"/>
          <w:sz w:val="22"/>
          <w:szCs w:val="22"/>
        </w:rPr>
        <w:t>n.d.</w:t>
      </w:r>
      <w:r w:rsidRPr="00D50A67">
        <w:rPr>
          <w:rFonts w:ascii="Arial" w:hAnsi="Arial" w:cs="Arial"/>
          <w:color w:val="000000"/>
          <w:sz w:val="22"/>
          <w:szCs w:val="22"/>
        </w:rPr>
        <w:t xml:space="preserve">). </w:t>
      </w:r>
      <w:r w:rsidRPr="00D50A67">
        <w:rPr>
          <w:rFonts w:ascii="Arial" w:hAnsi="Arial" w:cs="Arial"/>
          <w:i/>
          <w:iCs/>
          <w:color w:val="000000"/>
          <w:sz w:val="22"/>
          <w:szCs w:val="22"/>
        </w:rPr>
        <w:t>Cost of cultivation/production &amp; related data</w:t>
      </w:r>
      <w:r w:rsidRPr="00D50A67">
        <w:rPr>
          <w:rFonts w:ascii="Arial" w:hAnsi="Arial" w:cs="Arial"/>
          <w:color w:val="000000"/>
          <w:sz w:val="22"/>
          <w:szCs w:val="22"/>
        </w:rPr>
        <w:t xml:space="preserve">. Ministry of Agriculture &amp; Farmers Welfare. Retrieved from </w:t>
      </w:r>
      <w:hyperlink r:id="rId13" w:tgtFrame="_new" w:history="1">
        <w:r w:rsidRPr="00D50A67">
          <w:rPr>
            <w:rStyle w:val="Hyperlink"/>
            <w:rFonts w:ascii="Arial" w:hAnsi="Arial" w:cs="Arial"/>
            <w:sz w:val="22"/>
            <w:szCs w:val="22"/>
          </w:rPr>
          <w:t>https://eands.dacnet.nic.in/Cost_of_Cultivation.htm</w:t>
        </w:r>
      </w:hyperlink>
      <w:r w:rsidRPr="00D50A67">
        <w:rPr>
          <w:rFonts w:ascii="Arial" w:hAnsi="Arial" w:cs="Arial"/>
          <w:color w:val="000000"/>
          <w:sz w:val="22"/>
          <w:szCs w:val="22"/>
          <w:lang w:val="en-IN"/>
        </w:rPr>
        <w:t>.</w:t>
      </w:r>
    </w:p>
    <w:p w14:paraId="1BE05FEF" w14:textId="77777777" w:rsidR="007171C8" w:rsidRPr="0073211C" w:rsidRDefault="00856351" w:rsidP="00D50A67">
      <w:pPr>
        <w:pStyle w:val="Bibliography"/>
        <w:spacing w:after="0" w:line="360" w:lineRule="auto"/>
        <w:ind w:left="720" w:hanging="720"/>
        <w:jc w:val="both"/>
        <w:rPr>
          <w:rFonts w:ascii="Arial" w:hAnsi="Arial" w:cs="Arial"/>
          <w:color w:val="000000"/>
          <w:sz w:val="22"/>
          <w:szCs w:val="22"/>
          <w:lang w:val="en-IN"/>
        </w:rPr>
      </w:pPr>
      <w:r w:rsidRPr="0073211C">
        <w:rPr>
          <w:rFonts w:ascii="Arial" w:hAnsi="Arial" w:cs="Arial"/>
          <w:color w:val="000000"/>
          <w:sz w:val="22"/>
          <w:szCs w:val="22"/>
          <w:shd w:val="clear" w:color="auto" w:fill="FFFFFF"/>
          <w:lang w:val="sv-SE"/>
        </w:rPr>
        <w:t xml:space="preserve">Giaoutzi, M., Stratigea, A., Van Leeuwen, E., &amp; Nijkamp, P. (2012). </w:t>
      </w:r>
      <w:r w:rsidRPr="0073211C">
        <w:rPr>
          <w:rFonts w:ascii="Arial" w:hAnsi="Arial" w:cs="Arial"/>
          <w:color w:val="000000"/>
          <w:sz w:val="22"/>
          <w:szCs w:val="22"/>
          <w:shd w:val="clear" w:color="auto" w:fill="FFFFFF"/>
          <w:lang w:val="en-IN"/>
        </w:rPr>
        <w:t>Scenario analysis as a foresight tool in agriculture. </w:t>
      </w:r>
      <w:r w:rsidRPr="0073211C">
        <w:rPr>
          <w:rFonts w:ascii="Arial" w:hAnsi="Arial" w:cs="Arial"/>
          <w:i/>
          <w:iCs/>
          <w:color w:val="000000"/>
          <w:sz w:val="22"/>
          <w:szCs w:val="22"/>
          <w:shd w:val="clear" w:color="auto" w:fill="FFFFFF"/>
          <w:lang w:val="en-IN"/>
        </w:rPr>
        <w:t>International Journal of Foresight and Innovation Policy</w:t>
      </w:r>
      <w:r w:rsidRPr="0073211C">
        <w:rPr>
          <w:rFonts w:ascii="Arial" w:hAnsi="Arial" w:cs="Arial"/>
          <w:color w:val="000000"/>
          <w:sz w:val="22"/>
          <w:szCs w:val="22"/>
          <w:shd w:val="clear" w:color="auto" w:fill="FFFFFF"/>
          <w:lang w:val="en-IN"/>
        </w:rPr>
        <w:t>, </w:t>
      </w:r>
      <w:r w:rsidRPr="0073211C">
        <w:rPr>
          <w:rFonts w:ascii="Arial" w:hAnsi="Arial" w:cs="Arial"/>
          <w:i/>
          <w:iCs/>
          <w:color w:val="000000"/>
          <w:sz w:val="22"/>
          <w:szCs w:val="22"/>
          <w:shd w:val="clear" w:color="auto" w:fill="FFFFFF"/>
          <w:lang w:val="en-IN"/>
        </w:rPr>
        <w:t>8</w:t>
      </w:r>
      <w:r w:rsidRPr="0073211C">
        <w:rPr>
          <w:rFonts w:ascii="Arial" w:hAnsi="Arial" w:cs="Arial"/>
          <w:color w:val="000000"/>
          <w:sz w:val="22"/>
          <w:szCs w:val="22"/>
          <w:shd w:val="clear" w:color="auto" w:fill="FFFFFF"/>
          <w:lang w:val="en-IN"/>
        </w:rPr>
        <w:t>(2-3), 105-128.</w:t>
      </w:r>
    </w:p>
    <w:p w14:paraId="09CD1324" w14:textId="77777777" w:rsidR="007171C8" w:rsidRDefault="00856351" w:rsidP="00D50A67">
      <w:pPr>
        <w:pStyle w:val="Bibliography"/>
        <w:spacing w:after="0" w:line="360" w:lineRule="auto"/>
        <w:ind w:left="720" w:hanging="720"/>
        <w:jc w:val="both"/>
        <w:rPr>
          <w:rFonts w:ascii="Arial" w:hAnsi="Arial" w:cs="Arial"/>
          <w:color w:val="000000"/>
          <w:sz w:val="22"/>
          <w:szCs w:val="22"/>
          <w:shd w:val="clear" w:color="auto" w:fill="FFFFFF"/>
          <w:lang w:val="en-IN"/>
        </w:rPr>
      </w:pPr>
      <w:r w:rsidRPr="0073211C">
        <w:rPr>
          <w:rFonts w:ascii="Arial" w:hAnsi="Arial" w:cs="Arial"/>
          <w:color w:val="000000"/>
          <w:sz w:val="22"/>
          <w:szCs w:val="22"/>
          <w:shd w:val="clear" w:color="auto" w:fill="FFFFFF"/>
          <w:lang w:val="en-IN"/>
        </w:rPr>
        <w:t>Jaedicke, R. K., &amp; Robichek, A. A. (1964). Cost-Volume-Profit Analysis under Conditions of Uncertainty. The Accounting Review, 39(4), 917–926.</w:t>
      </w:r>
    </w:p>
    <w:p w14:paraId="6FCDF6D8" w14:textId="3C9DA4C2" w:rsidR="00C225FE" w:rsidRPr="00C225FE" w:rsidRDefault="00C225FE" w:rsidP="00C225FE">
      <w:pPr>
        <w:spacing w:after="0" w:line="360" w:lineRule="auto"/>
        <w:ind w:left="720" w:hanging="720"/>
        <w:jc w:val="both"/>
        <w:rPr>
          <w:rFonts w:ascii="Arial" w:hAnsi="Arial" w:cs="Arial"/>
          <w:sz w:val="22"/>
          <w:szCs w:val="22"/>
          <w:lang w:val="en-IN"/>
        </w:rPr>
      </w:pPr>
      <w:r w:rsidRPr="00C225FE">
        <w:rPr>
          <w:rFonts w:ascii="Arial" w:hAnsi="Arial" w:cs="Arial"/>
          <w:sz w:val="22"/>
          <w:szCs w:val="22"/>
        </w:rPr>
        <w:lastRenderedPageBreak/>
        <w:t xml:space="preserve">Jaybhay, S. A., </w:t>
      </w:r>
      <w:proofErr w:type="spellStart"/>
      <w:r w:rsidRPr="00C225FE">
        <w:rPr>
          <w:rFonts w:ascii="Arial" w:hAnsi="Arial" w:cs="Arial"/>
          <w:sz w:val="22"/>
          <w:szCs w:val="22"/>
        </w:rPr>
        <w:t>Idhol</w:t>
      </w:r>
      <w:proofErr w:type="spellEnd"/>
      <w:r w:rsidRPr="00C225FE">
        <w:rPr>
          <w:rFonts w:ascii="Arial" w:hAnsi="Arial" w:cs="Arial"/>
          <w:sz w:val="22"/>
          <w:szCs w:val="22"/>
        </w:rPr>
        <w:t xml:space="preserve">, B. D., Waghmare, B. N., &amp; Salunkhe, D. H. (2025). Impact of improved practices on soybean yield and profitability: Insights from frontline demonstrations. </w:t>
      </w:r>
      <w:r w:rsidRPr="00C225FE">
        <w:rPr>
          <w:rFonts w:ascii="Arial" w:hAnsi="Arial" w:cs="Arial"/>
          <w:i/>
          <w:iCs/>
          <w:sz w:val="22"/>
          <w:szCs w:val="22"/>
        </w:rPr>
        <w:t>Journal of Farm Sciences</w:t>
      </w:r>
      <w:r w:rsidRPr="00C225FE">
        <w:rPr>
          <w:rFonts w:ascii="Arial" w:hAnsi="Arial" w:cs="Arial"/>
          <w:sz w:val="22"/>
          <w:szCs w:val="22"/>
        </w:rPr>
        <w:t xml:space="preserve">, 38(2), 98–103. </w:t>
      </w:r>
    </w:p>
    <w:p w14:paraId="1B641237" w14:textId="77777777" w:rsidR="007171C8" w:rsidRPr="0073211C" w:rsidRDefault="00856351" w:rsidP="00D50A67">
      <w:pPr>
        <w:pStyle w:val="Bibliography"/>
        <w:spacing w:after="0" w:line="360" w:lineRule="auto"/>
        <w:ind w:left="720" w:hanging="720"/>
        <w:jc w:val="both"/>
        <w:rPr>
          <w:rFonts w:ascii="Arial" w:hAnsi="Arial" w:cs="Arial"/>
          <w:color w:val="000000"/>
          <w:sz w:val="22"/>
          <w:szCs w:val="22"/>
          <w:lang w:val="en-IN"/>
        </w:rPr>
      </w:pPr>
      <w:r w:rsidRPr="00A179B3">
        <w:rPr>
          <w:rFonts w:ascii="Arial" w:hAnsi="Arial" w:cs="Arial"/>
          <w:color w:val="000000"/>
          <w:sz w:val="22"/>
          <w:szCs w:val="22"/>
          <w:shd w:val="clear" w:color="auto" w:fill="FFFFFF"/>
          <w:lang w:val="en-IN"/>
        </w:rPr>
        <w:t xml:space="preserve">Kolar, P., Awasthi, P. K., &amp; Sahu, A. (2020). </w:t>
      </w:r>
      <w:r w:rsidRPr="0073211C">
        <w:rPr>
          <w:rFonts w:ascii="Arial" w:hAnsi="Arial" w:cs="Arial"/>
          <w:color w:val="000000"/>
          <w:sz w:val="22"/>
          <w:szCs w:val="22"/>
          <w:shd w:val="clear" w:color="auto" w:fill="FFFFFF"/>
          <w:lang w:val="en-IN"/>
        </w:rPr>
        <w:t>An economic analysis of cost, return and profitability of groundnut across leading states of India. </w:t>
      </w:r>
      <w:r w:rsidRPr="0073211C">
        <w:rPr>
          <w:rFonts w:ascii="Arial" w:hAnsi="Arial" w:cs="Arial"/>
          <w:i/>
          <w:iCs/>
          <w:color w:val="000000"/>
          <w:sz w:val="22"/>
          <w:szCs w:val="22"/>
          <w:shd w:val="clear" w:color="auto" w:fill="FFFFFF"/>
          <w:lang w:val="en-IN"/>
        </w:rPr>
        <w:t>International Research Journal of Agricultural Economics &amp; Statistics</w:t>
      </w:r>
      <w:r w:rsidRPr="0073211C">
        <w:rPr>
          <w:rFonts w:ascii="Arial" w:hAnsi="Arial" w:cs="Arial"/>
          <w:color w:val="000000"/>
          <w:sz w:val="22"/>
          <w:szCs w:val="22"/>
          <w:shd w:val="clear" w:color="auto" w:fill="FFFFFF"/>
          <w:lang w:val="en-IN"/>
        </w:rPr>
        <w:t>, </w:t>
      </w:r>
      <w:r w:rsidRPr="0073211C">
        <w:rPr>
          <w:rFonts w:ascii="Arial" w:hAnsi="Arial" w:cs="Arial"/>
          <w:i/>
          <w:iCs/>
          <w:color w:val="000000"/>
          <w:sz w:val="22"/>
          <w:szCs w:val="22"/>
          <w:shd w:val="clear" w:color="auto" w:fill="FFFFFF"/>
          <w:lang w:val="en-IN"/>
        </w:rPr>
        <w:t>11</w:t>
      </w:r>
      <w:r w:rsidRPr="0073211C">
        <w:rPr>
          <w:rFonts w:ascii="Arial" w:hAnsi="Arial" w:cs="Arial"/>
          <w:color w:val="000000"/>
          <w:sz w:val="22"/>
          <w:szCs w:val="22"/>
          <w:shd w:val="clear" w:color="auto" w:fill="FFFFFF"/>
          <w:lang w:val="en-IN"/>
        </w:rPr>
        <w:t>(2), 278-284.</w:t>
      </w:r>
    </w:p>
    <w:p w14:paraId="5E730824" w14:textId="3964E5FC" w:rsidR="007171C8" w:rsidRDefault="00856351" w:rsidP="00D50A67">
      <w:pPr>
        <w:spacing w:after="0" w:line="360" w:lineRule="auto"/>
        <w:ind w:left="720" w:hanging="720"/>
        <w:jc w:val="both"/>
      </w:pPr>
      <w:r w:rsidRPr="0073211C">
        <w:rPr>
          <w:rFonts w:ascii="Arial" w:hAnsi="Arial" w:cs="Arial"/>
          <w:color w:val="000000"/>
          <w:sz w:val="22"/>
          <w:szCs w:val="22"/>
          <w:shd w:val="clear" w:color="auto" w:fill="FFFFFF"/>
          <w:lang w:val="en-IN"/>
        </w:rPr>
        <w:t xml:space="preserve">Kolar, P., Awasthi, P. K., Vani, G., &amp; Sahu, A. (2021). Dynamics of Cost, Returns and Profitability of Soybean across Leading States of India. </w:t>
      </w:r>
      <w:r w:rsidRPr="0073211C">
        <w:rPr>
          <w:rFonts w:ascii="Arial" w:hAnsi="Arial" w:cs="Arial"/>
          <w:i/>
          <w:color w:val="000000"/>
          <w:sz w:val="22"/>
          <w:szCs w:val="22"/>
          <w:shd w:val="clear" w:color="auto" w:fill="FFFFFF"/>
          <w:lang w:val="en-IN"/>
        </w:rPr>
        <w:t>Indian Journal of Economics and Development</w:t>
      </w:r>
      <w:r w:rsidRPr="0073211C">
        <w:rPr>
          <w:rFonts w:ascii="Arial" w:hAnsi="Arial" w:cs="Arial"/>
          <w:color w:val="000000"/>
          <w:sz w:val="22"/>
          <w:szCs w:val="22"/>
          <w:shd w:val="clear" w:color="auto" w:fill="FFFFFF"/>
          <w:lang w:val="en-IN"/>
        </w:rPr>
        <w:t xml:space="preserve">, </w:t>
      </w:r>
      <w:r w:rsidRPr="0073211C">
        <w:rPr>
          <w:rFonts w:ascii="Arial" w:hAnsi="Arial" w:cs="Arial"/>
          <w:i/>
          <w:color w:val="000000"/>
          <w:sz w:val="22"/>
          <w:szCs w:val="22"/>
          <w:shd w:val="clear" w:color="auto" w:fill="FFFFFF"/>
          <w:lang w:val="en-IN"/>
        </w:rPr>
        <w:t>17</w:t>
      </w:r>
      <w:r w:rsidRPr="0073211C">
        <w:rPr>
          <w:rFonts w:ascii="Arial" w:hAnsi="Arial" w:cs="Arial"/>
          <w:color w:val="000000"/>
          <w:sz w:val="22"/>
          <w:szCs w:val="22"/>
          <w:shd w:val="clear" w:color="auto" w:fill="FFFFFF"/>
          <w:lang w:val="en-IN"/>
        </w:rPr>
        <w:t xml:space="preserve">, 282–288. </w:t>
      </w:r>
      <w:hyperlink r:id="rId14">
        <w:r w:rsidR="007171C8" w:rsidRPr="0073211C">
          <w:rPr>
            <w:rStyle w:val="Hyperlink"/>
            <w:rFonts w:ascii="Arial" w:hAnsi="Arial" w:cs="Arial"/>
            <w:color w:val="000000"/>
            <w:sz w:val="22"/>
            <w:szCs w:val="22"/>
            <w:shd w:val="clear" w:color="auto" w:fill="FFFFFF"/>
            <w:lang w:val="en-IN"/>
          </w:rPr>
          <w:t>https://doi.org/10.35716/IJED/20307</w:t>
        </w:r>
      </w:hyperlink>
    </w:p>
    <w:p w14:paraId="62C355FB" w14:textId="77777777" w:rsidR="00584CB5" w:rsidRDefault="00584CB5" w:rsidP="00C225FE">
      <w:pPr>
        <w:spacing w:after="0" w:line="360" w:lineRule="auto"/>
        <w:ind w:left="720" w:hanging="720"/>
        <w:jc w:val="both"/>
        <w:rPr>
          <w:rFonts w:ascii="Arial" w:hAnsi="Arial" w:cs="Arial"/>
          <w:sz w:val="22"/>
          <w:szCs w:val="22"/>
        </w:rPr>
      </w:pPr>
      <w:r w:rsidRPr="00584CB5">
        <w:rPr>
          <w:rFonts w:ascii="Arial" w:hAnsi="Arial" w:cs="Arial"/>
          <w:sz w:val="22"/>
          <w:szCs w:val="22"/>
        </w:rPr>
        <w:t xml:space="preserve">Ministry of Agriculture and Farmers Welfare. (2024). </w:t>
      </w:r>
      <w:r w:rsidRPr="00584CB5">
        <w:rPr>
          <w:rFonts w:ascii="Arial" w:hAnsi="Arial" w:cs="Arial"/>
          <w:i/>
          <w:iCs/>
          <w:sz w:val="22"/>
          <w:szCs w:val="22"/>
        </w:rPr>
        <w:t>Agricultural statistics at a glance 2024</w:t>
      </w:r>
      <w:r w:rsidRPr="00584CB5">
        <w:rPr>
          <w:rFonts w:ascii="Arial" w:hAnsi="Arial" w:cs="Arial"/>
          <w:sz w:val="22"/>
          <w:szCs w:val="22"/>
        </w:rPr>
        <w:t>. Directorate of Economics and Statistics, Government of India.</w:t>
      </w:r>
      <w:r w:rsidRPr="00584CB5">
        <w:rPr>
          <w:rFonts w:ascii="Arial" w:hAnsi="Arial" w:cs="Arial"/>
          <w:sz w:val="22"/>
          <w:szCs w:val="22"/>
        </w:rPr>
        <w:br/>
      </w:r>
      <w:hyperlink r:id="rId15" w:tgtFrame="_new" w:history="1">
        <w:r w:rsidRPr="00584CB5">
          <w:rPr>
            <w:rStyle w:val="Hyperlink"/>
            <w:rFonts w:ascii="Arial" w:hAnsi="Arial" w:cs="Arial"/>
            <w:sz w:val="22"/>
            <w:szCs w:val="22"/>
          </w:rPr>
          <w:t>https://desagri.gov.in/en/document-report/agricultural-statistics-at-a-glance-2024/</w:t>
        </w:r>
      </w:hyperlink>
    </w:p>
    <w:p w14:paraId="119FDA77" w14:textId="205E7536" w:rsidR="00C225FE" w:rsidRPr="00C225FE" w:rsidRDefault="00C225FE" w:rsidP="00C225FE">
      <w:pPr>
        <w:spacing w:after="0" w:line="360" w:lineRule="auto"/>
        <w:ind w:left="720" w:hanging="720"/>
        <w:jc w:val="both"/>
        <w:rPr>
          <w:rFonts w:ascii="Arial" w:hAnsi="Arial" w:cs="Arial"/>
          <w:sz w:val="22"/>
          <w:szCs w:val="22"/>
        </w:rPr>
      </w:pPr>
      <w:r w:rsidRPr="00C225FE">
        <w:rPr>
          <w:rFonts w:ascii="Arial" w:hAnsi="Arial" w:cs="Arial"/>
          <w:i/>
          <w:iCs/>
          <w:sz w:val="22"/>
          <w:szCs w:val="22"/>
        </w:rPr>
        <w:t>Price risk management for agricultural commodities</w:t>
      </w:r>
      <w:r w:rsidRPr="00C225FE">
        <w:rPr>
          <w:rFonts w:ascii="Arial" w:hAnsi="Arial" w:cs="Arial"/>
          <w:sz w:val="22"/>
          <w:szCs w:val="22"/>
        </w:rPr>
        <w:t xml:space="preserve"> (Consultancy report submitted to National Commodity &amp; Derivatives Exchange Limited). (2023). National Commodity &amp; Derivatives Exchange Limited. </w:t>
      </w:r>
    </w:p>
    <w:p w14:paraId="7E0C2BDC" w14:textId="77777777" w:rsidR="007171C8" w:rsidRPr="0073211C" w:rsidRDefault="00856351" w:rsidP="00D50A67">
      <w:pPr>
        <w:pStyle w:val="Bibliography"/>
        <w:spacing w:after="0" w:line="360" w:lineRule="auto"/>
        <w:ind w:left="720" w:hanging="720"/>
        <w:jc w:val="both"/>
        <w:rPr>
          <w:rFonts w:ascii="Arial" w:hAnsi="Arial" w:cs="Arial"/>
          <w:sz w:val="22"/>
          <w:szCs w:val="22"/>
        </w:rPr>
      </w:pPr>
      <w:r w:rsidRPr="0073211C">
        <w:rPr>
          <w:rFonts w:ascii="Arial" w:hAnsi="Arial" w:cs="Arial"/>
          <w:color w:val="000000"/>
          <w:sz w:val="22"/>
          <w:szCs w:val="22"/>
          <w:lang w:val="en-IN"/>
        </w:rPr>
        <w:t xml:space="preserve">R Core Team. 2022. “R: A Language and Environment for Statistical Computing.” </w:t>
      </w:r>
      <w:hyperlink r:id="rId16">
        <w:r w:rsidR="007171C8" w:rsidRPr="0073211C">
          <w:rPr>
            <w:rStyle w:val="Hyperlink"/>
            <w:rFonts w:ascii="Arial" w:hAnsi="Arial" w:cs="Arial"/>
            <w:color w:val="000000"/>
            <w:sz w:val="22"/>
            <w:szCs w:val="22"/>
            <w:lang w:val="en-IN"/>
          </w:rPr>
          <w:t>https://www.R-project.org/</w:t>
        </w:r>
      </w:hyperlink>
      <w:r w:rsidRPr="0073211C">
        <w:rPr>
          <w:rFonts w:ascii="Arial" w:hAnsi="Arial" w:cs="Arial"/>
          <w:color w:val="000000"/>
          <w:sz w:val="22"/>
          <w:szCs w:val="22"/>
          <w:lang w:val="en-IN"/>
        </w:rPr>
        <w:t xml:space="preserve">. </w:t>
      </w:r>
    </w:p>
    <w:p w14:paraId="33FB8E82" w14:textId="77777777" w:rsidR="007171C8" w:rsidRDefault="00856351" w:rsidP="00D50A67">
      <w:pPr>
        <w:spacing w:after="0" w:line="360" w:lineRule="auto"/>
        <w:ind w:left="720" w:hanging="720"/>
        <w:jc w:val="both"/>
      </w:pPr>
      <w:r w:rsidRPr="0073211C">
        <w:rPr>
          <w:rFonts w:ascii="Arial" w:hAnsi="Arial" w:cs="Arial"/>
          <w:color w:val="000000"/>
          <w:sz w:val="22"/>
          <w:szCs w:val="22"/>
          <w:shd w:val="clear" w:color="auto" w:fill="FFFFFF"/>
          <w:lang w:val="en-IN"/>
        </w:rPr>
        <w:t xml:space="preserve">Rajput, Ankita. (2020). </w:t>
      </w:r>
      <w:r w:rsidRPr="0073211C">
        <w:rPr>
          <w:rFonts w:ascii="Arial" w:hAnsi="Arial" w:cs="Arial"/>
          <w:i/>
          <w:color w:val="000000"/>
          <w:sz w:val="22"/>
          <w:szCs w:val="22"/>
          <w:shd w:val="clear" w:color="auto" w:fill="FFFFFF"/>
          <w:lang w:val="en-IN"/>
        </w:rPr>
        <w:t>Break Even and Sensitivity Analysis of Cost of Cultivation for Major Crops of Madhya Pradesh</w:t>
      </w:r>
      <w:r w:rsidRPr="0073211C">
        <w:rPr>
          <w:rFonts w:ascii="Arial" w:hAnsi="Arial" w:cs="Arial"/>
          <w:color w:val="000000"/>
          <w:sz w:val="22"/>
          <w:szCs w:val="22"/>
          <w:shd w:val="clear" w:color="auto" w:fill="FFFFFF"/>
          <w:lang w:val="en-IN"/>
        </w:rPr>
        <w:t xml:space="preserve"> [Jawaharlal Nehru Krishi Vishwa Vidyalay]. </w:t>
      </w:r>
      <w:hyperlink r:id="rId17">
        <w:r w:rsidR="007171C8" w:rsidRPr="0073211C">
          <w:rPr>
            <w:rStyle w:val="Hyperlink"/>
            <w:rFonts w:ascii="Arial" w:hAnsi="Arial" w:cs="Arial"/>
            <w:color w:val="000000"/>
            <w:sz w:val="22"/>
            <w:szCs w:val="22"/>
            <w:shd w:val="clear" w:color="auto" w:fill="FFFFFF"/>
            <w:lang w:val="en-IN"/>
          </w:rPr>
          <w:t>https://krishikosh.egranth.ac.in/handle/1/5810179117</w:t>
        </w:r>
      </w:hyperlink>
    </w:p>
    <w:p w14:paraId="4E646A98" w14:textId="31FE013A" w:rsidR="00A835B1" w:rsidRPr="0073211C" w:rsidRDefault="00A835B1" w:rsidP="00D50A67">
      <w:pPr>
        <w:spacing w:after="0" w:line="360" w:lineRule="auto"/>
        <w:ind w:left="720" w:hanging="720"/>
        <w:jc w:val="both"/>
        <w:rPr>
          <w:rFonts w:ascii="Arial" w:hAnsi="Arial" w:cs="Arial"/>
          <w:color w:val="000000"/>
          <w:sz w:val="22"/>
          <w:szCs w:val="22"/>
          <w:lang w:val="en-IN"/>
        </w:rPr>
      </w:pPr>
      <w:r w:rsidRPr="00A179B3">
        <w:rPr>
          <w:rFonts w:ascii="Arial" w:hAnsi="Arial" w:cs="Arial"/>
          <w:color w:val="000000"/>
          <w:sz w:val="22"/>
          <w:szCs w:val="22"/>
          <w:lang w:val="en-IN"/>
        </w:rPr>
        <w:t xml:space="preserve">Rajput, A., Vani, G. K., &amp; Chaturvedi, P. (2023). </w:t>
      </w:r>
      <w:r w:rsidRPr="00A835B1">
        <w:rPr>
          <w:rFonts w:ascii="Arial" w:hAnsi="Arial" w:cs="Arial"/>
          <w:color w:val="000000"/>
          <w:sz w:val="22"/>
          <w:szCs w:val="22"/>
        </w:rPr>
        <w:t xml:space="preserve">Decomposition of changes in break-even output and scenario building for major crops of Madhya Pradesh. </w:t>
      </w:r>
      <w:r w:rsidRPr="00A835B1">
        <w:rPr>
          <w:rFonts w:ascii="Arial" w:hAnsi="Arial" w:cs="Arial"/>
          <w:i/>
          <w:iCs/>
          <w:color w:val="000000"/>
          <w:sz w:val="22"/>
          <w:szCs w:val="22"/>
        </w:rPr>
        <w:t>Indian Journal of Economics and Development, 19</w:t>
      </w:r>
      <w:r w:rsidRPr="00A835B1">
        <w:rPr>
          <w:rFonts w:ascii="Arial" w:hAnsi="Arial" w:cs="Arial"/>
          <w:color w:val="000000"/>
          <w:sz w:val="22"/>
          <w:szCs w:val="22"/>
        </w:rPr>
        <w:t xml:space="preserve">(1), 243–259. </w:t>
      </w:r>
      <w:hyperlink r:id="rId18" w:tgtFrame="_new" w:history="1">
        <w:r w:rsidRPr="00A835B1">
          <w:rPr>
            <w:rStyle w:val="Hyperlink"/>
            <w:rFonts w:ascii="Arial" w:hAnsi="Arial" w:cs="Arial"/>
            <w:sz w:val="22"/>
            <w:szCs w:val="22"/>
          </w:rPr>
          <w:t>https://doi.org/10.35716/IJED/22238</w:t>
        </w:r>
      </w:hyperlink>
    </w:p>
    <w:p w14:paraId="3C2F4393" w14:textId="77777777" w:rsidR="007171C8" w:rsidRDefault="00856351" w:rsidP="00D50A67">
      <w:pPr>
        <w:spacing w:after="0" w:line="360" w:lineRule="auto"/>
        <w:ind w:left="720" w:hanging="720"/>
        <w:jc w:val="both"/>
      </w:pPr>
      <w:r w:rsidRPr="00584CB5">
        <w:rPr>
          <w:rFonts w:ascii="Arial" w:hAnsi="Arial" w:cs="Arial"/>
          <w:color w:val="000000"/>
          <w:sz w:val="22"/>
          <w:szCs w:val="22"/>
          <w:shd w:val="clear" w:color="auto" w:fill="FFFFFF"/>
          <w:lang w:val="sv-SE"/>
        </w:rPr>
        <w:t xml:space="preserve">Sahu, Ankita, Nahatkar, Sunil, Vani, Gourav Kumar, &amp; Kolar, Prasanna. </w:t>
      </w:r>
      <w:r w:rsidRPr="0073211C">
        <w:rPr>
          <w:rFonts w:ascii="Arial" w:hAnsi="Arial" w:cs="Arial"/>
          <w:color w:val="000000"/>
          <w:sz w:val="22"/>
          <w:szCs w:val="22"/>
          <w:shd w:val="clear" w:color="auto" w:fill="FFFFFF"/>
          <w:lang w:val="en-IN"/>
        </w:rPr>
        <w:t xml:space="preserve">(2021). Study on Profitability of Wheat in Major Wheat Producing States of India. </w:t>
      </w:r>
      <w:r w:rsidRPr="0073211C">
        <w:rPr>
          <w:rFonts w:ascii="Arial" w:hAnsi="Arial" w:cs="Arial"/>
          <w:i/>
          <w:color w:val="000000"/>
          <w:sz w:val="22"/>
          <w:szCs w:val="22"/>
          <w:shd w:val="clear" w:color="auto" w:fill="FFFFFF"/>
          <w:lang w:val="en-IN"/>
        </w:rPr>
        <w:t>Asian Archive</w:t>
      </w:r>
      <w:r w:rsidRPr="0073211C">
        <w:rPr>
          <w:rFonts w:ascii="Arial" w:hAnsi="Arial" w:cs="Arial"/>
          <w:color w:val="000000"/>
          <w:sz w:val="22"/>
          <w:szCs w:val="22"/>
          <w:shd w:val="clear" w:color="auto" w:fill="FFFFFF"/>
          <w:lang w:val="en-IN"/>
        </w:rPr>
        <w:t xml:space="preserve">, </w:t>
      </w:r>
      <w:r w:rsidRPr="0073211C">
        <w:rPr>
          <w:rFonts w:ascii="Arial" w:hAnsi="Arial" w:cs="Arial"/>
          <w:i/>
          <w:color w:val="000000"/>
          <w:sz w:val="22"/>
          <w:szCs w:val="22"/>
          <w:shd w:val="clear" w:color="auto" w:fill="FFFFFF"/>
          <w:lang w:val="en-IN"/>
        </w:rPr>
        <w:t>39</w:t>
      </w:r>
      <w:r w:rsidRPr="0073211C">
        <w:rPr>
          <w:rFonts w:ascii="Arial" w:hAnsi="Arial" w:cs="Arial"/>
          <w:color w:val="000000"/>
          <w:sz w:val="22"/>
          <w:szCs w:val="22"/>
          <w:shd w:val="clear" w:color="auto" w:fill="FFFFFF"/>
          <w:lang w:val="en-IN"/>
        </w:rPr>
        <w:t xml:space="preserve">(7). </w:t>
      </w:r>
      <w:hyperlink r:id="rId19">
        <w:r w:rsidR="007171C8" w:rsidRPr="0073211C">
          <w:rPr>
            <w:rStyle w:val="Hyperlink"/>
            <w:rFonts w:ascii="Arial" w:hAnsi="Arial" w:cs="Arial"/>
            <w:color w:val="000000"/>
            <w:sz w:val="22"/>
            <w:szCs w:val="22"/>
            <w:shd w:val="clear" w:color="auto" w:fill="FFFFFF"/>
            <w:lang w:val="en-IN"/>
          </w:rPr>
          <w:t>https://asianarchive.co.in/index.php/AJAEES/article/view/10246</w:t>
        </w:r>
      </w:hyperlink>
    </w:p>
    <w:p w14:paraId="65092A2D" w14:textId="77777777" w:rsidR="00972A8B" w:rsidRDefault="00972A8B" w:rsidP="00D50A67">
      <w:pPr>
        <w:spacing w:after="0" w:line="360" w:lineRule="auto"/>
        <w:ind w:left="720" w:hanging="720"/>
        <w:jc w:val="both"/>
      </w:pPr>
    </w:p>
    <w:p w14:paraId="48A86D17" w14:textId="77777777" w:rsidR="00972A8B" w:rsidRDefault="00972A8B" w:rsidP="00D50A67">
      <w:pPr>
        <w:spacing w:after="0" w:line="360" w:lineRule="auto"/>
        <w:ind w:left="720" w:hanging="720"/>
        <w:jc w:val="both"/>
      </w:pPr>
    </w:p>
    <w:p w14:paraId="60616BE1" w14:textId="77777777" w:rsidR="00A70B8A" w:rsidRPr="00A70B8A" w:rsidRDefault="00A70B8A" w:rsidP="00D50A67">
      <w:pPr>
        <w:spacing w:after="0" w:line="360" w:lineRule="auto"/>
        <w:ind w:left="720" w:hanging="720"/>
        <w:jc w:val="both"/>
        <w:rPr>
          <w:rFonts w:ascii="Arial" w:hAnsi="Arial" w:cs="Arial"/>
          <w:color w:val="FF0000"/>
          <w:lang w:val="en-IN"/>
        </w:rPr>
      </w:pPr>
    </w:p>
    <w:p w14:paraId="0C0C36C5" w14:textId="77777777" w:rsidR="00A70B8A" w:rsidRDefault="00A70B8A" w:rsidP="00D50A67">
      <w:pPr>
        <w:spacing w:after="0" w:line="360" w:lineRule="auto"/>
        <w:ind w:left="720" w:hanging="720"/>
        <w:jc w:val="both"/>
        <w:rPr>
          <w:rFonts w:ascii="Arial" w:hAnsi="Arial" w:cs="Arial"/>
          <w:i/>
          <w:iCs/>
          <w:color w:val="FF0000"/>
        </w:rPr>
      </w:pPr>
    </w:p>
    <w:sectPr w:rsidR="00A70B8A">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0574" w14:textId="77777777" w:rsidR="00656965" w:rsidRDefault="00656965" w:rsidP="00723787">
      <w:pPr>
        <w:spacing w:after="0"/>
      </w:pPr>
      <w:r>
        <w:separator/>
      </w:r>
    </w:p>
  </w:endnote>
  <w:endnote w:type="continuationSeparator" w:id="0">
    <w:p w14:paraId="01C3DD6D" w14:textId="77777777" w:rsidR="00656965" w:rsidRDefault="00656965" w:rsidP="007237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6E20" w14:textId="77777777" w:rsidR="00723787" w:rsidRDefault="00723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C00C" w14:textId="77777777" w:rsidR="00723787" w:rsidRDefault="00723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C191" w14:textId="77777777" w:rsidR="00723787" w:rsidRDefault="00723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B647" w14:textId="77777777" w:rsidR="00656965" w:rsidRDefault="00656965" w:rsidP="00723787">
      <w:pPr>
        <w:spacing w:after="0"/>
      </w:pPr>
      <w:r>
        <w:separator/>
      </w:r>
    </w:p>
  </w:footnote>
  <w:footnote w:type="continuationSeparator" w:id="0">
    <w:p w14:paraId="220904F5" w14:textId="77777777" w:rsidR="00656965" w:rsidRDefault="00656965" w:rsidP="007237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5C7F" w14:textId="5CAFD752" w:rsidR="00723787" w:rsidRDefault="00000000">
    <w:pPr>
      <w:pStyle w:val="Header"/>
    </w:pPr>
    <w:r>
      <w:rPr>
        <w:noProof/>
      </w:rPr>
      <w:pict w14:anchorId="36B1C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381251" o:spid="_x0000_s1026"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924E" w14:textId="246D9E76" w:rsidR="00723787" w:rsidRDefault="00000000">
    <w:pPr>
      <w:pStyle w:val="Header"/>
    </w:pPr>
    <w:r>
      <w:rPr>
        <w:noProof/>
      </w:rPr>
      <w:pict w14:anchorId="1C7A8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381252" o:spid="_x0000_s1027" type="#_x0000_t136" style="position:absolute;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0F10" w14:textId="5EDB1C64" w:rsidR="00723787" w:rsidRDefault="00000000">
    <w:pPr>
      <w:pStyle w:val="Header"/>
    </w:pPr>
    <w:r>
      <w:rPr>
        <w:noProof/>
      </w:rPr>
      <w:pict w14:anchorId="7313E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381250" o:spid="_x0000_s1025"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08"/>
  <w:autoHyphenation/>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71C8"/>
    <w:rsid w:val="00013B1F"/>
    <w:rsid w:val="00036E59"/>
    <w:rsid w:val="00045B24"/>
    <w:rsid w:val="00127A3A"/>
    <w:rsid w:val="0016191B"/>
    <w:rsid w:val="00161F97"/>
    <w:rsid w:val="00173980"/>
    <w:rsid w:val="001777CD"/>
    <w:rsid w:val="001E1B28"/>
    <w:rsid w:val="002165C3"/>
    <w:rsid w:val="002A1F86"/>
    <w:rsid w:val="002C5776"/>
    <w:rsid w:val="002D01F2"/>
    <w:rsid w:val="002F716D"/>
    <w:rsid w:val="00396341"/>
    <w:rsid w:val="003A1957"/>
    <w:rsid w:val="003E0AB6"/>
    <w:rsid w:val="003E6855"/>
    <w:rsid w:val="004D7CA0"/>
    <w:rsid w:val="0052447C"/>
    <w:rsid w:val="00584CB5"/>
    <w:rsid w:val="00587EDA"/>
    <w:rsid w:val="005B79FC"/>
    <w:rsid w:val="005D30ED"/>
    <w:rsid w:val="005E3E53"/>
    <w:rsid w:val="00646B82"/>
    <w:rsid w:val="00654F00"/>
    <w:rsid w:val="00656965"/>
    <w:rsid w:val="00661704"/>
    <w:rsid w:val="00674524"/>
    <w:rsid w:val="006B150E"/>
    <w:rsid w:val="007171C8"/>
    <w:rsid w:val="00723787"/>
    <w:rsid w:val="0073211C"/>
    <w:rsid w:val="007618B9"/>
    <w:rsid w:val="007F0FA8"/>
    <w:rsid w:val="008279F0"/>
    <w:rsid w:val="00856351"/>
    <w:rsid w:val="00885237"/>
    <w:rsid w:val="008A7BB2"/>
    <w:rsid w:val="008C7784"/>
    <w:rsid w:val="009178D4"/>
    <w:rsid w:val="0093608B"/>
    <w:rsid w:val="00972A8B"/>
    <w:rsid w:val="00A179B3"/>
    <w:rsid w:val="00A70B8A"/>
    <w:rsid w:val="00A835B1"/>
    <w:rsid w:val="00A90C13"/>
    <w:rsid w:val="00AA7209"/>
    <w:rsid w:val="00AB54F6"/>
    <w:rsid w:val="00B21DB2"/>
    <w:rsid w:val="00B343A4"/>
    <w:rsid w:val="00B83006"/>
    <w:rsid w:val="00C04B85"/>
    <w:rsid w:val="00C132C9"/>
    <w:rsid w:val="00C225FE"/>
    <w:rsid w:val="00C37FB0"/>
    <w:rsid w:val="00CB259B"/>
    <w:rsid w:val="00CD7CD0"/>
    <w:rsid w:val="00D109CC"/>
    <w:rsid w:val="00D13CAB"/>
    <w:rsid w:val="00D50A67"/>
    <w:rsid w:val="00D76804"/>
    <w:rsid w:val="00DE682C"/>
    <w:rsid w:val="00DF11F9"/>
    <w:rsid w:val="00E30F50"/>
    <w:rsid w:val="00E50A0B"/>
    <w:rsid w:val="00EB28FE"/>
    <w:rsid w:val="00F07C3E"/>
    <w:rsid w:val="00F12B97"/>
    <w:rsid w:val="00F97C36"/>
    <w:rsid w:val="00FA091C"/>
    <w:rsid w:val="00FC52E0"/>
    <w:rsid w:val="00FF349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1" type="connector" idref="#_x0000_s2052"/>
      </o:rules>
    </o:shapelayout>
  </w:shapeDefaults>
  <w:decimalSymbol w:val="."/>
  <w:listSeparator w:val=","/>
  <w14:docId w14:val="58DC7B62"/>
  <w15:docId w15:val="{450F920D-D5DC-484D-8F55-DC74D5B4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DejaVu Sans"/>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4"/>
    </w:rPr>
  </w:style>
  <w:style w:type="paragraph" w:styleId="Heading1">
    <w:name w:val="heading 1"/>
    <w:basedOn w:val="Normal"/>
    <w:next w:val="BodyText"/>
    <w:qFormat/>
    <w:pPr>
      <w:keepNext/>
      <w:keepLines/>
      <w:spacing w:before="480" w:after="0"/>
      <w:outlineLvl w:val="0"/>
    </w:pPr>
    <w:rPr>
      <w:rFonts w:ascii="Calibri" w:hAnsi="Calibri"/>
      <w:b/>
      <w:bCs/>
      <w:color w:val="4F81BD"/>
      <w:sz w:val="32"/>
      <w:szCs w:val="32"/>
    </w:rPr>
  </w:style>
  <w:style w:type="paragraph" w:styleId="Heading2">
    <w:name w:val="heading 2"/>
    <w:basedOn w:val="Normal"/>
    <w:next w:val="BodyText"/>
    <w:qFormat/>
    <w:pPr>
      <w:keepNext/>
      <w:keepLines/>
      <w:spacing w:before="200" w:after="0"/>
      <w:outlineLvl w:val="1"/>
    </w:pPr>
    <w:rPr>
      <w:rFonts w:ascii="Calibri" w:hAnsi="Calibri"/>
      <w:b/>
      <w:bCs/>
      <w:color w:val="4F81BD"/>
      <w:sz w:val="28"/>
      <w:szCs w:val="28"/>
    </w:rPr>
  </w:style>
  <w:style w:type="paragraph" w:styleId="Heading3">
    <w:name w:val="heading 3"/>
    <w:basedOn w:val="Normal"/>
    <w:next w:val="BodyText"/>
    <w:qFormat/>
    <w:pPr>
      <w:keepNext/>
      <w:keepLines/>
      <w:spacing w:before="200" w:after="0"/>
      <w:outlineLvl w:val="2"/>
    </w:pPr>
    <w:rPr>
      <w:rFonts w:ascii="Calibri" w:hAnsi="Calibri"/>
      <w:b/>
      <w:bCs/>
      <w:color w:val="4F81BD"/>
    </w:rPr>
  </w:style>
  <w:style w:type="paragraph" w:styleId="Heading4">
    <w:name w:val="heading 4"/>
    <w:basedOn w:val="Normal"/>
    <w:next w:val="BodyText"/>
    <w:qFormat/>
    <w:pPr>
      <w:keepNext/>
      <w:keepLines/>
      <w:spacing w:before="200" w:after="0"/>
      <w:outlineLvl w:val="3"/>
    </w:pPr>
    <w:rPr>
      <w:rFonts w:ascii="Calibri" w:hAnsi="Calibri"/>
      <w:bCs/>
      <w:i/>
      <w:color w:val="4F81BD"/>
    </w:rPr>
  </w:style>
  <w:style w:type="paragraph" w:styleId="Heading5">
    <w:name w:val="heading 5"/>
    <w:basedOn w:val="Normal"/>
    <w:next w:val="BodyText"/>
    <w:qFormat/>
    <w:pPr>
      <w:keepNext/>
      <w:keepLines/>
      <w:spacing w:before="200" w:after="0"/>
      <w:outlineLvl w:val="4"/>
    </w:pPr>
    <w:rPr>
      <w:rFonts w:ascii="Calibri" w:hAnsi="Calibri"/>
      <w:iCs/>
      <w:color w:val="4F81BD"/>
    </w:rPr>
  </w:style>
  <w:style w:type="paragraph" w:styleId="Heading6">
    <w:name w:val="heading 6"/>
    <w:basedOn w:val="Normal"/>
    <w:next w:val="BodyText"/>
    <w:qFormat/>
    <w:pPr>
      <w:keepNext/>
      <w:keepLines/>
      <w:spacing w:before="200" w:after="0"/>
      <w:outlineLvl w:val="5"/>
    </w:pPr>
    <w:rPr>
      <w:rFonts w:ascii="Calibri" w:hAnsi="Calibri"/>
      <w:color w:val="4F81BD"/>
    </w:rPr>
  </w:style>
  <w:style w:type="paragraph" w:styleId="Heading7">
    <w:name w:val="heading 7"/>
    <w:basedOn w:val="Normal"/>
    <w:next w:val="BodyText"/>
    <w:qFormat/>
    <w:pPr>
      <w:keepNext/>
      <w:keepLines/>
      <w:spacing w:before="200" w:after="0"/>
      <w:outlineLvl w:val="6"/>
    </w:pPr>
    <w:rPr>
      <w:rFonts w:ascii="Calibri" w:hAnsi="Calibri"/>
      <w:color w:val="4F81BD"/>
    </w:rPr>
  </w:style>
  <w:style w:type="paragraph" w:styleId="Heading8">
    <w:name w:val="heading 8"/>
    <w:basedOn w:val="Normal"/>
    <w:next w:val="BodyText"/>
    <w:qFormat/>
    <w:pPr>
      <w:keepNext/>
      <w:keepLines/>
      <w:spacing w:before="200" w:after="0"/>
      <w:outlineLvl w:val="7"/>
    </w:pPr>
    <w:rPr>
      <w:rFonts w:ascii="Calibri" w:hAnsi="Calibri"/>
      <w:color w:val="4F81BD"/>
    </w:rPr>
  </w:style>
  <w:style w:type="paragraph" w:styleId="Heading9">
    <w:name w:val="heading 9"/>
    <w:basedOn w:val="Normal"/>
    <w:next w:val="BodyText"/>
    <w:qFormat/>
    <w:pPr>
      <w:keepNext/>
      <w:keepLines/>
      <w:spacing w:before="200" w:after="0"/>
      <w:outlineLvl w:val="8"/>
    </w:pPr>
    <w:rPr>
      <w:rFonts w:ascii="Calibri" w:hAnsi="Calibri"/>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qFormat/>
  </w:style>
  <w:style w:type="character" w:customStyle="1" w:styleId="VerbatimChar">
    <w:name w:val="Verbatim Char"/>
    <w:basedOn w:val="BodyTextChar"/>
    <w:qFormat/>
    <w:rPr>
      <w:rFonts w:ascii="Consolas" w:hAnsi="Consolas"/>
      <w:sz w:val="22"/>
    </w:rPr>
  </w:style>
  <w:style w:type="character" w:customStyle="1" w:styleId="SectionNumber">
    <w:name w:val="Section Number"/>
    <w:basedOn w:val="BodyTextChar"/>
    <w:qFormat/>
  </w:style>
  <w:style w:type="character" w:customStyle="1" w:styleId="FootnoteCharacters">
    <w:name w:val="Footnote Characters"/>
    <w:basedOn w:val="BodyTextChar"/>
    <w:qFormat/>
    <w:rPr>
      <w:vertAlign w:val="superscript"/>
    </w:rPr>
  </w:style>
  <w:style w:type="character" w:customStyle="1" w:styleId="FootnoteAnchor">
    <w:name w:val="Footnote Anchor"/>
    <w:rPr>
      <w:vertAlign w:val="superscript"/>
    </w:rPr>
  </w:style>
  <w:style w:type="character" w:styleId="Hyperlink">
    <w:name w:val="Hyperlink"/>
    <w:basedOn w:val="BodyTextChar"/>
    <w:rPr>
      <w:color w:val="4F81BD"/>
    </w:rPr>
  </w:style>
  <w:style w:type="character" w:customStyle="1" w:styleId="KeywordTok">
    <w:name w:val="KeywordTok"/>
    <w:basedOn w:val="VerbatimChar"/>
    <w:qFormat/>
    <w:rPr>
      <w:rFonts w:ascii="Consolas" w:hAnsi="Consolas"/>
      <w:b/>
      <w:color w:val="204A87"/>
      <w:sz w:val="22"/>
      <w:highlight w:val="white"/>
    </w:rPr>
  </w:style>
  <w:style w:type="character" w:customStyle="1" w:styleId="DataTypeTok">
    <w:name w:val="DataTypeTok"/>
    <w:basedOn w:val="VerbatimChar"/>
    <w:qFormat/>
    <w:rPr>
      <w:rFonts w:ascii="Consolas" w:hAnsi="Consolas"/>
      <w:color w:val="204A87"/>
      <w:sz w:val="22"/>
      <w:highlight w:val="white"/>
    </w:rPr>
  </w:style>
  <w:style w:type="character" w:customStyle="1" w:styleId="DecValTok">
    <w:name w:val="DecValTok"/>
    <w:basedOn w:val="VerbatimChar"/>
    <w:qFormat/>
    <w:rPr>
      <w:rFonts w:ascii="Consolas" w:hAnsi="Consolas"/>
      <w:color w:val="0000CF"/>
      <w:sz w:val="22"/>
      <w:highlight w:val="white"/>
    </w:rPr>
  </w:style>
  <w:style w:type="character" w:customStyle="1" w:styleId="BaseNTok">
    <w:name w:val="BaseNTok"/>
    <w:basedOn w:val="VerbatimChar"/>
    <w:qFormat/>
    <w:rPr>
      <w:rFonts w:ascii="Consolas" w:hAnsi="Consolas"/>
      <w:color w:val="0000CF"/>
      <w:sz w:val="22"/>
      <w:highlight w:val="white"/>
    </w:rPr>
  </w:style>
  <w:style w:type="character" w:customStyle="1" w:styleId="FloatTok">
    <w:name w:val="FloatTok"/>
    <w:basedOn w:val="VerbatimChar"/>
    <w:qFormat/>
    <w:rPr>
      <w:rFonts w:ascii="Consolas" w:hAnsi="Consolas"/>
      <w:color w:val="0000CF"/>
      <w:sz w:val="22"/>
      <w:highlight w:val="white"/>
    </w:rPr>
  </w:style>
  <w:style w:type="character" w:customStyle="1" w:styleId="ConstantTok">
    <w:name w:val="ConstantTok"/>
    <w:basedOn w:val="VerbatimChar"/>
    <w:qFormat/>
    <w:rPr>
      <w:rFonts w:ascii="Consolas" w:hAnsi="Consolas"/>
      <w:color w:val="000000"/>
      <w:sz w:val="22"/>
      <w:highlight w:val="white"/>
    </w:rPr>
  </w:style>
  <w:style w:type="character" w:customStyle="1" w:styleId="CharTok">
    <w:name w:val="CharTok"/>
    <w:basedOn w:val="VerbatimChar"/>
    <w:qFormat/>
    <w:rPr>
      <w:rFonts w:ascii="Consolas" w:hAnsi="Consolas"/>
      <w:color w:val="4E9A06"/>
      <w:sz w:val="22"/>
      <w:highlight w:val="white"/>
    </w:rPr>
  </w:style>
  <w:style w:type="character" w:customStyle="1" w:styleId="SpecialCharTok">
    <w:name w:val="SpecialCharTok"/>
    <w:basedOn w:val="VerbatimChar"/>
    <w:qFormat/>
    <w:rPr>
      <w:rFonts w:ascii="Consolas" w:hAnsi="Consolas"/>
      <w:color w:val="000000"/>
      <w:sz w:val="22"/>
      <w:highlight w:val="white"/>
    </w:rPr>
  </w:style>
  <w:style w:type="character" w:customStyle="1" w:styleId="StringTok">
    <w:name w:val="StringTok"/>
    <w:basedOn w:val="VerbatimChar"/>
    <w:qFormat/>
    <w:rPr>
      <w:rFonts w:ascii="Consolas" w:hAnsi="Consolas"/>
      <w:color w:val="4E9A06"/>
      <w:sz w:val="22"/>
      <w:highlight w:val="white"/>
    </w:rPr>
  </w:style>
  <w:style w:type="character" w:customStyle="1" w:styleId="VerbatimStringTok">
    <w:name w:val="VerbatimStringTok"/>
    <w:basedOn w:val="VerbatimChar"/>
    <w:qFormat/>
    <w:rPr>
      <w:rFonts w:ascii="Consolas" w:hAnsi="Consolas"/>
      <w:color w:val="4E9A06"/>
      <w:sz w:val="22"/>
      <w:highlight w:val="white"/>
    </w:rPr>
  </w:style>
  <w:style w:type="character" w:customStyle="1" w:styleId="SpecialStringTok">
    <w:name w:val="SpecialStringTok"/>
    <w:basedOn w:val="VerbatimChar"/>
    <w:qFormat/>
    <w:rPr>
      <w:rFonts w:ascii="Consolas" w:hAnsi="Consolas"/>
      <w:color w:val="4E9A06"/>
      <w:sz w:val="22"/>
      <w:highlight w:val="white"/>
    </w:rPr>
  </w:style>
  <w:style w:type="character" w:customStyle="1" w:styleId="ImportTok">
    <w:name w:val="ImportTok"/>
    <w:basedOn w:val="VerbatimChar"/>
    <w:qFormat/>
    <w:rPr>
      <w:rFonts w:ascii="Consolas" w:hAnsi="Consolas"/>
      <w:sz w:val="22"/>
      <w:highlight w:val="white"/>
    </w:rPr>
  </w:style>
  <w:style w:type="character" w:customStyle="1" w:styleId="CommentTok">
    <w:name w:val="CommentTok"/>
    <w:basedOn w:val="VerbatimChar"/>
    <w:qFormat/>
    <w:rPr>
      <w:rFonts w:ascii="Consolas" w:hAnsi="Consolas"/>
      <w:i/>
      <w:color w:val="8F5902"/>
      <w:sz w:val="22"/>
      <w:highlight w:val="white"/>
    </w:rPr>
  </w:style>
  <w:style w:type="character" w:customStyle="1" w:styleId="DocumentationTok">
    <w:name w:val="DocumentationTok"/>
    <w:basedOn w:val="VerbatimChar"/>
    <w:qFormat/>
    <w:rPr>
      <w:rFonts w:ascii="Consolas" w:hAnsi="Consolas"/>
      <w:b/>
      <w:i/>
      <w:color w:val="8F5902"/>
      <w:sz w:val="22"/>
      <w:highlight w:val="white"/>
    </w:rPr>
  </w:style>
  <w:style w:type="character" w:customStyle="1" w:styleId="AnnotationTok">
    <w:name w:val="AnnotationTok"/>
    <w:basedOn w:val="VerbatimChar"/>
    <w:qFormat/>
    <w:rPr>
      <w:rFonts w:ascii="Consolas" w:hAnsi="Consolas"/>
      <w:b/>
      <w:i/>
      <w:color w:val="8F5902"/>
      <w:sz w:val="22"/>
      <w:highlight w:val="white"/>
    </w:rPr>
  </w:style>
  <w:style w:type="character" w:customStyle="1" w:styleId="CommentVarTok">
    <w:name w:val="CommentVarTok"/>
    <w:basedOn w:val="VerbatimChar"/>
    <w:qFormat/>
    <w:rPr>
      <w:rFonts w:ascii="Consolas" w:hAnsi="Consolas"/>
      <w:b/>
      <w:i/>
      <w:color w:val="8F5902"/>
      <w:sz w:val="22"/>
      <w:highlight w:val="white"/>
    </w:rPr>
  </w:style>
  <w:style w:type="character" w:customStyle="1" w:styleId="OtherTok">
    <w:name w:val="OtherTok"/>
    <w:basedOn w:val="VerbatimChar"/>
    <w:qFormat/>
    <w:rPr>
      <w:rFonts w:ascii="Consolas" w:hAnsi="Consolas"/>
      <w:color w:val="8F5902"/>
      <w:sz w:val="22"/>
      <w:highlight w:val="white"/>
    </w:rPr>
  </w:style>
  <w:style w:type="character" w:customStyle="1" w:styleId="FunctionTok">
    <w:name w:val="FunctionTok"/>
    <w:basedOn w:val="VerbatimChar"/>
    <w:qFormat/>
    <w:rPr>
      <w:rFonts w:ascii="Consolas" w:hAnsi="Consolas"/>
      <w:color w:val="000000"/>
      <w:sz w:val="22"/>
      <w:highlight w:val="white"/>
    </w:rPr>
  </w:style>
  <w:style w:type="character" w:customStyle="1" w:styleId="VariableTok">
    <w:name w:val="VariableTok"/>
    <w:basedOn w:val="VerbatimChar"/>
    <w:qFormat/>
    <w:rPr>
      <w:rFonts w:ascii="Consolas" w:hAnsi="Consolas"/>
      <w:color w:val="000000"/>
      <w:sz w:val="22"/>
      <w:highlight w:val="white"/>
    </w:rPr>
  </w:style>
  <w:style w:type="character" w:customStyle="1" w:styleId="ControlFlowTok">
    <w:name w:val="ControlFlowTok"/>
    <w:basedOn w:val="VerbatimChar"/>
    <w:qFormat/>
    <w:rPr>
      <w:rFonts w:ascii="Consolas" w:hAnsi="Consolas"/>
      <w:b/>
      <w:color w:val="204A87"/>
      <w:sz w:val="22"/>
      <w:highlight w:val="white"/>
    </w:rPr>
  </w:style>
  <w:style w:type="character" w:customStyle="1" w:styleId="OperatorTok">
    <w:name w:val="OperatorTok"/>
    <w:basedOn w:val="VerbatimChar"/>
    <w:qFormat/>
    <w:rPr>
      <w:rFonts w:ascii="Consolas" w:hAnsi="Consolas"/>
      <w:b/>
      <w:color w:val="CE5C00"/>
      <w:sz w:val="22"/>
      <w:highlight w:val="white"/>
    </w:rPr>
  </w:style>
  <w:style w:type="character" w:customStyle="1" w:styleId="BuiltInTok">
    <w:name w:val="BuiltInTok"/>
    <w:basedOn w:val="VerbatimChar"/>
    <w:qFormat/>
    <w:rPr>
      <w:rFonts w:ascii="Consolas" w:hAnsi="Consolas"/>
      <w:sz w:val="22"/>
      <w:highlight w:val="white"/>
    </w:rPr>
  </w:style>
  <w:style w:type="character" w:customStyle="1" w:styleId="ExtensionTok">
    <w:name w:val="ExtensionTok"/>
    <w:basedOn w:val="VerbatimChar"/>
    <w:qFormat/>
    <w:rPr>
      <w:rFonts w:ascii="Consolas" w:hAnsi="Consolas"/>
      <w:sz w:val="22"/>
      <w:highlight w:val="white"/>
    </w:rPr>
  </w:style>
  <w:style w:type="character" w:customStyle="1" w:styleId="PreprocessorTok">
    <w:name w:val="PreprocessorTok"/>
    <w:basedOn w:val="VerbatimChar"/>
    <w:qFormat/>
    <w:rPr>
      <w:rFonts w:ascii="Consolas" w:hAnsi="Consolas"/>
      <w:i/>
      <w:color w:val="8F5902"/>
      <w:sz w:val="22"/>
      <w:highlight w:val="white"/>
    </w:rPr>
  </w:style>
  <w:style w:type="character" w:customStyle="1" w:styleId="AttributeTok">
    <w:name w:val="AttributeTok"/>
    <w:basedOn w:val="VerbatimChar"/>
    <w:qFormat/>
    <w:rPr>
      <w:rFonts w:ascii="Consolas" w:hAnsi="Consolas"/>
      <w:color w:val="C4A000"/>
      <w:sz w:val="22"/>
      <w:highlight w:val="white"/>
    </w:rPr>
  </w:style>
  <w:style w:type="character" w:customStyle="1" w:styleId="RegionMarkerTok">
    <w:name w:val="RegionMarkerTok"/>
    <w:basedOn w:val="VerbatimChar"/>
    <w:qFormat/>
    <w:rPr>
      <w:rFonts w:ascii="Consolas" w:hAnsi="Consolas"/>
      <w:sz w:val="22"/>
      <w:highlight w:val="white"/>
    </w:rPr>
  </w:style>
  <w:style w:type="character" w:customStyle="1" w:styleId="InformationTok">
    <w:name w:val="InformationTok"/>
    <w:basedOn w:val="VerbatimChar"/>
    <w:qFormat/>
    <w:rPr>
      <w:rFonts w:ascii="Consolas" w:hAnsi="Consolas"/>
      <w:b/>
      <w:i/>
      <w:color w:val="8F5902"/>
      <w:sz w:val="22"/>
      <w:highlight w:val="white"/>
    </w:rPr>
  </w:style>
  <w:style w:type="character" w:customStyle="1" w:styleId="WarningTok">
    <w:name w:val="WarningTok"/>
    <w:basedOn w:val="VerbatimChar"/>
    <w:qFormat/>
    <w:rPr>
      <w:rFonts w:ascii="Consolas" w:hAnsi="Consolas"/>
      <w:b/>
      <w:i/>
      <w:color w:val="8F5902"/>
      <w:sz w:val="22"/>
      <w:highlight w:val="white"/>
    </w:rPr>
  </w:style>
  <w:style w:type="character" w:customStyle="1" w:styleId="AlertTok">
    <w:name w:val="AlertTok"/>
    <w:basedOn w:val="VerbatimChar"/>
    <w:qFormat/>
    <w:rPr>
      <w:rFonts w:ascii="Consolas" w:hAnsi="Consolas"/>
      <w:color w:val="EF2929"/>
      <w:sz w:val="22"/>
      <w:highlight w:val="white"/>
    </w:rPr>
  </w:style>
  <w:style w:type="character" w:customStyle="1" w:styleId="ErrorTok">
    <w:name w:val="ErrorTok"/>
    <w:basedOn w:val="VerbatimChar"/>
    <w:qFormat/>
    <w:rPr>
      <w:rFonts w:ascii="Consolas" w:hAnsi="Consolas"/>
      <w:b/>
      <w:color w:val="A40000"/>
      <w:sz w:val="22"/>
      <w:highlight w:val="white"/>
    </w:rPr>
  </w:style>
  <w:style w:type="character" w:customStyle="1" w:styleId="NormalTok">
    <w:name w:val="NormalTok"/>
    <w:basedOn w:val="VerbatimChar"/>
    <w:qFormat/>
    <w:rPr>
      <w:rFonts w:ascii="Consolas" w:hAnsi="Consolas"/>
      <w:sz w:val="22"/>
      <w:highlight w:val="white"/>
    </w:rPr>
  </w:style>
  <w:style w:type="character" w:customStyle="1" w:styleId="HeaderChar">
    <w:name w:val="Header Char"/>
    <w:basedOn w:val="DefaultParagraphFont"/>
    <w:link w:val="Header"/>
    <w:uiPriority w:val="99"/>
    <w:qFormat/>
    <w:rsid w:val="001F2F2C"/>
  </w:style>
  <w:style w:type="character" w:customStyle="1" w:styleId="FooterChar">
    <w:name w:val="Footer Char"/>
    <w:basedOn w:val="DefaultParagraphFont"/>
    <w:link w:val="Footer"/>
    <w:uiPriority w:val="99"/>
    <w:qFormat/>
    <w:rsid w:val="001F2F2C"/>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before="180" w:after="180"/>
    </w:pPr>
  </w:style>
  <w:style w:type="paragraph" w:styleId="List">
    <w:name w:val="List"/>
    <w:basedOn w:val="BodyText"/>
    <w:rPr>
      <w:rFonts w:cs="Lohit Devanagari"/>
    </w:rPr>
  </w:style>
  <w:style w:type="paragraph" w:styleId="Caption">
    <w:name w:val="caption"/>
    <w:basedOn w:val="Normal"/>
    <w:qFormat/>
    <w:pPr>
      <w:spacing w:after="120"/>
    </w:pPr>
    <w:rPr>
      <w:i/>
    </w:rPr>
  </w:style>
  <w:style w:type="paragraph" w:customStyle="1" w:styleId="Index">
    <w:name w:val="Index"/>
    <w:basedOn w:val="Normal"/>
    <w:qFormat/>
    <w:pPr>
      <w:suppressLineNumbers/>
    </w:pPr>
    <w:rPr>
      <w:rFonts w:cs="Lohit Devanagari"/>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Calibri" w:hAnsi="Calibri"/>
      <w:b/>
      <w:bCs/>
      <w:color w:val="345A8A"/>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rPr>
      <w:sz w:val="24"/>
    </w:rPr>
  </w:style>
  <w:style w:type="paragraph" w:styleId="Date">
    <w:name w:val="Date"/>
    <w:next w:val="BodyText"/>
    <w:qFormat/>
    <w:pPr>
      <w:keepNext/>
      <w:keepLines/>
      <w:spacing w:after="200"/>
      <w:jc w:val="center"/>
    </w:pPr>
    <w:rPr>
      <w:sz w:val="24"/>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qFormat/>
    <w:pPr>
      <w:spacing w:before="100" w:after="100"/>
      <w:ind w:left="480" w:right="480"/>
    </w:pPr>
  </w:style>
  <w:style w:type="paragraph" w:styleId="FootnoteText">
    <w:name w:val="footnote text"/>
    <w:basedOn w:val="Normal"/>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paragraph" w:styleId="TOCHeading">
    <w:name w:val="TOC Heading"/>
    <w:basedOn w:val="Heading1"/>
    <w:next w:val="BodyText"/>
    <w:qFormat/>
    <w:pPr>
      <w:spacing w:before="240" w:line="259" w:lineRule="auto"/>
    </w:pPr>
    <w:rPr>
      <w:b w:val="0"/>
      <w:bCs w:val="0"/>
      <w:color w:val="365F91"/>
    </w:rPr>
  </w:style>
  <w:style w:type="paragraph" w:customStyle="1" w:styleId="SourceCode">
    <w:name w:val="Source Code"/>
    <w:basedOn w:val="Normal"/>
    <w:qFormat/>
    <w:pPr>
      <w:shd w:val="clear" w:color="auto" w:fill="F8F8F8"/>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F2F2C"/>
    <w:pPr>
      <w:tabs>
        <w:tab w:val="center" w:pos="4513"/>
        <w:tab w:val="right" w:pos="9026"/>
      </w:tabs>
      <w:spacing w:after="0"/>
    </w:pPr>
  </w:style>
  <w:style w:type="paragraph" w:styleId="Footer">
    <w:name w:val="footer"/>
    <w:basedOn w:val="Normal"/>
    <w:link w:val="FooterChar"/>
    <w:uiPriority w:val="99"/>
    <w:unhideWhenUsed/>
    <w:rsid w:val="001F2F2C"/>
    <w:pPr>
      <w:tabs>
        <w:tab w:val="center" w:pos="4513"/>
        <w:tab w:val="right" w:pos="9026"/>
      </w:tabs>
      <w:spacing w:after="0"/>
    </w:pPr>
  </w:style>
  <w:style w:type="paragraph" w:customStyle="1" w:styleId="Quotations">
    <w:name w:val="Quotations"/>
    <w:basedOn w:val="Normal"/>
    <w:qFormat/>
    <w:pPr>
      <w:spacing w:after="283"/>
      <w:ind w:left="567" w:right="567"/>
    </w:pPr>
  </w:style>
  <w:style w:type="table" w:styleId="TableGrid">
    <w:name w:val="Table Grid"/>
    <w:basedOn w:val="TableNormal"/>
    <w:uiPriority w:val="39"/>
    <w:rsid w:val="00164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64AE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styleId="UnresolvedMention">
    <w:name w:val="Unresolved Mention"/>
    <w:basedOn w:val="DefaultParagraphFont"/>
    <w:uiPriority w:val="99"/>
    <w:semiHidden/>
    <w:unhideWhenUsed/>
    <w:rsid w:val="00FC52E0"/>
    <w:rPr>
      <w:color w:val="605E5C"/>
      <w:shd w:val="clear" w:color="auto" w:fill="E1DFDD"/>
    </w:rPr>
  </w:style>
  <w:style w:type="paragraph" w:customStyle="1" w:styleId="Head1">
    <w:name w:val="Head1"/>
    <w:basedOn w:val="Normal"/>
    <w:rsid w:val="0073211C"/>
    <w:pPr>
      <w:keepNext/>
      <w:suppressAutoHyphens w:val="0"/>
      <w:spacing w:after="240"/>
    </w:pPr>
    <w:rPr>
      <w:rFonts w:ascii="Helvetica" w:eastAsia="Times New Roman" w:hAnsi="Helvetica" w:cs="Times New Roman"/>
      <w:b/>
      <w:caps/>
      <w:sz w:val="22"/>
      <w:szCs w:val="20"/>
    </w:rPr>
  </w:style>
  <w:style w:type="paragraph" w:customStyle="1" w:styleId="ConcHead">
    <w:name w:val="Conc Head"/>
    <w:basedOn w:val="Normal"/>
    <w:rsid w:val="00AA7209"/>
    <w:pPr>
      <w:keepNext/>
      <w:suppressAutoHyphens w:val="0"/>
      <w:spacing w:after="240"/>
    </w:pPr>
    <w:rPr>
      <w:rFonts w:ascii="Helvetica" w:eastAsia="Times New Roman" w:hAnsi="Helvetica" w:cs="Times New Roman"/>
      <w:b/>
      <w:caps/>
      <w:sz w:val="22"/>
      <w:szCs w:val="20"/>
    </w:rPr>
  </w:style>
  <w:style w:type="paragraph" w:customStyle="1" w:styleId="ReferHead">
    <w:name w:val="Refer Head"/>
    <w:basedOn w:val="Normal"/>
    <w:rsid w:val="00AA7209"/>
    <w:pPr>
      <w:keepNext/>
      <w:suppressAutoHyphens w:val="0"/>
      <w:spacing w:after="240"/>
    </w:pPr>
    <w:rPr>
      <w:rFonts w:ascii="Helvetica" w:eastAsia="Times New Roman" w:hAnsi="Helvetica" w:cs="Times New Roman"/>
      <w:b/>
      <w:caps/>
      <w:sz w:val="22"/>
      <w:szCs w:val="20"/>
    </w:rPr>
  </w:style>
  <w:style w:type="paragraph" w:styleId="NormalWeb">
    <w:name w:val="Normal (Web)"/>
    <w:basedOn w:val="Normal"/>
    <w:uiPriority w:val="99"/>
    <w:semiHidden/>
    <w:unhideWhenUsed/>
    <w:rsid w:val="00972A8B"/>
    <w:rPr>
      <w:rFonts w:ascii="Times New Roman" w:hAnsi="Times New Roman" w:cs="Times New Roman"/>
    </w:rPr>
  </w:style>
  <w:style w:type="paragraph" w:styleId="ListParagraph">
    <w:name w:val="List Paragraph"/>
    <w:basedOn w:val="Normal"/>
    <w:uiPriority w:val="34"/>
    <w:qFormat/>
    <w:rsid w:val="008C7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ands.dacnet.nic.in/Cost_of_Cultivation.htm" TargetMode="External"/><Relationship Id="rId18" Type="http://schemas.openxmlformats.org/officeDocument/2006/relationships/hyperlink" Target="https://doi.org/10.35716/IJED/22238"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hyperlink" Target="https://socialsciences.mcmaster.ca/jfox/Books/Companion/" TargetMode="External"/><Relationship Id="rId17" Type="http://schemas.openxmlformats.org/officeDocument/2006/relationships/hyperlink" Target="https://krishikosh.egranth.ac.in/handle/1/5810179117"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R-project.org/"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eands.dacnet.nic.in/" TargetMode="External"/><Relationship Id="rId11" Type="http://schemas.openxmlformats.org/officeDocument/2006/relationships/hyperlink" Target="https://www.niti.gov.in/writereaddata/files/document_publication/DOUBLING%20FARMERS%20INCOME.pdf"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esagri.gov.in/en/document-report/agricultural-statistics-at-a-glance-2024/" TargetMode="External"/><Relationship Id="rId23" Type="http://schemas.openxmlformats.org/officeDocument/2006/relationships/footer" Target="footer2.xml"/><Relationship Id="rId10" Type="http://schemas.openxmlformats.org/officeDocument/2006/relationships/hyperlink" Target="https://doi.org/10.35716/IJED/20307" TargetMode="External"/><Relationship Id="rId19" Type="http://schemas.openxmlformats.org/officeDocument/2006/relationships/hyperlink" Target="https://asianarchive.co.in/index.php/AJAEES/article/view/10246"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doi.org/10.35716/IJED/2030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9</Pages>
  <Words>3360</Words>
  <Characters>19156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Farmers’ Profitability in pulses and oilseeds in Madhya Pradesh: A Scenario Building Excercise</vt:lpstr>
    </vt:vector>
  </TitlesOfParts>
  <Company/>
  <LinksUpToDate>false</LinksUpToDate>
  <CharactersWithSpaces>22472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Farmers’ Profitability in pulses and oilseeds in Madhya Pradesh: A Scenario Building Excercise</dc:title>
  <dc:subject/>
  <dc:creator>Ankita Rajpoot, Gourav Kumar Vani and Poonam Chaturvedi</dc:creator>
  <dc:description/>
  <cp:lastModifiedBy>Rp Chaturvedi</cp:lastModifiedBy>
  <cp:revision>179</cp:revision>
  <dcterms:created xsi:type="dcterms:W3CDTF">2022-07-19T21:23:00Z</dcterms:created>
  <dcterms:modified xsi:type="dcterms:W3CDTF">2026-02-15T09:15:00Z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bibliography">
    <vt:lpwstr>references.bib</vt:lpwstr>
  </property>
  <property fmtid="{D5CDD505-2E9C-101B-9397-08002B2CF9AE}" pid="9" name="date">
    <vt:lpwstr>2022-07-20</vt:lpwstr>
  </property>
  <property fmtid="{D5CDD505-2E9C-101B-9397-08002B2CF9AE}" pid="10" name="output">
    <vt:lpwstr/>
  </property>
</Properties>
</file>