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C77A" w14:textId="40CE9B8E" w:rsidR="000C52C0" w:rsidRDefault="000C52C0" w:rsidP="007418E7">
      <w:pPr>
        <w:spacing w:line="360" w:lineRule="auto"/>
        <w:jc w:val="center"/>
        <w:rPr>
          <w:rFonts w:ascii="Times New Roman" w:hAnsi="Times New Roman" w:cs="Times New Roman"/>
          <w:b/>
          <w:bCs/>
          <w:sz w:val="24"/>
          <w:szCs w:val="24"/>
        </w:rPr>
      </w:pPr>
      <w:r w:rsidRPr="000C52C0">
        <w:rPr>
          <w:rFonts w:ascii="Times New Roman" w:hAnsi="Times New Roman" w:cs="Times New Roman"/>
          <w:b/>
          <w:bCs/>
          <w:sz w:val="24"/>
          <w:szCs w:val="24"/>
        </w:rPr>
        <w:t xml:space="preserve">Unlocking Market Potential </w:t>
      </w:r>
      <w:r w:rsidR="007418E7">
        <w:rPr>
          <w:rFonts w:ascii="Times New Roman" w:hAnsi="Times New Roman" w:cs="Times New Roman"/>
          <w:b/>
          <w:bCs/>
          <w:sz w:val="24"/>
          <w:szCs w:val="24"/>
        </w:rPr>
        <w:t xml:space="preserve">for Madurai Malli </w:t>
      </w:r>
      <w:r w:rsidRPr="000C52C0">
        <w:rPr>
          <w:rFonts w:ascii="Times New Roman" w:hAnsi="Times New Roman" w:cs="Times New Roman"/>
          <w:b/>
          <w:bCs/>
          <w:sz w:val="24"/>
          <w:szCs w:val="24"/>
        </w:rPr>
        <w:t>through Value Chain Analysis</w:t>
      </w:r>
    </w:p>
    <w:p w14:paraId="3787FC44" w14:textId="77777777" w:rsidR="00441F0A" w:rsidRDefault="00441F0A" w:rsidP="007418E7">
      <w:pPr>
        <w:spacing w:line="360" w:lineRule="auto"/>
        <w:jc w:val="center"/>
        <w:rPr>
          <w:rFonts w:ascii="Times New Roman" w:hAnsi="Times New Roman" w:cs="Times New Roman"/>
          <w:b/>
          <w:bCs/>
          <w:sz w:val="24"/>
          <w:szCs w:val="24"/>
        </w:rPr>
      </w:pPr>
    </w:p>
    <w:p w14:paraId="15B28041" w14:textId="77777777" w:rsidR="00655B2E" w:rsidRDefault="00655B2E" w:rsidP="000C52C0">
      <w:pPr>
        <w:spacing w:line="360" w:lineRule="auto"/>
        <w:rPr>
          <w:rFonts w:ascii="Times New Roman" w:hAnsi="Times New Roman" w:cs="Times New Roman"/>
          <w:b/>
          <w:bCs/>
        </w:rPr>
      </w:pPr>
    </w:p>
    <w:p w14:paraId="3ECCA8D3" w14:textId="385450F4" w:rsidR="00694F1A" w:rsidRDefault="00694F1A" w:rsidP="000C52C0">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157C03B9" w14:textId="0E0043CA" w:rsidR="00694F1A" w:rsidRPr="004D44ED" w:rsidRDefault="004D44ED" w:rsidP="00834C77">
      <w:pPr>
        <w:spacing w:line="360" w:lineRule="auto"/>
        <w:ind w:firstLine="720"/>
        <w:jc w:val="both"/>
        <w:rPr>
          <w:rFonts w:ascii="Times New Roman" w:hAnsi="Times New Roman" w:cs="Times New Roman"/>
          <w:sz w:val="24"/>
          <w:szCs w:val="24"/>
        </w:rPr>
      </w:pPr>
      <w:r w:rsidRPr="004D44ED">
        <w:rPr>
          <w:rFonts w:ascii="Times New Roman" w:hAnsi="Times New Roman" w:cs="Times New Roman"/>
          <w:sz w:val="24"/>
          <w:szCs w:val="24"/>
        </w:rPr>
        <w:t xml:space="preserve">Geographical Indications (GI) serve as intellectual property rights that protect products uniquely tied to specific regions, where distinctive attributes are derived from local natural, cultural, or traditional factors. This study </w:t>
      </w:r>
      <w:r w:rsidR="006C78AC" w:rsidRPr="004D44ED">
        <w:rPr>
          <w:rFonts w:ascii="Times New Roman" w:hAnsi="Times New Roman" w:cs="Times New Roman"/>
          <w:sz w:val="24"/>
          <w:szCs w:val="24"/>
        </w:rPr>
        <w:t>analyses</w:t>
      </w:r>
      <w:r w:rsidRPr="004D44ED">
        <w:rPr>
          <w:rFonts w:ascii="Times New Roman" w:hAnsi="Times New Roman" w:cs="Times New Roman"/>
          <w:sz w:val="24"/>
          <w:szCs w:val="24"/>
        </w:rPr>
        <w:t xml:space="preserve"> the marketing structure, price spread, and efficiency of GI-certified Madurai Malli in Tamil Nadu’s Madurai district, aiming to identify optimal marketing channels that maximize farmer income and minimize intermediary costs. The research was conducted in </w:t>
      </w:r>
      <w:proofErr w:type="spellStart"/>
      <w:r w:rsidRPr="004D44ED">
        <w:rPr>
          <w:rFonts w:ascii="Times New Roman" w:hAnsi="Times New Roman" w:cs="Times New Roman"/>
          <w:sz w:val="24"/>
          <w:szCs w:val="24"/>
        </w:rPr>
        <w:t>Thiruparangundram</w:t>
      </w:r>
      <w:proofErr w:type="spellEnd"/>
      <w:r w:rsidRPr="004D44ED">
        <w:rPr>
          <w:rFonts w:ascii="Times New Roman" w:hAnsi="Times New Roman" w:cs="Times New Roman"/>
          <w:sz w:val="24"/>
          <w:szCs w:val="24"/>
        </w:rPr>
        <w:t xml:space="preserve"> and </w:t>
      </w:r>
      <w:proofErr w:type="spellStart"/>
      <w:r w:rsidRPr="004D44ED">
        <w:rPr>
          <w:rFonts w:ascii="Times New Roman" w:hAnsi="Times New Roman" w:cs="Times New Roman"/>
          <w:sz w:val="24"/>
          <w:szCs w:val="24"/>
        </w:rPr>
        <w:t>Kallikudi</w:t>
      </w:r>
      <w:proofErr w:type="spellEnd"/>
      <w:r w:rsidRPr="004D44ED">
        <w:rPr>
          <w:rFonts w:ascii="Times New Roman" w:hAnsi="Times New Roman" w:cs="Times New Roman"/>
          <w:sz w:val="24"/>
          <w:szCs w:val="24"/>
        </w:rPr>
        <w:t xml:space="preserve"> blocks of Madurai, involving 60 farmers and 10 intermediaries. The study employed Acharya’s and Shepherd’s approaches to evaluate marketing efficiency, in addition to price spread and producer share analyses.</w:t>
      </w:r>
      <w:r>
        <w:rPr>
          <w:rFonts w:ascii="Times New Roman" w:hAnsi="Times New Roman" w:cs="Times New Roman"/>
          <w:sz w:val="24"/>
          <w:szCs w:val="24"/>
        </w:rPr>
        <w:t xml:space="preserve"> The identified f</w:t>
      </w:r>
      <w:r w:rsidRPr="004D44ED">
        <w:rPr>
          <w:rFonts w:ascii="Times New Roman" w:hAnsi="Times New Roman" w:cs="Times New Roman"/>
          <w:sz w:val="24"/>
          <w:szCs w:val="24"/>
        </w:rPr>
        <w:t xml:space="preserve">our </w:t>
      </w:r>
      <w:r w:rsidR="00B64996">
        <w:rPr>
          <w:rFonts w:ascii="Times New Roman" w:hAnsi="Times New Roman" w:cs="Times New Roman"/>
          <w:sz w:val="24"/>
          <w:szCs w:val="24"/>
        </w:rPr>
        <w:t>M</w:t>
      </w:r>
      <w:r w:rsidRPr="004D44ED">
        <w:rPr>
          <w:rFonts w:ascii="Times New Roman" w:hAnsi="Times New Roman" w:cs="Times New Roman"/>
          <w:sz w:val="24"/>
          <w:szCs w:val="24"/>
        </w:rPr>
        <w:t xml:space="preserve">arketing </w:t>
      </w:r>
      <w:r w:rsidR="00B64996">
        <w:rPr>
          <w:rFonts w:ascii="Times New Roman" w:hAnsi="Times New Roman" w:cs="Times New Roman"/>
          <w:sz w:val="24"/>
          <w:szCs w:val="24"/>
        </w:rPr>
        <w:t>C</w:t>
      </w:r>
      <w:r w:rsidRPr="004D44ED">
        <w:rPr>
          <w:rFonts w:ascii="Times New Roman" w:hAnsi="Times New Roman" w:cs="Times New Roman"/>
          <w:sz w:val="24"/>
          <w:szCs w:val="24"/>
        </w:rPr>
        <w:t>hannels</w:t>
      </w:r>
      <w:r w:rsidR="00B64996">
        <w:rPr>
          <w:rFonts w:ascii="Times New Roman" w:hAnsi="Times New Roman" w:cs="Times New Roman"/>
          <w:sz w:val="24"/>
          <w:szCs w:val="24"/>
        </w:rPr>
        <w:t xml:space="preserve"> (MC)</w:t>
      </w:r>
      <w:r w:rsidRPr="004D44ED">
        <w:rPr>
          <w:rFonts w:ascii="Times New Roman" w:hAnsi="Times New Roman" w:cs="Times New Roman"/>
          <w:sz w:val="24"/>
          <w:szCs w:val="24"/>
        </w:rPr>
        <w:t xml:space="preserve"> were:</w:t>
      </w:r>
      <w:r>
        <w:rPr>
          <w:rFonts w:ascii="Times New Roman" w:hAnsi="Times New Roman" w:cs="Times New Roman"/>
          <w:sz w:val="24"/>
          <w:szCs w:val="24"/>
        </w:rPr>
        <w:t xml:space="preserve"> </w:t>
      </w:r>
      <w:r w:rsidRPr="004D44ED">
        <w:rPr>
          <w:rFonts w:ascii="Times New Roman" w:hAnsi="Times New Roman" w:cs="Times New Roman"/>
          <w:sz w:val="24"/>
          <w:szCs w:val="24"/>
        </w:rPr>
        <w:t>MC I (Farmer → Trader → Wholesaler → Retailer → Consumer),</w:t>
      </w:r>
      <w:r>
        <w:rPr>
          <w:rFonts w:ascii="Times New Roman" w:hAnsi="Times New Roman" w:cs="Times New Roman"/>
          <w:sz w:val="24"/>
          <w:szCs w:val="24"/>
        </w:rPr>
        <w:t xml:space="preserve"> </w:t>
      </w:r>
      <w:r w:rsidRPr="004D44ED">
        <w:rPr>
          <w:rFonts w:ascii="Times New Roman" w:hAnsi="Times New Roman" w:cs="Times New Roman"/>
          <w:sz w:val="24"/>
          <w:szCs w:val="24"/>
        </w:rPr>
        <w:t>MC II (Farmer → Trader → Exporter → Importer → Consumer),</w:t>
      </w:r>
      <w:r>
        <w:rPr>
          <w:rFonts w:ascii="Times New Roman" w:hAnsi="Times New Roman" w:cs="Times New Roman"/>
          <w:sz w:val="24"/>
          <w:szCs w:val="24"/>
        </w:rPr>
        <w:t xml:space="preserve"> </w:t>
      </w:r>
      <w:r w:rsidRPr="004D44ED">
        <w:rPr>
          <w:rFonts w:ascii="Times New Roman" w:hAnsi="Times New Roman" w:cs="Times New Roman"/>
          <w:sz w:val="24"/>
          <w:szCs w:val="24"/>
        </w:rPr>
        <w:t>MC III (Farmer → Trader → Retailer → Consumer) and</w:t>
      </w:r>
      <w:r>
        <w:rPr>
          <w:rFonts w:ascii="Times New Roman" w:hAnsi="Times New Roman" w:cs="Times New Roman"/>
          <w:sz w:val="24"/>
          <w:szCs w:val="24"/>
        </w:rPr>
        <w:t xml:space="preserve"> </w:t>
      </w:r>
      <w:r w:rsidRPr="004D44ED">
        <w:rPr>
          <w:rFonts w:ascii="Times New Roman" w:hAnsi="Times New Roman" w:cs="Times New Roman"/>
          <w:sz w:val="24"/>
          <w:szCs w:val="24"/>
        </w:rPr>
        <w:t>MC IV (Farmer → Trader → Processor → Perfumery Exporter → Importer → Consumer).</w:t>
      </w:r>
      <w:r>
        <w:rPr>
          <w:rFonts w:ascii="Times New Roman" w:hAnsi="Times New Roman" w:cs="Times New Roman"/>
          <w:sz w:val="24"/>
          <w:szCs w:val="24"/>
        </w:rPr>
        <w:t xml:space="preserve"> </w:t>
      </w:r>
      <w:r w:rsidRPr="004D44ED">
        <w:rPr>
          <w:rFonts w:ascii="Times New Roman" w:hAnsi="Times New Roman" w:cs="Times New Roman"/>
          <w:sz w:val="24"/>
          <w:szCs w:val="24"/>
        </w:rPr>
        <w:t>Among these, MC I was the most prevalent (60%), while MC III and MC II accounted for 20% and 10% respectively. MC IV, though promising for value addition, lacked sufficient data for efficiency evaluation. The price spread analysis revealed that MC III delivered the highest net price to farmers (72.97%) and the lowest price spread (27.03%), making it the most efficient channel. MC III as the most eff</w:t>
      </w:r>
      <w:r w:rsidR="00834C77">
        <w:rPr>
          <w:rFonts w:ascii="Times New Roman" w:hAnsi="Times New Roman" w:cs="Times New Roman"/>
          <w:sz w:val="24"/>
          <w:szCs w:val="24"/>
        </w:rPr>
        <w:t>icient channel</w:t>
      </w:r>
      <w:r w:rsidRPr="004D44ED">
        <w:rPr>
          <w:rFonts w:ascii="Times New Roman" w:hAnsi="Times New Roman" w:cs="Times New Roman"/>
          <w:sz w:val="24"/>
          <w:szCs w:val="24"/>
        </w:rPr>
        <w:t xml:space="preserve">, with values of 2.45 (Acharya) and 3.36 (Shepherd). The study concludes that shorter </w:t>
      </w:r>
      <w:r>
        <w:rPr>
          <w:rFonts w:ascii="Times New Roman" w:hAnsi="Times New Roman" w:cs="Times New Roman"/>
          <w:sz w:val="24"/>
          <w:szCs w:val="24"/>
        </w:rPr>
        <w:t>value</w:t>
      </w:r>
      <w:r w:rsidRPr="004D44ED">
        <w:rPr>
          <w:rFonts w:ascii="Times New Roman" w:hAnsi="Times New Roman" w:cs="Times New Roman"/>
          <w:sz w:val="24"/>
          <w:szCs w:val="24"/>
        </w:rPr>
        <w:t xml:space="preserve"> chains</w:t>
      </w:r>
      <w:r w:rsidR="00834C77">
        <w:rPr>
          <w:rFonts w:ascii="Times New Roman" w:hAnsi="Times New Roman" w:cs="Times New Roman"/>
          <w:sz w:val="24"/>
          <w:szCs w:val="24"/>
        </w:rPr>
        <w:t xml:space="preserve"> </w:t>
      </w:r>
      <w:r w:rsidRPr="004D44ED">
        <w:rPr>
          <w:rFonts w:ascii="Times New Roman" w:hAnsi="Times New Roman" w:cs="Times New Roman"/>
          <w:sz w:val="24"/>
          <w:szCs w:val="24"/>
        </w:rPr>
        <w:t>offer better economic returns to producers. Enhancing direct linkages between farmers and retailers and promoting collective marketing strategies can further improve sustainability. There is also potential to develop MC IV for value-added products like perfumes, provided adequate infrastructure and data are in place.</w:t>
      </w:r>
    </w:p>
    <w:p w14:paraId="11A85EC2" w14:textId="2D47FE94" w:rsidR="00694F1A" w:rsidRDefault="00694F1A" w:rsidP="000C52C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834C77">
        <w:rPr>
          <w:rFonts w:ascii="Times New Roman" w:hAnsi="Times New Roman" w:cs="Times New Roman"/>
          <w:sz w:val="24"/>
          <w:szCs w:val="24"/>
        </w:rPr>
        <w:t>Value Chain, Madurai Malli, Marketing Efficiency</w:t>
      </w:r>
      <w:r w:rsidR="00B64996">
        <w:rPr>
          <w:rFonts w:ascii="Times New Roman" w:hAnsi="Times New Roman" w:cs="Times New Roman"/>
          <w:sz w:val="24"/>
          <w:szCs w:val="24"/>
        </w:rPr>
        <w:t>, Price Spread, Geographical Indication</w:t>
      </w:r>
    </w:p>
    <w:p w14:paraId="044C510B" w14:textId="56F8C0D2" w:rsidR="00FD074C" w:rsidRPr="00834C77" w:rsidRDefault="00FD074C" w:rsidP="007418E7">
      <w:pPr>
        <w:pStyle w:val="ListParagraph"/>
        <w:numPr>
          <w:ilvl w:val="0"/>
          <w:numId w:val="4"/>
        </w:numPr>
        <w:spacing w:line="360" w:lineRule="auto"/>
        <w:ind w:left="284" w:hanging="284"/>
        <w:rPr>
          <w:rFonts w:ascii="Times New Roman" w:hAnsi="Times New Roman" w:cs="Times New Roman"/>
          <w:b/>
          <w:bCs/>
          <w:sz w:val="24"/>
          <w:szCs w:val="24"/>
        </w:rPr>
      </w:pPr>
      <w:r w:rsidRPr="00834C77">
        <w:rPr>
          <w:rFonts w:ascii="Times New Roman" w:hAnsi="Times New Roman" w:cs="Times New Roman"/>
          <w:b/>
          <w:bCs/>
          <w:sz w:val="24"/>
          <w:szCs w:val="24"/>
        </w:rPr>
        <w:t>Introduction</w:t>
      </w:r>
    </w:p>
    <w:p w14:paraId="486E1C2E" w14:textId="3CF2A40C" w:rsidR="006333D1" w:rsidRPr="008A4ED0" w:rsidRDefault="006333D1" w:rsidP="000C52C0">
      <w:pPr>
        <w:spacing w:line="360" w:lineRule="auto"/>
        <w:ind w:firstLine="720"/>
        <w:jc w:val="both"/>
        <w:rPr>
          <w:rFonts w:ascii="Times New Roman" w:hAnsi="Times New Roman" w:cs="Times New Roman"/>
          <w:sz w:val="24"/>
          <w:szCs w:val="24"/>
        </w:rPr>
      </w:pPr>
      <w:r w:rsidRPr="00834C77">
        <w:rPr>
          <w:rFonts w:ascii="Times New Roman" w:hAnsi="Times New Roman" w:cs="Times New Roman"/>
          <w:sz w:val="24"/>
          <w:szCs w:val="24"/>
        </w:rPr>
        <w:t xml:space="preserve">Geographical Indications are intellectual property rights that certify and protect the association of a product with a specific geographic origin, where the unique qualities, reputation or characteristics of the product are inherently linked to the natural, cultural or </w:t>
      </w:r>
      <w:r w:rsidRPr="00834C77">
        <w:rPr>
          <w:rFonts w:ascii="Times New Roman" w:hAnsi="Times New Roman" w:cs="Times New Roman"/>
          <w:sz w:val="24"/>
          <w:szCs w:val="24"/>
        </w:rPr>
        <w:lastRenderedPageBreak/>
        <w:t>traditional factors of that region</w:t>
      </w:r>
      <w:r w:rsidR="00D76F7B">
        <w:rPr>
          <w:rFonts w:ascii="Times New Roman" w:hAnsi="Times New Roman" w:cs="Times New Roman"/>
          <w:sz w:val="24"/>
          <w:szCs w:val="24"/>
        </w:rPr>
        <w:t xml:space="preserve"> (</w:t>
      </w:r>
      <w:r w:rsidR="00D76F7B" w:rsidRPr="008A4ED0">
        <w:rPr>
          <w:rFonts w:ascii="Times New Roman" w:hAnsi="Times New Roman" w:cs="Times New Roman"/>
          <w:sz w:val="24"/>
          <w:szCs w:val="24"/>
        </w:rPr>
        <w:t>Castro &amp; Giraldi, 2018</w:t>
      </w:r>
      <w:r w:rsidR="00D76F7B" w:rsidRPr="008A4ED0">
        <w:rPr>
          <w:rFonts w:ascii="Times New Roman" w:hAnsi="Times New Roman" w:cs="Times New Roman"/>
          <w:sz w:val="24"/>
          <w:szCs w:val="24"/>
        </w:rPr>
        <w:t>)</w:t>
      </w:r>
      <w:r w:rsidRPr="008A4ED0">
        <w:rPr>
          <w:rFonts w:ascii="Times New Roman" w:hAnsi="Times New Roman" w:cs="Times New Roman"/>
          <w:sz w:val="24"/>
          <w:szCs w:val="24"/>
        </w:rPr>
        <w:t>. The product origin emerged as a support or guarantee for quality and differentiation of</w:t>
      </w:r>
      <w:r w:rsidRPr="008A4ED0">
        <w:rPr>
          <w:rFonts w:ascii="Times New Roman" w:hAnsi="Times New Roman" w:cs="Times New Roman"/>
          <w:spacing w:val="-1"/>
          <w:sz w:val="24"/>
          <w:szCs w:val="24"/>
        </w:rPr>
        <w:t xml:space="preserve"> </w:t>
      </w:r>
      <w:r w:rsidRPr="008A4ED0">
        <w:rPr>
          <w:rFonts w:ascii="Times New Roman" w:hAnsi="Times New Roman" w:cs="Times New Roman"/>
          <w:sz w:val="24"/>
          <w:szCs w:val="24"/>
        </w:rPr>
        <w:t xml:space="preserve">such products in the markets </w:t>
      </w:r>
      <w:r w:rsidRPr="008A4ED0">
        <w:rPr>
          <w:rFonts w:ascii="Times New Roman" w:hAnsi="Times New Roman" w:cs="Times New Roman"/>
          <w:noProof/>
          <w:sz w:val="24"/>
          <w:szCs w:val="24"/>
        </w:rPr>
        <w:t>(Dinnie, 2015)</w:t>
      </w:r>
      <w:r w:rsidRPr="008A4ED0">
        <w:rPr>
          <w:rFonts w:ascii="Times New Roman" w:hAnsi="Times New Roman" w:cs="Times New Roman"/>
          <w:sz w:val="24"/>
          <w:szCs w:val="24"/>
        </w:rPr>
        <w:t>.</w:t>
      </w:r>
      <w:r w:rsidRPr="008A4ED0">
        <w:rPr>
          <w:rFonts w:ascii="Times New Roman" w:hAnsi="Times New Roman" w:cs="Times New Roman"/>
          <w:spacing w:val="40"/>
          <w:sz w:val="24"/>
          <w:szCs w:val="24"/>
        </w:rPr>
        <w:t xml:space="preserve"> </w:t>
      </w:r>
      <w:r w:rsidRPr="008A4ED0">
        <w:rPr>
          <w:rFonts w:ascii="Times New Roman" w:hAnsi="Times New Roman" w:cs="Times New Roman"/>
          <w:sz w:val="24"/>
          <w:szCs w:val="24"/>
        </w:rPr>
        <w:t>Even though the certifications of origin differ across the countries, one frequent link to the name of the products is the Geographical</w:t>
      </w:r>
      <w:r w:rsidRPr="008A4ED0">
        <w:rPr>
          <w:rFonts w:ascii="Times New Roman" w:hAnsi="Times New Roman" w:cs="Times New Roman"/>
          <w:spacing w:val="-10"/>
          <w:sz w:val="24"/>
          <w:szCs w:val="24"/>
        </w:rPr>
        <w:t xml:space="preserve"> </w:t>
      </w:r>
      <w:r w:rsidRPr="008A4ED0">
        <w:rPr>
          <w:rFonts w:ascii="Times New Roman" w:hAnsi="Times New Roman" w:cs="Times New Roman"/>
          <w:sz w:val="24"/>
          <w:szCs w:val="24"/>
        </w:rPr>
        <w:t>Indications</w:t>
      </w:r>
      <w:r w:rsidRPr="008A4ED0">
        <w:rPr>
          <w:rFonts w:ascii="Times New Roman" w:hAnsi="Times New Roman" w:cs="Times New Roman"/>
          <w:spacing w:val="-9"/>
          <w:sz w:val="24"/>
          <w:szCs w:val="24"/>
        </w:rPr>
        <w:t xml:space="preserve"> </w:t>
      </w:r>
      <w:r w:rsidRPr="008A4ED0">
        <w:rPr>
          <w:rFonts w:ascii="Times New Roman" w:hAnsi="Times New Roman" w:cs="Times New Roman"/>
          <w:sz w:val="24"/>
          <w:szCs w:val="24"/>
        </w:rPr>
        <w:t>(GI).</w:t>
      </w:r>
    </w:p>
    <w:p w14:paraId="6EA8BAFD" w14:textId="438C3195" w:rsidR="00D76F7B" w:rsidRPr="008A4ED0" w:rsidRDefault="00D76F7B" w:rsidP="00D76F7B">
      <w:pPr>
        <w:spacing w:line="360" w:lineRule="auto"/>
        <w:ind w:firstLine="720"/>
        <w:jc w:val="both"/>
        <w:rPr>
          <w:rFonts w:ascii="Times New Roman" w:hAnsi="Times New Roman" w:cs="Times New Roman"/>
          <w:sz w:val="24"/>
          <w:szCs w:val="24"/>
        </w:rPr>
      </w:pPr>
      <w:r w:rsidRPr="008A4ED0">
        <w:rPr>
          <w:rFonts w:ascii="Times New Roman" w:hAnsi="Times New Roman" w:cs="Times New Roman"/>
          <w:sz w:val="24"/>
          <w:szCs w:val="24"/>
        </w:rPr>
        <w:t xml:space="preserve">Producers increasingly adopt product differentiation strategies such as geographical indications (GIs) to signal quality, safeguard traditional knowledge, and enhance market competitiveness (Rangnekar, 2004; Dias &amp; Mendes, 2018). </w:t>
      </w:r>
    </w:p>
    <w:p w14:paraId="5A1A7837" w14:textId="4751547E" w:rsidR="00D76F7B" w:rsidRPr="008A4ED0" w:rsidRDefault="00D76F7B" w:rsidP="00D76F7B">
      <w:pPr>
        <w:spacing w:line="360" w:lineRule="auto"/>
        <w:ind w:firstLine="720"/>
        <w:jc w:val="both"/>
        <w:rPr>
          <w:rFonts w:ascii="Times New Roman" w:hAnsi="Times New Roman" w:cs="Times New Roman"/>
          <w:sz w:val="24"/>
          <w:szCs w:val="24"/>
        </w:rPr>
      </w:pPr>
      <w:r w:rsidRPr="008A4ED0">
        <w:rPr>
          <w:rFonts w:ascii="Times New Roman" w:hAnsi="Times New Roman" w:cs="Times New Roman"/>
          <w:sz w:val="24"/>
          <w:szCs w:val="24"/>
        </w:rPr>
        <w:t>In floriculture, GI certification plays a vital role in preserving traditional varieties, improving price realization, and facilitating access to niche domestic and international markets (Rupprecht, 2020). Jasmine, one of India’s most culturally significant flowers, holds a prominent place in religious, social, and commercial life. Among its varieties, GI-certified jasmine such as Madurai Malli is distinguished by its superior fragrance, longer shelf life, and aesthetic appeal</w:t>
      </w:r>
      <w:r w:rsidRPr="008A4ED0">
        <w:rPr>
          <w:rFonts w:ascii="Times New Roman" w:hAnsi="Times New Roman" w:cs="Times New Roman"/>
          <w:sz w:val="24"/>
          <w:szCs w:val="24"/>
        </w:rPr>
        <w:t xml:space="preserve"> </w:t>
      </w:r>
      <w:r w:rsidRPr="008A4ED0">
        <w:rPr>
          <w:rFonts w:ascii="Times New Roman" w:hAnsi="Times New Roman" w:cs="Times New Roman"/>
          <w:sz w:val="24"/>
          <w:szCs w:val="24"/>
        </w:rPr>
        <w:t>attributes closely associated with local agro-climatic conditions and traditional cultivation practices (Giovannucci et al., 2009; Nirosha &amp; Mansingh, 2024). Despite this recognition, the economic potential of GI jasmine remains underutilized due to fragmented marketing systems, limited value addition, and weak institutional linkages.</w:t>
      </w:r>
    </w:p>
    <w:p w14:paraId="21955929" w14:textId="70EB1A6D" w:rsidR="00D76F7B" w:rsidRPr="00834C77" w:rsidRDefault="00D76F7B" w:rsidP="00D76F7B">
      <w:pPr>
        <w:spacing w:line="360" w:lineRule="auto"/>
        <w:ind w:firstLine="720"/>
        <w:jc w:val="both"/>
        <w:rPr>
          <w:rFonts w:ascii="Times New Roman" w:hAnsi="Times New Roman" w:cs="Times New Roman"/>
          <w:sz w:val="24"/>
          <w:szCs w:val="24"/>
        </w:rPr>
      </w:pPr>
      <w:r w:rsidRPr="008A4ED0">
        <w:rPr>
          <w:rFonts w:ascii="Times New Roman" w:hAnsi="Times New Roman" w:cs="Times New Roman"/>
          <w:sz w:val="24"/>
          <w:szCs w:val="24"/>
        </w:rPr>
        <w:t>Value chain analysis offers a comprehensive framework for understanding how value is created, distributed, and captured across actors from producers to consumers (Kaplinsky &amp; Morris, 200</w:t>
      </w:r>
      <w:r w:rsidRPr="008A4ED0">
        <w:rPr>
          <w:rFonts w:ascii="Times New Roman" w:hAnsi="Times New Roman" w:cs="Times New Roman"/>
          <w:sz w:val="24"/>
          <w:szCs w:val="24"/>
        </w:rPr>
        <w:t>0</w:t>
      </w:r>
      <w:r w:rsidRPr="008A4ED0">
        <w:rPr>
          <w:rFonts w:ascii="Times New Roman" w:hAnsi="Times New Roman" w:cs="Times New Roman"/>
          <w:sz w:val="24"/>
          <w:szCs w:val="24"/>
        </w:rPr>
        <w:t>). Efficient value chains are crucial for enhancing farmer incomes, reducing transaction costs and improving market access, particularly for smallholders (Shepherd, 2007). Evidence suggests that shorter and more coordinated value chains result in higher producer shares, better price realization, and improved marketing efficiency in GI products (Rangnekar, 2004; Rupprecht et al., 2020). However, empirical evidence on the performance of GI jasmine value chains, especially in the Indian context, remains limited.</w:t>
      </w:r>
    </w:p>
    <w:p w14:paraId="0CBDBAB3" w14:textId="43B750A2" w:rsidR="00937F7C" w:rsidRPr="00834C77" w:rsidRDefault="00937F7C" w:rsidP="000C52C0">
      <w:pPr>
        <w:spacing w:line="360" w:lineRule="auto"/>
        <w:ind w:firstLine="720"/>
        <w:jc w:val="both"/>
        <w:rPr>
          <w:rFonts w:ascii="Times New Roman" w:hAnsi="Times New Roman" w:cs="Times New Roman"/>
          <w:sz w:val="24"/>
          <w:szCs w:val="24"/>
        </w:rPr>
      </w:pPr>
      <w:r w:rsidRPr="00834C77">
        <w:rPr>
          <w:rFonts w:ascii="Times New Roman" w:hAnsi="Times New Roman" w:cs="Times New Roman"/>
          <w:sz w:val="24"/>
          <w:szCs w:val="24"/>
        </w:rPr>
        <w:t xml:space="preserve">The value chain begins at the input supply stage and continues through production to the final stage. In addition to the primary actors and their connections at each stage, various service providers also play an indirect role. The interactions among these actors and service providers collectively shape the governance and structure of the value chain (Henry et al., 2014). In addition, Market participation is a key concept in value chain analysis and has been defined in various ways by different researchers. It generally refers to involvement in any market-related activity that facilitates the sale of agricultural produce. This includes a farming </w:t>
      </w:r>
      <w:r w:rsidRPr="00834C77">
        <w:rPr>
          <w:rFonts w:ascii="Times New Roman" w:hAnsi="Times New Roman" w:cs="Times New Roman"/>
          <w:sz w:val="24"/>
          <w:szCs w:val="24"/>
        </w:rPr>
        <w:lastRenderedPageBreak/>
        <w:t>household's economic transactions with others—whether in cash or kind—and is often associated with the broader process of commercialization (</w:t>
      </w:r>
      <w:proofErr w:type="spellStart"/>
      <w:r w:rsidRPr="00073957">
        <w:rPr>
          <w:rFonts w:ascii="Times New Roman" w:hAnsi="Times New Roman" w:cs="Times New Roman"/>
          <w:sz w:val="24"/>
          <w:szCs w:val="24"/>
        </w:rPr>
        <w:t>Otekunrin</w:t>
      </w:r>
      <w:proofErr w:type="spellEnd"/>
      <w:r w:rsidRPr="00073957">
        <w:rPr>
          <w:rFonts w:ascii="Times New Roman" w:hAnsi="Times New Roman" w:cs="Times New Roman"/>
          <w:sz w:val="24"/>
          <w:szCs w:val="24"/>
        </w:rPr>
        <w:t xml:space="preserve"> et al., </w:t>
      </w:r>
      <w:r w:rsidRPr="00834C77">
        <w:rPr>
          <w:rFonts w:ascii="Times New Roman" w:hAnsi="Times New Roman" w:cs="Times New Roman"/>
          <w:sz w:val="24"/>
          <w:szCs w:val="24"/>
        </w:rPr>
        <w:t>2019).</w:t>
      </w:r>
    </w:p>
    <w:p w14:paraId="3BE0BF74" w14:textId="77777777" w:rsidR="00FD074C" w:rsidRPr="00834C77" w:rsidRDefault="00FD074C" w:rsidP="000C52C0">
      <w:pPr>
        <w:spacing w:line="360" w:lineRule="auto"/>
        <w:ind w:firstLine="720"/>
        <w:jc w:val="both"/>
        <w:rPr>
          <w:rFonts w:ascii="Times New Roman" w:hAnsi="Times New Roman" w:cs="Times New Roman"/>
          <w:sz w:val="24"/>
          <w:szCs w:val="24"/>
        </w:rPr>
      </w:pPr>
      <w:r w:rsidRPr="00834C77">
        <w:rPr>
          <w:rFonts w:ascii="Times New Roman" w:hAnsi="Times New Roman" w:cs="Times New Roman"/>
          <w:noProof/>
          <w:sz w:val="24"/>
          <w:szCs w:val="24"/>
        </w:rPr>
        <w:t>Manivenkatesh</w:t>
      </w:r>
      <w:r w:rsidRPr="00834C77">
        <w:rPr>
          <w:rFonts w:ascii="Times New Roman" w:hAnsi="Times New Roman" w:cs="Times New Roman"/>
          <w:i/>
          <w:noProof/>
          <w:sz w:val="24"/>
          <w:szCs w:val="24"/>
        </w:rPr>
        <w:t xml:space="preserve"> et al.</w:t>
      </w:r>
      <w:r w:rsidRPr="00834C77">
        <w:rPr>
          <w:rFonts w:ascii="Times New Roman" w:hAnsi="Times New Roman" w:cs="Times New Roman"/>
          <w:noProof/>
          <w:sz w:val="24"/>
          <w:szCs w:val="24"/>
        </w:rPr>
        <w:t>, 2020</w:t>
      </w:r>
      <w:r w:rsidRPr="00834C77">
        <w:rPr>
          <w:rFonts w:ascii="Times New Roman" w:hAnsi="Times New Roman" w:cs="Times New Roman"/>
          <w:sz w:val="24"/>
          <w:szCs w:val="24"/>
        </w:rPr>
        <w:t xml:space="preserve"> analysed the value chain of jasmine in Madurai in Tamil Nadu and found four channels viz., Channel I (farmer – commission agents – local traders – retailers - consumers), Channel II (farmers – commission agents – processors – perfumery industry), Channel III (farmers – commission agents – exporters – international market), Channel IV (farmers – retailers - consumers).  Among the four channels, more than 70 per cent of jasmine was moved through channel II and III. The Shepherd’s marketing efficiency was highest for channel IV. In Karnataka, 70 per cent of GI-tagged </w:t>
      </w:r>
      <w:proofErr w:type="spellStart"/>
      <w:r w:rsidRPr="00834C77">
        <w:rPr>
          <w:rFonts w:ascii="Times New Roman" w:hAnsi="Times New Roman" w:cs="Times New Roman"/>
          <w:sz w:val="24"/>
          <w:szCs w:val="24"/>
        </w:rPr>
        <w:t>Hadagali</w:t>
      </w:r>
      <w:proofErr w:type="spellEnd"/>
      <w:r w:rsidRPr="00834C77">
        <w:rPr>
          <w:rFonts w:ascii="Times New Roman" w:hAnsi="Times New Roman" w:cs="Times New Roman"/>
          <w:sz w:val="24"/>
          <w:szCs w:val="24"/>
        </w:rPr>
        <w:t xml:space="preserve"> farmers sold their jasmine to wholesalers cum commission agents and the margins realized by them was Rs.110/kg while retailers realized Rs.400/kg. The price spread between producer to consumer was Rs.280/kg. The producer’s share in consumer rupee was 35 per cent </w:t>
      </w:r>
      <w:r w:rsidRPr="00834C77">
        <w:rPr>
          <w:rFonts w:ascii="Times New Roman" w:hAnsi="Times New Roman" w:cs="Times New Roman"/>
          <w:noProof/>
          <w:sz w:val="24"/>
          <w:szCs w:val="24"/>
        </w:rPr>
        <w:t>(Basavaraj</w:t>
      </w:r>
      <w:r w:rsidRPr="00834C77">
        <w:rPr>
          <w:rFonts w:ascii="Times New Roman" w:hAnsi="Times New Roman" w:cs="Times New Roman"/>
          <w:i/>
          <w:noProof/>
          <w:sz w:val="24"/>
          <w:szCs w:val="24"/>
        </w:rPr>
        <w:t xml:space="preserve"> et al.</w:t>
      </w:r>
      <w:r w:rsidRPr="00834C77">
        <w:rPr>
          <w:rFonts w:ascii="Times New Roman" w:hAnsi="Times New Roman" w:cs="Times New Roman"/>
          <w:noProof/>
          <w:sz w:val="24"/>
          <w:szCs w:val="24"/>
        </w:rPr>
        <w:t>, 2023)</w:t>
      </w:r>
      <w:r w:rsidRPr="00834C77">
        <w:rPr>
          <w:rFonts w:ascii="Times New Roman" w:hAnsi="Times New Roman" w:cs="Times New Roman"/>
          <w:sz w:val="24"/>
          <w:szCs w:val="24"/>
        </w:rPr>
        <w:t>.</w:t>
      </w:r>
    </w:p>
    <w:p w14:paraId="0F5DA57B" w14:textId="60373075" w:rsidR="006333D1" w:rsidRPr="00834C77" w:rsidRDefault="00EF31FF" w:rsidP="007418E7">
      <w:pPr>
        <w:spacing w:line="360" w:lineRule="auto"/>
        <w:ind w:firstLine="720"/>
        <w:jc w:val="both"/>
        <w:rPr>
          <w:rFonts w:ascii="Times New Roman" w:hAnsi="Times New Roman" w:cs="Times New Roman"/>
          <w:sz w:val="24"/>
          <w:szCs w:val="24"/>
        </w:rPr>
      </w:pPr>
      <w:r w:rsidRPr="00834C77">
        <w:rPr>
          <w:rFonts w:ascii="Times New Roman" w:hAnsi="Times New Roman" w:cs="Times New Roman"/>
          <w:sz w:val="24"/>
          <w:szCs w:val="24"/>
        </w:rPr>
        <w:t>The value chain approach is both actor-oriented and consumer-focused, aiming to enhance business competitiveness. Value chain analysis raises awareness among stakeholders about opportunities for value addition, key cost drivers, and possibilities for price negotiation (GTZ, 2007).</w:t>
      </w:r>
    </w:p>
    <w:p w14:paraId="60E2F34B" w14:textId="196C8609" w:rsidR="006333D1" w:rsidRDefault="000C52C0" w:rsidP="000C52C0">
      <w:pPr>
        <w:tabs>
          <w:tab w:val="left" w:pos="851"/>
        </w:tabs>
        <w:spacing w:line="360" w:lineRule="auto"/>
        <w:rPr>
          <w:rFonts w:ascii="Times New Roman" w:hAnsi="Times New Roman" w:cs="Times New Roman"/>
          <w:b/>
          <w:bCs/>
          <w:sz w:val="24"/>
          <w:szCs w:val="24"/>
        </w:rPr>
      </w:pPr>
      <w:r>
        <w:rPr>
          <w:rFonts w:ascii="Times New Roman" w:hAnsi="Times New Roman" w:cs="Times New Roman"/>
          <w:b/>
          <w:bCs/>
          <w:sz w:val="24"/>
          <w:szCs w:val="24"/>
        </w:rPr>
        <w:t>2. Sampling and Methodology</w:t>
      </w:r>
    </w:p>
    <w:p w14:paraId="108A7A0D" w14:textId="5A81E64C" w:rsidR="000C52C0" w:rsidRDefault="000C52C0" w:rsidP="000C52C0">
      <w:pPr>
        <w:spacing w:line="360" w:lineRule="auto"/>
        <w:ind w:firstLine="720"/>
        <w:jc w:val="both"/>
        <w:rPr>
          <w:rFonts w:ascii="Times New Roman" w:hAnsi="Times New Roman" w:cs="Times New Roman"/>
          <w:color w:val="000000" w:themeColor="text1"/>
          <w:sz w:val="24"/>
          <w:szCs w:val="24"/>
        </w:rPr>
      </w:pPr>
      <w:r w:rsidRPr="00B215E3">
        <w:rPr>
          <w:rFonts w:ascii="Times New Roman" w:hAnsi="Times New Roman" w:cs="Times New Roman"/>
          <w:sz w:val="24"/>
          <w:szCs w:val="24"/>
        </w:rPr>
        <w:t xml:space="preserve">The study focused on the GI Madurai Malli in Madurai district of Tamil Nadu. Madurai Malli, is primarily grown in the </w:t>
      </w:r>
      <w:proofErr w:type="spellStart"/>
      <w:r w:rsidRPr="00B215E3">
        <w:rPr>
          <w:rFonts w:ascii="Times New Roman" w:hAnsi="Times New Roman" w:cs="Times New Roman"/>
          <w:sz w:val="24"/>
          <w:szCs w:val="24"/>
        </w:rPr>
        <w:t>Thiruparangundram</w:t>
      </w:r>
      <w:proofErr w:type="spellEnd"/>
      <w:r w:rsidRPr="00B215E3">
        <w:rPr>
          <w:rFonts w:ascii="Times New Roman" w:hAnsi="Times New Roman" w:cs="Times New Roman"/>
          <w:sz w:val="24"/>
          <w:szCs w:val="24"/>
        </w:rPr>
        <w:t xml:space="preserve">, </w:t>
      </w:r>
      <w:proofErr w:type="spellStart"/>
      <w:r w:rsidRPr="00B215E3">
        <w:rPr>
          <w:rFonts w:ascii="Times New Roman" w:hAnsi="Times New Roman" w:cs="Times New Roman"/>
          <w:sz w:val="24"/>
          <w:szCs w:val="24"/>
        </w:rPr>
        <w:t>Chellampatti</w:t>
      </w:r>
      <w:proofErr w:type="spellEnd"/>
      <w:r w:rsidRPr="00B215E3">
        <w:rPr>
          <w:rFonts w:ascii="Times New Roman" w:hAnsi="Times New Roman" w:cs="Times New Roman"/>
          <w:sz w:val="24"/>
          <w:szCs w:val="24"/>
        </w:rPr>
        <w:t xml:space="preserve">, </w:t>
      </w:r>
      <w:proofErr w:type="spellStart"/>
      <w:r w:rsidRPr="00B215E3">
        <w:rPr>
          <w:rFonts w:ascii="Times New Roman" w:hAnsi="Times New Roman" w:cs="Times New Roman"/>
          <w:sz w:val="24"/>
          <w:szCs w:val="24"/>
        </w:rPr>
        <w:t>Usilampatti</w:t>
      </w:r>
      <w:proofErr w:type="spellEnd"/>
      <w:r w:rsidRPr="00B215E3">
        <w:rPr>
          <w:rFonts w:ascii="Times New Roman" w:hAnsi="Times New Roman" w:cs="Times New Roman"/>
          <w:sz w:val="24"/>
          <w:szCs w:val="24"/>
        </w:rPr>
        <w:t xml:space="preserve">, </w:t>
      </w:r>
      <w:proofErr w:type="spellStart"/>
      <w:r w:rsidRPr="00B215E3">
        <w:rPr>
          <w:rFonts w:ascii="Times New Roman" w:hAnsi="Times New Roman" w:cs="Times New Roman"/>
          <w:sz w:val="24"/>
          <w:szCs w:val="24"/>
        </w:rPr>
        <w:t>Kallikudi</w:t>
      </w:r>
      <w:proofErr w:type="spellEnd"/>
      <w:r w:rsidRPr="00B215E3">
        <w:rPr>
          <w:rFonts w:ascii="Times New Roman" w:hAnsi="Times New Roman" w:cs="Times New Roman"/>
          <w:sz w:val="24"/>
          <w:szCs w:val="24"/>
        </w:rPr>
        <w:t xml:space="preserve">, and </w:t>
      </w:r>
      <w:proofErr w:type="spellStart"/>
      <w:r w:rsidRPr="00B215E3">
        <w:rPr>
          <w:rFonts w:ascii="Times New Roman" w:hAnsi="Times New Roman" w:cs="Times New Roman"/>
          <w:sz w:val="24"/>
          <w:szCs w:val="24"/>
        </w:rPr>
        <w:t>Sedapatti</w:t>
      </w:r>
      <w:proofErr w:type="spellEnd"/>
      <w:r w:rsidRPr="00B215E3">
        <w:rPr>
          <w:rFonts w:ascii="Times New Roman" w:hAnsi="Times New Roman" w:cs="Times New Roman"/>
          <w:sz w:val="24"/>
          <w:szCs w:val="24"/>
        </w:rPr>
        <w:t xml:space="preserve"> blocks of Madurai district. For </w:t>
      </w:r>
      <w:r w:rsidR="007418E7">
        <w:rPr>
          <w:rFonts w:ascii="Times New Roman" w:hAnsi="Times New Roman" w:cs="Times New Roman"/>
          <w:sz w:val="24"/>
          <w:szCs w:val="24"/>
        </w:rPr>
        <w:t>this</w:t>
      </w:r>
      <w:r w:rsidRPr="00B215E3">
        <w:rPr>
          <w:rFonts w:ascii="Times New Roman" w:hAnsi="Times New Roman" w:cs="Times New Roman"/>
          <w:sz w:val="24"/>
          <w:szCs w:val="24"/>
        </w:rPr>
        <w:t xml:space="preserve"> study, </w:t>
      </w:r>
      <w:r w:rsidR="007418E7" w:rsidRPr="00B215E3">
        <w:rPr>
          <w:rFonts w:ascii="Times New Roman" w:hAnsi="Times New Roman" w:cs="Times New Roman"/>
          <w:color w:val="000000" w:themeColor="text1"/>
          <w:sz w:val="24"/>
          <w:szCs w:val="24"/>
        </w:rPr>
        <w:t>about</w:t>
      </w:r>
      <w:r w:rsidRPr="00B215E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6</w:t>
      </w:r>
      <w:r w:rsidRPr="00B215E3">
        <w:rPr>
          <w:rFonts w:ascii="Times New Roman" w:hAnsi="Times New Roman" w:cs="Times New Roman"/>
          <w:color w:val="000000" w:themeColor="text1"/>
          <w:sz w:val="24"/>
          <w:szCs w:val="24"/>
        </w:rPr>
        <w:t xml:space="preserve">0 </w:t>
      </w:r>
      <w:r>
        <w:rPr>
          <w:rFonts w:ascii="Times New Roman" w:hAnsi="Times New Roman" w:cs="Times New Roman"/>
          <w:color w:val="000000" w:themeColor="text1"/>
          <w:sz w:val="24"/>
          <w:szCs w:val="24"/>
        </w:rPr>
        <w:t xml:space="preserve">Madurai Malli farmers from the </w:t>
      </w:r>
      <w:proofErr w:type="spellStart"/>
      <w:r>
        <w:rPr>
          <w:rFonts w:ascii="Times New Roman" w:hAnsi="Times New Roman" w:cs="Times New Roman"/>
          <w:color w:val="000000" w:themeColor="text1"/>
          <w:sz w:val="24"/>
          <w:szCs w:val="24"/>
        </w:rPr>
        <w:t>Thiruparangundram</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Kallikudi</w:t>
      </w:r>
      <w:proofErr w:type="spellEnd"/>
      <w:r>
        <w:rPr>
          <w:rFonts w:ascii="Times New Roman" w:hAnsi="Times New Roman" w:cs="Times New Roman"/>
          <w:color w:val="000000" w:themeColor="text1"/>
          <w:sz w:val="24"/>
          <w:szCs w:val="24"/>
        </w:rPr>
        <w:t xml:space="preserve"> blocks and 10 Market Intermediaries for Madurai Malli</w:t>
      </w:r>
      <w:r w:rsidRPr="00B215E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 the local markets </w:t>
      </w:r>
      <w:r w:rsidRPr="00B215E3">
        <w:rPr>
          <w:rFonts w:ascii="Times New Roman" w:hAnsi="Times New Roman" w:cs="Times New Roman"/>
          <w:color w:val="000000" w:themeColor="text1"/>
          <w:sz w:val="24"/>
          <w:szCs w:val="24"/>
        </w:rPr>
        <w:t xml:space="preserve">were selected at </w:t>
      </w:r>
      <w:r w:rsidR="00B64996">
        <w:rPr>
          <w:rFonts w:ascii="Times New Roman" w:hAnsi="Times New Roman" w:cs="Times New Roman"/>
          <w:color w:val="000000" w:themeColor="text1"/>
          <w:sz w:val="24"/>
          <w:szCs w:val="24"/>
        </w:rPr>
        <w:t>purposively based on the volume of transaction of Jasmine</w:t>
      </w:r>
      <w:r w:rsidRPr="00B215E3">
        <w:rPr>
          <w:rFonts w:ascii="Times New Roman" w:hAnsi="Times New Roman" w:cs="Times New Roman"/>
          <w:color w:val="000000" w:themeColor="text1"/>
          <w:sz w:val="24"/>
          <w:szCs w:val="24"/>
        </w:rPr>
        <w:t xml:space="preserve"> to study the </w:t>
      </w:r>
      <w:r>
        <w:rPr>
          <w:rFonts w:ascii="Times New Roman" w:hAnsi="Times New Roman" w:cs="Times New Roman"/>
          <w:color w:val="000000" w:themeColor="text1"/>
          <w:sz w:val="24"/>
          <w:szCs w:val="24"/>
        </w:rPr>
        <w:t>value chain in</w:t>
      </w:r>
      <w:r w:rsidRPr="00B215E3">
        <w:rPr>
          <w:rFonts w:ascii="Times New Roman" w:hAnsi="Times New Roman" w:cs="Times New Roman"/>
          <w:color w:val="000000" w:themeColor="text1"/>
          <w:sz w:val="24"/>
          <w:szCs w:val="24"/>
        </w:rPr>
        <w:t xml:space="preserve"> Madurai Malli.</w:t>
      </w:r>
      <w:r w:rsidR="00F777BD">
        <w:rPr>
          <w:rFonts w:ascii="Times New Roman" w:hAnsi="Times New Roman" w:cs="Times New Roman"/>
          <w:color w:val="000000" w:themeColor="text1"/>
          <w:sz w:val="24"/>
          <w:szCs w:val="24"/>
        </w:rPr>
        <w:t xml:space="preserve"> The primary data was collected using pre-tested interview schedule during the year</w:t>
      </w:r>
      <w:r w:rsidR="00901DC8">
        <w:rPr>
          <w:rFonts w:ascii="Times New Roman" w:hAnsi="Times New Roman" w:cs="Times New Roman"/>
          <w:color w:val="000000" w:themeColor="text1"/>
          <w:sz w:val="24"/>
          <w:szCs w:val="24"/>
        </w:rPr>
        <w:t xml:space="preserve"> 2023-24.</w:t>
      </w:r>
    </w:p>
    <w:p w14:paraId="54D28400" w14:textId="5C21C75F" w:rsidR="000C52C0" w:rsidRPr="00BF6187" w:rsidRDefault="000C52C0" w:rsidP="000C52C0">
      <w:pPr>
        <w:spacing w:line="360" w:lineRule="auto"/>
        <w:rPr>
          <w:rFonts w:ascii="Times New Roman" w:hAnsi="Times New Roman" w:cs="Times New Roman"/>
          <w:b/>
          <w:bCs/>
          <w:sz w:val="24"/>
          <w:szCs w:val="32"/>
        </w:rPr>
      </w:pPr>
      <w:r>
        <w:rPr>
          <w:rFonts w:ascii="Times New Roman" w:hAnsi="Times New Roman" w:cs="Times New Roman"/>
          <w:b/>
          <w:bCs/>
          <w:sz w:val="24"/>
          <w:szCs w:val="32"/>
        </w:rPr>
        <w:t xml:space="preserve">2.1 </w:t>
      </w:r>
      <w:r w:rsidRPr="00BF6187">
        <w:rPr>
          <w:rFonts w:ascii="Times New Roman" w:hAnsi="Times New Roman" w:cs="Times New Roman"/>
          <w:b/>
          <w:bCs/>
          <w:sz w:val="24"/>
          <w:szCs w:val="32"/>
        </w:rPr>
        <w:t>Marketing cost</w:t>
      </w:r>
    </w:p>
    <w:p w14:paraId="2B1ED52F" w14:textId="77777777" w:rsidR="000C52C0" w:rsidRPr="00BF6187" w:rsidRDefault="000C52C0" w:rsidP="000C52C0">
      <w:pPr>
        <w:spacing w:line="360"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Marketing costs represent the expenses incurred by the different intermediaries involved in the marketing of the GI commodities. Marketing costs of select GI commodities include the cost of procurement, packing, transportation charges, loading &amp; unloading, etc.</w:t>
      </w:r>
    </w:p>
    <w:p w14:paraId="58E5361A" w14:textId="77777777" w:rsidR="000C52C0" w:rsidRPr="00BF6187" w:rsidRDefault="000C52C0" w:rsidP="000C52C0">
      <w:pPr>
        <w:spacing w:line="360"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rPr>
        <w:lastRenderedPageBreak/>
        <w:t xml:space="preserve">The marketing costs incurred by the various intermediaries involved in the sale and purchase of the commodity, till it reaches the final consumer, were computed </w:t>
      </w:r>
      <w:r w:rsidRPr="00BF6187">
        <w:rPr>
          <w:rFonts w:ascii="Times New Roman" w:hAnsi="Times New Roman" w:cs="Times New Roman"/>
          <w:sz w:val="24"/>
          <w:szCs w:val="24"/>
          <w:lang w:val="en-US"/>
        </w:rPr>
        <w:t xml:space="preserve">(Acharya and Agarwal, 2009). </w:t>
      </w:r>
    </w:p>
    <w:p w14:paraId="6C596EF7" w14:textId="77777777" w:rsidR="000C52C0" w:rsidRPr="00BF6187" w:rsidRDefault="000C52C0" w:rsidP="000C52C0">
      <w:pPr>
        <w:spacing w:line="360" w:lineRule="auto"/>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The total cost of marketing was calculated as under:</w:t>
      </w:r>
    </w:p>
    <w:p w14:paraId="3E02ECAC" w14:textId="77777777" w:rsidR="000C52C0" w:rsidRPr="00BF6187" w:rsidRDefault="000C52C0" w:rsidP="000C52C0">
      <w:pPr>
        <w:spacing w:line="360"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MC = CF + MC</w:t>
      </w:r>
      <w:r w:rsidRPr="00BF6187">
        <w:rPr>
          <w:rFonts w:ascii="Times New Roman" w:hAnsi="Times New Roman" w:cs="Times New Roman"/>
          <w:sz w:val="24"/>
          <w:szCs w:val="24"/>
          <w:vertAlign w:val="subscript"/>
          <w:lang w:val="en-US"/>
        </w:rPr>
        <w:t>1</w:t>
      </w:r>
      <w:r w:rsidRPr="00BF6187">
        <w:rPr>
          <w:rFonts w:ascii="Times New Roman" w:hAnsi="Times New Roman" w:cs="Times New Roman"/>
          <w:sz w:val="24"/>
          <w:szCs w:val="24"/>
          <w:lang w:val="en-US"/>
        </w:rPr>
        <w:t xml:space="preserve"> + MC</w:t>
      </w:r>
      <w:r w:rsidRPr="00BF6187">
        <w:rPr>
          <w:rFonts w:ascii="Times New Roman" w:hAnsi="Times New Roman" w:cs="Times New Roman"/>
          <w:sz w:val="24"/>
          <w:szCs w:val="24"/>
          <w:vertAlign w:val="subscript"/>
          <w:lang w:val="en-US"/>
        </w:rPr>
        <w:t>2</w:t>
      </w:r>
      <w:r w:rsidRPr="00BF6187">
        <w:rPr>
          <w:rFonts w:ascii="Times New Roman" w:hAnsi="Times New Roman" w:cs="Times New Roman"/>
          <w:sz w:val="24"/>
          <w:szCs w:val="24"/>
          <w:lang w:val="en-US"/>
        </w:rPr>
        <w:t xml:space="preserve"> + MC</w:t>
      </w:r>
      <w:r w:rsidRPr="00BF6187">
        <w:rPr>
          <w:rFonts w:ascii="Times New Roman" w:hAnsi="Times New Roman" w:cs="Times New Roman"/>
          <w:sz w:val="24"/>
          <w:szCs w:val="24"/>
          <w:vertAlign w:val="subscript"/>
          <w:lang w:val="en-US"/>
        </w:rPr>
        <w:t>3</w:t>
      </w:r>
      <w:r w:rsidRPr="00BF6187">
        <w:rPr>
          <w:rFonts w:ascii="Times New Roman" w:hAnsi="Times New Roman" w:cs="Times New Roman"/>
          <w:sz w:val="24"/>
          <w:szCs w:val="24"/>
          <w:lang w:val="en-US"/>
        </w:rPr>
        <w:t xml:space="preserve"> +...+ </w:t>
      </w:r>
      <w:proofErr w:type="spellStart"/>
      <w:r w:rsidRPr="00BF6187">
        <w:rPr>
          <w:rFonts w:ascii="Times New Roman" w:hAnsi="Times New Roman" w:cs="Times New Roman"/>
          <w:sz w:val="24"/>
          <w:szCs w:val="24"/>
          <w:lang w:val="en-US"/>
        </w:rPr>
        <w:t>MC</w:t>
      </w:r>
      <w:r w:rsidRPr="00BF6187">
        <w:rPr>
          <w:rFonts w:ascii="Times New Roman" w:hAnsi="Times New Roman" w:cs="Times New Roman"/>
          <w:sz w:val="24"/>
          <w:szCs w:val="24"/>
          <w:vertAlign w:val="subscript"/>
          <w:lang w:val="en-US"/>
        </w:rPr>
        <w:t>n</w:t>
      </w:r>
      <w:proofErr w:type="spellEnd"/>
    </w:p>
    <w:p w14:paraId="113E4E8A" w14:textId="77777777" w:rsidR="000C52C0" w:rsidRPr="00BF6187" w:rsidRDefault="000C52C0" w:rsidP="000C52C0">
      <w:pPr>
        <w:spacing w:line="360" w:lineRule="auto"/>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Where,</w:t>
      </w:r>
    </w:p>
    <w:p w14:paraId="1E57C59F" w14:textId="77777777" w:rsidR="000C52C0" w:rsidRPr="00BF6187" w:rsidRDefault="000C52C0" w:rsidP="003B3D68">
      <w:pPr>
        <w:spacing w:line="276"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C     = Total cost of marketing of GI commodities</w:t>
      </w:r>
    </w:p>
    <w:p w14:paraId="28453529" w14:textId="77777777" w:rsidR="000C52C0" w:rsidRPr="00BF6187" w:rsidRDefault="000C52C0" w:rsidP="003B3D68">
      <w:pPr>
        <w:spacing w:line="276"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CF   = Cost borne by a farmer in marketing of produce</w:t>
      </w:r>
    </w:p>
    <w:p w14:paraId="1436EE87" w14:textId="75D9DE85" w:rsidR="007418E7" w:rsidRPr="007418E7" w:rsidRDefault="000C52C0" w:rsidP="003B3D68">
      <w:pPr>
        <w:spacing w:line="276" w:lineRule="auto"/>
        <w:ind w:firstLine="720"/>
        <w:jc w:val="both"/>
        <w:rPr>
          <w:rFonts w:ascii="Times New Roman" w:hAnsi="Times New Roman" w:cs="Times New Roman"/>
          <w:sz w:val="24"/>
          <w:szCs w:val="24"/>
          <w:lang w:val="en-US"/>
        </w:rPr>
      </w:pPr>
      <w:proofErr w:type="spellStart"/>
      <w:r w:rsidRPr="00BF6187">
        <w:rPr>
          <w:rFonts w:ascii="Times New Roman" w:hAnsi="Times New Roman" w:cs="Times New Roman"/>
          <w:sz w:val="24"/>
          <w:szCs w:val="24"/>
          <w:lang w:val="en-US"/>
        </w:rPr>
        <w:t>MC</w:t>
      </w:r>
      <w:r w:rsidRPr="00BF6187">
        <w:rPr>
          <w:rFonts w:ascii="Times New Roman" w:hAnsi="Times New Roman" w:cs="Times New Roman"/>
          <w:sz w:val="24"/>
          <w:szCs w:val="24"/>
          <w:vertAlign w:val="subscript"/>
          <w:lang w:val="en-US"/>
        </w:rPr>
        <w:t>i</w:t>
      </w:r>
      <w:proofErr w:type="spellEnd"/>
      <w:r w:rsidRPr="00BF6187">
        <w:rPr>
          <w:rFonts w:ascii="Times New Roman" w:hAnsi="Times New Roman" w:cs="Times New Roman"/>
          <w:sz w:val="24"/>
          <w:szCs w:val="24"/>
          <w:lang w:val="en-US"/>
        </w:rPr>
        <w:t xml:space="preserve"> = Cost incurred by the </w:t>
      </w:r>
      <w:proofErr w:type="spellStart"/>
      <w:r w:rsidRPr="00BF6187">
        <w:rPr>
          <w:rFonts w:ascii="Times New Roman" w:hAnsi="Times New Roman" w:cs="Times New Roman"/>
          <w:sz w:val="24"/>
          <w:szCs w:val="24"/>
          <w:lang w:val="en-US"/>
        </w:rPr>
        <w:t>i</w:t>
      </w:r>
      <w:r w:rsidRPr="00BF6187">
        <w:rPr>
          <w:rFonts w:ascii="Times New Roman" w:hAnsi="Times New Roman" w:cs="Times New Roman"/>
          <w:sz w:val="24"/>
          <w:szCs w:val="24"/>
          <w:vertAlign w:val="superscript"/>
          <w:lang w:val="en-US"/>
        </w:rPr>
        <w:t>th</w:t>
      </w:r>
      <w:proofErr w:type="spellEnd"/>
      <w:r w:rsidRPr="00BF6187">
        <w:rPr>
          <w:rFonts w:ascii="Times New Roman" w:hAnsi="Times New Roman" w:cs="Times New Roman"/>
          <w:sz w:val="24"/>
          <w:szCs w:val="24"/>
          <w:lang w:val="en-US"/>
        </w:rPr>
        <w:t xml:space="preserve"> middleman in the process of buying and selling.</w:t>
      </w:r>
    </w:p>
    <w:p w14:paraId="03A84791" w14:textId="5FF5DADB" w:rsidR="000C52C0" w:rsidRPr="00BF6187" w:rsidRDefault="007418E7" w:rsidP="000C52C0">
      <w:pPr>
        <w:spacing w:line="360" w:lineRule="auto"/>
        <w:rPr>
          <w:rFonts w:ascii="Times New Roman" w:hAnsi="Times New Roman" w:cs="Times New Roman"/>
          <w:b/>
          <w:bCs/>
          <w:sz w:val="24"/>
          <w:szCs w:val="32"/>
        </w:rPr>
      </w:pPr>
      <w:r>
        <w:rPr>
          <w:rFonts w:ascii="Times New Roman" w:hAnsi="Times New Roman" w:cs="Times New Roman"/>
          <w:b/>
          <w:bCs/>
          <w:sz w:val="24"/>
          <w:szCs w:val="32"/>
        </w:rPr>
        <w:t xml:space="preserve">2.2 </w:t>
      </w:r>
      <w:r w:rsidR="000C52C0" w:rsidRPr="00BF6187">
        <w:rPr>
          <w:rFonts w:ascii="Times New Roman" w:hAnsi="Times New Roman" w:cs="Times New Roman"/>
          <w:b/>
          <w:bCs/>
          <w:sz w:val="24"/>
          <w:szCs w:val="32"/>
        </w:rPr>
        <w:t>Marketing Margin</w:t>
      </w:r>
    </w:p>
    <w:p w14:paraId="69CE4B0F" w14:textId="77777777" w:rsidR="000C52C0" w:rsidRPr="00BF6187" w:rsidRDefault="000C52C0" w:rsidP="000C52C0">
      <w:pPr>
        <w:spacing w:line="360"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rPr>
        <w:t xml:space="preserve">Marketing margin refers to the difference between the total payment (including marketing cost and purchasing price) and the receipts (sale price) received by the middlemen. </w:t>
      </w:r>
    </w:p>
    <w:p w14:paraId="07392FA7" w14:textId="61C47280" w:rsidR="000C52C0" w:rsidRPr="00834C77" w:rsidRDefault="000C52C0" w:rsidP="00834C77">
      <w:pPr>
        <w:spacing w:line="360" w:lineRule="auto"/>
        <w:ind w:firstLine="720"/>
        <w:jc w:val="both"/>
        <w:rPr>
          <w:rFonts w:ascii="Times New Roman" w:hAnsi="Times New Roman" w:cs="Times New Roman"/>
          <w:sz w:val="24"/>
          <w:szCs w:val="24"/>
        </w:rPr>
      </w:pPr>
      <w:r w:rsidRPr="00BF6187">
        <w:rPr>
          <w:rFonts w:ascii="Times New Roman" w:hAnsi="Times New Roman" w:cs="Times New Roman"/>
          <w:sz w:val="24"/>
          <w:szCs w:val="24"/>
        </w:rPr>
        <w:t>Marketing Margin (</w:t>
      </w:r>
      <w:proofErr w:type="spellStart"/>
      <w:r w:rsidRPr="00BF6187">
        <w:rPr>
          <w:rFonts w:ascii="Times New Roman" w:hAnsi="Times New Roman" w:cs="Times New Roman"/>
          <w:sz w:val="24"/>
          <w:szCs w:val="24"/>
        </w:rPr>
        <w:t>MM</w:t>
      </w:r>
      <w:r w:rsidRPr="00BF6187">
        <w:rPr>
          <w:rFonts w:ascii="Times New Roman" w:hAnsi="Times New Roman" w:cs="Times New Roman"/>
          <w:sz w:val="24"/>
          <w:szCs w:val="24"/>
          <w:vertAlign w:val="subscript"/>
        </w:rPr>
        <w:t>i</w:t>
      </w:r>
      <w:proofErr w:type="spellEnd"/>
      <w:r w:rsidRPr="00BF6187">
        <w:rPr>
          <w:rFonts w:ascii="Times New Roman" w:hAnsi="Times New Roman" w:cs="Times New Roman"/>
          <w:sz w:val="24"/>
          <w:szCs w:val="24"/>
        </w:rPr>
        <w:t xml:space="preserve">) = </w:t>
      </w:r>
      <w:proofErr w:type="spellStart"/>
      <w:r w:rsidRPr="00BF6187">
        <w:rPr>
          <w:rFonts w:ascii="Times New Roman" w:hAnsi="Times New Roman" w:cs="Times New Roman"/>
          <w:sz w:val="24"/>
          <w:szCs w:val="24"/>
        </w:rPr>
        <w:t>SP</w:t>
      </w:r>
      <w:r w:rsidRPr="00BF6187">
        <w:rPr>
          <w:rFonts w:ascii="Times New Roman" w:hAnsi="Times New Roman" w:cs="Times New Roman"/>
          <w:sz w:val="24"/>
          <w:szCs w:val="24"/>
          <w:vertAlign w:val="subscript"/>
        </w:rPr>
        <w:t>i</w:t>
      </w:r>
      <w:proofErr w:type="spellEnd"/>
      <w:r w:rsidRPr="00BF6187">
        <w:rPr>
          <w:rFonts w:ascii="Times New Roman" w:hAnsi="Times New Roman" w:cs="Times New Roman"/>
          <w:sz w:val="24"/>
          <w:szCs w:val="24"/>
        </w:rPr>
        <w:t xml:space="preserve"> – (</w:t>
      </w:r>
      <w:proofErr w:type="spellStart"/>
      <w:r w:rsidRPr="00BF6187">
        <w:rPr>
          <w:rFonts w:ascii="Times New Roman" w:hAnsi="Times New Roman" w:cs="Times New Roman"/>
          <w:sz w:val="24"/>
          <w:szCs w:val="24"/>
        </w:rPr>
        <w:t>PP</w:t>
      </w:r>
      <w:r w:rsidRPr="00BF6187">
        <w:rPr>
          <w:rFonts w:ascii="Times New Roman" w:hAnsi="Times New Roman" w:cs="Times New Roman"/>
          <w:sz w:val="24"/>
          <w:szCs w:val="24"/>
          <w:vertAlign w:val="subscript"/>
        </w:rPr>
        <w:t>i</w:t>
      </w:r>
      <w:proofErr w:type="spellEnd"/>
      <w:r w:rsidRPr="00BF6187">
        <w:rPr>
          <w:rFonts w:ascii="Times New Roman" w:hAnsi="Times New Roman" w:cs="Times New Roman"/>
          <w:sz w:val="24"/>
          <w:szCs w:val="24"/>
        </w:rPr>
        <w:t xml:space="preserve"> + </w:t>
      </w:r>
      <w:proofErr w:type="spellStart"/>
      <w:r w:rsidRPr="00BF6187">
        <w:rPr>
          <w:rFonts w:ascii="Times New Roman" w:hAnsi="Times New Roman" w:cs="Times New Roman"/>
          <w:sz w:val="24"/>
          <w:szCs w:val="24"/>
        </w:rPr>
        <w:t>MC</w:t>
      </w:r>
      <w:r w:rsidRPr="00BF6187">
        <w:rPr>
          <w:rFonts w:ascii="Times New Roman" w:hAnsi="Times New Roman" w:cs="Times New Roman"/>
          <w:sz w:val="24"/>
          <w:szCs w:val="24"/>
          <w:vertAlign w:val="subscript"/>
        </w:rPr>
        <w:t>i</w:t>
      </w:r>
      <w:proofErr w:type="spellEnd"/>
      <w:r w:rsidRPr="00BF6187">
        <w:rPr>
          <w:rFonts w:ascii="Times New Roman" w:hAnsi="Times New Roman" w:cs="Times New Roman"/>
          <w:sz w:val="24"/>
          <w:szCs w:val="24"/>
        </w:rPr>
        <w:t>)</w:t>
      </w:r>
    </w:p>
    <w:p w14:paraId="37E5CD12" w14:textId="77777777" w:rsidR="000C52C0" w:rsidRPr="00BF6187" w:rsidRDefault="000C52C0" w:rsidP="000C52C0">
      <w:pPr>
        <w:spacing w:line="360" w:lineRule="auto"/>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Where,</w:t>
      </w:r>
    </w:p>
    <w:p w14:paraId="05F8F63F" w14:textId="77777777" w:rsidR="000C52C0" w:rsidRPr="00BF6187" w:rsidRDefault="000C52C0" w:rsidP="003B3D68">
      <w:pPr>
        <w:spacing w:line="276" w:lineRule="auto"/>
        <w:ind w:firstLine="720"/>
        <w:jc w:val="both"/>
        <w:rPr>
          <w:rFonts w:ascii="Times New Roman" w:hAnsi="Times New Roman" w:cs="Times New Roman"/>
          <w:sz w:val="24"/>
          <w:szCs w:val="24"/>
          <w:lang w:val="en-US"/>
        </w:rPr>
      </w:pPr>
      <w:proofErr w:type="spellStart"/>
      <w:r w:rsidRPr="00BF6187">
        <w:rPr>
          <w:rFonts w:ascii="Times New Roman" w:hAnsi="Times New Roman" w:cs="Times New Roman"/>
          <w:sz w:val="24"/>
          <w:szCs w:val="24"/>
          <w:lang w:val="en-US"/>
        </w:rPr>
        <w:t>SP</w:t>
      </w:r>
      <w:r w:rsidRPr="00BF6187">
        <w:rPr>
          <w:rFonts w:ascii="Times New Roman" w:hAnsi="Times New Roman" w:cs="Times New Roman"/>
          <w:sz w:val="24"/>
          <w:szCs w:val="24"/>
          <w:vertAlign w:val="subscript"/>
          <w:lang w:val="en-US"/>
        </w:rPr>
        <w:t>i</w:t>
      </w:r>
      <w:proofErr w:type="spellEnd"/>
      <w:r w:rsidRPr="00BF6187">
        <w:rPr>
          <w:rFonts w:ascii="Times New Roman" w:hAnsi="Times New Roman" w:cs="Times New Roman"/>
          <w:sz w:val="24"/>
          <w:szCs w:val="24"/>
          <w:vertAlign w:val="subscript"/>
          <w:lang w:val="en-US"/>
        </w:rPr>
        <w:t xml:space="preserve"> </w:t>
      </w:r>
      <w:r w:rsidRPr="00BF6187">
        <w:rPr>
          <w:rFonts w:ascii="Times New Roman" w:hAnsi="Times New Roman" w:cs="Times New Roman"/>
          <w:sz w:val="24"/>
          <w:szCs w:val="24"/>
          <w:lang w:val="en-US"/>
        </w:rPr>
        <w:t>= Sale price</w:t>
      </w:r>
    </w:p>
    <w:p w14:paraId="3B0B8609" w14:textId="77777777" w:rsidR="000C52C0" w:rsidRPr="00BF6187" w:rsidRDefault="000C52C0" w:rsidP="003B3D68">
      <w:pPr>
        <w:spacing w:line="276"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Pp</w:t>
      </w:r>
      <w:r w:rsidRPr="00BF6187">
        <w:rPr>
          <w:rFonts w:ascii="Times New Roman" w:hAnsi="Times New Roman" w:cs="Times New Roman"/>
          <w:sz w:val="24"/>
          <w:szCs w:val="24"/>
          <w:vertAlign w:val="subscript"/>
          <w:lang w:val="en-US"/>
        </w:rPr>
        <w:t>i</w:t>
      </w:r>
      <w:r w:rsidRPr="00BF6187">
        <w:rPr>
          <w:rFonts w:ascii="Times New Roman" w:hAnsi="Times New Roman" w:cs="Times New Roman"/>
          <w:sz w:val="24"/>
          <w:szCs w:val="24"/>
          <w:lang w:val="en-US"/>
        </w:rPr>
        <w:t xml:space="preserve"> = Purchase price</w:t>
      </w:r>
    </w:p>
    <w:p w14:paraId="4421D51F" w14:textId="77777777" w:rsidR="000C52C0" w:rsidRPr="00BF6187" w:rsidRDefault="000C52C0" w:rsidP="003B3D68">
      <w:pPr>
        <w:spacing w:line="276" w:lineRule="auto"/>
        <w:ind w:firstLine="720"/>
        <w:jc w:val="both"/>
        <w:rPr>
          <w:rFonts w:ascii="Times New Roman" w:hAnsi="Times New Roman" w:cs="Times New Roman"/>
          <w:sz w:val="24"/>
          <w:szCs w:val="24"/>
          <w:lang w:val="en-US"/>
        </w:rPr>
      </w:pPr>
      <w:proofErr w:type="spellStart"/>
      <w:r w:rsidRPr="00BF6187">
        <w:rPr>
          <w:rFonts w:ascii="Times New Roman" w:hAnsi="Times New Roman" w:cs="Times New Roman"/>
          <w:sz w:val="24"/>
          <w:szCs w:val="24"/>
          <w:lang w:val="en-US"/>
        </w:rPr>
        <w:t>MC</w:t>
      </w:r>
      <w:r w:rsidRPr="00BF6187">
        <w:rPr>
          <w:rFonts w:ascii="Times New Roman" w:hAnsi="Times New Roman" w:cs="Times New Roman"/>
          <w:sz w:val="24"/>
          <w:szCs w:val="24"/>
          <w:vertAlign w:val="subscript"/>
          <w:lang w:val="en-US"/>
        </w:rPr>
        <w:t>i</w:t>
      </w:r>
      <w:proofErr w:type="spellEnd"/>
      <w:r w:rsidRPr="00BF6187">
        <w:rPr>
          <w:rFonts w:ascii="Times New Roman" w:hAnsi="Times New Roman" w:cs="Times New Roman"/>
          <w:sz w:val="24"/>
          <w:szCs w:val="24"/>
          <w:lang w:val="en-US"/>
        </w:rPr>
        <w:t xml:space="preserve"> = Marketing cost</w:t>
      </w:r>
    </w:p>
    <w:p w14:paraId="328638BA" w14:textId="77777777" w:rsidR="003B3D68" w:rsidRDefault="003B3D68" w:rsidP="000C52C0">
      <w:pPr>
        <w:spacing w:line="360" w:lineRule="auto"/>
        <w:rPr>
          <w:rFonts w:ascii="Times New Roman" w:hAnsi="Times New Roman" w:cs="Times New Roman"/>
          <w:b/>
          <w:bCs/>
          <w:sz w:val="24"/>
          <w:szCs w:val="32"/>
        </w:rPr>
      </w:pPr>
    </w:p>
    <w:p w14:paraId="60F9D589" w14:textId="63E7110E" w:rsidR="000C52C0" w:rsidRPr="00BF6187" w:rsidRDefault="000C52C0" w:rsidP="000C52C0">
      <w:pPr>
        <w:spacing w:line="360" w:lineRule="auto"/>
        <w:rPr>
          <w:rFonts w:ascii="Times New Roman" w:hAnsi="Times New Roman" w:cs="Times New Roman"/>
          <w:b/>
          <w:bCs/>
          <w:sz w:val="24"/>
          <w:szCs w:val="32"/>
        </w:rPr>
      </w:pPr>
      <w:r>
        <w:rPr>
          <w:rFonts w:ascii="Times New Roman" w:hAnsi="Times New Roman" w:cs="Times New Roman"/>
          <w:b/>
          <w:bCs/>
          <w:sz w:val="24"/>
          <w:szCs w:val="32"/>
        </w:rPr>
        <w:t>2.</w:t>
      </w:r>
      <w:r w:rsidR="007418E7">
        <w:rPr>
          <w:rFonts w:ascii="Times New Roman" w:hAnsi="Times New Roman" w:cs="Times New Roman"/>
          <w:b/>
          <w:bCs/>
          <w:sz w:val="24"/>
          <w:szCs w:val="32"/>
        </w:rPr>
        <w:t>3</w:t>
      </w:r>
      <w:r>
        <w:rPr>
          <w:rFonts w:ascii="Times New Roman" w:hAnsi="Times New Roman" w:cs="Times New Roman"/>
          <w:b/>
          <w:bCs/>
          <w:sz w:val="24"/>
          <w:szCs w:val="32"/>
        </w:rPr>
        <w:t xml:space="preserve"> </w:t>
      </w:r>
      <w:r w:rsidRPr="00BF6187">
        <w:rPr>
          <w:rFonts w:ascii="Times New Roman" w:hAnsi="Times New Roman" w:cs="Times New Roman"/>
          <w:b/>
          <w:bCs/>
          <w:sz w:val="24"/>
          <w:szCs w:val="32"/>
        </w:rPr>
        <w:t>Price Spread Analysis</w:t>
      </w:r>
    </w:p>
    <w:p w14:paraId="6B81C95A" w14:textId="77777777" w:rsidR="000C52C0" w:rsidRPr="00BF6187" w:rsidRDefault="000C52C0" w:rsidP="000C52C0">
      <w:pPr>
        <w:spacing w:after="0" w:line="360" w:lineRule="auto"/>
        <w:ind w:firstLine="720"/>
        <w:jc w:val="both"/>
        <w:rPr>
          <w:rFonts w:ascii="Times New Roman" w:hAnsi="Times New Roman" w:cs="Times New Roman"/>
          <w:sz w:val="24"/>
          <w:szCs w:val="24"/>
        </w:rPr>
      </w:pPr>
      <w:r w:rsidRPr="00BF6187">
        <w:rPr>
          <w:rFonts w:ascii="Times New Roman" w:hAnsi="Times New Roman" w:cs="Times New Roman"/>
          <w:sz w:val="24"/>
          <w:szCs w:val="24"/>
        </w:rPr>
        <w:t>Price spread refers to the difference between the price paid by the consumer and the price received by the producer for each unit of the commodity. price spread analysis estimate the share of various market functionaries in the consumer's rupee and facilitate in understanding the relative efficiencies and alternative marketing channels. In this study, the concurrent margin method was employed to analyse the price spread. Information regarding prices and marketing costs of GI commodities at different stages of all identified marketing channels were collected from farmers and market functionaries. Marketing costs included expenses for transport, loading and unloading, storage, and other incidental costs related to the marketing of GI commodities.</w:t>
      </w:r>
    </w:p>
    <w:p w14:paraId="6D1660B4" w14:textId="77777777" w:rsidR="000C52C0" w:rsidRPr="00BF6187" w:rsidRDefault="000C52C0" w:rsidP="000C52C0">
      <w:pPr>
        <w:spacing w:line="360" w:lineRule="auto"/>
        <w:ind w:firstLine="720"/>
        <w:jc w:val="both"/>
        <w:rPr>
          <w:rFonts w:ascii="Times New Roman" w:hAnsi="Times New Roman" w:cs="Times New Roman"/>
          <w:sz w:val="24"/>
          <w:szCs w:val="24"/>
        </w:rPr>
      </w:pPr>
      <w:r w:rsidRPr="00BF6187">
        <w:rPr>
          <w:rFonts w:ascii="Times New Roman" w:hAnsi="Times New Roman" w:cs="Times New Roman"/>
          <w:sz w:val="24"/>
          <w:szCs w:val="24"/>
        </w:rPr>
        <w:lastRenderedPageBreak/>
        <w:t>In the study on the marketing of GI commodities, the "price spread" was defined as the difference between the price paid by the consumer and the price received by the producer for an equivalent quantity of the agricultural commodity. Data on the profits of various market functionaries involved in moving the produce from the point of production to the final consumer were collected. The price spread analysis in this study involved calculating the marketing costs and profit margins, expressing them as a percentage of the consumer's payment. Additionally, the farmer’s share in the consumer's rupee was also estimated as part of the price spread analysis.</w:t>
      </w:r>
    </w:p>
    <w:p w14:paraId="0E88BF85" w14:textId="40B92166" w:rsidR="000C52C0" w:rsidRPr="00BF6187" w:rsidRDefault="000C52C0" w:rsidP="000C52C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7418E7">
        <w:rPr>
          <w:rFonts w:ascii="Times New Roman" w:hAnsi="Times New Roman" w:cs="Times New Roman"/>
          <w:b/>
          <w:bCs/>
          <w:sz w:val="24"/>
          <w:szCs w:val="24"/>
          <w:lang w:val="en-US"/>
        </w:rPr>
        <w:t>4</w:t>
      </w:r>
      <w:r w:rsidRPr="00BF6187">
        <w:rPr>
          <w:rFonts w:ascii="Times New Roman" w:hAnsi="Times New Roman" w:cs="Times New Roman"/>
          <w:sz w:val="24"/>
          <w:szCs w:val="24"/>
          <w:lang w:val="en-US"/>
        </w:rPr>
        <w:t xml:space="preserve"> </w:t>
      </w:r>
      <w:r w:rsidRPr="00BF6187">
        <w:rPr>
          <w:rFonts w:ascii="Times New Roman" w:hAnsi="Times New Roman" w:cs="Times New Roman"/>
          <w:b/>
          <w:bCs/>
          <w:sz w:val="24"/>
          <w:szCs w:val="24"/>
          <w:lang w:val="en-US"/>
        </w:rPr>
        <w:t>Farmer’s Share in Consumer Price</w:t>
      </w:r>
    </w:p>
    <w:p w14:paraId="2F281AF9" w14:textId="77777777" w:rsidR="000C52C0" w:rsidRPr="00BF6187" w:rsidRDefault="000C52C0" w:rsidP="000C52C0">
      <w:pPr>
        <w:spacing w:line="360" w:lineRule="auto"/>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The farmer’s share in the consumer price was worked out as below:</w:t>
      </w:r>
    </w:p>
    <w:p w14:paraId="309F8B24" w14:textId="77777777" w:rsidR="000C52C0" w:rsidRPr="00BF6187" w:rsidRDefault="000C52C0" w:rsidP="000C52C0">
      <w:pPr>
        <w:spacing w:line="360" w:lineRule="auto"/>
        <w:jc w:val="center"/>
        <w:rPr>
          <w:rFonts w:ascii="Times New Roman" w:hAnsi="Times New Roman" w:cs="Times New Roman"/>
          <w:sz w:val="24"/>
          <w:szCs w:val="24"/>
          <w:lang w:val="en-US"/>
        </w:rPr>
      </w:pPr>
      <w:r w:rsidRPr="00BF6187">
        <w:rPr>
          <w:rFonts w:ascii="Times New Roman" w:hAnsi="Times New Roman" w:cs="Times New Roman"/>
          <w:sz w:val="24"/>
          <w:szCs w:val="24"/>
          <w:lang w:val="en-US"/>
        </w:rPr>
        <w:t>FS = (FP/CP) x 100</w:t>
      </w:r>
    </w:p>
    <w:p w14:paraId="73A99EE5" w14:textId="77777777" w:rsidR="000C52C0" w:rsidRPr="00BF6187" w:rsidRDefault="000C52C0" w:rsidP="000C52C0">
      <w:pPr>
        <w:spacing w:line="360" w:lineRule="auto"/>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Where,</w:t>
      </w:r>
    </w:p>
    <w:p w14:paraId="4D41A795" w14:textId="77777777" w:rsidR="000C52C0" w:rsidRPr="00BF6187" w:rsidRDefault="000C52C0" w:rsidP="003B3D68">
      <w:pPr>
        <w:spacing w:line="276" w:lineRule="auto"/>
        <w:ind w:left="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FS = Producer’s share in consumer’s price</w:t>
      </w:r>
    </w:p>
    <w:p w14:paraId="6AC6EAA6" w14:textId="77777777" w:rsidR="000C52C0" w:rsidRPr="00BF6187" w:rsidRDefault="000C52C0" w:rsidP="003B3D68">
      <w:pPr>
        <w:spacing w:line="276" w:lineRule="auto"/>
        <w:ind w:left="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FP = Net Price received by the farmer</w:t>
      </w:r>
    </w:p>
    <w:p w14:paraId="6C24D53E" w14:textId="77777777" w:rsidR="000C52C0" w:rsidRPr="00BF6187" w:rsidRDefault="000C52C0" w:rsidP="003B3D68">
      <w:pPr>
        <w:spacing w:line="276" w:lineRule="auto"/>
        <w:ind w:left="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CP = Price paid by the consumer.</w:t>
      </w:r>
    </w:p>
    <w:p w14:paraId="5C159DF0" w14:textId="3CD2A0E5" w:rsidR="000C52C0" w:rsidRPr="00BF6187" w:rsidRDefault="000C52C0" w:rsidP="000C52C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7418E7">
        <w:rPr>
          <w:rFonts w:ascii="Times New Roman" w:hAnsi="Times New Roman" w:cs="Times New Roman"/>
          <w:b/>
          <w:bCs/>
          <w:sz w:val="24"/>
          <w:szCs w:val="24"/>
          <w:lang w:val="en-US"/>
        </w:rPr>
        <w:t>5</w:t>
      </w:r>
      <w:r w:rsidRPr="00BF6187">
        <w:rPr>
          <w:rFonts w:ascii="Times New Roman" w:hAnsi="Times New Roman" w:cs="Times New Roman"/>
          <w:b/>
          <w:bCs/>
          <w:sz w:val="24"/>
          <w:szCs w:val="24"/>
          <w:lang w:val="en-US"/>
        </w:rPr>
        <w:t xml:space="preserve"> Estimation of Marketing Efficiency</w:t>
      </w:r>
    </w:p>
    <w:p w14:paraId="4458E81D" w14:textId="77777777" w:rsidR="000C52C0" w:rsidRPr="00BF6187" w:rsidRDefault="000C52C0" w:rsidP="000C52C0">
      <w:pPr>
        <w:spacing w:line="360" w:lineRule="auto"/>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 xml:space="preserve"> </w:t>
      </w:r>
      <w:r w:rsidRPr="00BF6187">
        <w:rPr>
          <w:rFonts w:ascii="Times New Roman" w:hAnsi="Times New Roman" w:cs="Times New Roman"/>
          <w:sz w:val="24"/>
          <w:szCs w:val="24"/>
          <w:lang w:val="en-US"/>
        </w:rPr>
        <w:tab/>
        <w:t xml:space="preserve">Marketing efficiency is the degree of market performance. </w:t>
      </w:r>
      <w:r w:rsidRPr="00BF6187">
        <w:rPr>
          <w:rFonts w:ascii="Times New Roman" w:hAnsi="Times New Roman" w:cs="Times New Roman"/>
          <w:sz w:val="24"/>
          <w:szCs w:val="24"/>
        </w:rPr>
        <w:t xml:space="preserve">Efficient marketing is defined as the movement of goods from producers to ultimate consumers at the lowest possible cost while ensuring the provision of services desired by the consumers. The following approaches are used in the present study to estimate the marketing efficiency of GI commodities under study. </w:t>
      </w:r>
    </w:p>
    <w:p w14:paraId="21CD77E7" w14:textId="77777777" w:rsidR="000C52C0" w:rsidRPr="00BF6187" w:rsidRDefault="000C52C0" w:rsidP="000C52C0">
      <w:pPr>
        <w:spacing w:line="360" w:lineRule="auto"/>
        <w:jc w:val="both"/>
        <w:rPr>
          <w:rFonts w:ascii="Times New Roman" w:hAnsi="Times New Roman" w:cs="Times New Roman"/>
          <w:b/>
          <w:bCs/>
          <w:sz w:val="24"/>
          <w:szCs w:val="24"/>
          <w:lang w:val="en-US"/>
        </w:rPr>
      </w:pPr>
      <w:r w:rsidRPr="00BF6187">
        <w:rPr>
          <w:rFonts w:ascii="Times New Roman" w:hAnsi="Times New Roman" w:cs="Times New Roman"/>
          <w:b/>
          <w:bCs/>
          <w:sz w:val="24"/>
          <w:szCs w:val="24"/>
          <w:lang w:val="en-US"/>
        </w:rPr>
        <w:t xml:space="preserve">a. Shepherd’s Approach </w:t>
      </w:r>
    </w:p>
    <w:p w14:paraId="627DAAD0" w14:textId="77777777" w:rsidR="000C52C0" w:rsidRPr="00BF6187" w:rsidRDefault="000C52C0" w:rsidP="003B3D68">
      <w:pPr>
        <w:spacing w:after="0" w:line="360"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rPr>
        <w:t>Shepherd (1972) estimated marketing efficiency as the ratio of the consumer's price to the total marketing costs and margins. The higher the ratio, the greater the efficiency, and vice versa. A similar methodology is used in the present study, which can be expressed in the following form:</w:t>
      </w:r>
      <w:r w:rsidRPr="00BF6187">
        <w:rPr>
          <w:rFonts w:ascii="Times New Roman" w:hAnsi="Times New Roman" w:cs="Times New Roman"/>
          <w:sz w:val="24"/>
          <w:szCs w:val="24"/>
          <w:lang w:val="en-US"/>
        </w:rPr>
        <w:t xml:space="preserve">                                                              </w:t>
      </w:r>
    </w:p>
    <w:p w14:paraId="0A0EDBDC" w14:textId="77777777" w:rsidR="000C52C0" w:rsidRPr="00BF6187" w:rsidRDefault="000C52C0" w:rsidP="000C52C0">
      <w:pPr>
        <w:spacing w:line="360" w:lineRule="auto"/>
        <w:jc w:val="center"/>
        <w:rPr>
          <w:rFonts w:ascii="Times New Roman" w:hAnsi="Times New Roman" w:cs="Times New Roman"/>
          <w:sz w:val="24"/>
          <w:szCs w:val="24"/>
          <w:lang w:val="en-US"/>
        </w:rPr>
      </w:pPr>
      <w:r w:rsidRPr="00BF6187">
        <w:rPr>
          <w:rFonts w:ascii="Times New Roman" w:hAnsi="Times New Roman" w:cs="Times New Roman"/>
          <w:sz w:val="24"/>
          <w:szCs w:val="24"/>
          <w:lang w:val="en-US"/>
        </w:rPr>
        <w:t xml:space="preserve"> ME = CP / (MC+MM)</w:t>
      </w:r>
    </w:p>
    <w:p w14:paraId="771548C8" w14:textId="77777777" w:rsidR="000C52C0" w:rsidRPr="00BF6187" w:rsidRDefault="000C52C0" w:rsidP="000C52C0">
      <w:pPr>
        <w:spacing w:line="360" w:lineRule="auto"/>
        <w:rPr>
          <w:rFonts w:ascii="Times New Roman" w:hAnsi="Times New Roman" w:cs="Times New Roman"/>
          <w:b/>
          <w:bCs/>
          <w:sz w:val="24"/>
          <w:szCs w:val="24"/>
          <w:lang w:val="en-US"/>
        </w:rPr>
      </w:pPr>
      <w:r w:rsidRPr="00BF6187">
        <w:rPr>
          <w:rFonts w:ascii="Times New Roman" w:hAnsi="Times New Roman" w:cs="Times New Roman"/>
          <w:b/>
          <w:bCs/>
          <w:sz w:val="24"/>
          <w:szCs w:val="24"/>
          <w:lang w:val="en-US"/>
        </w:rPr>
        <w:t>b. Acharya’s Approach</w:t>
      </w:r>
    </w:p>
    <w:p w14:paraId="069613E6" w14:textId="77777777" w:rsidR="000C52C0" w:rsidRPr="00BF6187" w:rsidRDefault="000C52C0" w:rsidP="000C52C0">
      <w:pPr>
        <w:spacing w:line="360"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rPr>
        <w:lastRenderedPageBreak/>
        <w:t>According to Acharya (2003), an ideal measure of marketing efficiency, especially when comparing the efficiency of alternative market channels, should consider all of the following,</w:t>
      </w:r>
      <w:r w:rsidRPr="00BF6187">
        <w:rPr>
          <w:rFonts w:ascii="Times New Roman" w:hAnsi="Times New Roman" w:cs="Times New Roman"/>
          <w:sz w:val="24"/>
          <w:szCs w:val="24"/>
          <w:lang w:val="en-US"/>
        </w:rPr>
        <w:t xml:space="preserve"> Total marketing costs (MC), Net marketing margins (MM), Price received by the farmer (FP) and Price paid by the consumer (CP). </w:t>
      </w:r>
    </w:p>
    <w:p w14:paraId="4686201E" w14:textId="77777777" w:rsidR="000C52C0" w:rsidRPr="00BF6187" w:rsidRDefault="000C52C0" w:rsidP="003B3D68">
      <w:pPr>
        <w:spacing w:after="0" w:line="360"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Further, the measure should reflect the following relationship between each of these variables and the marketing efficiency. To measure the marketing efficiency of agricultural commodities marketing the following formulae is used.</w:t>
      </w:r>
    </w:p>
    <w:p w14:paraId="228AF644" w14:textId="77777777" w:rsidR="000C52C0" w:rsidRPr="00BF6187" w:rsidRDefault="000C52C0" w:rsidP="000C52C0">
      <w:pPr>
        <w:spacing w:line="360" w:lineRule="auto"/>
        <w:jc w:val="center"/>
        <w:rPr>
          <w:rFonts w:ascii="Times New Roman" w:hAnsi="Times New Roman" w:cs="Times New Roman"/>
          <w:sz w:val="24"/>
          <w:szCs w:val="24"/>
          <w:lang w:val="en-US"/>
        </w:rPr>
      </w:pPr>
      <w:r w:rsidRPr="00BF6187">
        <w:rPr>
          <w:rFonts w:ascii="Times New Roman" w:hAnsi="Times New Roman" w:cs="Times New Roman"/>
          <w:sz w:val="24"/>
          <w:szCs w:val="24"/>
          <w:lang w:val="en-US"/>
        </w:rPr>
        <w:t>ME = FP / (MC+MM)</w:t>
      </w:r>
    </w:p>
    <w:p w14:paraId="48166099" w14:textId="77777777" w:rsidR="000C52C0" w:rsidRPr="00BF6187" w:rsidRDefault="000C52C0" w:rsidP="000C52C0">
      <w:pPr>
        <w:spacing w:line="360" w:lineRule="auto"/>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Where,</w:t>
      </w:r>
    </w:p>
    <w:p w14:paraId="1D84BBE1" w14:textId="77777777" w:rsidR="000C52C0" w:rsidRPr="00BF6187" w:rsidRDefault="000C52C0" w:rsidP="003B3D68">
      <w:pPr>
        <w:spacing w:line="276"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ME -Marketing efficiency</w:t>
      </w:r>
    </w:p>
    <w:p w14:paraId="0828689B" w14:textId="77777777" w:rsidR="000C52C0" w:rsidRPr="00BF6187" w:rsidRDefault="000C52C0" w:rsidP="003B3D68">
      <w:pPr>
        <w:spacing w:line="276"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CP - Price paid by the consumer</w:t>
      </w:r>
    </w:p>
    <w:p w14:paraId="1141A8D3" w14:textId="77777777" w:rsidR="000C52C0" w:rsidRPr="00BF6187" w:rsidRDefault="000C52C0" w:rsidP="003B3D68">
      <w:pPr>
        <w:spacing w:line="276"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FP -Price received by the farmer per quintal of GI commodity</w:t>
      </w:r>
    </w:p>
    <w:p w14:paraId="1EF66811" w14:textId="77777777" w:rsidR="000C52C0" w:rsidRPr="00BF6187" w:rsidRDefault="000C52C0" w:rsidP="003B3D68">
      <w:pPr>
        <w:spacing w:line="276"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 xml:space="preserve">MC -Total marketing cost per quintal of GI commodity </w:t>
      </w:r>
    </w:p>
    <w:p w14:paraId="397E1BFA" w14:textId="77733586" w:rsidR="000C52C0" w:rsidRPr="007418E7" w:rsidRDefault="000C52C0" w:rsidP="003B3D68">
      <w:pPr>
        <w:spacing w:line="276" w:lineRule="auto"/>
        <w:ind w:firstLine="720"/>
        <w:jc w:val="both"/>
        <w:rPr>
          <w:rFonts w:ascii="Times New Roman" w:hAnsi="Times New Roman" w:cs="Times New Roman"/>
          <w:sz w:val="24"/>
          <w:szCs w:val="24"/>
          <w:lang w:val="en-US"/>
        </w:rPr>
      </w:pPr>
      <w:r w:rsidRPr="00BF6187">
        <w:rPr>
          <w:rFonts w:ascii="Times New Roman" w:hAnsi="Times New Roman" w:cs="Times New Roman"/>
          <w:sz w:val="24"/>
          <w:szCs w:val="24"/>
          <w:lang w:val="en-US"/>
        </w:rPr>
        <w:t>MM -Net marketing margin</w:t>
      </w:r>
    </w:p>
    <w:p w14:paraId="73060155" w14:textId="4318E86F" w:rsidR="006333D1" w:rsidRDefault="000C52C0" w:rsidP="000C52C0">
      <w:pPr>
        <w:tabs>
          <w:tab w:val="left" w:pos="851"/>
        </w:tabs>
        <w:spacing w:line="360" w:lineRule="auto"/>
        <w:rPr>
          <w:rFonts w:ascii="Times New Roman" w:hAnsi="Times New Roman" w:cs="Times New Roman"/>
          <w:b/>
          <w:bCs/>
          <w:sz w:val="24"/>
          <w:szCs w:val="24"/>
        </w:rPr>
      </w:pPr>
      <w:r>
        <w:rPr>
          <w:rFonts w:ascii="Times New Roman" w:hAnsi="Times New Roman" w:cs="Times New Roman"/>
          <w:b/>
          <w:bCs/>
          <w:sz w:val="24"/>
          <w:szCs w:val="24"/>
        </w:rPr>
        <w:t>3. Results and Discussio</w:t>
      </w:r>
      <w:r w:rsidR="007418E7">
        <w:rPr>
          <w:rFonts w:ascii="Times New Roman" w:hAnsi="Times New Roman" w:cs="Times New Roman"/>
          <w:b/>
          <w:bCs/>
          <w:sz w:val="24"/>
          <w:szCs w:val="24"/>
        </w:rPr>
        <w:t>n</w:t>
      </w:r>
    </w:p>
    <w:p w14:paraId="4E1BB04E" w14:textId="2D892BA4" w:rsidR="00834C77" w:rsidRDefault="000C52C0" w:rsidP="00834C77">
      <w:pPr>
        <w:tabs>
          <w:tab w:val="left" w:pos="851"/>
        </w:tabs>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3.1 </w:t>
      </w:r>
      <w:r w:rsidR="006333D1" w:rsidRPr="0049300D">
        <w:rPr>
          <w:rFonts w:ascii="Times New Roman" w:hAnsi="Times New Roman" w:cs="Times New Roman"/>
          <w:b/>
          <w:bCs/>
          <w:sz w:val="24"/>
          <w:szCs w:val="24"/>
        </w:rPr>
        <w:t>Madurai Malli Marketing Channel</w:t>
      </w:r>
    </w:p>
    <w:p w14:paraId="2F87B38B" w14:textId="77777777" w:rsidR="00F776D2" w:rsidRDefault="003B3D68" w:rsidP="003B3D68">
      <w:pPr>
        <w:tabs>
          <w:tab w:val="left" w:pos="851"/>
        </w:tabs>
        <w:spacing w:line="360" w:lineRule="auto"/>
        <w:jc w:val="both"/>
        <w:rPr>
          <w:rFonts w:ascii="Times New Roman" w:hAnsi="Times New Roman" w:cs="Times New Roman"/>
          <w:sz w:val="24"/>
          <w:szCs w:val="24"/>
          <w:lang w:val="en-US"/>
        </w:rPr>
        <w:sectPr w:rsidR="00F776D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Pr>
          <w:rFonts w:ascii="Times New Roman" w:hAnsi="Times New Roman" w:cs="Times New Roman"/>
          <w:sz w:val="24"/>
          <w:szCs w:val="24"/>
          <w:lang w:val="en-US"/>
        </w:rPr>
        <w:tab/>
        <w:t>I</w:t>
      </w:r>
      <w:r w:rsidR="006333D1" w:rsidRPr="0049300D">
        <w:rPr>
          <w:rFonts w:ascii="Times New Roman" w:hAnsi="Times New Roman" w:cs="Times New Roman"/>
          <w:sz w:val="24"/>
          <w:szCs w:val="24"/>
          <w:lang w:val="en-US"/>
        </w:rPr>
        <w:t xml:space="preserve">n </w:t>
      </w:r>
      <w:r w:rsidR="006333D1" w:rsidRPr="0049300D">
        <w:rPr>
          <w:rFonts w:ascii="Times New Roman" w:hAnsi="Times New Roman" w:cs="Times New Roman"/>
          <w:sz w:val="24"/>
          <w:szCs w:val="24"/>
        </w:rPr>
        <w:t>Madurai Malli</w:t>
      </w:r>
      <w:r w:rsidR="006333D1" w:rsidRPr="0049300D">
        <w:rPr>
          <w:rFonts w:ascii="Times New Roman" w:hAnsi="Times New Roman" w:cs="Times New Roman"/>
          <w:sz w:val="24"/>
          <w:szCs w:val="24"/>
          <w:lang w:val="en-US"/>
        </w:rPr>
        <w:t>, four marketing channels were identified through the study and are depicted in Fig.</w:t>
      </w:r>
      <w:r w:rsidR="004D44ED">
        <w:rPr>
          <w:rFonts w:ascii="Times New Roman" w:hAnsi="Times New Roman" w:cs="Times New Roman"/>
          <w:sz w:val="24"/>
          <w:szCs w:val="24"/>
          <w:lang w:val="en-US"/>
        </w:rPr>
        <w:t>1</w:t>
      </w:r>
      <w:r w:rsidR="006333D1" w:rsidRPr="0049300D">
        <w:rPr>
          <w:rFonts w:ascii="Times New Roman" w:hAnsi="Times New Roman" w:cs="Times New Roman"/>
          <w:sz w:val="24"/>
          <w:szCs w:val="24"/>
          <w:lang w:val="en-US"/>
        </w:rPr>
        <w:t xml:space="preserve"> and Fig </w:t>
      </w:r>
      <w:r w:rsidR="004D44ED">
        <w:rPr>
          <w:rFonts w:ascii="Times New Roman" w:hAnsi="Times New Roman" w:cs="Times New Roman"/>
          <w:sz w:val="24"/>
          <w:szCs w:val="24"/>
          <w:lang w:val="en-US"/>
        </w:rPr>
        <w:t>.</w:t>
      </w:r>
      <w:r w:rsidR="006333D1" w:rsidRPr="0049300D">
        <w:rPr>
          <w:rFonts w:ascii="Times New Roman" w:hAnsi="Times New Roman" w:cs="Times New Roman"/>
          <w:sz w:val="24"/>
          <w:szCs w:val="24"/>
          <w:lang w:val="en-US"/>
        </w:rPr>
        <w:t>2 The marketing channels identified for GI jasmine in the study area</w:t>
      </w:r>
      <w:r>
        <w:rPr>
          <w:rFonts w:ascii="Times New Roman" w:hAnsi="Times New Roman" w:cs="Times New Roman"/>
          <w:sz w:val="24"/>
          <w:szCs w:val="24"/>
          <w:lang w:val="en-US"/>
        </w:rPr>
        <w:t xml:space="preserve"> </w:t>
      </w:r>
      <w:r w:rsidR="006333D1" w:rsidRPr="0049300D">
        <w:rPr>
          <w:rFonts w:ascii="Times New Roman" w:hAnsi="Times New Roman" w:cs="Times New Roman"/>
          <w:sz w:val="24"/>
          <w:szCs w:val="24"/>
          <w:lang w:val="en-US"/>
        </w:rPr>
        <w:t>is as follows.</w:t>
      </w:r>
    </w:p>
    <w:p w14:paraId="67A83BEF" w14:textId="2533999A" w:rsidR="003B3D68" w:rsidRDefault="00F776D2" w:rsidP="003B3D68">
      <w:pPr>
        <w:tabs>
          <w:tab w:val="left" w:pos="851"/>
        </w:tabs>
        <w:spacing w:line="360" w:lineRule="auto"/>
        <w:jc w:val="both"/>
        <w:rPr>
          <w:rFonts w:ascii="Times New Roman" w:hAnsi="Times New Roman" w:cs="Times New Roman"/>
          <w:sz w:val="24"/>
          <w:szCs w:val="24"/>
          <w:lang w:val="en-US"/>
        </w:rPr>
      </w:pPr>
      <w:r>
        <w:rPr>
          <w:noProof/>
        </w:rPr>
        <w:lastRenderedPageBreak/>
        <w:drawing>
          <wp:anchor distT="0" distB="0" distL="114300" distR="114300" simplePos="0" relativeHeight="251658240" behindDoc="0" locked="0" layoutInCell="1" allowOverlap="1" wp14:anchorId="12EAAF94" wp14:editId="66D75490">
            <wp:simplePos x="0" y="0"/>
            <wp:positionH relativeFrom="column">
              <wp:posOffset>-522881</wp:posOffset>
            </wp:positionH>
            <wp:positionV relativeFrom="paragraph">
              <wp:posOffset>15903</wp:posOffset>
            </wp:positionV>
            <wp:extent cx="8863330" cy="5289550"/>
            <wp:effectExtent l="0" t="0" r="0" b="6350"/>
            <wp:wrapTopAndBottom/>
            <wp:docPr id="1240238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63330" cy="5289550"/>
                    </a:xfrm>
                    <a:prstGeom prst="rect">
                      <a:avLst/>
                    </a:prstGeom>
                    <a:noFill/>
                    <a:ln>
                      <a:noFill/>
                    </a:ln>
                  </pic:spPr>
                </pic:pic>
              </a:graphicData>
            </a:graphic>
          </wp:anchor>
        </w:drawing>
      </w:r>
    </w:p>
    <w:p w14:paraId="28238E1F" w14:textId="6772ADD4" w:rsidR="00F776D2" w:rsidRDefault="00F776D2" w:rsidP="00F776D2">
      <w:pPr>
        <w:pStyle w:val="BodyText"/>
        <w:spacing w:before="1"/>
        <w:jc w:val="center"/>
        <w:sectPr w:rsidR="00F776D2" w:rsidSect="00F776D2">
          <w:pgSz w:w="15840" w:h="12240" w:orient="landscape"/>
          <w:pgMar w:top="1380" w:right="1800" w:bottom="280" w:left="1800" w:header="720" w:footer="720" w:gutter="0"/>
          <w:cols w:space="720"/>
        </w:sectPr>
      </w:pPr>
      <w:r>
        <w:t>Fig. 1</w:t>
      </w:r>
      <w:r>
        <w:rPr>
          <w:spacing w:val="-1"/>
        </w:rPr>
        <w:t xml:space="preserve"> </w:t>
      </w:r>
      <w:r>
        <w:t>Marketing Channels of</w:t>
      </w:r>
      <w:r>
        <w:rPr>
          <w:spacing w:val="-1"/>
        </w:rPr>
        <w:t xml:space="preserve"> </w:t>
      </w:r>
      <w:r>
        <w:t>Madurai</w:t>
      </w:r>
      <w:r>
        <w:rPr>
          <w:spacing w:val="-1"/>
        </w:rPr>
        <w:t xml:space="preserve"> </w:t>
      </w:r>
      <w:r>
        <w:rPr>
          <w:spacing w:val="-2"/>
        </w:rPr>
        <w:t>Malli</w:t>
      </w:r>
      <w:r>
        <w:t xml:space="preserve"> in the Study Area</w:t>
      </w:r>
    </w:p>
    <w:p w14:paraId="299800BC" w14:textId="5510AE40" w:rsidR="003B3D68" w:rsidRPr="0049300D" w:rsidRDefault="003B3D68" w:rsidP="003B3D68">
      <w:pPr>
        <w:tabs>
          <w:tab w:val="left" w:pos="851"/>
        </w:tabs>
        <w:spacing w:line="360" w:lineRule="auto"/>
        <w:jc w:val="both"/>
        <w:rPr>
          <w:rFonts w:ascii="Times New Roman" w:hAnsi="Times New Roman" w:cs="Times New Roman"/>
          <w:sz w:val="24"/>
          <w:szCs w:val="24"/>
          <w:lang w:val="en-US"/>
        </w:rPr>
      </w:pPr>
      <w:r w:rsidRPr="0049300D">
        <w:rPr>
          <w:noProof/>
        </w:rPr>
        <w:lastRenderedPageBreak/>
        <w:drawing>
          <wp:inline distT="0" distB="0" distL="0" distR="0" wp14:anchorId="6DC1F572" wp14:editId="44F21438">
            <wp:extent cx="5659821" cy="3752193"/>
            <wp:effectExtent l="0" t="0" r="17145" b="1270"/>
            <wp:docPr id="2105125491" name="Chart 1">
              <a:extLst xmlns:a="http://schemas.openxmlformats.org/drawingml/2006/main">
                <a:ext uri="{FF2B5EF4-FFF2-40B4-BE49-F238E27FC236}">
                  <a16:creationId xmlns:a16="http://schemas.microsoft.com/office/drawing/2014/main" id="{AF44A0B8-979C-201D-CC9F-1EF86FB493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60E94A" w14:textId="77777777" w:rsidR="003B3D68" w:rsidRPr="0049300D" w:rsidRDefault="003B3D68" w:rsidP="003B3D68">
      <w:pPr>
        <w:tabs>
          <w:tab w:val="left" w:pos="851"/>
        </w:tabs>
        <w:spacing w:line="360" w:lineRule="auto"/>
        <w:jc w:val="center"/>
        <w:rPr>
          <w:rFonts w:ascii="Times New Roman" w:hAnsi="Times New Roman" w:cs="Times New Roman"/>
          <w:sz w:val="24"/>
          <w:szCs w:val="24"/>
          <w:lang w:val="en-US"/>
        </w:rPr>
      </w:pPr>
      <w:r w:rsidRPr="0049300D">
        <w:rPr>
          <w:rFonts w:ascii="Times New Roman" w:hAnsi="Times New Roman" w:cs="Times New Roman"/>
          <w:sz w:val="24"/>
          <w:szCs w:val="24"/>
          <w:lang w:val="en-US"/>
        </w:rPr>
        <w:t>Fig: 2 Distribution of farmers in Madurai Malli Marketing Channels</w:t>
      </w:r>
    </w:p>
    <w:p w14:paraId="4BB0C8C5" w14:textId="6BE2902D" w:rsidR="006333D1" w:rsidRPr="0049300D" w:rsidRDefault="006333D1" w:rsidP="003B3D68">
      <w:pPr>
        <w:tabs>
          <w:tab w:val="left" w:pos="851"/>
        </w:tabs>
        <w:spacing w:line="360" w:lineRule="auto"/>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 xml:space="preserve">MC </w:t>
      </w:r>
      <w:proofErr w:type="gramStart"/>
      <w:r w:rsidRPr="0049300D">
        <w:rPr>
          <w:rFonts w:ascii="Times New Roman" w:hAnsi="Times New Roman" w:cs="Times New Roman"/>
          <w:b/>
          <w:bCs/>
          <w:sz w:val="24"/>
          <w:szCs w:val="24"/>
          <w:lang w:val="en-US"/>
        </w:rPr>
        <w:t>I :</w:t>
      </w:r>
      <w:proofErr w:type="gramEnd"/>
      <w:r w:rsidRPr="0049300D">
        <w:rPr>
          <w:rFonts w:ascii="Times New Roman" w:hAnsi="Times New Roman" w:cs="Times New Roman"/>
          <w:b/>
          <w:bCs/>
          <w:sz w:val="24"/>
          <w:szCs w:val="24"/>
          <w:lang w:val="en-US"/>
        </w:rPr>
        <w:t xml:space="preserve"> GI Farmer →Commission Agent cum Trader →Wholesaler →Retailer →Consumer (60 per cent)</w:t>
      </w:r>
    </w:p>
    <w:p w14:paraId="5813180A" w14:textId="77777777" w:rsidR="006333D1" w:rsidRPr="0049300D" w:rsidRDefault="006333D1" w:rsidP="000C52C0">
      <w:pPr>
        <w:tabs>
          <w:tab w:val="left" w:pos="851"/>
        </w:tabs>
        <w:spacing w:line="360" w:lineRule="auto"/>
        <w:ind w:firstLine="720"/>
        <w:jc w:val="both"/>
        <w:rPr>
          <w:rFonts w:ascii="Times New Roman" w:hAnsi="Times New Roman" w:cs="Times New Roman"/>
          <w:sz w:val="24"/>
          <w:szCs w:val="24"/>
        </w:rPr>
      </w:pPr>
      <w:r w:rsidRPr="0049300D">
        <w:rPr>
          <w:rFonts w:ascii="Times New Roman" w:hAnsi="Times New Roman" w:cs="Times New Roman"/>
          <w:sz w:val="24"/>
          <w:szCs w:val="24"/>
        </w:rPr>
        <w:t xml:space="preserve">The traders in </w:t>
      </w:r>
      <w:proofErr w:type="spellStart"/>
      <w:r w:rsidRPr="0049300D">
        <w:rPr>
          <w:rFonts w:ascii="Times New Roman" w:hAnsi="Times New Roman" w:cs="Times New Roman"/>
          <w:sz w:val="24"/>
          <w:szCs w:val="24"/>
        </w:rPr>
        <w:t>Mattuthavani</w:t>
      </w:r>
      <w:proofErr w:type="spellEnd"/>
      <w:r w:rsidRPr="0049300D">
        <w:rPr>
          <w:rFonts w:ascii="Times New Roman" w:hAnsi="Times New Roman" w:cs="Times New Roman"/>
          <w:sz w:val="24"/>
          <w:szCs w:val="24"/>
        </w:rPr>
        <w:t xml:space="preserve"> &amp; </w:t>
      </w:r>
      <w:proofErr w:type="spellStart"/>
      <w:r w:rsidRPr="0049300D">
        <w:rPr>
          <w:rFonts w:ascii="Times New Roman" w:hAnsi="Times New Roman" w:cs="Times New Roman"/>
          <w:sz w:val="24"/>
          <w:szCs w:val="24"/>
        </w:rPr>
        <w:t>Valaiyankulam</w:t>
      </w:r>
      <w:proofErr w:type="spellEnd"/>
      <w:r w:rsidRPr="0049300D">
        <w:rPr>
          <w:rFonts w:ascii="Times New Roman" w:hAnsi="Times New Roman" w:cs="Times New Roman"/>
          <w:sz w:val="24"/>
          <w:szCs w:val="24"/>
        </w:rPr>
        <w:t xml:space="preserve"> markets in Madurai facilitate bulk sales from farmers. Wholesalers purchase from traders and further distribute to retailers in Madurai. Farmers receive lower prices due to multiple intermediaries, but the system ensures efficient market access.</w:t>
      </w:r>
    </w:p>
    <w:p w14:paraId="6F8E15BD" w14:textId="77777777" w:rsidR="006333D1" w:rsidRPr="0049300D" w:rsidRDefault="006333D1" w:rsidP="000C52C0">
      <w:pPr>
        <w:tabs>
          <w:tab w:val="left" w:pos="851"/>
        </w:tabs>
        <w:spacing w:line="360" w:lineRule="auto"/>
        <w:jc w:val="both"/>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 xml:space="preserve">MC </w:t>
      </w:r>
      <w:proofErr w:type="gramStart"/>
      <w:r w:rsidRPr="0049300D">
        <w:rPr>
          <w:rFonts w:ascii="Times New Roman" w:hAnsi="Times New Roman" w:cs="Times New Roman"/>
          <w:b/>
          <w:bCs/>
          <w:sz w:val="24"/>
          <w:szCs w:val="24"/>
          <w:lang w:val="en-US"/>
        </w:rPr>
        <w:t>II :</w:t>
      </w:r>
      <w:proofErr w:type="gramEnd"/>
      <w:r w:rsidRPr="0049300D">
        <w:rPr>
          <w:rFonts w:ascii="Times New Roman" w:hAnsi="Times New Roman" w:cs="Times New Roman"/>
          <w:b/>
          <w:bCs/>
          <w:sz w:val="24"/>
          <w:szCs w:val="24"/>
          <w:lang w:val="en-US"/>
        </w:rPr>
        <w:t xml:space="preserve"> GI Farmer → Commission Agent cum Trader → Exporter → Importer → Consumer (10 per cent)</w:t>
      </w:r>
    </w:p>
    <w:p w14:paraId="38E4F942" w14:textId="77777777" w:rsidR="006333D1" w:rsidRPr="0049300D" w:rsidRDefault="006333D1" w:rsidP="000C52C0">
      <w:pPr>
        <w:tabs>
          <w:tab w:val="left" w:pos="851"/>
        </w:tabs>
        <w:spacing w:line="360" w:lineRule="auto"/>
        <w:ind w:firstLine="720"/>
        <w:jc w:val="both"/>
        <w:rPr>
          <w:rFonts w:ascii="Times New Roman" w:hAnsi="Times New Roman" w:cs="Times New Roman"/>
          <w:sz w:val="24"/>
          <w:szCs w:val="24"/>
        </w:rPr>
      </w:pPr>
      <w:r w:rsidRPr="0049300D">
        <w:rPr>
          <w:rFonts w:ascii="Times New Roman" w:hAnsi="Times New Roman" w:cs="Times New Roman"/>
          <w:b/>
          <w:bCs/>
          <w:sz w:val="24"/>
          <w:szCs w:val="24"/>
        </w:rPr>
        <w:t xml:space="preserve"> </w:t>
      </w:r>
      <w:r w:rsidRPr="0049300D">
        <w:rPr>
          <w:rFonts w:ascii="Times New Roman" w:hAnsi="Times New Roman" w:cs="Times New Roman"/>
          <w:sz w:val="24"/>
          <w:szCs w:val="24"/>
        </w:rPr>
        <w:t xml:space="preserve">A small portion (10 per cent) of GI Jasmine flower is exported as garlands to Arab countries via Traders of </w:t>
      </w:r>
      <w:proofErr w:type="spellStart"/>
      <w:r w:rsidRPr="0049300D">
        <w:rPr>
          <w:rFonts w:ascii="Times New Roman" w:hAnsi="Times New Roman" w:cs="Times New Roman"/>
          <w:sz w:val="24"/>
          <w:szCs w:val="24"/>
        </w:rPr>
        <w:t>Mattuthavani</w:t>
      </w:r>
      <w:proofErr w:type="spellEnd"/>
      <w:r w:rsidRPr="0049300D">
        <w:rPr>
          <w:rFonts w:ascii="Times New Roman" w:hAnsi="Times New Roman" w:cs="Times New Roman"/>
          <w:sz w:val="24"/>
          <w:szCs w:val="24"/>
        </w:rPr>
        <w:t xml:space="preserve"> and </w:t>
      </w:r>
      <w:proofErr w:type="spellStart"/>
      <w:r w:rsidRPr="0049300D">
        <w:rPr>
          <w:rFonts w:ascii="Times New Roman" w:hAnsi="Times New Roman" w:cs="Times New Roman"/>
          <w:sz w:val="24"/>
          <w:szCs w:val="24"/>
        </w:rPr>
        <w:t>Valaiyankulam</w:t>
      </w:r>
      <w:proofErr w:type="spellEnd"/>
      <w:r w:rsidRPr="0049300D">
        <w:rPr>
          <w:rFonts w:ascii="Times New Roman" w:hAnsi="Times New Roman" w:cs="Times New Roman"/>
          <w:sz w:val="24"/>
          <w:szCs w:val="24"/>
        </w:rPr>
        <w:t xml:space="preserve"> markets who have link with exporters. Export markets offer better prices.</w:t>
      </w:r>
    </w:p>
    <w:p w14:paraId="433B2DB8" w14:textId="77777777" w:rsidR="006333D1" w:rsidRPr="0049300D" w:rsidRDefault="006333D1" w:rsidP="000C52C0">
      <w:pPr>
        <w:tabs>
          <w:tab w:val="left" w:pos="851"/>
        </w:tabs>
        <w:spacing w:line="360" w:lineRule="auto"/>
        <w:jc w:val="both"/>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 xml:space="preserve">MC </w:t>
      </w:r>
      <w:proofErr w:type="gramStart"/>
      <w:r w:rsidRPr="0049300D">
        <w:rPr>
          <w:rFonts w:ascii="Times New Roman" w:hAnsi="Times New Roman" w:cs="Times New Roman"/>
          <w:b/>
          <w:bCs/>
          <w:sz w:val="24"/>
          <w:szCs w:val="24"/>
          <w:lang w:val="en-US"/>
        </w:rPr>
        <w:t>III :</w:t>
      </w:r>
      <w:proofErr w:type="gramEnd"/>
      <w:r w:rsidRPr="0049300D">
        <w:rPr>
          <w:rFonts w:ascii="Times New Roman" w:hAnsi="Times New Roman" w:cs="Times New Roman"/>
          <w:b/>
          <w:bCs/>
          <w:sz w:val="24"/>
          <w:szCs w:val="24"/>
          <w:lang w:val="en-US"/>
        </w:rPr>
        <w:t xml:space="preserve"> GI Farmer → Commission Agent cum Trader → Retailer → Consumer (20 per cent)</w:t>
      </w:r>
    </w:p>
    <w:p w14:paraId="5055D664" w14:textId="77777777" w:rsidR="006333D1" w:rsidRPr="0049300D" w:rsidRDefault="006333D1" w:rsidP="000C52C0">
      <w:pPr>
        <w:tabs>
          <w:tab w:val="left" w:pos="851"/>
        </w:tabs>
        <w:spacing w:line="360" w:lineRule="auto"/>
        <w:ind w:firstLine="720"/>
        <w:jc w:val="both"/>
        <w:rPr>
          <w:rFonts w:ascii="Times New Roman" w:hAnsi="Times New Roman" w:cs="Times New Roman"/>
          <w:sz w:val="24"/>
          <w:szCs w:val="24"/>
          <w:lang w:val="en-US"/>
        </w:rPr>
      </w:pPr>
      <w:r w:rsidRPr="0049300D">
        <w:rPr>
          <w:rFonts w:ascii="Times New Roman" w:hAnsi="Times New Roman" w:cs="Times New Roman"/>
          <w:sz w:val="24"/>
          <w:szCs w:val="24"/>
        </w:rPr>
        <w:t xml:space="preserve">The MC III bypasses wholesalers, allowing retailers to purchase directly from trader of </w:t>
      </w:r>
      <w:proofErr w:type="spellStart"/>
      <w:r w:rsidRPr="0049300D">
        <w:rPr>
          <w:rFonts w:ascii="Times New Roman" w:hAnsi="Times New Roman" w:cs="Times New Roman"/>
          <w:sz w:val="24"/>
          <w:szCs w:val="24"/>
        </w:rPr>
        <w:t>Mattuthavani</w:t>
      </w:r>
      <w:proofErr w:type="spellEnd"/>
      <w:r w:rsidRPr="0049300D">
        <w:rPr>
          <w:rFonts w:ascii="Times New Roman" w:hAnsi="Times New Roman" w:cs="Times New Roman"/>
          <w:sz w:val="24"/>
          <w:szCs w:val="24"/>
        </w:rPr>
        <w:t xml:space="preserve"> and </w:t>
      </w:r>
      <w:proofErr w:type="spellStart"/>
      <w:r w:rsidRPr="0049300D">
        <w:rPr>
          <w:rFonts w:ascii="Times New Roman" w:hAnsi="Times New Roman" w:cs="Times New Roman"/>
          <w:sz w:val="24"/>
          <w:szCs w:val="24"/>
        </w:rPr>
        <w:t>Valaiyankulam</w:t>
      </w:r>
      <w:proofErr w:type="spellEnd"/>
      <w:r w:rsidRPr="0049300D">
        <w:rPr>
          <w:rFonts w:ascii="Times New Roman" w:hAnsi="Times New Roman" w:cs="Times New Roman"/>
          <w:sz w:val="24"/>
          <w:szCs w:val="24"/>
        </w:rPr>
        <w:t xml:space="preserve"> markets. </w:t>
      </w:r>
    </w:p>
    <w:p w14:paraId="080E9F69" w14:textId="77777777" w:rsidR="006333D1" w:rsidRPr="0049300D" w:rsidRDefault="006333D1" w:rsidP="000C52C0">
      <w:pPr>
        <w:tabs>
          <w:tab w:val="left" w:pos="851"/>
        </w:tabs>
        <w:spacing w:line="360" w:lineRule="auto"/>
        <w:jc w:val="both"/>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lastRenderedPageBreak/>
        <w:t xml:space="preserve">MC </w:t>
      </w:r>
      <w:proofErr w:type="gramStart"/>
      <w:r w:rsidRPr="0049300D">
        <w:rPr>
          <w:rFonts w:ascii="Times New Roman" w:hAnsi="Times New Roman" w:cs="Times New Roman"/>
          <w:b/>
          <w:bCs/>
          <w:sz w:val="24"/>
          <w:szCs w:val="24"/>
          <w:lang w:val="en-US"/>
        </w:rPr>
        <w:t>IV  :</w:t>
      </w:r>
      <w:proofErr w:type="gramEnd"/>
      <w:r w:rsidRPr="0049300D">
        <w:rPr>
          <w:rFonts w:ascii="Times New Roman" w:hAnsi="Times New Roman" w:cs="Times New Roman"/>
          <w:b/>
          <w:bCs/>
          <w:sz w:val="24"/>
          <w:szCs w:val="24"/>
          <w:lang w:val="en-US"/>
        </w:rPr>
        <w:t xml:space="preserve"> GI Farmer → Commission Agent cum Trader→ Processor → Perfumery Industries → Exporter → Importer → Consumer (10 per cent)</w:t>
      </w:r>
    </w:p>
    <w:p w14:paraId="340633E5" w14:textId="77777777" w:rsidR="006333D1" w:rsidRPr="0049300D" w:rsidRDefault="006333D1" w:rsidP="000C52C0">
      <w:pPr>
        <w:tabs>
          <w:tab w:val="left" w:pos="851"/>
        </w:tabs>
        <w:spacing w:line="360" w:lineRule="auto"/>
        <w:ind w:firstLine="720"/>
        <w:jc w:val="both"/>
        <w:rPr>
          <w:rFonts w:ascii="Times New Roman" w:hAnsi="Times New Roman" w:cs="Times New Roman"/>
          <w:sz w:val="24"/>
          <w:szCs w:val="24"/>
        </w:rPr>
      </w:pPr>
      <w:r w:rsidRPr="0049300D">
        <w:rPr>
          <w:rFonts w:ascii="Times New Roman" w:hAnsi="Times New Roman" w:cs="Times New Roman"/>
          <w:sz w:val="24"/>
          <w:szCs w:val="24"/>
        </w:rPr>
        <w:t>The MC IV channel, where processors refine raw materials for perfumery industries and process GI Jasmine for perfume production, has been identified. However, insufficient data prevents the quantification of price spread and efficiency.</w:t>
      </w:r>
    </w:p>
    <w:p w14:paraId="13D5A899" w14:textId="7E499976" w:rsidR="006333D1" w:rsidRPr="0049300D" w:rsidRDefault="006333D1" w:rsidP="007418E7">
      <w:pPr>
        <w:tabs>
          <w:tab w:val="left" w:pos="851"/>
        </w:tabs>
        <w:spacing w:line="360" w:lineRule="auto"/>
        <w:ind w:firstLine="720"/>
        <w:jc w:val="both"/>
        <w:rPr>
          <w:lang w:val="en-US"/>
        </w:rPr>
      </w:pPr>
      <w:r w:rsidRPr="0049300D">
        <w:rPr>
          <w:rFonts w:ascii="Times New Roman" w:hAnsi="Times New Roman" w:cs="Times New Roman"/>
          <w:sz w:val="24"/>
          <w:szCs w:val="24"/>
          <w:lang w:val="en-US"/>
        </w:rPr>
        <w:t>It was found that</w:t>
      </w:r>
      <w:r w:rsidRPr="0049300D">
        <w:rPr>
          <w:rFonts w:ascii="Times New Roman" w:hAnsi="Times New Roman" w:cs="Times New Roman"/>
          <w:sz w:val="24"/>
          <w:szCs w:val="24"/>
        </w:rPr>
        <w:t xml:space="preserve"> MC I dominates (60 per cent) due to strong trader-retailer networks in Madurai. MC II &amp; MC III are (10 per cent and 20 per cent), showing potential for higher-value processing and global demand. MC IV is growing (10 per cent), offering better access for consumers. </w:t>
      </w:r>
    </w:p>
    <w:p w14:paraId="36D30FA8" w14:textId="2860331D" w:rsidR="006333D1" w:rsidRPr="0049300D" w:rsidRDefault="000C52C0" w:rsidP="007418E7">
      <w:pPr>
        <w:tabs>
          <w:tab w:val="left" w:pos="851"/>
        </w:tabs>
        <w:spacing w:line="360" w:lineRule="auto"/>
        <w:rPr>
          <w:rFonts w:ascii="Times New Roman" w:hAnsi="Times New Roman" w:cs="Times New Roman"/>
          <w:b/>
          <w:bCs/>
          <w:sz w:val="24"/>
          <w:szCs w:val="24"/>
        </w:rPr>
      </w:pPr>
      <w:r>
        <w:rPr>
          <w:rFonts w:ascii="Times New Roman" w:hAnsi="Times New Roman" w:cs="Times New Roman"/>
          <w:b/>
          <w:bCs/>
          <w:sz w:val="24"/>
          <w:szCs w:val="24"/>
        </w:rPr>
        <w:t>3.2</w:t>
      </w:r>
      <w:r w:rsidR="006333D1" w:rsidRPr="0049300D">
        <w:rPr>
          <w:rFonts w:ascii="Times New Roman" w:hAnsi="Times New Roman" w:cs="Times New Roman"/>
          <w:b/>
          <w:bCs/>
          <w:sz w:val="24"/>
          <w:szCs w:val="24"/>
        </w:rPr>
        <w:t xml:space="preserve"> Price Spread analysis of </w:t>
      </w:r>
      <w:r w:rsidRPr="0049300D">
        <w:rPr>
          <w:rFonts w:ascii="Times New Roman" w:hAnsi="Times New Roman" w:cs="Times New Roman"/>
          <w:b/>
          <w:bCs/>
          <w:sz w:val="24"/>
          <w:szCs w:val="24"/>
        </w:rPr>
        <w:t>Madurai Malli</w:t>
      </w:r>
    </w:p>
    <w:p w14:paraId="5A0C82EF" w14:textId="1B1D0525" w:rsidR="006333D1" w:rsidRPr="0049300D" w:rsidRDefault="007418E7" w:rsidP="000C52C0">
      <w:pPr>
        <w:tabs>
          <w:tab w:val="left" w:pos="851"/>
        </w:tabs>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6333D1" w:rsidRPr="0049300D">
        <w:rPr>
          <w:rFonts w:ascii="Times New Roman" w:hAnsi="Times New Roman" w:cs="Times New Roman"/>
          <w:sz w:val="24"/>
          <w:szCs w:val="24"/>
          <w:lang w:val="en-US"/>
        </w:rPr>
        <w:t>he net price received by the farmers</w:t>
      </w:r>
      <w:r>
        <w:rPr>
          <w:rFonts w:ascii="Times New Roman" w:hAnsi="Times New Roman" w:cs="Times New Roman"/>
          <w:sz w:val="24"/>
          <w:szCs w:val="24"/>
          <w:lang w:val="en-US"/>
        </w:rPr>
        <w:t xml:space="preserve"> for </w:t>
      </w:r>
      <w:r w:rsidR="00901DC8">
        <w:rPr>
          <w:rFonts w:ascii="Times New Roman" w:hAnsi="Times New Roman" w:cs="Times New Roman"/>
          <w:sz w:val="24"/>
          <w:szCs w:val="24"/>
          <w:lang w:val="en-US"/>
        </w:rPr>
        <w:t xml:space="preserve">GI </w:t>
      </w:r>
      <w:r>
        <w:rPr>
          <w:rFonts w:ascii="Times New Roman" w:hAnsi="Times New Roman" w:cs="Times New Roman"/>
          <w:sz w:val="24"/>
          <w:szCs w:val="24"/>
          <w:lang w:val="en-US"/>
        </w:rPr>
        <w:t>Madurai Malli</w:t>
      </w:r>
      <w:r w:rsidR="006333D1" w:rsidRPr="0049300D">
        <w:rPr>
          <w:rFonts w:ascii="Times New Roman" w:hAnsi="Times New Roman" w:cs="Times New Roman"/>
          <w:sz w:val="24"/>
          <w:szCs w:val="24"/>
          <w:lang w:val="en-US"/>
        </w:rPr>
        <w:t xml:space="preserve"> was highest in Marketing Channel MC III (72.97 per cent) followed by MC I (64.29 per cent), and MC II (10.67 per cent) (Table</w:t>
      </w:r>
      <w:r w:rsidR="004D44ED">
        <w:rPr>
          <w:rFonts w:ascii="Times New Roman" w:hAnsi="Times New Roman" w:cs="Times New Roman"/>
          <w:sz w:val="24"/>
          <w:szCs w:val="24"/>
          <w:lang w:val="en-US"/>
        </w:rPr>
        <w:t>.</w:t>
      </w:r>
      <w:r w:rsidR="006333D1" w:rsidRPr="0049300D">
        <w:rPr>
          <w:rFonts w:ascii="Times New Roman" w:hAnsi="Times New Roman" w:cs="Times New Roman"/>
          <w:sz w:val="24"/>
          <w:szCs w:val="24"/>
          <w:lang w:val="en-US"/>
        </w:rPr>
        <w:t xml:space="preserve"> </w:t>
      </w:r>
      <w:r w:rsidR="004D44ED">
        <w:rPr>
          <w:rFonts w:ascii="Times New Roman" w:hAnsi="Times New Roman" w:cs="Times New Roman"/>
          <w:sz w:val="24"/>
          <w:szCs w:val="24"/>
          <w:lang w:val="en-US"/>
        </w:rPr>
        <w:t>1</w:t>
      </w:r>
      <w:r w:rsidR="006333D1" w:rsidRPr="0049300D">
        <w:rPr>
          <w:rFonts w:ascii="Times New Roman" w:hAnsi="Times New Roman" w:cs="Times New Roman"/>
          <w:sz w:val="24"/>
          <w:szCs w:val="24"/>
          <w:lang w:val="en-US"/>
        </w:rPr>
        <w:t>). The trader in MC III had the highest marketing cost (2.70 per cent) followed by MC I (2.38 per cent), and MC II (0.40 per cent), similarly the highest marketing margin found in MC III (5.41 per cent) followed by MC I (4.76 per cent), and MC II (0.79 per cent). The marketing cost and marketing margin for exporter in MC II it was found 27.73 and 8.15 per cent respectively. The marketing cost and margin for importer in MC II it was found 34.42 and 16.67 per cent respectively</w:t>
      </w:r>
      <w:r w:rsidR="003B3D68">
        <w:rPr>
          <w:rFonts w:ascii="Times New Roman" w:hAnsi="Times New Roman" w:cs="Times New Roman"/>
          <w:sz w:val="24"/>
          <w:szCs w:val="24"/>
          <w:lang w:val="en-US"/>
        </w:rPr>
        <w:t>.</w:t>
      </w:r>
    </w:p>
    <w:p w14:paraId="27EF90CE" w14:textId="77777777" w:rsidR="003B3D68" w:rsidRPr="0049300D" w:rsidRDefault="003B3D68" w:rsidP="003B3D68">
      <w:pPr>
        <w:tabs>
          <w:tab w:val="left" w:pos="521"/>
          <w:tab w:val="left" w:pos="851"/>
        </w:tabs>
        <w:spacing w:after="0" w:line="360" w:lineRule="auto"/>
        <w:rPr>
          <w:rFonts w:ascii="Times New Roman" w:hAnsi="Times New Roman" w:cs="Times New Roman"/>
          <w:b/>
          <w:bCs/>
          <w:sz w:val="24"/>
          <w:szCs w:val="24"/>
          <w:lang w:val="en-US"/>
        </w:rPr>
      </w:pPr>
    </w:p>
    <w:p w14:paraId="2C92FA97" w14:textId="77777777" w:rsidR="003B3D68" w:rsidRPr="0049300D" w:rsidRDefault="003B3D68" w:rsidP="003B3D68">
      <w:pPr>
        <w:tabs>
          <w:tab w:val="left" w:pos="3869"/>
        </w:tabs>
        <w:spacing w:line="360" w:lineRule="auto"/>
        <w:jc w:val="center"/>
        <w:rPr>
          <w:rFonts w:ascii="Times New Roman" w:hAnsi="Times New Roman" w:cs="Times New Roman"/>
          <w:sz w:val="24"/>
          <w:szCs w:val="24"/>
        </w:rPr>
      </w:pPr>
      <w:r w:rsidRPr="0049300D">
        <w:rPr>
          <w:noProof/>
        </w:rPr>
        <w:drawing>
          <wp:inline distT="0" distB="0" distL="0" distR="0" wp14:anchorId="410B5243" wp14:editId="52A0DB51">
            <wp:extent cx="5796501" cy="2886323"/>
            <wp:effectExtent l="0" t="0" r="13970" b="9525"/>
            <wp:docPr id="937347101" name="Chart 1">
              <a:extLst xmlns:a="http://schemas.openxmlformats.org/drawingml/2006/main">
                <a:ext uri="{FF2B5EF4-FFF2-40B4-BE49-F238E27FC236}">
                  <a16:creationId xmlns:a16="http://schemas.microsoft.com/office/drawing/2014/main" id="{BDCE09B1-E927-1E12-A266-12DA67B8D9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DA43ED6" w14:textId="2306BE86" w:rsidR="003B3D68" w:rsidRDefault="003B3D68" w:rsidP="003B3D68">
      <w:pPr>
        <w:tabs>
          <w:tab w:val="left" w:pos="851"/>
        </w:tabs>
        <w:spacing w:line="360" w:lineRule="auto"/>
        <w:jc w:val="center"/>
        <w:rPr>
          <w:rFonts w:ascii="Times New Roman" w:hAnsi="Times New Roman" w:cs="Times New Roman"/>
          <w:b/>
          <w:bCs/>
          <w:sz w:val="24"/>
          <w:szCs w:val="24"/>
        </w:rPr>
      </w:pPr>
      <w:r w:rsidRPr="0049300D">
        <w:rPr>
          <w:rFonts w:ascii="Times New Roman" w:hAnsi="Times New Roman" w:cs="Times New Roman"/>
          <w:b/>
          <w:bCs/>
          <w:sz w:val="24"/>
          <w:szCs w:val="24"/>
        </w:rPr>
        <w:t>Fig.</w:t>
      </w:r>
      <w:r>
        <w:rPr>
          <w:rFonts w:ascii="Times New Roman" w:hAnsi="Times New Roman" w:cs="Times New Roman"/>
          <w:b/>
          <w:bCs/>
          <w:sz w:val="24"/>
          <w:szCs w:val="24"/>
        </w:rPr>
        <w:t xml:space="preserve"> 3</w:t>
      </w:r>
      <w:r w:rsidRPr="0049300D">
        <w:rPr>
          <w:rFonts w:ascii="Times New Roman" w:hAnsi="Times New Roman" w:cs="Times New Roman"/>
          <w:b/>
          <w:bCs/>
          <w:sz w:val="24"/>
          <w:szCs w:val="24"/>
        </w:rPr>
        <w:t xml:space="preserve"> Price Spread of </w:t>
      </w:r>
      <w:r w:rsidR="00901DC8">
        <w:rPr>
          <w:rFonts w:ascii="Times New Roman" w:hAnsi="Times New Roman" w:cs="Times New Roman"/>
          <w:b/>
          <w:bCs/>
          <w:sz w:val="24"/>
          <w:szCs w:val="24"/>
        </w:rPr>
        <w:t xml:space="preserve">GI </w:t>
      </w:r>
      <w:r w:rsidRPr="0049300D">
        <w:rPr>
          <w:rFonts w:ascii="Times New Roman" w:hAnsi="Times New Roman" w:cs="Times New Roman"/>
          <w:b/>
          <w:bCs/>
          <w:sz w:val="24"/>
          <w:szCs w:val="24"/>
        </w:rPr>
        <w:t>Madurai Malli</w:t>
      </w:r>
    </w:p>
    <w:p w14:paraId="6FE69884" w14:textId="000A9902" w:rsidR="003B3D68" w:rsidRPr="003B3D68" w:rsidRDefault="000C52C0" w:rsidP="003B3D68">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ab/>
      </w:r>
      <w:r w:rsidR="006333D1" w:rsidRPr="0049300D">
        <w:rPr>
          <w:rFonts w:ascii="Times New Roman" w:hAnsi="Times New Roman" w:cs="Times New Roman"/>
          <w:sz w:val="24"/>
          <w:szCs w:val="24"/>
          <w:lang w:val="en-US"/>
        </w:rPr>
        <w:t>The retailer in MC III had the highest marketing cost (2.70 per cent) followed by MC I (2.38 per cent), whereas the marketing margin was high in MC I (9.52 per cent) followed by MC III (8.11 per cent). The price spread was found low in MC III (27.03 per cent), followed by MC I (35.71 per cent), and MC II (89.33 per cent) (Fig</w:t>
      </w:r>
      <w:r w:rsidR="004D44ED">
        <w:rPr>
          <w:rFonts w:ascii="Times New Roman" w:hAnsi="Times New Roman" w:cs="Times New Roman"/>
          <w:sz w:val="24"/>
          <w:szCs w:val="24"/>
          <w:lang w:val="en-US"/>
        </w:rPr>
        <w:t>. 3</w:t>
      </w:r>
      <w:r w:rsidR="006333D1" w:rsidRPr="0049300D">
        <w:rPr>
          <w:rFonts w:ascii="Times New Roman" w:hAnsi="Times New Roman" w:cs="Times New Roman"/>
          <w:sz w:val="24"/>
          <w:szCs w:val="24"/>
          <w:lang w:val="en-US"/>
        </w:rPr>
        <w:t>). It is evident that MC III was found to be efficient followed by MC I and MC II compared to other channels in jasmine due to higher net price received by the farmers.</w:t>
      </w:r>
      <w:r w:rsidR="006333D1">
        <w:rPr>
          <w:rFonts w:ascii="Times New Roman" w:hAnsi="Times New Roman" w:cs="Times New Roman"/>
          <w:sz w:val="24"/>
          <w:szCs w:val="24"/>
          <w:lang w:val="en-US"/>
        </w:rPr>
        <w:t xml:space="preserve"> </w:t>
      </w:r>
      <w:r w:rsidR="006333D1">
        <w:rPr>
          <w:rFonts w:ascii="Times New Roman" w:hAnsi="Times New Roman" w:cs="Times New Roman"/>
          <w:sz w:val="24"/>
          <w:szCs w:val="24"/>
        </w:rPr>
        <w:t xml:space="preserve">In </w:t>
      </w:r>
      <w:r w:rsidR="006333D1" w:rsidRPr="0049300D">
        <w:rPr>
          <w:rFonts w:ascii="Times New Roman" w:hAnsi="Times New Roman" w:cs="Times New Roman"/>
          <w:sz w:val="24"/>
          <w:szCs w:val="24"/>
        </w:rPr>
        <w:t>case of Madurai malli, garland making is done at exporter level and not at farmers level or association level.</w:t>
      </w:r>
    </w:p>
    <w:p w14:paraId="2742ECBC" w14:textId="3E8944DD" w:rsidR="006333D1" w:rsidRPr="0049300D" w:rsidRDefault="006333D1" w:rsidP="000C52C0">
      <w:pPr>
        <w:tabs>
          <w:tab w:val="left" w:pos="851"/>
        </w:tabs>
        <w:spacing w:after="0" w:line="360" w:lineRule="auto"/>
        <w:jc w:val="center"/>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Table</w:t>
      </w:r>
      <w:r w:rsidR="004D44ED">
        <w:rPr>
          <w:rFonts w:ascii="Times New Roman" w:hAnsi="Times New Roman" w:cs="Times New Roman"/>
          <w:b/>
          <w:bCs/>
          <w:sz w:val="24"/>
          <w:szCs w:val="24"/>
          <w:lang w:val="en-US"/>
        </w:rPr>
        <w:t>.</w:t>
      </w:r>
      <w:r w:rsidRPr="0049300D">
        <w:rPr>
          <w:rFonts w:ascii="Times New Roman" w:hAnsi="Times New Roman" w:cs="Times New Roman"/>
          <w:b/>
          <w:bCs/>
          <w:sz w:val="24"/>
          <w:szCs w:val="24"/>
          <w:lang w:val="en-US"/>
        </w:rPr>
        <w:t xml:space="preserve"> </w:t>
      </w:r>
      <w:r w:rsidR="004D44ED">
        <w:rPr>
          <w:rFonts w:ascii="Times New Roman" w:hAnsi="Times New Roman" w:cs="Times New Roman"/>
          <w:b/>
          <w:bCs/>
          <w:sz w:val="24"/>
          <w:szCs w:val="24"/>
          <w:lang w:val="en-US"/>
        </w:rPr>
        <w:t>1</w:t>
      </w:r>
      <w:r w:rsidRPr="0049300D">
        <w:rPr>
          <w:rFonts w:ascii="Times New Roman" w:hAnsi="Times New Roman" w:cs="Times New Roman"/>
          <w:b/>
          <w:bCs/>
          <w:sz w:val="24"/>
          <w:szCs w:val="24"/>
          <w:lang w:val="en-US"/>
        </w:rPr>
        <w:t xml:space="preserve"> Price Spread Analysis of </w:t>
      </w:r>
      <w:r w:rsidR="00901DC8">
        <w:rPr>
          <w:rFonts w:ascii="Times New Roman" w:hAnsi="Times New Roman" w:cs="Times New Roman"/>
          <w:b/>
          <w:bCs/>
          <w:sz w:val="24"/>
          <w:szCs w:val="24"/>
          <w:lang w:val="en-US"/>
        </w:rPr>
        <w:t xml:space="preserve">GI </w:t>
      </w:r>
      <w:r w:rsidRPr="0049300D">
        <w:rPr>
          <w:rFonts w:ascii="Times New Roman" w:hAnsi="Times New Roman" w:cs="Times New Roman"/>
          <w:b/>
          <w:bCs/>
          <w:sz w:val="24"/>
          <w:szCs w:val="24"/>
          <w:lang w:val="en-US"/>
        </w:rPr>
        <w:t>Madurai Malli</w:t>
      </w:r>
    </w:p>
    <w:p w14:paraId="4D80BD7D" w14:textId="77777777" w:rsidR="006333D1" w:rsidRPr="0049300D" w:rsidRDefault="006333D1" w:rsidP="000C52C0">
      <w:pPr>
        <w:tabs>
          <w:tab w:val="left" w:pos="851"/>
        </w:tabs>
        <w:spacing w:after="0" w:line="360" w:lineRule="auto"/>
        <w:ind w:right="-472"/>
        <w:jc w:val="right"/>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 xml:space="preserve">                          (</w:t>
      </w:r>
      <w:proofErr w:type="gramStart"/>
      <w:r w:rsidRPr="0049300D">
        <w:rPr>
          <w:rFonts w:ascii="Times New Roman" w:hAnsi="Times New Roman" w:cs="Times New Roman"/>
          <w:b/>
          <w:bCs/>
          <w:sz w:val="24"/>
          <w:szCs w:val="24"/>
          <w:lang w:val="en-US"/>
        </w:rPr>
        <w:t>Rs./</w:t>
      </w:r>
      <w:proofErr w:type="spellStart"/>
      <w:proofErr w:type="gramEnd"/>
      <w:r w:rsidRPr="0049300D">
        <w:rPr>
          <w:rFonts w:ascii="Times New Roman" w:hAnsi="Times New Roman" w:cs="Times New Roman"/>
          <w:b/>
          <w:bCs/>
          <w:sz w:val="24"/>
          <w:szCs w:val="24"/>
          <w:lang w:val="en-US"/>
        </w:rPr>
        <w:t>Qtl</w:t>
      </w:r>
      <w:proofErr w:type="spellEnd"/>
      <w:r w:rsidRPr="0049300D">
        <w:rPr>
          <w:rFonts w:ascii="Times New Roman" w:hAnsi="Times New Roman" w:cs="Times New Roman"/>
          <w:b/>
          <w:bCs/>
          <w:sz w:val="24"/>
          <w:szCs w:val="24"/>
          <w:lang w:val="en-US"/>
        </w:rPr>
        <w:t>)</w:t>
      </w:r>
      <w:r w:rsidRPr="0049300D">
        <w:rPr>
          <w:rFonts w:ascii="Times New Roman" w:hAnsi="Times New Roman" w:cs="Times New Roman"/>
          <w:b/>
          <w:bCs/>
          <w:sz w:val="24"/>
          <w:szCs w:val="24"/>
          <w:lang w:val="en-US"/>
        </w:rPr>
        <w:tab/>
      </w:r>
    </w:p>
    <w:tbl>
      <w:tblPr>
        <w:tblW w:w="8918" w:type="dxa"/>
        <w:jc w:val="center"/>
        <w:tblLook w:val="04A0" w:firstRow="1" w:lastRow="0" w:firstColumn="1" w:lastColumn="0" w:noHBand="0" w:noVBand="1"/>
      </w:tblPr>
      <w:tblGrid>
        <w:gridCol w:w="734"/>
        <w:gridCol w:w="2696"/>
        <w:gridCol w:w="845"/>
        <w:gridCol w:w="990"/>
        <w:gridCol w:w="1056"/>
        <w:gridCol w:w="876"/>
        <w:gridCol w:w="845"/>
        <w:gridCol w:w="876"/>
      </w:tblGrid>
      <w:tr w:rsidR="006333D1" w:rsidRPr="0049300D" w14:paraId="4C4AE416" w14:textId="77777777" w:rsidTr="00727E1F">
        <w:trPr>
          <w:trHeight w:val="313"/>
          <w:jc w:val="center"/>
        </w:trPr>
        <w:tc>
          <w:tcPr>
            <w:tcW w:w="734" w:type="dxa"/>
            <w:vMerge w:val="restart"/>
            <w:tcBorders>
              <w:top w:val="single" w:sz="4" w:space="0" w:color="auto"/>
              <w:left w:val="single" w:sz="4" w:space="0" w:color="auto"/>
              <w:right w:val="single" w:sz="4" w:space="0" w:color="auto"/>
            </w:tcBorders>
            <w:noWrap/>
            <w:vAlign w:val="center"/>
            <w:hideMark/>
          </w:tcPr>
          <w:p w14:paraId="5EF25267"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proofErr w:type="spellStart"/>
            <w:proofErr w:type="gramStart"/>
            <w:r w:rsidRPr="0049300D">
              <w:rPr>
                <w:rFonts w:ascii="Times New Roman" w:eastAsia="Times New Roman" w:hAnsi="Times New Roman" w:cs="Times New Roman"/>
                <w:b/>
                <w:bCs/>
                <w:kern w:val="0"/>
                <w:sz w:val="24"/>
                <w:szCs w:val="24"/>
                <w:lang w:eastAsia="en-IN"/>
                <w14:ligatures w14:val="none"/>
              </w:rPr>
              <w:t>S.No</w:t>
            </w:r>
            <w:proofErr w:type="spellEnd"/>
            <w:proofErr w:type="gramEnd"/>
          </w:p>
        </w:tc>
        <w:tc>
          <w:tcPr>
            <w:tcW w:w="2696" w:type="dxa"/>
            <w:vMerge w:val="restart"/>
            <w:tcBorders>
              <w:top w:val="single" w:sz="4" w:space="0" w:color="auto"/>
              <w:left w:val="single" w:sz="4" w:space="0" w:color="auto"/>
              <w:right w:val="single" w:sz="4" w:space="0" w:color="auto"/>
            </w:tcBorders>
            <w:noWrap/>
            <w:vAlign w:val="center"/>
            <w:hideMark/>
          </w:tcPr>
          <w:p w14:paraId="11502C23"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Particulars</w:t>
            </w:r>
          </w:p>
        </w:tc>
        <w:tc>
          <w:tcPr>
            <w:tcW w:w="1835" w:type="dxa"/>
            <w:gridSpan w:val="2"/>
            <w:tcBorders>
              <w:top w:val="single" w:sz="4" w:space="0" w:color="auto"/>
              <w:left w:val="nil"/>
              <w:bottom w:val="single" w:sz="4" w:space="0" w:color="auto"/>
              <w:right w:val="single" w:sz="4" w:space="0" w:color="auto"/>
            </w:tcBorders>
            <w:noWrap/>
            <w:vAlign w:val="center"/>
            <w:hideMark/>
          </w:tcPr>
          <w:p w14:paraId="4BB9F1B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MC I</w:t>
            </w:r>
          </w:p>
        </w:tc>
        <w:tc>
          <w:tcPr>
            <w:tcW w:w="1932" w:type="dxa"/>
            <w:gridSpan w:val="2"/>
            <w:tcBorders>
              <w:top w:val="single" w:sz="4" w:space="0" w:color="auto"/>
              <w:left w:val="nil"/>
              <w:bottom w:val="single" w:sz="4" w:space="0" w:color="auto"/>
              <w:right w:val="single" w:sz="4" w:space="0" w:color="auto"/>
            </w:tcBorders>
            <w:vAlign w:val="center"/>
            <w:hideMark/>
          </w:tcPr>
          <w:p w14:paraId="377AB96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MC II</w:t>
            </w:r>
          </w:p>
        </w:tc>
        <w:tc>
          <w:tcPr>
            <w:tcW w:w="1721" w:type="dxa"/>
            <w:gridSpan w:val="2"/>
            <w:tcBorders>
              <w:top w:val="single" w:sz="4" w:space="0" w:color="auto"/>
              <w:left w:val="nil"/>
              <w:bottom w:val="single" w:sz="4" w:space="0" w:color="auto"/>
              <w:right w:val="single" w:sz="4" w:space="0" w:color="auto"/>
            </w:tcBorders>
            <w:vAlign w:val="center"/>
            <w:hideMark/>
          </w:tcPr>
          <w:p w14:paraId="7A272F3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MC III</w:t>
            </w:r>
          </w:p>
        </w:tc>
      </w:tr>
      <w:tr w:rsidR="006333D1" w:rsidRPr="0049300D" w14:paraId="280B0146" w14:textId="77777777" w:rsidTr="00727E1F">
        <w:trPr>
          <w:trHeight w:val="313"/>
          <w:jc w:val="center"/>
        </w:trPr>
        <w:tc>
          <w:tcPr>
            <w:tcW w:w="734" w:type="dxa"/>
            <w:vMerge/>
            <w:tcBorders>
              <w:left w:val="single" w:sz="4" w:space="0" w:color="auto"/>
              <w:bottom w:val="single" w:sz="4" w:space="0" w:color="auto"/>
              <w:right w:val="single" w:sz="4" w:space="0" w:color="auto"/>
            </w:tcBorders>
            <w:noWrap/>
            <w:vAlign w:val="center"/>
          </w:tcPr>
          <w:p w14:paraId="701D061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p>
        </w:tc>
        <w:tc>
          <w:tcPr>
            <w:tcW w:w="2696" w:type="dxa"/>
            <w:vMerge/>
            <w:tcBorders>
              <w:left w:val="single" w:sz="4" w:space="0" w:color="auto"/>
              <w:bottom w:val="single" w:sz="4" w:space="0" w:color="auto"/>
              <w:right w:val="single" w:sz="4" w:space="0" w:color="auto"/>
            </w:tcBorders>
            <w:noWrap/>
            <w:vAlign w:val="center"/>
          </w:tcPr>
          <w:p w14:paraId="24809CD8" w14:textId="77777777" w:rsidR="006333D1" w:rsidRPr="0049300D" w:rsidRDefault="006333D1" w:rsidP="000C52C0">
            <w:pPr>
              <w:tabs>
                <w:tab w:val="left" w:pos="851"/>
              </w:tabs>
              <w:spacing w:after="0" w:line="360" w:lineRule="auto"/>
              <w:jc w:val="center"/>
              <w:rPr>
                <w:rFonts w:ascii="Times New Roman" w:hAnsi="Times New Roman" w:cs="Times New Roman"/>
                <w:b/>
                <w:bCs/>
                <w:sz w:val="24"/>
                <w:szCs w:val="24"/>
              </w:rPr>
            </w:pPr>
          </w:p>
        </w:tc>
        <w:tc>
          <w:tcPr>
            <w:tcW w:w="845" w:type="dxa"/>
            <w:tcBorders>
              <w:top w:val="nil"/>
              <w:left w:val="nil"/>
              <w:bottom w:val="single" w:sz="4" w:space="0" w:color="auto"/>
              <w:right w:val="single" w:sz="4" w:space="0" w:color="auto"/>
            </w:tcBorders>
            <w:noWrap/>
            <w:vAlign w:val="center"/>
          </w:tcPr>
          <w:p w14:paraId="750DCC54" w14:textId="77777777" w:rsidR="006333D1" w:rsidRPr="0049300D" w:rsidRDefault="006333D1" w:rsidP="000C52C0">
            <w:pPr>
              <w:tabs>
                <w:tab w:val="left" w:pos="851"/>
              </w:tabs>
              <w:spacing w:after="0" w:line="360" w:lineRule="auto"/>
              <w:jc w:val="center"/>
              <w:rPr>
                <w:rFonts w:ascii="Times New Roman" w:hAnsi="Times New Roman" w:cs="Times New Roman"/>
                <w:b/>
                <w:bCs/>
                <w:sz w:val="24"/>
                <w:szCs w:val="24"/>
              </w:rPr>
            </w:pPr>
            <w:r w:rsidRPr="0049300D">
              <w:rPr>
                <w:rFonts w:ascii="Times New Roman" w:hAnsi="Times New Roman" w:cs="Times New Roman"/>
                <w:b/>
                <w:bCs/>
                <w:sz w:val="24"/>
                <w:szCs w:val="24"/>
              </w:rPr>
              <w:t>Rs.</w:t>
            </w:r>
          </w:p>
        </w:tc>
        <w:tc>
          <w:tcPr>
            <w:tcW w:w="990" w:type="dxa"/>
            <w:tcBorders>
              <w:top w:val="nil"/>
              <w:left w:val="nil"/>
              <w:bottom w:val="single" w:sz="4" w:space="0" w:color="auto"/>
              <w:right w:val="single" w:sz="4" w:space="0" w:color="auto"/>
            </w:tcBorders>
            <w:noWrap/>
            <w:vAlign w:val="center"/>
          </w:tcPr>
          <w:p w14:paraId="2D64A5C2" w14:textId="77777777" w:rsidR="006333D1" w:rsidRPr="0049300D" w:rsidRDefault="006333D1" w:rsidP="000C52C0">
            <w:pPr>
              <w:tabs>
                <w:tab w:val="left" w:pos="851"/>
              </w:tabs>
              <w:spacing w:after="0" w:line="360" w:lineRule="auto"/>
              <w:jc w:val="center"/>
              <w:rPr>
                <w:rFonts w:ascii="Times New Roman" w:hAnsi="Times New Roman" w:cs="Times New Roman"/>
                <w:b/>
                <w:bCs/>
                <w:sz w:val="24"/>
                <w:szCs w:val="24"/>
              </w:rPr>
            </w:pPr>
            <w:r w:rsidRPr="0049300D">
              <w:rPr>
                <w:rFonts w:ascii="Times New Roman" w:hAnsi="Times New Roman" w:cs="Times New Roman"/>
                <w:b/>
                <w:bCs/>
                <w:sz w:val="24"/>
                <w:szCs w:val="24"/>
              </w:rPr>
              <w:t>% to CP</w:t>
            </w:r>
          </w:p>
        </w:tc>
        <w:tc>
          <w:tcPr>
            <w:tcW w:w="1056" w:type="dxa"/>
            <w:tcBorders>
              <w:left w:val="nil"/>
              <w:bottom w:val="single" w:sz="4" w:space="0" w:color="auto"/>
              <w:right w:val="single" w:sz="4" w:space="0" w:color="auto"/>
            </w:tcBorders>
            <w:vAlign w:val="center"/>
          </w:tcPr>
          <w:p w14:paraId="0937C50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Rs.</w:t>
            </w:r>
          </w:p>
        </w:tc>
        <w:tc>
          <w:tcPr>
            <w:tcW w:w="876" w:type="dxa"/>
            <w:tcBorders>
              <w:top w:val="nil"/>
              <w:left w:val="nil"/>
              <w:bottom w:val="single" w:sz="4" w:space="0" w:color="auto"/>
              <w:right w:val="single" w:sz="4" w:space="0" w:color="auto"/>
            </w:tcBorders>
            <w:vAlign w:val="center"/>
          </w:tcPr>
          <w:p w14:paraId="3B8EE80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 to CP</w:t>
            </w:r>
          </w:p>
        </w:tc>
        <w:tc>
          <w:tcPr>
            <w:tcW w:w="845" w:type="dxa"/>
            <w:tcBorders>
              <w:top w:val="nil"/>
              <w:left w:val="nil"/>
              <w:bottom w:val="single" w:sz="4" w:space="0" w:color="auto"/>
              <w:right w:val="single" w:sz="4" w:space="0" w:color="auto"/>
            </w:tcBorders>
            <w:vAlign w:val="center"/>
          </w:tcPr>
          <w:p w14:paraId="746719E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Rs.</w:t>
            </w:r>
          </w:p>
        </w:tc>
        <w:tc>
          <w:tcPr>
            <w:tcW w:w="876" w:type="dxa"/>
            <w:tcBorders>
              <w:top w:val="nil"/>
              <w:left w:val="nil"/>
              <w:bottom w:val="single" w:sz="4" w:space="0" w:color="auto"/>
              <w:right w:val="single" w:sz="4" w:space="0" w:color="auto"/>
            </w:tcBorders>
            <w:vAlign w:val="center"/>
          </w:tcPr>
          <w:p w14:paraId="3259547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 to</w:t>
            </w:r>
            <w:r w:rsidRPr="0049300D">
              <w:rPr>
                <w:rFonts w:ascii="Times New Roman" w:hAnsi="Times New Roman" w:cs="Times New Roman"/>
                <w:b/>
                <w:bCs/>
                <w:sz w:val="24"/>
                <w:szCs w:val="24"/>
              </w:rPr>
              <w:br/>
              <w:t xml:space="preserve"> CP</w:t>
            </w:r>
          </w:p>
        </w:tc>
      </w:tr>
      <w:tr w:rsidR="006333D1" w:rsidRPr="0049300D" w14:paraId="7A7A78F6" w14:textId="77777777" w:rsidTr="003B3D68">
        <w:trPr>
          <w:trHeight w:val="313"/>
          <w:jc w:val="center"/>
        </w:trPr>
        <w:tc>
          <w:tcPr>
            <w:tcW w:w="734" w:type="dxa"/>
            <w:tcBorders>
              <w:top w:val="nil"/>
              <w:left w:val="single" w:sz="4" w:space="0" w:color="auto"/>
              <w:bottom w:val="single" w:sz="4" w:space="0" w:color="auto"/>
              <w:right w:val="single" w:sz="4" w:space="0" w:color="auto"/>
            </w:tcBorders>
            <w:noWrap/>
            <w:vAlign w:val="center"/>
          </w:tcPr>
          <w:p w14:paraId="493CA74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1</w:t>
            </w:r>
          </w:p>
        </w:tc>
        <w:tc>
          <w:tcPr>
            <w:tcW w:w="8184" w:type="dxa"/>
            <w:gridSpan w:val="7"/>
            <w:tcBorders>
              <w:top w:val="nil"/>
              <w:left w:val="nil"/>
              <w:bottom w:val="single" w:sz="4" w:space="0" w:color="auto"/>
              <w:right w:val="single" w:sz="4" w:space="0" w:color="auto"/>
            </w:tcBorders>
            <w:noWrap/>
            <w:vAlign w:val="center"/>
          </w:tcPr>
          <w:p w14:paraId="36EB431D" w14:textId="77777777" w:rsidR="006333D1" w:rsidRPr="0049300D" w:rsidRDefault="006333D1" w:rsidP="000C52C0">
            <w:pPr>
              <w:tabs>
                <w:tab w:val="left" w:pos="851"/>
              </w:tabs>
              <w:spacing w:after="0" w:line="360" w:lineRule="auto"/>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Farmer</w:t>
            </w:r>
          </w:p>
        </w:tc>
      </w:tr>
      <w:tr w:rsidR="006333D1" w:rsidRPr="0049300D" w14:paraId="3B78AF2C" w14:textId="77777777" w:rsidTr="003B3D68">
        <w:trPr>
          <w:trHeight w:val="313"/>
          <w:jc w:val="center"/>
        </w:trPr>
        <w:tc>
          <w:tcPr>
            <w:tcW w:w="734" w:type="dxa"/>
            <w:vMerge w:val="restart"/>
            <w:tcBorders>
              <w:top w:val="single" w:sz="4" w:space="0" w:color="auto"/>
              <w:left w:val="single" w:sz="4" w:space="0" w:color="auto"/>
              <w:bottom w:val="single" w:sz="4" w:space="0" w:color="auto"/>
              <w:right w:val="single" w:sz="4" w:space="0" w:color="auto"/>
            </w:tcBorders>
            <w:noWrap/>
            <w:vAlign w:val="center"/>
          </w:tcPr>
          <w:p w14:paraId="477F75D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nil"/>
              <w:bottom w:val="single" w:sz="4" w:space="0" w:color="auto"/>
              <w:right w:val="single" w:sz="4" w:space="0" w:color="auto"/>
            </w:tcBorders>
            <w:noWrap/>
            <w:vAlign w:val="center"/>
          </w:tcPr>
          <w:p w14:paraId="7FD9B344" w14:textId="77777777" w:rsidR="006333D1" w:rsidRPr="0049300D" w:rsidRDefault="006333D1" w:rsidP="000C52C0">
            <w:pPr>
              <w:tabs>
                <w:tab w:val="left" w:pos="851"/>
              </w:tabs>
              <w:spacing w:after="0" w:line="360" w:lineRule="auto"/>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Sale price</w:t>
            </w:r>
          </w:p>
        </w:tc>
        <w:tc>
          <w:tcPr>
            <w:tcW w:w="845" w:type="dxa"/>
            <w:tcBorders>
              <w:top w:val="single" w:sz="4" w:space="0" w:color="auto"/>
              <w:left w:val="nil"/>
              <w:bottom w:val="single" w:sz="4" w:space="0" w:color="auto"/>
              <w:right w:val="single" w:sz="4" w:space="0" w:color="auto"/>
            </w:tcBorders>
            <w:noWrap/>
            <w:vAlign w:val="center"/>
          </w:tcPr>
          <w:p w14:paraId="5DBF2DF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30000</w:t>
            </w:r>
          </w:p>
        </w:tc>
        <w:tc>
          <w:tcPr>
            <w:tcW w:w="990" w:type="dxa"/>
            <w:tcBorders>
              <w:top w:val="single" w:sz="4" w:space="0" w:color="auto"/>
              <w:left w:val="nil"/>
              <w:bottom w:val="single" w:sz="4" w:space="0" w:color="auto"/>
              <w:right w:val="single" w:sz="4" w:space="0" w:color="auto"/>
            </w:tcBorders>
            <w:noWrap/>
            <w:vAlign w:val="center"/>
          </w:tcPr>
          <w:p w14:paraId="0A52424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71.43</w:t>
            </w:r>
          </w:p>
        </w:tc>
        <w:tc>
          <w:tcPr>
            <w:tcW w:w="1056" w:type="dxa"/>
            <w:tcBorders>
              <w:top w:val="single" w:sz="4" w:space="0" w:color="auto"/>
              <w:left w:val="nil"/>
              <w:bottom w:val="single" w:sz="4" w:space="0" w:color="auto"/>
              <w:right w:val="single" w:sz="4" w:space="0" w:color="auto"/>
            </w:tcBorders>
            <w:vAlign w:val="center"/>
          </w:tcPr>
          <w:p w14:paraId="10C6765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30000</w:t>
            </w:r>
          </w:p>
        </w:tc>
        <w:tc>
          <w:tcPr>
            <w:tcW w:w="876" w:type="dxa"/>
            <w:tcBorders>
              <w:top w:val="single" w:sz="4" w:space="0" w:color="auto"/>
              <w:left w:val="nil"/>
              <w:bottom w:val="single" w:sz="4" w:space="0" w:color="auto"/>
              <w:right w:val="single" w:sz="4" w:space="0" w:color="auto"/>
            </w:tcBorders>
            <w:vAlign w:val="center"/>
          </w:tcPr>
          <w:p w14:paraId="28B5BBF2"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11.85</w:t>
            </w:r>
          </w:p>
        </w:tc>
        <w:tc>
          <w:tcPr>
            <w:tcW w:w="845" w:type="dxa"/>
            <w:tcBorders>
              <w:top w:val="single" w:sz="4" w:space="0" w:color="auto"/>
              <w:left w:val="nil"/>
              <w:bottom w:val="single" w:sz="4" w:space="0" w:color="auto"/>
              <w:right w:val="single" w:sz="4" w:space="0" w:color="auto"/>
            </w:tcBorders>
            <w:vAlign w:val="center"/>
          </w:tcPr>
          <w:p w14:paraId="5EF8076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30000</w:t>
            </w:r>
          </w:p>
        </w:tc>
        <w:tc>
          <w:tcPr>
            <w:tcW w:w="876" w:type="dxa"/>
            <w:tcBorders>
              <w:top w:val="single" w:sz="4" w:space="0" w:color="auto"/>
              <w:left w:val="nil"/>
              <w:bottom w:val="single" w:sz="4" w:space="0" w:color="auto"/>
              <w:right w:val="single" w:sz="4" w:space="0" w:color="auto"/>
            </w:tcBorders>
            <w:vAlign w:val="center"/>
          </w:tcPr>
          <w:p w14:paraId="6C4202F7"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81.08</w:t>
            </w:r>
          </w:p>
        </w:tc>
      </w:tr>
      <w:tr w:rsidR="006333D1" w:rsidRPr="0049300D" w14:paraId="54F36C50" w14:textId="77777777" w:rsidTr="003B3D68">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1FE5052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300263CF" w14:textId="77777777" w:rsidR="006333D1" w:rsidRPr="0049300D" w:rsidRDefault="006333D1" w:rsidP="000C52C0">
            <w:pPr>
              <w:tabs>
                <w:tab w:val="left" w:pos="851"/>
              </w:tabs>
              <w:spacing w:after="0" w:line="360" w:lineRule="auto"/>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Marketing Cost</w:t>
            </w:r>
          </w:p>
        </w:tc>
        <w:tc>
          <w:tcPr>
            <w:tcW w:w="845" w:type="dxa"/>
            <w:tcBorders>
              <w:top w:val="nil"/>
              <w:left w:val="nil"/>
              <w:bottom w:val="single" w:sz="4" w:space="0" w:color="auto"/>
              <w:right w:val="single" w:sz="4" w:space="0" w:color="auto"/>
            </w:tcBorders>
            <w:noWrap/>
            <w:vAlign w:val="center"/>
          </w:tcPr>
          <w:p w14:paraId="66BBC51A"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4000</w:t>
            </w:r>
          </w:p>
        </w:tc>
        <w:tc>
          <w:tcPr>
            <w:tcW w:w="990" w:type="dxa"/>
            <w:tcBorders>
              <w:top w:val="nil"/>
              <w:left w:val="nil"/>
              <w:bottom w:val="single" w:sz="4" w:space="0" w:color="auto"/>
              <w:right w:val="single" w:sz="4" w:space="0" w:color="auto"/>
            </w:tcBorders>
            <w:noWrap/>
            <w:vAlign w:val="center"/>
          </w:tcPr>
          <w:p w14:paraId="4C856C8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9.52</w:t>
            </w:r>
          </w:p>
        </w:tc>
        <w:tc>
          <w:tcPr>
            <w:tcW w:w="1056" w:type="dxa"/>
            <w:tcBorders>
              <w:top w:val="nil"/>
              <w:left w:val="nil"/>
              <w:bottom w:val="single" w:sz="4" w:space="0" w:color="auto"/>
              <w:right w:val="single" w:sz="4" w:space="0" w:color="auto"/>
            </w:tcBorders>
            <w:vAlign w:val="center"/>
          </w:tcPr>
          <w:p w14:paraId="35A18170" w14:textId="77777777" w:rsidR="006333D1" w:rsidRPr="0049300D" w:rsidRDefault="006333D1" w:rsidP="000C52C0">
            <w:pPr>
              <w:tabs>
                <w:tab w:val="left" w:pos="851"/>
              </w:tabs>
              <w:spacing w:after="0" w:line="360" w:lineRule="auto"/>
              <w:jc w:val="center"/>
              <w:rPr>
                <w:rFonts w:ascii="Times New Roman" w:hAnsi="Times New Roman" w:cs="Times New Roman"/>
                <w:b/>
                <w:bCs/>
                <w:sz w:val="24"/>
                <w:szCs w:val="24"/>
              </w:rPr>
            </w:pPr>
            <w:r w:rsidRPr="0049300D">
              <w:rPr>
                <w:rFonts w:ascii="Times New Roman" w:hAnsi="Times New Roman" w:cs="Times New Roman"/>
                <w:b/>
                <w:bCs/>
                <w:sz w:val="24"/>
                <w:szCs w:val="24"/>
              </w:rPr>
              <w:t>4000</w:t>
            </w:r>
          </w:p>
        </w:tc>
        <w:tc>
          <w:tcPr>
            <w:tcW w:w="876" w:type="dxa"/>
            <w:tcBorders>
              <w:top w:val="nil"/>
              <w:left w:val="nil"/>
              <w:bottom w:val="single" w:sz="4" w:space="0" w:color="auto"/>
              <w:right w:val="single" w:sz="4" w:space="0" w:color="auto"/>
            </w:tcBorders>
            <w:vAlign w:val="center"/>
          </w:tcPr>
          <w:p w14:paraId="0FEF6BF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1.58</w:t>
            </w:r>
          </w:p>
        </w:tc>
        <w:tc>
          <w:tcPr>
            <w:tcW w:w="845" w:type="dxa"/>
            <w:tcBorders>
              <w:top w:val="nil"/>
              <w:left w:val="nil"/>
              <w:bottom w:val="single" w:sz="4" w:space="0" w:color="auto"/>
              <w:right w:val="single" w:sz="4" w:space="0" w:color="auto"/>
            </w:tcBorders>
            <w:vAlign w:val="center"/>
          </w:tcPr>
          <w:p w14:paraId="6F0DF177"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4000</w:t>
            </w:r>
          </w:p>
        </w:tc>
        <w:tc>
          <w:tcPr>
            <w:tcW w:w="876" w:type="dxa"/>
            <w:tcBorders>
              <w:top w:val="nil"/>
              <w:left w:val="nil"/>
              <w:bottom w:val="single" w:sz="4" w:space="0" w:color="auto"/>
              <w:right w:val="single" w:sz="4" w:space="0" w:color="auto"/>
            </w:tcBorders>
            <w:vAlign w:val="center"/>
          </w:tcPr>
          <w:p w14:paraId="04F5636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10.81</w:t>
            </w:r>
          </w:p>
        </w:tc>
      </w:tr>
      <w:tr w:rsidR="006333D1" w:rsidRPr="0049300D" w14:paraId="20D42CED" w14:textId="77777777" w:rsidTr="003B3D68">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198F299C"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243BF268" w14:textId="77777777" w:rsidR="006333D1" w:rsidRPr="0049300D" w:rsidRDefault="006333D1" w:rsidP="000C52C0">
            <w:pPr>
              <w:tabs>
                <w:tab w:val="left" w:pos="851"/>
              </w:tabs>
              <w:spacing w:after="0" w:line="360" w:lineRule="auto"/>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Packing &amp; Transport</w:t>
            </w:r>
          </w:p>
        </w:tc>
        <w:tc>
          <w:tcPr>
            <w:tcW w:w="845" w:type="dxa"/>
            <w:tcBorders>
              <w:top w:val="nil"/>
              <w:left w:val="nil"/>
              <w:bottom w:val="single" w:sz="4" w:space="0" w:color="auto"/>
              <w:right w:val="single" w:sz="4" w:space="0" w:color="auto"/>
            </w:tcBorders>
            <w:noWrap/>
            <w:vAlign w:val="center"/>
          </w:tcPr>
          <w:p w14:paraId="2ACF441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w:t>
            </w:r>
          </w:p>
        </w:tc>
        <w:tc>
          <w:tcPr>
            <w:tcW w:w="990" w:type="dxa"/>
            <w:tcBorders>
              <w:top w:val="nil"/>
              <w:left w:val="nil"/>
              <w:bottom w:val="single" w:sz="4" w:space="0" w:color="auto"/>
              <w:right w:val="single" w:sz="4" w:space="0" w:color="auto"/>
            </w:tcBorders>
            <w:noWrap/>
            <w:vAlign w:val="center"/>
          </w:tcPr>
          <w:p w14:paraId="6C74FF8C"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2.38</w:t>
            </w:r>
          </w:p>
        </w:tc>
        <w:tc>
          <w:tcPr>
            <w:tcW w:w="1056" w:type="dxa"/>
            <w:tcBorders>
              <w:top w:val="nil"/>
              <w:left w:val="nil"/>
              <w:bottom w:val="single" w:sz="4" w:space="0" w:color="auto"/>
              <w:right w:val="single" w:sz="4" w:space="0" w:color="auto"/>
            </w:tcBorders>
            <w:vAlign w:val="center"/>
          </w:tcPr>
          <w:p w14:paraId="5F7C9717"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w:t>
            </w:r>
          </w:p>
        </w:tc>
        <w:tc>
          <w:tcPr>
            <w:tcW w:w="876" w:type="dxa"/>
            <w:tcBorders>
              <w:top w:val="nil"/>
              <w:left w:val="nil"/>
              <w:bottom w:val="single" w:sz="4" w:space="0" w:color="auto"/>
              <w:right w:val="single" w:sz="4" w:space="0" w:color="auto"/>
            </w:tcBorders>
            <w:vAlign w:val="center"/>
          </w:tcPr>
          <w:p w14:paraId="49BD49A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0.40</w:t>
            </w:r>
          </w:p>
        </w:tc>
        <w:tc>
          <w:tcPr>
            <w:tcW w:w="845" w:type="dxa"/>
            <w:tcBorders>
              <w:top w:val="nil"/>
              <w:left w:val="nil"/>
              <w:bottom w:val="single" w:sz="4" w:space="0" w:color="auto"/>
              <w:right w:val="single" w:sz="4" w:space="0" w:color="auto"/>
            </w:tcBorders>
            <w:vAlign w:val="center"/>
          </w:tcPr>
          <w:p w14:paraId="7DBFBF5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w:t>
            </w:r>
          </w:p>
        </w:tc>
        <w:tc>
          <w:tcPr>
            <w:tcW w:w="876" w:type="dxa"/>
            <w:tcBorders>
              <w:top w:val="nil"/>
              <w:left w:val="nil"/>
              <w:bottom w:val="single" w:sz="4" w:space="0" w:color="auto"/>
              <w:right w:val="single" w:sz="4" w:space="0" w:color="auto"/>
            </w:tcBorders>
            <w:vAlign w:val="center"/>
          </w:tcPr>
          <w:p w14:paraId="401C82D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2.70</w:t>
            </w:r>
          </w:p>
        </w:tc>
      </w:tr>
      <w:tr w:rsidR="006333D1" w:rsidRPr="0049300D" w14:paraId="66F14463" w14:textId="77777777" w:rsidTr="003B3D68">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06CC4A2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66449925" w14:textId="77777777" w:rsidR="006333D1" w:rsidRPr="0049300D" w:rsidRDefault="006333D1" w:rsidP="000C52C0">
            <w:pPr>
              <w:tabs>
                <w:tab w:val="left" w:pos="851"/>
              </w:tabs>
              <w:spacing w:after="0" w:line="360" w:lineRule="auto"/>
              <w:rPr>
                <w:rFonts w:ascii="Times New Roman" w:hAnsi="Times New Roman" w:cs="Times New Roman"/>
                <w:b/>
                <w:bCs/>
                <w:sz w:val="24"/>
                <w:szCs w:val="24"/>
              </w:rPr>
            </w:pPr>
            <w:r w:rsidRPr="0049300D">
              <w:rPr>
                <w:rFonts w:ascii="Times New Roman" w:hAnsi="Times New Roman" w:cs="Times New Roman"/>
                <w:b/>
                <w:bCs/>
                <w:sz w:val="24"/>
                <w:szCs w:val="24"/>
              </w:rPr>
              <w:t>Commission charges</w:t>
            </w:r>
          </w:p>
        </w:tc>
        <w:tc>
          <w:tcPr>
            <w:tcW w:w="845" w:type="dxa"/>
            <w:tcBorders>
              <w:top w:val="nil"/>
              <w:left w:val="nil"/>
              <w:bottom w:val="single" w:sz="4" w:space="0" w:color="auto"/>
              <w:right w:val="single" w:sz="4" w:space="0" w:color="auto"/>
            </w:tcBorders>
            <w:noWrap/>
            <w:vAlign w:val="center"/>
          </w:tcPr>
          <w:p w14:paraId="70B41361" w14:textId="77777777" w:rsidR="006333D1" w:rsidRPr="0049300D" w:rsidRDefault="006333D1" w:rsidP="000C52C0">
            <w:pPr>
              <w:tabs>
                <w:tab w:val="left" w:pos="851"/>
              </w:tabs>
              <w:spacing w:after="0" w:line="360" w:lineRule="auto"/>
              <w:jc w:val="center"/>
              <w:rPr>
                <w:rFonts w:ascii="Times New Roman" w:hAnsi="Times New Roman" w:cs="Times New Roman"/>
                <w:b/>
                <w:bCs/>
                <w:sz w:val="24"/>
                <w:szCs w:val="24"/>
              </w:rPr>
            </w:pPr>
            <w:r w:rsidRPr="0049300D">
              <w:rPr>
                <w:rFonts w:ascii="Times New Roman" w:hAnsi="Times New Roman" w:cs="Times New Roman"/>
                <w:b/>
                <w:bCs/>
                <w:sz w:val="24"/>
                <w:szCs w:val="24"/>
              </w:rPr>
              <w:t>3000</w:t>
            </w:r>
          </w:p>
        </w:tc>
        <w:tc>
          <w:tcPr>
            <w:tcW w:w="990" w:type="dxa"/>
            <w:tcBorders>
              <w:top w:val="nil"/>
              <w:left w:val="nil"/>
              <w:bottom w:val="single" w:sz="4" w:space="0" w:color="auto"/>
              <w:right w:val="single" w:sz="4" w:space="0" w:color="auto"/>
            </w:tcBorders>
            <w:noWrap/>
            <w:vAlign w:val="center"/>
          </w:tcPr>
          <w:p w14:paraId="47586281"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7.14</w:t>
            </w:r>
          </w:p>
        </w:tc>
        <w:tc>
          <w:tcPr>
            <w:tcW w:w="1056" w:type="dxa"/>
            <w:tcBorders>
              <w:top w:val="nil"/>
              <w:left w:val="nil"/>
              <w:bottom w:val="single" w:sz="4" w:space="0" w:color="auto"/>
              <w:right w:val="single" w:sz="4" w:space="0" w:color="auto"/>
            </w:tcBorders>
            <w:vAlign w:val="center"/>
          </w:tcPr>
          <w:p w14:paraId="24C7C8DB" w14:textId="77777777" w:rsidR="006333D1" w:rsidRPr="0049300D" w:rsidRDefault="006333D1" w:rsidP="000C52C0">
            <w:pPr>
              <w:tabs>
                <w:tab w:val="left" w:pos="851"/>
              </w:tabs>
              <w:spacing w:after="0" w:line="360" w:lineRule="auto"/>
              <w:jc w:val="center"/>
              <w:rPr>
                <w:rFonts w:ascii="Times New Roman" w:hAnsi="Times New Roman" w:cs="Times New Roman"/>
                <w:b/>
                <w:bCs/>
                <w:sz w:val="24"/>
                <w:szCs w:val="24"/>
              </w:rPr>
            </w:pPr>
            <w:r w:rsidRPr="0049300D">
              <w:rPr>
                <w:rFonts w:ascii="Times New Roman" w:hAnsi="Times New Roman" w:cs="Times New Roman"/>
                <w:b/>
                <w:bCs/>
                <w:sz w:val="24"/>
                <w:szCs w:val="24"/>
              </w:rPr>
              <w:t>2000</w:t>
            </w:r>
          </w:p>
        </w:tc>
        <w:tc>
          <w:tcPr>
            <w:tcW w:w="876" w:type="dxa"/>
            <w:tcBorders>
              <w:top w:val="nil"/>
              <w:left w:val="nil"/>
              <w:bottom w:val="single" w:sz="4" w:space="0" w:color="auto"/>
              <w:right w:val="single" w:sz="4" w:space="0" w:color="auto"/>
            </w:tcBorders>
            <w:vAlign w:val="center"/>
          </w:tcPr>
          <w:p w14:paraId="1F7132CE"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0.79</w:t>
            </w:r>
          </w:p>
        </w:tc>
        <w:tc>
          <w:tcPr>
            <w:tcW w:w="845" w:type="dxa"/>
            <w:tcBorders>
              <w:top w:val="nil"/>
              <w:left w:val="nil"/>
              <w:bottom w:val="single" w:sz="4" w:space="0" w:color="auto"/>
              <w:right w:val="single" w:sz="4" w:space="0" w:color="auto"/>
            </w:tcBorders>
            <w:vAlign w:val="center"/>
          </w:tcPr>
          <w:p w14:paraId="54B6D9FB" w14:textId="77777777" w:rsidR="006333D1" w:rsidRPr="0049300D" w:rsidRDefault="006333D1" w:rsidP="000C52C0">
            <w:pPr>
              <w:tabs>
                <w:tab w:val="left" w:pos="851"/>
              </w:tabs>
              <w:spacing w:after="0" w:line="360" w:lineRule="auto"/>
              <w:jc w:val="center"/>
              <w:rPr>
                <w:rFonts w:ascii="Times New Roman" w:hAnsi="Times New Roman" w:cs="Times New Roman"/>
                <w:b/>
                <w:bCs/>
                <w:sz w:val="24"/>
                <w:szCs w:val="24"/>
              </w:rPr>
            </w:pPr>
            <w:r w:rsidRPr="0049300D">
              <w:rPr>
                <w:rFonts w:ascii="Times New Roman" w:hAnsi="Times New Roman" w:cs="Times New Roman"/>
                <w:b/>
                <w:bCs/>
                <w:sz w:val="24"/>
                <w:szCs w:val="24"/>
              </w:rPr>
              <w:t>3000</w:t>
            </w:r>
          </w:p>
        </w:tc>
        <w:tc>
          <w:tcPr>
            <w:tcW w:w="876" w:type="dxa"/>
            <w:tcBorders>
              <w:top w:val="nil"/>
              <w:left w:val="nil"/>
              <w:bottom w:val="single" w:sz="4" w:space="0" w:color="auto"/>
              <w:right w:val="single" w:sz="4" w:space="0" w:color="auto"/>
            </w:tcBorders>
            <w:vAlign w:val="center"/>
          </w:tcPr>
          <w:p w14:paraId="05D56786"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8.11</w:t>
            </w:r>
          </w:p>
        </w:tc>
      </w:tr>
      <w:tr w:rsidR="006333D1" w:rsidRPr="0049300D" w14:paraId="5875C48D" w14:textId="77777777" w:rsidTr="003B3D68">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50D9797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42156222" w14:textId="77777777" w:rsidR="006333D1" w:rsidRPr="0049300D" w:rsidRDefault="006333D1" w:rsidP="000C52C0">
            <w:pPr>
              <w:tabs>
                <w:tab w:val="left" w:pos="851"/>
              </w:tabs>
              <w:spacing w:after="0" w:line="360" w:lineRule="auto"/>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Net price received by the farmer</w:t>
            </w:r>
          </w:p>
        </w:tc>
        <w:tc>
          <w:tcPr>
            <w:tcW w:w="845" w:type="dxa"/>
            <w:tcBorders>
              <w:top w:val="nil"/>
              <w:left w:val="nil"/>
              <w:bottom w:val="single" w:sz="4" w:space="0" w:color="auto"/>
              <w:right w:val="single" w:sz="4" w:space="0" w:color="auto"/>
            </w:tcBorders>
            <w:noWrap/>
            <w:vAlign w:val="center"/>
          </w:tcPr>
          <w:p w14:paraId="49628A0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27000</w:t>
            </w:r>
          </w:p>
        </w:tc>
        <w:tc>
          <w:tcPr>
            <w:tcW w:w="990" w:type="dxa"/>
            <w:tcBorders>
              <w:top w:val="nil"/>
              <w:left w:val="nil"/>
              <w:bottom w:val="single" w:sz="4" w:space="0" w:color="auto"/>
              <w:right w:val="single" w:sz="4" w:space="0" w:color="auto"/>
            </w:tcBorders>
            <w:noWrap/>
            <w:vAlign w:val="center"/>
          </w:tcPr>
          <w:p w14:paraId="6455A93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64.29</w:t>
            </w:r>
          </w:p>
        </w:tc>
        <w:tc>
          <w:tcPr>
            <w:tcW w:w="1056" w:type="dxa"/>
            <w:tcBorders>
              <w:top w:val="nil"/>
              <w:left w:val="nil"/>
              <w:bottom w:val="single" w:sz="4" w:space="0" w:color="auto"/>
              <w:right w:val="single" w:sz="4" w:space="0" w:color="auto"/>
            </w:tcBorders>
            <w:vAlign w:val="center"/>
          </w:tcPr>
          <w:p w14:paraId="4549CD8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27000</w:t>
            </w:r>
          </w:p>
        </w:tc>
        <w:tc>
          <w:tcPr>
            <w:tcW w:w="876" w:type="dxa"/>
            <w:tcBorders>
              <w:top w:val="nil"/>
              <w:left w:val="nil"/>
              <w:bottom w:val="single" w:sz="4" w:space="0" w:color="auto"/>
              <w:right w:val="single" w:sz="4" w:space="0" w:color="auto"/>
            </w:tcBorders>
            <w:vAlign w:val="center"/>
          </w:tcPr>
          <w:p w14:paraId="3B5E2AA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10.67</w:t>
            </w:r>
          </w:p>
        </w:tc>
        <w:tc>
          <w:tcPr>
            <w:tcW w:w="845" w:type="dxa"/>
            <w:tcBorders>
              <w:top w:val="nil"/>
              <w:left w:val="nil"/>
              <w:bottom w:val="single" w:sz="4" w:space="0" w:color="auto"/>
              <w:right w:val="single" w:sz="4" w:space="0" w:color="auto"/>
            </w:tcBorders>
            <w:vAlign w:val="center"/>
          </w:tcPr>
          <w:p w14:paraId="2698140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27000</w:t>
            </w:r>
          </w:p>
        </w:tc>
        <w:tc>
          <w:tcPr>
            <w:tcW w:w="876" w:type="dxa"/>
            <w:tcBorders>
              <w:top w:val="nil"/>
              <w:left w:val="nil"/>
              <w:bottom w:val="single" w:sz="4" w:space="0" w:color="auto"/>
              <w:right w:val="single" w:sz="4" w:space="0" w:color="auto"/>
            </w:tcBorders>
            <w:vAlign w:val="center"/>
          </w:tcPr>
          <w:p w14:paraId="3344261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72.97</w:t>
            </w:r>
          </w:p>
        </w:tc>
      </w:tr>
      <w:tr w:rsidR="006333D1" w:rsidRPr="0049300D" w14:paraId="0A6EB6D1" w14:textId="77777777" w:rsidTr="00727E1F">
        <w:trPr>
          <w:trHeight w:val="313"/>
          <w:jc w:val="center"/>
        </w:trPr>
        <w:tc>
          <w:tcPr>
            <w:tcW w:w="734" w:type="dxa"/>
            <w:tcBorders>
              <w:left w:val="single" w:sz="4" w:space="0" w:color="auto"/>
              <w:bottom w:val="single" w:sz="4" w:space="0" w:color="auto"/>
              <w:right w:val="single" w:sz="4" w:space="0" w:color="auto"/>
            </w:tcBorders>
            <w:noWrap/>
            <w:vAlign w:val="center"/>
          </w:tcPr>
          <w:p w14:paraId="390235A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2</w:t>
            </w:r>
          </w:p>
        </w:tc>
        <w:tc>
          <w:tcPr>
            <w:tcW w:w="8184" w:type="dxa"/>
            <w:gridSpan w:val="7"/>
            <w:tcBorders>
              <w:top w:val="nil"/>
              <w:left w:val="nil"/>
              <w:bottom w:val="single" w:sz="4" w:space="0" w:color="auto"/>
              <w:right w:val="single" w:sz="4" w:space="0" w:color="auto"/>
            </w:tcBorders>
            <w:noWrap/>
            <w:vAlign w:val="center"/>
          </w:tcPr>
          <w:p w14:paraId="24D13F1B" w14:textId="77777777" w:rsidR="006333D1" w:rsidRPr="0049300D" w:rsidRDefault="006333D1" w:rsidP="000C52C0">
            <w:pPr>
              <w:tabs>
                <w:tab w:val="left" w:pos="851"/>
              </w:tabs>
              <w:spacing w:after="0" w:line="360" w:lineRule="auto"/>
              <w:rPr>
                <w:rFonts w:ascii="Times New Roman" w:hAnsi="Times New Roman" w:cs="Times New Roman"/>
                <w:sz w:val="24"/>
                <w:szCs w:val="24"/>
              </w:rPr>
            </w:pPr>
            <w:r w:rsidRPr="0049300D">
              <w:rPr>
                <w:rFonts w:ascii="Times New Roman" w:eastAsia="Times New Roman" w:hAnsi="Times New Roman" w:cs="Times New Roman"/>
                <w:b/>
                <w:bCs/>
                <w:kern w:val="0"/>
                <w:sz w:val="24"/>
                <w:szCs w:val="24"/>
                <w:lang w:eastAsia="en-IN"/>
                <w14:ligatures w14:val="none"/>
              </w:rPr>
              <w:t>Commission agent cum Trader</w:t>
            </w:r>
          </w:p>
        </w:tc>
      </w:tr>
      <w:tr w:rsidR="006333D1" w:rsidRPr="0049300D" w14:paraId="48A2C495" w14:textId="77777777" w:rsidTr="00727E1F">
        <w:trPr>
          <w:trHeight w:val="313"/>
          <w:jc w:val="center"/>
        </w:trPr>
        <w:tc>
          <w:tcPr>
            <w:tcW w:w="734" w:type="dxa"/>
            <w:vMerge w:val="restart"/>
            <w:tcBorders>
              <w:left w:val="single" w:sz="4" w:space="0" w:color="auto"/>
              <w:right w:val="single" w:sz="4" w:space="0" w:color="auto"/>
            </w:tcBorders>
            <w:noWrap/>
            <w:vAlign w:val="center"/>
          </w:tcPr>
          <w:p w14:paraId="546838C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3D56333C" w14:textId="77777777" w:rsidR="006333D1" w:rsidRPr="0049300D" w:rsidRDefault="006333D1" w:rsidP="000C52C0">
            <w:pPr>
              <w:tabs>
                <w:tab w:val="left" w:pos="851"/>
              </w:tabs>
              <w:spacing w:after="0" w:line="360" w:lineRule="auto"/>
              <w:rPr>
                <w:rFonts w:ascii="Times New Roman" w:hAnsi="Times New Roman" w:cs="Times New Roman"/>
                <w:b/>
                <w:bCs/>
                <w:sz w:val="24"/>
                <w:szCs w:val="24"/>
              </w:rPr>
            </w:pPr>
            <w:r w:rsidRPr="0049300D">
              <w:rPr>
                <w:rFonts w:ascii="Times New Roman" w:hAnsi="Times New Roman" w:cs="Times New Roman"/>
                <w:sz w:val="24"/>
                <w:szCs w:val="24"/>
              </w:rPr>
              <w:t>Purchase price</w:t>
            </w:r>
          </w:p>
        </w:tc>
        <w:tc>
          <w:tcPr>
            <w:tcW w:w="845" w:type="dxa"/>
            <w:tcBorders>
              <w:top w:val="nil"/>
              <w:left w:val="nil"/>
              <w:bottom w:val="single" w:sz="4" w:space="0" w:color="auto"/>
              <w:right w:val="single" w:sz="4" w:space="0" w:color="auto"/>
            </w:tcBorders>
            <w:noWrap/>
            <w:vAlign w:val="center"/>
          </w:tcPr>
          <w:p w14:paraId="2EF8469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30000</w:t>
            </w:r>
          </w:p>
        </w:tc>
        <w:tc>
          <w:tcPr>
            <w:tcW w:w="990" w:type="dxa"/>
            <w:tcBorders>
              <w:top w:val="nil"/>
              <w:left w:val="nil"/>
              <w:bottom w:val="single" w:sz="4" w:space="0" w:color="auto"/>
              <w:right w:val="single" w:sz="4" w:space="0" w:color="auto"/>
            </w:tcBorders>
            <w:noWrap/>
            <w:vAlign w:val="center"/>
          </w:tcPr>
          <w:p w14:paraId="05B8AE67"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71.43</w:t>
            </w:r>
          </w:p>
        </w:tc>
        <w:tc>
          <w:tcPr>
            <w:tcW w:w="1056" w:type="dxa"/>
            <w:tcBorders>
              <w:top w:val="nil"/>
              <w:left w:val="nil"/>
              <w:bottom w:val="single" w:sz="4" w:space="0" w:color="auto"/>
              <w:right w:val="single" w:sz="4" w:space="0" w:color="auto"/>
            </w:tcBorders>
            <w:vAlign w:val="center"/>
          </w:tcPr>
          <w:p w14:paraId="19076AF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30000</w:t>
            </w:r>
          </w:p>
        </w:tc>
        <w:tc>
          <w:tcPr>
            <w:tcW w:w="876" w:type="dxa"/>
            <w:tcBorders>
              <w:top w:val="nil"/>
              <w:left w:val="nil"/>
              <w:bottom w:val="single" w:sz="4" w:space="0" w:color="auto"/>
              <w:right w:val="single" w:sz="4" w:space="0" w:color="auto"/>
            </w:tcBorders>
            <w:vAlign w:val="center"/>
          </w:tcPr>
          <w:p w14:paraId="4C9EDBB2"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11.85</w:t>
            </w:r>
          </w:p>
        </w:tc>
        <w:tc>
          <w:tcPr>
            <w:tcW w:w="845" w:type="dxa"/>
            <w:tcBorders>
              <w:top w:val="nil"/>
              <w:left w:val="nil"/>
              <w:bottom w:val="single" w:sz="4" w:space="0" w:color="auto"/>
              <w:right w:val="single" w:sz="4" w:space="0" w:color="auto"/>
            </w:tcBorders>
            <w:vAlign w:val="center"/>
          </w:tcPr>
          <w:p w14:paraId="055F195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30000</w:t>
            </w:r>
          </w:p>
        </w:tc>
        <w:tc>
          <w:tcPr>
            <w:tcW w:w="876" w:type="dxa"/>
            <w:tcBorders>
              <w:top w:val="nil"/>
              <w:left w:val="nil"/>
              <w:bottom w:val="single" w:sz="4" w:space="0" w:color="auto"/>
              <w:right w:val="single" w:sz="4" w:space="0" w:color="auto"/>
            </w:tcBorders>
            <w:vAlign w:val="center"/>
          </w:tcPr>
          <w:p w14:paraId="2C5B60F1"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81.08</w:t>
            </w:r>
          </w:p>
        </w:tc>
      </w:tr>
      <w:tr w:rsidR="006333D1" w:rsidRPr="0049300D" w14:paraId="2EE4FF24" w14:textId="77777777" w:rsidTr="00727E1F">
        <w:trPr>
          <w:trHeight w:val="313"/>
          <w:jc w:val="center"/>
        </w:trPr>
        <w:tc>
          <w:tcPr>
            <w:tcW w:w="734" w:type="dxa"/>
            <w:vMerge/>
            <w:tcBorders>
              <w:left w:val="single" w:sz="4" w:space="0" w:color="auto"/>
              <w:right w:val="single" w:sz="4" w:space="0" w:color="auto"/>
            </w:tcBorders>
            <w:noWrap/>
            <w:vAlign w:val="center"/>
          </w:tcPr>
          <w:p w14:paraId="275C697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1F46ABD6" w14:textId="77777777" w:rsidR="006333D1" w:rsidRPr="0049300D" w:rsidRDefault="006333D1" w:rsidP="000C52C0">
            <w:pPr>
              <w:tabs>
                <w:tab w:val="left" w:pos="851"/>
              </w:tabs>
              <w:spacing w:after="0" w:line="360" w:lineRule="auto"/>
              <w:rPr>
                <w:rFonts w:ascii="Times New Roman" w:hAnsi="Times New Roman" w:cs="Times New Roman"/>
                <w:b/>
                <w:bCs/>
                <w:sz w:val="24"/>
                <w:szCs w:val="24"/>
              </w:rPr>
            </w:pPr>
            <w:r w:rsidRPr="0049300D">
              <w:rPr>
                <w:rFonts w:ascii="Times New Roman" w:hAnsi="Times New Roman" w:cs="Times New Roman"/>
                <w:b/>
                <w:bCs/>
                <w:sz w:val="24"/>
                <w:szCs w:val="24"/>
              </w:rPr>
              <w:t>Marketing Cost</w:t>
            </w:r>
          </w:p>
        </w:tc>
        <w:tc>
          <w:tcPr>
            <w:tcW w:w="845" w:type="dxa"/>
            <w:tcBorders>
              <w:top w:val="nil"/>
              <w:left w:val="nil"/>
              <w:bottom w:val="single" w:sz="4" w:space="0" w:color="auto"/>
              <w:right w:val="single" w:sz="4" w:space="0" w:color="auto"/>
            </w:tcBorders>
            <w:noWrap/>
            <w:vAlign w:val="center"/>
          </w:tcPr>
          <w:p w14:paraId="753AEDA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1000</w:t>
            </w:r>
          </w:p>
        </w:tc>
        <w:tc>
          <w:tcPr>
            <w:tcW w:w="990" w:type="dxa"/>
            <w:tcBorders>
              <w:top w:val="nil"/>
              <w:left w:val="nil"/>
              <w:bottom w:val="single" w:sz="4" w:space="0" w:color="auto"/>
              <w:right w:val="single" w:sz="4" w:space="0" w:color="auto"/>
            </w:tcBorders>
            <w:noWrap/>
            <w:vAlign w:val="center"/>
          </w:tcPr>
          <w:p w14:paraId="70BC39B8"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2.38</w:t>
            </w:r>
          </w:p>
        </w:tc>
        <w:tc>
          <w:tcPr>
            <w:tcW w:w="1056" w:type="dxa"/>
            <w:tcBorders>
              <w:top w:val="nil"/>
              <w:left w:val="nil"/>
              <w:bottom w:val="single" w:sz="4" w:space="0" w:color="auto"/>
              <w:right w:val="single" w:sz="4" w:space="0" w:color="auto"/>
            </w:tcBorders>
            <w:vAlign w:val="center"/>
          </w:tcPr>
          <w:p w14:paraId="7FFF331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1000</w:t>
            </w:r>
          </w:p>
        </w:tc>
        <w:tc>
          <w:tcPr>
            <w:tcW w:w="876" w:type="dxa"/>
            <w:tcBorders>
              <w:top w:val="nil"/>
              <w:left w:val="nil"/>
              <w:bottom w:val="single" w:sz="4" w:space="0" w:color="auto"/>
              <w:right w:val="single" w:sz="4" w:space="0" w:color="auto"/>
            </w:tcBorders>
            <w:vAlign w:val="center"/>
          </w:tcPr>
          <w:p w14:paraId="7C56EA50"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0.40</w:t>
            </w:r>
          </w:p>
        </w:tc>
        <w:tc>
          <w:tcPr>
            <w:tcW w:w="845" w:type="dxa"/>
            <w:tcBorders>
              <w:top w:val="nil"/>
              <w:left w:val="nil"/>
              <w:bottom w:val="single" w:sz="4" w:space="0" w:color="auto"/>
              <w:right w:val="single" w:sz="4" w:space="0" w:color="auto"/>
            </w:tcBorders>
            <w:vAlign w:val="center"/>
          </w:tcPr>
          <w:p w14:paraId="2D6808D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1000</w:t>
            </w:r>
          </w:p>
        </w:tc>
        <w:tc>
          <w:tcPr>
            <w:tcW w:w="876" w:type="dxa"/>
            <w:tcBorders>
              <w:top w:val="nil"/>
              <w:left w:val="nil"/>
              <w:bottom w:val="single" w:sz="4" w:space="0" w:color="auto"/>
              <w:right w:val="single" w:sz="4" w:space="0" w:color="auto"/>
            </w:tcBorders>
            <w:vAlign w:val="center"/>
          </w:tcPr>
          <w:p w14:paraId="0B2894E6"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2.70</w:t>
            </w:r>
          </w:p>
        </w:tc>
      </w:tr>
      <w:tr w:rsidR="006333D1" w:rsidRPr="0049300D" w14:paraId="72C485CB" w14:textId="77777777" w:rsidTr="00727E1F">
        <w:trPr>
          <w:trHeight w:val="313"/>
          <w:jc w:val="center"/>
        </w:trPr>
        <w:tc>
          <w:tcPr>
            <w:tcW w:w="734" w:type="dxa"/>
            <w:vMerge/>
            <w:tcBorders>
              <w:left w:val="single" w:sz="4" w:space="0" w:color="auto"/>
              <w:right w:val="single" w:sz="4" w:space="0" w:color="auto"/>
            </w:tcBorders>
            <w:noWrap/>
            <w:vAlign w:val="center"/>
          </w:tcPr>
          <w:p w14:paraId="221CDBC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482810A6" w14:textId="77777777" w:rsidR="006333D1" w:rsidRPr="0049300D" w:rsidRDefault="006333D1" w:rsidP="000C52C0">
            <w:pPr>
              <w:tabs>
                <w:tab w:val="left" w:pos="851"/>
              </w:tabs>
              <w:spacing w:after="0" w:line="360" w:lineRule="auto"/>
              <w:rPr>
                <w:rFonts w:ascii="Times New Roman" w:hAnsi="Times New Roman" w:cs="Times New Roman"/>
                <w:b/>
                <w:bCs/>
                <w:sz w:val="24"/>
                <w:szCs w:val="24"/>
              </w:rPr>
            </w:pPr>
            <w:r w:rsidRPr="0049300D">
              <w:rPr>
                <w:rFonts w:ascii="Times New Roman" w:hAnsi="Times New Roman" w:cs="Times New Roman"/>
                <w:sz w:val="24"/>
                <w:szCs w:val="24"/>
              </w:rPr>
              <w:t>Assembling charges</w:t>
            </w:r>
          </w:p>
        </w:tc>
        <w:tc>
          <w:tcPr>
            <w:tcW w:w="845" w:type="dxa"/>
            <w:tcBorders>
              <w:top w:val="nil"/>
              <w:left w:val="nil"/>
              <w:bottom w:val="single" w:sz="4" w:space="0" w:color="auto"/>
              <w:right w:val="single" w:sz="4" w:space="0" w:color="auto"/>
            </w:tcBorders>
            <w:noWrap/>
            <w:vAlign w:val="center"/>
          </w:tcPr>
          <w:p w14:paraId="4413825A"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w:t>
            </w:r>
          </w:p>
        </w:tc>
        <w:tc>
          <w:tcPr>
            <w:tcW w:w="990" w:type="dxa"/>
            <w:tcBorders>
              <w:top w:val="nil"/>
              <w:left w:val="nil"/>
              <w:bottom w:val="single" w:sz="4" w:space="0" w:color="auto"/>
              <w:right w:val="single" w:sz="4" w:space="0" w:color="auto"/>
            </w:tcBorders>
            <w:noWrap/>
            <w:vAlign w:val="center"/>
          </w:tcPr>
          <w:p w14:paraId="3B7C8C90"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2.38</w:t>
            </w:r>
          </w:p>
        </w:tc>
        <w:tc>
          <w:tcPr>
            <w:tcW w:w="1056" w:type="dxa"/>
            <w:tcBorders>
              <w:top w:val="nil"/>
              <w:left w:val="nil"/>
              <w:bottom w:val="single" w:sz="4" w:space="0" w:color="auto"/>
              <w:right w:val="single" w:sz="4" w:space="0" w:color="auto"/>
            </w:tcBorders>
            <w:vAlign w:val="center"/>
          </w:tcPr>
          <w:p w14:paraId="3429504C"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w:t>
            </w:r>
          </w:p>
        </w:tc>
        <w:tc>
          <w:tcPr>
            <w:tcW w:w="876" w:type="dxa"/>
            <w:tcBorders>
              <w:top w:val="nil"/>
              <w:left w:val="nil"/>
              <w:bottom w:val="single" w:sz="4" w:space="0" w:color="auto"/>
              <w:right w:val="single" w:sz="4" w:space="0" w:color="auto"/>
            </w:tcBorders>
            <w:vAlign w:val="center"/>
          </w:tcPr>
          <w:p w14:paraId="2FFA413D"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0.40</w:t>
            </w:r>
          </w:p>
        </w:tc>
        <w:tc>
          <w:tcPr>
            <w:tcW w:w="845" w:type="dxa"/>
            <w:tcBorders>
              <w:top w:val="nil"/>
              <w:left w:val="nil"/>
              <w:bottom w:val="single" w:sz="4" w:space="0" w:color="auto"/>
              <w:right w:val="single" w:sz="4" w:space="0" w:color="auto"/>
            </w:tcBorders>
            <w:vAlign w:val="center"/>
          </w:tcPr>
          <w:p w14:paraId="2EA57B8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w:t>
            </w:r>
          </w:p>
        </w:tc>
        <w:tc>
          <w:tcPr>
            <w:tcW w:w="876" w:type="dxa"/>
            <w:tcBorders>
              <w:top w:val="nil"/>
              <w:left w:val="nil"/>
              <w:bottom w:val="single" w:sz="4" w:space="0" w:color="auto"/>
              <w:right w:val="single" w:sz="4" w:space="0" w:color="auto"/>
            </w:tcBorders>
            <w:vAlign w:val="center"/>
          </w:tcPr>
          <w:p w14:paraId="1D80D6FE"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2.70</w:t>
            </w:r>
          </w:p>
        </w:tc>
      </w:tr>
      <w:tr w:rsidR="006333D1" w:rsidRPr="0049300D" w14:paraId="13D07120" w14:textId="77777777" w:rsidTr="00727E1F">
        <w:trPr>
          <w:trHeight w:val="313"/>
          <w:jc w:val="center"/>
        </w:trPr>
        <w:tc>
          <w:tcPr>
            <w:tcW w:w="734" w:type="dxa"/>
            <w:vMerge/>
            <w:tcBorders>
              <w:left w:val="single" w:sz="4" w:space="0" w:color="auto"/>
              <w:right w:val="single" w:sz="4" w:space="0" w:color="auto"/>
            </w:tcBorders>
            <w:noWrap/>
            <w:vAlign w:val="center"/>
          </w:tcPr>
          <w:p w14:paraId="784DAD6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570382B8" w14:textId="77777777" w:rsidR="006333D1" w:rsidRPr="0049300D" w:rsidRDefault="006333D1" w:rsidP="000C52C0">
            <w:pPr>
              <w:tabs>
                <w:tab w:val="left" w:pos="851"/>
              </w:tabs>
              <w:spacing w:after="0" w:line="360" w:lineRule="auto"/>
              <w:rPr>
                <w:rFonts w:ascii="Times New Roman" w:hAnsi="Times New Roman" w:cs="Times New Roman"/>
                <w:b/>
                <w:bCs/>
                <w:sz w:val="24"/>
                <w:szCs w:val="24"/>
              </w:rPr>
            </w:pPr>
            <w:r w:rsidRPr="0049300D">
              <w:rPr>
                <w:rFonts w:ascii="Times New Roman" w:hAnsi="Times New Roman" w:cs="Times New Roman"/>
                <w:b/>
                <w:bCs/>
                <w:sz w:val="24"/>
                <w:szCs w:val="24"/>
              </w:rPr>
              <w:t>Marketing Margin</w:t>
            </w:r>
          </w:p>
        </w:tc>
        <w:tc>
          <w:tcPr>
            <w:tcW w:w="845" w:type="dxa"/>
            <w:tcBorders>
              <w:top w:val="nil"/>
              <w:left w:val="nil"/>
              <w:bottom w:val="single" w:sz="4" w:space="0" w:color="auto"/>
              <w:right w:val="single" w:sz="4" w:space="0" w:color="auto"/>
            </w:tcBorders>
            <w:noWrap/>
            <w:vAlign w:val="center"/>
          </w:tcPr>
          <w:p w14:paraId="3CBAAF6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2000</w:t>
            </w:r>
          </w:p>
        </w:tc>
        <w:tc>
          <w:tcPr>
            <w:tcW w:w="990" w:type="dxa"/>
            <w:tcBorders>
              <w:top w:val="nil"/>
              <w:left w:val="nil"/>
              <w:bottom w:val="single" w:sz="4" w:space="0" w:color="auto"/>
              <w:right w:val="single" w:sz="4" w:space="0" w:color="auto"/>
            </w:tcBorders>
            <w:noWrap/>
            <w:vAlign w:val="center"/>
          </w:tcPr>
          <w:p w14:paraId="60E6CA3E"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4.76</w:t>
            </w:r>
          </w:p>
        </w:tc>
        <w:tc>
          <w:tcPr>
            <w:tcW w:w="1056" w:type="dxa"/>
            <w:tcBorders>
              <w:top w:val="nil"/>
              <w:left w:val="nil"/>
              <w:bottom w:val="single" w:sz="4" w:space="0" w:color="auto"/>
              <w:right w:val="single" w:sz="4" w:space="0" w:color="auto"/>
            </w:tcBorders>
            <w:vAlign w:val="center"/>
          </w:tcPr>
          <w:p w14:paraId="10E99A9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2000</w:t>
            </w:r>
          </w:p>
        </w:tc>
        <w:tc>
          <w:tcPr>
            <w:tcW w:w="876" w:type="dxa"/>
            <w:tcBorders>
              <w:top w:val="nil"/>
              <w:left w:val="nil"/>
              <w:bottom w:val="single" w:sz="4" w:space="0" w:color="auto"/>
              <w:right w:val="single" w:sz="4" w:space="0" w:color="auto"/>
            </w:tcBorders>
            <w:vAlign w:val="center"/>
          </w:tcPr>
          <w:p w14:paraId="6CDC8C89"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0.79</w:t>
            </w:r>
          </w:p>
        </w:tc>
        <w:tc>
          <w:tcPr>
            <w:tcW w:w="845" w:type="dxa"/>
            <w:tcBorders>
              <w:top w:val="nil"/>
              <w:left w:val="nil"/>
              <w:bottom w:val="single" w:sz="4" w:space="0" w:color="auto"/>
              <w:right w:val="single" w:sz="4" w:space="0" w:color="auto"/>
            </w:tcBorders>
            <w:vAlign w:val="center"/>
          </w:tcPr>
          <w:p w14:paraId="6408635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2000</w:t>
            </w:r>
          </w:p>
        </w:tc>
        <w:tc>
          <w:tcPr>
            <w:tcW w:w="876" w:type="dxa"/>
            <w:tcBorders>
              <w:top w:val="nil"/>
              <w:left w:val="nil"/>
              <w:bottom w:val="single" w:sz="4" w:space="0" w:color="auto"/>
              <w:right w:val="single" w:sz="4" w:space="0" w:color="auto"/>
            </w:tcBorders>
            <w:vAlign w:val="center"/>
          </w:tcPr>
          <w:p w14:paraId="30D91A3D"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5.41</w:t>
            </w:r>
          </w:p>
        </w:tc>
      </w:tr>
      <w:tr w:rsidR="006333D1" w:rsidRPr="0049300D" w14:paraId="0745FFD0" w14:textId="77777777" w:rsidTr="00727E1F">
        <w:trPr>
          <w:trHeight w:val="313"/>
          <w:jc w:val="center"/>
        </w:trPr>
        <w:tc>
          <w:tcPr>
            <w:tcW w:w="734" w:type="dxa"/>
            <w:vMerge/>
            <w:tcBorders>
              <w:left w:val="single" w:sz="4" w:space="0" w:color="auto"/>
              <w:bottom w:val="single" w:sz="4" w:space="0" w:color="auto"/>
              <w:right w:val="single" w:sz="4" w:space="0" w:color="auto"/>
            </w:tcBorders>
            <w:noWrap/>
            <w:vAlign w:val="center"/>
          </w:tcPr>
          <w:p w14:paraId="3E909FB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4D4CB13C" w14:textId="77777777" w:rsidR="006333D1" w:rsidRPr="0049300D" w:rsidRDefault="006333D1" w:rsidP="000C52C0">
            <w:pPr>
              <w:tabs>
                <w:tab w:val="left" w:pos="851"/>
              </w:tabs>
              <w:spacing w:after="0" w:line="360" w:lineRule="auto"/>
              <w:rPr>
                <w:rFonts w:ascii="Times New Roman" w:hAnsi="Times New Roman" w:cs="Times New Roman"/>
                <w:b/>
                <w:bCs/>
                <w:sz w:val="24"/>
                <w:szCs w:val="24"/>
              </w:rPr>
            </w:pPr>
            <w:r w:rsidRPr="0049300D">
              <w:rPr>
                <w:rFonts w:ascii="Times New Roman" w:hAnsi="Times New Roman" w:cs="Times New Roman"/>
                <w:sz w:val="24"/>
                <w:szCs w:val="24"/>
              </w:rPr>
              <w:t>Sale price</w:t>
            </w:r>
          </w:p>
        </w:tc>
        <w:tc>
          <w:tcPr>
            <w:tcW w:w="845" w:type="dxa"/>
            <w:tcBorders>
              <w:top w:val="nil"/>
              <w:left w:val="nil"/>
              <w:bottom w:val="single" w:sz="4" w:space="0" w:color="auto"/>
              <w:right w:val="single" w:sz="4" w:space="0" w:color="auto"/>
            </w:tcBorders>
            <w:noWrap/>
            <w:vAlign w:val="center"/>
          </w:tcPr>
          <w:p w14:paraId="12381EA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33000</w:t>
            </w:r>
          </w:p>
        </w:tc>
        <w:tc>
          <w:tcPr>
            <w:tcW w:w="990" w:type="dxa"/>
            <w:tcBorders>
              <w:top w:val="nil"/>
              <w:left w:val="nil"/>
              <w:bottom w:val="single" w:sz="4" w:space="0" w:color="auto"/>
              <w:right w:val="single" w:sz="4" w:space="0" w:color="auto"/>
            </w:tcBorders>
            <w:noWrap/>
            <w:vAlign w:val="center"/>
          </w:tcPr>
          <w:p w14:paraId="0DFC5D3C"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78.57</w:t>
            </w:r>
          </w:p>
        </w:tc>
        <w:tc>
          <w:tcPr>
            <w:tcW w:w="1056" w:type="dxa"/>
            <w:tcBorders>
              <w:top w:val="nil"/>
              <w:left w:val="nil"/>
              <w:bottom w:val="single" w:sz="4" w:space="0" w:color="auto"/>
              <w:right w:val="single" w:sz="4" w:space="0" w:color="auto"/>
            </w:tcBorders>
            <w:vAlign w:val="center"/>
          </w:tcPr>
          <w:p w14:paraId="2591909A"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33000</w:t>
            </w:r>
          </w:p>
        </w:tc>
        <w:tc>
          <w:tcPr>
            <w:tcW w:w="876" w:type="dxa"/>
            <w:tcBorders>
              <w:top w:val="nil"/>
              <w:left w:val="nil"/>
              <w:bottom w:val="single" w:sz="4" w:space="0" w:color="auto"/>
              <w:right w:val="single" w:sz="4" w:space="0" w:color="auto"/>
            </w:tcBorders>
            <w:vAlign w:val="center"/>
          </w:tcPr>
          <w:p w14:paraId="5C653A90"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13.04</w:t>
            </w:r>
          </w:p>
        </w:tc>
        <w:tc>
          <w:tcPr>
            <w:tcW w:w="845" w:type="dxa"/>
            <w:tcBorders>
              <w:top w:val="nil"/>
              <w:left w:val="nil"/>
              <w:bottom w:val="single" w:sz="4" w:space="0" w:color="auto"/>
              <w:right w:val="single" w:sz="4" w:space="0" w:color="auto"/>
            </w:tcBorders>
            <w:vAlign w:val="center"/>
          </w:tcPr>
          <w:p w14:paraId="32847F4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33000</w:t>
            </w:r>
          </w:p>
        </w:tc>
        <w:tc>
          <w:tcPr>
            <w:tcW w:w="876" w:type="dxa"/>
            <w:tcBorders>
              <w:top w:val="nil"/>
              <w:left w:val="nil"/>
              <w:bottom w:val="single" w:sz="4" w:space="0" w:color="auto"/>
              <w:right w:val="single" w:sz="4" w:space="0" w:color="auto"/>
            </w:tcBorders>
            <w:vAlign w:val="center"/>
          </w:tcPr>
          <w:p w14:paraId="2012AB65"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89.19</w:t>
            </w:r>
          </w:p>
        </w:tc>
      </w:tr>
      <w:tr w:rsidR="006333D1" w:rsidRPr="0049300D" w14:paraId="0CDA1A3C" w14:textId="77777777" w:rsidTr="003B3D68">
        <w:trPr>
          <w:trHeight w:val="313"/>
          <w:jc w:val="center"/>
        </w:trPr>
        <w:tc>
          <w:tcPr>
            <w:tcW w:w="734" w:type="dxa"/>
            <w:tcBorders>
              <w:top w:val="nil"/>
              <w:left w:val="single" w:sz="4" w:space="0" w:color="auto"/>
              <w:bottom w:val="single" w:sz="4" w:space="0" w:color="auto"/>
              <w:right w:val="single" w:sz="4" w:space="0" w:color="auto"/>
            </w:tcBorders>
            <w:noWrap/>
            <w:vAlign w:val="center"/>
          </w:tcPr>
          <w:p w14:paraId="237371E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3</w:t>
            </w:r>
          </w:p>
        </w:tc>
        <w:tc>
          <w:tcPr>
            <w:tcW w:w="8184" w:type="dxa"/>
            <w:gridSpan w:val="7"/>
            <w:tcBorders>
              <w:top w:val="nil"/>
              <w:left w:val="nil"/>
              <w:bottom w:val="single" w:sz="4" w:space="0" w:color="auto"/>
              <w:right w:val="single" w:sz="4" w:space="0" w:color="auto"/>
            </w:tcBorders>
            <w:noWrap/>
            <w:vAlign w:val="center"/>
          </w:tcPr>
          <w:p w14:paraId="1EE6871D" w14:textId="77777777" w:rsidR="006333D1" w:rsidRPr="0049300D" w:rsidRDefault="006333D1" w:rsidP="000C52C0">
            <w:pPr>
              <w:tabs>
                <w:tab w:val="left" w:pos="851"/>
              </w:tabs>
              <w:spacing w:after="0" w:line="360" w:lineRule="auto"/>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Exporter</w:t>
            </w:r>
          </w:p>
        </w:tc>
      </w:tr>
      <w:tr w:rsidR="006333D1" w:rsidRPr="0049300D" w14:paraId="6291B195" w14:textId="77777777" w:rsidTr="003B3D68">
        <w:trPr>
          <w:trHeight w:val="313"/>
          <w:jc w:val="center"/>
        </w:trPr>
        <w:tc>
          <w:tcPr>
            <w:tcW w:w="734" w:type="dxa"/>
            <w:vMerge w:val="restart"/>
            <w:tcBorders>
              <w:top w:val="single" w:sz="4" w:space="0" w:color="auto"/>
              <w:left w:val="single" w:sz="4" w:space="0" w:color="auto"/>
              <w:bottom w:val="single" w:sz="4" w:space="0" w:color="auto"/>
              <w:right w:val="single" w:sz="4" w:space="0" w:color="auto"/>
            </w:tcBorders>
            <w:noWrap/>
            <w:vAlign w:val="center"/>
          </w:tcPr>
          <w:p w14:paraId="262D3A3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single" w:sz="4" w:space="0" w:color="auto"/>
              <w:bottom w:val="single" w:sz="4" w:space="0" w:color="auto"/>
              <w:right w:val="single" w:sz="4" w:space="0" w:color="auto"/>
            </w:tcBorders>
            <w:noWrap/>
            <w:vAlign w:val="center"/>
          </w:tcPr>
          <w:p w14:paraId="301E9E87" w14:textId="77777777" w:rsidR="006333D1" w:rsidRPr="0049300D" w:rsidRDefault="006333D1" w:rsidP="000C52C0">
            <w:pPr>
              <w:tabs>
                <w:tab w:val="left" w:pos="851"/>
              </w:tabs>
              <w:spacing w:line="360" w:lineRule="auto"/>
              <w:rPr>
                <w:rFonts w:ascii="Times New Roman" w:hAnsi="Times New Roman" w:cs="Times New Roman"/>
                <w:sz w:val="24"/>
                <w:szCs w:val="24"/>
              </w:rPr>
            </w:pPr>
            <w:r w:rsidRPr="0049300D">
              <w:rPr>
                <w:rFonts w:ascii="Times New Roman" w:hAnsi="Times New Roman" w:cs="Times New Roman"/>
                <w:sz w:val="24"/>
                <w:szCs w:val="24"/>
              </w:rPr>
              <w:t>Purchase price</w:t>
            </w:r>
          </w:p>
        </w:tc>
        <w:tc>
          <w:tcPr>
            <w:tcW w:w="845" w:type="dxa"/>
            <w:tcBorders>
              <w:top w:val="single" w:sz="4" w:space="0" w:color="auto"/>
              <w:left w:val="single" w:sz="4" w:space="0" w:color="auto"/>
              <w:bottom w:val="single" w:sz="4" w:space="0" w:color="auto"/>
              <w:right w:val="single" w:sz="4" w:space="0" w:color="auto"/>
            </w:tcBorders>
            <w:noWrap/>
            <w:vAlign w:val="center"/>
          </w:tcPr>
          <w:p w14:paraId="21B47F6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990" w:type="dxa"/>
            <w:tcBorders>
              <w:top w:val="single" w:sz="4" w:space="0" w:color="auto"/>
              <w:left w:val="single" w:sz="4" w:space="0" w:color="auto"/>
              <w:bottom w:val="single" w:sz="4" w:space="0" w:color="auto"/>
              <w:right w:val="single" w:sz="4" w:space="0" w:color="auto"/>
            </w:tcBorders>
            <w:noWrap/>
            <w:vAlign w:val="center"/>
          </w:tcPr>
          <w:p w14:paraId="24877A0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1056" w:type="dxa"/>
            <w:tcBorders>
              <w:top w:val="single" w:sz="4" w:space="0" w:color="auto"/>
              <w:left w:val="single" w:sz="4" w:space="0" w:color="auto"/>
              <w:bottom w:val="single" w:sz="4" w:space="0" w:color="auto"/>
              <w:right w:val="single" w:sz="4" w:space="0" w:color="auto"/>
            </w:tcBorders>
            <w:vAlign w:val="center"/>
          </w:tcPr>
          <w:p w14:paraId="7C60B3C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33000</w:t>
            </w:r>
          </w:p>
        </w:tc>
        <w:tc>
          <w:tcPr>
            <w:tcW w:w="876" w:type="dxa"/>
            <w:tcBorders>
              <w:top w:val="single" w:sz="4" w:space="0" w:color="auto"/>
              <w:left w:val="single" w:sz="4" w:space="0" w:color="auto"/>
              <w:bottom w:val="single" w:sz="4" w:space="0" w:color="auto"/>
              <w:right w:val="single" w:sz="4" w:space="0" w:color="auto"/>
            </w:tcBorders>
            <w:vAlign w:val="center"/>
          </w:tcPr>
          <w:p w14:paraId="24DCFE2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13.04</w:t>
            </w:r>
          </w:p>
        </w:tc>
        <w:tc>
          <w:tcPr>
            <w:tcW w:w="845" w:type="dxa"/>
            <w:tcBorders>
              <w:top w:val="single" w:sz="4" w:space="0" w:color="auto"/>
              <w:left w:val="single" w:sz="4" w:space="0" w:color="auto"/>
              <w:bottom w:val="single" w:sz="4" w:space="0" w:color="auto"/>
              <w:right w:val="single" w:sz="4" w:space="0" w:color="auto"/>
            </w:tcBorders>
            <w:vAlign w:val="center"/>
          </w:tcPr>
          <w:p w14:paraId="4D10095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76" w:type="dxa"/>
            <w:tcBorders>
              <w:top w:val="single" w:sz="4" w:space="0" w:color="auto"/>
              <w:left w:val="single" w:sz="4" w:space="0" w:color="auto"/>
              <w:bottom w:val="single" w:sz="4" w:space="0" w:color="auto"/>
              <w:right w:val="single" w:sz="4" w:space="0" w:color="auto"/>
            </w:tcBorders>
            <w:vAlign w:val="center"/>
          </w:tcPr>
          <w:p w14:paraId="7B435E9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r>
      <w:tr w:rsidR="006333D1" w:rsidRPr="0049300D" w14:paraId="7AA73CB3" w14:textId="77777777" w:rsidTr="003B3D68">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0A56876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single" w:sz="4" w:space="0" w:color="auto"/>
              <w:bottom w:val="single" w:sz="4" w:space="0" w:color="auto"/>
              <w:right w:val="single" w:sz="4" w:space="0" w:color="auto"/>
            </w:tcBorders>
            <w:noWrap/>
            <w:vAlign w:val="center"/>
          </w:tcPr>
          <w:p w14:paraId="3495784C" w14:textId="77777777" w:rsidR="006333D1" w:rsidRPr="0049300D" w:rsidRDefault="006333D1" w:rsidP="000C52C0">
            <w:pPr>
              <w:tabs>
                <w:tab w:val="left" w:pos="851"/>
              </w:tabs>
              <w:spacing w:after="0" w:line="360" w:lineRule="auto"/>
              <w:rPr>
                <w:rFonts w:ascii="Times New Roman" w:hAnsi="Times New Roman" w:cs="Times New Roman"/>
                <w:b/>
                <w:bCs/>
                <w:sz w:val="24"/>
                <w:szCs w:val="24"/>
              </w:rPr>
            </w:pPr>
            <w:r w:rsidRPr="0049300D">
              <w:rPr>
                <w:rFonts w:ascii="Times New Roman" w:hAnsi="Times New Roman" w:cs="Times New Roman"/>
                <w:b/>
                <w:bCs/>
                <w:sz w:val="24"/>
                <w:szCs w:val="24"/>
              </w:rPr>
              <w:t>Marketing cost</w:t>
            </w:r>
          </w:p>
        </w:tc>
        <w:tc>
          <w:tcPr>
            <w:tcW w:w="845" w:type="dxa"/>
            <w:tcBorders>
              <w:top w:val="single" w:sz="4" w:space="0" w:color="auto"/>
              <w:left w:val="single" w:sz="4" w:space="0" w:color="auto"/>
              <w:bottom w:val="single" w:sz="4" w:space="0" w:color="auto"/>
              <w:right w:val="single" w:sz="4" w:space="0" w:color="auto"/>
            </w:tcBorders>
            <w:noWrap/>
            <w:vAlign w:val="center"/>
          </w:tcPr>
          <w:p w14:paraId="6534DB7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w:t>
            </w:r>
          </w:p>
        </w:tc>
        <w:tc>
          <w:tcPr>
            <w:tcW w:w="990" w:type="dxa"/>
            <w:tcBorders>
              <w:top w:val="single" w:sz="4" w:space="0" w:color="auto"/>
              <w:left w:val="single" w:sz="4" w:space="0" w:color="auto"/>
              <w:bottom w:val="single" w:sz="4" w:space="0" w:color="auto"/>
              <w:right w:val="single" w:sz="4" w:space="0" w:color="auto"/>
            </w:tcBorders>
            <w:noWrap/>
            <w:vAlign w:val="center"/>
          </w:tcPr>
          <w:p w14:paraId="37D3641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w:t>
            </w:r>
          </w:p>
        </w:tc>
        <w:tc>
          <w:tcPr>
            <w:tcW w:w="1056" w:type="dxa"/>
            <w:tcBorders>
              <w:top w:val="single" w:sz="4" w:space="0" w:color="auto"/>
              <w:left w:val="single" w:sz="4" w:space="0" w:color="auto"/>
              <w:bottom w:val="single" w:sz="4" w:space="0" w:color="auto"/>
              <w:right w:val="single" w:sz="4" w:space="0" w:color="auto"/>
            </w:tcBorders>
            <w:vAlign w:val="center"/>
          </w:tcPr>
          <w:p w14:paraId="43B4226C"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70200</w:t>
            </w:r>
          </w:p>
        </w:tc>
        <w:tc>
          <w:tcPr>
            <w:tcW w:w="876" w:type="dxa"/>
            <w:tcBorders>
              <w:top w:val="single" w:sz="4" w:space="0" w:color="auto"/>
              <w:left w:val="single" w:sz="4" w:space="0" w:color="auto"/>
              <w:bottom w:val="single" w:sz="4" w:space="0" w:color="auto"/>
              <w:right w:val="single" w:sz="4" w:space="0" w:color="auto"/>
            </w:tcBorders>
            <w:vAlign w:val="center"/>
          </w:tcPr>
          <w:p w14:paraId="70994F1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27.73</w:t>
            </w:r>
          </w:p>
        </w:tc>
        <w:tc>
          <w:tcPr>
            <w:tcW w:w="845" w:type="dxa"/>
            <w:tcBorders>
              <w:top w:val="single" w:sz="4" w:space="0" w:color="auto"/>
              <w:left w:val="single" w:sz="4" w:space="0" w:color="auto"/>
              <w:bottom w:val="single" w:sz="4" w:space="0" w:color="auto"/>
              <w:right w:val="single" w:sz="4" w:space="0" w:color="auto"/>
            </w:tcBorders>
            <w:vAlign w:val="center"/>
          </w:tcPr>
          <w:p w14:paraId="447B241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w:t>
            </w:r>
          </w:p>
        </w:tc>
        <w:tc>
          <w:tcPr>
            <w:tcW w:w="876" w:type="dxa"/>
            <w:tcBorders>
              <w:top w:val="single" w:sz="4" w:space="0" w:color="auto"/>
              <w:left w:val="single" w:sz="4" w:space="0" w:color="auto"/>
              <w:bottom w:val="single" w:sz="4" w:space="0" w:color="auto"/>
              <w:right w:val="single" w:sz="4" w:space="0" w:color="auto"/>
            </w:tcBorders>
            <w:vAlign w:val="center"/>
          </w:tcPr>
          <w:p w14:paraId="4324ED0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w:t>
            </w:r>
          </w:p>
        </w:tc>
      </w:tr>
      <w:tr w:rsidR="006333D1" w:rsidRPr="0049300D" w14:paraId="625DDFEE" w14:textId="77777777" w:rsidTr="003B3D68">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7CD0A093"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single" w:sz="4" w:space="0" w:color="auto"/>
              <w:bottom w:val="single" w:sz="4" w:space="0" w:color="auto"/>
              <w:right w:val="single" w:sz="4" w:space="0" w:color="auto"/>
            </w:tcBorders>
            <w:noWrap/>
            <w:vAlign w:val="center"/>
          </w:tcPr>
          <w:p w14:paraId="6AAD29DA" w14:textId="77777777" w:rsidR="006333D1" w:rsidRPr="0049300D" w:rsidRDefault="006333D1" w:rsidP="000C52C0">
            <w:pPr>
              <w:tabs>
                <w:tab w:val="left" w:pos="851"/>
              </w:tabs>
              <w:spacing w:after="0" w:line="360" w:lineRule="auto"/>
              <w:rPr>
                <w:rFonts w:ascii="Times New Roman" w:hAnsi="Times New Roman" w:cs="Times New Roman"/>
                <w:sz w:val="24"/>
                <w:szCs w:val="24"/>
              </w:rPr>
            </w:pPr>
            <w:r w:rsidRPr="0049300D">
              <w:rPr>
                <w:rFonts w:ascii="Times New Roman" w:hAnsi="Times New Roman" w:cs="Times New Roman"/>
                <w:sz w:val="24"/>
                <w:szCs w:val="24"/>
              </w:rPr>
              <w:t>Garland making cost</w:t>
            </w:r>
          </w:p>
        </w:tc>
        <w:tc>
          <w:tcPr>
            <w:tcW w:w="845" w:type="dxa"/>
            <w:tcBorders>
              <w:top w:val="single" w:sz="4" w:space="0" w:color="auto"/>
              <w:left w:val="single" w:sz="4" w:space="0" w:color="auto"/>
              <w:bottom w:val="single" w:sz="4" w:space="0" w:color="auto"/>
              <w:right w:val="single" w:sz="4" w:space="0" w:color="auto"/>
            </w:tcBorders>
            <w:noWrap/>
            <w:vAlign w:val="center"/>
          </w:tcPr>
          <w:p w14:paraId="102B732E" w14:textId="77777777" w:rsidR="006333D1" w:rsidRPr="0049300D" w:rsidRDefault="006333D1" w:rsidP="000C52C0">
            <w:pPr>
              <w:tabs>
                <w:tab w:val="left" w:pos="851"/>
              </w:tabs>
              <w:spacing w:after="0" w:line="360" w:lineRule="auto"/>
              <w:jc w:val="center"/>
              <w:rPr>
                <w:rFonts w:ascii="Times New Roman" w:hAnsi="Times New Roman" w:cs="Times New Roman"/>
                <w:b/>
                <w:bCs/>
                <w:sz w:val="24"/>
                <w:szCs w:val="24"/>
              </w:rPr>
            </w:pPr>
          </w:p>
        </w:tc>
        <w:tc>
          <w:tcPr>
            <w:tcW w:w="990" w:type="dxa"/>
            <w:tcBorders>
              <w:top w:val="single" w:sz="4" w:space="0" w:color="auto"/>
              <w:left w:val="single" w:sz="4" w:space="0" w:color="auto"/>
              <w:bottom w:val="single" w:sz="4" w:space="0" w:color="auto"/>
              <w:right w:val="single" w:sz="4" w:space="0" w:color="auto"/>
            </w:tcBorders>
            <w:noWrap/>
            <w:vAlign w:val="center"/>
          </w:tcPr>
          <w:p w14:paraId="6DEE5D29" w14:textId="77777777" w:rsidR="006333D1" w:rsidRPr="0049300D" w:rsidRDefault="006333D1" w:rsidP="000C52C0">
            <w:pPr>
              <w:tabs>
                <w:tab w:val="left" w:pos="851"/>
              </w:tabs>
              <w:spacing w:after="0" w:line="360" w:lineRule="auto"/>
              <w:jc w:val="center"/>
              <w:rPr>
                <w:rFonts w:ascii="Times New Roman" w:hAnsi="Times New Roman" w:cs="Times New Roman"/>
                <w:b/>
                <w:bCs/>
                <w:sz w:val="24"/>
                <w:szCs w:val="24"/>
              </w:rPr>
            </w:pPr>
          </w:p>
        </w:tc>
        <w:tc>
          <w:tcPr>
            <w:tcW w:w="1056" w:type="dxa"/>
            <w:tcBorders>
              <w:top w:val="single" w:sz="4" w:space="0" w:color="auto"/>
              <w:left w:val="single" w:sz="4" w:space="0" w:color="auto"/>
              <w:bottom w:val="single" w:sz="4" w:space="0" w:color="auto"/>
              <w:right w:val="single" w:sz="4" w:space="0" w:color="auto"/>
            </w:tcBorders>
            <w:vAlign w:val="center"/>
          </w:tcPr>
          <w:p w14:paraId="6C78E999"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13500</w:t>
            </w:r>
          </w:p>
        </w:tc>
        <w:tc>
          <w:tcPr>
            <w:tcW w:w="876" w:type="dxa"/>
            <w:tcBorders>
              <w:top w:val="single" w:sz="4" w:space="0" w:color="auto"/>
              <w:left w:val="single" w:sz="4" w:space="0" w:color="auto"/>
              <w:bottom w:val="single" w:sz="4" w:space="0" w:color="auto"/>
              <w:right w:val="single" w:sz="4" w:space="0" w:color="auto"/>
            </w:tcBorders>
            <w:vAlign w:val="center"/>
          </w:tcPr>
          <w:p w14:paraId="75A68E96"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5.33</w:t>
            </w:r>
          </w:p>
        </w:tc>
        <w:tc>
          <w:tcPr>
            <w:tcW w:w="845" w:type="dxa"/>
            <w:tcBorders>
              <w:top w:val="single" w:sz="4" w:space="0" w:color="auto"/>
              <w:left w:val="single" w:sz="4" w:space="0" w:color="auto"/>
              <w:bottom w:val="single" w:sz="4" w:space="0" w:color="auto"/>
              <w:right w:val="single" w:sz="4" w:space="0" w:color="auto"/>
            </w:tcBorders>
            <w:vAlign w:val="center"/>
          </w:tcPr>
          <w:p w14:paraId="11B90203" w14:textId="77777777" w:rsidR="006333D1" w:rsidRPr="0049300D" w:rsidRDefault="006333D1" w:rsidP="000C52C0">
            <w:pPr>
              <w:tabs>
                <w:tab w:val="left" w:pos="851"/>
              </w:tabs>
              <w:spacing w:after="0" w:line="360" w:lineRule="auto"/>
              <w:jc w:val="center"/>
              <w:rPr>
                <w:rFonts w:ascii="Times New Roman" w:hAnsi="Times New Roman" w:cs="Times New Roman"/>
                <w:b/>
                <w:bCs/>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018EE7C3" w14:textId="77777777" w:rsidR="006333D1" w:rsidRPr="0049300D" w:rsidRDefault="006333D1" w:rsidP="000C52C0">
            <w:pPr>
              <w:tabs>
                <w:tab w:val="left" w:pos="851"/>
              </w:tabs>
              <w:spacing w:after="0" w:line="360" w:lineRule="auto"/>
              <w:jc w:val="center"/>
              <w:rPr>
                <w:rFonts w:ascii="Times New Roman" w:hAnsi="Times New Roman" w:cs="Times New Roman"/>
                <w:b/>
                <w:bCs/>
                <w:sz w:val="24"/>
                <w:szCs w:val="24"/>
              </w:rPr>
            </w:pPr>
          </w:p>
        </w:tc>
      </w:tr>
      <w:tr w:rsidR="006333D1" w:rsidRPr="0049300D" w14:paraId="2C1EC336" w14:textId="77777777" w:rsidTr="003B3D68">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4664A13A"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single" w:sz="4" w:space="0" w:color="auto"/>
              <w:bottom w:val="single" w:sz="4" w:space="0" w:color="auto"/>
              <w:right w:val="single" w:sz="4" w:space="0" w:color="auto"/>
            </w:tcBorders>
            <w:noWrap/>
            <w:vAlign w:val="center"/>
          </w:tcPr>
          <w:p w14:paraId="1D8A055D" w14:textId="77777777" w:rsidR="006333D1" w:rsidRPr="0049300D" w:rsidRDefault="006333D1" w:rsidP="000C52C0">
            <w:pPr>
              <w:tabs>
                <w:tab w:val="left" w:pos="851"/>
              </w:tabs>
              <w:spacing w:after="0" w:line="360" w:lineRule="auto"/>
              <w:rPr>
                <w:rFonts w:ascii="Times New Roman" w:hAnsi="Times New Roman" w:cs="Times New Roman"/>
                <w:sz w:val="24"/>
                <w:szCs w:val="24"/>
              </w:rPr>
            </w:pPr>
            <w:r w:rsidRPr="0049300D">
              <w:rPr>
                <w:rFonts w:ascii="Times New Roman" w:hAnsi="Times New Roman" w:cs="Times New Roman"/>
                <w:sz w:val="24"/>
                <w:szCs w:val="24"/>
              </w:rPr>
              <w:t>Packing and grading</w:t>
            </w:r>
          </w:p>
        </w:tc>
        <w:tc>
          <w:tcPr>
            <w:tcW w:w="845" w:type="dxa"/>
            <w:tcBorders>
              <w:top w:val="single" w:sz="4" w:space="0" w:color="auto"/>
              <w:left w:val="single" w:sz="4" w:space="0" w:color="auto"/>
              <w:bottom w:val="single" w:sz="4" w:space="0" w:color="auto"/>
              <w:right w:val="single" w:sz="4" w:space="0" w:color="auto"/>
            </w:tcBorders>
            <w:noWrap/>
            <w:vAlign w:val="center"/>
          </w:tcPr>
          <w:p w14:paraId="52FC8BB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b/>
                <w:bCs/>
                <w:sz w:val="24"/>
                <w:szCs w:val="24"/>
              </w:rPr>
              <w:t>--</w:t>
            </w:r>
          </w:p>
        </w:tc>
        <w:tc>
          <w:tcPr>
            <w:tcW w:w="990" w:type="dxa"/>
            <w:tcBorders>
              <w:top w:val="single" w:sz="4" w:space="0" w:color="auto"/>
              <w:left w:val="single" w:sz="4" w:space="0" w:color="auto"/>
              <w:bottom w:val="single" w:sz="4" w:space="0" w:color="auto"/>
              <w:right w:val="single" w:sz="4" w:space="0" w:color="auto"/>
            </w:tcBorders>
            <w:noWrap/>
            <w:vAlign w:val="center"/>
          </w:tcPr>
          <w:p w14:paraId="3D88B78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b/>
                <w:bCs/>
                <w:sz w:val="24"/>
                <w:szCs w:val="24"/>
              </w:rPr>
              <w:t>--</w:t>
            </w:r>
          </w:p>
        </w:tc>
        <w:tc>
          <w:tcPr>
            <w:tcW w:w="1056" w:type="dxa"/>
            <w:tcBorders>
              <w:top w:val="single" w:sz="4" w:space="0" w:color="auto"/>
              <w:left w:val="single" w:sz="4" w:space="0" w:color="auto"/>
              <w:bottom w:val="single" w:sz="4" w:space="0" w:color="auto"/>
              <w:right w:val="single" w:sz="4" w:space="0" w:color="auto"/>
            </w:tcBorders>
            <w:vAlign w:val="center"/>
          </w:tcPr>
          <w:p w14:paraId="40F5C442"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36000</w:t>
            </w:r>
          </w:p>
        </w:tc>
        <w:tc>
          <w:tcPr>
            <w:tcW w:w="876" w:type="dxa"/>
            <w:tcBorders>
              <w:top w:val="single" w:sz="4" w:space="0" w:color="auto"/>
              <w:left w:val="single" w:sz="4" w:space="0" w:color="auto"/>
              <w:bottom w:val="single" w:sz="4" w:space="0" w:color="auto"/>
              <w:right w:val="single" w:sz="4" w:space="0" w:color="auto"/>
            </w:tcBorders>
            <w:vAlign w:val="center"/>
          </w:tcPr>
          <w:p w14:paraId="2F76E86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14.22</w:t>
            </w:r>
          </w:p>
        </w:tc>
        <w:tc>
          <w:tcPr>
            <w:tcW w:w="845" w:type="dxa"/>
            <w:tcBorders>
              <w:top w:val="single" w:sz="4" w:space="0" w:color="auto"/>
              <w:left w:val="single" w:sz="4" w:space="0" w:color="auto"/>
              <w:bottom w:val="single" w:sz="4" w:space="0" w:color="auto"/>
              <w:right w:val="single" w:sz="4" w:space="0" w:color="auto"/>
            </w:tcBorders>
            <w:vAlign w:val="center"/>
          </w:tcPr>
          <w:p w14:paraId="7FBD80E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b/>
                <w:bCs/>
                <w:sz w:val="24"/>
                <w:szCs w:val="24"/>
              </w:rPr>
              <w:t>--</w:t>
            </w:r>
          </w:p>
        </w:tc>
        <w:tc>
          <w:tcPr>
            <w:tcW w:w="876" w:type="dxa"/>
            <w:tcBorders>
              <w:top w:val="single" w:sz="4" w:space="0" w:color="auto"/>
              <w:left w:val="single" w:sz="4" w:space="0" w:color="auto"/>
              <w:bottom w:val="single" w:sz="4" w:space="0" w:color="auto"/>
              <w:right w:val="single" w:sz="4" w:space="0" w:color="auto"/>
            </w:tcBorders>
            <w:vAlign w:val="center"/>
          </w:tcPr>
          <w:p w14:paraId="240698C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b/>
                <w:bCs/>
                <w:sz w:val="24"/>
                <w:szCs w:val="24"/>
              </w:rPr>
              <w:t>--</w:t>
            </w:r>
          </w:p>
        </w:tc>
      </w:tr>
      <w:tr w:rsidR="006333D1" w:rsidRPr="0049300D" w14:paraId="03630019" w14:textId="77777777" w:rsidTr="003B3D68">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3333B0B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single" w:sz="4" w:space="0" w:color="auto"/>
              <w:bottom w:val="single" w:sz="4" w:space="0" w:color="auto"/>
              <w:right w:val="single" w:sz="4" w:space="0" w:color="auto"/>
            </w:tcBorders>
            <w:noWrap/>
            <w:vAlign w:val="center"/>
          </w:tcPr>
          <w:p w14:paraId="610ECB2C" w14:textId="77777777" w:rsidR="006333D1" w:rsidRPr="0049300D" w:rsidRDefault="006333D1" w:rsidP="000C52C0">
            <w:pPr>
              <w:tabs>
                <w:tab w:val="left" w:pos="851"/>
              </w:tabs>
              <w:spacing w:after="0" w:line="360" w:lineRule="auto"/>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Transportation</w:t>
            </w:r>
          </w:p>
        </w:tc>
        <w:tc>
          <w:tcPr>
            <w:tcW w:w="845" w:type="dxa"/>
            <w:tcBorders>
              <w:top w:val="single" w:sz="4" w:space="0" w:color="auto"/>
              <w:left w:val="single" w:sz="4" w:space="0" w:color="auto"/>
              <w:bottom w:val="single" w:sz="4" w:space="0" w:color="auto"/>
              <w:right w:val="single" w:sz="4" w:space="0" w:color="auto"/>
            </w:tcBorders>
            <w:noWrap/>
            <w:vAlign w:val="center"/>
          </w:tcPr>
          <w:p w14:paraId="0F95326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990" w:type="dxa"/>
            <w:tcBorders>
              <w:top w:val="single" w:sz="4" w:space="0" w:color="auto"/>
              <w:left w:val="single" w:sz="4" w:space="0" w:color="auto"/>
              <w:bottom w:val="single" w:sz="4" w:space="0" w:color="auto"/>
              <w:right w:val="single" w:sz="4" w:space="0" w:color="auto"/>
            </w:tcBorders>
            <w:noWrap/>
            <w:vAlign w:val="center"/>
          </w:tcPr>
          <w:p w14:paraId="69BB3D9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1056" w:type="dxa"/>
            <w:tcBorders>
              <w:top w:val="single" w:sz="4" w:space="0" w:color="auto"/>
              <w:left w:val="single" w:sz="4" w:space="0" w:color="auto"/>
              <w:bottom w:val="single" w:sz="4" w:space="0" w:color="auto"/>
              <w:right w:val="single" w:sz="4" w:space="0" w:color="auto"/>
            </w:tcBorders>
            <w:vAlign w:val="center"/>
          </w:tcPr>
          <w:p w14:paraId="4F37593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20700</w:t>
            </w:r>
          </w:p>
        </w:tc>
        <w:tc>
          <w:tcPr>
            <w:tcW w:w="876" w:type="dxa"/>
            <w:tcBorders>
              <w:top w:val="single" w:sz="4" w:space="0" w:color="auto"/>
              <w:left w:val="single" w:sz="4" w:space="0" w:color="auto"/>
              <w:bottom w:val="single" w:sz="4" w:space="0" w:color="auto"/>
              <w:right w:val="single" w:sz="4" w:space="0" w:color="auto"/>
            </w:tcBorders>
            <w:vAlign w:val="center"/>
          </w:tcPr>
          <w:p w14:paraId="19679BF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8.18</w:t>
            </w:r>
          </w:p>
        </w:tc>
        <w:tc>
          <w:tcPr>
            <w:tcW w:w="845" w:type="dxa"/>
            <w:tcBorders>
              <w:top w:val="single" w:sz="4" w:space="0" w:color="auto"/>
              <w:left w:val="single" w:sz="4" w:space="0" w:color="auto"/>
              <w:bottom w:val="single" w:sz="4" w:space="0" w:color="auto"/>
              <w:right w:val="single" w:sz="4" w:space="0" w:color="auto"/>
            </w:tcBorders>
            <w:vAlign w:val="center"/>
          </w:tcPr>
          <w:p w14:paraId="36D7BAB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76" w:type="dxa"/>
            <w:tcBorders>
              <w:top w:val="single" w:sz="4" w:space="0" w:color="auto"/>
              <w:left w:val="single" w:sz="4" w:space="0" w:color="auto"/>
              <w:bottom w:val="single" w:sz="4" w:space="0" w:color="auto"/>
              <w:right w:val="single" w:sz="4" w:space="0" w:color="auto"/>
            </w:tcBorders>
            <w:vAlign w:val="center"/>
          </w:tcPr>
          <w:p w14:paraId="0D229962"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r>
      <w:tr w:rsidR="006333D1" w:rsidRPr="0049300D" w14:paraId="35FBFB90" w14:textId="77777777" w:rsidTr="003B3D68">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08077B1A"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single" w:sz="4" w:space="0" w:color="auto"/>
              <w:bottom w:val="single" w:sz="4" w:space="0" w:color="auto"/>
              <w:right w:val="single" w:sz="4" w:space="0" w:color="auto"/>
            </w:tcBorders>
            <w:noWrap/>
            <w:vAlign w:val="center"/>
          </w:tcPr>
          <w:p w14:paraId="220A5AE1" w14:textId="77777777" w:rsidR="006333D1" w:rsidRPr="0049300D" w:rsidRDefault="006333D1" w:rsidP="000C52C0">
            <w:pPr>
              <w:tabs>
                <w:tab w:val="left" w:pos="851"/>
              </w:tabs>
              <w:spacing w:after="0" w:line="360" w:lineRule="auto"/>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Marketing margin</w:t>
            </w:r>
          </w:p>
        </w:tc>
        <w:tc>
          <w:tcPr>
            <w:tcW w:w="845" w:type="dxa"/>
            <w:tcBorders>
              <w:top w:val="single" w:sz="4" w:space="0" w:color="auto"/>
              <w:left w:val="single" w:sz="4" w:space="0" w:color="auto"/>
              <w:bottom w:val="single" w:sz="4" w:space="0" w:color="auto"/>
              <w:right w:val="single" w:sz="4" w:space="0" w:color="auto"/>
            </w:tcBorders>
            <w:noWrap/>
            <w:vAlign w:val="center"/>
          </w:tcPr>
          <w:p w14:paraId="024D39B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c>
          <w:tcPr>
            <w:tcW w:w="990" w:type="dxa"/>
            <w:tcBorders>
              <w:top w:val="single" w:sz="4" w:space="0" w:color="auto"/>
              <w:left w:val="single" w:sz="4" w:space="0" w:color="auto"/>
              <w:bottom w:val="single" w:sz="4" w:space="0" w:color="auto"/>
              <w:right w:val="single" w:sz="4" w:space="0" w:color="auto"/>
            </w:tcBorders>
            <w:noWrap/>
            <w:vAlign w:val="center"/>
          </w:tcPr>
          <w:p w14:paraId="67AAE782"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c>
          <w:tcPr>
            <w:tcW w:w="1056" w:type="dxa"/>
            <w:tcBorders>
              <w:top w:val="single" w:sz="4" w:space="0" w:color="auto"/>
              <w:left w:val="single" w:sz="4" w:space="0" w:color="auto"/>
              <w:bottom w:val="single" w:sz="4" w:space="0" w:color="auto"/>
              <w:right w:val="single" w:sz="4" w:space="0" w:color="auto"/>
            </w:tcBorders>
            <w:vAlign w:val="center"/>
          </w:tcPr>
          <w:p w14:paraId="2280468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20625</w:t>
            </w:r>
          </w:p>
        </w:tc>
        <w:tc>
          <w:tcPr>
            <w:tcW w:w="876" w:type="dxa"/>
            <w:tcBorders>
              <w:top w:val="single" w:sz="4" w:space="0" w:color="auto"/>
              <w:left w:val="single" w:sz="4" w:space="0" w:color="auto"/>
              <w:bottom w:val="single" w:sz="4" w:space="0" w:color="auto"/>
              <w:right w:val="single" w:sz="4" w:space="0" w:color="auto"/>
            </w:tcBorders>
            <w:vAlign w:val="center"/>
          </w:tcPr>
          <w:p w14:paraId="2E1DE9B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8.15</w:t>
            </w:r>
          </w:p>
        </w:tc>
        <w:tc>
          <w:tcPr>
            <w:tcW w:w="845" w:type="dxa"/>
            <w:tcBorders>
              <w:top w:val="single" w:sz="4" w:space="0" w:color="auto"/>
              <w:left w:val="single" w:sz="4" w:space="0" w:color="auto"/>
              <w:bottom w:val="single" w:sz="4" w:space="0" w:color="auto"/>
              <w:right w:val="single" w:sz="4" w:space="0" w:color="auto"/>
            </w:tcBorders>
            <w:vAlign w:val="center"/>
          </w:tcPr>
          <w:p w14:paraId="4C9C721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c>
          <w:tcPr>
            <w:tcW w:w="876" w:type="dxa"/>
            <w:tcBorders>
              <w:top w:val="single" w:sz="4" w:space="0" w:color="auto"/>
              <w:left w:val="single" w:sz="4" w:space="0" w:color="auto"/>
              <w:bottom w:val="single" w:sz="4" w:space="0" w:color="auto"/>
              <w:right w:val="single" w:sz="4" w:space="0" w:color="auto"/>
            </w:tcBorders>
            <w:vAlign w:val="center"/>
          </w:tcPr>
          <w:p w14:paraId="28D2B1C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r>
      <w:tr w:rsidR="006333D1" w:rsidRPr="0049300D" w14:paraId="49D1FDF8" w14:textId="77777777" w:rsidTr="003B3D68">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1EEE80F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nil"/>
              <w:bottom w:val="single" w:sz="4" w:space="0" w:color="auto"/>
              <w:right w:val="single" w:sz="4" w:space="0" w:color="auto"/>
            </w:tcBorders>
            <w:noWrap/>
            <w:vAlign w:val="center"/>
          </w:tcPr>
          <w:p w14:paraId="3ED6E377" w14:textId="77777777" w:rsidR="006333D1" w:rsidRPr="0049300D" w:rsidRDefault="006333D1" w:rsidP="000C52C0">
            <w:pPr>
              <w:tabs>
                <w:tab w:val="left" w:pos="851"/>
              </w:tabs>
              <w:spacing w:after="0" w:line="360" w:lineRule="auto"/>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Export price</w:t>
            </w:r>
          </w:p>
        </w:tc>
        <w:tc>
          <w:tcPr>
            <w:tcW w:w="845" w:type="dxa"/>
            <w:tcBorders>
              <w:top w:val="single" w:sz="4" w:space="0" w:color="auto"/>
              <w:left w:val="nil"/>
              <w:bottom w:val="single" w:sz="4" w:space="0" w:color="auto"/>
              <w:right w:val="single" w:sz="4" w:space="0" w:color="auto"/>
            </w:tcBorders>
            <w:noWrap/>
            <w:vAlign w:val="center"/>
          </w:tcPr>
          <w:p w14:paraId="54E1349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990" w:type="dxa"/>
            <w:tcBorders>
              <w:top w:val="single" w:sz="4" w:space="0" w:color="auto"/>
              <w:left w:val="nil"/>
              <w:bottom w:val="single" w:sz="4" w:space="0" w:color="auto"/>
              <w:right w:val="single" w:sz="4" w:space="0" w:color="auto"/>
            </w:tcBorders>
            <w:noWrap/>
            <w:vAlign w:val="center"/>
          </w:tcPr>
          <w:p w14:paraId="5EABF91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1056" w:type="dxa"/>
            <w:tcBorders>
              <w:top w:val="single" w:sz="4" w:space="0" w:color="auto"/>
              <w:left w:val="nil"/>
              <w:bottom w:val="single" w:sz="4" w:space="0" w:color="auto"/>
              <w:right w:val="single" w:sz="4" w:space="0" w:color="auto"/>
            </w:tcBorders>
            <w:vAlign w:val="center"/>
          </w:tcPr>
          <w:p w14:paraId="0680F9C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123825</w:t>
            </w:r>
          </w:p>
        </w:tc>
        <w:tc>
          <w:tcPr>
            <w:tcW w:w="876" w:type="dxa"/>
            <w:tcBorders>
              <w:top w:val="single" w:sz="4" w:space="0" w:color="auto"/>
              <w:left w:val="nil"/>
              <w:bottom w:val="single" w:sz="4" w:space="0" w:color="auto"/>
              <w:right w:val="single" w:sz="4" w:space="0" w:color="auto"/>
            </w:tcBorders>
            <w:vAlign w:val="center"/>
          </w:tcPr>
          <w:p w14:paraId="1CFBD14A" w14:textId="77777777" w:rsidR="006333D1" w:rsidRPr="0049300D" w:rsidRDefault="006333D1" w:rsidP="000C52C0">
            <w:pPr>
              <w:spacing w:after="100" w:afterAutospacing="1" w:line="360" w:lineRule="auto"/>
              <w:jc w:val="center"/>
              <w:rPr>
                <w:rFonts w:ascii="Times New Roman" w:hAnsi="Times New Roman" w:cs="Times New Roman"/>
                <w:sz w:val="24"/>
                <w:szCs w:val="24"/>
              </w:rPr>
            </w:pPr>
            <w:r w:rsidRPr="0049300D">
              <w:rPr>
                <w:rFonts w:ascii="Times New Roman" w:hAnsi="Times New Roman" w:cs="Times New Roman"/>
                <w:sz w:val="24"/>
                <w:szCs w:val="24"/>
              </w:rPr>
              <w:t>48.92</w:t>
            </w:r>
          </w:p>
        </w:tc>
        <w:tc>
          <w:tcPr>
            <w:tcW w:w="845" w:type="dxa"/>
            <w:tcBorders>
              <w:top w:val="single" w:sz="4" w:space="0" w:color="auto"/>
              <w:left w:val="nil"/>
              <w:bottom w:val="single" w:sz="4" w:space="0" w:color="auto"/>
              <w:right w:val="single" w:sz="4" w:space="0" w:color="auto"/>
            </w:tcBorders>
            <w:vAlign w:val="center"/>
          </w:tcPr>
          <w:p w14:paraId="0398D6F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76" w:type="dxa"/>
            <w:tcBorders>
              <w:top w:val="single" w:sz="4" w:space="0" w:color="auto"/>
              <w:left w:val="nil"/>
              <w:bottom w:val="single" w:sz="4" w:space="0" w:color="auto"/>
              <w:right w:val="single" w:sz="4" w:space="0" w:color="auto"/>
            </w:tcBorders>
            <w:vAlign w:val="center"/>
          </w:tcPr>
          <w:p w14:paraId="197C1F8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r>
      <w:tr w:rsidR="006333D1" w:rsidRPr="0049300D" w14:paraId="2D7F8FB2" w14:textId="77777777" w:rsidTr="00727E1F">
        <w:trPr>
          <w:trHeight w:val="313"/>
          <w:jc w:val="center"/>
        </w:trPr>
        <w:tc>
          <w:tcPr>
            <w:tcW w:w="734" w:type="dxa"/>
            <w:tcBorders>
              <w:left w:val="single" w:sz="4" w:space="0" w:color="auto"/>
              <w:bottom w:val="single" w:sz="4" w:space="0" w:color="auto"/>
              <w:right w:val="single" w:sz="4" w:space="0" w:color="auto"/>
            </w:tcBorders>
            <w:noWrap/>
            <w:vAlign w:val="center"/>
          </w:tcPr>
          <w:p w14:paraId="1808E5F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4</w:t>
            </w:r>
          </w:p>
        </w:tc>
        <w:tc>
          <w:tcPr>
            <w:tcW w:w="8184" w:type="dxa"/>
            <w:gridSpan w:val="7"/>
            <w:tcBorders>
              <w:top w:val="single" w:sz="4" w:space="0" w:color="auto"/>
              <w:left w:val="nil"/>
              <w:bottom w:val="single" w:sz="4" w:space="0" w:color="auto"/>
              <w:right w:val="single" w:sz="4" w:space="0" w:color="auto"/>
            </w:tcBorders>
            <w:noWrap/>
            <w:vAlign w:val="center"/>
          </w:tcPr>
          <w:p w14:paraId="286B0A86" w14:textId="77777777" w:rsidR="006333D1" w:rsidRPr="0049300D" w:rsidRDefault="006333D1" w:rsidP="000C52C0">
            <w:pPr>
              <w:tabs>
                <w:tab w:val="left" w:pos="851"/>
              </w:tabs>
              <w:spacing w:after="0" w:line="360" w:lineRule="auto"/>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Importer</w:t>
            </w:r>
          </w:p>
        </w:tc>
      </w:tr>
      <w:tr w:rsidR="006333D1" w:rsidRPr="0049300D" w14:paraId="17A8170A" w14:textId="77777777" w:rsidTr="00727E1F">
        <w:trPr>
          <w:trHeight w:val="313"/>
          <w:jc w:val="center"/>
        </w:trPr>
        <w:tc>
          <w:tcPr>
            <w:tcW w:w="734" w:type="dxa"/>
            <w:vMerge w:val="restart"/>
            <w:tcBorders>
              <w:top w:val="single" w:sz="4" w:space="0" w:color="auto"/>
              <w:left w:val="single" w:sz="4" w:space="0" w:color="auto"/>
              <w:right w:val="single" w:sz="4" w:space="0" w:color="auto"/>
            </w:tcBorders>
            <w:noWrap/>
            <w:vAlign w:val="center"/>
          </w:tcPr>
          <w:p w14:paraId="11B8716A"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nil"/>
              <w:bottom w:val="single" w:sz="4" w:space="0" w:color="auto"/>
              <w:right w:val="single" w:sz="4" w:space="0" w:color="auto"/>
            </w:tcBorders>
            <w:noWrap/>
            <w:vAlign w:val="center"/>
          </w:tcPr>
          <w:p w14:paraId="6BE3A980" w14:textId="77777777" w:rsidR="006333D1" w:rsidRPr="0049300D" w:rsidRDefault="006333D1" w:rsidP="000C52C0">
            <w:pPr>
              <w:tabs>
                <w:tab w:val="left" w:pos="851"/>
              </w:tabs>
              <w:spacing w:after="0" w:line="360" w:lineRule="auto"/>
              <w:rPr>
                <w:rFonts w:ascii="Times New Roman" w:hAnsi="Times New Roman" w:cs="Times New Roman"/>
                <w:sz w:val="24"/>
                <w:szCs w:val="24"/>
              </w:rPr>
            </w:pPr>
            <w:r w:rsidRPr="0049300D">
              <w:rPr>
                <w:rFonts w:ascii="Times New Roman" w:hAnsi="Times New Roman" w:cs="Times New Roman"/>
                <w:sz w:val="24"/>
                <w:szCs w:val="24"/>
              </w:rPr>
              <w:t>Importing purchase price</w:t>
            </w:r>
          </w:p>
        </w:tc>
        <w:tc>
          <w:tcPr>
            <w:tcW w:w="845" w:type="dxa"/>
            <w:tcBorders>
              <w:top w:val="single" w:sz="4" w:space="0" w:color="auto"/>
              <w:left w:val="nil"/>
              <w:bottom w:val="single" w:sz="4" w:space="0" w:color="auto"/>
              <w:right w:val="single" w:sz="4" w:space="0" w:color="auto"/>
            </w:tcBorders>
            <w:noWrap/>
            <w:vAlign w:val="center"/>
          </w:tcPr>
          <w:p w14:paraId="17EA83F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990" w:type="dxa"/>
            <w:tcBorders>
              <w:top w:val="single" w:sz="4" w:space="0" w:color="auto"/>
              <w:left w:val="nil"/>
              <w:bottom w:val="single" w:sz="4" w:space="0" w:color="auto"/>
              <w:right w:val="single" w:sz="4" w:space="0" w:color="auto"/>
            </w:tcBorders>
            <w:noWrap/>
            <w:vAlign w:val="center"/>
          </w:tcPr>
          <w:p w14:paraId="1AD58D4C"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1056" w:type="dxa"/>
            <w:tcBorders>
              <w:top w:val="single" w:sz="4" w:space="0" w:color="auto"/>
              <w:left w:val="nil"/>
              <w:bottom w:val="single" w:sz="4" w:space="0" w:color="auto"/>
              <w:right w:val="single" w:sz="4" w:space="0" w:color="auto"/>
            </w:tcBorders>
            <w:vAlign w:val="center"/>
          </w:tcPr>
          <w:p w14:paraId="0D9A6C0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123825</w:t>
            </w:r>
          </w:p>
        </w:tc>
        <w:tc>
          <w:tcPr>
            <w:tcW w:w="876" w:type="dxa"/>
            <w:tcBorders>
              <w:top w:val="single" w:sz="4" w:space="0" w:color="auto"/>
              <w:left w:val="nil"/>
              <w:bottom w:val="single" w:sz="4" w:space="0" w:color="auto"/>
              <w:right w:val="single" w:sz="4" w:space="0" w:color="auto"/>
            </w:tcBorders>
            <w:vAlign w:val="center"/>
          </w:tcPr>
          <w:p w14:paraId="782F5D6C"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48.92</w:t>
            </w:r>
          </w:p>
        </w:tc>
        <w:tc>
          <w:tcPr>
            <w:tcW w:w="845" w:type="dxa"/>
            <w:tcBorders>
              <w:top w:val="single" w:sz="4" w:space="0" w:color="auto"/>
              <w:left w:val="nil"/>
              <w:bottom w:val="single" w:sz="4" w:space="0" w:color="auto"/>
              <w:right w:val="single" w:sz="4" w:space="0" w:color="auto"/>
            </w:tcBorders>
            <w:vAlign w:val="center"/>
          </w:tcPr>
          <w:p w14:paraId="4C1FF55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76" w:type="dxa"/>
            <w:tcBorders>
              <w:top w:val="single" w:sz="4" w:space="0" w:color="auto"/>
              <w:left w:val="nil"/>
              <w:bottom w:val="single" w:sz="4" w:space="0" w:color="auto"/>
              <w:right w:val="single" w:sz="4" w:space="0" w:color="auto"/>
            </w:tcBorders>
            <w:vAlign w:val="center"/>
          </w:tcPr>
          <w:p w14:paraId="0114D7D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r>
      <w:tr w:rsidR="006333D1" w:rsidRPr="0049300D" w14:paraId="12E6C8B2" w14:textId="77777777" w:rsidTr="00727E1F">
        <w:trPr>
          <w:trHeight w:val="313"/>
          <w:jc w:val="center"/>
        </w:trPr>
        <w:tc>
          <w:tcPr>
            <w:tcW w:w="734" w:type="dxa"/>
            <w:vMerge/>
            <w:tcBorders>
              <w:left w:val="single" w:sz="4" w:space="0" w:color="auto"/>
              <w:right w:val="single" w:sz="4" w:space="0" w:color="auto"/>
            </w:tcBorders>
            <w:noWrap/>
            <w:vAlign w:val="center"/>
          </w:tcPr>
          <w:p w14:paraId="26889142"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nil"/>
              <w:bottom w:val="single" w:sz="4" w:space="0" w:color="auto"/>
              <w:right w:val="single" w:sz="4" w:space="0" w:color="auto"/>
            </w:tcBorders>
            <w:noWrap/>
            <w:vAlign w:val="center"/>
          </w:tcPr>
          <w:p w14:paraId="60395FE9" w14:textId="77777777" w:rsidR="006333D1" w:rsidRPr="0049300D" w:rsidRDefault="006333D1" w:rsidP="000C52C0">
            <w:pPr>
              <w:tabs>
                <w:tab w:val="left" w:pos="851"/>
              </w:tabs>
              <w:spacing w:after="0" w:line="360" w:lineRule="auto"/>
              <w:rPr>
                <w:rFonts w:ascii="Times New Roman" w:hAnsi="Times New Roman" w:cs="Times New Roman"/>
                <w:b/>
                <w:bCs/>
                <w:sz w:val="24"/>
                <w:szCs w:val="24"/>
              </w:rPr>
            </w:pPr>
            <w:r w:rsidRPr="0049300D">
              <w:rPr>
                <w:rFonts w:ascii="Times New Roman" w:hAnsi="Times New Roman" w:cs="Times New Roman"/>
                <w:b/>
                <w:bCs/>
                <w:sz w:val="24"/>
                <w:szCs w:val="24"/>
              </w:rPr>
              <w:t>Marketing cost and Margin</w:t>
            </w:r>
          </w:p>
        </w:tc>
        <w:tc>
          <w:tcPr>
            <w:tcW w:w="845" w:type="dxa"/>
            <w:tcBorders>
              <w:top w:val="single" w:sz="4" w:space="0" w:color="auto"/>
              <w:left w:val="nil"/>
              <w:bottom w:val="single" w:sz="4" w:space="0" w:color="auto"/>
              <w:right w:val="single" w:sz="4" w:space="0" w:color="auto"/>
            </w:tcBorders>
            <w:noWrap/>
            <w:vAlign w:val="center"/>
          </w:tcPr>
          <w:p w14:paraId="1421686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c>
          <w:tcPr>
            <w:tcW w:w="990" w:type="dxa"/>
            <w:tcBorders>
              <w:top w:val="single" w:sz="4" w:space="0" w:color="auto"/>
              <w:left w:val="nil"/>
              <w:bottom w:val="single" w:sz="4" w:space="0" w:color="auto"/>
              <w:right w:val="single" w:sz="4" w:space="0" w:color="auto"/>
            </w:tcBorders>
            <w:noWrap/>
            <w:vAlign w:val="center"/>
          </w:tcPr>
          <w:p w14:paraId="60AF88EA"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c>
          <w:tcPr>
            <w:tcW w:w="1056" w:type="dxa"/>
            <w:tcBorders>
              <w:top w:val="single" w:sz="4" w:space="0" w:color="auto"/>
              <w:left w:val="nil"/>
              <w:bottom w:val="single" w:sz="4" w:space="0" w:color="auto"/>
              <w:right w:val="single" w:sz="4" w:space="0" w:color="auto"/>
            </w:tcBorders>
            <w:vAlign w:val="center"/>
          </w:tcPr>
          <w:p w14:paraId="4924741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87113</w:t>
            </w:r>
          </w:p>
        </w:tc>
        <w:tc>
          <w:tcPr>
            <w:tcW w:w="876" w:type="dxa"/>
            <w:tcBorders>
              <w:top w:val="single" w:sz="4" w:space="0" w:color="auto"/>
              <w:left w:val="nil"/>
              <w:bottom w:val="single" w:sz="4" w:space="0" w:color="auto"/>
              <w:right w:val="single" w:sz="4" w:space="0" w:color="auto"/>
            </w:tcBorders>
            <w:vAlign w:val="center"/>
          </w:tcPr>
          <w:p w14:paraId="1687671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34.42</w:t>
            </w:r>
          </w:p>
        </w:tc>
        <w:tc>
          <w:tcPr>
            <w:tcW w:w="845" w:type="dxa"/>
            <w:tcBorders>
              <w:top w:val="single" w:sz="4" w:space="0" w:color="auto"/>
              <w:left w:val="nil"/>
              <w:bottom w:val="single" w:sz="4" w:space="0" w:color="auto"/>
              <w:right w:val="single" w:sz="4" w:space="0" w:color="auto"/>
            </w:tcBorders>
            <w:vAlign w:val="center"/>
          </w:tcPr>
          <w:p w14:paraId="638A75B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c>
          <w:tcPr>
            <w:tcW w:w="876" w:type="dxa"/>
            <w:tcBorders>
              <w:top w:val="single" w:sz="4" w:space="0" w:color="auto"/>
              <w:left w:val="nil"/>
              <w:bottom w:val="single" w:sz="4" w:space="0" w:color="auto"/>
              <w:right w:val="single" w:sz="4" w:space="0" w:color="auto"/>
            </w:tcBorders>
            <w:vAlign w:val="center"/>
          </w:tcPr>
          <w:p w14:paraId="51D27BD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r>
      <w:tr w:rsidR="006333D1" w:rsidRPr="0049300D" w14:paraId="499F9BA7" w14:textId="77777777" w:rsidTr="00727E1F">
        <w:trPr>
          <w:trHeight w:val="313"/>
          <w:jc w:val="center"/>
        </w:trPr>
        <w:tc>
          <w:tcPr>
            <w:tcW w:w="734" w:type="dxa"/>
            <w:vMerge/>
            <w:tcBorders>
              <w:left w:val="single" w:sz="4" w:space="0" w:color="auto"/>
              <w:right w:val="single" w:sz="4" w:space="0" w:color="auto"/>
            </w:tcBorders>
            <w:noWrap/>
            <w:vAlign w:val="center"/>
          </w:tcPr>
          <w:p w14:paraId="3AAE0E5C"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nil"/>
              <w:bottom w:val="single" w:sz="4" w:space="0" w:color="auto"/>
              <w:right w:val="single" w:sz="4" w:space="0" w:color="auto"/>
            </w:tcBorders>
            <w:noWrap/>
            <w:vAlign w:val="center"/>
          </w:tcPr>
          <w:p w14:paraId="4269B404" w14:textId="77777777" w:rsidR="006333D1" w:rsidRPr="0049300D" w:rsidRDefault="006333D1" w:rsidP="000C52C0">
            <w:pPr>
              <w:tabs>
                <w:tab w:val="left" w:pos="851"/>
              </w:tabs>
              <w:spacing w:after="0" w:line="360" w:lineRule="auto"/>
              <w:rPr>
                <w:rFonts w:ascii="Times New Roman" w:hAnsi="Times New Roman" w:cs="Times New Roman"/>
                <w:sz w:val="24"/>
                <w:szCs w:val="24"/>
              </w:rPr>
            </w:pPr>
            <w:r w:rsidRPr="0049300D">
              <w:rPr>
                <w:rFonts w:ascii="Times New Roman" w:hAnsi="Times New Roman" w:cs="Times New Roman"/>
                <w:sz w:val="24"/>
                <w:szCs w:val="24"/>
              </w:rPr>
              <w:t>Marketing Margin</w:t>
            </w:r>
          </w:p>
        </w:tc>
        <w:tc>
          <w:tcPr>
            <w:tcW w:w="845" w:type="dxa"/>
            <w:tcBorders>
              <w:top w:val="single" w:sz="4" w:space="0" w:color="auto"/>
              <w:left w:val="nil"/>
              <w:bottom w:val="single" w:sz="4" w:space="0" w:color="auto"/>
              <w:right w:val="single" w:sz="4" w:space="0" w:color="auto"/>
            </w:tcBorders>
            <w:noWrap/>
            <w:vAlign w:val="center"/>
          </w:tcPr>
          <w:p w14:paraId="6C2BDA1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990" w:type="dxa"/>
            <w:tcBorders>
              <w:top w:val="single" w:sz="4" w:space="0" w:color="auto"/>
              <w:left w:val="nil"/>
              <w:bottom w:val="single" w:sz="4" w:space="0" w:color="auto"/>
              <w:right w:val="single" w:sz="4" w:space="0" w:color="auto"/>
            </w:tcBorders>
            <w:noWrap/>
            <w:vAlign w:val="center"/>
          </w:tcPr>
          <w:p w14:paraId="6959852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1056" w:type="dxa"/>
            <w:tcBorders>
              <w:top w:val="single" w:sz="4" w:space="0" w:color="auto"/>
              <w:left w:val="nil"/>
              <w:bottom w:val="single" w:sz="4" w:space="0" w:color="auto"/>
              <w:right w:val="single" w:sz="4" w:space="0" w:color="auto"/>
            </w:tcBorders>
            <w:vAlign w:val="center"/>
          </w:tcPr>
          <w:p w14:paraId="2A5543C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42187</w:t>
            </w:r>
          </w:p>
        </w:tc>
        <w:tc>
          <w:tcPr>
            <w:tcW w:w="876" w:type="dxa"/>
            <w:tcBorders>
              <w:top w:val="single" w:sz="4" w:space="0" w:color="auto"/>
              <w:left w:val="nil"/>
              <w:bottom w:val="single" w:sz="4" w:space="0" w:color="auto"/>
              <w:right w:val="single" w:sz="4" w:space="0" w:color="auto"/>
            </w:tcBorders>
            <w:vAlign w:val="center"/>
          </w:tcPr>
          <w:p w14:paraId="24167F71" w14:textId="77777777" w:rsidR="006333D1" w:rsidRPr="0049300D" w:rsidRDefault="006333D1" w:rsidP="000C52C0">
            <w:pPr>
              <w:tabs>
                <w:tab w:val="left" w:pos="851"/>
              </w:tabs>
              <w:spacing w:after="0" w:line="360" w:lineRule="auto"/>
              <w:jc w:val="center"/>
              <w:rPr>
                <w:rFonts w:ascii="Times New Roman" w:hAnsi="Times New Roman" w:cs="Times New Roman"/>
                <w:sz w:val="24"/>
                <w:szCs w:val="24"/>
              </w:rPr>
            </w:pPr>
            <w:r w:rsidRPr="0049300D">
              <w:rPr>
                <w:rFonts w:ascii="Times New Roman" w:hAnsi="Times New Roman" w:cs="Times New Roman"/>
                <w:sz w:val="24"/>
                <w:szCs w:val="24"/>
              </w:rPr>
              <w:t>16.67</w:t>
            </w:r>
          </w:p>
        </w:tc>
        <w:tc>
          <w:tcPr>
            <w:tcW w:w="845" w:type="dxa"/>
            <w:tcBorders>
              <w:top w:val="single" w:sz="4" w:space="0" w:color="auto"/>
              <w:left w:val="nil"/>
              <w:bottom w:val="single" w:sz="4" w:space="0" w:color="auto"/>
              <w:right w:val="single" w:sz="4" w:space="0" w:color="auto"/>
            </w:tcBorders>
            <w:vAlign w:val="center"/>
          </w:tcPr>
          <w:p w14:paraId="0E23CA7A"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76" w:type="dxa"/>
            <w:tcBorders>
              <w:top w:val="single" w:sz="4" w:space="0" w:color="auto"/>
              <w:left w:val="nil"/>
              <w:bottom w:val="single" w:sz="4" w:space="0" w:color="auto"/>
              <w:right w:val="single" w:sz="4" w:space="0" w:color="auto"/>
            </w:tcBorders>
            <w:vAlign w:val="center"/>
          </w:tcPr>
          <w:p w14:paraId="0E1B552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r>
      <w:tr w:rsidR="006333D1" w:rsidRPr="0049300D" w14:paraId="0F95432D" w14:textId="77777777" w:rsidTr="00727E1F">
        <w:trPr>
          <w:trHeight w:val="313"/>
          <w:jc w:val="center"/>
        </w:trPr>
        <w:tc>
          <w:tcPr>
            <w:tcW w:w="734" w:type="dxa"/>
            <w:vMerge/>
            <w:tcBorders>
              <w:left w:val="single" w:sz="4" w:space="0" w:color="auto"/>
              <w:bottom w:val="single" w:sz="4" w:space="0" w:color="auto"/>
              <w:right w:val="single" w:sz="4" w:space="0" w:color="auto"/>
            </w:tcBorders>
            <w:noWrap/>
            <w:vAlign w:val="center"/>
          </w:tcPr>
          <w:p w14:paraId="0B233C9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nil"/>
              <w:bottom w:val="single" w:sz="4" w:space="0" w:color="auto"/>
              <w:right w:val="single" w:sz="4" w:space="0" w:color="auto"/>
            </w:tcBorders>
            <w:noWrap/>
            <w:vAlign w:val="center"/>
          </w:tcPr>
          <w:p w14:paraId="61D96944" w14:textId="77777777" w:rsidR="006333D1" w:rsidRPr="0049300D" w:rsidRDefault="006333D1" w:rsidP="000C52C0">
            <w:pPr>
              <w:tabs>
                <w:tab w:val="left" w:pos="851"/>
              </w:tabs>
              <w:spacing w:after="0" w:line="360" w:lineRule="auto"/>
              <w:rPr>
                <w:rFonts w:ascii="Times New Roman" w:hAnsi="Times New Roman" w:cs="Times New Roman"/>
                <w:sz w:val="24"/>
                <w:szCs w:val="24"/>
              </w:rPr>
            </w:pPr>
            <w:r w:rsidRPr="0049300D">
              <w:rPr>
                <w:rFonts w:ascii="Times New Roman" w:hAnsi="Times New Roman" w:cs="Times New Roman"/>
                <w:sz w:val="24"/>
                <w:szCs w:val="24"/>
              </w:rPr>
              <w:t>Sale Price</w:t>
            </w:r>
          </w:p>
        </w:tc>
        <w:tc>
          <w:tcPr>
            <w:tcW w:w="845" w:type="dxa"/>
            <w:tcBorders>
              <w:top w:val="single" w:sz="4" w:space="0" w:color="auto"/>
              <w:left w:val="nil"/>
              <w:bottom w:val="single" w:sz="4" w:space="0" w:color="auto"/>
              <w:right w:val="single" w:sz="4" w:space="0" w:color="auto"/>
            </w:tcBorders>
            <w:noWrap/>
            <w:vAlign w:val="center"/>
          </w:tcPr>
          <w:p w14:paraId="6CA836C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990" w:type="dxa"/>
            <w:tcBorders>
              <w:top w:val="single" w:sz="4" w:space="0" w:color="auto"/>
              <w:left w:val="nil"/>
              <w:bottom w:val="single" w:sz="4" w:space="0" w:color="auto"/>
              <w:right w:val="single" w:sz="4" w:space="0" w:color="auto"/>
            </w:tcBorders>
            <w:noWrap/>
            <w:vAlign w:val="center"/>
          </w:tcPr>
          <w:p w14:paraId="0C4B8CA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1056" w:type="dxa"/>
            <w:tcBorders>
              <w:top w:val="single" w:sz="4" w:space="0" w:color="auto"/>
              <w:left w:val="nil"/>
              <w:bottom w:val="single" w:sz="4" w:space="0" w:color="auto"/>
              <w:right w:val="single" w:sz="4" w:space="0" w:color="auto"/>
            </w:tcBorders>
            <w:vAlign w:val="center"/>
          </w:tcPr>
          <w:p w14:paraId="495E9F7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253125</w:t>
            </w:r>
          </w:p>
        </w:tc>
        <w:tc>
          <w:tcPr>
            <w:tcW w:w="876" w:type="dxa"/>
            <w:tcBorders>
              <w:top w:val="single" w:sz="4" w:space="0" w:color="auto"/>
              <w:left w:val="nil"/>
              <w:bottom w:val="single" w:sz="4" w:space="0" w:color="auto"/>
              <w:right w:val="single" w:sz="4" w:space="0" w:color="auto"/>
            </w:tcBorders>
            <w:vAlign w:val="center"/>
          </w:tcPr>
          <w:p w14:paraId="4E1904DA"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100.00</w:t>
            </w:r>
          </w:p>
        </w:tc>
        <w:tc>
          <w:tcPr>
            <w:tcW w:w="845" w:type="dxa"/>
            <w:tcBorders>
              <w:top w:val="single" w:sz="4" w:space="0" w:color="auto"/>
              <w:left w:val="nil"/>
              <w:bottom w:val="single" w:sz="4" w:space="0" w:color="auto"/>
              <w:right w:val="single" w:sz="4" w:space="0" w:color="auto"/>
            </w:tcBorders>
            <w:vAlign w:val="center"/>
          </w:tcPr>
          <w:p w14:paraId="30DC10D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76" w:type="dxa"/>
            <w:tcBorders>
              <w:top w:val="single" w:sz="4" w:space="0" w:color="auto"/>
              <w:left w:val="nil"/>
              <w:bottom w:val="single" w:sz="4" w:space="0" w:color="auto"/>
              <w:right w:val="single" w:sz="4" w:space="0" w:color="auto"/>
            </w:tcBorders>
            <w:vAlign w:val="center"/>
          </w:tcPr>
          <w:p w14:paraId="057FB6D2"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r>
      <w:tr w:rsidR="006333D1" w:rsidRPr="0049300D" w14:paraId="20093AA9" w14:textId="77777777" w:rsidTr="00727E1F">
        <w:trPr>
          <w:trHeight w:val="313"/>
          <w:jc w:val="center"/>
        </w:trPr>
        <w:tc>
          <w:tcPr>
            <w:tcW w:w="734" w:type="dxa"/>
            <w:tcBorders>
              <w:top w:val="single" w:sz="4" w:space="0" w:color="auto"/>
              <w:left w:val="single" w:sz="4" w:space="0" w:color="auto"/>
              <w:bottom w:val="single" w:sz="4" w:space="0" w:color="auto"/>
              <w:right w:val="single" w:sz="4" w:space="0" w:color="auto"/>
            </w:tcBorders>
            <w:noWrap/>
            <w:vAlign w:val="center"/>
          </w:tcPr>
          <w:p w14:paraId="6C3EC14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5</w:t>
            </w:r>
          </w:p>
        </w:tc>
        <w:tc>
          <w:tcPr>
            <w:tcW w:w="8184" w:type="dxa"/>
            <w:gridSpan w:val="7"/>
            <w:tcBorders>
              <w:top w:val="single" w:sz="4" w:space="0" w:color="auto"/>
              <w:left w:val="single" w:sz="4" w:space="0" w:color="auto"/>
              <w:bottom w:val="single" w:sz="4" w:space="0" w:color="auto"/>
              <w:right w:val="single" w:sz="4" w:space="0" w:color="auto"/>
            </w:tcBorders>
            <w:noWrap/>
            <w:vAlign w:val="center"/>
          </w:tcPr>
          <w:p w14:paraId="3E88C563" w14:textId="77777777" w:rsidR="006333D1" w:rsidRPr="0049300D" w:rsidRDefault="006333D1" w:rsidP="000C52C0">
            <w:pPr>
              <w:tabs>
                <w:tab w:val="left" w:pos="851"/>
              </w:tabs>
              <w:spacing w:after="0" w:line="360" w:lineRule="auto"/>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Wholesaler</w:t>
            </w:r>
          </w:p>
        </w:tc>
      </w:tr>
      <w:tr w:rsidR="006333D1" w:rsidRPr="0049300D" w14:paraId="0456342C" w14:textId="77777777" w:rsidTr="00727E1F">
        <w:trPr>
          <w:trHeight w:val="241"/>
          <w:jc w:val="center"/>
        </w:trPr>
        <w:tc>
          <w:tcPr>
            <w:tcW w:w="734" w:type="dxa"/>
            <w:vMerge w:val="restart"/>
            <w:tcBorders>
              <w:top w:val="single" w:sz="4" w:space="0" w:color="auto"/>
              <w:left w:val="single" w:sz="4" w:space="0" w:color="auto"/>
              <w:right w:val="single" w:sz="4" w:space="0" w:color="auto"/>
            </w:tcBorders>
            <w:noWrap/>
            <w:vAlign w:val="center"/>
          </w:tcPr>
          <w:p w14:paraId="1D1C3B1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nil"/>
              <w:bottom w:val="single" w:sz="4" w:space="0" w:color="auto"/>
              <w:right w:val="single" w:sz="4" w:space="0" w:color="auto"/>
            </w:tcBorders>
            <w:noWrap/>
            <w:vAlign w:val="center"/>
          </w:tcPr>
          <w:p w14:paraId="5F149994" w14:textId="77777777" w:rsidR="006333D1" w:rsidRPr="0049300D" w:rsidRDefault="006333D1" w:rsidP="000C52C0">
            <w:pPr>
              <w:tabs>
                <w:tab w:val="left" w:pos="851"/>
              </w:tabs>
              <w:spacing w:line="360" w:lineRule="auto"/>
              <w:rPr>
                <w:rFonts w:ascii="Times New Roman" w:hAnsi="Times New Roman" w:cs="Times New Roman"/>
                <w:sz w:val="24"/>
                <w:szCs w:val="24"/>
              </w:rPr>
            </w:pPr>
            <w:r w:rsidRPr="0049300D">
              <w:rPr>
                <w:rFonts w:ascii="Times New Roman" w:hAnsi="Times New Roman" w:cs="Times New Roman"/>
                <w:sz w:val="24"/>
                <w:szCs w:val="24"/>
              </w:rPr>
              <w:t>Purchase price</w:t>
            </w:r>
          </w:p>
        </w:tc>
        <w:tc>
          <w:tcPr>
            <w:tcW w:w="845" w:type="dxa"/>
            <w:tcBorders>
              <w:top w:val="single" w:sz="4" w:space="0" w:color="auto"/>
              <w:left w:val="nil"/>
              <w:bottom w:val="single" w:sz="4" w:space="0" w:color="auto"/>
              <w:right w:val="single" w:sz="4" w:space="0" w:color="auto"/>
            </w:tcBorders>
            <w:noWrap/>
            <w:vAlign w:val="center"/>
          </w:tcPr>
          <w:p w14:paraId="3454BEF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33000</w:t>
            </w:r>
          </w:p>
        </w:tc>
        <w:tc>
          <w:tcPr>
            <w:tcW w:w="990" w:type="dxa"/>
            <w:tcBorders>
              <w:top w:val="single" w:sz="4" w:space="0" w:color="auto"/>
              <w:left w:val="nil"/>
              <w:bottom w:val="single" w:sz="4" w:space="0" w:color="auto"/>
              <w:right w:val="single" w:sz="4" w:space="0" w:color="auto"/>
            </w:tcBorders>
            <w:noWrap/>
            <w:vAlign w:val="center"/>
          </w:tcPr>
          <w:p w14:paraId="32301C9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78.57</w:t>
            </w:r>
          </w:p>
        </w:tc>
        <w:tc>
          <w:tcPr>
            <w:tcW w:w="1056" w:type="dxa"/>
            <w:tcBorders>
              <w:top w:val="single" w:sz="4" w:space="0" w:color="auto"/>
              <w:left w:val="nil"/>
              <w:bottom w:val="single" w:sz="4" w:space="0" w:color="auto"/>
              <w:right w:val="single" w:sz="4" w:space="0" w:color="auto"/>
            </w:tcBorders>
            <w:vAlign w:val="center"/>
          </w:tcPr>
          <w:p w14:paraId="7AC6CD62"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76" w:type="dxa"/>
            <w:tcBorders>
              <w:top w:val="single" w:sz="4" w:space="0" w:color="auto"/>
              <w:left w:val="nil"/>
              <w:bottom w:val="single" w:sz="4" w:space="0" w:color="auto"/>
              <w:right w:val="single" w:sz="4" w:space="0" w:color="auto"/>
            </w:tcBorders>
            <w:vAlign w:val="center"/>
          </w:tcPr>
          <w:p w14:paraId="37C22FB3"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45" w:type="dxa"/>
            <w:tcBorders>
              <w:top w:val="single" w:sz="4" w:space="0" w:color="auto"/>
              <w:left w:val="nil"/>
              <w:bottom w:val="single" w:sz="4" w:space="0" w:color="auto"/>
              <w:right w:val="single" w:sz="4" w:space="0" w:color="auto"/>
            </w:tcBorders>
            <w:vAlign w:val="center"/>
          </w:tcPr>
          <w:p w14:paraId="2FACACB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76" w:type="dxa"/>
            <w:tcBorders>
              <w:top w:val="single" w:sz="4" w:space="0" w:color="auto"/>
              <w:left w:val="nil"/>
              <w:bottom w:val="single" w:sz="4" w:space="0" w:color="auto"/>
              <w:right w:val="single" w:sz="4" w:space="0" w:color="auto"/>
            </w:tcBorders>
            <w:vAlign w:val="center"/>
          </w:tcPr>
          <w:p w14:paraId="0E699A6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r>
      <w:tr w:rsidR="006333D1" w:rsidRPr="0049300D" w14:paraId="6391975E" w14:textId="77777777" w:rsidTr="00727E1F">
        <w:trPr>
          <w:trHeight w:val="313"/>
          <w:jc w:val="center"/>
        </w:trPr>
        <w:tc>
          <w:tcPr>
            <w:tcW w:w="734" w:type="dxa"/>
            <w:vMerge/>
            <w:tcBorders>
              <w:left w:val="single" w:sz="4" w:space="0" w:color="auto"/>
              <w:right w:val="single" w:sz="4" w:space="0" w:color="auto"/>
            </w:tcBorders>
            <w:noWrap/>
            <w:vAlign w:val="center"/>
          </w:tcPr>
          <w:p w14:paraId="7A1C370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2777E67B" w14:textId="77777777" w:rsidR="006333D1" w:rsidRPr="0049300D" w:rsidRDefault="006333D1" w:rsidP="000C52C0">
            <w:pPr>
              <w:tabs>
                <w:tab w:val="left" w:pos="851"/>
              </w:tabs>
              <w:spacing w:line="360" w:lineRule="auto"/>
              <w:rPr>
                <w:rFonts w:ascii="Times New Roman" w:hAnsi="Times New Roman" w:cs="Times New Roman"/>
                <w:b/>
                <w:bCs/>
                <w:sz w:val="24"/>
                <w:szCs w:val="24"/>
              </w:rPr>
            </w:pPr>
            <w:r w:rsidRPr="0049300D">
              <w:rPr>
                <w:rFonts w:ascii="Times New Roman" w:hAnsi="Times New Roman" w:cs="Times New Roman"/>
                <w:b/>
                <w:bCs/>
                <w:sz w:val="24"/>
                <w:szCs w:val="24"/>
              </w:rPr>
              <w:t>Marketing cost</w:t>
            </w:r>
          </w:p>
        </w:tc>
        <w:tc>
          <w:tcPr>
            <w:tcW w:w="845" w:type="dxa"/>
            <w:tcBorders>
              <w:top w:val="nil"/>
              <w:left w:val="nil"/>
              <w:bottom w:val="single" w:sz="4" w:space="0" w:color="auto"/>
              <w:right w:val="single" w:sz="4" w:space="0" w:color="auto"/>
            </w:tcBorders>
            <w:noWrap/>
            <w:vAlign w:val="center"/>
          </w:tcPr>
          <w:p w14:paraId="3DD1B58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1000</w:t>
            </w:r>
          </w:p>
        </w:tc>
        <w:tc>
          <w:tcPr>
            <w:tcW w:w="990" w:type="dxa"/>
            <w:tcBorders>
              <w:top w:val="nil"/>
              <w:left w:val="nil"/>
              <w:bottom w:val="single" w:sz="4" w:space="0" w:color="auto"/>
              <w:right w:val="single" w:sz="4" w:space="0" w:color="auto"/>
            </w:tcBorders>
            <w:noWrap/>
            <w:vAlign w:val="center"/>
          </w:tcPr>
          <w:p w14:paraId="312EDD42"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2.38</w:t>
            </w:r>
          </w:p>
        </w:tc>
        <w:tc>
          <w:tcPr>
            <w:tcW w:w="1056" w:type="dxa"/>
            <w:tcBorders>
              <w:top w:val="nil"/>
              <w:left w:val="nil"/>
              <w:bottom w:val="single" w:sz="4" w:space="0" w:color="auto"/>
              <w:right w:val="single" w:sz="4" w:space="0" w:color="auto"/>
            </w:tcBorders>
            <w:vAlign w:val="center"/>
          </w:tcPr>
          <w:p w14:paraId="6DEAEA3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c>
          <w:tcPr>
            <w:tcW w:w="876" w:type="dxa"/>
            <w:tcBorders>
              <w:top w:val="nil"/>
              <w:left w:val="nil"/>
              <w:bottom w:val="single" w:sz="4" w:space="0" w:color="auto"/>
              <w:right w:val="single" w:sz="4" w:space="0" w:color="auto"/>
            </w:tcBorders>
            <w:vAlign w:val="center"/>
          </w:tcPr>
          <w:p w14:paraId="682742F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c>
          <w:tcPr>
            <w:tcW w:w="845" w:type="dxa"/>
            <w:tcBorders>
              <w:top w:val="nil"/>
              <w:left w:val="nil"/>
              <w:bottom w:val="single" w:sz="4" w:space="0" w:color="auto"/>
              <w:right w:val="single" w:sz="4" w:space="0" w:color="auto"/>
            </w:tcBorders>
            <w:vAlign w:val="center"/>
          </w:tcPr>
          <w:p w14:paraId="454231B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c>
          <w:tcPr>
            <w:tcW w:w="876" w:type="dxa"/>
            <w:tcBorders>
              <w:top w:val="nil"/>
              <w:left w:val="nil"/>
              <w:bottom w:val="single" w:sz="4" w:space="0" w:color="auto"/>
              <w:right w:val="single" w:sz="4" w:space="0" w:color="auto"/>
            </w:tcBorders>
            <w:vAlign w:val="center"/>
          </w:tcPr>
          <w:p w14:paraId="177AF83A"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r>
      <w:tr w:rsidR="006333D1" w:rsidRPr="0049300D" w14:paraId="4284F6F9" w14:textId="77777777" w:rsidTr="00727E1F">
        <w:trPr>
          <w:trHeight w:val="313"/>
          <w:jc w:val="center"/>
        </w:trPr>
        <w:tc>
          <w:tcPr>
            <w:tcW w:w="734" w:type="dxa"/>
            <w:vMerge/>
            <w:tcBorders>
              <w:left w:val="single" w:sz="4" w:space="0" w:color="auto"/>
              <w:right w:val="single" w:sz="4" w:space="0" w:color="auto"/>
            </w:tcBorders>
            <w:noWrap/>
            <w:vAlign w:val="center"/>
          </w:tcPr>
          <w:p w14:paraId="6368EA3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4AEEC7A7" w14:textId="77777777" w:rsidR="006333D1" w:rsidRPr="0049300D" w:rsidRDefault="006333D1" w:rsidP="000C52C0">
            <w:pPr>
              <w:tabs>
                <w:tab w:val="left" w:pos="851"/>
              </w:tabs>
              <w:spacing w:line="360" w:lineRule="auto"/>
              <w:rPr>
                <w:rFonts w:ascii="Times New Roman" w:hAnsi="Times New Roman" w:cs="Times New Roman"/>
                <w:sz w:val="24"/>
                <w:szCs w:val="24"/>
              </w:rPr>
            </w:pPr>
            <w:r w:rsidRPr="0049300D">
              <w:rPr>
                <w:rFonts w:ascii="Times New Roman" w:hAnsi="Times New Roman" w:cs="Times New Roman"/>
                <w:sz w:val="24"/>
                <w:szCs w:val="24"/>
              </w:rPr>
              <w:t>Transportation</w:t>
            </w:r>
          </w:p>
        </w:tc>
        <w:tc>
          <w:tcPr>
            <w:tcW w:w="845" w:type="dxa"/>
            <w:tcBorders>
              <w:top w:val="nil"/>
              <w:left w:val="nil"/>
              <w:bottom w:val="single" w:sz="4" w:space="0" w:color="auto"/>
              <w:right w:val="single" w:sz="4" w:space="0" w:color="auto"/>
            </w:tcBorders>
            <w:noWrap/>
            <w:vAlign w:val="center"/>
          </w:tcPr>
          <w:p w14:paraId="456E32E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w:t>
            </w:r>
          </w:p>
        </w:tc>
        <w:tc>
          <w:tcPr>
            <w:tcW w:w="990" w:type="dxa"/>
            <w:tcBorders>
              <w:top w:val="nil"/>
              <w:left w:val="nil"/>
              <w:bottom w:val="single" w:sz="4" w:space="0" w:color="auto"/>
              <w:right w:val="single" w:sz="4" w:space="0" w:color="auto"/>
            </w:tcBorders>
            <w:noWrap/>
            <w:vAlign w:val="center"/>
          </w:tcPr>
          <w:p w14:paraId="2FA47F1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2.38</w:t>
            </w:r>
          </w:p>
        </w:tc>
        <w:tc>
          <w:tcPr>
            <w:tcW w:w="1056" w:type="dxa"/>
            <w:tcBorders>
              <w:top w:val="nil"/>
              <w:left w:val="nil"/>
              <w:bottom w:val="single" w:sz="4" w:space="0" w:color="auto"/>
              <w:right w:val="single" w:sz="4" w:space="0" w:color="auto"/>
            </w:tcBorders>
            <w:vAlign w:val="center"/>
          </w:tcPr>
          <w:p w14:paraId="54ACA31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76" w:type="dxa"/>
            <w:tcBorders>
              <w:top w:val="nil"/>
              <w:left w:val="nil"/>
              <w:bottom w:val="single" w:sz="4" w:space="0" w:color="auto"/>
              <w:right w:val="single" w:sz="4" w:space="0" w:color="auto"/>
            </w:tcBorders>
            <w:vAlign w:val="center"/>
          </w:tcPr>
          <w:p w14:paraId="7DFAA93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45" w:type="dxa"/>
            <w:tcBorders>
              <w:top w:val="nil"/>
              <w:left w:val="nil"/>
              <w:bottom w:val="single" w:sz="4" w:space="0" w:color="auto"/>
              <w:right w:val="single" w:sz="4" w:space="0" w:color="auto"/>
            </w:tcBorders>
            <w:vAlign w:val="center"/>
          </w:tcPr>
          <w:p w14:paraId="143A6B5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76" w:type="dxa"/>
            <w:tcBorders>
              <w:top w:val="nil"/>
              <w:left w:val="nil"/>
              <w:bottom w:val="single" w:sz="4" w:space="0" w:color="auto"/>
              <w:right w:val="single" w:sz="4" w:space="0" w:color="auto"/>
            </w:tcBorders>
            <w:vAlign w:val="center"/>
          </w:tcPr>
          <w:p w14:paraId="2035943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r>
      <w:tr w:rsidR="006333D1" w:rsidRPr="0049300D" w14:paraId="2CCEBED0" w14:textId="77777777" w:rsidTr="00727E1F">
        <w:trPr>
          <w:trHeight w:val="313"/>
          <w:jc w:val="center"/>
        </w:trPr>
        <w:tc>
          <w:tcPr>
            <w:tcW w:w="734" w:type="dxa"/>
            <w:vMerge/>
            <w:tcBorders>
              <w:left w:val="single" w:sz="4" w:space="0" w:color="auto"/>
              <w:right w:val="single" w:sz="4" w:space="0" w:color="auto"/>
            </w:tcBorders>
            <w:noWrap/>
            <w:vAlign w:val="center"/>
          </w:tcPr>
          <w:p w14:paraId="0203903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5DC14F92" w14:textId="77777777" w:rsidR="006333D1" w:rsidRPr="0049300D" w:rsidRDefault="006333D1" w:rsidP="000C52C0">
            <w:pPr>
              <w:tabs>
                <w:tab w:val="left" w:pos="851"/>
              </w:tabs>
              <w:spacing w:after="0" w:line="360" w:lineRule="auto"/>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Marketing margin</w:t>
            </w:r>
          </w:p>
        </w:tc>
        <w:tc>
          <w:tcPr>
            <w:tcW w:w="845" w:type="dxa"/>
            <w:tcBorders>
              <w:top w:val="nil"/>
              <w:left w:val="nil"/>
              <w:bottom w:val="single" w:sz="4" w:space="0" w:color="auto"/>
              <w:right w:val="single" w:sz="4" w:space="0" w:color="auto"/>
            </w:tcBorders>
            <w:noWrap/>
            <w:vAlign w:val="center"/>
          </w:tcPr>
          <w:p w14:paraId="5C1684F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3000</w:t>
            </w:r>
          </w:p>
        </w:tc>
        <w:tc>
          <w:tcPr>
            <w:tcW w:w="990" w:type="dxa"/>
            <w:tcBorders>
              <w:top w:val="nil"/>
              <w:left w:val="nil"/>
              <w:bottom w:val="single" w:sz="4" w:space="0" w:color="auto"/>
              <w:right w:val="single" w:sz="4" w:space="0" w:color="auto"/>
            </w:tcBorders>
            <w:noWrap/>
            <w:vAlign w:val="center"/>
          </w:tcPr>
          <w:p w14:paraId="66F7919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7.14</w:t>
            </w:r>
          </w:p>
        </w:tc>
        <w:tc>
          <w:tcPr>
            <w:tcW w:w="1056" w:type="dxa"/>
            <w:tcBorders>
              <w:top w:val="nil"/>
              <w:left w:val="nil"/>
              <w:bottom w:val="single" w:sz="4" w:space="0" w:color="auto"/>
              <w:right w:val="single" w:sz="4" w:space="0" w:color="auto"/>
            </w:tcBorders>
            <w:vAlign w:val="center"/>
          </w:tcPr>
          <w:p w14:paraId="4298CE2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c>
          <w:tcPr>
            <w:tcW w:w="876" w:type="dxa"/>
            <w:tcBorders>
              <w:top w:val="nil"/>
              <w:left w:val="nil"/>
              <w:bottom w:val="single" w:sz="4" w:space="0" w:color="auto"/>
              <w:right w:val="single" w:sz="4" w:space="0" w:color="auto"/>
            </w:tcBorders>
            <w:vAlign w:val="center"/>
          </w:tcPr>
          <w:p w14:paraId="7B29A3E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c>
          <w:tcPr>
            <w:tcW w:w="845" w:type="dxa"/>
            <w:tcBorders>
              <w:top w:val="nil"/>
              <w:left w:val="nil"/>
              <w:bottom w:val="single" w:sz="4" w:space="0" w:color="auto"/>
              <w:right w:val="single" w:sz="4" w:space="0" w:color="auto"/>
            </w:tcBorders>
            <w:vAlign w:val="center"/>
          </w:tcPr>
          <w:p w14:paraId="0780D64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c>
          <w:tcPr>
            <w:tcW w:w="876" w:type="dxa"/>
            <w:tcBorders>
              <w:top w:val="nil"/>
              <w:left w:val="nil"/>
              <w:bottom w:val="single" w:sz="4" w:space="0" w:color="auto"/>
              <w:right w:val="single" w:sz="4" w:space="0" w:color="auto"/>
            </w:tcBorders>
            <w:vAlign w:val="center"/>
          </w:tcPr>
          <w:p w14:paraId="74A9AFE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w:t>
            </w:r>
          </w:p>
        </w:tc>
      </w:tr>
      <w:tr w:rsidR="006333D1" w:rsidRPr="0049300D" w14:paraId="67DCEB68" w14:textId="77777777" w:rsidTr="00727E1F">
        <w:trPr>
          <w:trHeight w:val="313"/>
          <w:jc w:val="center"/>
        </w:trPr>
        <w:tc>
          <w:tcPr>
            <w:tcW w:w="734" w:type="dxa"/>
            <w:vMerge/>
            <w:tcBorders>
              <w:left w:val="single" w:sz="4" w:space="0" w:color="auto"/>
              <w:bottom w:val="single" w:sz="4" w:space="0" w:color="auto"/>
              <w:right w:val="single" w:sz="4" w:space="0" w:color="auto"/>
            </w:tcBorders>
            <w:noWrap/>
            <w:vAlign w:val="center"/>
          </w:tcPr>
          <w:p w14:paraId="127AEF8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1143F034" w14:textId="77777777" w:rsidR="006333D1" w:rsidRPr="0049300D" w:rsidRDefault="006333D1" w:rsidP="000C52C0">
            <w:pPr>
              <w:tabs>
                <w:tab w:val="left" w:pos="851"/>
              </w:tabs>
              <w:spacing w:after="0" w:line="360" w:lineRule="auto"/>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Sale price</w:t>
            </w:r>
          </w:p>
        </w:tc>
        <w:tc>
          <w:tcPr>
            <w:tcW w:w="845" w:type="dxa"/>
            <w:tcBorders>
              <w:top w:val="nil"/>
              <w:left w:val="nil"/>
              <w:bottom w:val="single" w:sz="4" w:space="0" w:color="auto"/>
              <w:right w:val="single" w:sz="4" w:space="0" w:color="auto"/>
            </w:tcBorders>
            <w:noWrap/>
            <w:vAlign w:val="center"/>
          </w:tcPr>
          <w:p w14:paraId="7662AC6A"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37000</w:t>
            </w:r>
          </w:p>
        </w:tc>
        <w:tc>
          <w:tcPr>
            <w:tcW w:w="990" w:type="dxa"/>
            <w:tcBorders>
              <w:top w:val="nil"/>
              <w:left w:val="nil"/>
              <w:bottom w:val="single" w:sz="4" w:space="0" w:color="auto"/>
              <w:right w:val="single" w:sz="4" w:space="0" w:color="auto"/>
            </w:tcBorders>
            <w:noWrap/>
            <w:vAlign w:val="center"/>
          </w:tcPr>
          <w:p w14:paraId="427D612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88.10</w:t>
            </w:r>
          </w:p>
        </w:tc>
        <w:tc>
          <w:tcPr>
            <w:tcW w:w="1056" w:type="dxa"/>
            <w:tcBorders>
              <w:top w:val="nil"/>
              <w:left w:val="nil"/>
              <w:bottom w:val="single" w:sz="4" w:space="0" w:color="auto"/>
              <w:right w:val="single" w:sz="4" w:space="0" w:color="auto"/>
            </w:tcBorders>
            <w:vAlign w:val="center"/>
          </w:tcPr>
          <w:p w14:paraId="5F06198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76" w:type="dxa"/>
            <w:tcBorders>
              <w:top w:val="nil"/>
              <w:left w:val="nil"/>
              <w:bottom w:val="single" w:sz="4" w:space="0" w:color="auto"/>
              <w:right w:val="single" w:sz="4" w:space="0" w:color="auto"/>
            </w:tcBorders>
            <w:vAlign w:val="center"/>
          </w:tcPr>
          <w:p w14:paraId="080DEE2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45" w:type="dxa"/>
            <w:tcBorders>
              <w:top w:val="nil"/>
              <w:left w:val="nil"/>
              <w:bottom w:val="single" w:sz="4" w:space="0" w:color="auto"/>
              <w:right w:val="single" w:sz="4" w:space="0" w:color="auto"/>
            </w:tcBorders>
            <w:vAlign w:val="center"/>
          </w:tcPr>
          <w:p w14:paraId="19769BD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c>
          <w:tcPr>
            <w:tcW w:w="876" w:type="dxa"/>
            <w:tcBorders>
              <w:top w:val="nil"/>
              <w:left w:val="nil"/>
              <w:bottom w:val="single" w:sz="4" w:space="0" w:color="auto"/>
              <w:right w:val="single" w:sz="4" w:space="0" w:color="auto"/>
            </w:tcBorders>
            <w:vAlign w:val="center"/>
          </w:tcPr>
          <w:p w14:paraId="76459E7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w:t>
            </w:r>
          </w:p>
        </w:tc>
      </w:tr>
      <w:tr w:rsidR="006333D1" w:rsidRPr="0049300D" w14:paraId="1052EE1C" w14:textId="77777777" w:rsidTr="00727E1F">
        <w:trPr>
          <w:trHeight w:val="313"/>
          <w:jc w:val="center"/>
        </w:trPr>
        <w:tc>
          <w:tcPr>
            <w:tcW w:w="734" w:type="dxa"/>
            <w:tcBorders>
              <w:top w:val="single" w:sz="4" w:space="0" w:color="auto"/>
              <w:left w:val="single" w:sz="4" w:space="0" w:color="auto"/>
              <w:bottom w:val="single" w:sz="4" w:space="0" w:color="auto"/>
              <w:right w:val="single" w:sz="4" w:space="0" w:color="auto"/>
            </w:tcBorders>
            <w:noWrap/>
            <w:vAlign w:val="center"/>
          </w:tcPr>
          <w:p w14:paraId="213FED31"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6</w:t>
            </w:r>
          </w:p>
        </w:tc>
        <w:tc>
          <w:tcPr>
            <w:tcW w:w="8184" w:type="dxa"/>
            <w:gridSpan w:val="7"/>
            <w:tcBorders>
              <w:top w:val="nil"/>
              <w:left w:val="nil"/>
              <w:bottom w:val="single" w:sz="4" w:space="0" w:color="auto"/>
              <w:right w:val="single" w:sz="4" w:space="0" w:color="auto"/>
            </w:tcBorders>
            <w:noWrap/>
            <w:vAlign w:val="center"/>
          </w:tcPr>
          <w:p w14:paraId="2C7B46AC" w14:textId="77777777" w:rsidR="006333D1" w:rsidRPr="0049300D" w:rsidRDefault="006333D1" w:rsidP="000C52C0">
            <w:pPr>
              <w:tabs>
                <w:tab w:val="left" w:pos="851"/>
              </w:tabs>
              <w:spacing w:after="0" w:line="360" w:lineRule="auto"/>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Retailer</w:t>
            </w:r>
          </w:p>
        </w:tc>
      </w:tr>
      <w:tr w:rsidR="006333D1" w:rsidRPr="0049300D" w14:paraId="12CD26C8" w14:textId="77777777" w:rsidTr="00727E1F">
        <w:trPr>
          <w:trHeight w:val="313"/>
          <w:jc w:val="center"/>
        </w:trPr>
        <w:tc>
          <w:tcPr>
            <w:tcW w:w="734" w:type="dxa"/>
            <w:vMerge w:val="restart"/>
            <w:tcBorders>
              <w:top w:val="single" w:sz="4" w:space="0" w:color="auto"/>
              <w:left w:val="single" w:sz="4" w:space="0" w:color="auto"/>
              <w:bottom w:val="single" w:sz="4" w:space="0" w:color="auto"/>
              <w:right w:val="single" w:sz="4" w:space="0" w:color="auto"/>
            </w:tcBorders>
            <w:noWrap/>
            <w:vAlign w:val="center"/>
          </w:tcPr>
          <w:p w14:paraId="58854F6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0D45360F" w14:textId="77777777" w:rsidR="006333D1" w:rsidRPr="0049300D" w:rsidRDefault="006333D1" w:rsidP="000C52C0">
            <w:pPr>
              <w:tabs>
                <w:tab w:val="left" w:pos="851"/>
              </w:tabs>
              <w:spacing w:after="0" w:line="360" w:lineRule="auto"/>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Purchase price</w:t>
            </w:r>
          </w:p>
        </w:tc>
        <w:tc>
          <w:tcPr>
            <w:tcW w:w="845" w:type="dxa"/>
            <w:tcBorders>
              <w:top w:val="nil"/>
              <w:left w:val="nil"/>
              <w:bottom w:val="single" w:sz="4" w:space="0" w:color="auto"/>
              <w:right w:val="single" w:sz="4" w:space="0" w:color="auto"/>
            </w:tcBorders>
            <w:noWrap/>
            <w:vAlign w:val="center"/>
          </w:tcPr>
          <w:p w14:paraId="3337A40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37000</w:t>
            </w:r>
          </w:p>
        </w:tc>
        <w:tc>
          <w:tcPr>
            <w:tcW w:w="990" w:type="dxa"/>
            <w:tcBorders>
              <w:top w:val="nil"/>
              <w:left w:val="nil"/>
              <w:bottom w:val="single" w:sz="4" w:space="0" w:color="auto"/>
              <w:right w:val="single" w:sz="4" w:space="0" w:color="auto"/>
            </w:tcBorders>
            <w:noWrap/>
            <w:vAlign w:val="center"/>
          </w:tcPr>
          <w:p w14:paraId="789CA4CA"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88.10</w:t>
            </w:r>
          </w:p>
        </w:tc>
        <w:tc>
          <w:tcPr>
            <w:tcW w:w="1056" w:type="dxa"/>
            <w:tcBorders>
              <w:top w:val="nil"/>
              <w:left w:val="nil"/>
              <w:bottom w:val="single" w:sz="4" w:space="0" w:color="auto"/>
              <w:right w:val="single" w:sz="4" w:space="0" w:color="auto"/>
            </w:tcBorders>
            <w:vAlign w:val="center"/>
          </w:tcPr>
          <w:p w14:paraId="2C6ACA1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w:t>
            </w:r>
          </w:p>
        </w:tc>
        <w:tc>
          <w:tcPr>
            <w:tcW w:w="876" w:type="dxa"/>
            <w:tcBorders>
              <w:top w:val="nil"/>
              <w:left w:val="nil"/>
              <w:bottom w:val="single" w:sz="4" w:space="0" w:color="auto"/>
              <w:right w:val="single" w:sz="4" w:space="0" w:color="auto"/>
            </w:tcBorders>
            <w:vAlign w:val="center"/>
          </w:tcPr>
          <w:p w14:paraId="17D71BF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w:t>
            </w:r>
          </w:p>
        </w:tc>
        <w:tc>
          <w:tcPr>
            <w:tcW w:w="845" w:type="dxa"/>
            <w:tcBorders>
              <w:top w:val="nil"/>
              <w:left w:val="nil"/>
              <w:bottom w:val="single" w:sz="4" w:space="0" w:color="auto"/>
              <w:right w:val="single" w:sz="4" w:space="0" w:color="auto"/>
            </w:tcBorders>
            <w:vAlign w:val="center"/>
          </w:tcPr>
          <w:p w14:paraId="3257824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33000</w:t>
            </w:r>
          </w:p>
        </w:tc>
        <w:tc>
          <w:tcPr>
            <w:tcW w:w="876" w:type="dxa"/>
            <w:tcBorders>
              <w:top w:val="nil"/>
              <w:left w:val="nil"/>
              <w:bottom w:val="single" w:sz="4" w:space="0" w:color="auto"/>
              <w:right w:val="single" w:sz="4" w:space="0" w:color="auto"/>
            </w:tcBorders>
            <w:vAlign w:val="center"/>
          </w:tcPr>
          <w:p w14:paraId="622DD18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89.19</w:t>
            </w:r>
          </w:p>
        </w:tc>
      </w:tr>
      <w:tr w:rsidR="006333D1" w:rsidRPr="0049300D" w14:paraId="5848AE68" w14:textId="77777777" w:rsidTr="00727E1F">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6355733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p>
        </w:tc>
        <w:tc>
          <w:tcPr>
            <w:tcW w:w="2696" w:type="dxa"/>
            <w:tcBorders>
              <w:top w:val="single" w:sz="4" w:space="0" w:color="auto"/>
              <w:left w:val="single" w:sz="4" w:space="0" w:color="auto"/>
              <w:bottom w:val="single" w:sz="4" w:space="0" w:color="auto"/>
              <w:right w:val="single" w:sz="4" w:space="0" w:color="auto"/>
            </w:tcBorders>
            <w:noWrap/>
            <w:vAlign w:val="center"/>
          </w:tcPr>
          <w:p w14:paraId="6032C7EB" w14:textId="77777777" w:rsidR="006333D1" w:rsidRPr="0049300D" w:rsidRDefault="006333D1" w:rsidP="000C52C0">
            <w:pPr>
              <w:tabs>
                <w:tab w:val="left" w:pos="851"/>
              </w:tabs>
              <w:spacing w:after="0" w:line="360" w:lineRule="auto"/>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Marketing cost</w:t>
            </w:r>
          </w:p>
        </w:tc>
        <w:tc>
          <w:tcPr>
            <w:tcW w:w="845" w:type="dxa"/>
            <w:tcBorders>
              <w:top w:val="single" w:sz="4" w:space="0" w:color="auto"/>
              <w:left w:val="single" w:sz="4" w:space="0" w:color="auto"/>
              <w:bottom w:val="single" w:sz="4" w:space="0" w:color="auto"/>
              <w:right w:val="single" w:sz="4" w:space="0" w:color="auto"/>
            </w:tcBorders>
            <w:noWrap/>
            <w:vAlign w:val="center"/>
          </w:tcPr>
          <w:p w14:paraId="172C7DA2"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1000</w:t>
            </w:r>
          </w:p>
        </w:tc>
        <w:tc>
          <w:tcPr>
            <w:tcW w:w="990" w:type="dxa"/>
            <w:tcBorders>
              <w:top w:val="single" w:sz="4" w:space="0" w:color="auto"/>
              <w:left w:val="single" w:sz="4" w:space="0" w:color="auto"/>
              <w:bottom w:val="single" w:sz="4" w:space="0" w:color="auto"/>
              <w:right w:val="single" w:sz="4" w:space="0" w:color="auto"/>
            </w:tcBorders>
            <w:noWrap/>
            <w:vAlign w:val="center"/>
          </w:tcPr>
          <w:p w14:paraId="20DC5B9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2.38</w:t>
            </w:r>
          </w:p>
        </w:tc>
        <w:tc>
          <w:tcPr>
            <w:tcW w:w="1056" w:type="dxa"/>
            <w:tcBorders>
              <w:top w:val="single" w:sz="4" w:space="0" w:color="auto"/>
              <w:left w:val="single" w:sz="4" w:space="0" w:color="auto"/>
              <w:bottom w:val="single" w:sz="4" w:space="0" w:color="auto"/>
              <w:right w:val="single" w:sz="4" w:space="0" w:color="auto"/>
            </w:tcBorders>
            <w:vAlign w:val="center"/>
          </w:tcPr>
          <w:p w14:paraId="40B34C82"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w:t>
            </w:r>
          </w:p>
        </w:tc>
        <w:tc>
          <w:tcPr>
            <w:tcW w:w="876" w:type="dxa"/>
            <w:tcBorders>
              <w:top w:val="single" w:sz="4" w:space="0" w:color="auto"/>
              <w:left w:val="single" w:sz="4" w:space="0" w:color="auto"/>
              <w:bottom w:val="single" w:sz="4" w:space="0" w:color="auto"/>
              <w:right w:val="single" w:sz="4" w:space="0" w:color="auto"/>
            </w:tcBorders>
            <w:vAlign w:val="center"/>
          </w:tcPr>
          <w:p w14:paraId="398AF317"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w:t>
            </w:r>
          </w:p>
        </w:tc>
        <w:tc>
          <w:tcPr>
            <w:tcW w:w="845" w:type="dxa"/>
            <w:tcBorders>
              <w:top w:val="single" w:sz="4" w:space="0" w:color="auto"/>
              <w:left w:val="single" w:sz="4" w:space="0" w:color="auto"/>
              <w:bottom w:val="single" w:sz="4" w:space="0" w:color="auto"/>
              <w:right w:val="single" w:sz="4" w:space="0" w:color="auto"/>
            </w:tcBorders>
            <w:vAlign w:val="center"/>
          </w:tcPr>
          <w:p w14:paraId="229C875C"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1000</w:t>
            </w:r>
          </w:p>
        </w:tc>
        <w:tc>
          <w:tcPr>
            <w:tcW w:w="876" w:type="dxa"/>
            <w:tcBorders>
              <w:top w:val="single" w:sz="4" w:space="0" w:color="auto"/>
              <w:left w:val="single" w:sz="4" w:space="0" w:color="auto"/>
              <w:bottom w:val="single" w:sz="4" w:space="0" w:color="auto"/>
              <w:right w:val="single" w:sz="4" w:space="0" w:color="auto"/>
            </w:tcBorders>
            <w:vAlign w:val="center"/>
          </w:tcPr>
          <w:p w14:paraId="6A018B4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2.70</w:t>
            </w:r>
          </w:p>
        </w:tc>
      </w:tr>
      <w:tr w:rsidR="006333D1" w:rsidRPr="0049300D" w14:paraId="13F8B9C1" w14:textId="77777777" w:rsidTr="00727E1F">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7757AB8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nil"/>
              <w:bottom w:val="single" w:sz="4" w:space="0" w:color="auto"/>
              <w:right w:val="single" w:sz="4" w:space="0" w:color="auto"/>
            </w:tcBorders>
            <w:noWrap/>
            <w:vAlign w:val="center"/>
          </w:tcPr>
          <w:p w14:paraId="795CAC37" w14:textId="77777777" w:rsidR="006333D1" w:rsidRPr="0049300D" w:rsidRDefault="006333D1" w:rsidP="000C52C0">
            <w:pPr>
              <w:tabs>
                <w:tab w:val="left" w:pos="851"/>
              </w:tabs>
              <w:spacing w:after="0" w:line="360" w:lineRule="auto"/>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Transportation &amp; Handling</w:t>
            </w:r>
          </w:p>
        </w:tc>
        <w:tc>
          <w:tcPr>
            <w:tcW w:w="845" w:type="dxa"/>
            <w:tcBorders>
              <w:top w:val="single" w:sz="4" w:space="0" w:color="auto"/>
              <w:left w:val="nil"/>
              <w:bottom w:val="single" w:sz="4" w:space="0" w:color="auto"/>
              <w:right w:val="single" w:sz="4" w:space="0" w:color="auto"/>
            </w:tcBorders>
            <w:noWrap/>
            <w:vAlign w:val="center"/>
          </w:tcPr>
          <w:p w14:paraId="7347A72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w:t>
            </w:r>
          </w:p>
        </w:tc>
        <w:tc>
          <w:tcPr>
            <w:tcW w:w="990" w:type="dxa"/>
            <w:tcBorders>
              <w:top w:val="single" w:sz="4" w:space="0" w:color="auto"/>
              <w:left w:val="nil"/>
              <w:bottom w:val="single" w:sz="4" w:space="0" w:color="auto"/>
              <w:right w:val="single" w:sz="4" w:space="0" w:color="auto"/>
            </w:tcBorders>
            <w:noWrap/>
            <w:vAlign w:val="center"/>
          </w:tcPr>
          <w:p w14:paraId="1EE44FAC"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2.38</w:t>
            </w:r>
          </w:p>
        </w:tc>
        <w:tc>
          <w:tcPr>
            <w:tcW w:w="1056" w:type="dxa"/>
            <w:tcBorders>
              <w:top w:val="single" w:sz="4" w:space="0" w:color="auto"/>
              <w:left w:val="nil"/>
              <w:bottom w:val="single" w:sz="4" w:space="0" w:color="auto"/>
              <w:right w:val="single" w:sz="4" w:space="0" w:color="auto"/>
            </w:tcBorders>
            <w:vAlign w:val="center"/>
          </w:tcPr>
          <w:p w14:paraId="37D13E7F"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w:t>
            </w:r>
          </w:p>
        </w:tc>
        <w:tc>
          <w:tcPr>
            <w:tcW w:w="876" w:type="dxa"/>
            <w:tcBorders>
              <w:top w:val="single" w:sz="4" w:space="0" w:color="auto"/>
              <w:left w:val="nil"/>
              <w:bottom w:val="single" w:sz="4" w:space="0" w:color="auto"/>
              <w:right w:val="single" w:sz="4" w:space="0" w:color="auto"/>
            </w:tcBorders>
            <w:vAlign w:val="center"/>
          </w:tcPr>
          <w:p w14:paraId="71574CC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w:t>
            </w:r>
          </w:p>
        </w:tc>
        <w:tc>
          <w:tcPr>
            <w:tcW w:w="845" w:type="dxa"/>
            <w:tcBorders>
              <w:top w:val="single" w:sz="4" w:space="0" w:color="auto"/>
              <w:left w:val="nil"/>
              <w:bottom w:val="single" w:sz="4" w:space="0" w:color="auto"/>
              <w:right w:val="single" w:sz="4" w:space="0" w:color="auto"/>
            </w:tcBorders>
            <w:vAlign w:val="center"/>
          </w:tcPr>
          <w:p w14:paraId="3D29427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w:t>
            </w:r>
          </w:p>
        </w:tc>
        <w:tc>
          <w:tcPr>
            <w:tcW w:w="876" w:type="dxa"/>
            <w:tcBorders>
              <w:top w:val="single" w:sz="4" w:space="0" w:color="auto"/>
              <w:left w:val="nil"/>
              <w:bottom w:val="single" w:sz="4" w:space="0" w:color="auto"/>
              <w:right w:val="single" w:sz="4" w:space="0" w:color="auto"/>
            </w:tcBorders>
            <w:vAlign w:val="center"/>
          </w:tcPr>
          <w:p w14:paraId="72E69BE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2.70</w:t>
            </w:r>
          </w:p>
        </w:tc>
      </w:tr>
      <w:tr w:rsidR="006333D1" w:rsidRPr="0049300D" w14:paraId="1480A968" w14:textId="77777777" w:rsidTr="00727E1F">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47FACEE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7BE0005A" w14:textId="77777777" w:rsidR="006333D1" w:rsidRPr="0049300D" w:rsidRDefault="006333D1" w:rsidP="000C52C0">
            <w:pPr>
              <w:tabs>
                <w:tab w:val="left" w:pos="851"/>
              </w:tabs>
              <w:spacing w:after="0" w:line="360" w:lineRule="auto"/>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Marketing margin</w:t>
            </w:r>
          </w:p>
        </w:tc>
        <w:tc>
          <w:tcPr>
            <w:tcW w:w="845" w:type="dxa"/>
            <w:tcBorders>
              <w:top w:val="nil"/>
              <w:left w:val="nil"/>
              <w:bottom w:val="single" w:sz="4" w:space="0" w:color="auto"/>
              <w:right w:val="single" w:sz="4" w:space="0" w:color="auto"/>
            </w:tcBorders>
            <w:noWrap/>
            <w:vAlign w:val="center"/>
          </w:tcPr>
          <w:p w14:paraId="5B7A82B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4000</w:t>
            </w:r>
          </w:p>
        </w:tc>
        <w:tc>
          <w:tcPr>
            <w:tcW w:w="990" w:type="dxa"/>
            <w:tcBorders>
              <w:top w:val="nil"/>
              <w:left w:val="nil"/>
              <w:bottom w:val="single" w:sz="4" w:space="0" w:color="auto"/>
              <w:right w:val="single" w:sz="4" w:space="0" w:color="auto"/>
            </w:tcBorders>
            <w:noWrap/>
            <w:vAlign w:val="center"/>
          </w:tcPr>
          <w:p w14:paraId="05F68B3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9.52</w:t>
            </w:r>
          </w:p>
        </w:tc>
        <w:tc>
          <w:tcPr>
            <w:tcW w:w="1056" w:type="dxa"/>
            <w:tcBorders>
              <w:top w:val="nil"/>
              <w:left w:val="nil"/>
              <w:bottom w:val="single" w:sz="4" w:space="0" w:color="auto"/>
              <w:right w:val="single" w:sz="4" w:space="0" w:color="auto"/>
            </w:tcBorders>
            <w:vAlign w:val="center"/>
          </w:tcPr>
          <w:p w14:paraId="5E478EC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w:t>
            </w:r>
          </w:p>
        </w:tc>
        <w:tc>
          <w:tcPr>
            <w:tcW w:w="876" w:type="dxa"/>
            <w:tcBorders>
              <w:top w:val="nil"/>
              <w:left w:val="nil"/>
              <w:bottom w:val="single" w:sz="4" w:space="0" w:color="auto"/>
              <w:right w:val="single" w:sz="4" w:space="0" w:color="auto"/>
            </w:tcBorders>
            <w:vAlign w:val="center"/>
          </w:tcPr>
          <w:p w14:paraId="7A3E35CC"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w:t>
            </w:r>
          </w:p>
        </w:tc>
        <w:tc>
          <w:tcPr>
            <w:tcW w:w="845" w:type="dxa"/>
            <w:tcBorders>
              <w:top w:val="nil"/>
              <w:left w:val="nil"/>
              <w:bottom w:val="single" w:sz="4" w:space="0" w:color="auto"/>
              <w:right w:val="single" w:sz="4" w:space="0" w:color="auto"/>
            </w:tcBorders>
            <w:vAlign w:val="center"/>
          </w:tcPr>
          <w:p w14:paraId="3FA2BF7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3000</w:t>
            </w:r>
          </w:p>
        </w:tc>
        <w:tc>
          <w:tcPr>
            <w:tcW w:w="876" w:type="dxa"/>
            <w:tcBorders>
              <w:top w:val="nil"/>
              <w:left w:val="nil"/>
              <w:bottom w:val="single" w:sz="4" w:space="0" w:color="auto"/>
              <w:right w:val="single" w:sz="4" w:space="0" w:color="auto"/>
            </w:tcBorders>
            <w:vAlign w:val="center"/>
          </w:tcPr>
          <w:p w14:paraId="6197B827"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8.11</w:t>
            </w:r>
          </w:p>
        </w:tc>
      </w:tr>
      <w:tr w:rsidR="006333D1" w:rsidRPr="0049300D" w14:paraId="152892DA" w14:textId="77777777" w:rsidTr="00727E1F">
        <w:trPr>
          <w:trHeight w:val="313"/>
          <w:jc w:val="center"/>
        </w:trPr>
        <w:tc>
          <w:tcPr>
            <w:tcW w:w="734" w:type="dxa"/>
            <w:vMerge/>
            <w:tcBorders>
              <w:top w:val="single" w:sz="4" w:space="0" w:color="auto"/>
              <w:left w:val="single" w:sz="4" w:space="0" w:color="auto"/>
              <w:bottom w:val="single" w:sz="4" w:space="0" w:color="auto"/>
              <w:right w:val="single" w:sz="4" w:space="0" w:color="auto"/>
            </w:tcBorders>
            <w:noWrap/>
            <w:vAlign w:val="center"/>
          </w:tcPr>
          <w:p w14:paraId="26EFAA3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nil"/>
              <w:left w:val="nil"/>
              <w:bottom w:val="single" w:sz="4" w:space="0" w:color="auto"/>
              <w:right w:val="single" w:sz="4" w:space="0" w:color="auto"/>
            </w:tcBorders>
            <w:noWrap/>
            <w:vAlign w:val="center"/>
          </w:tcPr>
          <w:p w14:paraId="5361B2A2" w14:textId="77777777" w:rsidR="006333D1" w:rsidRPr="0049300D" w:rsidRDefault="006333D1" w:rsidP="000C52C0">
            <w:pPr>
              <w:tabs>
                <w:tab w:val="left" w:pos="851"/>
              </w:tabs>
              <w:spacing w:after="0" w:line="360" w:lineRule="auto"/>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Sale price</w:t>
            </w:r>
          </w:p>
        </w:tc>
        <w:tc>
          <w:tcPr>
            <w:tcW w:w="845" w:type="dxa"/>
            <w:tcBorders>
              <w:top w:val="nil"/>
              <w:left w:val="nil"/>
              <w:bottom w:val="single" w:sz="4" w:space="0" w:color="auto"/>
              <w:right w:val="single" w:sz="4" w:space="0" w:color="auto"/>
            </w:tcBorders>
            <w:noWrap/>
            <w:vAlign w:val="center"/>
          </w:tcPr>
          <w:p w14:paraId="660EC29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42000</w:t>
            </w:r>
          </w:p>
        </w:tc>
        <w:tc>
          <w:tcPr>
            <w:tcW w:w="990" w:type="dxa"/>
            <w:tcBorders>
              <w:top w:val="nil"/>
              <w:left w:val="nil"/>
              <w:bottom w:val="single" w:sz="4" w:space="0" w:color="auto"/>
              <w:right w:val="single" w:sz="4" w:space="0" w:color="auto"/>
            </w:tcBorders>
            <w:noWrap/>
            <w:vAlign w:val="center"/>
          </w:tcPr>
          <w:p w14:paraId="5F4C47F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100.00</w:t>
            </w:r>
          </w:p>
        </w:tc>
        <w:tc>
          <w:tcPr>
            <w:tcW w:w="1056" w:type="dxa"/>
            <w:tcBorders>
              <w:top w:val="nil"/>
              <w:left w:val="nil"/>
              <w:bottom w:val="single" w:sz="4" w:space="0" w:color="auto"/>
              <w:right w:val="single" w:sz="4" w:space="0" w:color="auto"/>
            </w:tcBorders>
            <w:noWrap/>
            <w:vAlign w:val="center"/>
          </w:tcPr>
          <w:p w14:paraId="0C70B2A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w:t>
            </w:r>
          </w:p>
        </w:tc>
        <w:tc>
          <w:tcPr>
            <w:tcW w:w="876" w:type="dxa"/>
            <w:tcBorders>
              <w:top w:val="nil"/>
              <w:left w:val="nil"/>
              <w:bottom w:val="single" w:sz="4" w:space="0" w:color="auto"/>
              <w:right w:val="single" w:sz="4" w:space="0" w:color="auto"/>
            </w:tcBorders>
            <w:vAlign w:val="center"/>
          </w:tcPr>
          <w:p w14:paraId="5A82A32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w:t>
            </w:r>
          </w:p>
        </w:tc>
        <w:tc>
          <w:tcPr>
            <w:tcW w:w="845" w:type="dxa"/>
            <w:tcBorders>
              <w:top w:val="nil"/>
              <w:left w:val="nil"/>
              <w:bottom w:val="single" w:sz="4" w:space="0" w:color="auto"/>
              <w:right w:val="single" w:sz="4" w:space="0" w:color="auto"/>
            </w:tcBorders>
            <w:noWrap/>
            <w:vAlign w:val="center"/>
          </w:tcPr>
          <w:p w14:paraId="60BA245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37000</w:t>
            </w:r>
          </w:p>
        </w:tc>
        <w:tc>
          <w:tcPr>
            <w:tcW w:w="876" w:type="dxa"/>
            <w:tcBorders>
              <w:top w:val="nil"/>
              <w:left w:val="nil"/>
              <w:bottom w:val="single" w:sz="4" w:space="0" w:color="auto"/>
              <w:right w:val="single" w:sz="4" w:space="0" w:color="auto"/>
            </w:tcBorders>
            <w:vAlign w:val="center"/>
          </w:tcPr>
          <w:p w14:paraId="60115CF8"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100.00</w:t>
            </w:r>
          </w:p>
        </w:tc>
      </w:tr>
      <w:tr w:rsidR="006333D1" w:rsidRPr="0049300D" w14:paraId="4E5121C2" w14:textId="77777777" w:rsidTr="00727E1F">
        <w:trPr>
          <w:trHeight w:val="313"/>
          <w:jc w:val="center"/>
        </w:trPr>
        <w:tc>
          <w:tcPr>
            <w:tcW w:w="734" w:type="dxa"/>
            <w:tcBorders>
              <w:top w:val="single" w:sz="4" w:space="0" w:color="auto"/>
              <w:left w:val="single" w:sz="4" w:space="0" w:color="auto"/>
              <w:bottom w:val="single" w:sz="4" w:space="0" w:color="auto"/>
              <w:right w:val="single" w:sz="4" w:space="0" w:color="auto"/>
            </w:tcBorders>
            <w:noWrap/>
            <w:vAlign w:val="center"/>
          </w:tcPr>
          <w:p w14:paraId="5096793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kern w:val="0"/>
                <w:sz w:val="24"/>
                <w:szCs w:val="24"/>
                <w:lang w:eastAsia="en-IN"/>
                <w14:ligatures w14:val="none"/>
              </w:rPr>
              <w:t>7</w:t>
            </w:r>
          </w:p>
        </w:tc>
        <w:tc>
          <w:tcPr>
            <w:tcW w:w="8184" w:type="dxa"/>
            <w:gridSpan w:val="7"/>
            <w:tcBorders>
              <w:top w:val="nil"/>
              <w:left w:val="nil"/>
              <w:bottom w:val="single" w:sz="4" w:space="0" w:color="auto"/>
              <w:right w:val="single" w:sz="4" w:space="0" w:color="auto"/>
            </w:tcBorders>
            <w:noWrap/>
            <w:vAlign w:val="center"/>
          </w:tcPr>
          <w:p w14:paraId="37B5A393" w14:textId="77777777" w:rsidR="006333D1" w:rsidRPr="0049300D" w:rsidRDefault="006333D1" w:rsidP="000C52C0">
            <w:pPr>
              <w:tabs>
                <w:tab w:val="left" w:pos="851"/>
              </w:tabs>
              <w:spacing w:after="0" w:line="360" w:lineRule="auto"/>
              <w:rPr>
                <w:rFonts w:ascii="Times New Roman" w:eastAsia="Times New Roman" w:hAnsi="Times New Roman" w:cs="Times New Roman"/>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Consumer price (CP)</w:t>
            </w:r>
          </w:p>
        </w:tc>
      </w:tr>
      <w:tr w:rsidR="006333D1" w:rsidRPr="0049300D" w14:paraId="669CBB87" w14:textId="77777777" w:rsidTr="00727E1F">
        <w:trPr>
          <w:trHeight w:val="313"/>
          <w:jc w:val="center"/>
        </w:trPr>
        <w:tc>
          <w:tcPr>
            <w:tcW w:w="734" w:type="dxa"/>
            <w:tcBorders>
              <w:top w:val="single" w:sz="4" w:space="0" w:color="auto"/>
              <w:left w:val="single" w:sz="4" w:space="0" w:color="auto"/>
              <w:bottom w:val="single" w:sz="4" w:space="0" w:color="auto"/>
              <w:right w:val="single" w:sz="4" w:space="0" w:color="auto"/>
            </w:tcBorders>
            <w:noWrap/>
            <w:vAlign w:val="center"/>
          </w:tcPr>
          <w:p w14:paraId="1988E3C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nil"/>
              <w:bottom w:val="single" w:sz="4" w:space="0" w:color="auto"/>
              <w:right w:val="single" w:sz="4" w:space="0" w:color="auto"/>
            </w:tcBorders>
            <w:noWrap/>
            <w:vAlign w:val="center"/>
          </w:tcPr>
          <w:p w14:paraId="3396E3AB" w14:textId="77777777" w:rsidR="006333D1" w:rsidRPr="0049300D" w:rsidRDefault="006333D1" w:rsidP="000C52C0">
            <w:pPr>
              <w:tabs>
                <w:tab w:val="left" w:pos="851"/>
              </w:tabs>
              <w:spacing w:after="0" w:line="360" w:lineRule="auto"/>
              <w:rPr>
                <w:rFonts w:ascii="Times New Roman" w:hAnsi="Times New Roman" w:cs="Times New Roman"/>
                <w:sz w:val="24"/>
                <w:szCs w:val="24"/>
              </w:rPr>
            </w:pPr>
            <w:r w:rsidRPr="0049300D">
              <w:rPr>
                <w:rFonts w:ascii="Times New Roman" w:hAnsi="Times New Roman" w:cs="Times New Roman"/>
                <w:sz w:val="24"/>
                <w:szCs w:val="24"/>
              </w:rPr>
              <w:t>Purchase price</w:t>
            </w:r>
          </w:p>
        </w:tc>
        <w:tc>
          <w:tcPr>
            <w:tcW w:w="845" w:type="dxa"/>
            <w:tcBorders>
              <w:top w:val="single" w:sz="4" w:space="0" w:color="auto"/>
              <w:left w:val="nil"/>
              <w:bottom w:val="single" w:sz="4" w:space="0" w:color="auto"/>
              <w:right w:val="single" w:sz="4" w:space="0" w:color="auto"/>
            </w:tcBorders>
            <w:noWrap/>
            <w:vAlign w:val="center"/>
          </w:tcPr>
          <w:p w14:paraId="3EA8EE90"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42000</w:t>
            </w:r>
          </w:p>
        </w:tc>
        <w:tc>
          <w:tcPr>
            <w:tcW w:w="990" w:type="dxa"/>
            <w:tcBorders>
              <w:top w:val="single" w:sz="4" w:space="0" w:color="auto"/>
              <w:left w:val="nil"/>
              <w:bottom w:val="single" w:sz="4" w:space="0" w:color="auto"/>
              <w:right w:val="single" w:sz="4" w:space="0" w:color="auto"/>
            </w:tcBorders>
            <w:noWrap/>
            <w:vAlign w:val="center"/>
          </w:tcPr>
          <w:p w14:paraId="71D4E32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100.00</w:t>
            </w:r>
          </w:p>
        </w:tc>
        <w:tc>
          <w:tcPr>
            <w:tcW w:w="1056" w:type="dxa"/>
            <w:tcBorders>
              <w:top w:val="single" w:sz="4" w:space="0" w:color="auto"/>
              <w:left w:val="nil"/>
              <w:bottom w:val="single" w:sz="4" w:space="0" w:color="auto"/>
              <w:right w:val="single" w:sz="4" w:space="0" w:color="auto"/>
            </w:tcBorders>
            <w:vAlign w:val="center"/>
          </w:tcPr>
          <w:p w14:paraId="0F1C1F8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2,53,125</w:t>
            </w:r>
          </w:p>
        </w:tc>
        <w:tc>
          <w:tcPr>
            <w:tcW w:w="876" w:type="dxa"/>
            <w:tcBorders>
              <w:top w:val="single" w:sz="4" w:space="0" w:color="auto"/>
              <w:left w:val="nil"/>
              <w:bottom w:val="single" w:sz="4" w:space="0" w:color="auto"/>
              <w:right w:val="single" w:sz="4" w:space="0" w:color="auto"/>
            </w:tcBorders>
            <w:vAlign w:val="center"/>
          </w:tcPr>
          <w:p w14:paraId="44F219FE"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100.00</w:t>
            </w:r>
          </w:p>
        </w:tc>
        <w:tc>
          <w:tcPr>
            <w:tcW w:w="845" w:type="dxa"/>
            <w:tcBorders>
              <w:top w:val="single" w:sz="4" w:space="0" w:color="auto"/>
              <w:left w:val="nil"/>
              <w:bottom w:val="single" w:sz="4" w:space="0" w:color="auto"/>
              <w:right w:val="single" w:sz="4" w:space="0" w:color="auto"/>
            </w:tcBorders>
            <w:vAlign w:val="center"/>
          </w:tcPr>
          <w:p w14:paraId="16DBF599"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37000</w:t>
            </w:r>
          </w:p>
        </w:tc>
        <w:tc>
          <w:tcPr>
            <w:tcW w:w="876" w:type="dxa"/>
            <w:tcBorders>
              <w:top w:val="single" w:sz="4" w:space="0" w:color="auto"/>
              <w:left w:val="nil"/>
              <w:bottom w:val="single" w:sz="4" w:space="0" w:color="auto"/>
              <w:right w:val="single" w:sz="4" w:space="0" w:color="auto"/>
            </w:tcBorders>
            <w:vAlign w:val="center"/>
          </w:tcPr>
          <w:p w14:paraId="0F69BDA2"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r w:rsidRPr="0049300D">
              <w:rPr>
                <w:rFonts w:ascii="Times New Roman" w:hAnsi="Times New Roman" w:cs="Times New Roman"/>
                <w:sz w:val="24"/>
                <w:szCs w:val="24"/>
              </w:rPr>
              <w:t>100.00</w:t>
            </w:r>
          </w:p>
        </w:tc>
      </w:tr>
      <w:tr w:rsidR="006333D1" w:rsidRPr="0049300D" w14:paraId="4CC4A0FD" w14:textId="77777777" w:rsidTr="00727E1F">
        <w:trPr>
          <w:trHeight w:val="313"/>
          <w:jc w:val="center"/>
        </w:trPr>
        <w:tc>
          <w:tcPr>
            <w:tcW w:w="734" w:type="dxa"/>
            <w:tcBorders>
              <w:top w:val="single" w:sz="4" w:space="0" w:color="auto"/>
              <w:left w:val="single" w:sz="4" w:space="0" w:color="auto"/>
              <w:bottom w:val="single" w:sz="4" w:space="0" w:color="auto"/>
              <w:right w:val="single" w:sz="4" w:space="0" w:color="auto"/>
            </w:tcBorders>
            <w:noWrap/>
            <w:vAlign w:val="center"/>
          </w:tcPr>
          <w:p w14:paraId="25D3156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kern w:val="0"/>
                <w:sz w:val="24"/>
                <w:szCs w:val="24"/>
                <w:lang w:eastAsia="en-IN"/>
                <w14:ligatures w14:val="none"/>
              </w:rPr>
            </w:pPr>
          </w:p>
        </w:tc>
        <w:tc>
          <w:tcPr>
            <w:tcW w:w="2696" w:type="dxa"/>
            <w:tcBorders>
              <w:top w:val="single" w:sz="4" w:space="0" w:color="auto"/>
              <w:left w:val="nil"/>
              <w:bottom w:val="single" w:sz="4" w:space="0" w:color="auto"/>
              <w:right w:val="single" w:sz="4" w:space="0" w:color="auto"/>
            </w:tcBorders>
            <w:noWrap/>
            <w:vAlign w:val="center"/>
          </w:tcPr>
          <w:p w14:paraId="2DE96883" w14:textId="77777777" w:rsidR="006333D1" w:rsidRPr="0049300D" w:rsidRDefault="006333D1" w:rsidP="000C52C0">
            <w:pPr>
              <w:tabs>
                <w:tab w:val="left" w:pos="851"/>
              </w:tabs>
              <w:spacing w:after="0" w:line="360" w:lineRule="auto"/>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Price Spread</w:t>
            </w:r>
          </w:p>
        </w:tc>
        <w:tc>
          <w:tcPr>
            <w:tcW w:w="845" w:type="dxa"/>
            <w:tcBorders>
              <w:top w:val="single" w:sz="4" w:space="0" w:color="auto"/>
              <w:left w:val="nil"/>
              <w:bottom w:val="single" w:sz="4" w:space="0" w:color="auto"/>
              <w:right w:val="single" w:sz="4" w:space="0" w:color="auto"/>
            </w:tcBorders>
            <w:noWrap/>
            <w:vAlign w:val="center"/>
          </w:tcPr>
          <w:p w14:paraId="6E5B3DB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16000</w:t>
            </w:r>
          </w:p>
        </w:tc>
        <w:tc>
          <w:tcPr>
            <w:tcW w:w="990" w:type="dxa"/>
            <w:tcBorders>
              <w:top w:val="single" w:sz="4" w:space="0" w:color="auto"/>
              <w:left w:val="nil"/>
              <w:bottom w:val="single" w:sz="4" w:space="0" w:color="auto"/>
              <w:right w:val="single" w:sz="4" w:space="0" w:color="auto"/>
            </w:tcBorders>
            <w:noWrap/>
            <w:vAlign w:val="center"/>
          </w:tcPr>
          <w:p w14:paraId="3D5C2E76"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eastAsia="Times New Roman" w:hAnsi="Times New Roman" w:cs="Times New Roman"/>
                <w:b/>
                <w:bCs/>
                <w:kern w:val="0"/>
                <w:sz w:val="24"/>
                <w:szCs w:val="24"/>
                <w:lang w:eastAsia="en-IN"/>
                <w14:ligatures w14:val="none"/>
              </w:rPr>
              <w:t>35.71</w:t>
            </w:r>
          </w:p>
        </w:tc>
        <w:tc>
          <w:tcPr>
            <w:tcW w:w="1056" w:type="dxa"/>
            <w:tcBorders>
              <w:top w:val="single" w:sz="4" w:space="0" w:color="auto"/>
              <w:left w:val="nil"/>
              <w:bottom w:val="single" w:sz="4" w:space="0" w:color="auto"/>
              <w:right w:val="single" w:sz="4" w:space="0" w:color="auto"/>
            </w:tcBorders>
            <w:vAlign w:val="center"/>
          </w:tcPr>
          <w:p w14:paraId="146F44B4"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2,26,125</w:t>
            </w:r>
          </w:p>
        </w:tc>
        <w:tc>
          <w:tcPr>
            <w:tcW w:w="876" w:type="dxa"/>
            <w:tcBorders>
              <w:top w:val="single" w:sz="4" w:space="0" w:color="auto"/>
              <w:left w:val="nil"/>
              <w:bottom w:val="single" w:sz="4" w:space="0" w:color="auto"/>
              <w:right w:val="single" w:sz="4" w:space="0" w:color="auto"/>
            </w:tcBorders>
            <w:vAlign w:val="center"/>
          </w:tcPr>
          <w:p w14:paraId="0BAB6D15"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89.33</w:t>
            </w:r>
          </w:p>
        </w:tc>
        <w:tc>
          <w:tcPr>
            <w:tcW w:w="845" w:type="dxa"/>
            <w:tcBorders>
              <w:top w:val="single" w:sz="4" w:space="0" w:color="auto"/>
              <w:left w:val="nil"/>
              <w:bottom w:val="single" w:sz="4" w:space="0" w:color="auto"/>
              <w:right w:val="single" w:sz="4" w:space="0" w:color="auto"/>
            </w:tcBorders>
            <w:vAlign w:val="center"/>
          </w:tcPr>
          <w:p w14:paraId="4A84813D"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b/>
                <w:bCs/>
                <w:sz w:val="24"/>
                <w:szCs w:val="24"/>
              </w:rPr>
              <w:t>11000</w:t>
            </w:r>
          </w:p>
        </w:tc>
        <w:tc>
          <w:tcPr>
            <w:tcW w:w="876" w:type="dxa"/>
            <w:tcBorders>
              <w:top w:val="single" w:sz="4" w:space="0" w:color="auto"/>
              <w:left w:val="nil"/>
              <w:bottom w:val="single" w:sz="4" w:space="0" w:color="auto"/>
              <w:right w:val="single" w:sz="4" w:space="0" w:color="auto"/>
            </w:tcBorders>
            <w:vAlign w:val="center"/>
          </w:tcPr>
          <w:p w14:paraId="585EED5B" w14:textId="77777777" w:rsidR="006333D1" w:rsidRPr="0049300D" w:rsidRDefault="006333D1" w:rsidP="000C52C0">
            <w:pPr>
              <w:tabs>
                <w:tab w:val="left" w:pos="851"/>
              </w:tabs>
              <w:spacing w:after="0" w:line="360" w:lineRule="auto"/>
              <w:jc w:val="center"/>
              <w:rPr>
                <w:rFonts w:ascii="Times New Roman" w:eastAsia="Times New Roman" w:hAnsi="Times New Roman" w:cs="Times New Roman"/>
                <w:b/>
                <w:bCs/>
                <w:kern w:val="0"/>
                <w:sz w:val="24"/>
                <w:szCs w:val="24"/>
                <w:lang w:eastAsia="en-IN"/>
                <w14:ligatures w14:val="none"/>
              </w:rPr>
            </w:pPr>
            <w:r w:rsidRPr="0049300D">
              <w:rPr>
                <w:rFonts w:ascii="Times New Roman" w:hAnsi="Times New Roman" w:cs="Times New Roman"/>
                <w:sz w:val="24"/>
                <w:szCs w:val="24"/>
              </w:rPr>
              <w:t>27.03</w:t>
            </w:r>
          </w:p>
        </w:tc>
      </w:tr>
    </w:tbl>
    <w:p w14:paraId="2E60D716" w14:textId="0CE868CA" w:rsidR="006333D1" w:rsidRPr="00901DC8" w:rsidRDefault="00901DC8" w:rsidP="000C52C0">
      <w:pPr>
        <w:tabs>
          <w:tab w:val="left" w:pos="521"/>
          <w:tab w:val="left" w:pos="851"/>
        </w:tabs>
        <w:spacing w:after="0" w:line="360" w:lineRule="auto"/>
        <w:rPr>
          <w:rFonts w:ascii="Times New Roman" w:hAnsi="Times New Roman" w:cs="Times New Roman"/>
          <w:sz w:val="24"/>
          <w:szCs w:val="24"/>
          <w:lang w:val="en-US"/>
        </w:rPr>
      </w:pPr>
      <w:r w:rsidRPr="00901DC8">
        <w:rPr>
          <w:rFonts w:ascii="Times New Roman" w:hAnsi="Times New Roman" w:cs="Times New Roman"/>
          <w:sz w:val="24"/>
          <w:szCs w:val="24"/>
          <w:lang w:val="en-US"/>
        </w:rPr>
        <w:t>Source:</w:t>
      </w:r>
      <w:r>
        <w:rPr>
          <w:rFonts w:ascii="Times New Roman" w:hAnsi="Times New Roman" w:cs="Times New Roman"/>
          <w:b/>
          <w:bCs/>
          <w:sz w:val="24"/>
          <w:szCs w:val="24"/>
          <w:lang w:val="en-US"/>
        </w:rPr>
        <w:t xml:space="preserve"> </w:t>
      </w:r>
      <w:r w:rsidRPr="00901DC8">
        <w:rPr>
          <w:rFonts w:ascii="Times New Roman" w:hAnsi="Times New Roman" w:cs="Times New Roman"/>
          <w:sz w:val="24"/>
          <w:szCs w:val="24"/>
          <w:lang w:val="en-US"/>
        </w:rPr>
        <w:t>Primary data</w:t>
      </w:r>
    </w:p>
    <w:p w14:paraId="17DEE5B9" w14:textId="43F0468B" w:rsidR="006333D1" w:rsidRPr="0049300D" w:rsidRDefault="000C52C0" w:rsidP="000C52C0">
      <w:pPr>
        <w:tabs>
          <w:tab w:val="left" w:pos="851"/>
        </w:tabs>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3.3 </w:t>
      </w:r>
      <w:r w:rsidR="006333D1" w:rsidRPr="0049300D">
        <w:rPr>
          <w:rFonts w:ascii="Times New Roman" w:hAnsi="Times New Roman" w:cs="Times New Roman"/>
          <w:b/>
          <w:bCs/>
          <w:sz w:val="24"/>
          <w:szCs w:val="24"/>
        </w:rPr>
        <w:t>Marketing Efficiency</w:t>
      </w:r>
    </w:p>
    <w:p w14:paraId="5D1FB00A" w14:textId="60BBCE09" w:rsidR="006333D1" w:rsidRPr="0049300D" w:rsidRDefault="006333D1" w:rsidP="00F15F5E">
      <w:pPr>
        <w:tabs>
          <w:tab w:val="left" w:pos="851"/>
        </w:tabs>
        <w:spacing w:line="360" w:lineRule="auto"/>
        <w:ind w:firstLine="720"/>
        <w:jc w:val="both"/>
        <w:rPr>
          <w:rFonts w:ascii="Times New Roman" w:hAnsi="Times New Roman" w:cs="Times New Roman"/>
          <w:sz w:val="24"/>
          <w:szCs w:val="24"/>
          <w:lang w:val="en-US"/>
        </w:rPr>
      </w:pPr>
      <w:r w:rsidRPr="0049300D">
        <w:rPr>
          <w:rFonts w:ascii="Times New Roman" w:hAnsi="Times New Roman" w:cs="Times New Roman"/>
          <w:sz w:val="24"/>
          <w:szCs w:val="24"/>
        </w:rPr>
        <w:t xml:space="preserve">Marketing efficiency is used to assess the efficiency of different channels in marketing of products. In the study, two methods </w:t>
      </w:r>
      <w:r w:rsidRPr="0049300D">
        <w:rPr>
          <w:rFonts w:ascii="Times New Roman" w:hAnsi="Times New Roman" w:cs="Times New Roman"/>
          <w:i/>
          <w:iCs/>
          <w:sz w:val="24"/>
          <w:szCs w:val="24"/>
        </w:rPr>
        <w:t>viz.,</w:t>
      </w:r>
      <w:r w:rsidRPr="0049300D">
        <w:rPr>
          <w:rFonts w:ascii="Times New Roman" w:hAnsi="Times New Roman" w:cs="Times New Roman"/>
          <w:sz w:val="24"/>
          <w:szCs w:val="24"/>
        </w:rPr>
        <w:t xml:space="preserve"> Acharya’s and Shepherd’s Approach were employed to evaluate the marketing efficiency of GI commodities namely garlic, banana and jasmine. </w:t>
      </w:r>
      <w:r w:rsidRPr="0049300D">
        <w:rPr>
          <w:rFonts w:ascii="Times New Roman" w:hAnsi="Times New Roman" w:cs="Times New Roman"/>
          <w:sz w:val="24"/>
          <w:szCs w:val="24"/>
          <w:lang w:val="en-US"/>
        </w:rPr>
        <w:t>The results of marketing efficiency of GI jasmine using Acharya and Shepherd approaches are presented in Table</w:t>
      </w:r>
      <w:r w:rsidR="004D44ED">
        <w:rPr>
          <w:rFonts w:ascii="Times New Roman" w:hAnsi="Times New Roman" w:cs="Times New Roman"/>
          <w:sz w:val="24"/>
          <w:szCs w:val="24"/>
          <w:lang w:val="en-US"/>
        </w:rPr>
        <w:t>. 2</w:t>
      </w:r>
      <w:r w:rsidRPr="0049300D">
        <w:rPr>
          <w:rFonts w:ascii="Times New Roman" w:hAnsi="Times New Roman" w:cs="Times New Roman"/>
          <w:sz w:val="24"/>
          <w:szCs w:val="24"/>
          <w:lang w:val="en-US"/>
        </w:rPr>
        <w:t>.</w:t>
      </w:r>
      <w:r w:rsidR="00F15F5E">
        <w:rPr>
          <w:rFonts w:ascii="Times New Roman" w:hAnsi="Times New Roman" w:cs="Times New Roman"/>
          <w:sz w:val="24"/>
          <w:szCs w:val="24"/>
          <w:lang w:val="en-US"/>
        </w:rPr>
        <w:t xml:space="preserve"> </w:t>
      </w:r>
      <w:r w:rsidR="00F15F5E" w:rsidRPr="0049300D">
        <w:rPr>
          <w:rFonts w:ascii="Times New Roman" w:hAnsi="Times New Roman" w:cs="Times New Roman"/>
          <w:sz w:val="24"/>
          <w:szCs w:val="24"/>
          <w:lang w:val="en-US"/>
        </w:rPr>
        <w:t xml:space="preserve">The </w:t>
      </w:r>
      <w:r w:rsidR="00F15F5E" w:rsidRPr="0049300D">
        <w:rPr>
          <w:rFonts w:ascii="Times New Roman" w:hAnsi="Times New Roman" w:cs="Times New Roman"/>
          <w:sz w:val="24"/>
          <w:szCs w:val="24"/>
        </w:rPr>
        <w:t xml:space="preserve">marketing </w:t>
      </w:r>
      <w:r w:rsidR="00F15F5E" w:rsidRPr="0049300D">
        <w:rPr>
          <w:rFonts w:ascii="Times New Roman" w:hAnsi="Times New Roman" w:cs="Times New Roman"/>
          <w:sz w:val="24"/>
          <w:szCs w:val="24"/>
          <w:lang w:val="en-US"/>
        </w:rPr>
        <w:t xml:space="preserve">efficiency of jasmine was relatively higher in marketing channel III according to both Acharya’s approach (2.45) and Shepherd’s approach (3.36) </w:t>
      </w:r>
      <w:r w:rsidR="00F15F5E" w:rsidRPr="0049300D">
        <w:rPr>
          <w:rFonts w:ascii="Times New Roman" w:hAnsi="Times New Roman" w:cs="Times New Roman"/>
          <w:sz w:val="24"/>
          <w:szCs w:val="24"/>
          <w:lang w:val="en-US"/>
        </w:rPr>
        <w:lastRenderedPageBreak/>
        <w:t>followed by MC I which was 1.69 and 2.63, MC II has 0.12 and 1.12, respectively (Fig</w:t>
      </w:r>
      <w:r w:rsidR="004D44ED">
        <w:rPr>
          <w:rFonts w:ascii="Times New Roman" w:hAnsi="Times New Roman" w:cs="Times New Roman"/>
          <w:sz w:val="24"/>
          <w:szCs w:val="24"/>
          <w:lang w:val="en-US"/>
        </w:rPr>
        <w:t>. 4</w:t>
      </w:r>
      <w:r w:rsidR="00F15F5E" w:rsidRPr="0049300D">
        <w:rPr>
          <w:rFonts w:ascii="Times New Roman" w:hAnsi="Times New Roman" w:cs="Times New Roman"/>
          <w:sz w:val="24"/>
          <w:szCs w:val="24"/>
          <w:lang w:val="en-US"/>
        </w:rPr>
        <w:t>). It is evident that MC III (Farmer → Commission agent cum trader → Retailer → Consumer) was found to be an efficient channel compared to other channels.</w:t>
      </w:r>
    </w:p>
    <w:p w14:paraId="23B15490" w14:textId="47628BA3"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Table</w:t>
      </w:r>
      <w:r w:rsidR="004D44ED">
        <w:rPr>
          <w:rFonts w:ascii="Times New Roman" w:hAnsi="Times New Roman" w:cs="Times New Roman"/>
          <w:b/>
          <w:bCs/>
          <w:sz w:val="24"/>
          <w:szCs w:val="24"/>
          <w:lang w:val="en-US"/>
        </w:rPr>
        <w:t>. 2</w:t>
      </w:r>
      <w:r w:rsidRPr="0049300D">
        <w:rPr>
          <w:rFonts w:ascii="Times New Roman" w:hAnsi="Times New Roman" w:cs="Times New Roman"/>
          <w:b/>
          <w:bCs/>
          <w:sz w:val="24"/>
          <w:szCs w:val="24"/>
          <w:lang w:val="en-US"/>
        </w:rPr>
        <w:t xml:space="preserve"> Marketing Channel Efficiency of GI </w:t>
      </w:r>
      <w:r w:rsidR="00901DC8">
        <w:rPr>
          <w:rFonts w:ascii="Times New Roman" w:hAnsi="Times New Roman" w:cs="Times New Roman"/>
          <w:b/>
          <w:bCs/>
          <w:sz w:val="24"/>
          <w:szCs w:val="24"/>
          <w:lang w:val="en-US"/>
        </w:rPr>
        <w:t>Madurai Malli</w:t>
      </w:r>
    </w:p>
    <w:tbl>
      <w:tblPr>
        <w:tblStyle w:val="TableGrid"/>
        <w:tblW w:w="8985" w:type="dxa"/>
        <w:tblLook w:val="04A0" w:firstRow="1" w:lastRow="0" w:firstColumn="1" w:lastColumn="0" w:noHBand="0" w:noVBand="1"/>
      </w:tblPr>
      <w:tblGrid>
        <w:gridCol w:w="2226"/>
        <w:gridCol w:w="2566"/>
        <w:gridCol w:w="1046"/>
        <w:gridCol w:w="1046"/>
        <w:gridCol w:w="1064"/>
        <w:gridCol w:w="1037"/>
      </w:tblGrid>
      <w:tr w:rsidR="006333D1" w:rsidRPr="0049300D" w14:paraId="1ECE842E" w14:textId="77777777" w:rsidTr="006333D1">
        <w:trPr>
          <w:trHeight w:val="438"/>
        </w:trPr>
        <w:tc>
          <w:tcPr>
            <w:tcW w:w="2226" w:type="dxa"/>
            <w:vMerge w:val="restart"/>
            <w:vAlign w:val="center"/>
          </w:tcPr>
          <w:p w14:paraId="2E41C9B3" w14:textId="77777777"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Commodity</w:t>
            </w:r>
          </w:p>
        </w:tc>
        <w:tc>
          <w:tcPr>
            <w:tcW w:w="2566" w:type="dxa"/>
            <w:vMerge w:val="restart"/>
            <w:vAlign w:val="center"/>
          </w:tcPr>
          <w:p w14:paraId="2CE390F9" w14:textId="77777777"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Approaches</w:t>
            </w:r>
          </w:p>
        </w:tc>
        <w:tc>
          <w:tcPr>
            <w:tcW w:w="4193" w:type="dxa"/>
            <w:gridSpan w:val="4"/>
            <w:vAlign w:val="center"/>
          </w:tcPr>
          <w:p w14:paraId="313D7C18" w14:textId="77777777"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Marketing Efficiency</w:t>
            </w:r>
          </w:p>
        </w:tc>
      </w:tr>
      <w:tr w:rsidR="006333D1" w:rsidRPr="0049300D" w14:paraId="03402E91" w14:textId="77777777" w:rsidTr="006333D1">
        <w:trPr>
          <w:trHeight w:val="152"/>
        </w:trPr>
        <w:tc>
          <w:tcPr>
            <w:tcW w:w="2226" w:type="dxa"/>
            <w:vMerge/>
            <w:vAlign w:val="center"/>
          </w:tcPr>
          <w:p w14:paraId="7FB783F3" w14:textId="77777777"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p>
        </w:tc>
        <w:tc>
          <w:tcPr>
            <w:tcW w:w="2566" w:type="dxa"/>
            <w:vMerge/>
            <w:vAlign w:val="center"/>
          </w:tcPr>
          <w:p w14:paraId="3E4DEB9A" w14:textId="77777777"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p>
        </w:tc>
        <w:tc>
          <w:tcPr>
            <w:tcW w:w="1046" w:type="dxa"/>
            <w:vAlign w:val="center"/>
          </w:tcPr>
          <w:p w14:paraId="4E544331" w14:textId="77777777"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MC I</w:t>
            </w:r>
          </w:p>
        </w:tc>
        <w:tc>
          <w:tcPr>
            <w:tcW w:w="1046" w:type="dxa"/>
            <w:vAlign w:val="center"/>
          </w:tcPr>
          <w:p w14:paraId="11A29D40" w14:textId="77777777"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MC II</w:t>
            </w:r>
          </w:p>
        </w:tc>
        <w:tc>
          <w:tcPr>
            <w:tcW w:w="1064" w:type="dxa"/>
            <w:vAlign w:val="center"/>
          </w:tcPr>
          <w:p w14:paraId="267749B0" w14:textId="77777777"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MC III</w:t>
            </w:r>
          </w:p>
        </w:tc>
        <w:tc>
          <w:tcPr>
            <w:tcW w:w="1035" w:type="dxa"/>
            <w:vAlign w:val="center"/>
          </w:tcPr>
          <w:p w14:paraId="4952A992" w14:textId="77777777"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MC IV</w:t>
            </w:r>
          </w:p>
        </w:tc>
      </w:tr>
      <w:tr w:rsidR="006333D1" w:rsidRPr="0049300D" w14:paraId="6B4616CE" w14:textId="77777777" w:rsidTr="006333D1">
        <w:trPr>
          <w:trHeight w:val="877"/>
        </w:trPr>
        <w:tc>
          <w:tcPr>
            <w:tcW w:w="2226" w:type="dxa"/>
            <w:vMerge w:val="restart"/>
            <w:vAlign w:val="center"/>
          </w:tcPr>
          <w:p w14:paraId="627B2841" w14:textId="77777777" w:rsidR="006333D1" w:rsidRPr="0049300D" w:rsidRDefault="006333D1" w:rsidP="000C52C0">
            <w:pPr>
              <w:tabs>
                <w:tab w:val="left" w:pos="851"/>
              </w:tabs>
              <w:spacing w:line="360" w:lineRule="auto"/>
              <w:jc w:val="center"/>
              <w:rPr>
                <w:rFonts w:ascii="Times New Roman" w:hAnsi="Times New Roman" w:cs="Times New Roman"/>
                <w:sz w:val="24"/>
                <w:szCs w:val="24"/>
                <w:lang w:val="en-US"/>
              </w:rPr>
            </w:pPr>
            <w:r w:rsidRPr="0049300D">
              <w:rPr>
                <w:rFonts w:ascii="Times New Roman" w:hAnsi="Times New Roman" w:cs="Times New Roman"/>
                <w:sz w:val="24"/>
                <w:szCs w:val="24"/>
                <w:lang w:val="en-US"/>
              </w:rPr>
              <w:t>Madurai Malli</w:t>
            </w:r>
          </w:p>
        </w:tc>
        <w:tc>
          <w:tcPr>
            <w:tcW w:w="2566" w:type="dxa"/>
            <w:vAlign w:val="center"/>
          </w:tcPr>
          <w:p w14:paraId="29C43A5A" w14:textId="77777777" w:rsidR="006333D1" w:rsidRPr="0049300D" w:rsidRDefault="006333D1" w:rsidP="000C52C0">
            <w:pPr>
              <w:tabs>
                <w:tab w:val="left" w:pos="851"/>
              </w:tabs>
              <w:spacing w:line="360" w:lineRule="auto"/>
              <w:rPr>
                <w:rFonts w:ascii="Times New Roman" w:hAnsi="Times New Roman" w:cs="Times New Roman"/>
                <w:sz w:val="24"/>
                <w:szCs w:val="24"/>
                <w:lang w:val="en-US"/>
              </w:rPr>
            </w:pPr>
            <w:r w:rsidRPr="0049300D">
              <w:rPr>
                <w:rFonts w:ascii="Times New Roman" w:hAnsi="Times New Roman" w:cs="Times New Roman"/>
                <w:sz w:val="24"/>
                <w:szCs w:val="24"/>
                <w:lang w:val="en-US"/>
              </w:rPr>
              <w:t>Acharya’s Approach</w:t>
            </w:r>
          </w:p>
        </w:tc>
        <w:tc>
          <w:tcPr>
            <w:tcW w:w="1046" w:type="dxa"/>
            <w:vAlign w:val="center"/>
          </w:tcPr>
          <w:p w14:paraId="67FF6862" w14:textId="77777777" w:rsidR="006333D1" w:rsidRPr="0049300D" w:rsidRDefault="006333D1" w:rsidP="000C52C0">
            <w:pPr>
              <w:tabs>
                <w:tab w:val="left" w:pos="851"/>
              </w:tabs>
              <w:spacing w:line="360" w:lineRule="auto"/>
              <w:jc w:val="center"/>
              <w:rPr>
                <w:rFonts w:ascii="Times New Roman" w:hAnsi="Times New Roman" w:cs="Times New Roman"/>
                <w:sz w:val="24"/>
                <w:szCs w:val="24"/>
                <w:lang w:val="en-US"/>
              </w:rPr>
            </w:pPr>
            <w:r w:rsidRPr="0049300D">
              <w:rPr>
                <w:rFonts w:ascii="Times New Roman" w:hAnsi="Times New Roman" w:cs="Times New Roman"/>
                <w:sz w:val="24"/>
                <w:szCs w:val="24"/>
                <w:lang w:val="en-US"/>
              </w:rPr>
              <w:t>1.69</w:t>
            </w:r>
          </w:p>
        </w:tc>
        <w:tc>
          <w:tcPr>
            <w:tcW w:w="1046" w:type="dxa"/>
            <w:vAlign w:val="center"/>
          </w:tcPr>
          <w:p w14:paraId="4C5461B3" w14:textId="77777777" w:rsidR="006333D1" w:rsidRPr="0049300D" w:rsidRDefault="006333D1" w:rsidP="000C52C0">
            <w:pPr>
              <w:tabs>
                <w:tab w:val="left" w:pos="851"/>
              </w:tabs>
              <w:spacing w:line="360" w:lineRule="auto"/>
              <w:jc w:val="center"/>
              <w:rPr>
                <w:rFonts w:ascii="Times New Roman" w:hAnsi="Times New Roman" w:cs="Times New Roman"/>
                <w:sz w:val="24"/>
                <w:szCs w:val="24"/>
                <w:lang w:val="en-US"/>
              </w:rPr>
            </w:pPr>
            <w:r w:rsidRPr="0049300D">
              <w:rPr>
                <w:rFonts w:ascii="Times New Roman" w:hAnsi="Times New Roman" w:cs="Times New Roman"/>
                <w:sz w:val="24"/>
                <w:szCs w:val="24"/>
                <w:lang w:val="en-US"/>
              </w:rPr>
              <w:t>0.12</w:t>
            </w:r>
          </w:p>
        </w:tc>
        <w:tc>
          <w:tcPr>
            <w:tcW w:w="1064" w:type="dxa"/>
            <w:vAlign w:val="center"/>
          </w:tcPr>
          <w:p w14:paraId="5C34F1A8" w14:textId="77777777" w:rsidR="006333D1" w:rsidRPr="0049300D" w:rsidRDefault="006333D1" w:rsidP="000C52C0">
            <w:pPr>
              <w:tabs>
                <w:tab w:val="left" w:pos="851"/>
              </w:tabs>
              <w:spacing w:line="360" w:lineRule="auto"/>
              <w:jc w:val="center"/>
              <w:rPr>
                <w:rFonts w:ascii="Times New Roman" w:hAnsi="Times New Roman" w:cs="Times New Roman"/>
                <w:sz w:val="24"/>
                <w:szCs w:val="24"/>
                <w:lang w:val="en-US"/>
              </w:rPr>
            </w:pPr>
            <w:r w:rsidRPr="0049300D">
              <w:rPr>
                <w:rFonts w:ascii="Times New Roman" w:hAnsi="Times New Roman" w:cs="Times New Roman"/>
                <w:b/>
                <w:bCs/>
                <w:sz w:val="24"/>
                <w:szCs w:val="24"/>
                <w:lang w:val="en-US"/>
              </w:rPr>
              <w:t>2.45</w:t>
            </w:r>
          </w:p>
        </w:tc>
        <w:tc>
          <w:tcPr>
            <w:tcW w:w="1035" w:type="dxa"/>
            <w:vAlign w:val="center"/>
          </w:tcPr>
          <w:p w14:paraId="7627ADDE" w14:textId="77777777"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r w:rsidRPr="0049300D">
              <w:rPr>
                <w:rFonts w:ascii="Times New Roman" w:hAnsi="Times New Roman" w:cs="Times New Roman"/>
                <w:sz w:val="24"/>
                <w:szCs w:val="24"/>
                <w:lang w:val="en-US"/>
              </w:rPr>
              <w:t>--</w:t>
            </w:r>
          </w:p>
        </w:tc>
      </w:tr>
      <w:tr w:rsidR="006333D1" w:rsidRPr="0049300D" w14:paraId="718BC996" w14:textId="77777777" w:rsidTr="006333D1">
        <w:trPr>
          <w:trHeight w:val="877"/>
        </w:trPr>
        <w:tc>
          <w:tcPr>
            <w:tcW w:w="2226" w:type="dxa"/>
            <w:vMerge/>
            <w:vAlign w:val="center"/>
          </w:tcPr>
          <w:p w14:paraId="5DB9ED42" w14:textId="77777777" w:rsidR="006333D1" w:rsidRPr="0049300D" w:rsidRDefault="006333D1" w:rsidP="000C52C0">
            <w:pPr>
              <w:tabs>
                <w:tab w:val="left" w:pos="851"/>
              </w:tabs>
              <w:spacing w:line="360" w:lineRule="auto"/>
              <w:jc w:val="center"/>
              <w:rPr>
                <w:rFonts w:ascii="Times New Roman" w:hAnsi="Times New Roman" w:cs="Times New Roman"/>
                <w:sz w:val="24"/>
                <w:szCs w:val="24"/>
                <w:lang w:val="en-US"/>
              </w:rPr>
            </w:pPr>
          </w:p>
        </w:tc>
        <w:tc>
          <w:tcPr>
            <w:tcW w:w="2566" w:type="dxa"/>
            <w:vAlign w:val="center"/>
          </w:tcPr>
          <w:p w14:paraId="40CFF7A2" w14:textId="77777777" w:rsidR="006333D1" w:rsidRPr="0049300D" w:rsidRDefault="006333D1" w:rsidP="000C52C0">
            <w:pPr>
              <w:tabs>
                <w:tab w:val="left" w:pos="851"/>
              </w:tabs>
              <w:spacing w:line="360" w:lineRule="auto"/>
              <w:rPr>
                <w:rFonts w:ascii="Times New Roman" w:hAnsi="Times New Roman" w:cs="Times New Roman"/>
                <w:sz w:val="24"/>
                <w:szCs w:val="24"/>
                <w:lang w:val="en-US"/>
              </w:rPr>
            </w:pPr>
            <w:r w:rsidRPr="0049300D">
              <w:rPr>
                <w:rFonts w:ascii="Times New Roman" w:hAnsi="Times New Roman" w:cs="Times New Roman"/>
                <w:sz w:val="24"/>
                <w:szCs w:val="24"/>
                <w:lang w:val="en-US"/>
              </w:rPr>
              <w:t>Shepherd’s Approach</w:t>
            </w:r>
          </w:p>
        </w:tc>
        <w:tc>
          <w:tcPr>
            <w:tcW w:w="1046" w:type="dxa"/>
            <w:vAlign w:val="center"/>
          </w:tcPr>
          <w:p w14:paraId="055BE8F5" w14:textId="77777777" w:rsidR="006333D1" w:rsidRPr="0049300D" w:rsidRDefault="006333D1" w:rsidP="000C52C0">
            <w:pPr>
              <w:tabs>
                <w:tab w:val="left" w:pos="851"/>
              </w:tabs>
              <w:spacing w:line="360" w:lineRule="auto"/>
              <w:jc w:val="center"/>
              <w:rPr>
                <w:rFonts w:ascii="Times New Roman" w:hAnsi="Times New Roman" w:cs="Times New Roman"/>
                <w:sz w:val="24"/>
                <w:szCs w:val="24"/>
                <w:lang w:val="en-US"/>
              </w:rPr>
            </w:pPr>
            <w:r w:rsidRPr="0049300D">
              <w:rPr>
                <w:rFonts w:ascii="Times New Roman" w:hAnsi="Times New Roman" w:cs="Times New Roman"/>
                <w:sz w:val="24"/>
                <w:szCs w:val="24"/>
                <w:lang w:val="en-US"/>
              </w:rPr>
              <w:t>2.63</w:t>
            </w:r>
          </w:p>
        </w:tc>
        <w:tc>
          <w:tcPr>
            <w:tcW w:w="1046" w:type="dxa"/>
            <w:vAlign w:val="center"/>
          </w:tcPr>
          <w:p w14:paraId="3204B015" w14:textId="77777777" w:rsidR="006333D1" w:rsidRPr="0049300D" w:rsidRDefault="006333D1" w:rsidP="000C52C0">
            <w:pPr>
              <w:tabs>
                <w:tab w:val="left" w:pos="851"/>
              </w:tabs>
              <w:spacing w:line="360" w:lineRule="auto"/>
              <w:jc w:val="center"/>
              <w:rPr>
                <w:rFonts w:ascii="Times New Roman" w:hAnsi="Times New Roman" w:cs="Times New Roman"/>
                <w:sz w:val="24"/>
                <w:szCs w:val="24"/>
                <w:lang w:val="en-US"/>
              </w:rPr>
            </w:pPr>
            <w:r w:rsidRPr="0049300D">
              <w:rPr>
                <w:rFonts w:ascii="Times New Roman" w:hAnsi="Times New Roman" w:cs="Times New Roman"/>
                <w:sz w:val="24"/>
                <w:szCs w:val="24"/>
                <w:lang w:val="en-US"/>
              </w:rPr>
              <w:t>1.12</w:t>
            </w:r>
          </w:p>
        </w:tc>
        <w:tc>
          <w:tcPr>
            <w:tcW w:w="1064" w:type="dxa"/>
            <w:vAlign w:val="center"/>
          </w:tcPr>
          <w:p w14:paraId="78E3EE7E" w14:textId="77777777" w:rsidR="006333D1" w:rsidRPr="0049300D" w:rsidRDefault="006333D1" w:rsidP="000C52C0">
            <w:pPr>
              <w:tabs>
                <w:tab w:val="left" w:pos="851"/>
              </w:tabs>
              <w:spacing w:line="360" w:lineRule="auto"/>
              <w:jc w:val="center"/>
              <w:rPr>
                <w:rFonts w:ascii="Times New Roman" w:hAnsi="Times New Roman" w:cs="Times New Roman"/>
                <w:sz w:val="24"/>
                <w:szCs w:val="24"/>
                <w:lang w:val="en-US"/>
              </w:rPr>
            </w:pPr>
            <w:r w:rsidRPr="0049300D">
              <w:rPr>
                <w:rFonts w:ascii="Times New Roman" w:hAnsi="Times New Roman" w:cs="Times New Roman"/>
                <w:b/>
                <w:bCs/>
                <w:sz w:val="24"/>
                <w:szCs w:val="24"/>
                <w:lang w:val="en-US"/>
              </w:rPr>
              <w:t>3.36</w:t>
            </w:r>
          </w:p>
        </w:tc>
        <w:tc>
          <w:tcPr>
            <w:tcW w:w="1035" w:type="dxa"/>
            <w:vAlign w:val="center"/>
          </w:tcPr>
          <w:p w14:paraId="5B4141F2" w14:textId="77777777"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r w:rsidRPr="0049300D">
              <w:rPr>
                <w:rFonts w:ascii="Times New Roman" w:hAnsi="Times New Roman" w:cs="Times New Roman"/>
                <w:sz w:val="24"/>
                <w:szCs w:val="24"/>
                <w:lang w:val="en-US"/>
              </w:rPr>
              <w:t>--</w:t>
            </w:r>
          </w:p>
        </w:tc>
      </w:tr>
    </w:tbl>
    <w:p w14:paraId="1AC1762E" w14:textId="7A34AE69" w:rsidR="006333D1" w:rsidRPr="0049300D" w:rsidRDefault="00901DC8" w:rsidP="00901DC8">
      <w:pPr>
        <w:tabs>
          <w:tab w:val="left" w:pos="851"/>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Primary data</w:t>
      </w:r>
    </w:p>
    <w:p w14:paraId="3C86EE37" w14:textId="77777777" w:rsidR="006333D1" w:rsidRPr="0049300D" w:rsidRDefault="006333D1" w:rsidP="000C52C0">
      <w:pPr>
        <w:tabs>
          <w:tab w:val="left" w:pos="851"/>
        </w:tabs>
        <w:spacing w:line="360" w:lineRule="auto"/>
        <w:jc w:val="center"/>
        <w:rPr>
          <w:rFonts w:ascii="Times New Roman" w:hAnsi="Times New Roman" w:cs="Times New Roman"/>
          <w:sz w:val="24"/>
          <w:szCs w:val="24"/>
          <w:lang w:val="en-US"/>
        </w:rPr>
      </w:pPr>
      <w:r w:rsidRPr="0049300D">
        <w:rPr>
          <w:noProof/>
        </w:rPr>
        <w:drawing>
          <wp:inline distT="0" distB="0" distL="0" distR="0" wp14:anchorId="4A06F334" wp14:editId="2DEBB900">
            <wp:extent cx="5844209" cy="3061252"/>
            <wp:effectExtent l="0" t="0" r="4445" b="6350"/>
            <wp:docPr id="1031864629" name="Chart 1">
              <a:extLst xmlns:a="http://schemas.openxmlformats.org/drawingml/2006/main">
                <a:ext uri="{FF2B5EF4-FFF2-40B4-BE49-F238E27FC236}">
                  <a16:creationId xmlns:a16="http://schemas.microsoft.com/office/drawing/2014/main" id="{F00642A2-62DF-670F-D9CA-246E87285C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F6D7911" w14:textId="3A51891D" w:rsidR="006333D1" w:rsidRPr="0049300D" w:rsidRDefault="006333D1" w:rsidP="000C52C0">
      <w:pPr>
        <w:tabs>
          <w:tab w:val="left" w:pos="851"/>
        </w:tabs>
        <w:spacing w:line="360" w:lineRule="auto"/>
        <w:jc w:val="center"/>
        <w:rPr>
          <w:rFonts w:ascii="Times New Roman" w:hAnsi="Times New Roman" w:cs="Times New Roman"/>
          <w:b/>
          <w:bCs/>
          <w:sz w:val="24"/>
          <w:szCs w:val="24"/>
          <w:lang w:val="en-US"/>
        </w:rPr>
      </w:pPr>
      <w:r w:rsidRPr="0049300D">
        <w:rPr>
          <w:rFonts w:ascii="Times New Roman" w:hAnsi="Times New Roman" w:cs="Times New Roman"/>
          <w:b/>
          <w:bCs/>
          <w:sz w:val="24"/>
          <w:szCs w:val="24"/>
          <w:lang w:val="en-US"/>
        </w:rPr>
        <w:t>Fig</w:t>
      </w:r>
      <w:r w:rsidR="004D44ED">
        <w:rPr>
          <w:rFonts w:ascii="Times New Roman" w:hAnsi="Times New Roman" w:cs="Times New Roman"/>
          <w:b/>
          <w:bCs/>
          <w:sz w:val="24"/>
          <w:szCs w:val="24"/>
          <w:lang w:val="en-US"/>
        </w:rPr>
        <w:t>. 4</w:t>
      </w:r>
      <w:r w:rsidRPr="0049300D">
        <w:rPr>
          <w:rFonts w:ascii="Times New Roman" w:hAnsi="Times New Roman" w:cs="Times New Roman"/>
          <w:b/>
          <w:bCs/>
          <w:sz w:val="24"/>
          <w:szCs w:val="24"/>
          <w:lang w:val="en-US"/>
        </w:rPr>
        <w:t xml:space="preserve"> Marketing Efficiency of </w:t>
      </w:r>
      <w:r w:rsidR="00901DC8">
        <w:rPr>
          <w:rFonts w:ascii="Times New Roman" w:hAnsi="Times New Roman" w:cs="Times New Roman"/>
          <w:b/>
          <w:bCs/>
          <w:sz w:val="24"/>
          <w:szCs w:val="24"/>
          <w:lang w:val="en-US"/>
        </w:rPr>
        <w:t xml:space="preserve">GI </w:t>
      </w:r>
      <w:r w:rsidRPr="0049300D">
        <w:rPr>
          <w:rFonts w:ascii="Times New Roman" w:hAnsi="Times New Roman" w:cs="Times New Roman"/>
          <w:b/>
          <w:bCs/>
          <w:sz w:val="24"/>
          <w:szCs w:val="24"/>
          <w:lang w:val="en-US"/>
        </w:rPr>
        <w:t xml:space="preserve">Madurai Malli          </w:t>
      </w:r>
    </w:p>
    <w:p w14:paraId="2C47B19B" w14:textId="29CE75FF" w:rsidR="00F15F5E" w:rsidRPr="008A4ED0" w:rsidRDefault="000C52C0" w:rsidP="008A4ED0">
      <w:pPr>
        <w:spacing w:line="360" w:lineRule="auto"/>
        <w:rPr>
          <w:rFonts w:ascii="Times New Roman" w:hAnsi="Times New Roman" w:cs="Times New Roman"/>
          <w:b/>
          <w:bCs/>
          <w:sz w:val="24"/>
          <w:szCs w:val="24"/>
        </w:rPr>
      </w:pPr>
      <w:r w:rsidRPr="000C52C0">
        <w:rPr>
          <w:rFonts w:ascii="Times New Roman" w:hAnsi="Times New Roman" w:cs="Times New Roman"/>
          <w:b/>
          <w:bCs/>
          <w:sz w:val="24"/>
          <w:szCs w:val="24"/>
        </w:rPr>
        <w:t>4. Conclusion</w:t>
      </w:r>
    </w:p>
    <w:p w14:paraId="68462B75" w14:textId="3A011583" w:rsidR="00BA1D13" w:rsidRPr="00BA1D13" w:rsidRDefault="00BA1D13" w:rsidP="00BA1D13">
      <w:pPr>
        <w:tabs>
          <w:tab w:val="left" w:pos="851"/>
        </w:tabs>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ab/>
      </w:r>
      <w:r w:rsidRPr="00BA1D13">
        <w:rPr>
          <w:rFonts w:ascii="Times New Roman" w:hAnsi="Times New Roman" w:cs="Times New Roman"/>
          <w:iCs/>
          <w:sz w:val="24"/>
          <w:szCs w:val="24"/>
        </w:rPr>
        <w:t xml:space="preserve">The analysis of Madurai Malli’s marketing channels reveals substantial differences in marketing efficiency, price realization and producer welfare across alternative routes. Marketing Channel III (Farmer → Trader → Retailer → Consumer) emerges as the most efficient and farmer-oriented pathway, as it delivers the highest net price to producers and the lowest price spread. The reduced number of intermediaries in this channel minimizes transaction costs and leakage of value, enabling farmers to capture a larger share of the </w:t>
      </w:r>
      <w:r w:rsidRPr="00BA1D13">
        <w:rPr>
          <w:rFonts w:ascii="Times New Roman" w:hAnsi="Times New Roman" w:cs="Times New Roman"/>
          <w:iCs/>
          <w:sz w:val="24"/>
          <w:szCs w:val="24"/>
        </w:rPr>
        <w:lastRenderedPageBreak/>
        <w:t>consumer price. In contrast, Marketing Channel II, which caters primarily to export markets, offers limited benefits to farmers due to high marketing costs, multiple intermediaries and a wide price spread, thereby diluting producer returns despite higher end-market prices.</w:t>
      </w:r>
    </w:p>
    <w:p w14:paraId="66FE1C3D" w14:textId="000BB0D1" w:rsidR="00BA1D13" w:rsidRPr="00BA1D13" w:rsidRDefault="00BA1D13" w:rsidP="00BA1D13">
      <w:pPr>
        <w:tabs>
          <w:tab w:val="left" w:pos="851"/>
        </w:tabs>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ab/>
      </w:r>
      <w:r w:rsidRPr="00BA1D13">
        <w:rPr>
          <w:rFonts w:ascii="Times New Roman" w:hAnsi="Times New Roman" w:cs="Times New Roman"/>
          <w:iCs/>
          <w:sz w:val="24"/>
          <w:szCs w:val="24"/>
        </w:rPr>
        <w:t>These findings underscore the importance of strengthening shorter and more transparent marketing chains to improve income security and livelihood sustainability for jasmine growers. Policy interventions should prioritize the promotion of direct farmer–retailer linkages, the formation of farmer producer organizations (FPOs), and the facilitation of collective marketing arrangements. Such measures can enhance farmers’ bargaining power, reduce dependency on intermediaries and ensure more equitable distribution of value across the supply chain.</w:t>
      </w:r>
    </w:p>
    <w:p w14:paraId="3D8E5037" w14:textId="63886FF7" w:rsidR="00BA1D13" w:rsidRPr="00BA1D13" w:rsidRDefault="00BA1D13" w:rsidP="00BA1D13">
      <w:pPr>
        <w:tabs>
          <w:tab w:val="left" w:pos="851"/>
        </w:tabs>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ab/>
      </w:r>
      <w:r w:rsidRPr="00BA1D13">
        <w:rPr>
          <w:rFonts w:ascii="Times New Roman" w:hAnsi="Times New Roman" w:cs="Times New Roman"/>
          <w:iCs/>
          <w:sz w:val="24"/>
          <w:szCs w:val="24"/>
        </w:rPr>
        <w:t>Furthermore, the study highlights the untapped potential of value-added marketing channels, such as MC IV, which involve processing and perfumery exports. While these channels hold promise for higher returns and market diversification, their development is constrained by limited infrastructure, inadequate market intelligence and insufficient data. Investments in cold chain facilities, processing units, branding and quality certification, along with institutional support and market access, are essential to unlock these opportunities. Overall, the study concludes that a strategic focus on efficient value chain governance, capacity building and infrastructure development can significantly enhance the market potential of Madurai Malli, strengthen farmer livelihoods and promote the long-term sustainability of GI-certified jasmine.</w:t>
      </w:r>
    </w:p>
    <w:p w14:paraId="7A195C9C" w14:textId="3A02D32B" w:rsidR="00BC36DA" w:rsidRDefault="00BC36DA" w:rsidP="00F15F5E">
      <w:pPr>
        <w:tabs>
          <w:tab w:val="left" w:pos="851"/>
        </w:tabs>
        <w:spacing w:after="0" w:line="360" w:lineRule="auto"/>
        <w:jc w:val="both"/>
        <w:rPr>
          <w:rFonts w:ascii="Times New Roman" w:hAnsi="Times New Roman" w:cs="Times New Roman"/>
          <w:iCs/>
          <w:sz w:val="24"/>
          <w:szCs w:val="24"/>
        </w:rPr>
      </w:pPr>
    </w:p>
    <w:p w14:paraId="138EE28D" w14:textId="77777777" w:rsidR="00BC36DA" w:rsidRPr="00BC36DA" w:rsidRDefault="00BC36DA" w:rsidP="00BC36DA">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val="en-GB" w:eastAsia="en-IN"/>
          <w14:ligatures w14:val="none"/>
        </w:rPr>
      </w:pPr>
      <w:bookmarkStart w:id="0" w:name="_Hlk218867759"/>
      <w:r w:rsidRPr="00BC36DA">
        <w:rPr>
          <w:rFonts w:ascii="Times New Roman" w:eastAsia="Times New Roman" w:hAnsi="Times New Roman" w:cs="Times New Roman"/>
          <w:bCs/>
          <w:kern w:val="0"/>
          <w:sz w:val="24"/>
          <w:szCs w:val="24"/>
          <w:highlight w:val="yellow"/>
          <w:lang w:val="en-GB" w:eastAsia="en-IN"/>
          <w14:ligatures w14:val="none"/>
        </w:rPr>
        <w:t>Disclaimer (Artificial intelligence)</w:t>
      </w:r>
    </w:p>
    <w:p w14:paraId="6B95EE9F" w14:textId="77777777" w:rsidR="00BC36DA" w:rsidRPr="00BC36DA" w:rsidRDefault="00BC36DA" w:rsidP="00BC36DA">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BC36DA">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BC36DA">
        <w:rPr>
          <w:rFonts w:ascii="Times New Roman" w:eastAsia="Times New Roman" w:hAnsi="Times New Roman" w:cs="Times New Roman"/>
          <w:bCs/>
          <w:kern w:val="0"/>
          <w:sz w:val="24"/>
          <w:szCs w:val="24"/>
          <w:lang w:val="en-GB" w:eastAsia="en-IN"/>
          <w14:ligatures w14:val="none"/>
        </w:rPr>
        <w:t xml:space="preserve"> </w:t>
      </w:r>
    </w:p>
    <w:bookmarkEnd w:id="0"/>
    <w:p w14:paraId="196BF443" w14:textId="77777777" w:rsidR="00BC36DA" w:rsidRDefault="00BC36DA" w:rsidP="00F15F5E">
      <w:pPr>
        <w:tabs>
          <w:tab w:val="left" w:pos="851"/>
        </w:tabs>
        <w:spacing w:after="0" w:line="360" w:lineRule="auto"/>
        <w:jc w:val="both"/>
        <w:rPr>
          <w:rFonts w:ascii="Times New Roman" w:hAnsi="Times New Roman" w:cs="Times New Roman"/>
          <w:iCs/>
          <w:sz w:val="24"/>
          <w:szCs w:val="24"/>
        </w:rPr>
      </w:pPr>
    </w:p>
    <w:p w14:paraId="4A2C0DFA" w14:textId="77777777" w:rsidR="002D0EFC" w:rsidRDefault="002D0EFC" w:rsidP="00F15F5E">
      <w:pPr>
        <w:tabs>
          <w:tab w:val="left" w:pos="851"/>
        </w:tabs>
        <w:spacing w:after="0" w:line="360" w:lineRule="auto"/>
        <w:jc w:val="both"/>
        <w:rPr>
          <w:rFonts w:ascii="Times New Roman" w:hAnsi="Times New Roman" w:cs="Times New Roman"/>
          <w:iCs/>
          <w:sz w:val="24"/>
          <w:szCs w:val="24"/>
        </w:rPr>
      </w:pPr>
    </w:p>
    <w:p w14:paraId="2E8DDCE5" w14:textId="77777777" w:rsidR="004D066B" w:rsidRDefault="004D066B" w:rsidP="003B3D68">
      <w:pPr>
        <w:spacing w:after="0" w:line="360" w:lineRule="auto"/>
        <w:rPr>
          <w:rFonts w:ascii="Times New Roman" w:hAnsi="Times New Roman" w:cs="Times New Roman"/>
          <w:iCs/>
          <w:sz w:val="24"/>
          <w:szCs w:val="24"/>
        </w:rPr>
      </w:pPr>
    </w:p>
    <w:p w14:paraId="2D43A889" w14:textId="62533E67" w:rsidR="00937F7C" w:rsidRPr="00EF31FF" w:rsidRDefault="00937F7C" w:rsidP="003B3D68">
      <w:pPr>
        <w:spacing w:after="0" w:line="360" w:lineRule="auto"/>
        <w:rPr>
          <w:rFonts w:ascii="Times New Roman" w:hAnsi="Times New Roman" w:cs="Times New Roman"/>
          <w:b/>
          <w:bCs/>
          <w:sz w:val="28"/>
          <w:szCs w:val="28"/>
        </w:rPr>
      </w:pPr>
      <w:r w:rsidRPr="00EF31FF">
        <w:rPr>
          <w:rFonts w:ascii="Times New Roman" w:hAnsi="Times New Roman" w:cs="Times New Roman"/>
          <w:b/>
          <w:bCs/>
          <w:sz w:val="28"/>
          <w:szCs w:val="28"/>
        </w:rPr>
        <w:t>References:</w:t>
      </w:r>
    </w:p>
    <w:p w14:paraId="094ED6A0" w14:textId="77777777" w:rsidR="00D76F7B" w:rsidRPr="00834C77" w:rsidRDefault="00D76F7B" w:rsidP="003B3D68">
      <w:pPr>
        <w:pStyle w:val="BodyText"/>
        <w:numPr>
          <w:ilvl w:val="0"/>
          <w:numId w:val="6"/>
        </w:numPr>
        <w:spacing w:before="0" w:line="360" w:lineRule="auto"/>
        <w:ind w:left="426" w:right="29"/>
      </w:pPr>
      <w:r w:rsidRPr="00834C77">
        <w:t xml:space="preserve">Acharya, S. S., &amp; Agarwal, N. L. (2009). Agricultural Marketing in India. Oxford &amp; IBH </w:t>
      </w:r>
      <w:r w:rsidRPr="00834C77">
        <w:rPr>
          <w:spacing w:val="-2"/>
        </w:rPr>
        <w:t>Publishing.</w:t>
      </w:r>
    </w:p>
    <w:p w14:paraId="308C76FE" w14:textId="77777777" w:rsidR="00D76F7B" w:rsidRPr="00834C77" w:rsidRDefault="00D76F7B" w:rsidP="003B3D68">
      <w:pPr>
        <w:pStyle w:val="BodyText"/>
        <w:numPr>
          <w:ilvl w:val="0"/>
          <w:numId w:val="6"/>
        </w:numPr>
        <w:spacing w:before="0" w:line="360" w:lineRule="auto"/>
        <w:ind w:left="426" w:right="21"/>
      </w:pPr>
      <w:r w:rsidRPr="00834C77">
        <w:t xml:space="preserve">Basavaraj, G, C Rashmitha, SS Pramod Nayak, and GK </w:t>
      </w:r>
      <w:proofErr w:type="spellStart"/>
      <w:r w:rsidRPr="00834C77">
        <w:t>Seetharamu</w:t>
      </w:r>
      <w:proofErr w:type="spellEnd"/>
      <w:r w:rsidRPr="00834C77">
        <w:t xml:space="preserve">. 2023. "GI-tagged </w:t>
      </w:r>
      <w:proofErr w:type="spellStart"/>
      <w:r w:rsidRPr="00834C77">
        <w:t>Hadagali</w:t>
      </w:r>
      <w:proofErr w:type="spellEnd"/>
      <w:r w:rsidRPr="00834C77">
        <w:t xml:space="preserve"> jasmine in Karnataka-A production and marketing analysis."</w:t>
      </w:r>
      <w:r w:rsidRPr="00834C77">
        <w:rPr>
          <w:spacing w:val="40"/>
        </w:rPr>
        <w:t xml:space="preserve"> </w:t>
      </w:r>
      <w:r w:rsidRPr="00834C77">
        <w:rPr>
          <w:i/>
        </w:rPr>
        <w:t xml:space="preserve">Journal of Applied </w:t>
      </w:r>
      <w:r w:rsidRPr="00834C77">
        <w:rPr>
          <w:i/>
        </w:rPr>
        <w:lastRenderedPageBreak/>
        <w:t xml:space="preserve">Horticulture </w:t>
      </w:r>
      <w:r w:rsidRPr="00834C77">
        <w:t>25 (3):260-262.</w:t>
      </w:r>
    </w:p>
    <w:p w14:paraId="17BDB0F6" w14:textId="77777777" w:rsidR="00D76F7B" w:rsidRPr="00470164" w:rsidRDefault="00D76F7B" w:rsidP="00D76F7B">
      <w:pPr>
        <w:pStyle w:val="EndNoteBibliography"/>
        <w:numPr>
          <w:ilvl w:val="0"/>
          <w:numId w:val="6"/>
        </w:numPr>
        <w:spacing w:line="360" w:lineRule="auto"/>
        <w:ind w:left="426"/>
        <w:rPr>
          <w:rFonts w:ascii="Times New Roman" w:hAnsi="Times New Roman" w:cs="Times New Roman"/>
          <w:sz w:val="24"/>
          <w:szCs w:val="24"/>
        </w:rPr>
      </w:pPr>
      <w:r w:rsidRPr="00B02E96">
        <w:rPr>
          <w:rFonts w:ascii="Times New Roman" w:hAnsi="Times New Roman" w:cs="Times New Roman"/>
          <w:sz w:val="24"/>
          <w:szCs w:val="24"/>
          <w:lang w:val="it-IT"/>
        </w:rPr>
        <w:t xml:space="preserve">Castro, Virginia Aparecida, and Janaina de Moura Engracia Giraldi. </w:t>
      </w:r>
      <w:r w:rsidRPr="00470164">
        <w:rPr>
          <w:rFonts w:ascii="Times New Roman" w:hAnsi="Times New Roman" w:cs="Times New Roman"/>
          <w:sz w:val="24"/>
          <w:szCs w:val="24"/>
        </w:rPr>
        <w:t xml:space="preserve">2018. "Shared brands and sustainable competitive advantage in the Brazilian wine sector."  </w:t>
      </w:r>
      <w:r w:rsidRPr="00470164">
        <w:rPr>
          <w:rFonts w:ascii="Times New Roman" w:hAnsi="Times New Roman" w:cs="Times New Roman"/>
          <w:i/>
          <w:sz w:val="24"/>
          <w:szCs w:val="24"/>
        </w:rPr>
        <w:t>International Journal of Wine Business Research</w:t>
      </w:r>
      <w:r w:rsidRPr="00470164">
        <w:rPr>
          <w:rFonts w:ascii="Times New Roman" w:hAnsi="Times New Roman" w:cs="Times New Roman"/>
          <w:sz w:val="24"/>
          <w:szCs w:val="24"/>
        </w:rPr>
        <w:t xml:space="preserve"> 30 (2):243-259.</w:t>
      </w:r>
    </w:p>
    <w:p w14:paraId="633A9A2B" w14:textId="77777777" w:rsidR="00D76F7B" w:rsidRPr="007C53B4" w:rsidRDefault="00D76F7B" w:rsidP="00D76F7B">
      <w:pPr>
        <w:pStyle w:val="EndNoteBibliography"/>
        <w:numPr>
          <w:ilvl w:val="0"/>
          <w:numId w:val="6"/>
        </w:numPr>
        <w:spacing w:line="360" w:lineRule="auto"/>
        <w:ind w:left="426"/>
        <w:rPr>
          <w:rFonts w:ascii="Times New Roman" w:hAnsi="Times New Roman" w:cs="Times New Roman"/>
          <w:sz w:val="24"/>
          <w:szCs w:val="24"/>
        </w:rPr>
      </w:pPr>
      <w:r w:rsidRPr="007C53B4">
        <w:rPr>
          <w:rFonts w:ascii="Times New Roman" w:hAnsi="Times New Roman" w:cs="Times New Roman"/>
          <w:sz w:val="24"/>
          <w:szCs w:val="24"/>
        </w:rPr>
        <w:t xml:space="preserve">Dias, Claudia, and Luís Mendes. 2018. "Protected designation of origin (PDO), protected geographical indication (PGI) and traditional speciality guaranteed (TSG): A bibiliometric analysis."  </w:t>
      </w:r>
      <w:r w:rsidRPr="007C53B4">
        <w:rPr>
          <w:rFonts w:ascii="Times New Roman" w:hAnsi="Times New Roman" w:cs="Times New Roman"/>
          <w:i/>
          <w:sz w:val="24"/>
          <w:szCs w:val="24"/>
        </w:rPr>
        <w:t>Food Research International</w:t>
      </w:r>
      <w:r w:rsidRPr="007C53B4">
        <w:rPr>
          <w:rFonts w:ascii="Times New Roman" w:hAnsi="Times New Roman" w:cs="Times New Roman"/>
          <w:sz w:val="24"/>
          <w:szCs w:val="24"/>
        </w:rPr>
        <w:t xml:space="preserve"> 103:492-508.</w:t>
      </w:r>
    </w:p>
    <w:p w14:paraId="5A39446D" w14:textId="77777777" w:rsidR="00D76F7B" w:rsidRPr="00834C77" w:rsidRDefault="00D76F7B" w:rsidP="003B3D68">
      <w:pPr>
        <w:pStyle w:val="ListParagraph"/>
        <w:numPr>
          <w:ilvl w:val="0"/>
          <w:numId w:val="6"/>
        </w:numPr>
        <w:spacing w:before="200" w:line="360" w:lineRule="auto"/>
        <w:ind w:left="426"/>
        <w:jc w:val="both"/>
        <w:rPr>
          <w:rFonts w:ascii="Times New Roman" w:hAnsi="Times New Roman" w:cs="Times New Roman"/>
          <w:sz w:val="24"/>
          <w:szCs w:val="24"/>
        </w:rPr>
      </w:pPr>
      <w:r w:rsidRPr="00834C77">
        <w:rPr>
          <w:rFonts w:ascii="Times New Roman" w:hAnsi="Times New Roman" w:cs="Times New Roman"/>
          <w:sz w:val="24"/>
          <w:szCs w:val="24"/>
        </w:rPr>
        <w:t>Dinnie,</w:t>
      </w:r>
      <w:r w:rsidRPr="00834C77">
        <w:rPr>
          <w:rFonts w:ascii="Times New Roman" w:hAnsi="Times New Roman" w:cs="Times New Roman"/>
          <w:spacing w:val="-1"/>
          <w:sz w:val="24"/>
          <w:szCs w:val="24"/>
        </w:rPr>
        <w:t xml:space="preserve"> </w:t>
      </w:r>
      <w:r w:rsidRPr="00834C77">
        <w:rPr>
          <w:rFonts w:ascii="Times New Roman" w:hAnsi="Times New Roman" w:cs="Times New Roman"/>
          <w:sz w:val="24"/>
          <w:szCs w:val="24"/>
        </w:rPr>
        <w:t>Keith.</w:t>
      </w:r>
      <w:r w:rsidRPr="00834C77">
        <w:rPr>
          <w:rFonts w:ascii="Times New Roman" w:hAnsi="Times New Roman" w:cs="Times New Roman"/>
          <w:spacing w:val="-1"/>
          <w:sz w:val="24"/>
          <w:szCs w:val="24"/>
        </w:rPr>
        <w:t xml:space="preserve"> </w:t>
      </w:r>
      <w:r w:rsidRPr="00834C77">
        <w:rPr>
          <w:rFonts w:ascii="Times New Roman" w:hAnsi="Times New Roman" w:cs="Times New Roman"/>
          <w:sz w:val="24"/>
          <w:szCs w:val="24"/>
        </w:rPr>
        <w:t xml:space="preserve">2015. </w:t>
      </w:r>
      <w:r w:rsidRPr="00834C77">
        <w:rPr>
          <w:rFonts w:ascii="Times New Roman" w:hAnsi="Times New Roman" w:cs="Times New Roman"/>
          <w:i/>
          <w:sz w:val="24"/>
          <w:szCs w:val="24"/>
        </w:rPr>
        <w:t>Nation</w:t>
      </w:r>
      <w:r w:rsidRPr="00834C77">
        <w:rPr>
          <w:rFonts w:ascii="Times New Roman" w:hAnsi="Times New Roman" w:cs="Times New Roman"/>
          <w:i/>
          <w:spacing w:val="-1"/>
          <w:sz w:val="24"/>
          <w:szCs w:val="24"/>
        </w:rPr>
        <w:t xml:space="preserve"> </w:t>
      </w:r>
      <w:r w:rsidRPr="00834C77">
        <w:rPr>
          <w:rFonts w:ascii="Times New Roman" w:hAnsi="Times New Roman" w:cs="Times New Roman"/>
          <w:i/>
          <w:sz w:val="24"/>
          <w:szCs w:val="24"/>
        </w:rPr>
        <w:t>branding:</w:t>
      </w:r>
      <w:r w:rsidRPr="00834C77">
        <w:rPr>
          <w:rFonts w:ascii="Times New Roman" w:hAnsi="Times New Roman" w:cs="Times New Roman"/>
          <w:i/>
          <w:spacing w:val="-1"/>
          <w:sz w:val="24"/>
          <w:szCs w:val="24"/>
        </w:rPr>
        <w:t xml:space="preserve"> </w:t>
      </w:r>
      <w:r w:rsidRPr="00834C77">
        <w:rPr>
          <w:rFonts w:ascii="Times New Roman" w:hAnsi="Times New Roman" w:cs="Times New Roman"/>
          <w:i/>
          <w:sz w:val="24"/>
          <w:szCs w:val="24"/>
        </w:rPr>
        <w:t>Concepts, issues,</w:t>
      </w:r>
      <w:r w:rsidRPr="00834C77">
        <w:rPr>
          <w:rFonts w:ascii="Times New Roman" w:hAnsi="Times New Roman" w:cs="Times New Roman"/>
          <w:i/>
          <w:spacing w:val="-1"/>
          <w:sz w:val="24"/>
          <w:szCs w:val="24"/>
        </w:rPr>
        <w:t xml:space="preserve"> </w:t>
      </w:r>
      <w:r w:rsidRPr="00834C77">
        <w:rPr>
          <w:rFonts w:ascii="Times New Roman" w:hAnsi="Times New Roman" w:cs="Times New Roman"/>
          <w:i/>
          <w:sz w:val="24"/>
          <w:szCs w:val="24"/>
        </w:rPr>
        <w:t>practice</w:t>
      </w:r>
      <w:r w:rsidRPr="00834C77">
        <w:rPr>
          <w:rFonts w:ascii="Times New Roman" w:hAnsi="Times New Roman" w:cs="Times New Roman"/>
          <w:sz w:val="24"/>
          <w:szCs w:val="24"/>
        </w:rPr>
        <w:t xml:space="preserve">: </w:t>
      </w:r>
      <w:r w:rsidRPr="00834C77">
        <w:rPr>
          <w:rFonts w:ascii="Times New Roman" w:hAnsi="Times New Roman" w:cs="Times New Roman"/>
          <w:spacing w:val="-2"/>
          <w:sz w:val="24"/>
          <w:szCs w:val="24"/>
        </w:rPr>
        <w:t>Routledge.</w:t>
      </w:r>
    </w:p>
    <w:p w14:paraId="6202FD83" w14:textId="77777777" w:rsidR="00D76F7B" w:rsidRPr="007C53B4" w:rsidRDefault="00D76F7B" w:rsidP="00D76F7B">
      <w:pPr>
        <w:pStyle w:val="EndNoteBibliography"/>
        <w:numPr>
          <w:ilvl w:val="0"/>
          <w:numId w:val="6"/>
        </w:numPr>
        <w:spacing w:line="360" w:lineRule="auto"/>
        <w:ind w:left="426"/>
        <w:rPr>
          <w:rFonts w:ascii="Times New Roman" w:hAnsi="Times New Roman" w:cs="Times New Roman"/>
          <w:sz w:val="24"/>
          <w:szCs w:val="24"/>
        </w:rPr>
      </w:pPr>
      <w:r w:rsidRPr="007C53B4">
        <w:rPr>
          <w:rFonts w:ascii="Times New Roman" w:hAnsi="Times New Roman" w:cs="Times New Roman"/>
          <w:sz w:val="24"/>
          <w:szCs w:val="24"/>
        </w:rPr>
        <w:t xml:space="preserve">Giovannucci, Daniele, Timothy Edward Josling, William Kerr, Bernard O'Connor, and May T Yeung. 2009. </w:t>
      </w:r>
      <w:r w:rsidRPr="007C53B4">
        <w:rPr>
          <w:rFonts w:ascii="Times New Roman" w:hAnsi="Times New Roman" w:cs="Times New Roman"/>
          <w:i/>
          <w:sz w:val="24"/>
          <w:szCs w:val="24"/>
        </w:rPr>
        <w:t>Guide to Geographical Indications: Linking products and their origins</w:t>
      </w:r>
      <w:r w:rsidRPr="007C53B4">
        <w:rPr>
          <w:rFonts w:ascii="Times New Roman" w:hAnsi="Times New Roman" w:cs="Times New Roman"/>
          <w:sz w:val="24"/>
          <w:szCs w:val="24"/>
        </w:rPr>
        <w:t>: International trade centre Geneva.</w:t>
      </w:r>
    </w:p>
    <w:p w14:paraId="27C4645B" w14:textId="77777777" w:rsidR="00D76F7B" w:rsidRPr="00834C77" w:rsidRDefault="00D76F7B" w:rsidP="003B3D68">
      <w:pPr>
        <w:pStyle w:val="ListParagraph"/>
        <w:numPr>
          <w:ilvl w:val="0"/>
          <w:numId w:val="6"/>
        </w:numPr>
        <w:spacing w:line="360" w:lineRule="auto"/>
        <w:ind w:left="426"/>
        <w:jc w:val="both"/>
        <w:rPr>
          <w:rFonts w:ascii="Times New Roman" w:hAnsi="Times New Roman" w:cs="Times New Roman"/>
          <w:sz w:val="24"/>
          <w:szCs w:val="24"/>
        </w:rPr>
      </w:pPr>
      <w:r w:rsidRPr="00834C77">
        <w:rPr>
          <w:rFonts w:ascii="Times New Roman" w:hAnsi="Times New Roman" w:cs="Times New Roman"/>
          <w:sz w:val="24"/>
          <w:szCs w:val="24"/>
        </w:rPr>
        <w:t>GTZ, (2007) The methodology of Value Chain Promotion. Value Link Manual 1st ed. Retrieved on March 11, 2024 at website http://api.ning.com/files/PiMcEmGOfyUECsnrRD6fij0Qrg64YSJO4AG76UMTGIE_/VCAGTZvaluelinksmanual.pdf</w:t>
      </w:r>
    </w:p>
    <w:p w14:paraId="344AC1C3" w14:textId="77777777" w:rsidR="00D76F7B" w:rsidRPr="00834C77" w:rsidRDefault="00D76F7B" w:rsidP="003B3D68">
      <w:pPr>
        <w:pStyle w:val="ListParagraph"/>
        <w:numPr>
          <w:ilvl w:val="0"/>
          <w:numId w:val="6"/>
        </w:numPr>
        <w:spacing w:line="360" w:lineRule="auto"/>
        <w:ind w:left="426"/>
        <w:jc w:val="both"/>
        <w:rPr>
          <w:rFonts w:ascii="Times New Roman" w:hAnsi="Times New Roman" w:cs="Times New Roman"/>
          <w:sz w:val="24"/>
          <w:szCs w:val="24"/>
          <w:lang w:val="en-US"/>
        </w:rPr>
      </w:pPr>
      <w:r w:rsidRPr="00834C77">
        <w:rPr>
          <w:rFonts w:ascii="Times New Roman" w:hAnsi="Times New Roman" w:cs="Times New Roman"/>
          <w:sz w:val="24"/>
          <w:szCs w:val="24"/>
        </w:rPr>
        <w:t>Henry, J., Bennie, G., &amp; Gerhard, R. (2014). Conceptual framework for value chain analysis for poverty alleviation among smallholder farmers. </w:t>
      </w:r>
      <w:proofErr w:type="spellStart"/>
      <w:r w:rsidRPr="00834C77">
        <w:rPr>
          <w:rFonts w:ascii="Times New Roman" w:hAnsi="Times New Roman" w:cs="Times New Roman"/>
          <w:i/>
          <w:iCs/>
          <w:sz w:val="24"/>
          <w:szCs w:val="24"/>
        </w:rPr>
        <w:t>Agrekon</w:t>
      </w:r>
      <w:proofErr w:type="spellEnd"/>
      <w:r w:rsidRPr="00834C77">
        <w:rPr>
          <w:rFonts w:ascii="Times New Roman" w:hAnsi="Times New Roman" w:cs="Times New Roman"/>
          <w:i/>
          <w:iCs/>
          <w:sz w:val="24"/>
          <w:szCs w:val="24"/>
        </w:rPr>
        <w:t>: Agricultural Economics Research, Policy and Practice in Southern Africa</w:t>
      </w:r>
      <w:r w:rsidRPr="00834C77">
        <w:rPr>
          <w:rFonts w:ascii="Times New Roman" w:hAnsi="Times New Roman" w:cs="Times New Roman"/>
          <w:sz w:val="24"/>
          <w:szCs w:val="24"/>
        </w:rPr>
        <w:t>, 53(1), 1–25. </w:t>
      </w:r>
      <w:hyperlink r:id="rId17" w:tgtFrame="_blank" w:history="1">
        <w:r w:rsidRPr="00834C77">
          <w:rPr>
            <w:rStyle w:val="Hyperlink"/>
            <w:rFonts w:ascii="Times New Roman" w:hAnsi="Times New Roman" w:cs="Times New Roman"/>
            <w:sz w:val="24"/>
            <w:szCs w:val="24"/>
          </w:rPr>
          <w:t>https://doi.org/10.1080/03031853.2014.887903(open in a new window)</w:t>
        </w:r>
      </w:hyperlink>
      <w:r w:rsidRPr="00834C77">
        <w:rPr>
          <w:rFonts w:ascii="Times New Roman" w:hAnsi="Times New Roman" w:cs="Times New Roman"/>
          <w:sz w:val="24"/>
          <w:szCs w:val="24"/>
          <w:lang w:val="en-US"/>
        </w:rPr>
        <w:t>.</w:t>
      </w:r>
    </w:p>
    <w:p w14:paraId="32F8335A" w14:textId="77777777" w:rsidR="00D76F7B" w:rsidRPr="00470164" w:rsidRDefault="00D76F7B" w:rsidP="00D76F7B">
      <w:pPr>
        <w:pStyle w:val="EndNoteBibliography"/>
        <w:numPr>
          <w:ilvl w:val="0"/>
          <w:numId w:val="6"/>
        </w:numPr>
        <w:spacing w:line="360" w:lineRule="auto"/>
        <w:ind w:left="426"/>
        <w:rPr>
          <w:rFonts w:ascii="Times New Roman" w:hAnsi="Times New Roman" w:cs="Times New Roman"/>
          <w:sz w:val="24"/>
          <w:szCs w:val="24"/>
        </w:rPr>
      </w:pPr>
      <w:r w:rsidRPr="00470164">
        <w:rPr>
          <w:rFonts w:ascii="Times New Roman" w:hAnsi="Times New Roman" w:cs="Times New Roman"/>
          <w:sz w:val="24"/>
          <w:szCs w:val="24"/>
        </w:rPr>
        <w:t xml:space="preserve">Kaplinsky, Raphael, and Mike Morris. 2000. </w:t>
      </w:r>
      <w:r w:rsidRPr="00470164">
        <w:rPr>
          <w:rFonts w:ascii="Times New Roman" w:hAnsi="Times New Roman" w:cs="Times New Roman"/>
          <w:i/>
          <w:sz w:val="24"/>
          <w:szCs w:val="24"/>
        </w:rPr>
        <w:t>A handbook for value chain research</w:t>
      </w:r>
      <w:r w:rsidRPr="00470164">
        <w:rPr>
          <w:rFonts w:ascii="Times New Roman" w:hAnsi="Times New Roman" w:cs="Times New Roman"/>
          <w:sz w:val="24"/>
          <w:szCs w:val="24"/>
        </w:rPr>
        <w:t>. Vol. 113: University of Sussex, Institute of Development Studies Brighton.</w:t>
      </w:r>
    </w:p>
    <w:p w14:paraId="76D6D18B" w14:textId="77777777" w:rsidR="00D76F7B" w:rsidRPr="00834C77" w:rsidRDefault="00D76F7B" w:rsidP="003B3D68">
      <w:pPr>
        <w:pStyle w:val="ListParagraph"/>
        <w:numPr>
          <w:ilvl w:val="0"/>
          <w:numId w:val="6"/>
        </w:numPr>
        <w:spacing w:before="198" w:after="0" w:line="360" w:lineRule="auto"/>
        <w:ind w:left="426" w:right="17"/>
        <w:jc w:val="both"/>
        <w:rPr>
          <w:rFonts w:ascii="Times New Roman" w:hAnsi="Times New Roman" w:cs="Times New Roman"/>
          <w:sz w:val="24"/>
          <w:szCs w:val="24"/>
        </w:rPr>
      </w:pPr>
      <w:proofErr w:type="spellStart"/>
      <w:r w:rsidRPr="00834C77">
        <w:rPr>
          <w:rFonts w:ascii="Times New Roman" w:hAnsi="Times New Roman" w:cs="Times New Roman"/>
          <w:sz w:val="24"/>
          <w:szCs w:val="24"/>
        </w:rPr>
        <w:t>Manivenkatesh</w:t>
      </w:r>
      <w:proofErr w:type="spellEnd"/>
      <w:r w:rsidRPr="00834C77">
        <w:rPr>
          <w:rFonts w:ascii="Times New Roman" w:hAnsi="Times New Roman" w:cs="Times New Roman"/>
          <w:sz w:val="24"/>
          <w:szCs w:val="24"/>
        </w:rPr>
        <w:t>, KS, S Selvanayaki, M Nirmala Devi, and M Pandiyan. 2020. "Value chain analysis</w:t>
      </w:r>
      <w:r w:rsidRPr="00834C77">
        <w:rPr>
          <w:rFonts w:ascii="Times New Roman" w:hAnsi="Times New Roman" w:cs="Times New Roman"/>
          <w:spacing w:val="-7"/>
          <w:sz w:val="24"/>
          <w:szCs w:val="24"/>
        </w:rPr>
        <w:t xml:space="preserve"> </w:t>
      </w:r>
      <w:r w:rsidRPr="00834C77">
        <w:rPr>
          <w:rFonts w:ascii="Times New Roman" w:hAnsi="Times New Roman" w:cs="Times New Roman"/>
          <w:sz w:val="24"/>
          <w:szCs w:val="24"/>
        </w:rPr>
        <w:t>of</w:t>
      </w:r>
      <w:r w:rsidRPr="00834C77">
        <w:rPr>
          <w:rFonts w:ascii="Times New Roman" w:hAnsi="Times New Roman" w:cs="Times New Roman"/>
          <w:spacing w:val="-8"/>
          <w:sz w:val="24"/>
          <w:szCs w:val="24"/>
        </w:rPr>
        <w:t xml:space="preserve"> </w:t>
      </w:r>
      <w:r w:rsidRPr="00834C77">
        <w:rPr>
          <w:rFonts w:ascii="Times New Roman" w:hAnsi="Times New Roman" w:cs="Times New Roman"/>
          <w:sz w:val="24"/>
          <w:szCs w:val="24"/>
        </w:rPr>
        <w:t>jasmine</w:t>
      </w:r>
      <w:r w:rsidRPr="00834C77">
        <w:rPr>
          <w:rFonts w:ascii="Times New Roman" w:hAnsi="Times New Roman" w:cs="Times New Roman"/>
          <w:spacing w:val="-7"/>
          <w:sz w:val="24"/>
          <w:szCs w:val="24"/>
        </w:rPr>
        <w:t xml:space="preserve"> </w:t>
      </w:r>
      <w:r w:rsidRPr="00834C77">
        <w:rPr>
          <w:rFonts w:ascii="Times New Roman" w:hAnsi="Times New Roman" w:cs="Times New Roman"/>
          <w:sz w:val="24"/>
          <w:szCs w:val="24"/>
        </w:rPr>
        <w:t>in</w:t>
      </w:r>
      <w:r w:rsidRPr="00834C77">
        <w:rPr>
          <w:rFonts w:ascii="Times New Roman" w:hAnsi="Times New Roman" w:cs="Times New Roman"/>
          <w:spacing w:val="-6"/>
          <w:sz w:val="24"/>
          <w:szCs w:val="24"/>
        </w:rPr>
        <w:t xml:space="preserve"> </w:t>
      </w:r>
      <w:r w:rsidRPr="00834C77">
        <w:rPr>
          <w:rFonts w:ascii="Times New Roman" w:hAnsi="Times New Roman" w:cs="Times New Roman"/>
          <w:sz w:val="24"/>
          <w:szCs w:val="24"/>
        </w:rPr>
        <w:t>Madurai</w:t>
      </w:r>
      <w:r w:rsidRPr="00834C77">
        <w:rPr>
          <w:rFonts w:ascii="Times New Roman" w:hAnsi="Times New Roman" w:cs="Times New Roman"/>
          <w:spacing w:val="-6"/>
          <w:sz w:val="24"/>
          <w:szCs w:val="24"/>
        </w:rPr>
        <w:t xml:space="preserve"> </w:t>
      </w:r>
      <w:r w:rsidRPr="00834C77">
        <w:rPr>
          <w:rFonts w:ascii="Times New Roman" w:hAnsi="Times New Roman" w:cs="Times New Roman"/>
          <w:sz w:val="24"/>
          <w:szCs w:val="24"/>
        </w:rPr>
        <w:t>district</w:t>
      </w:r>
      <w:r w:rsidRPr="00834C77">
        <w:rPr>
          <w:rFonts w:ascii="Times New Roman" w:hAnsi="Times New Roman" w:cs="Times New Roman"/>
          <w:spacing w:val="-6"/>
          <w:sz w:val="24"/>
          <w:szCs w:val="24"/>
        </w:rPr>
        <w:t xml:space="preserve"> </w:t>
      </w:r>
      <w:r w:rsidRPr="00834C77">
        <w:rPr>
          <w:rFonts w:ascii="Times New Roman" w:hAnsi="Times New Roman" w:cs="Times New Roman"/>
          <w:sz w:val="24"/>
          <w:szCs w:val="24"/>
        </w:rPr>
        <w:t>of</w:t>
      </w:r>
      <w:r w:rsidRPr="00834C77">
        <w:rPr>
          <w:rFonts w:ascii="Times New Roman" w:hAnsi="Times New Roman" w:cs="Times New Roman"/>
          <w:spacing w:val="-8"/>
          <w:sz w:val="24"/>
          <w:szCs w:val="24"/>
        </w:rPr>
        <w:t xml:space="preserve"> </w:t>
      </w:r>
      <w:r w:rsidRPr="00834C77">
        <w:rPr>
          <w:rFonts w:ascii="Times New Roman" w:hAnsi="Times New Roman" w:cs="Times New Roman"/>
          <w:sz w:val="24"/>
          <w:szCs w:val="24"/>
        </w:rPr>
        <w:t>Tamil</w:t>
      </w:r>
      <w:r w:rsidRPr="00834C77">
        <w:rPr>
          <w:rFonts w:ascii="Times New Roman" w:hAnsi="Times New Roman" w:cs="Times New Roman"/>
          <w:spacing w:val="-6"/>
          <w:sz w:val="24"/>
          <w:szCs w:val="24"/>
        </w:rPr>
        <w:t xml:space="preserve"> </w:t>
      </w:r>
      <w:r w:rsidRPr="00834C77">
        <w:rPr>
          <w:rFonts w:ascii="Times New Roman" w:hAnsi="Times New Roman" w:cs="Times New Roman"/>
          <w:sz w:val="24"/>
          <w:szCs w:val="24"/>
        </w:rPr>
        <w:t>Nadu."</w:t>
      </w:r>
      <w:r w:rsidRPr="00834C77">
        <w:rPr>
          <w:rFonts w:ascii="Times New Roman" w:hAnsi="Times New Roman" w:cs="Times New Roman"/>
          <w:spacing w:val="40"/>
          <w:sz w:val="24"/>
          <w:szCs w:val="24"/>
        </w:rPr>
        <w:t xml:space="preserve"> </w:t>
      </w:r>
      <w:r w:rsidRPr="00834C77">
        <w:rPr>
          <w:rFonts w:ascii="Times New Roman" w:hAnsi="Times New Roman" w:cs="Times New Roman"/>
          <w:i/>
          <w:sz w:val="24"/>
          <w:szCs w:val="24"/>
        </w:rPr>
        <w:t>International</w:t>
      </w:r>
      <w:r w:rsidRPr="00834C77">
        <w:rPr>
          <w:rFonts w:ascii="Times New Roman" w:hAnsi="Times New Roman" w:cs="Times New Roman"/>
          <w:i/>
          <w:spacing w:val="-8"/>
          <w:sz w:val="24"/>
          <w:szCs w:val="24"/>
        </w:rPr>
        <w:t xml:space="preserve"> </w:t>
      </w:r>
      <w:r w:rsidRPr="00834C77">
        <w:rPr>
          <w:rFonts w:ascii="Times New Roman" w:hAnsi="Times New Roman" w:cs="Times New Roman"/>
          <w:i/>
          <w:sz w:val="24"/>
          <w:szCs w:val="24"/>
        </w:rPr>
        <w:t>Journal</w:t>
      </w:r>
      <w:r w:rsidRPr="00834C77">
        <w:rPr>
          <w:rFonts w:ascii="Times New Roman" w:hAnsi="Times New Roman" w:cs="Times New Roman"/>
          <w:i/>
          <w:spacing w:val="-6"/>
          <w:sz w:val="24"/>
          <w:szCs w:val="24"/>
        </w:rPr>
        <w:t xml:space="preserve"> </w:t>
      </w:r>
      <w:r w:rsidRPr="00834C77">
        <w:rPr>
          <w:rFonts w:ascii="Times New Roman" w:hAnsi="Times New Roman" w:cs="Times New Roman"/>
          <w:i/>
          <w:sz w:val="24"/>
          <w:szCs w:val="24"/>
        </w:rPr>
        <w:t>of</w:t>
      </w:r>
      <w:r w:rsidRPr="00834C77">
        <w:rPr>
          <w:rFonts w:ascii="Times New Roman" w:hAnsi="Times New Roman" w:cs="Times New Roman"/>
          <w:i/>
          <w:spacing w:val="-6"/>
          <w:sz w:val="24"/>
          <w:szCs w:val="24"/>
        </w:rPr>
        <w:t xml:space="preserve"> </w:t>
      </w:r>
      <w:r w:rsidRPr="00834C77">
        <w:rPr>
          <w:rFonts w:ascii="Times New Roman" w:hAnsi="Times New Roman" w:cs="Times New Roman"/>
          <w:i/>
          <w:sz w:val="24"/>
          <w:szCs w:val="24"/>
        </w:rPr>
        <w:t xml:space="preserve">Farm Sciences </w:t>
      </w:r>
      <w:r w:rsidRPr="00834C77">
        <w:rPr>
          <w:rFonts w:ascii="Times New Roman" w:hAnsi="Times New Roman" w:cs="Times New Roman"/>
          <w:sz w:val="24"/>
          <w:szCs w:val="24"/>
        </w:rPr>
        <w:t>10 (1):6-12.</w:t>
      </w:r>
    </w:p>
    <w:p w14:paraId="2A31B723" w14:textId="77777777" w:rsidR="00D76F7B" w:rsidRPr="00470164" w:rsidRDefault="00D76F7B" w:rsidP="00D76F7B">
      <w:pPr>
        <w:pStyle w:val="EndNoteBibliography"/>
        <w:numPr>
          <w:ilvl w:val="0"/>
          <w:numId w:val="6"/>
        </w:numPr>
        <w:spacing w:line="360" w:lineRule="auto"/>
        <w:ind w:left="426"/>
        <w:rPr>
          <w:rFonts w:ascii="Times New Roman" w:hAnsi="Times New Roman" w:cs="Times New Roman"/>
          <w:sz w:val="24"/>
          <w:szCs w:val="24"/>
        </w:rPr>
      </w:pPr>
      <w:r w:rsidRPr="007C53B4">
        <w:rPr>
          <w:rFonts w:ascii="Times New Roman" w:hAnsi="Times New Roman" w:cs="Times New Roman"/>
          <w:sz w:val="24"/>
          <w:szCs w:val="24"/>
          <w:lang w:val="en-IN"/>
        </w:rPr>
        <w:t>Nirosha, R., &amp; Mansingh, J. P. (2024). Geographical indication tag for agricultural produces: Challenges and methods. </w:t>
      </w:r>
      <w:r w:rsidRPr="007C53B4">
        <w:rPr>
          <w:rFonts w:ascii="Times New Roman" w:hAnsi="Times New Roman" w:cs="Times New Roman"/>
          <w:i/>
          <w:iCs/>
          <w:sz w:val="24"/>
          <w:szCs w:val="24"/>
          <w:lang w:val="en-IN"/>
        </w:rPr>
        <w:t>Multidisciplinary Reviews</w:t>
      </w:r>
      <w:r w:rsidRPr="007C53B4">
        <w:rPr>
          <w:rFonts w:ascii="Times New Roman" w:hAnsi="Times New Roman" w:cs="Times New Roman"/>
          <w:sz w:val="24"/>
          <w:szCs w:val="24"/>
          <w:lang w:val="en-IN"/>
        </w:rPr>
        <w:t>, </w:t>
      </w:r>
      <w:r w:rsidRPr="007C53B4">
        <w:rPr>
          <w:rFonts w:ascii="Times New Roman" w:hAnsi="Times New Roman" w:cs="Times New Roman"/>
          <w:i/>
          <w:iCs/>
          <w:sz w:val="24"/>
          <w:szCs w:val="24"/>
          <w:lang w:val="en-IN"/>
        </w:rPr>
        <w:t>7</w:t>
      </w:r>
      <w:r w:rsidRPr="007C53B4">
        <w:rPr>
          <w:rFonts w:ascii="Times New Roman" w:hAnsi="Times New Roman" w:cs="Times New Roman"/>
          <w:sz w:val="24"/>
          <w:szCs w:val="24"/>
          <w:lang w:val="en-IN"/>
        </w:rPr>
        <w:t>(9)</w:t>
      </w:r>
      <w:r>
        <w:rPr>
          <w:rFonts w:ascii="Times New Roman" w:hAnsi="Times New Roman" w:cs="Times New Roman"/>
          <w:sz w:val="24"/>
          <w:szCs w:val="24"/>
          <w:lang w:val="en-IN"/>
        </w:rPr>
        <w:t>:</w:t>
      </w:r>
      <w:r w:rsidRPr="007C53B4">
        <w:rPr>
          <w:rFonts w:ascii="Times New Roman" w:hAnsi="Times New Roman" w:cs="Times New Roman"/>
          <w:sz w:val="24"/>
          <w:szCs w:val="24"/>
          <w:lang w:val="en-IN"/>
        </w:rPr>
        <w:t xml:space="preserve"> 2024206-2024206.</w:t>
      </w:r>
    </w:p>
    <w:p w14:paraId="504B7415" w14:textId="77777777" w:rsidR="00D76F7B" w:rsidRPr="00834C77" w:rsidRDefault="00D76F7B" w:rsidP="003B3D68">
      <w:pPr>
        <w:pStyle w:val="ListParagraph"/>
        <w:numPr>
          <w:ilvl w:val="0"/>
          <w:numId w:val="6"/>
        </w:numPr>
        <w:spacing w:line="360" w:lineRule="auto"/>
        <w:ind w:left="426"/>
        <w:jc w:val="both"/>
        <w:rPr>
          <w:rFonts w:ascii="Times New Roman" w:hAnsi="Times New Roman" w:cs="Times New Roman"/>
          <w:i/>
          <w:iCs/>
          <w:sz w:val="24"/>
          <w:szCs w:val="24"/>
        </w:rPr>
      </w:pPr>
      <w:proofErr w:type="spellStart"/>
      <w:r w:rsidRPr="00834C77">
        <w:rPr>
          <w:rFonts w:ascii="Times New Roman" w:hAnsi="Times New Roman" w:cs="Times New Roman"/>
          <w:sz w:val="24"/>
          <w:szCs w:val="24"/>
        </w:rPr>
        <w:t>Otekunrin</w:t>
      </w:r>
      <w:proofErr w:type="spellEnd"/>
      <w:r w:rsidRPr="00834C77">
        <w:rPr>
          <w:rFonts w:ascii="Times New Roman" w:hAnsi="Times New Roman" w:cs="Times New Roman"/>
          <w:sz w:val="24"/>
          <w:szCs w:val="24"/>
        </w:rPr>
        <w:t>, O. A., Momoh, S., &amp; Ayinde, I. A. (2019). Smallholder farmers’ market participation: Concepts and methodological approaches from Sub-Saharan Africa. </w:t>
      </w:r>
      <w:r w:rsidRPr="00834C77">
        <w:rPr>
          <w:rFonts w:ascii="Times New Roman" w:hAnsi="Times New Roman" w:cs="Times New Roman"/>
          <w:i/>
          <w:iCs/>
          <w:sz w:val="24"/>
          <w:szCs w:val="24"/>
        </w:rPr>
        <w:t>Current Agriculture Research Journal</w:t>
      </w:r>
      <w:r w:rsidRPr="00834C77">
        <w:rPr>
          <w:rFonts w:ascii="Times New Roman" w:hAnsi="Times New Roman" w:cs="Times New Roman"/>
          <w:sz w:val="24"/>
          <w:szCs w:val="24"/>
        </w:rPr>
        <w:t>, 7(2), 139–157. </w:t>
      </w:r>
      <w:hyperlink r:id="rId18" w:tgtFrame="_blank" w:history="1">
        <w:r w:rsidRPr="00834C77">
          <w:rPr>
            <w:rStyle w:val="Hyperlink"/>
            <w:rFonts w:ascii="Times New Roman" w:hAnsi="Times New Roman" w:cs="Times New Roman"/>
            <w:sz w:val="24"/>
            <w:szCs w:val="24"/>
          </w:rPr>
          <w:t>https://doi.org/10.12944/CARJ.7.2.02(open in a new window)</w:t>
        </w:r>
      </w:hyperlink>
    </w:p>
    <w:p w14:paraId="79B13692" w14:textId="77777777" w:rsidR="00D76F7B" w:rsidRPr="007C53B4" w:rsidRDefault="00D76F7B" w:rsidP="00D76F7B">
      <w:pPr>
        <w:pStyle w:val="EndNoteBibliography"/>
        <w:numPr>
          <w:ilvl w:val="0"/>
          <w:numId w:val="6"/>
        </w:numPr>
        <w:spacing w:line="360" w:lineRule="auto"/>
        <w:ind w:left="426"/>
        <w:rPr>
          <w:rFonts w:ascii="Times New Roman" w:hAnsi="Times New Roman" w:cs="Times New Roman"/>
          <w:sz w:val="24"/>
          <w:szCs w:val="24"/>
        </w:rPr>
      </w:pPr>
      <w:r w:rsidRPr="007C53B4">
        <w:rPr>
          <w:rFonts w:ascii="Times New Roman" w:hAnsi="Times New Roman" w:cs="Times New Roman"/>
          <w:sz w:val="24"/>
          <w:szCs w:val="24"/>
        </w:rPr>
        <w:lastRenderedPageBreak/>
        <w:t xml:space="preserve">Rangnekar, Dwijen. 2004. "The socio-economics of geographical indications."  </w:t>
      </w:r>
      <w:r w:rsidRPr="007C53B4">
        <w:rPr>
          <w:rFonts w:ascii="Times New Roman" w:hAnsi="Times New Roman" w:cs="Times New Roman"/>
          <w:i/>
          <w:sz w:val="24"/>
          <w:szCs w:val="24"/>
        </w:rPr>
        <w:t>UNCTAD-ICTSD Project on IPRs and Sustainable Development, Issue Paper</w:t>
      </w:r>
      <w:r w:rsidRPr="007C53B4">
        <w:rPr>
          <w:rFonts w:ascii="Times New Roman" w:hAnsi="Times New Roman" w:cs="Times New Roman"/>
          <w:sz w:val="24"/>
          <w:szCs w:val="24"/>
        </w:rPr>
        <w:t xml:space="preserve"> 8:13-15.</w:t>
      </w:r>
    </w:p>
    <w:p w14:paraId="1E87834A" w14:textId="77777777" w:rsidR="00D76F7B" w:rsidRPr="007C53B4" w:rsidRDefault="00D76F7B" w:rsidP="00D76F7B">
      <w:pPr>
        <w:pStyle w:val="EndNoteBibliography"/>
        <w:numPr>
          <w:ilvl w:val="0"/>
          <w:numId w:val="6"/>
        </w:numPr>
        <w:spacing w:line="360" w:lineRule="auto"/>
        <w:ind w:left="426"/>
        <w:rPr>
          <w:rFonts w:ascii="Times New Roman" w:hAnsi="Times New Roman" w:cs="Times New Roman"/>
          <w:sz w:val="24"/>
          <w:szCs w:val="24"/>
        </w:rPr>
      </w:pPr>
      <w:r w:rsidRPr="007C53B4">
        <w:rPr>
          <w:rFonts w:ascii="Times New Roman" w:hAnsi="Times New Roman" w:cs="Times New Roman"/>
          <w:sz w:val="24"/>
          <w:szCs w:val="24"/>
        </w:rPr>
        <w:t xml:space="preserve">Rupprecht, Tobias. 2020. "Global varieties of neoliberalism: Ideas on free markets and strong states in Late Twentieth-Century Chile and Russia."  </w:t>
      </w:r>
      <w:r w:rsidRPr="007C53B4">
        <w:rPr>
          <w:rFonts w:ascii="Times New Roman" w:hAnsi="Times New Roman" w:cs="Times New Roman"/>
          <w:i/>
          <w:sz w:val="24"/>
          <w:szCs w:val="24"/>
        </w:rPr>
        <w:t>Global Perspectives</w:t>
      </w:r>
      <w:r w:rsidRPr="007C53B4">
        <w:rPr>
          <w:rFonts w:ascii="Times New Roman" w:hAnsi="Times New Roman" w:cs="Times New Roman"/>
          <w:sz w:val="24"/>
          <w:szCs w:val="24"/>
        </w:rPr>
        <w:t xml:space="preserve"> 1 (1).</w:t>
      </w:r>
    </w:p>
    <w:p w14:paraId="4FC47849" w14:textId="77777777" w:rsidR="00D76F7B" w:rsidRPr="00D76F7B" w:rsidRDefault="00D76F7B" w:rsidP="00D76F7B">
      <w:pPr>
        <w:pStyle w:val="ListParagraph"/>
        <w:numPr>
          <w:ilvl w:val="0"/>
          <w:numId w:val="6"/>
        </w:numPr>
        <w:spacing w:line="360" w:lineRule="auto"/>
        <w:ind w:left="426"/>
        <w:jc w:val="both"/>
        <w:rPr>
          <w:rFonts w:ascii="Times New Roman" w:hAnsi="Times New Roman" w:cs="Times New Roman"/>
          <w:sz w:val="24"/>
          <w:szCs w:val="24"/>
          <w:lang w:val="en-US"/>
        </w:rPr>
      </w:pPr>
      <w:r w:rsidRPr="00D76F7B">
        <w:rPr>
          <w:rFonts w:ascii="Times New Roman" w:hAnsi="Times New Roman" w:cs="Times New Roman"/>
          <w:sz w:val="24"/>
          <w:szCs w:val="24"/>
        </w:rPr>
        <w:t xml:space="preserve">Shepherd, A. W. (2007). </w:t>
      </w:r>
      <w:r w:rsidRPr="00D76F7B">
        <w:rPr>
          <w:rFonts w:ascii="Times New Roman" w:hAnsi="Times New Roman" w:cs="Times New Roman"/>
          <w:i/>
          <w:iCs/>
          <w:sz w:val="24"/>
          <w:szCs w:val="24"/>
        </w:rPr>
        <w:t>Approaches to Linking Producers to Markets</w:t>
      </w:r>
      <w:r w:rsidRPr="00D76F7B">
        <w:rPr>
          <w:rFonts w:ascii="Times New Roman" w:hAnsi="Times New Roman" w:cs="Times New Roman"/>
          <w:sz w:val="24"/>
          <w:szCs w:val="24"/>
        </w:rPr>
        <w:t>. Agricultural Management, Marketing and Finance Occasional Paper 13. Food and Agriculture Organization of the United Nations (FAO).</w:t>
      </w:r>
    </w:p>
    <w:p w14:paraId="3F477085" w14:textId="77777777" w:rsidR="00D76F7B" w:rsidRPr="00D76F7B" w:rsidRDefault="00D76F7B" w:rsidP="003B3D68">
      <w:pPr>
        <w:pStyle w:val="ListParagraph"/>
        <w:numPr>
          <w:ilvl w:val="0"/>
          <w:numId w:val="6"/>
        </w:numPr>
        <w:spacing w:line="360" w:lineRule="auto"/>
        <w:ind w:left="426"/>
        <w:jc w:val="both"/>
        <w:rPr>
          <w:rFonts w:ascii="Times New Roman" w:hAnsi="Times New Roman" w:cs="Times New Roman"/>
          <w:sz w:val="24"/>
          <w:szCs w:val="24"/>
          <w:lang w:val="en-US"/>
        </w:rPr>
      </w:pPr>
      <w:r w:rsidRPr="00834C77">
        <w:rPr>
          <w:rFonts w:ascii="Times New Roman" w:hAnsi="Times New Roman" w:cs="Times New Roman"/>
          <w:sz w:val="24"/>
          <w:szCs w:val="24"/>
        </w:rPr>
        <w:t xml:space="preserve">Shepherd, G. S. (1972). </w:t>
      </w:r>
      <w:r w:rsidRPr="00834C77">
        <w:rPr>
          <w:rFonts w:ascii="Times New Roman" w:hAnsi="Times New Roman" w:cs="Times New Roman"/>
          <w:i/>
          <w:iCs/>
          <w:sz w:val="24"/>
          <w:szCs w:val="24"/>
        </w:rPr>
        <w:t>Marketing farm products: Economic analysis</w:t>
      </w:r>
      <w:r w:rsidRPr="00834C77">
        <w:rPr>
          <w:rFonts w:ascii="Times New Roman" w:hAnsi="Times New Roman" w:cs="Times New Roman"/>
          <w:sz w:val="24"/>
          <w:szCs w:val="24"/>
        </w:rPr>
        <w:t xml:space="preserve"> (6th ed.). Ames: Iowa State University Press.</w:t>
      </w:r>
    </w:p>
    <w:p w14:paraId="577896FC" w14:textId="77777777" w:rsidR="00D76F7B" w:rsidRPr="00834C77" w:rsidRDefault="00D76F7B" w:rsidP="00D76F7B">
      <w:pPr>
        <w:pStyle w:val="ListParagraph"/>
        <w:spacing w:line="360" w:lineRule="auto"/>
        <w:ind w:left="426"/>
        <w:jc w:val="both"/>
        <w:rPr>
          <w:rFonts w:ascii="Times New Roman" w:hAnsi="Times New Roman" w:cs="Times New Roman"/>
          <w:sz w:val="24"/>
          <w:szCs w:val="24"/>
          <w:lang w:val="en-US"/>
        </w:rPr>
      </w:pPr>
    </w:p>
    <w:sectPr w:rsidR="00D76F7B" w:rsidRPr="00834C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F0A7" w14:textId="77777777" w:rsidR="00BB30FE" w:rsidRDefault="00BB30FE" w:rsidP="00193EA9">
      <w:pPr>
        <w:spacing w:after="0" w:line="240" w:lineRule="auto"/>
      </w:pPr>
      <w:r>
        <w:separator/>
      </w:r>
    </w:p>
  </w:endnote>
  <w:endnote w:type="continuationSeparator" w:id="0">
    <w:p w14:paraId="075F9313" w14:textId="77777777" w:rsidR="00BB30FE" w:rsidRDefault="00BB30FE" w:rsidP="0019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F734" w14:textId="77777777" w:rsidR="00193EA9" w:rsidRDefault="00193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058B" w14:textId="77777777" w:rsidR="00193EA9" w:rsidRDefault="00193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2430" w14:textId="77777777" w:rsidR="00193EA9" w:rsidRDefault="0019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F517" w14:textId="77777777" w:rsidR="00BB30FE" w:rsidRDefault="00BB30FE" w:rsidP="00193EA9">
      <w:pPr>
        <w:spacing w:after="0" w:line="240" w:lineRule="auto"/>
      </w:pPr>
      <w:r>
        <w:separator/>
      </w:r>
    </w:p>
  </w:footnote>
  <w:footnote w:type="continuationSeparator" w:id="0">
    <w:p w14:paraId="0E4B542A" w14:textId="77777777" w:rsidR="00BB30FE" w:rsidRDefault="00BB30FE" w:rsidP="00193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9DE2" w14:textId="1E0776DF" w:rsidR="00193EA9" w:rsidRDefault="00000000">
    <w:pPr>
      <w:pStyle w:val="Header"/>
    </w:pPr>
    <w:r>
      <w:rPr>
        <w:noProof/>
      </w:rPr>
      <w:pict w14:anchorId="2DFEA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55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E2F5" w14:textId="70E9537F" w:rsidR="00193EA9" w:rsidRDefault="00000000">
    <w:pPr>
      <w:pStyle w:val="Header"/>
    </w:pPr>
    <w:r>
      <w:rPr>
        <w:noProof/>
      </w:rPr>
      <w:pict w14:anchorId="42271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55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2EEF" w14:textId="7B78E35A" w:rsidR="00193EA9" w:rsidRDefault="00000000">
    <w:pPr>
      <w:pStyle w:val="Header"/>
    </w:pPr>
    <w:r>
      <w:rPr>
        <w:noProof/>
      </w:rPr>
      <w:pict w14:anchorId="415F2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55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B7239"/>
    <w:multiLevelType w:val="hybridMultilevel"/>
    <w:tmpl w:val="54189C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93D0561"/>
    <w:multiLevelType w:val="hybridMultilevel"/>
    <w:tmpl w:val="5E52F0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D856122"/>
    <w:multiLevelType w:val="hybridMultilevel"/>
    <w:tmpl w:val="EDB860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49090F"/>
    <w:multiLevelType w:val="hybridMultilevel"/>
    <w:tmpl w:val="609E2C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46275DC"/>
    <w:multiLevelType w:val="hybridMultilevel"/>
    <w:tmpl w:val="24A064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E955168"/>
    <w:multiLevelType w:val="hybridMultilevel"/>
    <w:tmpl w:val="19DEB532"/>
    <w:lvl w:ilvl="0" w:tplc="7462705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5016978">
    <w:abstractNumId w:val="0"/>
  </w:num>
  <w:num w:numId="2" w16cid:durableId="1108500613">
    <w:abstractNumId w:val="4"/>
  </w:num>
  <w:num w:numId="3" w16cid:durableId="2089232857">
    <w:abstractNumId w:val="1"/>
  </w:num>
  <w:num w:numId="4" w16cid:durableId="842625576">
    <w:abstractNumId w:val="2"/>
  </w:num>
  <w:num w:numId="5" w16cid:durableId="1069882604">
    <w:abstractNumId w:val="3"/>
  </w:num>
  <w:num w:numId="6" w16cid:durableId="694228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3D1"/>
    <w:rsid w:val="000C52C0"/>
    <w:rsid w:val="00193EA9"/>
    <w:rsid w:val="002D0EFC"/>
    <w:rsid w:val="003B3D68"/>
    <w:rsid w:val="00441F0A"/>
    <w:rsid w:val="004B353F"/>
    <w:rsid w:val="004D066B"/>
    <w:rsid w:val="004D44ED"/>
    <w:rsid w:val="00513AA8"/>
    <w:rsid w:val="00522905"/>
    <w:rsid w:val="00541AE8"/>
    <w:rsid w:val="00553C78"/>
    <w:rsid w:val="005609A0"/>
    <w:rsid w:val="006333D1"/>
    <w:rsid w:val="00655B2E"/>
    <w:rsid w:val="0068361C"/>
    <w:rsid w:val="00694F1A"/>
    <w:rsid w:val="006C78AC"/>
    <w:rsid w:val="007418E7"/>
    <w:rsid w:val="00834C77"/>
    <w:rsid w:val="00896FB7"/>
    <w:rsid w:val="008A4ED0"/>
    <w:rsid w:val="00901DC8"/>
    <w:rsid w:val="00937F7C"/>
    <w:rsid w:val="00AE013A"/>
    <w:rsid w:val="00B224FE"/>
    <w:rsid w:val="00B64996"/>
    <w:rsid w:val="00BA1D13"/>
    <w:rsid w:val="00BB30FE"/>
    <w:rsid w:val="00BC36DA"/>
    <w:rsid w:val="00D10A97"/>
    <w:rsid w:val="00D76F7B"/>
    <w:rsid w:val="00D82735"/>
    <w:rsid w:val="00E832E5"/>
    <w:rsid w:val="00EF31FF"/>
    <w:rsid w:val="00F15F5E"/>
    <w:rsid w:val="00F776D2"/>
    <w:rsid w:val="00F777BD"/>
    <w:rsid w:val="00FD07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5634E"/>
  <w15:chartTrackingRefBased/>
  <w15:docId w15:val="{23773CB5-A5C4-4009-A4CD-856DE7F3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3D1"/>
  </w:style>
  <w:style w:type="paragraph" w:styleId="Heading1">
    <w:name w:val="heading 1"/>
    <w:basedOn w:val="Normal"/>
    <w:next w:val="Normal"/>
    <w:link w:val="Heading1Char"/>
    <w:uiPriority w:val="9"/>
    <w:qFormat/>
    <w:rsid w:val="006333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33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33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33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33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3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3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33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33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33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33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3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3D1"/>
    <w:rPr>
      <w:rFonts w:eastAsiaTheme="majorEastAsia" w:cstheme="majorBidi"/>
      <w:color w:val="272727" w:themeColor="text1" w:themeTint="D8"/>
    </w:rPr>
  </w:style>
  <w:style w:type="paragraph" w:styleId="Title">
    <w:name w:val="Title"/>
    <w:basedOn w:val="Normal"/>
    <w:next w:val="Normal"/>
    <w:link w:val="TitleChar"/>
    <w:uiPriority w:val="10"/>
    <w:qFormat/>
    <w:rsid w:val="00633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3D1"/>
    <w:pPr>
      <w:spacing w:before="160"/>
      <w:jc w:val="center"/>
    </w:pPr>
    <w:rPr>
      <w:i/>
      <w:iCs/>
      <w:color w:val="404040" w:themeColor="text1" w:themeTint="BF"/>
    </w:rPr>
  </w:style>
  <w:style w:type="character" w:customStyle="1" w:styleId="QuoteChar">
    <w:name w:val="Quote Char"/>
    <w:basedOn w:val="DefaultParagraphFont"/>
    <w:link w:val="Quote"/>
    <w:uiPriority w:val="29"/>
    <w:rsid w:val="006333D1"/>
    <w:rPr>
      <w:i/>
      <w:iCs/>
      <w:color w:val="404040" w:themeColor="text1" w:themeTint="BF"/>
    </w:rPr>
  </w:style>
  <w:style w:type="paragraph" w:styleId="ListParagraph">
    <w:name w:val="List Paragraph"/>
    <w:basedOn w:val="Normal"/>
    <w:uiPriority w:val="34"/>
    <w:qFormat/>
    <w:rsid w:val="006333D1"/>
    <w:pPr>
      <w:ind w:left="720"/>
      <w:contextualSpacing/>
    </w:pPr>
  </w:style>
  <w:style w:type="character" w:styleId="IntenseEmphasis">
    <w:name w:val="Intense Emphasis"/>
    <w:basedOn w:val="DefaultParagraphFont"/>
    <w:uiPriority w:val="21"/>
    <w:qFormat/>
    <w:rsid w:val="006333D1"/>
    <w:rPr>
      <w:i/>
      <w:iCs/>
      <w:color w:val="2F5496" w:themeColor="accent1" w:themeShade="BF"/>
    </w:rPr>
  </w:style>
  <w:style w:type="paragraph" w:styleId="IntenseQuote">
    <w:name w:val="Intense Quote"/>
    <w:basedOn w:val="Normal"/>
    <w:next w:val="Normal"/>
    <w:link w:val="IntenseQuoteChar"/>
    <w:uiPriority w:val="30"/>
    <w:qFormat/>
    <w:rsid w:val="006333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33D1"/>
    <w:rPr>
      <w:i/>
      <w:iCs/>
      <w:color w:val="2F5496" w:themeColor="accent1" w:themeShade="BF"/>
    </w:rPr>
  </w:style>
  <w:style w:type="character" w:styleId="IntenseReference">
    <w:name w:val="Intense Reference"/>
    <w:basedOn w:val="DefaultParagraphFont"/>
    <w:uiPriority w:val="32"/>
    <w:qFormat/>
    <w:rsid w:val="006333D1"/>
    <w:rPr>
      <w:b/>
      <w:bCs/>
      <w:smallCaps/>
      <w:color w:val="2F5496" w:themeColor="accent1" w:themeShade="BF"/>
      <w:spacing w:val="5"/>
    </w:rPr>
  </w:style>
  <w:style w:type="table" w:styleId="TableGrid">
    <w:name w:val="Table Grid"/>
    <w:basedOn w:val="TableNormal"/>
    <w:uiPriority w:val="39"/>
    <w:rsid w:val="0063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7F7C"/>
    <w:rPr>
      <w:color w:val="0563C1" w:themeColor="hyperlink"/>
      <w:u w:val="single"/>
    </w:rPr>
  </w:style>
  <w:style w:type="character" w:styleId="UnresolvedMention">
    <w:name w:val="Unresolved Mention"/>
    <w:basedOn w:val="DefaultParagraphFont"/>
    <w:uiPriority w:val="99"/>
    <w:semiHidden/>
    <w:unhideWhenUsed/>
    <w:rsid w:val="00937F7C"/>
    <w:rPr>
      <w:color w:val="605E5C"/>
      <w:shd w:val="clear" w:color="auto" w:fill="E1DFDD"/>
    </w:rPr>
  </w:style>
  <w:style w:type="paragraph" w:styleId="BodyText">
    <w:name w:val="Body Text"/>
    <w:basedOn w:val="Normal"/>
    <w:link w:val="BodyTextChar"/>
    <w:uiPriority w:val="1"/>
    <w:qFormat/>
    <w:rsid w:val="00834C77"/>
    <w:pPr>
      <w:widowControl w:val="0"/>
      <w:autoSpaceDE w:val="0"/>
      <w:autoSpaceDN w:val="0"/>
      <w:spacing w:before="201" w:after="0" w:line="240" w:lineRule="auto"/>
      <w:ind w:left="743" w:right="20" w:hanging="720"/>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34C77"/>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193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EA9"/>
  </w:style>
  <w:style w:type="paragraph" w:styleId="Footer">
    <w:name w:val="footer"/>
    <w:basedOn w:val="Normal"/>
    <w:link w:val="FooterChar"/>
    <w:uiPriority w:val="99"/>
    <w:unhideWhenUsed/>
    <w:rsid w:val="00193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EA9"/>
  </w:style>
  <w:style w:type="paragraph" w:customStyle="1" w:styleId="EndNoteBibliography">
    <w:name w:val="EndNote Bibliography"/>
    <w:basedOn w:val="Normal"/>
    <w:link w:val="EndNoteBibliographyChar"/>
    <w:rsid w:val="00D76F7B"/>
    <w:pPr>
      <w:spacing w:after="200" w:line="240" w:lineRule="auto"/>
      <w:jc w:val="both"/>
    </w:pPr>
    <w:rPr>
      <w:rFonts w:ascii="Calibri" w:hAnsi="Calibri" w:cs="Calibri"/>
      <w:noProof/>
      <w:kern w:val="0"/>
      <w:lang w:val="en-US"/>
      <w14:ligatures w14:val="none"/>
    </w:rPr>
  </w:style>
  <w:style w:type="character" w:customStyle="1" w:styleId="EndNoteBibliographyChar">
    <w:name w:val="EndNote Bibliography Char"/>
    <w:basedOn w:val="DefaultParagraphFont"/>
    <w:link w:val="EndNoteBibliography"/>
    <w:rsid w:val="00D76F7B"/>
    <w:rPr>
      <w:rFonts w:ascii="Calibri" w:hAnsi="Calibri" w:cs="Calibri"/>
      <w:noProof/>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207576">
      <w:bodyDiv w:val="1"/>
      <w:marLeft w:val="0"/>
      <w:marRight w:val="0"/>
      <w:marTop w:val="0"/>
      <w:marBottom w:val="0"/>
      <w:divBdr>
        <w:top w:val="none" w:sz="0" w:space="0" w:color="auto"/>
        <w:left w:val="none" w:sz="0" w:space="0" w:color="auto"/>
        <w:bottom w:val="none" w:sz="0" w:space="0" w:color="auto"/>
        <w:right w:val="none" w:sz="0" w:space="0" w:color="auto"/>
      </w:divBdr>
    </w:div>
    <w:div w:id="1740706548">
      <w:bodyDiv w:val="1"/>
      <w:marLeft w:val="0"/>
      <w:marRight w:val="0"/>
      <w:marTop w:val="0"/>
      <w:marBottom w:val="0"/>
      <w:divBdr>
        <w:top w:val="none" w:sz="0" w:space="0" w:color="auto"/>
        <w:left w:val="none" w:sz="0" w:space="0" w:color="auto"/>
        <w:bottom w:val="none" w:sz="0" w:space="0" w:color="auto"/>
        <w:right w:val="none" w:sz="0" w:space="0" w:color="auto"/>
      </w:divBdr>
    </w:div>
    <w:div w:id="1838033961">
      <w:bodyDiv w:val="1"/>
      <w:marLeft w:val="0"/>
      <w:marRight w:val="0"/>
      <w:marTop w:val="0"/>
      <w:marBottom w:val="0"/>
      <w:divBdr>
        <w:top w:val="none" w:sz="0" w:space="0" w:color="auto"/>
        <w:left w:val="none" w:sz="0" w:space="0" w:color="auto"/>
        <w:bottom w:val="none" w:sz="0" w:space="0" w:color="auto"/>
        <w:right w:val="none" w:sz="0" w:space="0" w:color="auto"/>
      </w:divBdr>
    </w:div>
    <w:div w:id="206891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doi.org/10.12944/CARJ.7.2.0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80/03031853.2014.887903" TargetMode="Externa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Videos\VCA%20analysis,%20price%20spread,%20market%20efficienc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Videos\VCA%20analysis,%20price%20spread,%20market%20efficienc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us\Videos\VCA%20analysis,%20price%20spread,%20market%20efficiency.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Sheet6!$C$8</c:f>
              <c:strCache>
                <c:ptCount val="1"/>
                <c:pt idx="0">
                  <c:v>GI Jasmine</c:v>
                </c:pt>
              </c:strCache>
            </c:strRef>
          </c:tx>
          <c:spPr>
            <a:solidFill>
              <a:schemeClr val="accent1"/>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BBFB-4303-83AA-BC8C6E91F2D8}"/>
              </c:ext>
            </c:extLst>
          </c:dPt>
          <c:dPt>
            <c:idx val="1"/>
            <c:invertIfNegative val="0"/>
            <c:bubble3D val="0"/>
            <c:spPr>
              <a:solidFill>
                <a:srgbClr val="00B0F0"/>
              </a:solidFill>
              <a:ln>
                <a:noFill/>
              </a:ln>
              <a:effectLst/>
            </c:spPr>
            <c:extLst>
              <c:ext xmlns:c16="http://schemas.microsoft.com/office/drawing/2014/chart" uri="{C3380CC4-5D6E-409C-BE32-E72D297353CC}">
                <c16:uniqueId val="{00000003-BBFB-4303-83AA-BC8C6E91F2D8}"/>
              </c:ext>
            </c:extLst>
          </c:dPt>
          <c:dPt>
            <c:idx val="2"/>
            <c:invertIfNegative val="0"/>
            <c:bubble3D val="0"/>
            <c:spPr>
              <a:solidFill>
                <a:srgbClr val="00B050"/>
              </a:solidFill>
              <a:ln>
                <a:noFill/>
              </a:ln>
              <a:effectLst/>
            </c:spPr>
            <c:extLst>
              <c:ext xmlns:c16="http://schemas.microsoft.com/office/drawing/2014/chart" uri="{C3380CC4-5D6E-409C-BE32-E72D297353CC}">
                <c16:uniqueId val="{00000005-BBFB-4303-83AA-BC8C6E91F2D8}"/>
              </c:ext>
            </c:extLst>
          </c:dPt>
          <c:cat>
            <c:strRef>
              <c:f>Sheet6!$D$7:$G$7</c:f>
              <c:strCache>
                <c:ptCount val="4"/>
                <c:pt idx="0">
                  <c:v>MC I</c:v>
                </c:pt>
                <c:pt idx="1">
                  <c:v>MC II</c:v>
                </c:pt>
                <c:pt idx="2">
                  <c:v>MC III</c:v>
                </c:pt>
                <c:pt idx="3">
                  <c:v>MC IV</c:v>
                </c:pt>
              </c:strCache>
            </c:strRef>
          </c:cat>
          <c:val>
            <c:numRef>
              <c:f>Sheet6!$D$8:$G$8</c:f>
              <c:numCache>
                <c:formatCode>General</c:formatCode>
                <c:ptCount val="4"/>
                <c:pt idx="0">
                  <c:v>60</c:v>
                </c:pt>
                <c:pt idx="1">
                  <c:v>20</c:v>
                </c:pt>
                <c:pt idx="2">
                  <c:v>10</c:v>
                </c:pt>
                <c:pt idx="3">
                  <c:v>10</c:v>
                </c:pt>
              </c:numCache>
            </c:numRef>
          </c:val>
          <c:extLst>
            <c:ext xmlns:c16="http://schemas.microsoft.com/office/drawing/2014/chart" uri="{C3380CC4-5D6E-409C-BE32-E72D297353CC}">
              <c16:uniqueId val="{00000006-BBFB-4303-83AA-BC8C6E91F2D8}"/>
            </c:ext>
          </c:extLst>
        </c:ser>
        <c:dLbls>
          <c:showLegendKey val="0"/>
          <c:showVal val="0"/>
          <c:showCatName val="0"/>
          <c:showSerName val="0"/>
          <c:showPercent val="0"/>
          <c:showBubbleSize val="0"/>
        </c:dLbls>
        <c:gapWidth val="219"/>
        <c:overlap val="-27"/>
        <c:axId val="1229315407"/>
        <c:axId val="1229312527"/>
      </c:barChart>
      <c:catAx>
        <c:axId val="1229315407"/>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Marketing Channel</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29312527"/>
        <c:crosses val="autoZero"/>
        <c:auto val="1"/>
        <c:lblAlgn val="ctr"/>
        <c:lblOffset val="100"/>
        <c:noMultiLvlLbl val="0"/>
      </c:catAx>
      <c:valAx>
        <c:axId val="12293125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Percentage</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293154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Sheet2!$E$14</c:f>
              <c:strCache>
                <c:ptCount val="1"/>
                <c:pt idx="0">
                  <c:v>Net price received by the farmer</c:v>
                </c:pt>
              </c:strCache>
            </c:strRef>
          </c:tx>
          <c:spPr>
            <a:solidFill>
              <a:srgbClr val="7030A0"/>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Sheet2!$F$13:$I$13</c:f>
              <c:strCache>
                <c:ptCount val="4"/>
                <c:pt idx="0">
                  <c:v> MC I</c:v>
                </c:pt>
                <c:pt idx="1">
                  <c:v>MC II</c:v>
                </c:pt>
                <c:pt idx="2">
                  <c:v>MC III</c:v>
                </c:pt>
                <c:pt idx="3">
                  <c:v>MC IV</c:v>
                </c:pt>
              </c:strCache>
            </c:strRef>
          </c:cat>
          <c:val>
            <c:numRef>
              <c:f>Sheet2!$F$14:$H$14</c:f>
              <c:numCache>
                <c:formatCode>0.00</c:formatCode>
                <c:ptCount val="3"/>
                <c:pt idx="0" formatCode="General">
                  <c:v>64.290000000000006</c:v>
                </c:pt>
                <c:pt idx="1">
                  <c:v>10.76</c:v>
                </c:pt>
                <c:pt idx="2">
                  <c:v>72.97</c:v>
                </c:pt>
              </c:numCache>
            </c:numRef>
          </c:val>
          <c:extLst>
            <c:ext xmlns:c16="http://schemas.microsoft.com/office/drawing/2014/chart" uri="{C3380CC4-5D6E-409C-BE32-E72D297353CC}">
              <c16:uniqueId val="{00000000-215A-4970-BF1B-F5F3AAE1F11D}"/>
            </c:ext>
          </c:extLst>
        </c:ser>
        <c:ser>
          <c:idx val="1"/>
          <c:order val="1"/>
          <c:tx>
            <c:strRef>
              <c:f>Sheet2!$E$15</c:f>
              <c:strCache>
                <c:ptCount val="1"/>
                <c:pt idx="0">
                  <c:v>price spread</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Sheet2!$F$13:$I$13</c:f>
              <c:strCache>
                <c:ptCount val="4"/>
                <c:pt idx="0">
                  <c:v> MC I</c:v>
                </c:pt>
                <c:pt idx="1">
                  <c:v>MC II</c:v>
                </c:pt>
                <c:pt idx="2">
                  <c:v>MC III</c:v>
                </c:pt>
                <c:pt idx="3">
                  <c:v>MC IV</c:v>
                </c:pt>
              </c:strCache>
            </c:strRef>
          </c:cat>
          <c:val>
            <c:numRef>
              <c:f>Sheet2!$F$15:$H$15</c:f>
              <c:numCache>
                <c:formatCode>0.00</c:formatCode>
                <c:ptCount val="3"/>
                <c:pt idx="0" formatCode="General">
                  <c:v>35.71</c:v>
                </c:pt>
                <c:pt idx="1">
                  <c:v>89.33</c:v>
                </c:pt>
                <c:pt idx="2">
                  <c:v>27.03</c:v>
                </c:pt>
              </c:numCache>
            </c:numRef>
          </c:val>
          <c:extLst>
            <c:ext xmlns:c16="http://schemas.microsoft.com/office/drawing/2014/chart" uri="{C3380CC4-5D6E-409C-BE32-E72D297353CC}">
              <c16:uniqueId val="{00000001-215A-4970-BF1B-F5F3AAE1F11D}"/>
            </c:ext>
          </c:extLst>
        </c:ser>
        <c:dLbls>
          <c:dLblPos val="outEnd"/>
          <c:showLegendKey val="0"/>
          <c:showVal val="1"/>
          <c:showCatName val="0"/>
          <c:showSerName val="0"/>
          <c:showPercent val="0"/>
          <c:showBubbleSize val="0"/>
        </c:dLbls>
        <c:gapWidth val="219"/>
        <c:overlap val="-27"/>
        <c:axId val="1078233599"/>
        <c:axId val="1078227839"/>
      </c:barChart>
      <c:catAx>
        <c:axId val="1078233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78227839"/>
        <c:crosses val="autoZero"/>
        <c:auto val="1"/>
        <c:lblAlgn val="ctr"/>
        <c:lblOffset val="100"/>
        <c:noMultiLvlLbl val="0"/>
      </c:catAx>
      <c:valAx>
        <c:axId val="10782278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78233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Sheet1!$I$24</c:f>
              <c:strCache>
                <c:ptCount val="1"/>
                <c:pt idx="0">
                  <c:v>Acharya’s Approach</c:v>
                </c:pt>
              </c:strCache>
            </c:strRef>
          </c:tx>
          <c:spPr>
            <a:solidFill>
              <a:srgbClr val="00B050"/>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Sheet1!$J$23:$M$23</c:f>
              <c:strCache>
                <c:ptCount val="4"/>
                <c:pt idx="0">
                  <c:v>MC I</c:v>
                </c:pt>
                <c:pt idx="1">
                  <c:v>MC II</c:v>
                </c:pt>
                <c:pt idx="2">
                  <c:v>MC III</c:v>
                </c:pt>
                <c:pt idx="3">
                  <c:v>MC IV</c:v>
                </c:pt>
              </c:strCache>
            </c:strRef>
          </c:cat>
          <c:val>
            <c:numRef>
              <c:f>Sheet1!$J$24:$L$24</c:f>
              <c:numCache>
                <c:formatCode>General</c:formatCode>
                <c:ptCount val="3"/>
                <c:pt idx="0">
                  <c:v>1.69</c:v>
                </c:pt>
                <c:pt idx="1">
                  <c:v>0.12</c:v>
                </c:pt>
                <c:pt idx="2">
                  <c:v>2.4500000000000002</c:v>
                </c:pt>
              </c:numCache>
            </c:numRef>
          </c:val>
          <c:extLst>
            <c:ext xmlns:c16="http://schemas.microsoft.com/office/drawing/2014/chart" uri="{C3380CC4-5D6E-409C-BE32-E72D297353CC}">
              <c16:uniqueId val="{00000000-99A7-462A-BF30-131E1F6C6FA2}"/>
            </c:ext>
          </c:extLst>
        </c:ser>
        <c:ser>
          <c:idx val="1"/>
          <c:order val="1"/>
          <c:tx>
            <c:strRef>
              <c:f>Sheet1!$I$25</c:f>
              <c:strCache>
                <c:ptCount val="1"/>
                <c:pt idx="0">
                  <c:v>Shepherd Approach</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Sheet1!$J$23:$M$23</c:f>
              <c:strCache>
                <c:ptCount val="4"/>
                <c:pt idx="0">
                  <c:v>MC I</c:v>
                </c:pt>
                <c:pt idx="1">
                  <c:v>MC II</c:v>
                </c:pt>
                <c:pt idx="2">
                  <c:v>MC III</c:v>
                </c:pt>
                <c:pt idx="3">
                  <c:v>MC IV</c:v>
                </c:pt>
              </c:strCache>
            </c:strRef>
          </c:cat>
          <c:val>
            <c:numRef>
              <c:f>Sheet1!$J$25:$L$25</c:f>
              <c:numCache>
                <c:formatCode>General</c:formatCode>
                <c:ptCount val="3"/>
                <c:pt idx="0">
                  <c:v>2.63</c:v>
                </c:pt>
                <c:pt idx="1">
                  <c:v>1.1200000000000001</c:v>
                </c:pt>
                <c:pt idx="2">
                  <c:v>3.36</c:v>
                </c:pt>
              </c:numCache>
            </c:numRef>
          </c:val>
          <c:extLst>
            <c:ext xmlns:c16="http://schemas.microsoft.com/office/drawing/2014/chart" uri="{C3380CC4-5D6E-409C-BE32-E72D297353CC}">
              <c16:uniqueId val="{00000001-99A7-462A-BF30-131E1F6C6FA2}"/>
            </c:ext>
          </c:extLst>
        </c:ser>
        <c:dLbls>
          <c:dLblPos val="outEnd"/>
          <c:showLegendKey val="0"/>
          <c:showVal val="1"/>
          <c:showCatName val="0"/>
          <c:showSerName val="0"/>
          <c:showPercent val="0"/>
          <c:showBubbleSize val="0"/>
        </c:dLbls>
        <c:gapWidth val="219"/>
        <c:overlap val="-27"/>
        <c:axId val="1115788639"/>
        <c:axId val="1115789119"/>
      </c:barChart>
      <c:catAx>
        <c:axId val="1115788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15789119"/>
        <c:crosses val="autoZero"/>
        <c:auto val="1"/>
        <c:lblAlgn val="ctr"/>
        <c:lblOffset val="100"/>
        <c:noMultiLvlLbl val="0"/>
      </c:catAx>
      <c:valAx>
        <c:axId val="11157891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157886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15</Pages>
  <Words>3467</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Thiru Marudhan</dc:creator>
  <cp:keywords/>
  <dc:description/>
  <cp:lastModifiedBy>Thiru Marudhan</cp:lastModifiedBy>
  <cp:revision>21</cp:revision>
  <dcterms:created xsi:type="dcterms:W3CDTF">2025-06-13T04:05:00Z</dcterms:created>
  <dcterms:modified xsi:type="dcterms:W3CDTF">2026-02-02T04:55:00Z</dcterms:modified>
</cp:coreProperties>
</file>