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4A7D0" w14:textId="72A69315" w:rsidR="000A1D9B" w:rsidRDefault="000A1D9B" w:rsidP="00732A5B">
      <w:pPr>
        <w:spacing w:line="360" w:lineRule="auto"/>
        <w:jc w:val="center"/>
        <w:rPr>
          <w:rFonts w:ascii="Times New Roman" w:hAnsi="Times New Roman" w:cs="Times New Roman"/>
          <w:b/>
          <w:bCs/>
        </w:rPr>
      </w:pPr>
      <w:r w:rsidRPr="000A1D9B">
        <w:rPr>
          <w:rFonts w:ascii="Times New Roman" w:hAnsi="Times New Roman" w:cs="Times New Roman"/>
          <w:b/>
          <w:bCs/>
          <w:highlight w:val="yellow"/>
        </w:rPr>
        <w:t>Empowering Communities through Dialogue and Critical Consciousness on Food Security in O</w:t>
      </w:r>
      <w:r w:rsidRPr="009A1B27">
        <w:rPr>
          <w:rFonts w:ascii="Times New Roman" w:hAnsi="Times New Roman" w:cs="Times New Roman"/>
          <w:b/>
          <w:bCs/>
          <w:highlight w:val="yellow"/>
        </w:rPr>
        <w:t>disha</w:t>
      </w:r>
      <w:r w:rsidR="00AD6FD8" w:rsidRPr="009A1B27">
        <w:rPr>
          <w:rFonts w:ascii="Times New Roman" w:hAnsi="Times New Roman" w:cs="Times New Roman"/>
          <w:b/>
          <w:bCs/>
          <w:highlight w:val="yellow"/>
        </w:rPr>
        <w:t>, India</w:t>
      </w:r>
    </w:p>
    <w:p w14:paraId="6C115586" w14:textId="77777777" w:rsidR="004B581D" w:rsidRPr="00286A94" w:rsidRDefault="004B581D" w:rsidP="00732A5B">
      <w:pPr>
        <w:spacing w:line="360" w:lineRule="auto"/>
        <w:jc w:val="center"/>
        <w:rPr>
          <w:rFonts w:ascii="Times New Roman" w:hAnsi="Times New Roman" w:cs="Times New Roman"/>
          <w:b/>
          <w:bCs/>
        </w:rPr>
      </w:pPr>
    </w:p>
    <w:p w14:paraId="1E8C3E0B" w14:textId="56BA1B37" w:rsidR="00956CE3" w:rsidRDefault="00956CE3" w:rsidP="00286A94">
      <w:pPr>
        <w:spacing w:line="360" w:lineRule="auto"/>
        <w:jc w:val="both"/>
        <w:rPr>
          <w:rFonts w:ascii="Times New Roman" w:hAnsi="Times New Roman" w:cs="Times New Roman"/>
          <w:b/>
          <w:bCs/>
        </w:rPr>
      </w:pPr>
      <w:r w:rsidRPr="00FC01EA">
        <w:rPr>
          <w:rFonts w:ascii="Times New Roman" w:hAnsi="Times New Roman" w:cs="Times New Roman"/>
          <w:b/>
          <w:bCs/>
        </w:rPr>
        <w:t>Abstract</w:t>
      </w:r>
    </w:p>
    <w:p w14:paraId="283453E8" w14:textId="5AB6E958" w:rsidR="00FA3B0B" w:rsidRPr="00FA3B0B" w:rsidRDefault="00AA1D7E" w:rsidP="00286A94">
      <w:pPr>
        <w:spacing w:line="360" w:lineRule="auto"/>
        <w:jc w:val="both"/>
        <w:rPr>
          <w:rFonts w:ascii="Times New Roman" w:hAnsi="Times New Roman" w:cs="Times New Roman"/>
        </w:rPr>
      </w:pPr>
      <w:r w:rsidRPr="00006E1C">
        <w:rPr>
          <w:rFonts w:ascii="Times New Roman" w:hAnsi="Times New Roman" w:cs="Times New Roman"/>
          <w:highlight w:val="yellow"/>
        </w:rPr>
        <w:t xml:space="preserve">Nutrition literacy is the degree to which a person can obtain, process, and grasp basic dietetic information and services to make healthy food choices. </w:t>
      </w:r>
      <w:r w:rsidR="007C5C0D" w:rsidRPr="00450FA6">
        <w:rPr>
          <w:rFonts w:ascii="Times New Roman" w:hAnsi="Times New Roman" w:cs="Times New Roman"/>
          <w:highlight w:val="yellow"/>
        </w:rPr>
        <w:t>This study explores a nutrition literacy initiative based on Paulo Freire's critical consciousness approach, integrated into an agricultural intervention aimed at improving nutrition outcomes in tribal communities in Odisha, through dialogic pedagogy.</w:t>
      </w:r>
      <w:r w:rsidR="00450FA6">
        <w:rPr>
          <w:rFonts w:ascii="Times New Roman" w:hAnsi="Times New Roman" w:cs="Times New Roman"/>
        </w:rPr>
        <w:t xml:space="preserve"> </w:t>
      </w:r>
      <w:r w:rsidR="00267C1B" w:rsidRPr="00EC1DD4">
        <w:rPr>
          <w:rFonts w:ascii="Times New Roman" w:hAnsi="Times New Roman" w:cs="Times New Roman"/>
          <w:highlight w:val="yellow"/>
        </w:rPr>
        <w:t xml:space="preserve">The action research is conducted across 1,575 households in 47 villages within </w:t>
      </w:r>
      <w:proofErr w:type="spellStart"/>
      <w:r w:rsidR="00267C1B" w:rsidRPr="00EC1DD4">
        <w:rPr>
          <w:rFonts w:ascii="Times New Roman" w:hAnsi="Times New Roman" w:cs="Times New Roman"/>
          <w:highlight w:val="yellow"/>
        </w:rPr>
        <w:t>Mathpada</w:t>
      </w:r>
      <w:proofErr w:type="spellEnd"/>
      <w:r w:rsidR="00267C1B" w:rsidRPr="00EC1DD4">
        <w:rPr>
          <w:rFonts w:ascii="Times New Roman" w:hAnsi="Times New Roman" w:cs="Times New Roman"/>
          <w:highlight w:val="yellow"/>
        </w:rPr>
        <w:t xml:space="preserve"> and </w:t>
      </w:r>
      <w:proofErr w:type="spellStart"/>
      <w:r w:rsidR="00267C1B" w:rsidRPr="00EC1DD4">
        <w:rPr>
          <w:rFonts w:ascii="Times New Roman" w:hAnsi="Times New Roman" w:cs="Times New Roman"/>
          <w:highlight w:val="yellow"/>
        </w:rPr>
        <w:t>Doraguda</w:t>
      </w:r>
      <w:proofErr w:type="spellEnd"/>
      <w:r w:rsidR="00267C1B" w:rsidRPr="00EC1DD4">
        <w:rPr>
          <w:rFonts w:ascii="Times New Roman" w:hAnsi="Times New Roman" w:cs="Times New Roman"/>
          <w:highlight w:val="yellow"/>
        </w:rPr>
        <w:t xml:space="preserve"> Panchayats, located in </w:t>
      </w:r>
      <w:proofErr w:type="spellStart"/>
      <w:r w:rsidR="00267C1B" w:rsidRPr="00EC1DD4">
        <w:rPr>
          <w:rFonts w:ascii="Times New Roman" w:hAnsi="Times New Roman" w:cs="Times New Roman"/>
          <w:highlight w:val="yellow"/>
        </w:rPr>
        <w:t>Boipariguda</w:t>
      </w:r>
      <w:proofErr w:type="spellEnd"/>
      <w:r w:rsidR="00267C1B" w:rsidRPr="00EC1DD4">
        <w:rPr>
          <w:rFonts w:ascii="Times New Roman" w:hAnsi="Times New Roman" w:cs="Times New Roman"/>
          <w:highlight w:val="yellow"/>
        </w:rPr>
        <w:t xml:space="preserve"> Block, Koraput district, Odisha, Eastern India. </w:t>
      </w:r>
      <w:r w:rsidR="00FA3B0B" w:rsidRPr="00EC1DD4">
        <w:rPr>
          <w:rFonts w:ascii="Times New Roman" w:hAnsi="Times New Roman" w:cs="Times New Roman"/>
          <w:highlight w:val="yellow"/>
        </w:rPr>
        <w:t>The program</w:t>
      </w:r>
      <w:r w:rsidR="00FA3B0B" w:rsidRPr="00FA3B0B">
        <w:rPr>
          <w:rFonts w:ascii="Times New Roman" w:hAnsi="Times New Roman" w:cs="Times New Roman"/>
        </w:rPr>
        <w:t xml:space="preserve"> trained 108 adult participants, designated Community Hunger Fighters (CHFs), in two intensive residential </w:t>
      </w:r>
      <w:r w:rsidR="00FA3B0B" w:rsidRPr="007C6EF5">
        <w:rPr>
          <w:rFonts w:ascii="Times New Roman" w:hAnsi="Times New Roman" w:cs="Times New Roman"/>
          <w:highlight w:val="yellow"/>
        </w:rPr>
        <w:t xml:space="preserve">modules </w:t>
      </w:r>
      <w:r w:rsidR="007C6EF5" w:rsidRPr="007C6EF5">
        <w:rPr>
          <w:rFonts w:ascii="Times New Roman" w:hAnsi="Times New Roman" w:cs="Times New Roman"/>
          <w:highlight w:val="yellow"/>
        </w:rPr>
        <w:t>totalling</w:t>
      </w:r>
      <w:r w:rsidR="00FA3B0B" w:rsidRPr="007C6EF5">
        <w:rPr>
          <w:rFonts w:ascii="Times New Roman" w:hAnsi="Times New Roman" w:cs="Times New Roman"/>
          <w:highlight w:val="yellow"/>
        </w:rPr>
        <w:t xml:space="preserve"> five days over two m</w:t>
      </w:r>
      <w:r w:rsidR="00FA3B0B" w:rsidRPr="00FA3B0B">
        <w:rPr>
          <w:rFonts w:ascii="Times New Roman" w:hAnsi="Times New Roman" w:cs="Times New Roman"/>
        </w:rPr>
        <w:t>onths. Using facilitated dialogue, the CHFs critically examined the causes of low dietary diversity within their communities, identifying interconnected social, economic, and cultural obstacles to adequate food intake amidst poverty. They collaboratively engaged in planning agricultural activities sensitive to nutritional needs.</w:t>
      </w:r>
      <w:r w:rsidR="00FA3B0B" w:rsidRPr="00286A94">
        <w:rPr>
          <w:rFonts w:ascii="Times New Roman" w:hAnsi="Times New Roman" w:cs="Times New Roman"/>
        </w:rPr>
        <w:t xml:space="preserve"> </w:t>
      </w:r>
      <w:r w:rsidR="00FA3B0B" w:rsidRPr="00FA3B0B">
        <w:rPr>
          <w:rFonts w:ascii="Times New Roman" w:hAnsi="Times New Roman" w:cs="Times New Roman"/>
        </w:rPr>
        <w:t xml:space="preserve">Researchers documented </w:t>
      </w:r>
      <w:r w:rsidR="00FA3B0B" w:rsidRPr="00175784">
        <w:rPr>
          <w:rFonts w:ascii="Times New Roman" w:hAnsi="Times New Roman" w:cs="Times New Roman"/>
          <w:highlight w:val="yellow"/>
        </w:rPr>
        <w:t xml:space="preserve">transformative </w:t>
      </w:r>
      <w:r w:rsidR="00175784" w:rsidRPr="00175784">
        <w:rPr>
          <w:rFonts w:ascii="Times New Roman" w:hAnsi="Times New Roman" w:cs="Times New Roman"/>
          <w:highlight w:val="yellow"/>
        </w:rPr>
        <w:t>behaviours</w:t>
      </w:r>
      <w:r w:rsidR="00FA3B0B" w:rsidRPr="00175784">
        <w:rPr>
          <w:rFonts w:ascii="Times New Roman" w:hAnsi="Times New Roman" w:cs="Times New Roman"/>
          <w:highlight w:val="yellow"/>
        </w:rPr>
        <w:t xml:space="preserve"> among</w:t>
      </w:r>
      <w:r w:rsidR="00FA3B0B" w:rsidRPr="00FA3B0B">
        <w:rPr>
          <w:rFonts w:ascii="Times New Roman" w:hAnsi="Times New Roman" w:cs="Times New Roman"/>
        </w:rPr>
        <w:t xml:space="preserve"> the CHFs using qualitative methods (observations, interviews, focus groups) and specific indicators. The dialogic approach successfully stimulated community-wide discourse on food security. CHFs distilled key messages from their discussions and disseminated them creatively to fellow villagers. This process of critical analysis enabled participants </w:t>
      </w:r>
      <w:r w:rsidR="00FA3B0B" w:rsidRPr="00C417A9">
        <w:rPr>
          <w:rFonts w:ascii="Times New Roman" w:hAnsi="Times New Roman" w:cs="Times New Roman"/>
          <w:highlight w:val="yellow"/>
        </w:rPr>
        <w:t xml:space="preserve">to </w:t>
      </w:r>
      <w:r w:rsidR="00C417A9" w:rsidRPr="00C417A9">
        <w:rPr>
          <w:rFonts w:ascii="Times New Roman" w:hAnsi="Times New Roman" w:cs="Times New Roman"/>
          <w:highlight w:val="yellow"/>
        </w:rPr>
        <w:t>recognise</w:t>
      </w:r>
      <w:r w:rsidR="00FA3B0B" w:rsidRPr="00C417A9">
        <w:rPr>
          <w:rFonts w:ascii="Times New Roman" w:hAnsi="Times New Roman" w:cs="Times New Roman"/>
          <w:highlight w:val="yellow"/>
        </w:rPr>
        <w:t xml:space="preserve"> gender inequ</w:t>
      </w:r>
      <w:r w:rsidR="00FA3B0B" w:rsidRPr="00FA3B0B">
        <w:rPr>
          <w:rFonts w:ascii="Times New Roman" w:hAnsi="Times New Roman" w:cs="Times New Roman"/>
        </w:rPr>
        <w:t xml:space="preserve">alities, pinpoint constraints in local food production, adopt lifestyle changes to improve dietary intake, and express demand for agricultural technical training. Outcomes included 38 CHFs establishing </w:t>
      </w:r>
      <w:proofErr w:type="spellStart"/>
      <w:r w:rsidR="00FA3B0B" w:rsidRPr="00FA3B0B">
        <w:rPr>
          <w:rFonts w:ascii="Times New Roman" w:hAnsi="Times New Roman" w:cs="Times New Roman"/>
        </w:rPr>
        <w:t>nutri</w:t>
      </w:r>
      <w:proofErr w:type="spellEnd"/>
      <w:r w:rsidR="00FA3B0B" w:rsidRPr="00FA3B0B">
        <w:rPr>
          <w:rFonts w:ascii="Times New Roman" w:hAnsi="Times New Roman" w:cs="Times New Roman"/>
        </w:rPr>
        <w:t>-gardens and many assuming leadership roles on broader community issues beyond food security.</w:t>
      </w:r>
      <w:r w:rsidR="00FA3B0B" w:rsidRPr="00286A94">
        <w:rPr>
          <w:rFonts w:ascii="Times New Roman" w:hAnsi="Times New Roman" w:cs="Times New Roman"/>
        </w:rPr>
        <w:t xml:space="preserve"> </w:t>
      </w:r>
      <w:r w:rsidR="00FA3B0B" w:rsidRPr="00FA3B0B">
        <w:rPr>
          <w:rFonts w:ascii="Times New Roman" w:hAnsi="Times New Roman" w:cs="Times New Roman"/>
        </w:rPr>
        <w:t xml:space="preserve">This experience demonstrates that employing dialogue as a core educational strategy within agricultural nutrition programs can </w:t>
      </w:r>
      <w:r w:rsidR="00FA3B0B" w:rsidRPr="00C417A9">
        <w:rPr>
          <w:rFonts w:ascii="Times New Roman" w:hAnsi="Times New Roman" w:cs="Times New Roman"/>
          <w:highlight w:val="yellow"/>
        </w:rPr>
        <w:t xml:space="preserve">effectively </w:t>
      </w:r>
      <w:r w:rsidR="00C417A9" w:rsidRPr="00C417A9">
        <w:rPr>
          <w:rFonts w:ascii="Times New Roman" w:hAnsi="Times New Roman" w:cs="Times New Roman"/>
          <w:highlight w:val="yellow"/>
        </w:rPr>
        <w:t>catalyse</w:t>
      </w:r>
      <w:r w:rsidR="00FA3B0B" w:rsidRPr="00C417A9">
        <w:rPr>
          <w:rFonts w:ascii="Times New Roman" w:hAnsi="Times New Roman" w:cs="Times New Roman"/>
          <w:highlight w:val="yellow"/>
        </w:rPr>
        <w:t xml:space="preserve"> critical</w:t>
      </w:r>
      <w:r w:rsidR="00FA3B0B" w:rsidRPr="00FA3B0B">
        <w:rPr>
          <w:rFonts w:ascii="Times New Roman" w:hAnsi="Times New Roman" w:cs="Times New Roman"/>
        </w:rPr>
        <w:t xml:space="preserve"> reflection on the socio-cultural and economic barriers hindering both food production and consumption. This reflection, in turn, can empower communities and drive transformative actions towards improved food security and nutrition.</w:t>
      </w:r>
    </w:p>
    <w:p w14:paraId="048D2F6E" w14:textId="7358E3CA" w:rsidR="00FA3B0B" w:rsidRPr="00286A94" w:rsidRDefault="00FA3B0B" w:rsidP="00286A94">
      <w:pPr>
        <w:spacing w:line="360" w:lineRule="auto"/>
        <w:jc w:val="both"/>
        <w:rPr>
          <w:rFonts w:ascii="Times New Roman" w:hAnsi="Times New Roman" w:cs="Times New Roman"/>
        </w:rPr>
      </w:pPr>
      <w:r w:rsidRPr="00F90BC7">
        <w:rPr>
          <w:rFonts w:ascii="Times New Roman" w:hAnsi="Times New Roman" w:cs="Times New Roman"/>
          <w:highlight w:val="yellow"/>
        </w:rPr>
        <w:t>Keywords:</w:t>
      </w:r>
      <w:r w:rsidR="00CA2B0A" w:rsidRPr="00F90BC7">
        <w:rPr>
          <w:rFonts w:ascii="Times New Roman" w:hAnsi="Times New Roman" w:cs="Times New Roman"/>
          <w:highlight w:val="yellow"/>
        </w:rPr>
        <w:t xml:space="preserve"> Nutrition, Literacy, Community Hunger Fighters (CHFs)</w:t>
      </w:r>
      <w:r w:rsidR="002F220E" w:rsidRPr="00F90BC7">
        <w:rPr>
          <w:rFonts w:ascii="Times New Roman" w:hAnsi="Times New Roman" w:cs="Times New Roman"/>
          <w:highlight w:val="yellow"/>
        </w:rPr>
        <w:t xml:space="preserve">, </w:t>
      </w:r>
      <w:r w:rsidR="00CA2B0A" w:rsidRPr="00F90BC7">
        <w:rPr>
          <w:rFonts w:ascii="Times New Roman" w:hAnsi="Times New Roman" w:cs="Times New Roman"/>
          <w:highlight w:val="yellow"/>
        </w:rPr>
        <w:t>Food Security</w:t>
      </w:r>
    </w:p>
    <w:p w14:paraId="28EE17FB" w14:textId="628C1E0E" w:rsidR="00FA3B0B" w:rsidRPr="00FC01EA" w:rsidRDefault="00B30505" w:rsidP="00286A94">
      <w:pPr>
        <w:spacing w:line="360" w:lineRule="auto"/>
        <w:jc w:val="both"/>
        <w:rPr>
          <w:rFonts w:ascii="Times New Roman" w:hAnsi="Times New Roman" w:cs="Times New Roman"/>
          <w:b/>
          <w:bCs/>
        </w:rPr>
      </w:pPr>
      <w:r>
        <w:rPr>
          <w:rFonts w:ascii="Times New Roman" w:hAnsi="Times New Roman" w:cs="Times New Roman"/>
          <w:b/>
          <w:bCs/>
        </w:rPr>
        <w:t xml:space="preserve">1. </w:t>
      </w:r>
      <w:r w:rsidR="00FA3B0B" w:rsidRPr="00FC01EA">
        <w:rPr>
          <w:rFonts w:ascii="Times New Roman" w:hAnsi="Times New Roman" w:cs="Times New Roman"/>
          <w:b/>
          <w:bCs/>
        </w:rPr>
        <w:t>Introduction</w:t>
      </w:r>
    </w:p>
    <w:p w14:paraId="7C2F64B3" w14:textId="7AD52FD7" w:rsidR="00FA3B0B" w:rsidRPr="00FA3B0B" w:rsidRDefault="00FA3B0B" w:rsidP="00967D87">
      <w:pPr>
        <w:spacing w:line="360" w:lineRule="auto"/>
        <w:jc w:val="both"/>
        <w:rPr>
          <w:rFonts w:ascii="Times New Roman" w:hAnsi="Times New Roman" w:cs="Times New Roman"/>
        </w:rPr>
      </w:pPr>
      <w:r w:rsidRPr="00FA3B0B">
        <w:rPr>
          <w:rFonts w:ascii="Times New Roman" w:hAnsi="Times New Roman" w:cs="Times New Roman"/>
        </w:rPr>
        <w:lastRenderedPageBreak/>
        <w:t>While essential to health and nutrition initiatives, traditional nutrition communication has often yielded limited long-term improvements in dietary practices or faced sustainability challenges (Bull et al., 2014; Black et al., 2017).</w:t>
      </w:r>
      <w:r w:rsidR="00967D87">
        <w:rPr>
          <w:rFonts w:ascii="Times New Roman" w:hAnsi="Times New Roman" w:cs="Times New Roman"/>
        </w:rPr>
        <w:t xml:space="preserve"> </w:t>
      </w:r>
      <w:r w:rsidR="00967D87" w:rsidRPr="00967D87">
        <w:rPr>
          <w:rFonts w:ascii="Times New Roman" w:hAnsi="Times New Roman" w:cs="Times New Roman"/>
          <w:highlight w:val="yellow"/>
        </w:rPr>
        <w:t>Health literacy plays a vital role in helping consumers make informed dietary choices, yet many struggle to understand food labels effectively</w:t>
      </w:r>
      <w:r w:rsidR="00493DF0">
        <w:rPr>
          <w:rFonts w:ascii="Times New Roman" w:hAnsi="Times New Roman" w:cs="Times New Roman"/>
          <w:highlight w:val="yellow"/>
        </w:rPr>
        <w:t xml:space="preserve"> (</w:t>
      </w:r>
      <w:r w:rsidR="00493DF0" w:rsidRPr="00493DF0">
        <w:rPr>
          <w:rFonts w:ascii="Times New Roman" w:hAnsi="Times New Roman" w:cs="Times New Roman"/>
        </w:rPr>
        <w:t>Vishwakarma</w:t>
      </w:r>
      <w:r w:rsidR="00493DF0">
        <w:rPr>
          <w:rFonts w:ascii="Times New Roman" w:hAnsi="Times New Roman" w:cs="Times New Roman"/>
        </w:rPr>
        <w:t xml:space="preserve"> et al., 2025)</w:t>
      </w:r>
      <w:r w:rsidR="00967D87" w:rsidRPr="00967D87">
        <w:rPr>
          <w:rFonts w:ascii="Times New Roman" w:hAnsi="Times New Roman" w:cs="Times New Roman"/>
          <w:highlight w:val="yellow"/>
        </w:rPr>
        <w:t>.</w:t>
      </w:r>
      <w:r w:rsidR="00967D87" w:rsidRPr="00967D87">
        <w:rPr>
          <w:rFonts w:ascii="Times New Roman" w:hAnsi="Times New Roman" w:cs="Times New Roman"/>
        </w:rPr>
        <w:t xml:space="preserve"> </w:t>
      </w:r>
      <w:r w:rsidRPr="00FA3B0B">
        <w:rPr>
          <w:rFonts w:ascii="Times New Roman" w:hAnsi="Times New Roman" w:cs="Times New Roman"/>
        </w:rPr>
        <w:t xml:space="preserve"> </w:t>
      </w:r>
      <w:proofErr w:type="spellStart"/>
      <w:r w:rsidRPr="00FA3B0B">
        <w:rPr>
          <w:rFonts w:ascii="Times New Roman" w:hAnsi="Times New Roman" w:cs="Times New Roman"/>
        </w:rPr>
        <w:t>Nutbeam</w:t>
      </w:r>
      <w:proofErr w:type="spellEnd"/>
      <w:r w:rsidRPr="00FA3B0B">
        <w:rPr>
          <w:rFonts w:ascii="Times New Roman" w:hAnsi="Times New Roman" w:cs="Times New Roman"/>
        </w:rPr>
        <w:t xml:space="preserve"> (2000) argues that programs focusing solely on information transfer, neglecting socio-economic contexts, frequently fail to achieve lasting behaviour change. He distinguishes between "education" and "literacy," defining health literacy as the outcomes of education and communication efforts, categorised into three levels:</w:t>
      </w:r>
    </w:p>
    <w:p w14:paraId="413733BE"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Functional Literacy: Imparts basic knowledge to enable compliance with instructions, lacking interactivity and autonomy.</w:t>
      </w:r>
    </w:p>
    <w:p w14:paraId="7DC8DEA8"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Interactive Literacy: Develops skills to understand and apply health information, fostering confidence, motivation, and behaviour change.</w:t>
      </w:r>
    </w:p>
    <w:p w14:paraId="1E12BCAF"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Critical Literacy: Empowers individuals to critically analyse information and practices, enhancing control over their lives.</w:t>
      </w:r>
    </w:p>
    <w:p w14:paraId="4FDD3D8C" w14:textId="4B2F3AEE"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Critical literacy integration in school health programs emerged in Europe/North America during the mid-1980s (St Leger, 2001), challenging top-down methods. It expanded focus to include school environments, policies, health service links, and community partnerships, entering a dynamic, political domain aimed at advocacy skills and empowerment. This framework </w:t>
      </w:r>
      <w:r w:rsidR="00EC21AF" w:rsidRPr="0003491D">
        <w:rPr>
          <w:rFonts w:ascii="Times New Roman" w:hAnsi="Times New Roman" w:cs="Times New Roman"/>
          <w:highlight w:val="yellow"/>
        </w:rPr>
        <w:t>operationali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ed </w:t>
      </w:r>
      <w:r w:rsidRPr="0003491D">
        <w:rPr>
          <w:rFonts w:ascii="Times New Roman" w:hAnsi="Times New Roman" w:cs="Times New Roman"/>
          <w:highlight w:val="yellow"/>
        </w:rPr>
        <w:t xml:space="preserve">all three of </w:t>
      </w:r>
      <w:proofErr w:type="spellStart"/>
      <w:r w:rsidRPr="0003491D">
        <w:rPr>
          <w:rFonts w:ascii="Times New Roman" w:hAnsi="Times New Roman" w:cs="Times New Roman"/>
          <w:highlight w:val="yellow"/>
        </w:rPr>
        <w:t>Nutbeam's</w:t>
      </w:r>
      <w:proofErr w:type="spellEnd"/>
      <w:r w:rsidRPr="0003491D">
        <w:rPr>
          <w:rFonts w:ascii="Times New Roman" w:hAnsi="Times New Roman" w:cs="Times New Roman"/>
          <w:highlight w:val="yellow"/>
        </w:rPr>
        <w:t xml:space="preserve"> liter</w:t>
      </w:r>
      <w:r w:rsidRPr="00FA3B0B">
        <w:rPr>
          <w:rFonts w:ascii="Times New Roman" w:hAnsi="Times New Roman" w:cs="Times New Roman"/>
        </w:rPr>
        <w:t>acy levels.</w:t>
      </w:r>
    </w:p>
    <w:p w14:paraId="758EF1A2" w14:textId="59C40A54"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Beyond schools, adult learning principles showed promise. Brown (2015) describes adapting a weight-loss nutrition program for Mexican American women using a tripartite approach (</w:t>
      </w:r>
      <w:r w:rsidRPr="0003491D">
        <w:rPr>
          <w:rFonts w:ascii="Times New Roman" w:hAnsi="Times New Roman" w:cs="Times New Roman"/>
          <w:highlight w:val="yellow"/>
        </w:rPr>
        <w:t>planning, teaching/learning, research). Pilot feedback led to revised classes emphasi</w:t>
      </w:r>
      <w:r w:rsidR="00EC21AF">
        <w:rPr>
          <w:rFonts w:ascii="Times New Roman" w:hAnsi="Times New Roman" w:cs="Times New Roman"/>
        </w:rPr>
        <w:t>sing socialis</w:t>
      </w:r>
      <w:r w:rsidRPr="00FA3B0B">
        <w:rPr>
          <w:rFonts w:ascii="Times New Roman" w:hAnsi="Times New Roman" w:cs="Times New Roman"/>
        </w:rPr>
        <w:t>ation; participants achieving 50% attendance lost weight and shared knowledge.</w:t>
      </w:r>
    </w:p>
    <w:p w14:paraId="07D8C286"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Experiential learning proved powerful when community college students engaged in interdisciplinary food/agriculture studies combined with producing food for low-income residents (Adelman &amp; Sandiford, 2007). This direct involvement revealed local poverty/hunger and environmental threats from industrial agriculture, convincing students of organic farming's viability and the potential for grassroots food security solutions, leading to national advocacy.</w:t>
      </w:r>
    </w:p>
    <w:p w14:paraId="21AB4D19" w14:textId="207B228C"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Implementing empowerment-based literacy necessitates multidisciplinary strategies (education, development, communication, social sciences), raising questions about effective pedagogies, especially in low-literacy, resource-poor contexts. Paulo Freire's (1994) dialogic </w:t>
      </w:r>
      <w:r w:rsidRPr="00FA3B0B">
        <w:rPr>
          <w:rFonts w:ascii="Times New Roman" w:hAnsi="Times New Roman" w:cs="Times New Roman"/>
        </w:rPr>
        <w:lastRenderedPageBreak/>
        <w:t xml:space="preserve">approach to foster "critical consciousness" among non-literate populations demonstrated success, leading to sustainable outcomes as confirmed by others (Wallerstein &amp; Bernstein, 1988; Naiditch, 2010). </w:t>
      </w:r>
      <w:r w:rsidR="00006E1C" w:rsidRPr="00006E1C">
        <w:rPr>
          <w:rFonts w:ascii="Times New Roman" w:hAnsi="Times New Roman" w:cs="Times New Roman"/>
          <w:highlight w:val="yellow"/>
        </w:rPr>
        <w:t>Nutrition literacy is the degree to which a person can obtain, process, and grasp basic dietetic information and services to make healthy food choices. It entails understanding nutritional concepts and having the capacity to comprehend, evaluate, and apply nutrition information, i.e., to be aware of the nutrients and their impact on health. It concerns an individual’s ability to gather, comprehend, and apply dietary data from various sources</w:t>
      </w:r>
      <w:r w:rsidR="00AB793F">
        <w:rPr>
          <w:rFonts w:ascii="Times New Roman" w:hAnsi="Times New Roman" w:cs="Times New Roman"/>
          <w:highlight w:val="yellow"/>
        </w:rPr>
        <w:t xml:space="preserve"> </w:t>
      </w:r>
      <w:r w:rsidR="00AB793F" w:rsidRPr="00AB793F">
        <w:rPr>
          <w:rFonts w:ascii="Times New Roman" w:hAnsi="Times New Roman" w:cs="Times New Roman"/>
          <w:highlight w:val="yellow"/>
        </w:rPr>
        <w:t>(Silva, 2023</w:t>
      </w:r>
      <w:r w:rsidR="005901B3">
        <w:rPr>
          <w:rFonts w:ascii="Times New Roman" w:hAnsi="Times New Roman" w:cs="Times New Roman"/>
          <w:highlight w:val="yellow"/>
        </w:rPr>
        <w:t xml:space="preserve">; </w:t>
      </w:r>
      <w:r w:rsidR="005901B3" w:rsidRPr="005901B3">
        <w:rPr>
          <w:rFonts w:ascii="Times New Roman" w:hAnsi="Times New Roman" w:cs="Times New Roman"/>
        </w:rPr>
        <w:t>Escott-Stump, 2011</w:t>
      </w:r>
      <w:r w:rsidR="00AB793F" w:rsidRPr="00AB793F">
        <w:rPr>
          <w:rFonts w:ascii="Times New Roman" w:hAnsi="Times New Roman" w:cs="Times New Roman"/>
          <w:highlight w:val="yellow"/>
        </w:rPr>
        <w:t>)</w:t>
      </w:r>
      <w:r w:rsidR="00006E1C" w:rsidRPr="00AB793F">
        <w:rPr>
          <w:rFonts w:ascii="Times New Roman" w:hAnsi="Times New Roman" w:cs="Times New Roman"/>
          <w:highlight w:val="yellow"/>
        </w:rPr>
        <w:t>.</w:t>
      </w:r>
      <w:r w:rsidR="00006E1C" w:rsidRPr="00006E1C">
        <w:rPr>
          <w:rFonts w:ascii="Times New Roman" w:hAnsi="Times New Roman" w:cs="Times New Roman"/>
        </w:rPr>
        <w:t xml:space="preserve"> </w:t>
      </w:r>
      <w:r w:rsidR="00006E1C">
        <w:rPr>
          <w:rFonts w:ascii="Times New Roman" w:hAnsi="Times New Roman" w:cs="Times New Roman"/>
        </w:rPr>
        <w:t xml:space="preserve"> </w:t>
      </w:r>
      <w:r w:rsidRPr="00FA3B0B">
        <w:rPr>
          <w:rFonts w:ascii="Times New Roman" w:hAnsi="Times New Roman" w:cs="Times New Roman"/>
        </w:rPr>
        <w:t xml:space="preserve">An Indian nutrition literacy program based on Freirean principles reported individual dietary improvements, broader lifestyle changes (e.g., reducing tobacco/alcohol), and critical </w:t>
      </w:r>
      <w:r w:rsidR="009D1E04">
        <w:rPr>
          <w:rFonts w:ascii="Times New Roman" w:hAnsi="Times New Roman" w:cs="Times New Roman"/>
        </w:rPr>
        <w:t>realisations</w:t>
      </w:r>
      <w:r w:rsidRPr="00FA3B0B">
        <w:rPr>
          <w:rFonts w:ascii="Times New Roman" w:hAnsi="Times New Roman" w:cs="Times New Roman"/>
        </w:rPr>
        <w:t xml:space="preserve"> about seasonal meal skipping and grain quality choices (Narayanan &amp; Rao, 2019). Participants identified actionable strategies for enhancing food security.</w:t>
      </w:r>
      <w:r w:rsidR="00BC6FEA">
        <w:rPr>
          <w:rFonts w:ascii="Times New Roman" w:hAnsi="Times New Roman" w:cs="Times New Roman"/>
        </w:rPr>
        <w:t xml:space="preserve"> </w:t>
      </w:r>
      <w:r w:rsidR="00B5046B" w:rsidRPr="006B79F4">
        <w:rPr>
          <w:rFonts w:ascii="Times New Roman" w:hAnsi="Times New Roman" w:cs="Times New Roman"/>
          <w:highlight w:val="yellow"/>
        </w:rPr>
        <w:t xml:space="preserve">In the developed countries, the condition of </w:t>
      </w:r>
      <w:r w:rsidR="0075352D" w:rsidRPr="006B79F4">
        <w:rPr>
          <w:rFonts w:ascii="Times New Roman" w:hAnsi="Times New Roman" w:cs="Times New Roman"/>
          <w:highlight w:val="yellow"/>
        </w:rPr>
        <w:t xml:space="preserve">food and nutrition security </w:t>
      </w:r>
      <w:r w:rsidR="00B5046B" w:rsidRPr="006B79F4">
        <w:rPr>
          <w:rFonts w:ascii="Times New Roman" w:hAnsi="Times New Roman" w:cs="Times New Roman"/>
          <w:highlight w:val="yellow"/>
        </w:rPr>
        <w:t xml:space="preserve">is determined by both the availability of safe, nutritious, economic, and tasty food, as well as by individuals’ possibility and capacity to access and use it </w:t>
      </w:r>
      <w:r w:rsidR="00BE4D7F">
        <w:rPr>
          <w:rFonts w:ascii="Times New Roman" w:hAnsi="Times New Roman" w:cs="Times New Roman"/>
          <w:highlight w:val="yellow"/>
        </w:rPr>
        <w:t>(</w:t>
      </w:r>
      <w:proofErr w:type="spellStart"/>
      <w:r w:rsidR="00BE4D7F" w:rsidRPr="00BE4D7F">
        <w:rPr>
          <w:rFonts w:ascii="Times New Roman" w:hAnsi="Times New Roman" w:cs="Times New Roman"/>
        </w:rPr>
        <w:t>Velpini</w:t>
      </w:r>
      <w:proofErr w:type="spellEnd"/>
      <w:r w:rsidR="00BE4D7F">
        <w:rPr>
          <w:rFonts w:ascii="Times New Roman" w:hAnsi="Times New Roman" w:cs="Times New Roman"/>
        </w:rPr>
        <w:t xml:space="preserve"> et al., 2022; </w:t>
      </w:r>
      <w:proofErr w:type="spellStart"/>
      <w:r w:rsidR="00BE4D7F" w:rsidRPr="00BE4D7F">
        <w:rPr>
          <w:rFonts w:ascii="Times New Roman" w:hAnsi="Times New Roman" w:cs="Times New Roman"/>
        </w:rPr>
        <w:t>Godrich</w:t>
      </w:r>
      <w:proofErr w:type="spellEnd"/>
      <w:r w:rsidR="00BE4D7F">
        <w:rPr>
          <w:rFonts w:ascii="Times New Roman" w:hAnsi="Times New Roman" w:cs="Times New Roman"/>
        </w:rPr>
        <w:t xml:space="preserve"> et al., 2017)</w:t>
      </w:r>
      <w:r w:rsidR="00B5046B" w:rsidRPr="006B79F4">
        <w:rPr>
          <w:rFonts w:ascii="Times New Roman" w:hAnsi="Times New Roman" w:cs="Times New Roman"/>
          <w:highlight w:val="yellow"/>
        </w:rPr>
        <w:t>.</w:t>
      </w:r>
    </w:p>
    <w:p w14:paraId="43B97752" w14:textId="64C4CA80" w:rsidR="00FA3B0B" w:rsidRPr="00286A94"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Despite these examples, </w:t>
      </w:r>
      <w:proofErr w:type="spellStart"/>
      <w:r w:rsidRPr="00FA3B0B">
        <w:rPr>
          <w:rFonts w:ascii="Times New Roman" w:hAnsi="Times New Roman" w:cs="Times New Roman"/>
        </w:rPr>
        <w:t>Gavaravarapu</w:t>
      </w:r>
      <w:proofErr w:type="spellEnd"/>
      <w:r w:rsidRPr="00FA3B0B">
        <w:rPr>
          <w:rFonts w:ascii="Times New Roman" w:hAnsi="Times New Roman" w:cs="Times New Roman"/>
        </w:rPr>
        <w:t xml:space="preserve"> (2019) notes a scarcity of published research on innovative nutrition education approaches in India, with most community nutrition research focused elsewhere. This paper addresses this gap by discussing an ongoing action research program in Eastern India. Implemented by the MS Swaminathan Research Foundation and funded by the Department of Agriculture and Farmers’ Empowerment, Government of Odisha</w:t>
      </w:r>
      <w:r w:rsidR="00EC21AF">
        <w:rPr>
          <w:rFonts w:ascii="Times New Roman" w:hAnsi="Times New Roman" w:cs="Times New Roman"/>
        </w:rPr>
        <w:t>,</w:t>
      </w:r>
      <w:r w:rsidRPr="00FA3B0B">
        <w:rPr>
          <w:rFonts w:ascii="Times New Roman" w:hAnsi="Times New Roman" w:cs="Times New Roman"/>
        </w:rPr>
        <w:t xml:space="preserve"> under RKVY, the program employs dialogue as a pedagogic tool within an agricultural intervention to raise critical consciousness about nutrition. Given its current status, the paper details the conceptual framework, methodology, and preliminary field observations.</w:t>
      </w:r>
    </w:p>
    <w:p w14:paraId="54B329EC" w14:textId="5EAFD32E" w:rsidR="00B07987" w:rsidRPr="00FC01EA" w:rsidRDefault="00B30505" w:rsidP="00286A94">
      <w:pPr>
        <w:spacing w:line="360" w:lineRule="auto"/>
        <w:jc w:val="both"/>
        <w:rPr>
          <w:rFonts w:ascii="Times New Roman" w:hAnsi="Times New Roman" w:cs="Times New Roman"/>
          <w:b/>
          <w:bCs/>
        </w:rPr>
      </w:pPr>
      <w:r>
        <w:rPr>
          <w:rFonts w:ascii="Times New Roman" w:hAnsi="Times New Roman" w:cs="Times New Roman"/>
          <w:b/>
          <w:bCs/>
        </w:rPr>
        <w:t xml:space="preserve">1.1 </w:t>
      </w:r>
      <w:r w:rsidR="00B07987" w:rsidRPr="00FC01EA">
        <w:rPr>
          <w:rFonts w:ascii="Times New Roman" w:hAnsi="Times New Roman" w:cs="Times New Roman"/>
          <w:b/>
          <w:bCs/>
        </w:rPr>
        <w:t>Research Questions</w:t>
      </w:r>
    </w:p>
    <w:p w14:paraId="6D942E63" w14:textId="32A641AE" w:rsidR="007F2E8B" w:rsidRPr="00286A94" w:rsidRDefault="007F2E8B" w:rsidP="00286A94">
      <w:pPr>
        <w:spacing w:line="360" w:lineRule="auto"/>
        <w:jc w:val="both"/>
        <w:rPr>
          <w:rFonts w:ascii="Times New Roman" w:hAnsi="Times New Roman" w:cs="Times New Roman"/>
        </w:rPr>
      </w:pPr>
      <w:r w:rsidRPr="00286A94">
        <w:rPr>
          <w:rFonts w:ascii="Times New Roman" w:hAnsi="Times New Roman" w:cs="Times New Roman"/>
        </w:rPr>
        <w:t>The study addresses two questions throughout our methodology:</w:t>
      </w:r>
    </w:p>
    <w:p w14:paraId="2E7A9E9D" w14:textId="48BB1B87" w:rsidR="00B07987" w:rsidRPr="00FC01EA" w:rsidRDefault="00B07987" w:rsidP="00286A94">
      <w:pPr>
        <w:spacing w:line="360" w:lineRule="auto"/>
        <w:jc w:val="both"/>
        <w:rPr>
          <w:rFonts w:ascii="Times New Roman" w:hAnsi="Times New Roman" w:cs="Times New Roman"/>
        </w:rPr>
      </w:pPr>
      <w:r w:rsidRPr="00FC01EA">
        <w:rPr>
          <w:rFonts w:ascii="Times New Roman" w:hAnsi="Times New Roman" w:cs="Times New Roman"/>
          <w:b/>
          <w:bCs/>
        </w:rPr>
        <w:t>RQ1:</w:t>
      </w:r>
      <w:r w:rsidRPr="00FC01EA">
        <w:rPr>
          <w:rFonts w:ascii="Times New Roman" w:hAnsi="Times New Roman" w:cs="Times New Roman"/>
        </w:rPr>
        <w:t xml:space="preserve"> To what extent does engaging participants in critical dialogue about socio-cultural and economic barriers (e.g., gender inequality, poverty, production constraints) lead to measurable shifts in </w:t>
      </w:r>
      <w:r w:rsidRPr="00FC01EA">
        <w:rPr>
          <w:rFonts w:ascii="Times New Roman" w:hAnsi="Times New Roman" w:cs="Times New Roman"/>
          <w:i/>
          <w:iCs/>
        </w:rPr>
        <w:t>gender norms</w:t>
      </w:r>
      <w:r w:rsidRPr="00FC01EA">
        <w:rPr>
          <w:rFonts w:ascii="Times New Roman" w:hAnsi="Times New Roman" w:cs="Times New Roman"/>
        </w:rPr>
        <w:t> and collective action addressing nutritional inequities within households and communities</w:t>
      </w:r>
      <w:r w:rsidR="00FC01EA">
        <w:rPr>
          <w:rFonts w:ascii="Times New Roman" w:hAnsi="Times New Roman" w:cs="Times New Roman"/>
        </w:rPr>
        <w:t>?</w:t>
      </w:r>
    </w:p>
    <w:p w14:paraId="7021369D" w14:textId="36C3775B" w:rsidR="00B07987" w:rsidRPr="00FC01EA" w:rsidRDefault="00B07987" w:rsidP="00286A94">
      <w:pPr>
        <w:spacing w:line="360" w:lineRule="auto"/>
        <w:jc w:val="both"/>
        <w:rPr>
          <w:rFonts w:ascii="Times New Roman" w:hAnsi="Times New Roman" w:cs="Times New Roman"/>
        </w:rPr>
      </w:pPr>
      <w:r w:rsidRPr="00FC01EA">
        <w:rPr>
          <w:rFonts w:ascii="Times New Roman" w:hAnsi="Times New Roman" w:cs="Times New Roman"/>
          <w:b/>
          <w:bCs/>
        </w:rPr>
        <w:t>RQ2:</w:t>
      </w:r>
      <w:r w:rsidRPr="00FC01EA">
        <w:rPr>
          <w:rFonts w:ascii="Times New Roman" w:hAnsi="Times New Roman" w:cs="Times New Roman"/>
        </w:rPr>
        <w:t xml:space="preserve"> What are the enabling factors and challenges in </w:t>
      </w:r>
      <w:r w:rsidRPr="00FC01EA">
        <w:rPr>
          <w:rFonts w:ascii="Times New Roman" w:hAnsi="Times New Roman" w:cs="Times New Roman"/>
          <w:i/>
          <w:iCs/>
        </w:rPr>
        <w:t>sustaining</w:t>
      </w:r>
      <w:r w:rsidRPr="00FC01EA">
        <w:rPr>
          <w:rFonts w:ascii="Times New Roman" w:hAnsi="Times New Roman" w:cs="Times New Roman"/>
        </w:rPr>
        <w:t> community-led initiatives embedded within agricultural programming in resource-poor, tribal settings?</w:t>
      </w:r>
    </w:p>
    <w:p w14:paraId="129C1D91" w14:textId="49B616D4" w:rsidR="00FA3B0B" w:rsidRPr="00FC01EA" w:rsidRDefault="00FA3B0B" w:rsidP="00286A94">
      <w:pPr>
        <w:spacing w:line="360" w:lineRule="auto"/>
        <w:jc w:val="both"/>
        <w:rPr>
          <w:rFonts w:ascii="Times New Roman" w:hAnsi="Times New Roman" w:cs="Times New Roman"/>
          <w:b/>
          <w:bCs/>
        </w:rPr>
      </w:pPr>
      <w:r w:rsidRPr="00FC01EA">
        <w:rPr>
          <w:rFonts w:ascii="Times New Roman" w:hAnsi="Times New Roman" w:cs="Times New Roman"/>
          <w:b/>
          <w:bCs/>
        </w:rPr>
        <w:lastRenderedPageBreak/>
        <w:t>Review of Literature</w:t>
      </w:r>
    </w:p>
    <w:p w14:paraId="55220D65" w14:textId="6565C8D1"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2.1 </w:t>
      </w:r>
      <w:r w:rsidRPr="00FA3B0B">
        <w:rPr>
          <w:rFonts w:ascii="Times New Roman" w:hAnsi="Times New Roman" w:cs="Times New Roman"/>
          <w:b/>
          <w:bCs/>
        </w:rPr>
        <w:t>Defining Nutrition Literacy</w:t>
      </w:r>
      <w:r w:rsidRPr="00FA3B0B">
        <w:rPr>
          <w:rFonts w:ascii="Times New Roman" w:hAnsi="Times New Roman" w:cs="Times New Roman"/>
        </w:rPr>
        <w:br/>
        <w:t xml:space="preserve">Krause et al. (2018) note limitations in early definitions of nutrition literacy, which primarily focused on skills for acquiring and comprehending nutrition information. A broader perspective is </w:t>
      </w:r>
      <w:r w:rsidR="00EC21AF" w:rsidRPr="0003491D">
        <w:rPr>
          <w:rFonts w:ascii="Times New Roman" w:hAnsi="Times New Roman" w:cs="Times New Roman"/>
          <w:highlight w:val="yellow"/>
        </w:rPr>
        <w:t>emphasi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ed </w:t>
      </w:r>
      <w:r w:rsidRPr="0003491D">
        <w:rPr>
          <w:rFonts w:ascii="Times New Roman" w:hAnsi="Times New Roman" w:cs="Times New Roman"/>
          <w:highlight w:val="yellow"/>
        </w:rPr>
        <w:t>by the Internatio</w:t>
      </w:r>
      <w:r w:rsidRPr="00FA3B0B">
        <w:rPr>
          <w:rFonts w:ascii="Times New Roman" w:hAnsi="Times New Roman" w:cs="Times New Roman"/>
        </w:rPr>
        <w:t xml:space="preserve">nal Union of Nutrition Sciences (IUNS) and World Health Policy Forum, defining nutrition science as the interdisciplinary study of food systems, nutrients, and their biological, social, and environmental interactions (Cannon and </w:t>
      </w:r>
      <w:proofErr w:type="spellStart"/>
      <w:r w:rsidRPr="00FA3B0B">
        <w:rPr>
          <w:rFonts w:ascii="Times New Roman" w:hAnsi="Times New Roman" w:cs="Times New Roman"/>
        </w:rPr>
        <w:t>Leitzmann</w:t>
      </w:r>
      <w:proofErr w:type="spellEnd"/>
      <w:r w:rsidRPr="00FA3B0B">
        <w:rPr>
          <w:rFonts w:ascii="Times New Roman" w:hAnsi="Times New Roman" w:cs="Times New Roman"/>
        </w:rPr>
        <w:t xml:space="preserve"> 2006). Building on this, the project adopts an operational definition: </w:t>
      </w:r>
      <w:r w:rsidRPr="00FA3B0B">
        <w:rPr>
          <w:rFonts w:ascii="Times New Roman" w:hAnsi="Times New Roman" w:cs="Times New Roman"/>
          <w:i/>
          <w:iCs/>
        </w:rPr>
        <w:t xml:space="preserve">Nutrition literacy is the process empowering individuals/communities to </w:t>
      </w:r>
      <w:r w:rsidRPr="0003491D">
        <w:rPr>
          <w:rFonts w:ascii="Times New Roman" w:hAnsi="Times New Roman" w:cs="Times New Roman"/>
          <w:i/>
          <w:iCs/>
          <w:highlight w:val="yellow"/>
        </w:rPr>
        <w:t xml:space="preserve">critically </w:t>
      </w:r>
      <w:r w:rsidR="00EC21AF" w:rsidRPr="0003491D">
        <w:rPr>
          <w:rFonts w:ascii="Times New Roman" w:hAnsi="Times New Roman" w:cs="Times New Roman"/>
          <w:i/>
          <w:iCs/>
          <w:highlight w:val="yellow"/>
        </w:rPr>
        <w:t>analy</w:t>
      </w:r>
      <w:r w:rsidR="00EC21AF" w:rsidRPr="0003491D">
        <w:rPr>
          <w:rFonts w:ascii="Times New Roman" w:hAnsi="Times New Roman" w:cs="Times New Roman"/>
          <w:i/>
          <w:iCs/>
          <w:highlight w:val="yellow"/>
        </w:rPr>
        <w:t>s</w:t>
      </w:r>
      <w:r w:rsidR="00EC21AF" w:rsidRPr="0003491D">
        <w:rPr>
          <w:rFonts w:ascii="Times New Roman" w:hAnsi="Times New Roman" w:cs="Times New Roman"/>
          <w:i/>
          <w:iCs/>
          <w:highlight w:val="yellow"/>
        </w:rPr>
        <w:t xml:space="preserve">e </w:t>
      </w:r>
      <w:r w:rsidRPr="0003491D">
        <w:rPr>
          <w:rFonts w:ascii="Times New Roman" w:hAnsi="Times New Roman" w:cs="Times New Roman"/>
          <w:i/>
          <w:iCs/>
          <w:highlight w:val="yellow"/>
        </w:rPr>
        <w:t>their nutri</w:t>
      </w:r>
      <w:r w:rsidRPr="00FA3B0B">
        <w:rPr>
          <w:rFonts w:ascii="Times New Roman" w:hAnsi="Times New Roman" w:cs="Times New Roman"/>
          <w:i/>
          <w:iCs/>
        </w:rPr>
        <w:t>tional context and engage meaningfully with social, cultural, biological, political, and environmental realities. This engagement aims to achieve dietary diversity, access to safe water, sanitation, and adequate health services for optimal nutrition outcomes.</w:t>
      </w:r>
    </w:p>
    <w:p w14:paraId="1668CF02" w14:textId="0CD5E1DB"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2.2 </w:t>
      </w:r>
      <w:r w:rsidRPr="00FA3B0B">
        <w:rPr>
          <w:rFonts w:ascii="Times New Roman" w:hAnsi="Times New Roman" w:cs="Times New Roman"/>
          <w:b/>
          <w:bCs/>
        </w:rPr>
        <w:t>Integrating Nutrition Literacy into Agricultural Interventions</w:t>
      </w:r>
      <w:r w:rsidRPr="00FA3B0B">
        <w:rPr>
          <w:rFonts w:ascii="Times New Roman" w:hAnsi="Times New Roman" w:cs="Times New Roman"/>
        </w:rPr>
        <w:br/>
        <w:t xml:space="preserve">Nutrition-sensitive </w:t>
      </w:r>
      <w:proofErr w:type="spellStart"/>
      <w:r w:rsidRPr="0003491D">
        <w:rPr>
          <w:rFonts w:ascii="Times New Roman" w:hAnsi="Times New Roman" w:cs="Times New Roman"/>
          <w:highlight w:val="yellow"/>
        </w:rPr>
        <w:t>agriculture</w:t>
      </w:r>
      <w:r w:rsidR="00EC21AF" w:rsidRPr="0003491D">
        <w:rPr>
          <w:rFonts w:ascii="Times New Roman" w:hAnsi="Times New Roman" w:cs="Times New Roman"/>
          <w:highlight w:val="yellow"/>
        </w:rPr>
        <w:t>prioritis</w:t>
      </w:r>
      <w:r w:rsidRPr="0003491D">
        <w:rPr>
          <w:rFonts w:ascii="Times New Roman" w:hAnsi="Times New Roman" w:cs="Times New Roman"/>
          <w:highlight w:val="yellow"/>
        </w:rPr>
        <w:t>es</w:t>
      </w:r>
      <w:proofErr w:type="spellEnd"/>
      <w:r w:rsidRPr="0003491D">
        <w:rPr>
          <w:rFonts w:ascii="Times New Roman" w:hAnsi="Times New Roman" w:cs="Times New Roman"/>
          <w:highlight w:val="yellow"/>
        </w:rPr>
        <w:t xml:space="preserve"> nutrient-rich foods,</w:t>
      </w:r>
      <w:r w:rsidRPr="00FA3B0B">
        <w:rPr>
          <w:rFonts w:ascii="Times New Roman" w:hAnsi="Times New Roman" w:cs="Times New Roman"/>
        </w:rPr>
        <w:t xml:space="preserve"> dietary diversity, and fortification to combat malnutrition. The Farming System for Nutrition (FSN) approach specifically integrates "nutritional criteria into selecting farming system components (crops, livestock, fish) to address local nutritional deficiencies" (Nagarajan et al. 2014). Embedding nutrition literacy within such agricultural interventions focuses on the opportunities and challenges in producing and consuming nutritious foods. While acknowledging non-food determinants of nutrition, this project concentrates on crop and food-related issues within participants' socio-economic, political, and environmental contexts.</w:t>
      </w:r>
    </w:p>
    <w:p w14:paraId="4DDA481B" w14:textId="49BE20E9"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2.3 </w:t>
      </w:r>
      <w:r w:rsidRPr="00FA3B0B">
        <w:rPr>
          <w:rFonts w:ascii="Times New Roman" w:hAnsi="Times New Roman" w:cs="Times New Roman"/>
          <w:b/>
          <w:bCs/>
        </w:rPr>
        <w:t>Evolution of Communication Strategies</w:t>
      </w:r>
      <w:r w:rsidRPr="00FA3B0B">
        <w:rPr>
          <w:rFonts w:ascii="Times New Roman" w:hAnsi="Times New Roman" w:cs="Times New Roman"/>
        </w:rPr>
        <w:br/>
        <w:t xml:space="preserve">Behaviour Change Communication (BCC) is a research-based process using interpersonal, group, and media channels (including participatory methods) to address knowledge, attitudes, and </w:t>
      </w:r>
      <w:r w:rsidR="00FC01EA" w:rsidRPr="00FA3B0B">
        <w:rPr>
          <w:rFonts w:ascii="Times New Roman" w:hAnsi="Times New Roman" w:cs="Times New Roman"/>
        </w:rPr>
        <w:t>practices.</w:t>
      </w:r>
      <w:r w:rsidRPr="00FA3B0B">
        <w:rPr>
          <w:rFonts w:ascii="Times New Roman" w:hAnsi="Times New Roman" w:cs="Times New Roman"/>
        </w:rPr>
        <w:t xml:space="preserve"> Evolving from health education and Information, Education, and Communication (IEC) (Nancy and Dongre 2021), BCC employs various individual, interpersonal, and community-level models to develop strategies promoting positive behaviours and supportive environments. This concept expands into social marketing – applying marketing principles to foster individual and collective action for sustained social transformation, positioning the marketer as a facilitator of change (Saunders et al. 2015).</w:t>
      </w:r>
    </w:p>
    <w:p w14:paraId="4A0D1F7B" w14:textId="16014936" w:rsidR="00FA3B0B" w:rsidRPr="00FA3B0B" w:rsidRDefault="00EC21AF" w:rsidP="00286A94">
      <w:pPr>
        <w:spacing w:line="360" w:lineRule="auto"/>
        <w:jc w:val="both"/>
        <w:rPr>
          <w:rFonts w:ascii="Times New Roman" w:hAnsi="Times New Roman" w:cs="Times New Roman"/>
        </w:rPr>
      </w:pPr>
      <w:r w:rsidRPr="0003491D">
        <w:rPr>
          <w:rFonts w:ascii="Times New Roman" w:hAnsi="Times New Roman" w:cs="Times New Roman"/>
          <w:highlight w:val="yellow"/>
        </w:rPr>
        <w:t>Recogni</w:t>
      </w:r>
      <w:r w:rsidRPr="0003491D">
        <w:rPr>
          <w:rFonts w:ascii="Times New Roman" w:hAnsi="Times New Roman" w:cs="Times New Roman"/>
          <w:highlight w:val="yellow"/>
        </w:rPr>
        <w:t>s</w:t>
      </w:r>
      <w:r w:rsidRPr="0003491D">
        <w:rPr>
          <w:rFonts w:ascii="Times New Roman" w:hAnsi="Times New Roman" w:cs="Times New Roman"/>
          <w:highlight w:val="yellow"/>
        </w:rPr>
        <w:t xml:space="preserve">ing </w:t>
      </w:r>
      <w:r w:rsidR="00FA3B0B" w:rsidRPr="0003491D">
        <w:rPr>
          <w:rFonts w:ascii="Times New Roman" w:hAnsi="Times New Roman" w:cs="Times New Roman"/>
          <w:highlight w:val="yellow"/>
        </w:rPr>
        <w:t>that individual change requires addressing social determinants, BCC</w:t>
      </w:r>
      <w:r w:rsidR="00FA3B0B" w:rsidRPr="00FA3B0B">
        <w:rPr>
          <w:rFonts w:ascii="Times New Roman" w:hAnsi="Times New Roman" w:cs="Times New Roman"/>
        </w:rPr>
        <w:t xml:space="preserve"> evolved into Social and Behaviour Change Communication (SBCC). The 'S' signifies that individual </w:t>
      </w:r>
      <w:r w:rsidR="00FA3B0B" w:rsidRPr="00FA3B0B">
        <w:rPr>
          <w:rFonts w:ascii="Times New Roman" w:hAnsi="Times New Roman" w:cs="Times New Roman"/>
        </w:rPr>
        <w:lastRenderedPageBreak/>
        <w:t xml:space="preserve">behaviour and social relationships are shaped by structural systems: gender norms, class/caste hierarchies, cultural practices, and political/economic environments (Kumar 2020). </w:t>
      </w:r>
      <w:r w:rsidR="00FA3B0B" w:rsidRPr="0003491D">
        <w:rPr>
          <w:rFonts w:ascii="Times New Roman" w:hAnsi="Times New Roman" w:cs="Times New Roman"/>
          <w:highlight w:val="yellow"/>
        </w:rPr>
        <w:t xml:space="preserve">SBCC </w:t>
      </w:r>
      <w:r w:rsidRPr="0003491D">
        <w:rPr>
          <w:rFonts w:ascii="Times New Roman" w:hAnsi="Times New Roman" w:cs="Times New Roman"/>
          <w:highlight w:val="yellow"/>
        </w:rPr>
        <w:t>utili</w:t>
      </w:r>
      <w:r w:rsidRPr="0003491D">
        <w:rPr>
          <w:rFonts w:ascii="Times New Roman" w:hAnsi="Times New Roman" w:cs="Times New Roman"/>
          <w:highlight w:val="yellow"/>
        </w:rPr>
        <w:t>s</w:t>
      </w:r>
      <w:r w:rsidRPr="0003491D">
        <w:rPr>
          <w:rFonts w:ascii="Times New Roman" w:hAnsi="Times New Roman" w:cs="Times New Roman"/>
          <w:highlight w:val="yellow"/>
        </w:rPr>
        <w:t xml:space="preserve">es </w:t>
      </w:r>
      <w:r w:rsidR="00FA3B0B" w:rsidRPr="0003491D">
        <w:rPr>
          <w:rFonts w:ascii="Times New Roman" w:hAnsi="Times New Roman" w:cs="Times New Roman"/>
          <w:highlight w:val="yellow"/>
        </w:rPr>
        <w:t>a socio</w:t>
      </w:r>
      <w:r w:rsidR="00FA3B0B" w:rsidRPr="00FA3B0B">
        <w:rPr>
          <w:rFonts w:ascii="Times New Roman" w:hAnsi="Times New Roman" w:cs="Times New Roman"/>
        </w:rPr>
        <w:t>-ecological model, integrating these aspects to address barriers, leverage opportunities, and promote sustainable change (McKee et al. 2014), combining communication, behaviour change, and social change strategies.</w:t>
      </w:r>
    </w:p>
    <w:p w14:paraId="06319036" w14:textId="4A62648C" w:rsidR="007F2E8B" w:rsidRPr="00286A94"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2.4 </w:t>
      </w:r>
      <w:r w:rsidRPr="00FA3B0B">
        <w:rPr>
          <w:rFonts w:ascii="Times New Roman" w:hAnsi="Times New Roman" w:cs="Times New Roman"/>
          <w:b/>
          <w:bCs/>
        </w:rPr>
        <w:t>Dialogue as a Core SBCC Strategy: The Freirean Influence</w:t>
      </w:r>
      <w:r w:rsidRPr="00FA3B0B">
        <w:rPr>
          <w:rFonts w:ascii="Times New Roman" w:hAnsi="Times New Roman" w:cs="Times New Roman"/>
        </w:rPr>
        <w:br/>
        <w:t>Central to SBCC implementation is dialogue, discussion, and negotiation. Paulo Freire pioneered dialogic pedagogy in adult literacy</w:t>
      </w:r>
      <w:r w:rsidRPr="0003491D">
        <w:rPr>
          <w:rFonts w:ascii="Times New Roman" w:hAnsi="Times New Roman" w:cs="Times New Roman"/>
          <w:highlight w:val="yellow"/>
        </w:rPr>
        <w:t xml:space="preserve">, </w:t>
      </w:r>
      <w:r w:rsidR="00EC21AF" w:rsidRPr="0003491D">
        <w:rPr>
          <w:rFonts w:ascii="Times New Roman" w:hAnsi="Times New Roman" w:cs="Times New Roman"/>
          <w:highlight w:val="yellow"/>
        </w:rPr>
        <w:t>emphasi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ing </w:t>
      </w:r>
      <w:r w:rsidRPr="0003491D">
        <w:rPr>
          <w:rFonts w:ascii="Times New Roman" w:hAnsi="Times New Roman" w:cs="Times New Roman"/>
          <w:highlight w:val="yellow"/>
        </w:rPr>
        <w:t>that adult learn</w:t>
      </w:r>
      <w:r w:rsidRPr="00FA3B0B">
        <w:rPr>
          <w:rFonts w:ascii="Times New Roman" w:hAnsi="Times New Roman" w:cs="Times New Roman"/>
        </w:rPr>
        <w:t xml:space="preserve">ers possess valuable knowledge which should be co-constructed democratically, breaking the "culture of silence" (Freire 2005). Engaging learners in critical dialogue raises awareness of their situation ("conscientization"), fostering hope and empowering action based on new understanding. </w:t>
      </w:r>
    </w:p>
    <w:p w14:paraId="78F832B8" w14:textId="3BB83716" w:rsidR="007F2E8B" w:rsidRPr="00286A94" w:rsidRDefault="00FA3B0B" w:rsidP="00286A94">
      <w:pPr>
        <w:spacing w:line="360" w:lineRule="auto"/>
        <w:jc w:val="both"/>
        <w:rPr>
          <w:rFonts w:ascii="Times New Roman" w:hAnsi="Times New Roman" w:cs="Times New Roman"/>
        </w:rPr>
      </w:pPr>
      <w:r w:rsidRPr="00FA3B0B">
        <w:rPr>
          <w:rFonts w:ascii="Times New Roman" w:hAnsi="Times New Roman" w:cs="Times New Roman"/>
        </w:rPr>
        <w:t xml:space="preserve">Dialogue, rooted in respect, links critical reflection with informed action, enabling learners to </w:t>
      </w:r>
      <w:r w:rsidRPr="0003491D">
        <w:rPr>
          <w:rFonts w:ascii="Times New Roman" w:hAnsi="Times New Roman" w:cs="Times New Roman"/>
          <w:highlight w:val="yellow"/>
        </w:rPr>
        <w:t>perceive socio-economic-political contradictions and act within their realities.</w:t>
      </w:r>
      <w:r w:rsidR="007F2E8B" w:rsidRPr="0003491D">
        <w:rPr>
          <w:rFonts w:ascii="Times New Roman" w:hAnsi="Times New Roman" w:cs="Times New Roman"/>
          <w:highlight w:val="yellow"/>
        </w:rPr>
        <w:t xml:space="preserve"> </w:t>
      </w:r>
      <w:r w:rsidR="00EC21AF" w:rsidRPr="0003491D">
        <w:rPr>
          <w:rFonts w:ascii="Times New Roman" w:hAnsi="Times New Roman" w:cs="Times New Roman"/>
          <w:highlight w:val="yellow"/>
        </w:rPr>
        <w:t>Utili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ing </w:t>
      </w:r>
      <w:r w:rsidR="007F2E8B" w:rsidRPr="0003491D">
        <w:rPr>
          <w:rFonts w:ascii="Times New Roman" w:hAnsi="Times New Roman" w:cs="Times New Roman"/>
          <w:highlight w:val="yellow"/>
        </w:rPr>
        <w:t>dialogue as an educational instrument for nutrition literacy within an agricultural</w:t>
      </w:r>
      <w:r w:rsidR="007F2E8B" w:rsidRPr="00286A94">
        <w:rPr>
          <w:rFonts w:ascii="Times New Roman" w:hAnsi="Times New Roman" w:cs="Times New Roman"/>
        </w:rPr>
        <w:t xml:space="preserve"> intervention program can promote critical reflection on the socio-cultural and economic obstacles to food production and consumption, ultimately resulting in transformative action (Rama Narayanan et al</w:t>
      </w:r>
      <w:r w:rsidR="00EC21AF">
        <w:rPr>
          <w:rFonts w:ascii="Times New Roman" w:hAnsi="Times New Roman" w:cs="Times New Roman"/>
        </w:rPr>
        <w:t>,</w:t>
      </w:r>
      <w:r w:rsidR="007F2E8B" w:rsidRPr="00286A94">
        <w:rPr>
          <w:rFonts w:ascii="Times New Roman" w:hAnsi="Times New Roman" w:cs="Times New Roman"/>
        </w:rPr>
        <w:t xml:space="preserve"> 2022).</w:t>
      </w:r>
    </w:p>
    <w:p w14:paraId="0F784431"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Case studies by Bonatti et al. (2021) illustrate Freirean principles in Brazilian food security initiatives:</w:t>
      </w:r>
    </w:p>
    <w:p w14:paraId="13DCC02E" w14:textId="46A00970"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Community Seed Bank (Northeast): </w:t>
      </w:r>
      <w:r w:rsidRPr="0003491D">
        <w:rPr>
          <w:rFonts w:ascii="Times New Roman" w:hAnsi="Times New Roman" w:cs="Times New Roman"/>
          <w:highlight w:val="yellow"/>
        </w:rPr>
        <w:t xml:space="preserve">Partnering </w:t>
      </w:r>
      <w:r w:rsidR="00EC21AF" w:rsidRPr="0003491D">
        <w:rPr>
          <w:rFonts w:ascii="Times New Roman" w:hAnsi="Times New Roman" w:cs="Times New Roman"/>
          <w:highlight w:val="yellow"/>
        </w:rPr>
        <w:t xml:space="preserve">with </w:t>
      </w:r>
      <w:r w:rsidRPr="0003491D">
        <w:rPr>
          <w:rFonts w:ascii="Times New Roman" w:hAnsi="Times New Roman" w:cs="Times New Roman"/>
          <w:highlight w:val="yellow"/>
        </w:rPr>
        <w:t>an NGO an</w:t>
      </w:r>
      <w:r w:rsidRPr="00FA3B0B">
        <w:rPr>
          <w:rFonts w:ascii="Times New Roman" w:hAnsi="Times New Roman" w:cs="Times New Roman"/>
        </w:rPr>
        <w:t>d farmers, this initiative conserved local species through seed loans. Farmers collaboratively selected seeds for multiplication, employed agroecological knowledge (including storage), and promoted exchange via fairs and a cultural festival ("Seeds of Passion"), advocating for supportive policies.</w:t>
      </w:r>
    </w:p>
    <w:p w14:paraId="16C556EA"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Biodiversity Kits (South): Addressing disappearing landraces, kits were co-created with farmers, technicians, and scientists. Farmers articulated needs in meetings, received training, identified seed multipliers, and distributed kits. The authors link these social learning and Freirean-based initiatives to improved food security through landrace conservation.</w:t>
      </w:r>
    </w:p>
    <w:p w14:paraId="2BA41D4F" w14:textId="692D5122" w:rsidR="00FA3B0B" w:rsidRPr="00FA3B0B" w:rsidRDefault="00FA3B0B"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2.5 </w:t>
      </w:r>
      <w:r w:rsidRPr="00FA3B0B">
        <w:rPr>
          <w:rFonts w:ascii="Times New Roman" w:hAnsi="Times New Roman" w:cs="Times New Roman"/>
          <w:b/>
          <w:bCs/>
        </w:rPr>
        <w:t>Addressing Critical Literacy Gaps in Interventions</w:t>
      </w:r>
      <w:r w:rsidRPr="00FA3B0B">
        <w:rPr>
          <w:rFonts w:ascii="Times New Roman" w:hAnsi="Times New Roman" w:cs="Times New Roman"/>
        </w:rPr>
        <w:br/>
        <w:t xml:space="preserve">Nichols (2021) observes numerous nutrition-sensitive agriculture projects integrating women's empowerment and BCC. Analysis of Indian projects revealed women preferred discussions on </w:t>
      </w:r>
      <w:r w:rsidRPr="00FA3B0B">
        <w:rPr>
          <w:rFonts w:ascii="Times New Roman" w:hAnsi="Times New Roman" w:cs="Times New Roman"/>
        </w:rPr>
        <w:lastRenderedPageBreak/>
        <w:t>early marriage and dietary diversity over complex topics like gender and health, indicating an unmet need for structured spaces to discuss gendered aspects of diet and health. This raises critical questions: Do agriculture-nutrition interventions create spaces for </w:t>
      </w:r>
      <w:r w:rsidRPr="00FA3B0B">
        <w:rPr>
          <w:rFonts w:ascii="Times New Roman" w:hAnsi="Times New Roman" w:cs="Times New Roman"/>
          <w:i/>
          <w:iCs/>
        </w:rPr>
        <w:t>critical literacy</w:t>
      </w:r>
      <w:r w:rsidRPr="00FA3B0B">
        <w:rPr>
          <w:rFonts w:ascii="Times New Roman" w:hAnsi="Times New Roman" w:cs="Times New Roman"/>
        </w:rPr>
        <w:t>? Do they enable questioning hierarchical relations (caste, class, gender) that contribute to poor diets?</w:t>
      </w:r>
    </w:p>
    <w:p w14:paraId="5205326B" w14:textId="77777777" w:rsidR="00FA3B0B" w:rsidRPr="00FA3B0B" w:rsidRDefault="00FA3B0B" w:rsidP="00286A94">
      <w:pPr>
        <w:spacing w:line="360" w:lineRule="auto"/>
        <w:jc w:val="both"/>
        <w:rPr>
          <w:rFonts w:ascii="Times New Roman" w:hAnsi="Times New Roman" w:cs="Times New Roman"/>
        </w:rPr>
      </w:pPr>
      <w:r w:rsidRPr="00FA3B0B">
        <w:rPr>
          <w:rFonts w:ascii="Times New Roman" w:hAnsi="Times New Roman" w:cs="Times New Roman"/>
        </w:rPr>
        <w:t>Therefore, a nutrition literacy program aiming for critical consciousness must incorporate dialogue, action, reflection, and dedicated spaces for these activities. Guided by this understanding of nutrition literacy, behaviour change, critical reflection, and dialogic pedagogy, a dedicated nutrition literacy component was designed and integrated into the agricultural intervention program.</w:t>
      </w:r>
    </w:p>
    <w:p w14:paraId="538A9E07" w14:textId="6B633517" w:rsidR="00FA3B0B" w:rsidRPr="00FC01EA" w:rsidRDefault="00D0070E" w:rsidP="00286A94">
      <w:pPr>
        <w:spacing w:line="360" w:lineRule="auto"/>
        <w:jc w:val="both"/>
        <w:rPr>
          <w:rFonts w:ascii="Times New Roman" w:hAnsi="Times New Roman" w:cs="Times New Roman"/>
          <w:b/>
          <w:bCs/>
        </w:rPr>
      </w:pPr>
      <w:r w:rsidRPr="00E91A59">
        <w:rPr>
          <w:rFonts w:ascii="Times New Roman" w:hAnsi="Times New Roman" w:cs="Times New Roman"/>
          <w:b/>
          <w:bCs/>
          <w:highlight w:val="yellow"/>
        </w:rPr>
        <w:t xml:space="preserve">3. </w:t>
      </w:r>
      <w:r w:rsidR="00FA3B0B" w:rsidRPr="00E91A59">
        <w:rPr>
          <w:rFonts w:ascii="Times New Roman" w:hAnsi="Times New Roman" w:cs="Times New Roman"/>
          <w:b/>
          <w:bCs/>
          <w:highlight w:val="yellow"/>
        </w:rPr>
        <w:t>Methodology</w:t>
      </w:r>
    </w:p>
    <w:p w14:paraId="05D4A700" w14:textId="7AA2EB8D" w:rsidR="00015289" w:rsidRDefault="00F87982" w:rsidP="00286A94">
      <w:pPr>
        <w:spacing w:line="360" w:lineRule="auto"/>
        <w:jc w:val="both"/>
        <w:rPr>
          <w:rFonts w:ascii="Times New Roman" w:hAnsi="Times New Roman" w:cs="Times New Roman"/>
        </w:rPr>
      </w:pPr>
      <w:r w:rsidRPr="00F87982">
        <w:rPr>
          <w:rFonts w:ascii="Times New Roman" w:hAnsi="Times New Roman" w:cs="Times New Roman"/>
        </w:rPr>
        <w:t xml:space="preserve">The action research is conducted across 1,575 households in 47 villages within </w:t>
      </w:r>
      <w:proofErr w:type="spellStart"/>
      <w:r w:rsidRPr="00F87982">
        <w:rPr>
          <w:rFonts w:ascii="Times New Roman" w:hAnsi="Times New Roman" w:cs="Times New Roman"/>
        </w:rPr>
        <w:t>Mathpada</w:t>
      </w:r>
      <w:proofErr w:type="spellEnd"/>
      <w:r w:rsidRPr="00F87982">
        <w:rPr>
          <w:rFonts w:ascii="Times New Roman" w:hAnsi="Times New Roman" w:cs="Times New Roman"/>
        </w:rPr>
        <w:t xml:space="preserve"> and </w:t>
      </w:r>
      <w:proofErr w:type="spellStart"/>
      <w:r w:rsidRPr="00F87982">
        <w:rPr>
          <w:rFonts w:ascii="Times New Roman" w:hAnsi="Times New Roman" w:cs="Times New Roman"/>
        </w:rPr>
        <w:t>Doraguda</w:t>
      </w:r>
      <w:proofErr w:type="spellEnd"/>
      <w:r w:rsidRPr="00F87982">
        <w:rPr>
          <w:rFonts w:ascii="Times New Roman" w:hAnsi="Times New Roman" w:cs="Times New Roman"/>
        </w:rPr>
        <w:t xml:space="preserve"> Panchayats, located in </w:t>
      </w:r>
      <w:proofErr w:type="spellStart"/>
      <w:r w:rsidRPr="00F87982">
        <w:rPr>
          <w:rFonts w:ascii="Times New Roman" w:hAnsi="Times New Roman" w:cs="Times New Roman"/>
        </w:rPr>
        <w:t>Boipariguda</w:t>
      </w:r>
      <w:proofErr w:type="spellEnd"/>
      <w:r w:rsidRPr="00F87982">
        <w:rPr>
          <w:rFonts w:ascii="Times New Roman" w:hAnsi="Times New Roman" w:cs="Times New Roman"/>
        </w:rPr>
        <w:t xml:space="preserve"> Block, Koraput district, Odisha, Eastern India. Koraput is a predominantly tribal, rural </w:t>
      </w:r>
      <w:r w:rsidRPr="00E91A59">
        <w:rPr>
          <w:rFonts w:ascii="Times New Roman" w:hAnsi="Times New Roman" w:cs="Times New Roman"/>
          <w:highlight w:val="yellow"/>
        </w:rPr>
        <w:t xml:space="preserve">district </w:t>
      </w:r>
      <w:r w:rsidR="00E91A59" w:rsidRPr="00E91A59">
        <w:rPr>
          <w:rFonts w:ascii="Times New Roman" w:hAnsi="Times New Roman" w:cs="Times New Roman"/>
          <w:highlight w:val="yellow"/>
        </w:rPr>
        <w:t>characterised</w:t>
      </w:r>
      <w:r w:rsidRPr="00E91A59">
        <w:rPr>
          <w:rFonts w:ascii="Times New Roman" w:hAnsi="Times New Roman" w:cs="Times New Roman"/>
          <w:highlight w:val="yellow"/>
        </w:rPr>
        <w:t xml:space="preserve"> by high biodiversity.</w:t>
      </w:r>
      <w:r w:rsidRPr="00F87982">
        <w:rPr>
          <w:rFonts w:ascii="Times New Roman" w:hAnsi="Times New Roman" w:cs="Times New Roman"/>
        </w:rPr>
        <w:t xml:space="preserve"> </w:t>
      </w:r>
    </w:p>
    <w:p w14:paraId="5C584A7F" w14:textId="25D177DB" w:rsidR="009D75C1" w:rsidRPr="00015289" w:rsidRDefault="009D75C1" w:rsidP="00015289">
      <w:pPr>
        <w:pStyle w:val="NoSpacing"/>
        <w:jc w:val="center"/>
        <w:rPr>
          <w:rFonts w:ascii="Times New Roman" w:hAnsi="Times New Roman" w:cs="Times New Roman"/>
        </w:rPr>
      </w:pPr>
      <w:r w:rsidRPr="00015289">
        <w:rPr>
          <w:rFonts w:ascii="Times New Roman" w:hAnsi="Times New Roman" w:cs="Times New Roman"/>
        </w:rPr>
        <w:t xml:space="preserve">Figure 1: Map of </w:t>
      </w:r>
      <w:r w:rsidR="00015289" w:rsidRPr="00015289">
        <w:rPr>
          <w:rFonts w:ascii="Times New Roman" w:hAnsi="Times New Roman" w:cs="Times New Roman"/>
        </w:rPr>
        <w:t xml:space="preserve">Koraput highlighting </w:t>
      </w:r>
      <w:r w:rsidR="00EC21AF">
        <w:rPr>
          <w:rFonts w:ascii="Times New Roman" w:hAnsi="Times New Roman" w:cs="Times New Roman"/>
        </w:rPr>
        <w:t xml:space="preserve">the </w:t>
      </w:r>
      <w:r w:rsidR="00015289" w:rsidRPr="00015289">
        <w:rPr>
          <w:rFonts w:ascii="Times New Roman" w:hAnsi="Times New Roman" w:cs="Times New Roman"/>
        </w:rPr>
        <w:t>Area of Research</w:t>
      </w:r>
    </w:p>
    <w:p w14:paraId="76F296EE" w14:textId="617C0AEC" w:rsidR="00DA0BE2" w:rsidRPr="00015289" w:rsidRDefault="00DA0BE2" w:rsidP="00015289">
      <w:pPr>
        <w:pStyle w:val="NoSpacing"/>
        <w:jc w:val="center"/>
        <w:rPr>
          <w:rFonts w:ascii="Times New Roman" w:hAnsi="Times New Roman" w:cs="Times New Roman"/>
        </w:rPr>
      </w:pPr>
      <w:r w:rsidRPr="00015289">
        <w:rPr>
          <w:rFonts w:ascii="Times New Roman" w:hAnsi="Times New Roman" w:cs="Times New Roman"/>
          <w:noProof/>
          <w:lang w:val="en-US"/>
        </w:rPr>
        <w:drawing>
          <wp:inline distT="0" distB="0" distL="0" distR="0" wp14:anchorId="6EBBEC61" wp14:editId="44E2050A">
            <wp:extent cx="5542647" cy="38484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0658" cy="3881751"/>
                    </a:xfrm>
                    <a:prstGeom prst="rect">
                      <a:avLst/>
                    </a:prstGeom>
                  </pic:spPr>
                </pic:pic>
              </a:graphicData>
            </a:graphic>
          </wp:inline>
        </w:drawing>
      </w:r>
    </w:p>
    <w:p w14:paraId="07385176" w14:textId="539286F1" w:rsidR="00015289" w:rsidRDefault="00015289" w:rsidP="00015289">
      <w:pPr>
        <w:pStyle w:val="NoSpacing"/>
        <w:jc w:val="center"/>
        <w:rPr>
          <w:rFonts w:ascii="Times New Roman" w:hAnsi="Times New Roman" w:cs="Times New Roman"/>
        </w:rPr>
      </w:pPr>
      <w:r w:rsidRPr="00015289">
        <w:rPr>
          <w:rFonts w:ascii="Times New Roman" w:hAnsi="Times New Roman" w:cs="Times New Roman"/>
        </w:rPr>
        <w:t>Source: DPMU 2017; NFHS 2015</w:t>
      </w:r>
    </w:p>
    <w:p w14:paraId="7ED7F13F" w14:textId="77777777" w:rsidR="00015289" w:rsidRDefault="00015289" w:rsidP="00015289">
      <w:pPr>
        <w:pStyle w:val="NoSpacing"/>
        <w:jc w:val="center"/>
        <w:rPr>
          <w:rFonts w:ascii="Times New Roman" w:hAnsi="Times New Roman" w:cs="Times New Roman"/>
        </w:rPr>
      </w:pPr>
    </w:p>
    <w:p w14:paraId="744E4E3C" w14:textId="77777777" w:rsidR="00015289" w:rsidRPr="00015289" w:rsidRDefault="00015289" w:rsidP="00015289">
      <w:pPr>
        <w:pStyle w:val="NoSpacing"/>
        <w:jc w:val="center"/>
        <w:rPr>
          <w:rFonts w:ascii="Times New Roman" w:hAnsi="Times New Roman" w:cs="Times New Roman"/>
        </w:rPr>
      </w:pPr>
    </w:p>
    <w:p w14:paraId="40894CE5" w14:textId="252613DF" w:rsidR="00D0070E" w:rsidRDefault="00D0070E" w:rsidP="00286A94">
      <w:pPr>
        <w:spacing w:line="360" w:lineRule="auto"/>
        <w:jc w:val="both"/>
        <w:rPr>
          <w:rFonts w:ascii="Times New Roman" w:hAnsi="Times New Roman" w:cs="Times New Roman"/>
        </w:rPr>
      </w:pPr>
      <w:r w:rsidRPr="00D0070E">
        <w:rPr>
          <w:rFonts w:ascii="Times New Roman" w:hAnsi="Times New Roman" w:cs="Times New Roman"/>
        </w:rPr>
        <w:lastRenderedPageBreak/>
        <w:t xml:space="preserve">To establish the project foundation, 37 village meetings introduced secondary agricultural, health, and nutritional data to 1,047 community members (513 women, 534 men). Early-stage productivity trials focused on improved varieties and practices for finger millet, pigeon pea, and orange-fleshed sweet potato. A household census provided core socioeconomic information, followed by a baseline survey employing random sampling (SPSS version 2) of 315 households </w:t>
      </w:r>
      <w:r w:rsidRPr="0003491D">
        <w:rPr>
          <w:rFonts w:ascii="Times New Roman" w:hAnsi="Times New Roman" w:cs="Times New Roman"/>
          <w:highlight w:val="yellow"/>
        </w:rPr>
        <w:t xml:space="preserve">to </w:t>
      </w:r>
      <w:r w:rsidR="00EC21AF" w:rsidRPr="0003491D">
        <w:rPr>
          <w:rFonts w:ascii="Times New Roman" w:hAnsi="Times New Roman" w:cs="Times New Roman"/>
          <w:highlight w:val="yellow"/>
        </w:rPr>
        <w:t>characteri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 </w:t>
      </w:r>
      <w:r w:rsidRPr="0003491D">
        <w:rPr>
          <w:rFonts w:ascii="Times New Roman" w:hAnsi="Times New Roman" w:cs="Times New Roman"/>
          <w:highlight w:val="yellow"/>
        </w:rPr>
        <w:t>existing agri</w:t>
      </w:r>
      <w:r w:rsidRPr="00D0070E">
        <w:rPr>
          <w:rFonts w:ascii="Times New Roman" w:hAnsi="Times New Roman" w:cs="Times New Roman"/>
        </w:rPr>
        <w:t>cultural systems, food consumption habits, and nutrition awareness.</w:t>
      </w:r>
    </w:p>
    <w:p w14:paraId="34EB6C44" w14:textId="3A0DBD79" w:rsidR="00F87982" w:rsidRPr="00F87982" w:rsidRDefault="00CA2B0A" w:rsidP="00286A94">
      <w:pPr>
        <w:spacing w:line="360" w:lineRule="auto"/>
        <w:jc w:val="both"/>
        <w:rPr>
          <w:rFonts w:ascii="Times New Roman" w:hAnsi="Times New Roman" w:cs="Times New Roman"/>
        </w:rPr>
      </w:pPr>
      <w:r w:rsidRPr="00286A94">
        <w:rPr>
          <w:rFonts w:ascii="Times New Roman" w:hAnsi="Times New Roman" w:cs="Times New Roman"/>
          <w:b/>
          <w:bCs/>
        </w:rPr>
        <w:t>3.</w:t>
      </w:r>
      <w:r w:rsidR="00D0070E">
        <w:rPr>
          <w:rFonts w:ascii="Times New Roman" w:hAnsi="Times New Roman" w:cs="Times New Roman"/>
          <w:b/>
          <w:bCs/>
        </w:rPr>
        <w:t>1</w:t>
      </w:r>
      <w:r w:rsidRPr="00286A94">
        <w:rPr>
          <w:rFonts w:ascii="Times New Roman" w:hAnsi="Times New Roman" w:cs="Times New Roman"/>
          <w:b/>
          <w:bCs/>
        </w:rPr>
        <w:t xml:space="preserve"> </w:t>
      </w:r>
      <w:r w:rsidR="00F87982" w:rsidRPr="00F87982">
        <w:rPr>
          <w:rFonts w:ascii="Times New Roman" w:hAnsi="Times New Roman" w:cs="Times New Roman"/>
          <w:b/>
          <w:bCs/>
        </w:rPr>
        <w:t>Dietary Assessment Methods</w:t>
      </w:r>
    </w:p>
    <w:p w14:paraId="46A54438" w14:textId="77777777"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Household food consumption frequency was captured using two complementary recall methods:</w:t>
      </w:r>
    </w:p>
    <w:p w14:paraId="4D36F82D" w14:textId="6E4B4FD0" w:rsidR="00F87982" w:rsidRPr="00F87982" w:rsidRDefault="00F87982" w:rsidP="00FC01EA">
      <w:pPr>
        <w:spacing w:line="360" w:lineRule="auto"/>
        <w:jc w:val="both"/>
        <w:rPr>
          <w:rFonts w:ascii="Times New Roman" w:hAnsi="Times New Roman" w:cs="Times New Roman"/>
        </w:rPr>
      </w:pPr>
      <w:r w:rsidRPr="00F87982">
        <w:rPr>
          <w:rFonts w:ascii="Times New Roman" w:hAnsi="Times New Roman" w:cs="Times New Roman"/>
          <w:b/>
          <w:bCs/>
        </w:rPr>
        <w:t>24-hour Dietary Recall:</w:t>
      </w:r>
      <w:r w:rsidRPr="00F87982">
        <w:rPr>
          <w:rFonts w:ascii="Times New Roman" w:hAnsi="Times New Roman" w:cs="Times New Roman"/>
        </w:rPr>
        <w:t> Documented all foods consumed (including outside meals) on a typical non-festive day prior to the interview. Advantages include better recall accuracy.</w:t>
      </w:r>
    </w:p>
    <w:p w14:paraId="50DBBC66" w14:textId="6086B4DE" w:rsidR="00F87982" w:rsidRPr="00F87982" w:rsidRDefault="00F87982" w:rsidP="00FC01EA">
      <w:pPr>
        <w:spacing w:line="360" w:lineRule="auto"/>
        <w:jc w:val="both"/>
        <w:rPr>
          <w:rFonts w:ascii="Times New Roman" w:hAnsi="Times New Roman" w:cs="Times New Roman"/>
        </w:rPr>
      </w:pPr>
      <w:r w:rsidRPr="00F87982">
        <w:rPr>
          <w:rFonts w:ascii="Times New Roman" w:hAnsi="Times New Roman" w:cs="Times New Roman"/>
          <w:b/>
          <w:bCs/>
        </w:rPr>
        <w:t>30-day Food Frequency Recall:</w:t>
      </w:r>
      <w:r w:rsidRPr="00F87982">
        <w:rPr>
          <w:rFonts w:ascii="Times New Roman" w:hAnsi="Times New Roman" w:cs="Times New Roman"/>
        </w:rPr>
        <w:t> Recorded all food items consumed and their sources over the previous month. This captures greater dietary diversity (including infrequently consumed items) but risks recall bias.</w:t>
      </w:r>
    </w:p>
    <w:p w14:paraId="18D77E08" w14:textId="485E91E5"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Both methods provide a snapshot and may not fully capture seasonal dietary variations.</w:t>
      </w:r>
    </w:p>
    <w:p w14:paraId="55030D9B" w14:textId="67DEBC63" w:rsidR="00F87982" w:rsidRPr="00F87982" w:rsidRDefault="00CA2B0A" w:rsidP="00286A94">
      <w:pPr>
        <w:spacing w:line="360" w:lineRule="auto"/>
        <w:jc w:val="both"/>
        <w:rPr>
          <w:rFonts w:ascii="Times New Roman" w:hAnsi="Times New Roman" w:cs="Times New Roman"/>
        </w:rPr>
      </w:pPr>
      <w:r w:rsidRPr="00286A94">
        <w:rPr>
          <w:rFonts w:ascii="Times New Roman" w:hAnsi="Times New Roman" w:cs="Times New Roman"/>
          <w:b/>
          <w:bCs/>
        </w:rPr>
        <w:t>3.</w:t>
      </w:r>
      <w:r w:rsidR="00D0070E">
        <w:rPr>
          <w:rFonts w:ascii="Times New Roman" w:hAnsi="Times New Roman" w:cs="Times New Roman"/>
          <w:b/>
          <w:bCs/>
        </w:rPr>
        <w:t>2</w:t>
      </w:r>
      <w:r w:rsidRPr="00286A94">
        <w:rPr>
          <w:rFonts w:ascii="Times New Roman" w:hAnsi="Times New Roman" w:cs="Times New Roman"/>
          <w:b/>
          <w:bCs/>
        </w:rPr>
        <w:t xml:space="preserve"> </w:t>
      </w:r>
      <w:r w:rsidR="00F87982" w:rsidRPr="00F87982">
        <w:rPr>
          <w:rFonts w:ascii="Times New Roman" w:hAnsi="Times New Roman" w:cs="Times New Roman"/>
          <w:b/>
          <w:bCs/>
        </w:rPr>
        <w:t xml:space="preserve">Process of Social Engagement </w:t>
      </w:r>
    </w:p>
    <w:p w14:paraId="57021EC5" w14:textId="2E1A43A2" w:rsidR="00DA0BE2" w:rsidRDefault="00F87982" w:rsidP="00286A94">
      <w:pPr>
        <w:spacing w:line="360" w:lineRule="auto"/>
        <w:jc w:val="both"/>
        <w:rPr>
          <w:rFonts w:ascii="Times New Roman" w:hAnsi="Times New Roman" w:cs="Times New Roman"/>
        </w:rPr>
      </w:pPr>
      <w:r w:rsidRPr="00F87982">
        <w:rPr>
          <w:rFonts w:ascii="Times New Roman" w:hAnsi="Times New Roman" w:cs="Times New Roman"/>
        </w:rPr>
        <w:t>An experienced adult literacy facilitator (with English-Odiya translation support) led the training.</w:t>
      </w:r>
      <w:r w:rsidR="00B07987" w:rsidRPr="00286A94">
        <w:rPr>
          <w:rFonts w:ascii="Times New Roman" w:hAnsi="Times New Roman" w:cs="Times New Roman"/>
        </w:rPr>
        <w:t xml:space="preserve"> </w:t>
      </w:r>
      <w:r w:rsidRPr="00F87982">
        <w:rPr>
          <w:rFonts w:ascii="Times New Roman" w:hAnsi="Times New Roman" w:cs="Times New Roman"/>
        </w:rPr>
        <w:t>The residential setting fostered unprecedented interaction across caste, village, and gender lines</w:t>
      </w:r>
      <w:r w:rsidR="00DA0BE2">
        <w:rPr>
          <w:rFonts w:ascii="Times New Roman" w:hAnsi="Times New Roman" w:cs="Times New Roman"/>
        </w:rPr>
        <w:t>, as displayed in Figure 2.</w:t>
      </w:r>
    </w:p>
    <w:p w14:paraId="0DA814EF" w14:textId="677A119E" w:rsidR="00015289" w:rsidRPr="00015289" w:rsidRDefault="00015289" w:rsidP="00015289">
      <w:pPr>
        <w:pStyle w:val="NoSpacing"/>
        <w:jc w:val="center"/>
        <w:rPr>
          <w:rFonts w:ascii="Times New Roman" w:hAnsi="Times New Roman" w:cs="Times New Roman"/>
        </w:rPr>
      </w:pPr>
      <w:r w:rsidRPr="00015289">
        <w:rPr>
          <w:rFonts w:ascii="Times New Roman" w:hAnsi="Times New Roman" w:cs="Times New Roman"/>
        </w:rPr>
        <w:t xml:space="preserve">Figure 2: Framework depicting </w:t>
      </w:r>
      <w:r w:rsidRPr="0003491D">
        <w:rPr>
          <w:rFonts w:ascii="Times New Roman" w:hAnsi="Times New Roman" w:cs="Times New Roman"/>
          <w:highlight w:val="yellow"/>
        </w:rPr>
        <w:t xml:space="preserve">Dialogue as </w:t>
      </w:r>
      <w:r w:rsidR="00EC21AF" w:rsidRPr="0003491D">
        <w:rPr>
          <w:rFonts w:ascii="Times New Roman" w:hAnsi="Times New Roman" w:cs="Times New Roman"/>
          <w:highlight w:val="yellow"/>
        </w:rPr>
        <w:t xml:space="preserve">a </w:t>
      </w:r>
      <w:r w:rsidRPr="0003491D">
        <w:rPr>
          <w:rFonts w:ascii="Times New Roman" w:hAnsi="Times New Roman" w:cs="Times New Roman"/>
          <w:highlight w:val="yellow"/>
        </w:rPr>
        <w:t>Nutrition Literacy Tool</w:t>
      </w:r>
    </w:p>
    <w:p w14:paraId="0722702E" w14:textId="69D8EE40" w:rsidR="00DA0BE2" w:rsidRPr="00015289" w:rsidRDefault="00DA0BE2" w:rsidP="00015289">
      <w:pPr>
        <w:pStyle w:val="NoSpacing"/>
        <w:jc w:val="center"/>
        <w:rPr>
          <w:rFonts w:ascii="Times New Roman" w:hAnsi="Times New Roman" w:cs="Times New Roman"/>
        </w:rPr>
      </w:pPr>
      <w:r w:rsidRPr="00015289">
        <w:rPr>
          <w:rFonts w:ascii="Times New Roman" w:hAnsi="Times New Roman" w:cs="Times New Roman"/>
          <w:noProof/>
          <w:lang w:val="en-US"/>
        </w:rPr>
        <w:lastRenderedPageBreak/>
        <w:drawing>
          <wp:inline distT="0" distB="0" distL="0" distR="0" wp14:anchorId="4238FDCB" wp14:editId="5B6C0DB8">
            <wp:extent cx="2842260" cy="4382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994" cy="4466816"/>
                    </a:xfrm>
                    <a:prstGeom prst="rect">
                      <a:avLst/>
                    </a:prstGeom>
                  </pic:spPr>
                </pic:pic>
              </a:graphicData>
            </a:graphic>
          </wp:inline>
        </w:drawing>
      </w:r>
    </w:p>
    <w:p w14:paraId="4D321980" w14:textId="3B7CC56D" w:rsidR="00015289" w:rsidRDefault="00015289" w:rsidP="00015289">
      <w:pPr>
        <w:pStyle w:val="NoSpacing"/>
        <w:jc w:val="center"/>
        <w:rPr>
          <w:rFonts w:ascii="Times New Roman" w:hAnsi="Times New Roman" w:cs="Times New Roman"/>
        </w:rPr>
      </w:pPr>
      <w:r w:rsidRPr="00015289">
        <w:rPr>
          <w:rFonts w:ascii="Times New Roman" w:hAnsi="Times New Roman" w:cs="Times New Roman"/>
        </w:rPr>
        <w:t xml:space="preserve">Source: </w:t>
      </w:r>
      <w:proofErr w:type="spellStart"/>
      <w:r w:rsidRPr="00015289">
        <w:rPr>
          <w:rFonts w:ascii="Times New Roman" w:hAnsi="Times New Roman" w:cs="Times New Roman"/>
        </w:rPr>
        <w:t>Ramanarayanan</w:t>
      </w:r>
      <w:proofErr w:type="spellEnd"/>
      <w:r w:rsidRPr="00015289">
        <w:rPr>
          <w:rFonts w:ascii="Times New Roman" w:hAnsi="Times New Roman" w:cs="Times New Roman"/>
        </w:rPr>
        <w:t xml:space="preserve"> et al</w:t>
      </w:r>
      <w:r w:rsidR="00EC21AF">
        <w:rPr>
          <w:rFonts w:ascii="Times New Roman" w:hAnsi="Times New Roman" w:cs="Times New Roman"/>
        </w:rPr>
        <w:t>,</w:t>
      </w:r>
      <w:r w:rsidRPr="00015289">
        <w:rPr>
          <w:rFonts w:ascii="Times New Roman" w:hAnsi="Times New Roman" w:cs="Times New Roman"/>
        </w:rPr>
        <w:t xml:space="preserve"> 2022</w:t>
      </w:r>
    </w:p>
    <w:p w14:paraId="424C0CB2" w14:textId="2A8F14AF"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This environment enabled shared experiences and collective reflection on food/nutrition status, building relationships and support</w:t>
      </w:r>
      <w:r w:rsidR="00EC21AF">
        <w:rPr>
          <w:rFonts w:ascii="Times New Roman" w:hAnsi="Times New Roman" w:cs="Times New Roman"/>
        </w:rPr>
        <w:t>,</w:t>
      </w:r>
      <w:r w:rsidRPr="00F87982">
        <w:rPr>
          <w:rFonts w:ascii="Times New Roman" w:hAnsi="Times New Roman" w:cs="Times New Roman"/>
        </w:rPr>
        <w:t xml:space="preserve"> foundational steps towards collective action (Oakley et al. 1984).</w:t>
      </w:r>
      <w:r w:rsidR="00B07987" w:rsidRPr="00286A94">
        <w:rPr>
          <w:rFonts w:ascii="Times New Roman" w:hAnsi="Times New Roman" w:cs="Times New Roman"/>
        </w:rPr>
        <w:t xml:space="preserve"> </w:t>
      </w:r>
      <w:r w:rsidRPr="00F87982">
        <w:rPr>
          <w:rFonts w:ascii="Times New Roman" w:hAnsi="Times New Roman" w:cs="Times New Roman"/>
        </w:rPr>
        <w:t xml:space="preserve">While acknowledging that workshops alone cannot transform social structures, the </w:t>
      </w:r>
      <w:r w:rsidRPr="0003491D">
        <w:rPr>
          <w:rFonts w:ascii="Times New Roman" w:hAnsi="Times New Roman" w:cs="Times New Roman"/>
          <w:highlight w:val="yellow"/>
        </w:rPr>
        <w:t xml:space="preserve">training </w:t>
      </w:r>
      <w:r w:rsidR="00EC21AF" w:rsidRPr="0003491D">
        <w:rPr>
          <w:rFonts w:ascii="Times New Roman" w:hAnsi="Times New Roman" w:cs="Times New Roman"/>
          <w:highlight w:val="yellow"/>
        </w:rPr>
        <w:t>sensiti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ed </w:t>
      </w:r>
      <w:r w:rsidRPr="0003491D">
        <w:rPr>
          <w:rFonts w:ascii="Times New Roman" w:hAnsi="Times New Roman" w:cs="Times New Roman"/>
          <w:highlight w:val="yellow"/>
        </w:rPr>
        <w:t>CHFs to powe</w:t>
      </w:r>
      <w:r w:rsidRPr="00F87982">
        <w:rPr>
          <w:rFonts w:ascii="Times New Roman" w:hAnsi="Times New Roman" w:cs="Times New Roman"/>
        </w:rPr>
        <w:t xml:space="preserve">r hierarchies impacting food security. This aimed to break the "culture of silence" and </w:t>
      </w:r>
      <w:r w:rsidRPr="0003491D">
        <w:rPr>
          <w:rFonts w:ascii="Times New Roman" w:hAnsi="Times New Roman" w:cs="Times New Roman"/>
          <w:highlight w:val="yellow"/>
        </w:rPr>
        <w:t xml:space="preserve">amplify </w:t>
      </w:r>
      <w:r w:rsidR="00EC21AF" w:rsidRPr="0003491D">
        <w:rPr>
          <w:rFonts w:ascii="Times New Roman" w:hAnsi="Times New Roman" w:cs="Times New Roman"/>
          <w:highlight w:val="yellow"/>
        </w:rPr>
        <w:t>marginali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ed </w:t>
      </w:r>
      <w:r w:rsidRPr="0003491D">
        <w:rPr>
          <w:rFonts w:ascii="Times New Roman" w:hAnsi="Times New Roman" w:cs="Times New Roman"/>
          <w:highlight w:val="yellow"/>
        </w:rPr>
        <w:t>voi</w:t>
      </w:r>
      <w:r w:rsidRPr="00F87982">
        <w:rPr>
          <w:rFonts w:ascii="Times New Roman" w:hAnsi="Times New Roman" w:cs="Times New Roman"/>
        </w:rPr>
        <w:t>ces for future discourse. Post-training, CHFs identified key messages for community dissemination</w:t>
      </w:r>
      <w:r w:rsidR="00B07987" w:rsidRPr="00286A94">
        <w:rPr>
          <w:rFonts w:ascii="Times New Roman" w:hAnsi="Times New Roman" w:cs="Times New Roman"/>
        </w:rPr>
        <w:t xml:space="preserve">. </w:t>
      </w:r>
      <w:r w:rsidRPr="00F87982">
        <w:rPr>
          <w:rFonts w:ascii="Times New Roman" w:hAnsi="Times New Roman" w:cs="Times New Roman"/>
        </w:rPr>
        <w:t>The program design anticipated emergent, sequential community actions.</w:t>
      </w:r>
    </w:p>
    <w:p w14:paraId="68A4D5F8" w14:textId="27E04E57"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Observations were coded into themes (e.g., dietary diversity, food production, entitlement claims). Interviews captured message dissemination methods (one-on-one vs. group sharing).</w:t>
      </w:r>
      <w:r w:rsidR="00430C6A">
        <w:rPr>
          <w:rFonts w:ascii="Times New Roman" w:hAnsi="Times New Roman" w:cs="Times New Roman"/>
        </w:rPr>
        <w:t xml:space="preserve"> </w:t>
      </w:r>
      <w:r w:rsidRPr="00F87982">
        <w:rPr>
          <w:rFonts w:ascii="Times New Roman" w:hAnsi="Times New Roman" w:cs="Times New Roman"/>
        </w:rPr>
        <w:t>FGDs explored CHF</w:t>
      </w:r>
      <w:r w:rsidR="00EC21AF">
        <w:rPr>
          <w:rFonts w:ascii="Times New Roman" w:hAnsi="Times New Roman" w:cs="Times New Roman"/>
        </w:rPr>
        <w:t>'s</w:t>
      </w:r>
      <w:r w:rsidRPr="00F87982">
        <w:rPr>
          <w:rFonts w:ascii="Times New Roman" w:hAnsi="Times New Roman" w:cs="Times New Roman"/>
        </w:rPr>
        <w:t xml:space="preserve"> views on the transformative process.</w:t>
      </w:r>
      <w:r w:rsidR="00956CE3" w:rsidRPr="00286A94">
        <w:rPr>
          <w:rFonts w:ascii="Times New Roman" w:hAnsi="Times New Roman" w:cs="Times New Roman"/>
        </w:rPr>
        <w:t xml:space="preserve"> </w:t>
      </w:r>
    </w:p>
    <w:p w14:paraId="16B16BAE" w14:textId="54F5F1D8" w:rsidR="00F87982" w:rsidRPr="00F87982" w:rsidRDefault="00F87982" w:rsidP="00286A94">
      <w:pPr>
        <w:spacing w:line="360" w:lineRule="auto"/>
        <w:jc w:val="both"/>
        <w:rPr>
          <w:rFonts w:ascii="Times New Roman" w:hAnsi="Times New Roman" w:cs="Times New Roman"/>
        </w:rPr>
      </w:pPr>
      <w:r w:rsidRPr="00F87982">
        <w:rPr>
          <w:rFonts w:ascii="Times New Roman" w:hAnsi="Times New Roman" w:cs="Times New Roman"/>
        </w:rPr>
        <w:t>This paper examines dialogue's role in fostering critical analysis, reflection, and individual-level action.</w:t>
      </w:r>
    </w:p>
    <w:p w14:paraId="4B52918A" w14:textId="305C9FDE" w:rsidR="00B07987" w:rsidRPr="00286A94" w:rsidRDefault="00B07987" w:rsidP="00286A94">
      <w:pPr>
        <w:spacing w:line="360" w:lineRule="auto"/>
        <w:jc w:val="both"/>
        <w:rPr>
          <w:rFonts w:ascii="Times New Roman" w:hAnsi="Times New Roman" w:cs="Times New Roman"/>
          <w:b/>
          <w:bCs/>
        </w:rPr>
      </w:pPr>
      <w:r w:rsidRPr="00286A94">
        <w:rPr>
          <w:rFonts w:ascii="Times New Roman" w:hAnsi="Times New Roman" w:cs="Times New Roman"/>
          <w:b/>
          <w:bCs/>
        </w:rPr>
        <w:t xml:space="preserve">4. </w:t>
      </w:r>
      <w:r w:rsidR="00F87982" w:rsidRPr="00286A94">
        <w:rPr>
          <w:rFonts w:ascii="Times New Roman" w:hAnsi="Times New Roman" w:cs="Times New Roman"/>
          <w:b/>
          <w:bCs/>
        </w:rPr>
        <w:t>Results and Discussion</w:t>
      </w:r>
    </w:p>
    <w:p w14:paraId="40EC5E6F" w14:textId="7F39DAB5" w:rsidR="00030E40" w:rsidRPr="00286A94" w:rsidRDefault="00B07987"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4.1 </w:t>
      </w:r>
      <w:r w:rsidR="00030E40" w:rsidRPr="00286A94">
        <w:rPr>
          <w:rFonts w:ascii="Times New Roman" w:hAnsi="Times New Roman" w:cs="Times New Roman"/>
          <w:b/>
          <w:bCs/>
        </w:rPr>
        <w:t>Socio-Demographic and Economic Setting</w:t>
      </w:r>
    </w:p>
    <w:p w14:paraId="46EFAF0D" w14:textId="4E1944C1"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lastRenderedPageBreak/>
        <w:t xml:space="preserve">The study population comprised </w:t>
      </w:r>
      <w:r w:rsidRPr="0003491D">
        <w:rPr>
          <w:rFonts w:ascii="Times New Roman" w:hAnsi="Times New Roman" w:cs="Times New Roman"/>
          <w:highlight w:val="yellow"/>
        </w:rPr>
        <w:t xml:space="preserve">predominantly </w:t>
      </w:r>
      <w:r w:rsidR="00EC21AF" w:rsidRPr="0003491D">
        <w:rPr>
          <w:rFonts w:ascii="Times New Roman" w:hAnsi="Times New Roman" w:cs="Times New Roman"/>
          <w:highlight w:val="yellow"/>
        </w:rPr>
        <w:t>marginali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ed </w:t>
      </w:r>
      <w:r w:rsidRPr="0003491D">
        <w:rPr>
          <w:rFonts w:ascii="Times New Roman" w:hAnsi="Times New Roman" w:cs="Times New Roman"/>
          <w:highlight w:val="yellow"/>
        </w:rPr>
        <w:t>groups</w:t>
      </w:r>
      <w:r w:rsidRPr="00030E40">
        <w:rPr>
          <w:rFonts w:ascii="Times New Roman" w:hAnsi="Times New Roman" w:cs="Times New Roman"/>
        </w:rPr>
        <w:t xml:space="preserve">: Scheduled Tribes (74%) and Scheduled Castes (13%), together constituting 87% of residents. Landholding patterns revealed significant constraints: 79% were small or marginal farmers (holding &lt;1 hectare or 1-2 hectares), 11% were landless, 8% held semi-medium plots (2–4 hectares), and only 2% had medium holdings (4–10 hectares). Smallholders frequently </w:t>
      </w:r>
      <w:r w:rsidRPr="0003491D">
        <w:rPr>
          <w:rFonts w:ascii="Times New Roman" w:hAnsi="Times New Roman" w:cs="Times New Roman"/>
          <w:highlight w:val="yellow"/>
        </w:rPr>
        <w:t xml:space="preserve">supplemented </w:t>
      </w:r>
      <w:r w:rsidR="00EC21AF" w:rsidRPr="0003491D">
        <w:rPr>
          <w:rFonts w:ascii="Times New Roman" w:hAnsi="Times New Roman" w:cs="Times New Roman"/>
          <w:highlight w:val="yellow"/>
        </w:rPr>
        <w:t xml:space="preserve">their </w:t>
      </w:r>
      <w:r w:rsidRPr="0003491D">
        <w:rPr>
          <w:rFonts w:ascii="Times New Roman" w:hAnsi="Times New Roman" w:cs="Times New Roman"/>
          <w:highlight w:val="yellow"/>
        </w:rPr>
        <w:t>income through paid labo</w:t>
      </w:r>
      <w:r w:rsidR="00EC21AF" w:rsidRPr="0003491D">
        <w:rPr>
          <w:rFonts w:ascii="Times New Roman" w:hAnsi="Times New Roman" w:cs="Times New Roman"/>
          <w:highlight w:val="yellow"/>
        </w:rPr>
        <w:t>u</w:t>
      </w:r>
      <w:r w:rsidRPr="0003491D">
        <w:rPr>
          <w:rFonts w:ascii="Times New Roman" w:hAnsi="Times New Roman" w:cs="Times New Roman"/>
          <w:highlight w:val="yellow"/>
        </w:rPr>
        <w:t>r</w:t>
      </w:r>
      <w:r w:rsidRPr="00030E40">
        <w:rPr>
          <w:rFonts w:ascii="Times New Roman" w:hAnsi="Times New Roman" w:cs="Times New Roman"/>
        </w:rPr>
        <w:t xml:space="preserve">. Formal education levels were very low, with 74% of household heads having no schooling. Household size distribution showed 52% with 1–4 members, 47% with 5–8 members, and 1% with more. Drinking water sources included tube wells (85%), taps (10%), open wells (4%), and surface water (1%). Despite 70% of households possessing </w:t>
      </w:r>
      <w:r w:rsidRPr="0003491D">
        <w:rPr>
          <w:rFonts w:ascii="Times New Roman" w:hAnsi="Times New Roman" w:cs="Times New Roman"/>
          <w:highlight w:val="yellow"/>
        </w:rPr>
        <w:t xml:space="preserve">toilets, </w:t>
      </w:r>
      <w:r w:rsidR="00EC21AF" w:rsidRPr="0003491D">
        <w:rPr>
          <w:rFonts w:ascii="Times New Roman" w:hAnsi="Times New Roman" w:cs="Times New Roman"/>
          <w:highlight w:val="yellow"/>
        </w:rPr>
        <w:t xml:space="preserve">the </w:t>
      </w:r>
      <w:r w:rsidRPr="0003491D">
        <w:rPr>
          <w:rFonts w:ascii="Times New Roman" w:hAnsi="Times New Roman" w:cs="Times New Roman"/>
          <w:highlight w:val="yellow"/>
        </w:rPr>
        <w:t>lack of water r</w:t>
      </w:r>
      <w:r w:rsidRPr="00030E40">
        <w:rPr>
          <w:rFonts w:ascii="Times New Roman" w:hAnsi="Times New Roman" w:cs="Times New Roman"/>
        </w:rPr>
        <w:t>endered them largely unused. This profile depicts a community of resource-poor subsistence farmers with limited assets, inadequate infrastructure, and minimal technological access.</w:t>
      </w:r>
    </w:p>
    <w:p w14:paraId="741B60AF" w14:textId="56A63F88" w:rsidR="00030E40" w:rsidRPr="00030E40" w:rsidRDefault="00B07987"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4.2 </w:t>
      </w:r>
      <w:r w:rsidR="00030E40" w:rsidRPr="00030E40">
        <w:rPr>
          <w:rFonts w:ascii="Times New Roman" w:hAnsi="Times New Roman" w:cs="Times New Roman"/>
          <w:b/>
          <w:bCs/>
        </w:rPr>
        <w:t>Food Consumption, Production, and Nutrition Awareness</w:t>
      </w:r>
    </w:p>
    <w:p w14:paraId="5959070B" w14:textId="781ABE2E" w:rsid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Household food frequency data</w:t>
      </w:r>
      <w:r w:rsidR="009D75C1">
        <w:rPr>
          <w:rFonts w:ascii="Times New Roman" w:hAnsi="Times New Roman" w:cs="Times New Roman"/>
        </w:rPr>
        <w:t xml:space="preserve">, as tabulated in </w:t>
      </w:r>
      <w:r w:rsidR="009D75C1" w:rsidRPr="0003491D">
        <w:rPr>
          <w:rFonts w:ascii="Times New Roman" w:hAnsi="Times New Roman" w:cs="Times New Roman"/>
          <w:highlight w:val="yellow"/>
        </w:rPr>
        <w:t xml:space="preserve">Table 1 </w:t>
      </w:r>
      <w:r w:rsidR="00EC21AF" w:rsidRPr="0003491D">
        <w:rPr>
          <w:rFonts w:ascii="Times New Roman" w:hAnsi="Times New Roman" w:cs="Times New Roman"/>
          <w:highlight w:val="yellow"/>
        </w:rPr>
        <w:t>include</w:t>
      </w:r>
      <w:r w:rsidRPr="0003491D">
        <w:rPr>
          <w:rFonts w:ascii="Times New Roman" w:hAnsi="Times New Roman" w:cs="Times New Roman"/>
          <w:highlight w:val="yellow"/>
        </w:rPr>
        <w:t xml:space="preserve"> item</w:t>
      </w:r>
      <w:r w:rsidRPr="00030E40">
        <w:rPr>
          <w:rFonts w:ascii="Times New Roman" w:hAnsi="Times New Roman" w:cs="Times New Roman"/>
        </w:rPr>
        <w:t>s consumed weekly by ≥25% of the population. Rice and finger millet served as staple energy sources: rice was consumed daily by all households, and finger millet by 85%. While paddy cultivation was near-universal, finger millet was grown by 62% of households. Despite 91% adopting improved paddy varieties, domestic production was insufficient for 86% of households, necessitating market rice purchases. Ninety per</w:t>
      </w:r>
      <w:r w:rsidR="00EC21AF">
        <w:rPr>
          <w:rFonts w:ascii="Times New Roman" w:hAnsi="Times New Roman" w:cs="Times New Roman"/>
        </w:rPr>
        <w:t xml:space="preserve"> </w:t>
      </w:r>
      <w:r w:rsidRPr="00030E40">
        <w:rPr>
          <w:rFonts w:ascii="Times New Roman" w:hAnsi="Times New Roman" w:cs="Times New Roman"/>
        </w:rPr>
        <w:t xml:space="preserve">cent held ration cards, </w:t>
      </w:r>
      <w:r w:rsidRPr="0003491D">
        <w:rPr>
          <w:rFonts w:ascii="Times New Roman" w:hAnsi="Times New Roman" w:cs="Times New Roman"/>
          <w:highlight w:val="yellow"/>
        </w:rPr>
        <w:t xml:space="preserve">accessing </w:t>
      </w:r>
      <w:r w:rsidR="00EC21AF" w:rsidRPr="0003491D">
        <w:rPr>
          <w:rFonts w:ascii="Times New Roman" w:hAnsi="Times New Roman" w:cs="Times New Roman"/>
          <w:highlight w:val="yellow"/>
        </w:rPr>
        <w:t>subsidi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ed </w:t>
      </w:r>
      <w:r w:rsidRPr="0003491D">
        <w:rPr>
          <w:rFonts w:ascii="Times New Roman" w:hAnsi="Times New Roman" w:cs="Times New Roman"/>
          <w:highlight w:val="yellow"/>
        </w:rPr>
        <w:t>rice (5 kg/person</w:t>
      </w:r>
      <w:r w:rsidRPr="00030E40">
        <w:rPr>
          <w:rFonts w:ascii="Times New Roman" w:hAnsi="Times New Roman" w:cs="Times New Roman"/>
        </w:rPr>
        <w:t xml:space="preserve"> at ₹1/kg) via the Public Distribution System (PDS). However, rice functioned as a primary cash crop; households consumed only ~85% of their harvest, selling the remainder to cover expenses. Finger millet cultivation favoured traditional varieties, yet 86% still bought additional millet from markets. Daily oil use (for tempering) was reported by 57% of households, and daily sugar consumption (primarily in tea) by 70%.</w:t>
      </w:r>
    </w:p>
    <w:p w14:paraId="36A89EFF" w14:textId="3B920145" w:rsidR="00430C6A" w:rsidRPr="00430C6A" w:rsidRDefault="00430C6A" w:rsidP="00430C6A">
      <w:pPr>
        <w:pStyle w:val="NoSpacing"/>
        <w:jc w:val="center"/>
        <w:rPr>
          <w:rFonts w:ascii="Times New Roman" w:hAnsi="Times New Roman" w:cs="Times New Roman"/>
          <w:b/>
          <w:bCs/>
        </w:rPr>
      </w:pPr>
      <w:r w:rsidRPr="00430C6A">
        <w:rPr>
          <w:rFonts w:ascii="Times New Roman" w:hAnsi="Times New Roman" w:cs="Times New Roman"/>
          <w:b/>
          <w:bCs/>
        </w:rPr>
        <w:t>Table 1: Frequency of Food Consumption by Households</w:t>
      </w:r>
    </w:p>
    <w:p w14:paraId="1C5E3694" w14:textId="0844CCEA" w:rsidR="009D75C1" w:rsidRPr="00430C6A" w:rsidRDefault="00430C6A" w:rsidP="00430C6A">
      <w:pPr>
        <w:pStyle w:val="NoSpacing"/>
        <w:jc w:val="center"/>
        <w:rPr>
          <w:rFonts w:ascii="Times New Roman" w:hAnsi="Times New Roman" w:cs="Times New Roman"/>
        </w:rPr>
      </w:pPr>
      <w:r w:rsidRPr="00430C6A">
        <w:rPr>
          <w:rFonts w:ascii="Times New Roman" w:hAnsi="Times New Roman" w:cs="Times New Roman"/>
          <w:noProof/>
          <w:lang w:val="en-US"/>
        </w:rPr>
        <w:lastRenderedPageBreak/>
        <w:drawing>
          <wp:inline distT="0" distB="0" distL="0" distR="0" wp14:anchorId="630D93BF" wp14:editId="06A95645">
            <wp:extent cx="4389120" cy="438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14:paraId="338BE9E9" w14:textId="40A190AB" w:rsidR="00430C6A" w:rsidRPr="00430C6A" w:rsidRDefault="00430C6A" w:rsidP="00430C6A">
      <w:pPr>
        <w:pStyle w:val="NoSpacing"/>
        <w:jc w:val="center"/>
        <w:rPr>
          <w:rFonts w:ascii="Times New Roman" w:hAnsi="Times New Roman" w:cs="Times New Roman"/>
        </w:rPr>
      </w:pPr>
      <w:r w:rsidRPr="00430C6A">
        <w:rPr>
          <w:rFonts w:ascii="Times New Roman" w:hAnsi="Times New Roman" w:cs="Times New Roman"/>
        </w:rPr>
        <w:t xml:space="preserve">Source: Own </w:t>
      </w:r>
      <w:r>
        <w:rPr>
          <w:rFonts w:ascii="Times New Roman" w:hAnsi="Times New Roman" w:cs="Times New Roman"/>
        </w:rPr>
        <w:t>Data</w:t>
      </w:r>
    </w:p>
    <w:p w14:paraId="4770195F"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Awareness of improved agricultural practices was limited: only 14% had attended skill development programs in the past three years. Over 90% lacked knowledge of seed treatment for paddy or finger millet, and adoption of improved sowing methods was minimal.</w:t>
      </w:r>
    </w:p>
    <w:p w14:paraId="63A714EE"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Pulses, consumed as thin gruels accompanying rice, were unaffordable for daily consumption due to market dependence. Limited cultivation occurred: only 22 households grew horse gram, and 2 cultivated green gram. Consumption frequency reflected scarcity:</w:t>
      </w:r>
    </w:p>
    <w:p w14:paraId="1BDAE214"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Lentils:</w:t>
      </w:r>
      <w:r w:rsidRPr="00030E40">
        <w:rPr>
          <w:rFonts w:ascii="Times New Roman" w:hAnsi="Times New Roman" w:cs="Times New Roman"/>
        </w:rPr>
        <w:t> 12% consumed 4 times/week (entirely purchased), 34% once/week</w:t>
      </w:r>
    </w:p>
    <w:p w14:paraId="371FD728"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Horse gram:</w:t>
      </w:r>
      <w:r w:rsidRPr="00030E40">
        <w:rPr>
          <w:rFonts w:ascii="Times New Roman" w:hAnsi="Times New Roman" w:cs="Times New Roman"/>
        </w:rPr>
        <w:t> 2% consumed 4 times/week (61% purchased), 26% once/week</w:t>
      </w:r>
    </w:p>
    <w:p w14:paraId="5B8DF4B8"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Green gram:</w:t>
      </w:r>
      <w:r w:rsidRPr="00030E40">
        <w:rPr>
          <w:rFonts w:ascii="Times New Roman" w:hAnsi="Times New Roman" w:cs="Times New Roman"/>
        </w:rPr>
        <w:t> 2% consumed 4 times/week (97% purchased), 22% once/week</w:t>
      </w:r>
    </w:p>
    <w:p w14:paraId="6FF212DA"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A CHF participant explained the challenges: </w:t>
      </w:r>
      <w:r w:rsidRPr="00030E40">
        <w:rPr>
          <w:rFonts w:ascii="Times New Roman" w:hAnsi="Times New Roman" w:cs="Times New Roman"/>
          <w:i/>
          <w:iCs/>
        </w:rPr>
        <w:t>"The soil is unsuitable for lentils. We buy them as the cheapest, easiest-to-cook pulse. We lack green gram cultivation knowledge. Horse gram is traditional but low-yielding and tedious to process, so we sell it."</w:t>
      </w:r>
      <w:r w:rsidRPr="00030E40">
        <w:rPr>
          <w:rFonts w:ascii="Times New Roman" w:hAnsi="Times New Roman" w:cs="Times New Roman"/>
        </w:rPr>
        <w:t> Animal protein was rarely consumed, despite 80% of households rearing poultry.</w:t>
      </w:r>
    </w:p>
    <w:p w14:paraId="34CA377F" w14:textId="4DFDDCBB" w:rsidR="00030E40" w:rsidRPr="00030E40" w:rsidRDefault="00B07987" w:rsidP="00286A94">
      <w:pPr>
        <w:spacing w:line="360" w:lineRule="auto"/>
        <w:jc w:val="both"/>
        <w:rPr>
          <w:rFonts w:ascii="Times New Roman" w:hAnsi="Times New Roman" w:cs="Times New Roman"/>
        </w:rPr>
      </w:pPr>
      <w:r w:rsidRPr="00286A94">
        <w:rPr>
          <w:rFonts w:ascii="Times New Roman" w:hAnsi="Times New Roman" w:cs="Times New Roman"/>
          <w:b/>
          <w:bCs/>
        </w:rPr>
        <w:t xml:space="preserve">4.3 </w:t>
      </w:r>
      <w:r w:rsidR="00030E40" w:rsidRPr="00030E40">
        <w:rPr>
          <w:rFonts w:ascii="Times New Roman" w:hAnsi="Times New Roman" w:cs="Times New Roman"/>
          <w:b/>
          <w:bCs/>
        </w:rPr>
        <w:t>Vegetable and Fruit Consumption</w:t>
      </w:r>
    </w:p>
    <w:p w14:paraId="4CBFD82E"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lastRenderedPageBreak/>
        <w:t>Market-dependent vegetables dominated diets:</w:t>
      </w:r>
    </w:p>
    <w:p w14:paraId="76D53CC4"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Daily Consumers:</w:t>
      </w:r>
      <w:r w:rsidRPr="00030E40">
        <w:rPr>
          <w:rFonts w:ascii="Times New Roman" w:hAnsi="Times New Roman" w:cs="Times New Roman"/>
        </w:rPr>
        <w:t> Onions (70%), Tomatoes (74%), Potatoes (25%)</w:t>
      </w:r>
    </w:p>
    <w:p w14:paraId="6D892628"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Weekly Consumers:</w:t>
      </w:r>
      <w:r w:rsidRPr="00030E40">
        <w:rPr>
          <w:rFonts w:ascii="Times New Roman" w:hAnsi="Times New Roman" w:cs="Times New Roman"/>
        </w:rPr>
        <w:t> Cabbage (23% - 4 times/week), Amaranthus, onion stalk, radish leaves, cauliflower leaves (once/week)</w:t>
      </w:r>
    </w:p>
    <w:p w14:paraId="4189CF95" w14:textId="16C4A383"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 xml:space="preserve">Although 80% of households had small gardens (avg. 15 cents, operational 5 months/year, growing broad beans, beans, brinjal, papaya), homegrown vegetable consumption was low. </w:t>
      </w:r>
      <w:r w:rsidRPr="0003491D">
        <w:rPr>
          <w:rFonts w:ascii="Times New Roman" w:hAnsi="Times New Roman" w:cs="Times New Roman"/>
          <w:highlight w:val="yellow"/>
        </w:rPr>
        <w:t xml:space="preserve">Excess produce was shared or sold due to </w:t>
      </w:r>
      <w:r w:rsidR="00EC21AF" w:rsidRPr="0003491D">
        <w:rPr>
          <w:rFonts w:ascii="Times New Roman" w:hAnsi="Times New Roman" w:cs="Times New Roman"/>
          <w:highlight w:val="yellow"/>
        </w:rPr>
        <w:t xml:space="preserve">a </w:t>
      </w:r>
      <w:r w:rsidRPr="0003491D">
        <w:rPr>
          <w:rFonts w:ascii="Times New Roman" w:hAnsi="Times New Roman" w:cs="Times New Roman"/>
          <w:highlight w:val="yellow"/>
        </w:rPr>
        <w:t xml:space="preserve">lack of storage. Fruit intake was negligible: bananas </w:t>
      </w:r>
      <w:r w:rsidR="00EC21AF" w:rsidRPr="0003491D">
        <w:rPr>
          <w:rFonts w:ascii="Times New Roman" w:hAnsi="Times New Roman" w:cs="Times New Roman"/>
          <w:highlight w:val="yellow"/>
        </w:rPr>
        <w:t xml:space="preserve">were </w:t>
      </w:r>
      <w:r w:rsidRPr="0003491D">
        <w:rPr>
          <w:rFonts w:ascii="Times New Roman" w:hAnsi="Times New Roman" w:cs="Times New Roman"/>
          <w:highlight w:val="yellow"/>
        </w:rPr>
        <w:t>consumed once</w:t>
      </w:r>
      <w:r w:rsidRPr="00030E40">
        <w:rPr>
          <w:rFonts w:ascii="Times New Roman" w:hAnsi="Times New Roman" w:cs="Times New Roman"/>
        </w:rPr>
        <w:t>/week by 34% of households (mostly purchased; only 6 households grew bananas).</w:t>
      </w:r>
    </w:p>
    <w:p w14:paraId="5EED5521" w14:textId="2E73135A" w:rsidR="00030E40" w:rsidRPr="00030E40" w:rsidRDefault="00FC01EA" w:rsidP="00286A94">
      <w:pPr>
        <w:spacing w:line="360" w:lineRule="auto"/>
        <w:jc w:val="both"/>
        <w:rPr>
          <w:rFonts w:ascii="Times New Roman" w:hAnsi="Times New Roman" w:cs="Times New Roman"/>
        </w:rPr>
      </w:pPr>
      <w:r>
        <w:rPr>
          <w:rFonts w:ascii="Times New Roman" w:hAnsi="Times New Roman" w:cs="Times New Roman"/>
          <w:b/>
          <w:bCs/>
        </w:rPr>
        <w:t xml:space="preserve">4.3 </w:t>
      </w:r>
      <w:r w:rsidR="00030E40" w:rsidRPr="00030E40">
        <w:rPr>
          <w:rFonts w:ascii="Times New Roman" w:hAnsi="Times New Roman" w:cs="Times New Roman"/>
          <w:b/>
          <w:bCs/>
        </w:rPr>
        <w:t>Dietary Diversity and Nutrition Awareness</w:t>
      </w:r>
    </w:p>
    <w:p w14:paraId="51E7B033" w14:textId="7777777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Diets showed low diversity with inadequate protein and micronutrients:</w:t>
      </w:r>
    </w:p>
    <w:p w14:paraId="405F6CDE"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62% of households ate only two meals daily.</w:t>
      </w:r>
    </w:p>
    <w:p w14:paraId="27E06069"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Community understanding of nutritional status was poor, likely due to its subclinical nature.</w:t>
      </w:r>
    </w:p>
    <w:p w14:paraId="65DF54DD"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Iron Supplement Awareness: 19 of 20 households receiving iron tablets during pregnancy didn't know their purpose (though women noted receiving blood transfusions indicated weakness).</w:t>
      </w:r>
    </w:p>
    <w:p w14:paraId="43C78F61" w14:textId="34FED75C"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rPr>
        <w:t xml:space="preserve">Micronutrient Knowledge: Only 4 households had heard of </w:t>
      </w:r>
      <w:r w:rsidRPr="0003491D">
        <w:rPr>
          <w:rFonts w:ascii="Times New Roman" w:hAnsi="Times New Roman" w:cs="Times New Roman"/>
          <w:highlight w:val="yellow"/>
        </w:rPr>
        <w:t xml:space="preserve">Vitamin A; just 18% </w:t>
      </w:r>
      <w:r w:rsidR="00EC21AF" w:rsidRPr="0003491D">
        <w:rPr>
          <w:rFonts w:ascii="Times New Roman" w:hAnsi="Times New Roman" w:cs="Times New Roman"/>
          <w:highlight w:val="yellow"/>
        </w:rPr>
        <w:t>recogni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ed </w:t>
      </w:r>
      <w:r w:rsidRPr="0003491D">
        <w:rPr>
          <w:rFonts w:ascii="Times New Roman" w:hAnsi="Times New Roman" w:cs="Times New Roman"/>
          <w:highlight w:val="yellow"/>
        </w:rPr>
        <w:t>the importance of daily fruit/vegetable consumption.</w:t>
      </w:r>
    </w:p>
    <w:p w14:paraId="59D4680F" w14:textId="0843DBC7" w:rsidR="00030E40" w:rsidRPr="00030E40" w:rsidRDefault="00FC01EA" w:rsidP="00286A94">
      <w:pPr>
        <w:spacing w:line="360" w:lineRule="auto"/>
        <w:jc w:val="both"/>
        <w:rPr>
          <w:rFonts w:ascii="Times New Roman" w:hAnsi="Times New Roman" w:cs="Times New Roman"/>
        </w:rPr>
      </w:pPr>
      <w:r>
        <w:rPr>
          <w:rFonts w:ascii="Times New Roman" w:hAnsi="Times New Roman" w:cs="Times New Roman"/>
          <w:b/>
          <w:bCs/>
        </w:rPr>
        <w:t xml:space="preserve">4.4 </w:t>
      </w:r>
      <w:r w:rsidR="00030E40" w:rsidRPr="00030E40">
        <w:rPr>
          <w:rFonts w:ascii="Times New Roman" w:hAnsi="Times New Roman" w:cs="Times New Roman"/>
          <w:b/>
          <w:bCs/>
        </w:rPr>
        <w:t>Community Hunger Fighter (CHF) Selection Process</w:t>
      </w:r>
    </w:p>
    <w:p w14:paraId="44A8EFE6" w14:textId="77777777"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Participation:</w:t>
      </w:r>
      <w:r w:rsidRPr="00030E40">
        <w:rPr>
          <w:rFonts w:ascii="Times New Roman" w:hAnsi="Times New Roman" w:cs="Times New Roman"/>
        </w:rPr>
        <w:t> Household participation rates ranged from 60-89% in most villages (35% in four villages).</w:t>
      </w:r>
    </w:p>
    <w:p w14:paraId="20082C57" w14:textId="6E5266CA"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Process:</w:t>
      </w:r>
      <w:r w:rsidRPr="00030E40">
        <w:rPr>
          <w:rFonts w:ascii="Times New Roman" w:hAnsi="Times New Roman" w:cs="Times New Roman"/>
        </w:rPr>
        <w:t xml:space="preserve"> Villagers sat in gender-segregated circles. Men selected male candidates based on communication skills </w:t>
      </w:r>
      <w:r w:rsidRPr="0003491D">
        <w:rPr>
          <w:rFonts w:ascii="Times New Roman" w:hAnsi="Times New Roman" w:cs="Times New Roman"/>
          <w:highlight w:val="yellow"/>
        </w:rPr>
        <w:t xml:space="preserve">and </w:t>
      </w:r>
      <w:r w:rsidR="00EC21AF" w:rsidRPr="0003491D">
        <w:rPr>
          <w:rFonts w:ascii="Times New Roman" w:hAnsi="Times New Roman" w:cs="Times New Roman"/>
          <w:highlight w:val="yellow"/>
        </w:rPr>
        <w:t xml:space="preserve">the </w:t>
      </w:r>
      <w:r w:rsidRPr="0003491D">
        <w:rPr>
          <w:rFonts w:ascii="Times New Roman" w:hAnsi="Times New Roman" w:cs="Times New Roman"/>
          <w:highlight w:val="yellow"/>
        </w:rPr>
        <w:t>availability of repl</w:t>
      </w:r>
      <w:r w:rsidRPr="00030E40">
        <w:rPr>
          <w:rFonts w:ascii="Times New Roman" w:hAnsi="Times New Roman" w:cs="Times New Roman"/>
        </w:rPr>
        <w:t>acement farm labo</w:t>
      </w:r>
      <w:r w:rsidR="00EC21AF">
        <w:rPr>
          <w:rFonts w:ascii="Times New Roman" w:hAnsi="Times New Roman" w:cs="Times New Roman"/>
        </w:rPr>
        <w:t>u</w:t>
      </w:r>
      <w:r w:rsidRPr="00030E40">
        <w:rPr>
          <w:rFonts w:ascii="Times New Roman" w:hAnsi="Times New Roman" w:cs="Times New Roman"/>
        </w:rPr>
        <w:t>r. Both genders participated in selecting female candidates, generally choosing trusted individuals.</w:t>
      </w:r>
    </w:p>
    <w:p w14:paraId="035AB525" w14:textId="33B276BD" w:rsidR="00030E40" w:rsidRPr="00030E40" w:rsidRDefault="00030E40" w:rsidP="00FC01EA">
      <w:pPr>
        <w:spacing w:line="360" w:lineRule="auto"/>
        <w:jc w:val="both"/>
        <w:rPr>
          <w:rFonts w:ascii="Times New Roman" w:hAnsi="Times New Roman" w:cs="Times New Roman"/>
        </w:rPr>
      </w:pPr>
      <w:r w:rsidRPr="00030E40">
        <w:rPr>
          <w:rFonts w:ascii="Times New Roman" w:hAnsi="Times New Roman" w:cs="Times New Roman"/>
          <w:b/>
          <w:bCs/>
        </w:rPr>
        <w:t>Gender Barriers:</w:t>
      </w:r>
      <w:r w:rsidR="005270F3" w:rsidRPr="00286A94">
        <w:rPr>
          <w:rFonts w:ascii="Times New Roman" w:hAnsi="Times New Roman" w:cs="Times New Roman"/>
        </w:rPr>
        <w:t xml:space="preserve"> </w:t>
      </w:r>
      <w:proofErr w:type="spellStart"/>
      <w:r w:rsidRPr="00030E40">
        <w:rPr>
          <w:rFonts w:ascii="Times New Roman" w:hAnsi="Times New Roman" w:cs="Times New Roman"/>
        </w:rPr>
        <w:t>Borapuda</w:t>
      </w:r>
      <w:proofErr w:type="spellEnd"/>
      <w:r w:rsidRPr="00030E40">
        <w:rPr>
          <w:rFonts w:ascii="Times New Roman" w:hAnsi="Times New Roman" w:cs="Times New Roman"/>
        </w:rPr>
        <w:t xml:space="preserve"> village selected no women, deeming them "incapable of communicating."</w:t>
      </w:r>
      <w:r w:rsidR="005270F3" w:rsidRPr="00286A94">
        <w:rPr>
          <w:rFonts w:ascii="Times New Roman" w:hAnsi="Times New Roman" w:cs="Times New Roman"/>
        </w:rPr>
        <w:t xml:space="preserve"> </w:t>
      </w:r>
      <w:r w:rsidRPr="00030E40">
        <w:rPr>
          <w:rFonts w:ascii="Times New Roman" w:hAnsi="Times New Roman" w:cs="Times New Roman"/>
        </w:rPr>
        <w:t>Women expressed apprehension about leaving their villages for the first time.</w:t>
      </w:r>
      <w:r w:rsidR="005270F3" w:rsidRPr="00286A94">
        <w:rPr>
          <w:rFonts w:ascii="Times New Roman" w:hAnsi="Times New Roman" w:cs="Times New Roman"/>
        </w:rPr>
        <w:t xml:space="preserve"> </w:t>
      </w:r>
      <w:r w:rsidRPr="00030E40">
        <w:rPr>
          <w:rFonts w:ascii="Times New Roman" w:hAnsi="Times New Roman" w:cs="Times New Roman"/>
        </w:rPr>
        <w:t>Mothers with childcare responsibilities were often excluded.</w:t>
      </w:r>
    </w:p>
    <w:p w14:paraId="49E3F0A2" w14:textId="56A74CD7" w:rsidR="00030E40" w:rsidRPr="00030E40" w:rsidRDefault="00030E40" w:rsidP="00286A94">
      <w:pPr>
        <w:spacing w:line="360" w:lineRule="auto"/>
        <w:jc w:val="both"/>
        <w:rPr>
          <w:rFonts w:ascii="Times New Roman" w:hAnsi="Times New Roman" w:cs="Times New Roman"/>
        </w:rPr>
      </w:pPr>
      <w:r w:rsidRPr="00030E40">
        <w:rPr>
          <w:rFonts w:ascii="Times New Roman" w:hAnsi="Times New Roman" w:cs="Times New Roman"/>
        </w:rPr>
        <w:t xml:space="preserve">Concerns arose about staying away from home for two nights; some women agreed only because a </w:t>
      </w:r>
      <w:r w:rsidRPr="0003491D">
        <w:rPr>
          <w:rFonts w:ascii="Times New Roman" w:hAnsi="Times New Roman" w:cs="Times New Roman"/>
          <w:highlight w:val="yellow"/>
        </w:rPr>
        <w:t>neighbo</w:t>
      </w:r>
      <w:r w:rsidR="00EC21AF" w:rsidRPr="0003491D">
        <w:rPr>
          <w:rFonts w:ascii="Times New Roman" w:hAnsi="Times New Roman" w:cs="Times New Roman"/>
          <w:highlight w:val="yellow"/>
        </w:rPr>
        <w:t>u</w:t>
      </w:r>
      <w:r w:rsidRPr="0003491D">
        <w:rPr>
          <w:rFonts w:ascii="Times New Roman" w:hAnsi="Times New Roman" w:cs="Times New Roman"/>
          <w:highlight w:val="yellow"/>
        </w:rPr>
        <w:t>r was also att</w:t>
      </w:r>
      <w:r w:rsidRPr="00030E40">
        <w:rPr>
          <w:rFonts w:ascii="Times New Roman" w:hAnsi="Times New Roman" w:cs="Times New Roman"/>
        </w:rPr>
        <w:t>ending.</w:t>
      </w:r>
    </w:p>
    <w:p w14:paraId="6F410882" w14:textId="05EDAB80" w:rsidR="00430C6A" w:rsidRDefault="00030E40" w:rsidP="00286A94">
      <w:pPr>
        <w:spacing w:line="360" w:lineRule="auto"/>
        <w:jc w:val="both"/>
        <w:rPr>
          <w:rFonts w:ascii="Times New Roman" w:hAnsi="Times New Roman" w:cs="Times New Roman"/>
        </w:rPr>
      </w:pPr>
      <w:r w:rsidRPr="00030E40">
        <w:rPr>
          <w:rFonts w:ascii="Times New Roman" w:hAnsi="Times New Roman" w:cs="Times New Roman"/>
        </w:rPr>
        <w:lastRenderedPageBreak/>
        <w:t>Literacy influenced selection, with many CHFs in their early 20s chosen for their reading/writing skills. Selected individuals included Women's SHG leaders, a school committee president, youth leaders, and a caste leader</w:t>
      </w:r>
      <w:r w:rsidR="00EC21AF">
        <w:rPr>
          <w:rFonts w:ascii="Times New Roman" w:hAnsi="Times New Roman" w:cs="Times New Roman"/>
        </w:rPr>
        <w:t>,</w:t>
      </w:r>
      <w:r w:rsidR="009D75C1">
        <w:rPr>
          <w:rFonts w:ascii="Times New Roman" w:hAnsi="Times New Roman" w:cs="Times New Roman"/>
        </w:rPr>
        <w:t xml:space="preserve"> as shown in Table 2.</w:t>
      </w:r>
    </w:p>
    <w:p w14:paraId="63E0967E" w14:textId="77777777" w:rsidR="00732A5B" w:rsidRDefault="00732A5B" w:rsidP="00286A94">
      <w:pPr>
        <w:spacing w:line="360" w:lineRule="auto"/>
        <w:jc w:val="both"/>
        <w:rPr>
          <w:rFonts w:ascii="Times New Roman" w:hAnsi="Times New Roman" w:cs="Times New Roman"/>
        </w:rPr>
      </w:pPr>
    </w:p>
    <w:p w14:paraId="4982963E" w14:textId="26C5FD74" w:rsidR="00430C6A" w:rsidRPr="00430C6A" w:rsidRDefault="00430C6A" w:rsidP="00430C6A">
      <w:pPr>
        <w:pStyle w:val="NoSpacing"/>
        <w:jc w:val="center"/>
        <w:rPr>
          <w:rFonts w:ascii="Times New Roman" w:hAnsi="Times New Roman" w:cs="Times New Roman"/>
          <w:b/>
          <w:bCs/>
        </w:rPr>
      </w:pPr>
      <w:r w:rsidRPr="00430C6A">
        <w:rPr>
          <w:rFonts w:ascii="Times New Roman" w:hAnsi="Times New Roman" w:cs="Times New Roman"/>
          <w:b/>
          <w:bCs/>
        </w:rPr>
        <w:t>Table 2: Profile Distribution of Community Hunger Fighters (CHFs)</w:t>
      </w:r>
    </w:p>
    <w:p w14:paraId="029FA395" w14:textId="5EA680C9" w:rsidR="009D75C1" w:rsidRPr="00430C6A" w:rsidRDefault="009D75C1" w:rsidP="00430C6A">
      <w:pPr>
        <w:pStyle w:val="NoSpacing"/>
        <w:jc w:val="center"/>
        <w:rPr>
          <w:rFonts w:ascii="Times New Roman" w:hAnsi="Times New Roman" w:cs="Times New Roman"/>
        </w:rPr>
      </w:pPr>
      <w:r w:rsidRPr="00430C6A">
        <w:rPr>
          <w:rFonts w:ascii="Times New Roman" w:hAnsi="Times New Roman" w:cs="Times New Roman"/>
          <w:noProof/>
          <w:lang w:val="en-US"/>
        </w:rPr>
        <w:drawing>
          <wp:inline distT="0" distB="0" distL="0" distR="0" wp14:anchorId="34A79449" wp14:editId="630E39A5">
            <wp:extent cx="5806440" cy="57639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1737" cy="580895"/>
                    </a:xfrm>
                    <a:prstGeom prst="rect">
                      <a:avLst/>
                    </a:prstGeom>
                  </pic:spPr>
                </pic:pic>
              </a:graphicData>
            </a:graphic>
          </wp:inline>
        </w:drawing>
      </w:r>
    </w:p>
    <w:p w14:paraId="4F3884DE" w14:textId="6706F9AA" w:rsidR="00430C6A" w:rsidRDefault="00430C6A" w:rsidP="00430C6A">
      <w:pPr>
        <w:pStyle w:val="NoSpacing"/>
        <w:jc w:val="center"/>
        <w:rPr>
          <w:rFonts w:ascii="Times New Roman" w:hAnsi="Times New Roman" w:cs="Times New Roman"/>
        </w:rPr>
      </w:pPr>
      <w:r w:rsidRPr="00430C6A">
        <w:rPr>
          <w:rFonts w:ascii="Times New Roman" w:hAnsi="Times New Roman" w:cs="Times New Roman"/>
        </w:rPr>
        <w:t>Source: Own Source</w:t>
      </w:r>
    </w:p>
    <w:p w14:paraId="3806A307" w14:textId="77777777" w:rsidR="00430C6A" w:rsidRDefault="00430C6A" w:rsidP="00430C6A">
      <w:pPr>
        <w:pStyle w:val="NoSpacing"/>
        <w:jc w:val="center"/>
        <w:rPr>
          <w:rFonts w:ascii="Times New Roman" w:hAnsi="Times New Roman" w:cs="Times New Roman"/>
        </w:rPr>
      </w:pPr>
    </w:p>
    <w:p w14:paraId="1A322698" w14:textId="77777777" w:rsidR="00430C6A" w:rsidRDefault="00430C6A" w:rsidP="00430C6A">
      <w:pPr>
        <w:pStyle w:val="NoSpacing"/>
        <w:jc w:val="center"/>
        <w:rPr>
          <w:rFonts w:ascii="Times New Roman" w:hAnsi="Times New Roman" w:cs="Times New Roman"/>
        </w:rPr>
      </w:pPr>
    </w:p>
    <w:p w14:paraId="532463CE" w14:textId="77777777" w:rsidR="00732A5B" w:rsidRPr="00430C6A" w:rsidRDefault="00732A5B" w:rsidP="00430C6A">
      <w:pPr>
        <w:pStyle w:val="NoSpacing"/>
        <w:jc w:val="center"/>
        <w:rPr>
          <w:rFonts w:ascii="Times New Roman" w:hAnsi="Times New Roman" w:cs="Times New Roman"/>
        </w:rPr>
      </w:pPr>
    </w:p>
    <w:p w14:paraId="440309A1" w14:textId="1D4BB108" w:rsidR="00DA0BE2" w:rsidRPr="00286A94" w:rsidRDefault="00CA2B0A" w:rsidP="00732A5B">
      <w:pPr>
        <w:spacing w:line="360" w:lineRule="auto"/>
        <w:jc w:val="both"/>
        <w:rPr>
          <w:rFonts w:ascii="Times New Roman" w:hAnsi="Times New Roman" w:cs="Times New Roman"/>
        </w:rPr>
      </w:pPr>
      <w:r w:rsidRPr="00286A94">
        <w:rPr>
          <w:rFonts w:ascii="Times New Roman" w:hAnsi="Times New Roman" w:cs="Times New Roman"/>
        </w:rPr>
        <w:t xml:space="preserve">Continuous dialogue fostered dynamic stakeholder exchanges, </w:t>
      </w:r>
      <w:r w:rsidR="00EC21AF" w:rsidRPr="0003491D">
        <w:rPr>
          <w:rFonts w:ascii="Times New Roman" w:hAnsi="Times New Roman" w:cs="Times New Roman"/>
          <w:highlight w:val="yellow"/>
        </w:rPr>
        <w:t>cataly</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ing</w:t>
      </w:r>
      <w:r w:rsidR="00EC21AF" w:rsidRPr="00286A94">
        <w:rPr>
          <w:rFonts w:ascii="Times New Roman" w:hAnsi="Times New Roman" w:cs="Times New Roman"/>
        </w:rPr>
        <w:t xml:space="preserve"> </w:t>
      </w:r>
      <w:r w:rsidRPr="00286A94">
        <w:rPr>
          <w:rFonts w:ascii="Times New Roman" w:hAnsi="Times New Roman" w:cs="Times New Roman"/>
        </w:rPr>
        <w:t xml:space="preserve">community-wide discourse on household food and nutrition security. Classroom reflection exercises enabled Community Hunger Fighters (CHFs) to critically identify socio-cultural and political barriers to food security. A pivotal outcome was the evolution of perspectives on gender </w:t>
      </w:r>
      <w:r w:rsidRPr="0003491D">
        <w:rPr>
          <w:rFonts w:ascii="Times New Roman" w:hAnsi="Times New Roman" w:cs="Times New Roman"/>
          <w:highlight w:val="yellow"/>
        </w:rPr>
        <w:t xml:space="preserve">inequity. </w:t>
      </w:r>
      <w:r w:rsidR="00EC21AF" w:rsidRPr="0003491D">
        <w:rPr>
          <w:rFonts w:ascii="Times New Roman" w:hAnsi="Times New Roman" w:cs="Times New Roman"/>
          <w:highlight w:val="yellow"/>
        </w:rPr>
        <w:t>Sensiti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ation </w:t>
      </w:r>
      <w:r w:rsidRPr="0003491D">
        <w:rPr>
          <w:rFonts w:ascii="Times New Roman" w:hAnsi="Times New Roman" w:cs="Times New Roman"/>
          <w:highlight w:val="yellow"/>
        </w:rPr>
        <w:t>regarding women’s</w:t>
      </w:r>
      <w:r w:rsidRPr="00286A94">
        <w:rPr>
          <w:rFonts w:ascii="Times New Roman" w:hAnsi="Times New Roman" w:cs="Times New Roman"/>
        </w:rPr>
        <w:t xml:space="preserve"> nutritional vulnerability, </w:t>
      </w:r>
      <w:r w:rsidRPr="0003491D">
        <w:rPr>
          <w:rFonts w:ascii="Times New Roman" w:hAnsi="Times New Roman" w:cs="Times New Roman"/>
          <w:highlight w:val="yellow"/>
        </w:rPr>
        <w:t>disproportionate labo</w:t>
      </w:r>
      <w:r w:rsidR="00EC21AF" w:rsidRPr="0003491D">
        <w:rPr>
          <w:rFonts w:ascii="Times New Roman" w:hAnsi="Times New Roman" w:cs="Times New Roman"/>
          <w:highlight w:val="yellow"/>
        </w:rPr>
        <w:t>u</w:t>
      </w:r>
      <w:r w:rsidRPr="0003491D">
        <w:rPr>
          <w:rFonts w:ascii="Times New Roman" w:hAnsi="Times New Roman" w:cs="Times New Roman"/>
          <w:highlight w:val="yellow"/>
        </w:rPr>
        <w:t>r burdens, a</w:t>
      </w:r>
      <w:r w:rsidRPr="00286A94">
        <w:rPr>
          <w:rFonts w:ascii="Times New Roman" w:hAnsi="Times New Roman" w:cs="Times New Roman"/>
        </w:rPr>
        <w:t>nd restricted dietary agency prompted critical questioning of entrenched norms ("should it be so?"). Male CHFs explicitly acknowledged the need to address patriarchal structures, shaping the co-created community message on "supporting women."</w:t>
      </w:r>
    </w:p>
    <w:p w14:paraId="1E7E0CC2" w14:textId="7BD34AD5" w:rsidR="00CA2B0A" w:rsidRPr="00286A94" w:rsidRDefault="00CA2B0A" w:rsidP="00286A94">
      <w:pPr>
        <w:spacing w:line="360" w:lineRule="auto"/>
        <w:jc w:val="both"/>
        <w:rPr>
          <w:rFonts w:ascii="Times New Roman" w:hAnsi="Times New Roman" w:cs="Times New Roman"/>
        </w:rPr>
      </w:pPr>
      <w:r w:rsidRPr="00286A94">
        <w:rPr>
          <w:rFonts w:ascii="Times New Roman" w:hAnsi="Times New Roman" w:cs="Times New Roman"/>
        </w:rPr>
        <w:t>This cognitive shift aligns with Mezirow’s (1997) theory of transformative learning, where critical reflection and evidential dialogue disrupt ingrained assumptions, fostering autonomous reasoning. Subsequent actions—such as male and female CHFs co-facilitating village meetings or leading SHG sessions—</w:t>
      </w:r>
      <w:r w:rsidRPr="0003491D">
        <w:rPr>
          <w:rFonts w:ascii="Times New Roman" w:hAnsi="Times New Roman" w:cs="Times New Roman"/>
          <w:highlight w:val="yellow"/>
        </w:rPr>
        <w:t>demonstrate this behavio</w:t>
      </w:r>
      <w:r w:rsidR="00EC21AF" w:rsidRPr="0003491D">
        <w:rPr>
          <w:rFonts w:ascii="Times New Roman" w:hAnsi="Times New Roman" w:cs="Times New Roman"/>
          <w:highlight w:val="yellow"/>
        </w:rPr>
        <w:t>u</w:t>
      </w:r>
      <w:r w:rsidRPr="0003491D">
        <w:rPr>
          <w:rFonts w:ascii="Times New Roman" w:hAnsi="Times New Roman" w:cs="Times New Roman"/>
          <w:highlight w:val="yellow"/>
        </w:rPr>
        <w:t>ral transf</w:t>
      </w:r>
      <w:r w:rsidRPr="00286A94">
        <w:rPr>
          <w:rFonts w:ascii="Times New Roman" w:hAnsi="Times New Roman" w:cs="Times New Roman"/>
        </w:rPr>
        <w:t xml:space="preserve">ormation. These findings validate the project’s premise </w:t>
      </w:r>
      <w:r w:rsidRPr="0003491D">
        <w:rPr>
          <w:rFonts w:ascii="Times New Roman" w:hAnsi="Times New Roman" w:cs="Times New Roman"/>
          <w:highlight w:val="yellow"/>
        </w:rPr>
        <w:t xml:space="preserve">that </w:t>
      </w:r>
      <w:r w:rsidR="00EC21AF" w:rsidRPr="0003491D">
        <w:rPr>
          <w:rFonts w:ascii="Times New Roman" w:hAnsi="Times New Roman" w:cs="Times New Roman"/>
          <w:highlight w:val="yellow"/>
        </w:rPr>
        <w:t>sensiti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ing </w:t>
      </w:r>
      <w:r w:rsidRPr="0003491D">
        <w:rPr>
          <w:rFonts w:ascii="Times New Roman" w:hAnsi="Times New Roman" w:cs="Times New Roman"/>
          <w:highlight w:val="yellow"/>
        </w:rPr>
        <w:t>men to female dis</w:t>
      </w:r>
      <w:r w:rsidRPr="00286A94">
        <w:rPr>
          <w:rFonts w:ascii="Times New Roman" w:hAnsi="Times New Roman" w:cs="Times New Roman"/>
        </w:rPr>
        <w:t>empowerment is fundamental to challenging patriarchal systems. This corroborates Nichols' (2021) argument for male inclusion in participatory initiatives, particularly as women engaged more deeply with messages where they held agency.</w:t>
      </w:r>
    </w:p>
    <w:p w14:paraId="25347579" w14:textId="64BC26AC" w:rsidR="00FA3B0B" w:rsidRPr="00286A94" w:rsidRDefault="00CA2B0A" w:rsidP="00286A94">
      <w:pPr>
        <w:spacing w:line="360" w:lineRule="auto"/>
        <w:jc w:val="both"/>
        <w:rPr>
          <w:rFonts w:ascii="Times New Roman" w:hAnsi="Times New Roman" w:cs="Times New Roman"/>
        </w:rPr>
      </w:pPr>
      <w:r w:rsidRPr="00286A94">
        <w:rPr>
          <w:rFonts w:ascii="Times New Roman" w:hAnsi="Times New Roman" w:cs="Times New Roman"/>
        </w:rPr>
        <w:t xml:space="preserve">For women accustomed to self-sacrificing caregiving roles, experiencing communal concern was profoundly impactful. This resonates with </w:t>
      </w:r>
      <w:proofErr w:type="spellStart"/>
      <w:r w:rsidRPr="00286A94">
        <w:rPr>
          <w:rFonts w:ascii="Times New Roman" w:hAnsi="Times New Roman" w:cs="Times New Roman"/>
        </w:rPr>
        <w:t>Niehof’s</w:t>
      </w:r>
      <w:proofErr w:type="spellEnd"/>
      <w:r w:rsidRPr="00286A94">
        <w:rPr>
          <w:rFonts w:ascii="Times New Roman" w:hAnsi="Times New Roman" w:cs="Times New Roman"/>
        </w:rPr>
        <w:t xml:space="preserve"> (2019) analysis, which notes that "women’s hegemonic role in family food care and their relational definition as mothers often leads their nutritional needs to be viewed instrumentally, rather than as intrinsically important."</w:t>
      </w:r>
    </w:p>
    <w:p w14:paraId="0EFC6891" w14:textId="4B7595D2" w:rsidR="00CA2B0A" w:rsidRPr="00DA0BE2" w:rsidRDefault="00FC01EA" w:rsidP="00286A94">
      <w:pPr>
        <w:spacing w:line="360" w:lineRule="auto"/>
        <w:jc w:val="both"/>
        <w:rPr>
          <w:rFonts w:ascii="Times New Roman" w:hAnsi="Times New Roman" w:cs="Times New Roman"/>
          <w:b/>
          <w:bCs/>
        </w:rPr>
      </w:pPr>
      <w:r>
        <w:rPr>
          <w:rFonts w:ascii="Times New Roman" w:hAnsi="Times New Roman" w:cs="Times New Roman"/>
          <w:b/>
          <w:bCs/>
        </w:rPr>
        <w:t xml:space="preserve">5. </w:t>
      </w:r>
      <w:r w:rsidR="00CA2B0A" w:rsidRPr="00DA0BE2">
        <w:rPr>
          <w:rFonts w:ascii="Times New Roman" w:hAnsi="Times New Roman" w:cs="Times New Roman"/>
          <w:b/>
          <w:bCs/>
        </w:rPr>
        <w:t>Conclusion</w:t>
      </w:r>
    </w:p>
    <w:p w14:paraId="68D16CE4" w14:textId="526312FC" w:rsidR="005270F3" w:rsidRPr="00286A94" w:rsidRDefault="005270F3" w:rsidP="00286A94">
      <w:pPr>
        <w:spacing w:line="360" w:lineRule="auto"/>
        <w:jc w:val="both"/>
        <w:rPr>
          <w:rFonts w:ascii="Times New Roman" w:hAnsi="Times New Roman" w:cs="Times New Roman"/>
        </w:rPr>
      </w:pPr>
      <w:r w:rsidRPr="00286A94">
        <w:rPr>
          <w:rFonts w:ascii="Times New Roman" w:hAnsi="Times New Roman" w:cs="Times New Roman"/>
        </w:rPr>
        <w:lastRenderedPageBreak/>
        <w:t xml:space="preserve">The efficacy of critical literacy and dialogic pedagogy in adult interventions fundamentally relies on fostering interpersonal relationships and direct engagement. These core components faced significant disruption during pandemic lockdowns, </w:t>
      </w:r>
      <w:r w:rsidRPr="0003491D">
        <w:rPr>
          <w:rFonts w:ascii="Times New Roman" w:hAnsi="Times New Roman" w:cs="Times New Roman"/>
          <w:highlight w:val="yellow"/>
        </w:rPr>
        <w:t xml:space="preserve">necessitating </w:t>
      </w:r>
      <w:r w:rsidR="00EC21AF" w:rsidRPr="0003491D">
        <w:rPr>
          <w:rFonts w:ascii="Times New Roman" w:hAnsi="Times New Roman" w:cs="Times New Roman"/>
          <w:highlight w:val="yellow"/>
        </w:rPr>
        <w:t xml:space="preserve">the </w:t>
      </w:r>
      <w:r w:rsidRPr="0003491D">
        <w:rPr>
          <w:rFonts w:ascii="Times New Roman" w:hAnsi="Times New Roman" w:cs="Times New Roman"/>
          <w:highlight w:val="yellow"/>
        </w:rPr>
        <w:t>exploration</w:t>
      </w:r>
      <w:r w:rsidRPr="00286A94">
        <w:rPr>
          <w:rFonts w:ascii="Times New Roman" w:hAnsi="Times New Roman" w:cs="Times New Roman"/>
        </w:rPr>
        <w:t xml:space="preserve"> of alternative engagement methods. Partial mitigation was achieved through small-group interactions and brief mobile phone consultations. Future implementation under similar constraints should investigate supplementary channels like community radio broadcasts and instructional video screenings for technical skill development. Participant demand for ongoing refresher training (noted among CHFs) underscores the need for sustained engagement. Consequently, structured collaboration between government departments and CHFs will be established to co-design frameworks for continuous community involvement, advancing the </w:t>
      </w:r>
      <w:r w:rsidR="00E23F95" w:rsidRPr="00E23F95">
        <w:rPr>
          <w:rFonts w:ascii="Times New Roman" w:hAnsi="Times New Roman" w:cs="Times New Roman"/>
          <w:highlight w:val="yellow"/>
        </w:rPr>
        <w:t>operationalisation</w:t>
      </w:r>
      <w:r w:rsidRPr="00E23F95">
        <w:rPr>
          <w:rFonts w:ascii="Times New Roman" w:hAnsi="Times New Roman" w:cs="Times New Roman"/>
          <w:highlight w:val="yellow"/>
        </w:rPr>
        <w:t xml:space="preserve"> of hunger-free villages</w:t>
      </w:r>
      <w:r w:rsidRPr="00286A94">
        <w:rPr>
          <w:rFonts w:ascii="Times New Roman" w:hAnsi="Times New Roman" w:cs="Times New Roman"/>
        </w:rPr>
        <w:t>.</w:t>
      </w:r>
    </w:p>
    <w:p w14:paraId="6F18FF34" w14:textId="188A5FBF" w:rsidR="00CA2B0A" w:rsidRPr="00CA2B0A" w:rsidRDefault="00CA2B0A" w:rsidP="00286A94">
      <w:pPr>
        <w:spacing w:line="360" w:lineRule="auto"/>
        <w:jc w:val="both"/>
        <w:rPr>
          <w:rFonts w:ascii="Times New Roman" w:hAnsi="Times New Roman" w:cs="Times New Roman"/>
        </w:rPr>
      </w:pPr>
      <w:r w:rsidRPr="00CA2B0A">
        <w:rPr>
          <w:rFonts w:ascii="Times New Roman" w:hAnsi="Times New Roman" w:cs="Times New Roman"/>
        </w:rPr>
        <w:t>Dialogue, employed as a core pedagogical strategy within critical nutrition literacy programmes, holds significant potential when grounded in participants' socio-cultural-political contexts. This approach empowers individuals to derive contextually relevant meanings and messages, potentially driving behavio</w:t>
      </w:r>
      <w:r w:rsidR="00EC21AF">
        <w:rPr>
          <w:rFonts w:ascii="Times New Roman" w:hAnsi="Times New Roman" w:cs="Times New Roman"/>
        </w:rPr>
        <w:t>u</w:t>
      </w:r>
      <w:r w:rsidRPr="00CA2B0A">
        <w:rPr>
          <w:rFonts w:ascii="Times New Roman" w:hAnsi="Times New Roman" w:cs="Times New Roman"/>
        </w:rPr>
        <w:t>ral change. Creating a non-prescriptive, open learning environment enabled the co-construction of nutrition-sensitive agricultural knowledge, fostering shared learning that extended into the wider community.</w:t>
      </w:r>
    </w:p>
    <w:p w14:paraId="2D035BE3" w14:textId="77777777" w:rsidR="00CA2B0A" w:rsidRPr="00CA2B0A" w:rsidRDefault="00CA2B0A" w:rsidP="00286A94">
      <w:pPr>
        <w:spacing w:line="360" w:lineRule="auto"/>
        <w:jc w:val="both"/>
        <w:rPr>
          <w:rFonts w:ascii="Times New Roman" w:hAnsi="Times New Roman" w:cs="Times New Roman"/>
        </w:rPr>
      </w:pPr>
      <w:r w:rsidRPr="00CA2B0A">
        <w:rPr>
          <w:rFonts w:ascii="Times New Roman" w:hAnsi="Times New Roman" w:cs="Times New Roman"/>
        </w:rPr>
        <w:t>Critical reflection on daily food practices and production systems revealed patterns in food preferences, challenges in diversifying production, cultural erosion of traditional foods, and gender-based nutritional disparities.</w:t>
      </w:r>
    </w:p>
    <w:p w14:paraId="6E88B6F1" w14:textId="0FCCB6AD" w:rsidR="00FA3B0B" w:rsidRPr="00286A94" w:rsidRDefault="00CA2B0A" w:rsidP="00286A94">
      <w:pPr>
        <w:spacing w:line="360" w:lineRule="auto"/>
        <w:jc w:val="both"/>
        <w:rPr>
          <w:rFonts w:ascii="Times New Roman" w:hAnsi="Times New Roman" w:cs="Times New Roman"/>
        </w:rPr>
      </w:pPr>
      <w:r w:rsidRPr="00CA2B0A">
        <w:rPr>
          <w:rFonts w:ascii="Times New Roman" w:hAnsi="Times New Roman" w:cs="Times New Roman"/>
        </w:rPr>
        <w:t xml:space="preserve">Future initiatives </w:t>
      </w:r>
      <w:r w:rsidRPr="0003491D">
        <w:rPr>
          <w:rFonts w:ascii="Times New Roman" w:hAnsi="Times New Roman" w:cs="Times New Roman"/>
          <w:highlight w:val="yellow"/>
        </w:rPr>
        <w:t xml:space="preserve">should </w:t>
      </w:r>
      <w:r w:rsidR="00EC21AF" w:rsidRPr="0003491D">
        <w:rPr>
          <w:rFonts w:ascii="Times New Roman" w:hAnsi="Times New Roman" w:cs="Times New Roman"/>
          <w:highlight w:val="yellow"/>
        </w:rPr>
        <w:t>prioriti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 </w:t>
      </w:r>
      <w:r w:rsidRPr="0003491D">
        <w:rPr>
          <w:rFonts w:ascii="Times New Roman" w:hAnsi="Times New Roman" w:cs="Times New Roman"/>
          <w:highlight w:val="yellow"/>
        </w:rPr>
        <w:t>engaging mi</w:t>
      </w:r>
      <w:r w:rsidRPr="00CA2B0A">
        <w:rPr>
          <w:rFonts w:ascii="Times New Roman" w:hAnsi="Times New Roman" w:cs="Times New Roman"/>
        </w:rPr>
        <w:t xml:space="preserve">xed-gender groups, as dialogue between men and women </w:t>
      </w:r>
      <w:r w:rsidRPr="0003491D">
        <w:rPr>
          <w:rFonts w:ascii="Times New Roman" w:hAnsi="Times New Roman" w:cs="Times New Roman"/>
          <w:highlight w:val="yellow"/>
        </w:rPr>
        <w:t xml:space="preserve">effectively </w:t>
      </w:r>
      <w:r w:rsidR="00EC21AF" w:rsidRPr="0003491D">
        <w:rPr>
          <w:rFonts w:ascii="Times New Roman" w:hAnsi="Times New Roman" w:cs="Times New Roman"/>
          <w:highlight w:val="yellow"/>
        </w:rPr>
        <w:t>sensiti</w:t>
      </w:r>
      <w:r w:rsidR="00EC21AF" w:rsidRPr="0003491D">
        <w:rPr>
          <w:rFonts w:ascii="Times New Roman" w:hAnsi="Times New Roman" w:cs="Times New Roman"/>
          <w:highlight w:val="yellow"/>
        </w:rPr>
        <w:t>s</w:t>
      </w:r>
      <w:r w:rsidR="00EC21AF" w:rsidRPr="0003491D">
        <w:rPr>
          <w:rFonts w:ascii="Times New Roman" w:hAnsi="Times New Roman" w:cs="Times New Roman"/>
          <w:highlight w:val="yellow"/>
        </w:rPr>
        <w:t xml:space="preserve">es </w:t>
      </w:r>
      <w:r w:rsidRPr="0003491D">
        <w:rPr>
          <w:rFonts w:ascii="Times New Roman" w:hAnsi="Times New Roman" w:cs="Times New Roman"/>
          <w:highlight w:val="yellow"/>
        </w:rPr>
        <w:t>men to</w:t>
      </w:r>
      <w:r w:rsidRPr="00CA2B0A">
        <w:rPr>
          <w:rFonts w:ascii="Times New Roman" w:hAnsi="Times New Roman" w:cs="Times New Roman"/>
        </w:rPr>
        <w:t xml:space="preserve"> gender disparities in agricultural roles and nutritional access. Implementing such programmes necessitates skilled facilitators experienced in adult critical literacy methodologies. Finally, long-term interventions are essential to rigorously assess the sustainability of these transformative approaches.</w:t>
      </w:r>
    </w:p>
    <w:p w14:paraId="7FD54DC6" w14:textId="77777777" w:rsidR="003015E1" w:rsidRPr="00394842" w:rsidRDefault="003015E1" w:rsidP="003015E1">
      <w:pPr>
        <w:rPr>
          <w:highlight w:val="yellow"/>
        </w:rPr>
      </w:pPr>
      <w:r w:rsidRPr="00394842">
        <w:rPr>
          <w:highlight w:val="yellow"/>
        </w:rPr>
        <w:t>Disclaimer (Artificial intelligence)</w:t>
      </w:r>
    </w:p>
    <w:p w14:paraId="3515B29F" w14:textId="77777777" w:rsidR="003015E1" w:rsidRPr="00394842" w:rsidRDefault="003015E1" w:rsidP="003015E1">
      <w:pPr>
        <w:rPr>
          <w:highlight w:val="yellow"/>
        </w:rPr>
      </w:pPr>
    </w:p>
    <w:p w14:paraId="1C7243D2" w14:textId="77777777" w:rsidR="003015E1" w:rsidRPr="00394842" w:rsidRDefault="003015E1" w:rsidP="003015E1">
      <w:pPr>
        <w:rPr>
          <w:highlight w:val="yellow"/>
        </w:rPr>
      </w:pPr>
      <w:r w:rsidRPr="00394842">
        <w:rPr>
          <w:highlight w:val="yellow"/>
        </w:rPr>
        <w:t xml:space="preserve">Option 1: </w:t>
      </w:r>
    </w:p>
    <w:p w14:paraId="66A0A2C2" w14:textId="77777777" w:rsidR="003015E1" w:rsidRPr="00394842" w:rsidRDefault="003015E1" w:rsidP="003015E1">
      <w:pPr>
        <w:rPr>
          <w:highlight w:val="yellow"/>
        </w:rPr>
      </w:pPr>
    </w:p>
    <w:p w14:paraId="3B90D3A7" w14:textId="77777777" w:rsidR="003015E1" w:rsidRPr="00394842" w:rsidRDefault="003015E1" w:rsidP="003015E1">
      <w:pPr>
        <w:rPr>
          <w:highlight w:val="yellow"/>
        </w:rPr>
      </w:pPr>
      <w:r w:rsidRPr="00394842">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3E148C14" w14:textId="77777777" w:rsidR="003015E1" w:rsidRPr="00394842" w:rsidRDefault="003015E1" w:rsidP="003015E1">
      <w:pPr>
        <w:rPr>
          <w:highlight w:val="yellow"/>
        </w:rPr>
      </w:pPr>
    </w:p>
    <w:p w14:paraId="354EB003" w14:textId="77777777" w:rsidR="003015E1" w:rsidRPr="00394842" w:rsidRDefault="003015E1" w:rsidP="003015E1">
      <w:pPr>
        <w:rPr>
          <w:highlight w:val="yellow"/>
        </w:rPr>
      </w:pPr>
      <w:r w:rsidRPr="00394842">
        <w:rPr>
          <w:highlight w:val="yellow"/>
        </w:rPr>
        <w:t xml:space="preserve">Option 2: </w:t>
      </w:r>
    </w:p>
    <w:p w14:paraId="26C32747" w14:textId="77777777" w:rsidR="003015E1" w:rsidRPr="00394842" w:rsidRDefault="003015E1" w:rsidP="003015E1">
      <w:pPr>
        <w:rPr>
          <w:highlight w:val="yellow"/>
        </w:rPr>
      </w:pPr>
    </w:p>
    <w:p w14:paraId="27C68D82" w14:textId="77777777" w:rsidR="003015E1" w:rsidRPr="00394842" w:rsidRDefault="003015E1" w:rsidP="003015E1">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2F8F58" w14:textId="77777777" w:rsidR="003015E1" w:rsidRPr="00394842" w:rsidRDefault="003015E1" w:rsidP="003015E1">
      <w:pPr>
        <w:rPr>
          <w:highlight w:val="yellow"/>
        </w:rPr>
      </w:pPr>
    </w:p>
    <w:p w14:paraId="469AD1A6" w14:textId="77777777" w:rsidR="003015E1" w:rsidRPr="00394842" w:rsidRDefault="003015E1" w:rsidP="003015E1">
      <w:pPr>
        <w:rPr>
          <w:highlight w:val="yellow"/>
        </w:rPr>
      </w:pPr>
      <w:r w:rsidRPr="00394842">
        <w:rPr>
          <w:highlight w:val="yellow"/>
        </w:rPr>
        <w:t>Details of the AI usage are given below:</w:t>
      </w:r>
    </w:p>
    <w:p w14:paraId="3C69AD5D" w14:textId="77777777" w:rsidR="003015E1" w:rsidRPr="00394842" w:rsidRDefault="003015E1" w:rsidP="003015E1">
      <w:pPr>
        <w:rPr>
          <w:highlight w:val="yellow"/>
        </w:rPr>
      </w:pPr>
      <w:r w:rsidRPr="00394842">
        <w:rPr>
          <w:highlight w:val="yellow"/>
        </w:rPr>
        <w:t>1.</w:t>
      </w:r>
    </w:p>
    <w:p w14:paraId="3D2C9D61" w14:textId="77777777" w:rsidR="003015E1" w:rsidRPr="00394842" w:rsidRDefault="003015E1" w:rsidP="003015E1">
      <w:pPr>
        <w:rPr>
          <w:highlight w:val="yellow"/>
        </w:rPr>
      </w:pPr>
      <w:r w:rsidRPr="00394842">
        <w:rPr>
          <w:highlight w:val="yellow"/>
        </w:rPr>
        <w:t>2.</w:t>
      </w:r>
    </w:p>
    <w:p w14:paraId="739E6ED9" w14:textId="77777777" w:rsidR="003015E1" w:rsidRPr="00165217" w:rsidRDefault="003015E1" w:rsidP="003015E1">
      <w:r w:rsidRPr="00394842">
        <w:rPr>
          <w:highlight w:val="yellow"/>
        </w:rPr>
        <w:t>3.</w:t>
      </w:r>
    </w:p>
    <w:p w14:paraId="5ECC71D4" w14:textId="77777777" w:rsidR="00286A94" w:rsidRDefault="00286A94" w:rsidP="00286A94">
      <w:pPr>
        <w:spacing w:line="360" w:lineRule="auto"/>
        <w:jc w:val="both"/>
        <w:rPr>
          <w:rFonts w:ascii="Times New Roman" w:hAnsi="Times New Roman" w:cs="Times New Roman"/>
          <w:b/>
          <w:bCs/>
        </w:rPr>
      </w:pPr>
    </w:p>
    <w:p w14:paraId="450D4F01" w14:textId="1806FAB3" w:rsidR="00FA3B0B" w:rsidRPr="00286A94" w:rsidRDefault="00FA3B0B" w:rsidP="00286A94">
      <w:pPr>
        <w:spacing w:line="360" w:lineRule="auto"/>
        <w:jc w:val="both"/>
        <w:rPr>
          <w:rFonts w:ascii="Times New Roman" w:hAnsi="Times New Roman" w:cs="Times New Roman"/>
          <w:b/>
          <w:bCs/>
        </w:rPr>
      </w:pPr>
      <w:r w:rsidRPr="00286A94">
        <w:rPr>
          <w:rFonts w:ascii="Times New Roman" w:hAnsi="Times New Roman" w:cs="Times New Roman"/>
          <w:b/>
          <w:bCs/>
        </w:rPr>
        <w:t>References</w:t>
      </w:r>
    </w:p>
    <w:p w14:paraId="0F1DED20" w14:textId="546735B5"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Adelman, D., &amp; Sandiford, S. (2007). Reflections from the garden: Developing a critical literacy of food practices.</w:t>
      </w:r>
    </w:p>
    <w:p w14:paraId="33CDED43" w14:textId="15BB5EA4" w:rsidR="005270F3" w:rsidRPr="00286A94" w:rsidRDefault="005270F3"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Batliwala</w:t>
      </w:r>
      <w:proofErr w:type="spellEnd"/>
      <w:r w:rsidRPr="00286A94">
        <w:rPr>
          <w:rFonts w:ascii="Times New Roman" w:hAnsi="Times New Roman" w:cs="Times New Roman"/>
        </w:rPr>
        <w:t>, S. (2007). Taking the power out of empowerment–an experiential account. </w:t>
      </w:r>
      <w:r w:rsidRPr="00286A94">
        <w:rPr>
          <w:rFonts w:ascii="Times New Roman" w:hAnsi="Times New Roman" w:cs="Times New Roman"/>
          <w:i/>
          <w:iCs/>
        </w:rPr>
        <w:t>Development in practice</w:t>
      </w:r>
      <w:r w:rsidRPr="00286A94">
        <w:rPr>
          <w:rFonts w:ascii="Times New Roman" w:hAnsi="Times New Roman" w:cs="Times New Roman"/>
        </w:rPr>
        <w:t>, </w:t>
      </w:r>
      <w:r w:rsidRPr="00286A94">
        <w:rPr>
          <w:rFonts w:ascii="Times New Roman" w:hAnsi="Times New Roman" w:cs="Times New Roman"/>
          <w:i/>
          <w:iCs/>
        </w:rPr>
        <w:t>17</w:t>
      </w:r>
      <w:r w:rsidRPr="00286A94">
        <w:rPr>
          <w:rFonts w:ascii="Times New Roman" w:hAnsi="Times New Roman" w:cs="Times New Roman"/>
        </w:rPr>
        <w:t>(4-5), 557-565.</w:t>
      </w:r>
    </w:p>
    <w:p w14:paraId="262B4AB7" w14:textId="6C157B09" w:rsidR="007F2E8B" w:rsidRPr="00286A94" w:rsidRDefault="007F2E8B"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Black, A. P., </w:t>
      </w:r>
      <w:proofErr w:type="spellStart"/>
      <w:r w:rsidRPr="00286A94">
        <w:rPr>
          <w:rFonts w:ascii="Times New Roman" w:hAnsi="Times New Roman" w:cs="Times New Roman"/>
        </w:rPr>
        <w:t>D’Onise</w:t>
      </w:r>
      <w:proofErr w:type="spellEnd"/>
      <w:r w:rsidRPr="00286A94">
        <w:rPr>
          <w:rFonts w:ascii="Times New Roman" w:hAnsi="Times New Roman" w:cs="Times New Roman"/>
        </w:rPr>
        <w:t>, K., McDermott, R., Vally, H., &amp; O’Dea, K. (2017). How effective are family-based and institutional nutrition interventions in improving children’s diet and health? A systematic review. </w:t>
      </w:r>
      <w:r w:rsidRPr="00286A94">
        <w:rPr>
          <w:rFonts w:ascii="Times New Roman" w:hAnsi="Times New Roman" w:cs="Times New Roman"/>
          <w:i/>
          <w:iCs/>
        </w:rPr>
        <w:t>BMC public health</w:t>
      </w:r>
      <w:r w:rsidRPr="00286A94">
        <w:rPr>
          <w:rFonts w:ascii="Times New Roman" w:hAnsi="Times New Roman" w:cs="Times New Roman"/>
        </w:rPr>
        <w:t>, </w:t>
      </w:r>
      <w:r w:rsidRPr="00286A94">
        <w:rPr>
          <w:rFonts w:ascii="Times New Roman" w:hAnsi="Times New Roman" w:cs="Times New Roman"/>
          <w:i/>
          <w:iCs/>
        </w:rPr>
        <w:t>17</w:t>
      </w:r>
      <w:r w:rsidRPr="00286A94">
        <w:rPr>
          <w:rFonts w:ascii="Times New Roman" w:hAnsi="Times New Roman" w:cs="Times New Roman"/>
        </w:rPr>
        <w:t>, 1-19.</w:t>
      </w:r>
    </w:p>
    <w:p w14:paraId="4E67D226" w14:textId="041F0D3A" w:rsidR="00DE0AC6" w:rsidRPr="00B5046B" w:rsidRDefault="00DE0AC6" w:rsidP="00286A94">
      <w:pPr>
        <w:pStyle w:val="ListParagraph"/>
        <w:numPr>
          <w:ilvl w:val="0"/>
          <w:numId w:val="14"/>
        </w:numPr>
        <w:spacing w:line="360" w:lineRule="auto"/>
        <w:jc w:val="both"/>
        <w:rPr>
          <w:rFonts w:ascii="Times New Roman" w:hAnsi="Times New Roman" w:cs="Times New Roman"/>
          <w:highlight w:val="yellow"/>
        </w:rPr>
      </w:pPr>
      <w:r w:rsidRPr="00B5046B">
        <w:rPr>
          <w:rFonts w:ascii="Times New Roman" w:hAnsi="Times New Roman" w:cs="Times New Roman"/>
          <w:highlight w:val="yellow"/>
        </w:rPr>
        <w:t>Bonatti, M., Borba, J., Löhr, K., Tremblay, C., &amp; Sieber, S. (2021). Social learning and Paulo Freire concepts for understanding food security cases in Brazil. </w:t>
      </w:r>
      <w:r w:rsidRPr="00B5046B">
        <w:rPr>
          <w:rFonts w:ascii="Times New Roman" w:hAnsi="Times New Roman" w:cs="Times New Roman"/>
          <w:i/>
          <w:iCs/>
          <w:highlight w:val="yellow"/>
        </w:rPr>
        <w:t>Agriculture</w:t>
      </w:r>
      <w:r w:rsidRPr="00B5046B">
        <w:rPr>
          <w:rFonts w:ascii="Times New Roman" w:hAnsi="Times New Roman" w:cs="Times New Roman"/>
          <w:highlight w:val="yellow"/>
        </w:rPr>
        <w:t>, </w:t>
      </w:r>
      <w:r w:rsidRPr="00B5046B">
        <w:rPr>
          <w:rFonts w:ascii="Times New Roman" w:hAnsi="Times New Roman" w:cs="Times New Roman"/>
          <w:i/>
          <w:iCs/>
          <w:highlight w:val="yellow"/>
        </w:rPr>
        <w:t>11</w:t>
      </w:r>
      <w:r w:rsidRPr="00B5046B">
        <w:rPr>
          <w:rFonts w:ascii="Times New Roman" w:hAnsi="Times New Roman" w:cs="Times New Roman"/>
          <w:highlight w:val="yellow"/>
        </w:rPr>
        <w:t>(9), 807.</w:t>
      </w:r>
    </w:p>
    <w:p w14:paraId="48E6BF91" w14:textId="21BA77FE"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Brown, N. (2015). Facing Language, Funding, and Personnel Barriers? How Adult Education Principles and Practices Facilitate Nutrition Education for Low-Income Mexican American Audiences.</w:t>
      </w:r>
    </w:p>
    <w:p w14:paraId="685BFE7F" w14:textId="2E484928" w:rsidR="00FA3B0B" w:rsidRPr="00286A94" w:rsidRDefault="007F2E8B"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Bull, E. R., Dombrowski, S. U., McCleary, N., &amp; Johnston, M. (2014). Are interventions for low-income groups effective in changing healthy eating, physical </w:t>
      </w:r>
      <w:r w:rsidRPr="00286A94">
        <w:rPr>
          <w:rFonts w:ascii="Times New Roman" w:hAnsi="Times New Roman" w:cs="Times New Roman"/>
        </w:rPr>
        <w:lastRenderedPageBreak/>
        <w:t>activity and smoking behaviours? A systematic review and meta-analysis. </w:t>
      </w:r>
      <w:r w:rsidRPr="00286A94">
        <w:rPr>
          <w:rFonts w:ascii="Times New Roman" w:hAnsi="Times New Roman" w:cs="Times New Roman"/>
          <w:i/>
          <w:iCs/>
        </w:rPr>
        <w:t>BMJ open</w:t>
      </w:r>
      <w:r w:rsidRPr="00286A94">
        <w:rPr>
          <w:rFonts w:ascii="Times New Roman" w:hAnsi="Times New Roman" w:cs="Times New Roman"/>
        </w:rPr>
        <w:t>, </w:t>
      </w:r>
      <w:r w:rsidRPr="00286A94">
        <w:rPr>
          <w:rFonts w:ascii="Times New Roman" w:hAnsi="Times New Roman" w:cs="Times New Roman"/>
          <w:i/>
          <w:iCs/>
        </w:rPr>
        <w:t>4</w:t>
      </w:r>
      <w:r w:rsidRPr="00286A94">
        <w:rPr>
          <w:rFonts w:ascii="Times New Roman" w:hAnsi="Times New Roman" w:cs="Times New Roman"/>
        </w:rPr>
        <w:t>(11), e006046.</w:t>
      </w:r>
    </w:p>
    <w:p w14:paraId="62678B35" w14:textId="014E6711" w:rsidR="005270F3" w:rsidRPr="00286A94" w:rsidRDefault="005270F3"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Burke, L. A., &amp; Hutchins, H. M. (2007). Training transfer: An integrative literature review. </w:t>
      </w:r>
      <w:r w:rsidRPr="00286A94">
        <w:rPr>
          <w:rFonts w:ascii="Times New Roman" w:hAnsi="Times New Roman" w:cs="Times New Roman"/>
          <w:i/>
          <w:iCs/>
        </w:rPr>
        <w:t>Human resource development review</w:t>
      </w:r>
      <w:r w:rsidRPr="00286A94">
        <w:rPr>
          <w:rFonts w:ascii="Times New Roman" w:hAnsi="Times New Roman" w:cs="Times New Roman"/>
        </w:rPr>
        <w:t>, </w:t>
      </w:r>
      <w:r w:rsidRPr="00286A94">
        <w:rPr>
          <w:rFonts w:ascii="Times New Roman" w:hAnsi="Times New Roman" w:cs="Times New Roman"/>
          <w:i/>
          <w:iCs/>
        </w:rPr>
        <w:t>6</w:t>
      </w:r>
      <w:r w:rsidRPr="00286A94">
        <w:rPr>
          <w:rFonts w:ascii="Times New Roman" w:hAnsi="Times New Roman" w:cs="Times New Roman"/>
        </w:rPr>
        <w:t>(3), 263-296.</w:t>
      </w:r>
    </w:p>
    <w:p w14:paraId="680DCE72" w14:textId="76ECD26E"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Cannon, G., &amp; </w:t>
      </w:r>
      <w:proofErr w:type="spellStart"/>
      <w:r w:rsidRPr="00286A94">
        <w:rPr>
          <w:rFonts w:ascii="Times New Roman" w:hAnsi="Times New Roman" w:cs="Times New Roman"/>
        </w:rPr>
        <w:t>Leitzmann</w:t>
      </w:r>
      <w:proofErr w:type="spellEnd"/>
      <w:r w:rsidRPr="00286A94">
        <w:rPr>
          <w:rFonts w:ascii="Times New Roman" w:hAnsi="Times New Roman" w:cs="Times New Roman"/>
        </w:rPr>
        <w:t>, C. (2006). The new nutrition science project. </w:t>
      </w:r>
      <w:r w:rsidRPr="00286A94">
        <w:rPr>
          <w:rFonts w:ascii="Times New Roman" w:hAnsi="Times New Roman" w:cs="Times New Roman"/>
          <w:i/>
          <w:iCs/>
        </w:rPr>
        <w:t>Scandinavian Journal of Food and Nutrition</w:t>
      </w:r>
      <w:r w:rsidRPr="00286A94">
        <w:rPr>
          <w:rFonts w:ascii="Times New Roman" w:hAnsi="Times New Roman" w:cs="Times New Roman"/>
        </w:rPr>
        <w:t>, </w:t>
      </w:r>
      <w:r w:rsidRPr="00286A94">
        <w:rPr>
          <w:rFonts w:ascii="Times New Roman" w:hAnsi="Times New Roman" w:cs="Times New Roman"/>
          <w:i/>
          <w:iCs/>
        </w:rPr>
        <w:t>50</w:t>
      </w:r>
      <w:r w:rsidRPr="00286A94">
        <w:rPr>
          <w:rFonts w:ascii="Times New Roman" w:hAnsi="Times New Roman" w:cs="Times New Roman"/>
        </w:rPr>
        <w:t>(1), 5-12.</w:t>
      </w:r>
    </w:p>
    <w:p w14:paraId="02F31313" w14:textId="09DB1FAA"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Freire, P. (1994). Pedagogy of hope: Reliving pedagogy of the oppressed.</w:t>
      </w:r>
    </w:p>
    <w:p w14:paraId="2BA9A26C" w14:textId="28031B8F"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Freire, P. (2000). Pedagogy of the oppressed (30th </w:t>
      </w:r>
      <w:proofErr w:type="spellStart"/>
      <w:r w:rsidRPr="00286A94">
        <w:rPr>
          <w:rFonts w:ascii="Times New Roman" w:hAnsi="Times New Roman" w:cs="Times New Roman"/>
        </w:rPr>
        <w:t>anniv</w:t>
      </w:r>
      <w:proofErr w:type="spellEnd"/>
      <w:r w:rsidRPr="00286A94">
        <w:rPr>
          <w:rFonts w:ascii="Times New Roman" w:hAnsi="Times New Roman" w:cs="Times New Roman"/>
        </w:rPr>
        <w:t>. ed.). </w:t>
      </w:r>
      <w:r w:rsidRPr="00286A94">
        <w:rPr>
          <w:rFonts w:ascii="Times New Roman" w:hAnsi="Times New Roman" w:cs="Times New Roman"/>
          <w:i/>
          <w:iCs/>
        </w:rPr>
        <w:t>New York: Continuum</w:t>
      </w:r>
      <w:r w:rsidRPr="00286A94">
        <w:rPr>
          <w:rFonts w:ascii="Times New Roman" w:hAnsi="Times New Roman" w:cs="Times New Roman"/>
        </w:rPr>
        <w:t>, </w:t>
      </w:r>
      <w:r w:rsidRPr="00286A94">
        <w:rPr>
          <w:rFonts w:ascii="Times New Roman" w:hAnsi="Times New Roman" w:cs="Times New Roman"/>
          <w:i/>
          <w:iCs/>
        </w:rPr>
        <w:t>35</w:t>
      </w:r>
      <w:r w:rsidRPr="00286A94">
        <w:rPr>
          <w:rFonts w:ascii="Times New Roman" w:hAnsi="Times New Roman" w:cs="Times New Roman"/>
        </w:rPr>
        <w:t>.</w:t>
      </w:r>
    </w:p>
    <w:p w14:paraId="38BDB03A" w14:textId="3FD38288" w:rsidR="0052495C" w:rsidRPr="00286A94" w:rsidRDefault="0052495C"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Gavaravarapu</w:t>
      </w:r>
      <w:proofErr w:type="spellEnd"/>
      <w:r w:rsidRPr="00286A94">
        <w:rPr>
          <w:rFonts w:ascii="Times New Roman" w:hAnsi="Times New Roman" w:cs="Times New Roman"/>
        </w:rPr>
        <w:t>, S. M. (2019). Nutrition communication-Rhetoric &amp; reality. </w:t>
      </w:r>
      <w:r w:rsidRPr="00286A94">
        <w:rPr>
          <w:rFonts w:ascii="Times New Roman" w:hAnsi="Times New Roman" w:cs="Times New Roman"/>
          <w:i/>
          <w:iCs/>
        </w:rPr>
        <w:t>Indian Journal of Medical Research</w:t>
      </w:r>
      <w:r w:rsidRPr="00286A94">
        <w:rPr>
          <w:rFonts w:ascii="Times New Roman" w:hAnsi="Times New Roman" w:cs="Times New Roman"/>
        </w:rPr>
        <w:t>, </w:t>
      </w:r>
      <w:r w:rsidRPr="00286A94">
        <w:rPr>
          <w:rFonts w:ascii="Times New Roman" w:hAnsi="Times New Roman" w:cs="Times New Roman"/>
          <w:i/>
          <w:iCs/>
        </w:rPr>
        <w:t>149</w:t>
      </w:r>
      <w:r w:rsidRPr="00286A94">
        <w:rPr>
          <w:rFonts w:ascii="Times New Roman" w:hAnsi="Times New Roman" w:cs="Times New Roman"/>
        </w:rPr>
        <w:t>(3), 333-344.</w:t>
      </w:r>
    </w:p>
    <w:p w14:paraId="136235B6" w14:textId="3CAAFB2E" w:rsidR="005270F3" w:rsidRPr="00286A94" w:rsidRDefault="005270F3"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Hentschel, T., Heilman, M. E., &amp; Peus, C. V. (2019). The multiple dimensions of gender stereotypes: A current look at men’s and women’s characterizations of others and themselves. </w:t>
      </w:r>
      <w:r w:rsidRPr="00286A94">
        <w:rPr>
          <w:rFonts w:ascii="Times New Roman" w:hAnsi="Times New Roman" w:cs="Times New Roman"/>
          <w:i/>
          <w:iCs/>
        </w:rPr>
        <w:t>Frontiers in psychology</w:t>
      </w:r>
      <w:r w:rsidRPr="00286A94">
        <w:rPr>
          <w:rFonts w:ascii="Times New Roman" w:hAnsi="Times New Roman" w:cs="Times New Roman"/>
        </w:rPr>
        <w:t>, </w:t>
      </w:r>
      <w:r w:rsidRPr="00286A94">
        <w:rPr>
          <w:rFonts w:ascii="Times New Roman" w:hAnsi="Times New Roman" w:cs="Times New Roman"/>
          <w:i/>
          <w:iCs/>
        </w:rPr>
        <w:t>10</w:t>
      </w:r>
      <w:r w:rsidRPr="00286A94">
        <w:rPr>
          <w:rFonts w:ascii="Times New Roman" w:hAnsi="Times New Roman" w:cs="Times New Roman"/>
        </w:rPr>
        <w:t>, 11.</w:t>
      </w:r>
    </w:p>
    <w:p w14:paraId="7BBDB8FF" w14:textId="7777BEF0"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Krause, C., </w:t>
      </w:r>
      <w:proofErr w:type="spellStart"/>
      <w:r w:rsidRPr="00286A94">
        <w:rPr>
          <w:rFonts w:ascii="Times New Roman" w:hAnsi="Times New Roman" w:cs="Times New Roman"/>
        </w:rPr>
        <w:t>Sommerhalder</w:t>
      </w:r>
      <w:proofErr w:type="spellEnd"/>
      <w:r w:rsidRPr="00286A94">
        <w:rPr>
          <w:rFonts w:ascii="Times New Roman" w:hAnsi="Times New Roman" w:cs="Times New Roman"/>
        </w:rPr>
        <w:t>, K., Beer-Borst, S., &amp; Abel, T. (2018). Just a subtle difference? Findings from a systematic review on definitions of nutrition literacy and food literacy. </w:t>
      </w:r>
      <w:r w:rsidRPr="00286A94">
        <w:rPr>
          <w:rFonts w:ascii="Times New Roman" w:hAnsi="Times New Roman" w:cs="Times New Roman"/>
          <w:i/>
          <w:iCs/>
        </w:rPr>
        <w:t>Health promotion international</w:t>
      </w:r>
      <w:r w:rsidRPr="00286A94">
        <w:rPr>
          <w:rFonts w:ascii="Times New Roman" w:hAnsi="Times New Roman" w:cs="Times New Roman"/>
        </w:rPr>
        <w:t>, </w:t>
      </w:r>
      <w:r w:rsidRPr="00286A94">
        <w:rPr>
          <w:rFonts w:ascii="Times New Roman" w:hAnsi="Times New Roman" w:cs="Times New Roman"/>
          <w:i/>
          <w:iCs/>
        </w:rPr>
        <w:t>33</w:t>
      </w:r>
      <w:r w:rsidRPr="00286A94">
        <w:rPr>
          <w:rFonts w:ascii="Times New Roman" w:hAnsi="Times New Roman" w:cs="Times New Roman"/>
        </w:rPr>
        <w:t>(3), 378-389.</w:t>
      </w:r>
    </w:p>
    <w:p w14:paraId="1BAEFF7C" w14:textId="4CD92763" w:rsidR="00DE0AC6" w:rsidRPr="00B5046B" w:rsidRDefault="00DE0AC6" w:rsidP="00286A94">
      <w:pPr>
        <w:pStyle w:val="ListParagraph"/>
        <w:numPr>
          <w:ilvl w:val="0"/>
          <w:numId w:val="14"/>
        </w:numPr>
        <w:spacing w:line="360" w:lineRule="auto"/>
        <w:jc w:val="both"/>
        <w:rPr>
          <w:rFonts w:ascii="Times New Roman" w:hAnsi="Times New Roman" w:cs="Times New Roman"/>
          <w:highlight w:val="yellow"/>
        </w:rPr>
      </w:pPr>
      <w:r w:rsidRPr="00B5046B">
        <w:rPr>
          <w:rFonts w:ascii="Times New Roman" w:hAnsi="Times New Roman" w:cs="Times New Roman"/>
          <w:highlight w:val="yellow"/>
        </w:rPr>
        <w:t>Kumar, N., Raghunathan, K., Arrieta, A., Jilani, A., &amp; Pandey, S. (2021). The power of the collective empowers women: Evidence from self-help groups in India. </w:t>
      </w:r>
      <w:r w:rsidRPr="00B5046B">
        <w:rPr>
          <w:rFonts w:ascii="Times New Roman" w:hAnsi="Times New Roman" w:cs="Times New Roman"/>
          <w:i/>
          <w:iCs/>
          <w:highlight w:val="yellow"/>
        </w:rPr>
        <w:t>World Development</w:t>
      </w:r>
      <w:r w:rsidRPr="00B5046B">
        <w:rPr>
          <w:rFonts w:ascii="Times New Roman" w:hAnsi="Times New Roman" w:cs="Times New Roman"/>
          <w:highlight w:val="yellow"/>
        </w:rPr>
        <w:t>, </w:t>
      </w:r>
      <w:r w:rsidRPr="00B5046B">
        <w:rPr>
          <w:rFonts w:ascii="Times New Roman" w:hAnsi="Times New Roman" w:cs="Times New Roman"/>
          <w:i/>
          <w:iCs/>
          <w:highlight w:val="yellow"/>
        </w:rPr>
        <w:t>146</w:t>
      </w:r>
      <w:r w:rsidRPr="00B5046B">
        <w:rPr>
          <w:rFonts w:ascii="Times New Roman" w:hAnsi="Times New Roman" w:cs="Times New Roman"/>
          <w:highlight w:val="yellow"/>
        </w:rPr>
        <w:t>, 105579.</w:t>
      </w:r>
    </w:p>
    <w:p w14:paraId="0FD26703" w14:textId="0250001D" w:rsidR="005270F3" w:rsidRPr="00B5046B" w:rsidRDefault="005270F3" w:rsidP="00286A94">
      <w:pPr>
        <w:pStyle w:val="ListParagraph"/>
        <w:numPr>
          <w:ilvl w:val="0"/>
          <w:numId w:val="14"/>
        </w:numPr>
        <w:spacing w:line="360" w:lineRule="auto"/>
        <w:jc w:val="both"/>
        <w:rPr>
          <w:rFonts w:ascii="Times New Roman" w:hAnsi="Times New Roman" w:cs="Times New Roman"/>
          <w:highlight w:val="yellow"/>
        </w:rPr>
      </w:pPr>
      <w:r w:rsidRPr="00B5046B">
        <w:rPr>
          <w:rFonts w:ascii="Times New Roman" w:hAnsi="Times New Roman" w:cs="Times New Roman"/>
          <w:highlight w:val="yellow"/>
        </w:rPr>
        <w:t>Lee, M. T., Hartsough, M., Borick, S., &amp; Gathagan, B. (2021). Open space, transformative education, and the pursuit of flourishing. </w:t>
      </w:r>
      <w:r w:rsidRPr="00B5046B">
        <w:rPr>
          <w:rFonts w:ascii="Times New Roman" w:hAnsi="Times New Roman" w:cs="Times New Roman"/>
          <w:i/>
          <w:iCs/>
          <w:highlight w:val="yellow"/>
        </w:rPr>
        <w:t>Journal of Transformative Education</w:t>
      </w:r>
      <w:r w:rsidRPr="00B5046B">
        <w:rPr>
          <w:rFonts w:ascii="Times New Roman" w:hAnsi="Times New Roman" w:cs="Times New Roman"/>
          <w:highlight w:val="yellow"/>
        </w:rPr>
        <w:t>, </w:t>
      </w:r>
      <w:r w:rsidRPr="00B5046B">
        <w:rPr>
          <w:rFonts w:ascii="Times New Roman" w:hAnsi="Times New Roman" w:cs="Times New Roman"/>
          <w:i/>
          <w:iCs/>
          <w:highlight w:val="yellow"/>
        </w:rPr>
        <w:t>19</w:t>
      </w:r>
      <w:r w:rsidRPr="00B5046B">
        <w:rPr>
          <w:rFonts w:ascii="Times New Roman" w:hAnsi="Times New Roman" w:cs="Times New Roman"/>
          <w:highlight w:val="yellow"/>
        </w:rPr>
        <w:t>(3), 198-217.</w:t>
      </w:r>
    </w:p>
    <w:p w14:paraId="30CE6CBA" w14:textId="578D0092"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McKee, N., Becker‐Benton, A., &amp; </w:t>
      </w:r>
      <w:proofErr w:type="spellStart"/>
      <w:r w:rsidRPr="00286A94">
        <w:rPr>
          <w:rFonts w:ascii="Times New Roman" w:hAnsi="Times New Roman" w:cs="Times New Roman"/>
        </w:rPr>
        <w:t>Bockh</w:t>
      </w:r>
      <w:proofErr w:type="spellEnd"/>
      <w:r w:rsidRPr="00286A94">
        <w:rPr>
          <w:rFonts w:ascii="Times New Roman" w:hAnsi="Times New Roman" w:cs="Times New Roman"/>
        </w:rPr>
        <w:t xml:space="preserve">, E. (2014). Social and </w:t>
      </w:r>
      <w:proofErr w:type="spellStart"/>
      <w:r w:rsidRPr="00286A94">
        <w:rPr>
          <w:rFonts w:ascii="Times New Roman" w:hAnsi="Times New Roman" w:cs="Times New Roman"/>
        </w:rPr>
        <w:t>behavior</w:t>
      </w:r>
      <w:proofErr w:type="spellEnd"/>
      <w:r w:rsidRPr="00286A94">
        <w:rPr>
          <w:rFonts w:ascii="Times New Roman" w:hAnsi="Times New Roman" w:cs="Times New Roman"/>
        </w:rPr>
        <w:t xml:space="preserve"> change communication. </w:t>
      </w:r>
      <w:r w:rsidRPr="00286A94">
        <w:rPr>
          <w:rFonts w:ascii="Times New Roman" w:hAnsi="Times New Roman" w:cs="Times New Roman"/>
          <w:i/>
          <w:iCs/>
        </w:rPr>
        <w:t>The handbook of development communication and social change</w:t>
      </w:r>
      <w:r w:rsidRPr="00286A94">
        <w:rPr>
          <w:rFonts w:ascii="Times New Roman" w:hAnsi="Times New Roman" w:cs="Times New Roman"/>
        </w:rPr>
        <w:t>, 278-297.</w:t>
      </w:r>
    </w:p>
    <w:p w14:paraId="0B578E5D" w14:textId="763952F8"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Mezirow, J. (1997). Transformative learning: Theory to practice. </w:t>
      </w:r>
      <w:r w:rsidRPr="00286A94">
        <w:rPr>
          <w:rFonts w:ascii="Times New Roman" w:hAnsi="Times New Roman" w:cs="Times New Roman"/>
          <w:i/>
          <w:iCs/>
        </w:rPr>
        <w:t>New directions for adult and continuing education</w:t>
      </w:r>
      <w:r w:rsidRPr="00286A94">
        <w:rPr>
          <w:rFonts w:ascii="Times New Roman" w:hAnsi="Times New Roman" w:cs="Times New Roman"/>
        </w:rPr>
        <w:t>, </w:t>
      </w:r>
      <w:r w:rsidRPr="00286A94">
        <w:rPr>
          <w:rFonts w:ascii="Times New Roman" w:hAnsi="Times New Roman" w:cs="Times New Roman"/>
          <w:i/>
          <w:iCs/>
        </w:rPr>
        <w:t>1997</w:t>
      </w:r>
      <w:r w:rsidRPr="00286A94">
        <w:rPr>
          <w:rFonts w:ascii="Times New Roman" w:hAnsi="Times New Roman" w:cs="Times New Roman"/>
        </w:rPr>
        <w:t>(74), 5-12.</w:t>
      </w:r>
    </w:p>
    <w:p w14:paraId="5ECDAD24" w14:textId="6DD189FB"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Nagarajan, S., Bhavani, R. V., &amp; Swaminathan, M. S. (2014). Operationalizing the concept of farming system for nutrition through the promotion of nutrition-sensitive agriculture. </w:t>
      </w:r>
      <w:r w:rsidRPr="00286A94">
        <w:rPr>
          <w:rFonts w:ascii="Times New Roman" w:hAnsi="Times New Roman" w:cs="Times New Roman"/>
          <w:i/>
          <w:iCs/>
        </w:rPr>
        <w:t>Current Science</w:t>
      </w:r>
      <w:r w:rsidRPr="00286A94">
        <w:rPr>
          <w:rFonts w:ascii="Times New Roman" w:hAnsi="Times New Roman" w:cs="Times New Roman"/>
        </w:rPr>
        <w:t>, 959-964.</w:t>
      </w:r>
    </w:p>
    <w:p w14:paraId="38911557" w14:textId="481C0D9C" w:rsidR="0052495C" w:rsidRPr="00286A94"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Naiditch, F. (2010). </w:t>
      </w:r>
      <w:r w:rsidRPr="00286A94">
        <w:rPr>
          <w:rFonts w:ascii="Times New Roman" w:hAnsi="Times New Roman" w:cs="Times New Roman"/>
          <w:i/>
          <w:iCs/>
        </w:rPr>
        <w:t>Critical Pedagogy and Teaching Reading for Social Action. Critical Questions in Education, 1 (2), 94-107</w:t>
      </w:r>
      <w:r w:rsidRPr="00286A94">
        <w:rPr>
          <w:rFonts w:ascii="Times New Roman" w:hAnsi="Times New Roman" w:cs="Times New Roman"/>
        </w:rPr>
        <w:t>.</w:t>
      </w:r>
    </w:p>
    <w:p w14:paraId="1C148712" w14:textId="591E2FD0" w:rsidR="00DE0AC6" w:rsidRPr="00B5046B" w:rsidRDefault="00DE0AC6" w:rsidP="00286A94">
      <w:pPr>
        <w:pStyle w:val="ListParagraph"/>
        <w:numPr>
          <w:ilvl w:val="0"/>
          <w:numId w:val="14"/>
        </w:numPr>
        <w:spacing w:line="360" w:lineRule="auto"/>
        <w:jc w:val="both"/>
        <w:rPr>
          <w:rFonts w:ascii="Times New Roman" w:hAnsi="Times New Roman" w:cs="Times New Roman"/>
          <w:highlight w:val="yellow"/>
        </w:rPr>
      </w:pPr>
      <w:r w:rsidRPr="00B5046B">
        <w:rPr>
          <w:rFonts w:ascii="Times New Roman" w:hAnsi="Times New Roman" w:cs="Times New Roman"/>
          <w:highlight w:val="yellow"/>
        </w:rPr>
        <w:lastRenderedPageBreak/>
        <w:t xml:space="preserve">Nancy, S., &amp; Dongre, A. R. (2021). </w:t>
      </w:r>
      <w:proofErr w:type="spellStart"/>
      <w:r w:rsidRPr="00B5046B">
        <w:rPr>
          <w:rFonts w:ascii="Times New Roman" w:hAnsi="Times New Roman" w:cs="Times New Roman"/>
          <w:highlight w:val="yellow"/>
        </w:rPr>
        <w:t>Behavior</w:t>
      </w:r>
      <w:proofErr w:type="spellEnd"/>
      <w:r w:rsidRPr="00B5046B">
        <w:rPr>
          <w:rFonts w:ascii="Times New Roman" w:hAnsi="Times New Roman" w:cs="Times New Roman"/>
          <w:highlight w:val="yellow"/>
        </w:rPr>
        <w:t xml:space="preserve"> change communication: past, present, and future. </w:t>
      </w:r>
      <w:r w:rsidRPr="00B5046B">
        <w:rPr>
          <w:rFonts w:ascii="Times New Roman" w:hAnsi="Times New Roman" w:cs="Times New Roman"/>
          <w:i/>
          <w:iCs/>
          <w:highlight w:val="yellow"/>
        </w:rPr>
        <w:t>Indian Journal of Community Medicine</w:t>
      </w:r>
      <w:r w:rsidRPr="00B5046B">
        <w:rPr>
          <w:rFonts w:ascii="Times New Roman" w:hAnsi="Times New Roman" w:cs="Times New Roman"/>
          <w:highlight w:val="yellow"/>
        </w:rPr>
        <w:t>, </w:t>
      </w:r>
      <w:r w:rsidRPr="00B5046B">
        <w:rPr>
          <w:rFonts w:ascii="Times New Roman" w:hAnsi="Times New Roman" w:cs="Times New Roman"/>
          <w:i/>
          <w:iCs/>
          <w:highlight w:val="yellow"/>
        </w:rPr>
        <w:t>46</w:t>
      </w:r>
      <w:r w:rsidRPr="00B5046B">
        <w:rPr>
          <w:rFonts w:ascii="Times New Roman" w:hAnsi="Times New Roman" w:cs="Times New Roman"/>
          <w:highlight w:val="yellow"/>
        </w:rPr>
        <w:t>(2), 186-190.</w:t>
      </w:r>
    </w:p>
    <w:p w14:paraId="114687B7" w14:textId="68EC68EE" w:rsidR="0052495C" w:rsidRPr="00B5046B" w:rsidRDefault="0052495C" w:rsidP="00286A94">
      <w:pPr>
        <w:pStyle w:val="ListParagraph"/>
        <w:numPr>
          <w:ilvl w:val="0"/>
          <w:numId w:val="14"/>
        </w:numPr>
        <w:spacing w:line="360" w:lineRule="auto"/>
        <w:jc w:val="both"/>
        <w:rPr>
          <w:rFonts w:ascii="Times New Roman" w:hAnsi="Times New Roman" w:cs="Times New Roman"/>
          <w:highlight w:val="yellow"/>
        </w:rPr>
      </w:pPr>
      <w:r w:rsidRPr="00B5046B">
        <w:rPr>
          <w:rFonts w:ascii="Times New Roman" w:hAnsi="Times New Roman" w:cs="Times New Roman"/>
          <w:highlight w:val="yellow"/>
        </w:rPr>
        <w:t>Narayanan, R., &amp; Rao, N. (2020). Adult learning for nutrition security: Challenging dominant values through participatory action research in Eastern India. In </w:t>
      </w:r>
      <w:r w:rsidRPr="00B5046B">
        <w:rPr>
          <w:rFonts w:ascii="Times New Roman" w:hAnsi="Times New Roman" w:cs="Times New Roman"/>
          <w:i/>
          <w:iCs/>
          <w:highlight w:val="yellow"/>
        </w:rPr>
        <w:t>Indigenous Women and Adult Learning</w:t>
      </w:r>
      <w:r w:rsidRPr="00B5046B">
        <w:rPr>
          <w:rFonts w:ascii="Times New Roman" w:hAnsi="Times New Roman" w:cs="Times New Roman"/>
          <w:highlight w:val="yellow"/>
        </w:rPr>
        <w:t> (pp. 63-81). Routledge.</w:t>
      </w:r>
    </w:p>
    <w:p w14:paraId="4D423449" w14:textId="2CA9F39D" w:rsidR="0052495C" w:rsidRPr="00B5046B" w:rsidRDefault="0052495C" w:rsidP="00286A94">
      <w:pPr>
        <w:pStyle w:val="ListParagraph"/>
        <w:numPr>
          <w:ilvl w:val="0"/>
          <w:numId w:val="14"/>
        </w:numPr>
        <w:spacing w:line="360" w:lineRule="auto"/>
        <w:jc w:val="both"/>
        <w:rPr>
          <w:rFonts w:ascii="Times New Roman" w:hAnsi="Times New Roman" w:cs="Times New Roman"/>
          <w:highlight w:val="yellow"/>
        </w:rPr>
      </w:pPr>
      <w:r w:rsidRPr="00B5046B">
        <w:rPr>
          <w:rFonts w:ascii="Times New Roman" w:hAnsi="Times New Roman" w:cs="Times New Roman"/>
          <w:highlight w:val="yellow"/>
        </w:rPr>
        <w:t>Narayanan, R., Panda, A. K., Nithya, D. J., &amp; Bhavani, R. V. (2022). Dialogue as a tool of nutrition literacy in an agricultural intervention programme in Odisha, India. </w:t>
      </w:r>
      <w:r w:rsidRPr="00B5046B">
        <w:rPr>
          <w:rFonts w:ascii="Times New Roman" w:hAnsi="Times New Roman" w:cs="Times New Roman"/>
          <w:i/>
          <w:iCs/>
          <w:highlight w:val="yellow"/>
        </w:rPr>
        <w:t>CABI agriculture and bioscience</w:t>
      </w:r>
      <w:r w:rsidRPr="00B5046B">
        <w:rPr>
          <w:rFonts w:ascii="Times New Roman" w:hAnsi="Times New Roman" w:cs="Times New Roman"/>
          <w:highlight w:val="yellow"/>
        </w:rPr>
        <w:t>, </w:t>
      </w:r>
      <w:r w:rsidRPr="00B5046B">
        <w:rPr>
          <w:rFonts w:ascii="Times New Roman" w:hAnsi="Times New Roman" w:cs="Times New Roman"/>
          <w:i/>
          <w:iCs/>
          <w:highlight w:val="yellow"/>
        </w:rPr>
        <w:t>3</w:t>
      </w:r>
      <w:r w:rsidRPr="00B5046B">
        <w:rPr>
          <w:rFonts w:ascii="Times New Roman" w:hAnsi="Times New Roman" w:cs="Times New Roman"/>
          <w:highlight w:val="yellow"/>
        </w:rPr>
        <w:t>(1), 28.</w:t>
      </w:r>
    </w:p>
    <w:p w14:paraId="72EAC765" w14:textId="606C4290"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 xml:space="preserve">Nichols, C. E. (2021). Spaces for women: Rethinking </w:t>
      </w:r>
      <w:proofErr w:type="spellStart"/>
      <w:r w:rsidRPr="00286A94">
        <w:rPr>
          <w:rFonts w:ascii="Times New Roman" w:hAnsi="Times New Roman" w:cs="Times New Roman"/>
        </w:rPr>
        <w:t>behavior</w:t>
      </w:r>
      <w:proofErr w:type="spellEnd"/>
      <w:r w:rsidRPr="00286A94">
        <w:rPr>
          <w:rFonts w:ascii="Times New Roman" w:hAnsi="Times New Roman" w:cs="Times New Roman"/>
        </w:rPr>
        <w:t xml:space="preserve"> change communication in the context of women's groups and nutrition-sensitive agriculture. </w:t>
      </w:r>
      <w:r w:rsidRPr="00286A94">
        <w:rPr>
          <w:rFonts w:ascii="Times New Roman" w:hAnsi="Times New Roman" w:cs="Times New Roman"/>
          <w:i/>
          <w:iCs/>
        </w:rPr>
        <w:t>Social Science &amp; Medicine</w:t>
      </w:r>
      <w:r w:rsidRPr="00286A94">
        <w:rPr>
          <w:rFonts w:ascii="Times New Roman" w:hAnsi="Times New Roman" w:cs="Times New Roman"/>
        </w:rPr>
        <w:t>, </w:t>
      </w:r>
      <w:r w:rsidRPr="00286A94">
        <w:rPr>
          <w:rFonts w:ascii="Times New Roman" w:hAnsi="Times New Roman" w:cs="Times New Roman"/>
          <w:i/>
          <w:iCs/>
        </w:rPr>
        <w:t>285</w:t>
      </w:r>
      <w:r w:rsidRPr="00286A94">
        <w:rPr>
          <w:rFonts w:ascii="Times New Roman" w:hAnsi="Times New Roman" w:cs="Times New Roman"/>
        </w:rPr>
        <w:t>, 114282.</w:t>
      </w:r>
    </w:p>
    <w:p w14:paraId="50D48009" w14:textId="2A1B06EF" w:rsidR="00DE0AC6" w:rsidRPr="00286A94" w:rsidRDefault="00DE0AC6"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Niehof</w:t>
      </w:r>
      <w:proofErr w:type="spellEnd"/>
      <w:r w:rsidRPr="00286A94">
        <w:rPr>
          <w:rFonts w:ascii="Times New Roman" w:hAnsi="Times New Roman" w:cs="Times New Roman"/>
        </w:rPr>
        <w:t>, A. (2019). Gender and nutrition security. </w:t>
      </w:r>
      <w:r w:rsidRPr="00286A94">
        <w:rPr>
          <w:rFonts w:ascii="Times New Roman" w:hAnsi="Times New Roman" w:cs="Times New Roman"/>
          <w:i/>
          <w:iCs/>
        </w:rPr>
        <w:t>CABI Reviews</w:t>
      </w:r>
      <w:r w:rsidRPr="00286A94">
        <w:rPr>
          <w:rFonts w:ascii="Times New Roman" w:hAnsi="Times New Roman" w:cs="Times New Roman"/>
        </w:rPr>
        <w:t>, (2019), 1-10.</w:t>
      </w:r>
    </w:p>
    <w:p w14:paraId="2880D0EA" w14:textId="154C1461" w:rsidR="00FA3B0B" w:rsidRPr="00286A94" w:rsidRDefault="007F2E8B"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Nutbeam</w:t>
      </w:r>
      <w:proofErr w:type="spellEnd"/>
      <w:r w:rsidRPr="00286A94">
        <w:rPr>
          <w:rFonts w:ascii="Times New Roman" w:hAnsi="Times New Roman" w:cs="Times New Roman"/>
        </w:rPr>
        <w:t>, D. (2000). Health literacy as a public health goal: a challenge for contemporary health education and communication strategies into the 21st century. </w:t>
      </w:r>
      <w:r w:rsidRPr="00286A94">
        <w:rPr>
          <w:rFonts w:ascii="Times New Roman" w:hAnsi="Times New Roman" w:cs="Times New Roman"/>
          <w:i/>
          <w:iCs/>
        </w:rPr>
        <w:t>Health promotion international</w:t>
      </w:r>
      <w:r w:rsidRPr="00286A94">
        <w:rPr>
          <w:rFonts w:ascii="Times New Roman" w:hAnsi="Times New Roman" w:cs="Times New Roman"/>
        </w:rPr>
        <w:t>, </w:t>
      </w:r>
      <w:r w:rsidRPr="00286A94">
        <w:rPr>
          <w:rFonts w:ascii="Times New Roman" w:hAnsi="Times New Roman" w:cs="Times New Roman"/>
          <w:i/>
          <w:iCs/>
        </w:rPr>
        <w:t>15</w:t>
      </w:r>
      <w:r w:rsidRPr="00286A94">
        <w:rPr>
          <w:rFonts w:ascii="Times New Roman" w:hAnsi="Times New Roman" w:cs="Times New Roman"/>
        </w:rPr>
        <w:t>(3), 259-267.</w:t>
      </w:r>
    </w:p>
    <w:p w14:paraId="26C5E082" w14:textId="3438F182"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Oakley, P., &amp; Marsden, D. (1989). Approaches to participation in rural development.</w:t>
      </w:r>
    </w:p>
    <w:p w14:paraId="070E24D7" w14:textId="5D9A6D9A" w:rsidR="005270F3" w:rsidRPr="00286A94" w:rsidRDefault="005270F3" w:rsidP="00286A94">
      <w:pPr>
        <w:pStyle w:val="ListParagraph"/>
        <w:numPr>
          <w:ilvl w:val="0"/>
          <w:numId w:val="14"/>
        </w:numPr>
        <w:spacing w:line="360" w:lineRule="auto"/>
        <w:jc w:val="both"/>
        <w:rPr>
          <w:rFonts w:ascii="Times New Roman" w:hAnsi="Times New Roman" w:cs="Times New Roman"/>
        </w:rPr>
      </w:pPr>
      <w:proofErr w:type="spellStart"/>
      <w:r w:rsidRPr="00286A94">
        <w:rPr>
          <w:rFonts w:ascii="Times New Roman" w:hAnsi="Times New Roman" w:cs="Times New Roman"/>
        </w:rPr>
        <w:t>Roumell</w:t>
      </w:r>
      <w:proofErr w:type="spellEnd"/>
      <w:r w:rsidRPr="00286A94">
        <w:rPr>
          <w:rFonts w:ascii="Times New Roman" w:hAnsi="Times New Roman" w:cs="Times New Roman"/>
        </w:rPr>
        <w:t>, E. A. (2019). Priming adult learners for learning transfer: Beyond content and delivery. </w:t>
      </w:r>
      <w:r w:rsidRPr="00286A94">
        <w:rPr>
          <w:rFonts w:ascii="Times New Roman" w:hAnsi="Times New Roman" w:cs="Times New Roman"/>
          <w:i/>
          <w:iCs/>
        </w:rPr>
        <w:t>Adult Learning</w:t>
      </w:r>
      <w:r w:rsidRPr="00286A94">
        <w:rPr>
          <w:rFonts w:ascii="Times New Roman" w:hAnsi="Times New Roman" w:cs="Times New Roman"/>
        </w:rPr>
        <w:t>, </w:t>
      </w:r>
      <w:r w:rsidRPr="00286A94">
        <w:rPr>
          <w:rFonts w:ascii="Times New Roman" w:hAnsi="Times New Roman" w:cs="Times New Roman"/>
          <w:i/>
          <w:iCs/>
        </w:rPr>
        <w:t>30</w:t>
      </w:r>
      <w:r w:rsidRPr="00286A94">
        <w:rPr>
          <w:rFonts w:ascii="Times New Roman" w:hAnsi="Times New Roman" w:cs="Times New Roman"/>
        </w:rPr>
        <w:t>(1), 15-22.</w:t>
      </w:r>
    </w:p>
    <w:p w14:paraId="38A5A43D" w14:textId="41AEBD11" w:rsidR="00DE0AC6" w:rsidRPr="00286A94" w:rsidRDefault="00DE0AC6"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Saunders, S. G., Barrington, D. J., &amp; Sridharan, S. (2015). Redefining social marketing: beyond behavioural change. </w:t>
      </w:r>
      <w:r w:rsidRPr="00286A94">
        <w:rPr>
          <w:rFonts w:ascii="Times New Roman" w:hAnsi="Times New Roman" w:cs="Times New Roman"/>
          <w:i/>
          <w:iCs/>
        </w:rPr>
        <w:t>Journal of Social Marketing</w:t>
      </w:r>
      <w:r w:rsidRPr="00286A94">
        <w:rPr>
          <w:rFonts w:ascii="Times New Roman" w:hAnsi="Times New Roman" w:cs="Times New Roman"/>
        </w:rPr>
        <w:t>, </w:t>
      </w:r>
      <w:r w:rsidRPr="00286A94">
        <w:rPr>
          <w:rFonts w:ascii="Times New Roman" w:hAnsi="Times New Roman" w:cs="Times New Roman"/>
          <w:i/>
          <w:iCs/>
        </w:rPr>
        <w:t>5</w:t>
      </w:r>
      <w:r w:rsidRPr="00286A94">
        <w:rPr>
          <w:rFonts w:ascii="Times New Roman" w:hAnsi="Times New Roman" w:cs="Times New Roman"/>
        </w:rPr>
        <w:t>(2), 160-168.</w:t>
      </w:r>
    </w:p>
    <w:p w14:paraId="4832A950" w14:textId="0A3F7D6C" w:rsidR="007F2E8B" w:rsidRPr="00286A94" w:rsidRDefault="007F2E8B"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St Leger, L. (2001). Schools, health literacy and public health: possibilities and challenges. </w:t>
      </w:r>
      <w:r w:rsidRPr="00286A94">
        <w:rPr>
          <w:rFonts w:ascii="Times New Roman" w:hAnsi="Times New Roman" w:cs="Times New Roman"/>
          <w:i/>
          <w:iCs/>
        </w:rPr>
        <w:t>Health promotion international</w:t>
      </w:r>
      <w:r w:rsidRPr="00286A94">
        <w:rPr>
          <w:rFonts w:ascii="Times New Roman" w:hAnsi="Times New Roman" w:cs="Times New Roman"/>
        </w:rPr>
        <w:t>, </w:t>
      </w:r>
      <w:r w:rsidRPr="00286A94">
        <w:rPr>
          <w:rFonts w:ascii="Times New Roman" w:hAnsi="Times New Roman" w:cs="Times New Roman"/>
          <w:i/>
          <w:iCs/>
        </w:rPr>
        <w:t>16</w:t>
      </w:r>
      <w:r w:rsidRPr="00286A94">
        <w:rPr>
          <w:rFonts w:ascii="Times New Roman" w:hAnsi="Times New Roman" w:cs="Times New Roman"/>
        </w:rPr>
        <w:t>(2), 197-205.</w:t>
      </w:r>
    </w:p>
    <w:p w14:paraId="4D093CA3" w14:textId="32430EB5" w:rsidR="0052495C" w:rsidRDefault="0052495C" w:rsidP="00286A94">
      <w:pPr>
        <w:pStyle w:val="ListParagraph"/>
        <w:numPr>
          <w:ilvl w:val="0"/>
          <w:numId w:val="14"/>
        </w:numPr>
        <w:spacing w:line="360" w:lineRule="auto"/>
        <w:jc w:val="both"/>
        <w:rPr>
          <w:rFonts w:ascii="Times New Roman" w:hAnsi="Times New Roman" w:cs="Times New Roman"/>
        </w:rPr>
      </w:pPr>
      <w:r w:rsidRPr="00286A94">
        <w:rPr>
          <w:rFonts w:ascii="Times New Roman" w:hAnsi="Times New Roman" w:cs="Times New Roman"/>
        </w:rPr>
        <w:t>Wallerstein, N., &amp; Bernstein, E. (1988). Empowerment education: Freire's ideas adapted to health education. </w:t>
      </w:r>
      <w:r w:rsidRPr="00286A94">
        <w:rPr>
          <w:rFonts w:ascii="Times New Roman" w:hAnsi="Times New Roman" w:cs="Times New Roman"/>
          <w:i/>
          <w:iCs/>
        </w:rPr>
        <w:t>Health education quarterly</w:t>
      </w:r>
      <w:r w:rsidRPr="00286A94">
        <w:rPr>
          <w:rFonts w:ascii="Times New Roman" w:hAnsi="Times New Roman" w:cs="Times New Roman"/>
        </w:rPr>
        <w:t>, </w:t>
      </w:r>
      <w:r w:rsidRPr="00286A94">
        <w:rPr>
          <w:rFonts w:ascii="Times New Roman" w:hAnsi="Times New Roman" w:cs="Times New Roman"/>
          <w:i/>
          <w:iCs/>
        </w:rPr>
        <w:t>15</w:t>
      </w:r>
      <w:r w:rsidRPr="00286A94">
        <w:rPr>
          <w:rFonts w:ascii="Times New Roman" w:hAnsi="Times New Roman" w:cs="Times New Roman"/>
        </w:rPr>
        <w:t>(4), 379-394.</w:t>
      </w:r>
    </w:p>
    <w:p w14:paraId="10A075A1" w14:textId="12317D80" w:rsidR="003A1FEE" w:rsidRPr="003A1FEE" w:rsidRDefault="003A1FEE" w:rsidP="003A1FEE">
      <w:pPr>
        <w:pStyle w:val="ListParagraph"/>
        <w:numPr>
          <w:ilvl w:val="0"/>
          <w:numId w:val="14"/>
        </w:numPr>
        <w:spacing w:line="360" w:lineRule="auto"/>
        <w:jc w:val="both"/>
        <w:rPr>
          <w:rFonts w:ascii="Times New Roman" w:hAnsi="Times New Roman" w:cs="Times New Roman"/>
          <w:highlight w:val="yellow"/>
        </w:rPr>
      </w:pPr>
      <w:r w:rsidRPr="003A1FEE">
        <w:rPr>
          <w:rFonts w:ascii="Times New Roman" w:hAnsi="Times New Roman" w:cs="Times New Roman"/>
          <w:highlight w:val="yellow"/>
        </w:rPr>
        <w:t xml:space="preserve">Vishwakarma, U., Singh, N., Daniel, M., &amp; Nanda, A. (2025). Health Literacy and Food Label Comprehension: A Review of Barriers, Insights and Policy Recommendations. Asian Journal of Food Research and Nutrition, 4(2), 582–594. </w:t>
      </w:r>
      <w:hyperlink r:id="rId11" w:history="1">
        <w:r w:rsidRPr="003A1FEE">
          <w:rPr>
            <w:rFonts w:ascii="Times New Roman" w:hAnsi="Times New Roman" w:cs="Times New Roman"/>
            <w:highlight w:val="yellow"/>
          </w:rPr>
          <w:t>https://doi.org/10.9734/ajfrn/2025/v4i2269</w:t>
        </w:r>
      </w:hyperlink>
      <w:r w:rsidRPr="003A1FEE">
        <w:rPr>
          <w:rFonts w:ascii="Times New Roman" w:hAnsi="Times New Roman" w:cs="Times New Roman"/>
          <w:highlight w:val="yellow"/>
        </w:rPr>
        <w:t xml:space="preserve"> </w:t>
      </w:r>
    </w:p>
    <w:p w14:paraId="17E97CCB" w14:textId="4C0C2919" w:rsidR="003A1FEE" w:rsidRPr="00CB0EC1" w:rsidRDefault="00C34D3E" w:rsidP="00286A94">
      <w:pPr>
        <w:pStyle w:val="ListParagraph"/>
        <w:numPr>
          <w:ilvl w:val="0"/>
          <w:numId w:val="14"/>
        </w:numPr>
        <w:spacing w:line="360" w:lineRule="auto"/>
        <w:jc w:val="both"/>
        <w:rPr>
          <w:rFonts w:ascii="Times New Roman" w:hAnsi="Times New Roman" w:cs="Times New Roman"/>
          <w:highlight w:val="yellow"/>
        </w:rPr>
      </w:pPr>
      <w:r w:rsidRPr="00CB0EC1">
        <w:rPr>
          <w:rFonts w:ascii="Times New Roman" w:hAnsi="Times New Roman" w:cs="Times New Roman"/>
          <w:highlight w:val="yellow"/>
        </w:rPr>
        <w:t>Silva, P. (2023). Food and nutrition literacy: Exploring the divide between research and practice. Foods, 12(14), 2751.</w:t>
      </w:r>
    </w:p>
    <w:p w14:paraId="06895C0A" w14:textId="721E5152" w:rsidR="008B7837" w:rsidRDefault="008E2B0F" w:rsidP="00286A94">
      <w:pPr>
        <w:pStyle w:val="ListParagraph"/>
        <w:numPr>
          <w:ilvl w:val="0"/>
          <w:numId w:val="14"/>
        </w:numPr>
        <w:spacing w:line="360" w:lineRule="auto"/>
        <w:jc w:val="both"/>
        <w:rPr>
          <w:rFonts w:ascii="Times New Roman" w:hAnsi="Times New Roman" w:cs="Times New Roman"/>
          <w:highlight w:val="yellow"/>
        </w:rPr>
      </w:pPr>
      <w:r w:rsidRPr="00CB0EC1">
        <w:rPr>
          <w:rFonts w:ascii="Times New Roman" w:hAnsi="Times New Roman" w:cs="Times New Roman"/>
          <w:highlight w:val="yellow"/>
        </w:rPr>
        <w:t>Escott-Stump, S. A. (2011). Our nutrition literacy challenge: Making the 2010 dietary guidelines relevant for consumers. Journal of the American Dietetic Association, 111(7), 979.</w:t>
      </w:r>
    </w:p>
    <w:p w14:paraId="48D21A65" w14:textId="5DAE260F" w:rsidR="00925D6C" w:rsidRPr="00B945B9" w:rsidRDefault="00925D6C" w:rsidP="00286A94">
      <w:pPr>
        <w:pStyle w:val="ListParagraph"/>
        <w:numPr>
          <w:ilvl w:val="0"/>
          <w:numId w:val="14"/>
        </w:numPr>
        <w:spacing w:line="360" w:lineRule="auto"/>
        <w:jc w:val="both"/>
        <w:rPr>
          <w:rFonts w:ascii="Times New Roman" w:hAnsi="Times New Roman" w:cs="Times New Roman"/>
          <w:highlight w:val="yellow"/>
        </w:rPr>
      </w:pPr>
      <w:r w:rsidRPr="00B945B9">
        <w:rPr>
          <w:rFonts w:ascii="Times New Roman" w:hAnsi="Times New Roman" w:cs="Times New Roman"/>
          <w:highlight w:val="yellow"/>
        </w:rPr>
        <w:lastRenderedPageBreak/>
        <w:t xml:space="preserve">Silk, K. J., Sherry, J., Winn, B., Keesecker, N., </w:t>
      </w:r>
      <w:proofErr w:type="spellStart"/>
      <w:r w:rsidRPr="00B945B9">
        <w:rPr>
          <w:rFonts w:ascii="Times New Roman" w:hAnsi="Times New Roman" w:cs="Times New Roman"/>
          <w:highlight w:val="yellow"/>
        </w:rPr>
        <w:t>Horodynski</w:t>
      </w:r>
      <w:proofErr w:type="spellEnd"/>
      <w:r w:rsidRPr="00B945B9">
        <w:rPr>
          <w:rFonts w:ascii="Times New Roman" w:hAnsi="Times New Roman" w:cs="Times New Roman"/>
          <w:highlight w:val="yellow"/>
        </w:rPr>
        <w:t xml:space="preserve">, M. A., &amp; </w:t>
      </w:r>
      <w:proofErr w:type="spellStart"/>
      <w:r w:rsidRPr="00B945B9">
        <w:rPr>
          <w:rFonts w:ascii="Times New Roman" w:hAnsi="Times New Roman" w:cs="Times New Roman"/>
          <w:highlight w:val="yellow"/>
        </w:rPr>
        <w:t>Sayir</w:t>
      </w:r>
      <w:proofErr w:type="spellEnd"/>
      <w:r w:rsidRPr="00B945B9">
        <w:rPr>
          <w:rFonts w:ascii="Times New Roman" w:hAnsi="Times New Roman" w:cs="Times New Roman"/>
          <w:highlight w:val="yellow"/>
        </w:rPr>
        <w:t xml:space="preserve">, A. (2008). Increasing nutrition literacy: testing the effectiveness of print, web site, and game modalities. Journal of nutrition education and </w:t>
      </w:r>
      <w:proofErr w:type="spellStart"/>
      <w:r w:rsidRPr="00B945B9">
        <w:rPr>
          <w:rFonts w:ascii="Times New Roman" w:hAnsi="Times New Roman" w:cs="Times New Roman"/>
          <w:highlight w:val="yellow"/>
        </w:rPr>
        <w:t>behavior</w:t>
      </w:r>
      <w:proofErr w:type="spellEnd"/>
      <w:r w:rsidRPr="00B945B9">
        <w:rPr>
          <w:rFonts w:ascii="Times New Roman" w:hAnsi="Times New Roman" w:cs="Times New Roman"/>
          <w:highlight w:val="yellow"/>
        </w:rPr>
        <w:t>, 40(1), 3-10.</w:t>
      </w:r>
    </w:p>
    <w:p w14:paraId="3166FA90" w14:textId="285EE1AE" w:rsidR="00936583" w:rsidRPr="00B945B9" w:rsidRDefault="00936583" w:rsidP="00286A94">
      <w:pPr>
        <w:pStyle w:val="ListParagraph"/>
        <w:numPr>
          <w:ilvl w:val="0"/>
          <w:numId w:val="14"/>
        </w:numPr>
        <w:spacing w:line="360" w:lineRule="auto"/>
        <w:jc w:val="both"/>
        <w:rPr>
          <w:rFonts w:ascii="Times New Roman" w:hAnsi="Times New Roman" w:cs="Times New Roman"/>
          <w:highlight w:val="yellow"/>
        </w:rPr>
      </w:pPr>
      <w:proofErr w:type="spellStart"/>
      <w:r w:rsidRPr="00B945B9">
        <w:rPr>
          <w:rFonts w:ascii="Times New Roman" w:hAnsi="Times New Roman" w:cs="Times New Roman"/>
          <w:highlight w:val="yellow"/>
        </w:rPr>
        <w:t>Godrich</w:t>
      </w:r>
      <w:proofErr w:type="spellEnd"/>
      <w:r w:rsidRPr="00B945B9">
        <w:rPr>
          <w:rFonts w:ascii="Times New Roman" w:hAnsi="Times New Roman" w:cs="Times New Roman"/>
          <w:highlight w:val="yellow"/>
        </w:rPr>
        <w:t xml:space="preserve">, S. L., Davies, C. R., Darby, J., &amp; Devine, A. (2017). What are the determinants of food security among regional and remote Western Australian </w:t>
      </w:r>
      <w:proofErr w:type="gramStart"/>
      <w:r w:rsidRPr="00B945B9">
        <w:rPr>
          <w:rFonts w:ascii="Times New Roman" w:hAnsi="Times New Roman" w:cs="Times New Roman"/>
          <w:highlight w:val="yellow"/>
        </w:rPr>
        <w:t>children?.</w:t>
      </w:r>
      <w:proofErr w:type="gramEnd"/>
      <w:r w:rsidRPr="00B945B9">
        <w:rPr>
          <w:rFonts w:ascii="Times New Roman" w:hAnsi="Times New Roman" w:cs="Times New Roman"/>
          <w:highlight w:val="yellow"/>
        </w:rPr>
        <w:t xml:space="preserve"> Australian and New Zealand journal of public health, 41(2), 172-177</w:t>
      </w:r>
    </w:p>
    <w:p w14:paraId="5959304B" w14:textId="630EACE1" w:rsidR="00936583" w:rsidRPr="00B945B9" w:rsidRDefault="00936583" w:rsidP="00286A94">
      <w:pPr>
        <w:pStyle w:val="ListParagraph"/>
        <w:numPr>
          <w:ilvl w:val="0"/>
          <w:numId w:val="14"/>
        </w:numPr>
        <w:spacing w:line="360" w:lineRule="auto"/>
        <w:jc w:val="both"/>
        <w:rPr>
          <w:rFonts w:ascii="Times New Roman" w:hAnsi="Times New Roman" w:cs="Times New Roman"/>
          <w:highlight w:val="yellow"/>
        </w:rPr>
      </w:pPr>
      <w:proofErr w:type="spellStart"/>
      <w:r w:rsidRPr="00B945B9">
        <w:rPr>
          <w:rFonts w:ascii="Times New Roman" w:hAnsi="Times New Roman" w:cs="Times New Roman"/>
          <w:highlight w:val="yellow"/>
        </w:rPr>
        <w:t>Velpini</w:t>
      </w:r>
      <w:proofErr w:type="spellEnd"/>
      <w:r w:rsidRPr="00B945B9">
        <w:rPr>
          <w:rFonts w:ascii="Times New Roman" w:hAnsi="Times New Roman" w:cs="Times New Roman"/>
          <w:highlight w:val="yellow"/>
        </w:rPr>
        <w:t>, B., Vaccaro, G., Vettori, V., Lorini, C., &amp; Bonaccorsi, G. (2022). What is the impact of nutrition literacy interventions on children’s food habits and nutrition security? A scoping review of the literature. International Journal of Environmental Research and Public Health, 19(7), 3839.</w:t>
      </w:r>
    </w:p>
    <w:p w14:paraId="5D17578A" w14:textId="77777777" w:rsidR="009D75C1" w:rsidRDefault="009D75C1" w:rsidP="009D75C1">
      <w:pPr>
        <w:pStyle w:val="ListParagraph"/>
        <w:spacing w:line="360" w:lineRule="auto"/>
        <w:jc w:val="both"/>
        <w:rPr>
          <w:rFonts w:ascii="Times New Roman" w:hAnsi="Times New Roman" w:cs="Times New Roman"/>
        </w:rPr>
      </w:pPr>
    </w:p>
    <w:p w14:paraId="2BFE3BDF" w14:textId="77777777" w:rsidR="009D75C1" w:rsidRDefault="009D75C1" w:rsidP="009D75C1">
      <w:pPr>
        <w:pStyle w:val="ListParagraph"/>
        <w:spacing w:line="360" w:lineRule="auto"/>
        <w:jc w:val="both"/>
        <w:rPr>
          <w:rFonts w:ascii="Times New Roman" w:hAnsi="Times New Roman" w:cs="Times New Roman"/>
        </w:rPr>
      </w:pPr>
    </w:p>
    <w:sectPr w:rsidR="009D75C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6F341" w14:textId="77777777" w:rsidR="00D518FB" w:rsidRDefault="00D518FB" w:rsidP="00A8770D">
      <w:pPr>
        <w:spacing w:after="0" w:line="240" w:lineRule="auto"/>
      </w:pPr>
      <w:r>
        <w:separator/>
      </w:r>
    </w:p>
  </w:endnote>
  <w:endnote w:type="continuationSeparator" w:id="0">
    <w:p w14:paraId="4D482BC6" w14:textId="77777777" w:rsidR="00D518FB" w:rsidRDefault="00D518FB" w:rsidP="00A87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BDFB" w14:textId="77777777" w:rsidR="00A8770D" w:rsidRDefault="00A87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73EDE" w14:textId="77777777" w:rsidR="00A8770D" w:rsidRDefault="00A87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6F13" w14:textId="77777777" w:rsidR="00A8770D" w:rsidRDefault="00A87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BC9AF" w14:textId="77777777" w:rsidR="00D518FB" w:rsidRDefault="00D518FB" w:rsidP="00A8770D">
      <w:pPr>
        <w:spacing w:after="0" w:line="240" w:lineRule="auto"/>
      </w:pPr>
      <w:r>
        <w:separator/>
      </w:r>
    </w:p>
  </w:footnote>
  <w:footnote w:type="continuationSeparator" w:id="0">
    <w:p w14:paraId="3D752EDC" w14:textId="77777777" w:rsidR="00D518FB" w:rsidRDefault="00D518FB" w:rsidP="00A87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8546" w14:textId="45153D23" w:rsidR="00A8770D" w:rsidRDefault="00000000">
    <w:pPr>
      <w:pStyle w:val="Header"/>
    </w:pPr>
    <w:r>
      <w:rPr>
        <w:noProof/>
      </w:rPr>
      <w:pict w14:anchorId="05E1D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2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64EBD" w14:textId="75CA4AA6" w:rsidR="00A8770D" w:rsidRDefault="00000000">
    <w:pPr>
      <w:pStyle w:val="Header"/>
    </w:pPr>
    <w:r>
      <w:rPr>
        <w:noProof/>
      </w:rPr>
      <w:pict w14:anchorId="10750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2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D249" w14:textId="3B043FF1" w:rsidR="00A8770D" w:rsidRDefault="00000000">
    <w:pPr>
      <w:pStyle w:val="Header"/>
    </w:pPr>
    <w:r>
      <w:rPr>
        <w:noProof/>
      </w:rPr>
      <w:pict w14:anchorId="409BF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2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359"/>
    <w:multiLevelType w:val="multilevel"/>
    <w:tmpl w:val="E452C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81D6D"/>
    <w:multiLevelType w:val="multilevel"/>
    <w:tmpl w:val="4FCA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95345"/>
    <w:multiLevelType w:val="multilevel"/>
    <w:tmpl w:val="7BC0E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2E4D16"/>
    <w:multiLevelType w:val="multilevel"/>
    <w:tmpl w:val="0EAA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E4C1D"/>
    <w:multiLevelType w:val="multilevel"/>
    <w:tmpl w:val="91BC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0255F6"/>
    <w:multiLevelType w:val="multilevel"/>
    <w:tmpl w:val="F49CA1D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476D7077"/>
    <w:multiLevelType w:val="multilevel"/>
    <w:tmpl w:val="C1F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C17608"/>
    <w:multiLevelType w:val="multilevel"/>
    <w:tmpl w:val="CE703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9E177E"/>
    <w:multiLevelType w:val="multilevel"/>
    <w:tmpl w:val="F15E4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7B449B"/>
    <w:multiLevelType w:val="multilevel"/>
    <w:tmpl w:val="6C58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46172F"/>
    <w:multiLevelType w:val="multilevel"/>
    <w:tmpl w:val="4A7A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766F2"/>
    <w:multiLevelType w:val="multilevel"/>
    <w:tmpl w:val="3654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BA4351"/>
    <w:multiLevelType w:val="multilevel"/>
    <w:tmpl w:val="9A7AB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E26D3"/>
    <w:multiLevelType w:val="multilevel"/>
    <w:tmpl w:val="320A0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3017C3"/>
    <w:multiLevelType w:val="hybridMultilevel"/>
    <w:tmpl w:val="8AEE4A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14675714">
    <w:abstractNumId w:val="8"/>
  </w:num>
  <w:num w:numId="2" w16cid:durableId="1979147482">
    <w:abstractNumId w:val="12"/>
  </w:num>
  <w:num w:numId="3" w16cid:durableId="418719785">
    <w:abstractNumId w:val="13"/>
  </w:num>
  <w:num w:numId="4" w16cid:durableId="1422292757">
    <w:abstractNumId w:val="9"/>
  </w:num>
  <w:num w:numId="5" w16cid:durableId="143014343">
    <w:abstractNumId w:val="2"/>
  </w:num>
  <w:num w:numId="6" w16cid:durableId="110785529">
    <w:abstractNumId w:val="3"/>
  </w:num>
  <w:num w:numId="7" w16cid:durableId="13117068">
    <w:abstractNumId w:val="0"/>
  </w:num>
  <w:num w:numId="8" w16cid:durableId="1909463346">
    <w:abstractNumId w:val="4"/>
  </w:num>
  <w:num w:numId="9" w16cid:durableId="1442007">
    <w:abstractNumId w:val="10"/>
  </w:num>
  <w:num w:numId="10" w16cid:durableId="899948776">
    <w:abstractNumId w:val="1"/>
  </w:num>
  <w:num w:numId="11" w16cid:durableId="1234775925">
    <w:abstractNumId w:val="6"/>
  </w:num>
  <w:num w:numId="12" w16cid:durableId="1797676809">
    <w:abstractNumId w:val="7"/>
  </w:num>
  <w:num w:numId="13" w16cid:durableId="1336495422">
    <w:abstractNumId w:val="5"/>
  </w:num>
  <w:num w:numId="14" w16cid:durableId="1775515941">
    <w:abstractNumId w:val="14"/>
  </w:num>
  <w:num w:numId="15" w16cid:durableId="21124343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zMDc3tzQwtLSwNDdV0lEKTi0uzszPAykwrAUAGtMUNywAAAA="/>
  </w:docVars>
  <w:rsids>
    <w:rsidRoot w:val="000F69E4"/>
    <w:rsid w:val="00006E1C"/>
    <w:rsid w:val="00015289"/>
    <w:rsid w:val="00030E40"/>
    <w:rsid w:val="0003491D"/>
    <w:rsid w:val="00045F54"/>
    <w:rsid w:val="00084A7D"/>
    <w:rsid w:val="000A1D9B"/>
    <w:rsid w:val="000F69E4"/>
    <w:rsid w:val="00101520"/>
    <w:rsid w:val="00175784"/>
    <w:rsid w:val="00186789"/>
    <w:rsid w:val="002427BF"/>
    <w:rsid w:val="00267C1B"/>
    <w:rsid w:val="00286A94"/>
    <w:rsid w:val="002F220E"/>
    <w:rsid w:val="003015E1"/>
    <w:rsid w:val="00312BFF"/>
    <w:rsid w:val="0037209A"/>
    <w:rsid w:val="00396EAC"/>
    <w:rsid w:val="003A1FEE"/>
    <w:rsid w:val="003B51A2"/>
    <w:rsid w:val="003B5AA0"/>
    <w:rsid w:val="00430C6A"/>
    <w:rsid w:val="00450FA6"/>
    <w:rsid w:val="00480F1A"/>
    <w:rsid w:val="00493DF0"/>
    <w:rsid w:val="004B581D"/>
    <w:rsid w:val="004E6AB0"/>
    <w:rsid w:val="0052495C"/>
    <w:rsid w:val="005270F3"/>
    <w:rsid w:val="00533C89"/>
    <w:rsid w:val="005901B3"/>
    <w:rsid w:val="006B79F4"/>
    <w:rsid w:val="006E73A7"/>
    <w:rsid w:val="006F10B6"/>
    <w:rsid w:val="00732A5B"/>
    <w:rsid w:val="00747435"/>
    <w:rsid w:val="0075352D"/>
    <w:rsid w:val="007B2DDA"/>
    <w:rsid w:val="007C5C0D"/>
    <w:rsid w:val="007C6EF5"/>
    <w:rsid w:val="007D49B4"/>
    <w:rsid w:val="007F2E8B"/>
    <w:rsid w:val="0088079E"/>
    <w:rsid w:val="008B3ED2"/>
    <w:rsid w:val="008B7837"/>
    <w:rsid w:val="008E2B0F"/>
    <w:rsid w:val="00925D6C"/>
    <w:rsid w:val="00936583"/>
    <w:rsid w:val="0094697F"/>
    <w:rsid w:val="00956CE3"/>
    <w:rsid w:val="00960710"/>
    <w:rsid w:val="00967D87"/>
    <w:rsid w:val="009A1B27"/>
    <w:rsid w:val="009D1E04"/>
    <w:rsid w:val="009D75C1"/>
    <w:rsid w:val="009F6DB5"/>
    <w:rsid w:val="00A0257E"/>
    <w:rsid w:val="00A7324C"/>
    <w:rsid w:val="00A73F3F"/>
    <w:rsid w:val="00A8770D"/>
    <w:rsid w:val="00AA1D7E"/>
    <w:rsid w:val="00AB793F"/>
    <w:rsid w:val="00AD6FD8"/>
    <w:rsid w:val="00B07987"/>
    <w:rsid w:val="00B30505"/>
    <w:rsid w:val="00B5046B"/>
    <w:rsid w:val="00B623A7"/>
    <w:rsid w:val="00B945B9"/>
    <w:rsid w:val="00BC6FEA"/>
    <w:rsid w:val="00BE4D7F"/>
    <w:rsid w:val="00C34D3E"/>
    <w:rsid w:val="00C417A9"/>
    <w:rsid w:val="00C74CD5"/>
    <w:rsid w:val="00CA2B0A"/>
    <w:rsid w:val="00CB0EC1"/>
    <w:rsid w:val="00CC657B"/>
    <w:rsid w:val="00D0070E"/>
    <w:rsid w:val="00D518FB"/>
    <w:rsid w:val="00DA0BE2"/>
    <w:rsid w:val="00DE0AC6"/>
    <w:rsid w:val="00DF0122"/>
    <w:rsid w:val="00E04259"/>
    <w:rsid w:val="00E23F95"/>
    <w:rsid w:val="00E473D9"/>
    <w:rsid w:val="00E63C63"/>
    <w:rsid w:val="00E91A59"/>
    <w:rsid w:val="00EB75D7"/>
    <w:rsid w:val="00EC1DD4"/>
    <w:rsid w:val="00EC21AF"/>
    <w:rsid w:val="00F87982"/>
    <w:rsid w:val="00F90600"/>
    <w:rsid w:val="00F90BC7"/>
    <w:rsid w:val="00FA3B0B"/>
    <w:rsid w:val="00FB26F3"/>
    <w:rsid w:val="00FC01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B4E71"/>
  <w15:chartTrackingRefBased/>
  <w15:docId w15:val="{78FAFA9E-330C-4F18-9ED1-E0D5CD64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6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6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69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69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6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9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6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6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6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6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6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9E4"/>
    <w:rPr>
      <w:rFonts w:eastAsiaTheme="majorEastAsia" w:cstheme="majorBidi"/>
      <w:color w:val="272727" w:themeColor="text1" w:themeTint="D8"/>
    </w:rPr>
  </w:style>
  <w:style w:type="paragraph" w:styleId="Title">
    <w:name w:val="Title"/>
    <w:basedOn w:val="Normal"/>
    <w:next w:val="Normal"/>
    <w:link w:val="TitleChar"/>
    <w:uiPriority w:val="10"/>
    <w:qFormat/>
    <w:rsid w:val="000F6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9E4"/>
    <w:pPr>
      <w:spacing w:before="160"/>
      <w:jc w:val="center"/>
    </w:pPr>
    <w:rPr>
      <w:i/>
      <w:iCs/>
      <w:color w:val="404040" w:themeColor="text1" w:themeTint="BF"/>
    </w:rPr>
  </w:style>
  <w:style w:type="character" w:customStyle="1" w:styleId="QuoteChar">
    <w:name w:val="Quote Char"/>
    <w:basedOn w:val="DefaultParagraphFont"/>
    <w:link w:val="Quote"/>
    <w:uiPriority w:val="29"/>
    <w:rsid w:val="000F69E4"/>
    <w:rPr>
      <w:i/>
      <w:iCs/>
      <w:color w:val="404040" w:themeColor="text1" w:themeTint="BF"/>
    </w:rPr>
  </w:style>
  <w:style w:type="paragraph" w:styleId="ListParagraph">
    <w:name w:val="List Paragraph"/>
    <w:basedOn w:val="Normal"/>
    <w:uiPriority w:val="34"/>
    <w:qFormat/>
    <w:rsid w:val="000F69E4"/>
    <w:pPr>
      <w:ind w:left="720"/>
      <w:contextualSpacing/>
    </w:pPr>
  </w:style>
  <w:style w:type="character" w:styleId="IntenseEmphasis">
    <w:name w:val="Intense Emphasis"/>
    <w:basedOn w:val="DefaultParagraphFont"/>
    <w:uiPriority w:val="21"/>
    <w:qFormat/>
    <w:rsid w:val="000F69E4"/>
    <w:rPr>
      <w:i/>
      <w:iCs/>
      <w:color w:val="0F4761" w:themeColor="accent1" w:themeShade="BF"/>
    </w:rPr>
  </w:style>
  <w:style w:type="paragraph" w:styleId="IntenseQuote">
    <w:name w:val="Intense Quote"/>
    <w:basedOn w:val="Normal"/>
    <w:next w:val="Normal"/>
    <w:link w:val="IntenseQuoteChar"/>
    <w:uiPriority w:val="30"/>
    <w:qFormat/>
    <w:rsid w:val="000F6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69E4"/>
    <w:rPr>
      <w:i/>
      <w:iCs/>
      <w:color w:val="0F4761" w:themeColor="accent1" w:themeShade="BF"/>
    </w:rPr>
  </w:style>
  <w:style w:type="character" w:styleId="IntenseReference">
    <w:name w:val="Intense Reference"/>
    <w:basedOn w:val="DefaultParagraphFont"/>
    <w:uiPriority w:val="32"/>
    <w:qFormat/>
    <w:rsid w:val="000F69E4"/>
    <w:rPr>
      <w:b/>
      <w:bCs/>
      <w:smallCaps/>
      <w:color w:val="0F4761" w:themeColor="accent1" w:themeShade="BF"/>
      <w:spacing w:val="5"/>
    </w:rPr>
  </w:style>
  <w:style w:type="character" w:styleId="Hyperlink">
    <w:name w:val="Hyperlink"/>
    <w:basedOn w:val="DefaultParagraphFont"/>
    <w:uiPriority w:val="99"/>
    <w:unhideWhenUsed/>
    <w:rsid w:val="009D75C1"/>
    <w:rPr>
      <w:color w:val="467886" w:themeColor="hyperlink"/>
      <w:u w:val="single"/>
    </w:rPr>
  </w:style>
  <w:style w:type="character" w:customStyle="1" w:styleId="UnresolvedMention1">
    <w:name w:val="Unresolved Mention1"/>
    <w:basedOn w:val="DefaultParagraphFont"/>
    <w:uiPriority w:val="99"/>
    <w:semiHidden/>
    <w:unhideWhenUsed/>
    <w:rsid w:val="009D75C1"/>
    <w:rPr>
      <w:color w:val="605E5C"/>
      <w:shd w:val="clear" w:color="auto" w:fill="E1DFDD"/>
    </w:rPr>
  </w:style>
  <w:style w:type="table" w:styleId="TableGridLight">
    <w:name w:val="Grid Table Light"/>
    <w:basedOn w:val="TableNormal"/>
    <w:uiPriority w:val="40"/>
    <w:rsid w:val="009D75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015289"/>
    <w:pPr>
      <w:spacing w:after="0" w:line="240" w:lineRule="auto"/>
    </w:pPr>
  </w:style>
  <w:style w:type="paragraph" w:styleId="Header">
    <w:name w:val="header"/>
    <w:basedOn w:val="Normal"/>
    <w:link w:val="HeaderChar"/>
    <w:uiPriority w:val="99"/>
    <w:unhideWhenUsed/>
    <w:rsid w:val="00A87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70D"/>
  </w:style>
  <w:style w:type="paragraph" w:styleId="Footer">
    <w:name w:val="footer"/>
    <w:basedOn w:val="Normal"/>
    <w:link w:val="FooterChar"/>
    <w:uiPriority w:val="99"/>
    <w:unhideWhenUsed/>
    <w:rsid w:val="00A87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70D"/>
  </w:style>
  <w:style w:type="character" w:styleId="UnresolvedMention">
    <w:name w:val="Unresolved Mention"/>
    <w:basedOn w:val="DefaultParagraphFont"/>
    <w:uiPriority w:val="99"/>
    <w:semiHidden/>
    <w:unhideWhenUsed/>
    <w:rsid w:val="003A1FEE"/>
    <w:rPr>
      <w:color w:val="605E5C"/>
      <w:shd w:val="clear" w:color="auto" w:fill="E1DFDD"/>
    </w:rPr>
  </w:style>
  <w:style w:type="paragraph" w:styleId="Revision">
    <w:name w:val="Revision"/>
    <w:hidden/>
    <w:uiPriority w:val="99"/>
    <w:semiHidden/>
    <w:rsid w:val="00FB26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6444">
      <w:bodyDiv w:val="1"/>
      <w:marLeft w:val="0"/>
      <w:marRight w:val="0"/>
      <w:marTop w:val="0"/>
      <w:marBottom w:val="0"/>
      <w:divBdr>
        <w:top w:val="none" w:sz="0" w:space="0" w:color="auto"/>
        <w:left w:val="none" w:sz="0" w:space="0" w:color="auto"/>
        <w:bottom w:val="none" w:sz="0" w:space="0" w:color="auto"/>
        <w:right w:val="none" w:sz="0" w:space="0" w:color="auto"/>
      </w:divBdr>
      <w:divsChild>
        <w:div w:id="200362593">
          <w:marLeft w:val="0"/>
          <w:marRight w:val="0"/>
          <w:marTop w:val="0"/>
          <w:marBottom w:val="0"/>
          <w:divBdr>
            <w:top w:val="none" w:sz="0" w:space="0" w:color="auto"/>
            <w:left w:val="none" w:sz="0" w:space="0" w:color="auto"/>
            <w:bottom w:val="none" w:sz="0" w:space="0" w:color="auto"/>
            <w:right w:val="none" w:sz="0" w:space="0" w:color="auto"/>
          </w:divBdr>
          <w:divsChild>
            <w:div w:id="1931156035">
              <w:marLeft w:val="0"/>
              <w:marRight w:val="0"/>
              <w:marTop w:val="0"/>
              <w:marBottom w:val="0"/>
              <w:divBdr>
                <w:top w:val="none" w:sz="0" w:space="0" w:color="auto"/>
                <w:left w:val="none" w:sz="0" w:space="0" w:color="auto"/>
                <w:bottom w:val="none" w:sz="0" w:space="0" w:color="auto"/>
                <w:right w:val="none" w:sz="0" w:space="0" w:color="auto"/>
              </w:divBdr>
              <w:divsChild>
                <w:div w:id="785393940">
                  <w:marLeft w:val="0"/>
                  <w:marRight w:val="0"/>
                  <w:marTop w:val="0"/>
                  <w:marBottom w:val="0"/>
                  <w:divBdr>
                    <w:top w:val="none" w:sz="0" w:space="0" w:color="auto"/>
                    <w:left w:val="none" w:sz="0" w:space="0" w:color="auto"/>
                    <w:bottom w:val="none" w:sz="0" w:space="0" w:color="auto"/>
                    <w:right w:val="none" w:sz="0" w:space="0" w:color="auto"/>
                  </w:divBdr>
                  <w:divsChild>
                    <w:div w:id="7197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8055">
      <w:bodyDiv w:val="1"/>
      <w:marLeft w:val="0"/>
      <w:marRight w:val="0"/>
      <w:marTop w:val="0"/>
      <w:marBottom w:val="0"/>
      <w:divBdr>
        <w:top w:val="none" w:sz="0" w:space="0" w:color="auto"/>
        <w:left w:val="none" w:sz="0" w:space="0" w:color="auto"/>
        <w:bottom w:val="none" w:sz="0" w:space="0" w:color="auto"/>
        <w:right w:val="none" w:sz="0" w:space="0" w:color="auto"/>
      </w:divBdr>
    </w:div>
    <w:div w:id="127630757">
      <w:bodyDiv w:val="1"/>
      <w:marLeft w:val="0"/>
      <w:marRight w:val="0"/>
      <w:marTop w:val="0"/>
      <w:marBottom w:val="0"/>
      <w:divBdr>
        <w:top w:val="none" w:sz="0" w:space="0" w:color="auto"/>
        <w:left w:val="none" w:sz="0" w:space="0" w:color="auto"/>
        <w:bottom w:val="none" w:sz="0" w:space="0" w:color="auto"/>
        <w:right w:val="none" w:sz="0" w:space="0" w:color="auto"/>
      </w:divBdr>
    </w:div>
    <w:div w:id="150366888">
      <w:bodyDiv w:val="1"/>
      <w:marLeft w:val="0"/>
      <w:marRight w:val="0"/>
      <w:marTop w:val="0"/>
      <w:marBottom w:val="0"/>
      <w:divBdr>
        <w:top w:val="none" w:sz="0" w:space="0" w:color="auto"/>
        <w:left w:val="none" w:sz="0" w:space="0" w:color="auto"/>
        <w:bottom w:val="none" w:sz="0" w:space="0" w:color="auto"/>
        <w:right w:val="none" w:sz="0" w:space="0" w:color="auto"/>
      </w:divBdr>
    </w:div>
    <w:div w:id="201597025">
      <w:bodyDiv w:val="1"/>
      <w:marLeft w:val="0"/>
      <w:marRight w:val="0"/>
      <w:marTop w:val="0"/>
      <w:marBottom w:val="0"/>
      <w:divBdr>
        <w:top w:val="none" w:sz="0" w:space="0" w:color="auto"/>
        <w:left w:val="none" w:sz="0" w:space="0" w:color="auto"/>
        <w:bottom w:val="none" w:sz="0" w:space="0" w:color="auto"/>
        <w:right w:val="none" w:sz="0" w:space="0" w:color="auto"/>
      </w:divBdr>
    </w:div>
    <w:div w:id="219557110">
      <w:bodyDiv w:val="1"/>
      <w:marLeft w:val="0"/>
      <w:marRight w:val="0"/>
      <w:marTop w:val="0"/>
      <w:marBottom w:val="0"/>
      <w:divBdr>
        <w:top w:val="none" w:sz="0" w:space="0" w:color="auto"/>
        <w:left w:val="none" w:sz="0" w:space="0" w:color="auto"/>
        <w:bottom w:val="none" w:sz="0" w:space="0" w:color="auto"/>
        <w:right w:val="none" w:sz="0" w:space="0" w:color="auto"/>
      </w:divBdr>
    </w:div>
    <w:div w:id="281494653">
      <w:bodyDiv w:val="1"/>
      <w:marLeft w:val="0"/>
      <w:marRight w:val="0"/>
      <w:marTop w:val="0"/>
      <w:marBottom w:val="0"/>
      <w:divBdr>
        <w:top w:val="none" w:sz="0" w:space="0" w:color="auto"/>
        <w:left w:val="none" w:sz="0" w:space="0" w:color="auto"/>
        <w:bottom w:val="none" w:sz="0" w:space="0" w:color="auto"/>
        <w:right w:val="none" w:sz="0" w:space="0" w:color="auto"/>
      </w:divBdr>
      <w:divsChild>
        <w:div w:id="1046610918">
          <w:marLeft w:val="0"/>
          <w:marRight w:val="0"/>
          <w:marTop w:val="0"/>
          <w:marBottom w:val="0"/>
          <w:divBdr>
            <w:top w:val="none" w:sz="0" w:space="0" w:color="auto"/>
            <w:left w:val="none" w:sz="0" w:space="0" w:color="auto"/>
            <w:bottom w:val="none" w:sz="0" w:space="0" w:color="auto"/>
            <w:right w:val="none" w:sz="0" w:space="0" w:color="auto"/>
          </w:divBdr>
        </w:div>
      </w:divsChild>
    </w:div>
    <w:div w:id="334067614">
      <w:bodyDiv w:val="1"/>
      <w:marLeft w:val="0"/>
      <w:marRight w:val="0"/>
      <w:marTop w:val="0"/>
      <w:marBottom w:val="0"/>
      <w:divBdr>
        <w:top w:val="none" w:sz="0" w:space="0" w:color="auto"/>
        <w:left w:val="none" w:sz="0" w:space="0" w:color="auto"/>
        <w:bottom w:val="none" w:sz="0" w:space="0" w:color="auto"/>
        <w:right w:val="none" w:sz="0" w:space="0" w:color="auto"/>
      </w:divBdr>
    </w:div>
    <w:div w:id="451093295">
      <w:bodyDiv w:val="1"/>
      <w:marLeft w:val="0"/>
      <w:marRight w:val="0"/>
      <w:marTop w:val="0"/>
      <w:marBottom w:val="0"/>
      <w:divBdr>
        <w:top w:val="none" w:sz="0" w:space="0" w:color="auto"/>
        <w:left w:val="none" w:sz="0" w:space="0" w:color="auto"/>
        <w:bottom w:val="none" w:sz="0" w:space="0" w:color="auto"/>
        <w:right w:val="none" w:sz="0" w:space="0" w:color="auto"/>
      </w:divBdr>
    </w:div>
    <w:div w:id="573319658">
      <w:bodyDiv w:val="1"/>
      <w:marLeft w:val="0"/>
      <w:marRight w:val="0"/>
      <w:marTop w:val="0"/>
      <w:marBottom w:val="0"/>
      <w:divBdr>
        <w:top w:val="none" w:sz="0" w:space="0" w:color="auto"/>
        <w:left w:val="none" w:sz="0" w:space="0" w:color="auto"/>
        <w:bottom w:val="none" w:sz="0" w:space="0" w:color="auto"/>
        <w:right w:val="none" w:sz="0" w:space="0" w:color="auto"/>
      </w:divBdr>
      <w:divsChild>
        <w:div w:id="409933336">
          <w:marLeft w:val="0"/>
          <w:marRight w:val="0"/>
          <w:marTop w:val="0"/>
          <w:marBottom w:val="360"/>
          <w:divBdr>
            <w:top w:val="none" w:sz="0" w:space="0" w:color="auto"/>
            <w:left w:val="none" w:sz="0" w:space="0" w:color="auto"/>
            <w:bottom w:val="none" w:sz="0" w:space="0" w:color="auto"/>
            <w:right w:val="none" w:sz="0" w:space="0" w:color="auto"/>
          </w:divBdr>
          <w:divsChild>
            <w:div w:id="1899248106">
              <w:marLeft w:val="0"/>
              <w:marRight w:val="0"/>
              <w:marTop w:val="0"/>
              <w:marBottom w:val="0"/>
              <w:divBdr>
                <w:top w:val="single" w:sz="6" w:space="0" w:color="D5D5D5"/>
                <w:left w:val="single" w:sz="6" w:space="0" w:color="D5D5D5"/>
                <w:bottom w:val="single" w:sz="6" w:space="0" w:color="D5D5D5"/>
                <w:right w:val="single" w:sz="6" w:space="0" w:color="D5D5D5"/>
              </w:divBdr>
              <w:divsChild>
                <w:div w:id="229849545">
                  <w:marLeft w:val="0"/>
                  <w:marRight w:val="0"/>
                  <w:marTop w:val="0"/>
                  <w:marBottom w:val="0"/>
                  <w:divBdr>
                    <w:top w:val="none" w:sz="0" w:space="0" w:color="auto"/>
                    <w:left w:val="none" w:sz="0" w:space="0" w:color="auto"/>
                    <w:bottom w:val="none" w:sz="0" w:space="0" w:color="auto"/>
                    <w:right w:val="none" w:sz="0" w:space="0" w:color="auto"/>
                  </w:divBdr>
                </w:div>
              </w:divsChild>
            </w:div>
            <w:div w:id="9194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30616">
      <w:bodyDiv w:val="1"/>
      <w:marLeft w:val="0"/>
      <w:marRight w:val="0"/>
      <w:marTop w:val="0"/>
      <w:marBottom w:val="0"/>
      <w:divBdr>
        <w:top w:val="none" w:sz="0" w:space="0" w:color="auto"/>
        <w:left w:val="none" w:sz="0" w:space="0" w:color="auto"/>
        <w:bottom w:val="none" w:sz="0" w:space="0" w:color="auto"/>
        <w:right w:val="none" w:sz="0" w:space="0" w:color="auto"/>
      </w:divBdr>
    </w:div>
    <w:div w:id="676006361">
      <w:bodyDiv w:val="1"/>
      <w:marLeft w:val="0"/>
      <w:marRight w:val="0"/>
      <w:marTop w:val="0"/>
      <w:marBottom w:val="0"/>
      <w:divBdr>
        <w:top w:val="none" w:sz="0" w:space="0" w:color="auto"/>
        <w:left w:val="none" w:sz="0" w:space="0" w:color="auto"/>
        <w:bottom w:val="none" w:sz="0" w:space="0" w:color="auto"/>
        <w:right w:val="none" w:sz="0" w:space="0" w:color="auto"/>
      </w:divBdr>
    </w:div>
    <w:div w:id="724262071">
      <w:bodyDiv w:val="1"/>
      <w:marLeft w:val="0"/>
      <w:marRight w:val="0"/>
      <w:marTop w:val="0"/>
      <w:marBottom w:val="0"/>
      <w:divBdr>
        <w:top w:val="none" w:sz="0" w:space="0" w:color="auto"/>
        <w:left w:val="none" w:sz="0" w:space="0" w:color="auto"/>
        <w:bottom w:val="none" w:sz="0" w:space="0" w:color="auto"/>
        <w:right w:val="none" w:sz="0" w:space="0" w:color="auto"/>
      </w:divBdr>
    </w:div>
    <w:div w:id="726488548">
      <w:bodyDiv w:val="1"/>
      <w:marLeft w:val="0"/>
      <w:marRight w:val="0"/>
      <w:marTop w:val="0"/>
      <w:marBottom w:val="0"/>
      <w:divBdr>
        <w:top w:val="none" w:sz="0" w:space="0" w:color="auto"/>
        <w:left w:val="none" w:sz="0" w:space="0" w:color="auto"/>
        <w:bottom w:val="none" w:sz="0" w:space="0" w:color="auto"/>
        <w:right w:val="none" w:sz="0" w:space="0" w:color="auto"/>
      </w:divBdr>
    </w:div>
    <w:div w:id="781804922">
      <w:bodyDiv w:val="1"/>
      <w:marLeft w:val="0"/>
      <w:marRight w:val="0"/>
      <w:marTop w:val="0"/>
      <w:marBottom w:val="0"/>
      <w:divBdr>
        <w:top w:val="none" w:sz="0" w:space="0" w:color="auto"/>
        <w:left w:val="none" w:sz="0" w:space="0" w:color="auto"/>
        <w:bottom w:val="none" w:sz="0" w:space="0" w:color="auto"/>
        <w:right w:val="none" w:sz="0" w:space="0" w:color="auto"/>
      </w:divBdr>
    </w:div>
    <w:div w:id="900091429">
      <w:bodyDiv w:val="1"/>
      <w:marLeft w:val="0"/>
      <w:marRight w:val="0"/>
      <w:marTop w:val="0"/>
      <w:marBottom w:val="0"/>
      <w:divBdr>
        <w:top w:val="none" w:sz="0" w:space="0" w:color="auto"/>
        <w:left w:val="none" w:sz="0" w:space="0" w:color="auto"/>
        <w:bottom w:val="none" w:sz="0" w:space="0" w:color="auto"/>
        <w:right w:val="none" w:sz="0" w:space="0" w:color="auto"/>
      </w:divBdr>
    </w:div>
    <w:div w:id="1266769381">
      <w:bodyDiv w:val="1"/>
      <w:marLeft w:val="0"/>
      <w:marRight w:val="0"/>
      <w:marTop w:val="0"/>
      <w:marBottom w:val="0"/>
      <w:divBdr>
        <w:top w:val="none" w:sz="0" w:space="0" w:color="auto"/>
        <w:left w:val="none" w:sz="0" w:space="0" w:color="auto"/>
        <w:bottom w:val="none" w:sz="0" w:space="0" w:color="auto"/>
        <w:right w:val="none" w:sz="0" w:space="0" w:color="auto"/>
      </w:divBdr>
      <w:divsChild>
        <w:div w:id="2139757755">
          <w:marLeft w:val="0"/>
          <w:marRight w:val="0"/>
          <w:marTop w:val="0"/>
          <w:marBottom w:val="0"/>
          <w:divBdr>
            <w:top w:val="none" w:sz="0" w:space="0" w:color="auto"/>
            <w:left w:val="none" w:sz="0" w:space="0" w:color="auto"/>
            <w:bottom w:val="none" w:sz="0" w:space="0" w:color="auto"/>
            <w:right w:val="none" w:sz="0" w:space="0" w:color="auto"/>
          </w:divBdr>
          <w:divsChild>
            <w:div w:id="164823580">
              <w:marLeft w:val="0"/>
              <w:marRight w:val="0"/>
              <w:marTop w:val="0"/>
              <w:marBottom w:val="0"/>
              <w:divBdr>
                <w:top w:val="none" w:sz="0" w:space="0" w:color="auto"/>
                <w:left w:val="none" w:sz="0" w:space="0" w:color="auto"/>
                <w:bottom w:val="none" w:sz="0" w:space="0" w:color="auto"/>
                <w:right w:val="none" w:sz="0" w:space="0" w:color="auto"/>
              </w:divBdr>
              <w:divsChild>
                <w:div w:id="463692120">
                  <w:marLeft w:val="0"/>
                  <w:marRight w:val="0"/>
                  <w:marTop w:val="0"/>
                  <w:marBottom w:val="0"/>
                  <w:divBdr>
                    <w:top w:val="none" w:sz="0" w:space="0" w:color="auto"/>
                    <w:left w:val="none" w:sz="0" w:space="0" w:color="auto"/>
                    <w:bottom w:val="none" w:sz="0" w:space="0" w:color="auto"/>
                    <w:right w:val="none" w:sz="0" w:space="0" w:color="auto"/>
                  </w:divBdr>
                  <w:divsChild>
                    <w:div w:id="16368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066551">
      <w:bodyDiv w:val="1"/>
      <w:marLeft w:val="0"/>
      <w:marRight w:val="0"/>
      <w:marTop w:val="0"/>
      <w:marBottom w:val="0"/>
      <w:divBdr>
        <w:top w:val="none" w:sz="0" w:space="0" w:color="auto"/>
        <w:left w:val="none" w:sz="0" w:space="0" w:color="auto"/>
        <w:bottom w:val="none" w:sz="0" w:space="0" w:color="auto"/>
        <w:right w:val="none" w:sz="0" w:space="0" w:color="auto"/>
      </w:divBdr>
    </w:div>
    <w:div w:id="1391073846">
      <w:bodyDiv w:val="1"/>
      <w:marLeft w:val="0"/>
      <w:marRight w:val="0"/>
      <w:marTop w:val="0"/>
      <w:marBottom w:val="0"/>
      <w:divBdr>
        <w:top w:val="none" w:sz="0" w:space="0" w:color="auto"/>
        <w:left w:val="none" w:sz="0" w:space="0" w:color="auto"/>
        <w:bottom w:val="none" w:sz="0" w:space="0" w:color="auto"/>
        <w:right w:val="none" w:sz="0" w:space="0" w:color="auto"/>
      </w:divBdr>
      <w:divsChild>
        <w:div w:id="1831558189">
          <w:marLeft w:val="0"/>
          <w:marRight w:val="0"/>
          <w:marTop w:val="0"/>
          <w:marBottom w:val="360"/>
          <w:divBdr>
            <w:top w:val="none" w:sz="0" w:space="0" w:color="auto"/>
            <w:left w:val="none" w:sz="0" w:space="0" w:color="auto"/>
            <w:bottom w:val="none" w:sz="0" w:space="0" w:color="auto"/>
            <w:right w:val="none" w:sz="0" w:space="0" w:color="auto"/>
          </w:divBdr>
          <w:divsChild>
            <w:div w:id="102306003">
              <w:marLeft w:val="0"/>
              <w:marRight w:val="0"/>
              <w:marTop w:val="0"/>
              <w:marBottom w:val="0"/>
              <w:divBdr>
                <w:top w:val="single" w:sz="6" w:space="0" w:color="D5D5D5"/>
                <w:left w:val="single" w:sz="6" w:space="0" w:color="D5D5D5"/>
                <w:bottom w:val="single" w:sz="6" w:space="0" w:color="D5D5D5"/>
                <w:right w:val="single" w:sz="6" w:space="0" w:color="D5D5D5"/>
              </w:divBdr>
              <w:divsChild>
                <w:div w:id="1898665790">
                  <w:marLeft w:val="0"/>
                  <w:marRight w:val="0"/>
                  <w:marTop w:val="0"/>
                  <w:marBottom w:val="0"/>
                  <w:divBdr>
                    <w:top w:val="none" w:sz="0" w:space="0" w:color="auto"/>
                    <w:left w:val="none" w:sz="0" w:space="0" w:color="auto"/>
                    <w:bottom w:val="none" w:sz="0" w:space="0" w:color="auto"/>
                    <w:right w:val="none" w:sz="0" w:space="0" w:color="auto"/>
                  </w:divBdr>
                </w:div>
              </w:divsChild>
            </w:div>
            <w:div w:id="9937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4272">
      <w:bodyDiv w:val="1"/>
      <w:marLeft w:val="0"/>
      <w:marRight w:val="0"/>
      <w:marTop w:val="0"/>
      <w:marBottom w:val="0"/>
      <w:divBdr>
        <w:top w:val="none" w:sz="0" w:space="0" w:color="auto"/>
        <w:left w:val="none" w:sz="0" w:space="0" w:color="auto"/>
        <w:bottom w:val="none" w:sz="0" w:space="0" w:color="auto"/>
        <w:right w:val="none" w:sz="0" w:space="0" w:color="auto"/>
      </w:divBdr>
      <w:divsChild>
        <w:div w:id="1771969710">
          <w:marLeft w:val="0"/>
          <w:marRight w:val="0"/>
          <w:marTop w:val="0"/>
          <w:marBottom w:val="0"/>
          <w:divBdr>
            <w:top w:val="none" w:sz="0" w:space="0" w:color="auto"/>
            <w:left w:val="none" w:sz="0" w:space="0" w:color="auto"/>
            <w:bottom w:val="none" w:sz="0" w:space="0" w:color="auto"/>
            <w:right w:val="none" w:sz="0" w:space="0" w:color="auto"/>
          </w:divBdr>
          <w:divsChild>
            <w:div w:id="1969894827">
              <w:marLeft w:val="0"/>
              <w:marRight w:val="0"/>
              <w:marTop w:val="0"/>
              <w:marBottom w:val="0"/>
              <w:divBdr>
                <w:top w:val="none" w:sz="0" w:space="0" w:color="auto"/>
                <w:left w:val="none" w:sz="0" w:space="0" w:color="auto"/>
                <w:bottom w:val="none" w:sz="0" w:space="0" w:color="auto"/>
                <w:right w:val="none" w:sz="0" w:space="0" w:color="auto"/>
              </w:divBdr>
              <w:divsChild>
                <w:div w:id="2122454337">
                  <w:marLeft w:val="0"/>
                  <w:marRight w:val="0"/>
                  <w:marTop w:val="0"/>
                  <w:marBottom w:val="0"/>
                  <w:divBdr>
                    <w:top w:val="none" w:sz="0" w:space="0" w:color="auto"/>
                    <w:left w:val="none" w:sz="0" w:space="0" w:color="auto"/>
                    <w:bottom w:val="none" w:sz="0" w:space="0" w:color="auto"/>
                    <w:right w:val="none" w:sz="0" w:space="0" w:color="auto"/>
                  </w:divBdr>
                  <w:divsChild>
                    <w:div w:id="6468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7460">
      <w:bodyDiv w:val="1"/>
      <w:marLeft w:val="0"/>
      <w:marRight w:val="0"/>
      <w:marTop w:val="0"/>
      <w:marBottom w:val="0"/>
      <w:divBdr>
        <w:top w:val="none" w:sz="0" w:space="0" w:color="auto"/>
        <w:left w:val="none" w:sz="0" w:space="0" w:color="auto"/>
        <w:bottom w:val="none" w:sz="0" w:space="0" w:color="auto"/>
        <w:right w:val="none" w:sz="0" w:space="0" w:color="auto"/>
      </w:divBdr>
    </w:div>
    <w:div w:id="1759715334">
      <w:bodyDiv w:val="1"/>
      <w:marLeft w:val="0"/>
      <w:marRight w:val="0"/>
      <w:marTop w:val="0"/>
      <w:marBottom w:val="0"/>
      <w:divBdr>
        <w:top w:val="none" w:sz="0" w:space="0" w:color="auto"/>
        <w:left w:val="none" w:sz="0" w:space="0" w:color="auto"/>
        <w:bottom w:val="none" w:sz="0" w:space="0" w:color="auto"/>
        <w:right w:val="none" w:sz="0" w:space="0" w:color="auto"/>
      </w:divBdr>
    </w:div>
    <w:div w:id="1765690200">
      <w:bodyDiv w:val="1"/>
      <w:marLeft w:val="0"/>
      <w:marRight w:val="0"/>
      <w:marTop w:val="0"/>
      <w:marBottom w:val="0"/>
      <w:divBdr>
        <w:top w:val="none" w:sz="0" w:space="0" w:color="auto"/>
        <w:left w:val="none" w:sz="0" w:space="0" w:color="auto"/>
        <w:bottom w:val="none" w:sz="0" w:space="0" w:color="auto"/>
        <w:right w:val="none" w:sz="0" w:space="0" w:color="auto"/>
      </w:divBdr>
    </w:div>
    <w:div w:id="1901862537">
      <w:bodyDiv w:val="1"/>
      <w:marLeft w:val="0"/>
      <w:marRight w:val="0"/>
      <w:marTop w:val="0"/>
      <w:marBottom w:val="0"/>
      <w:divBdr>
        <w:top w:val="none" w:sz="0" w:space="0" w:color="auto"/>
        <w:left w:val="none" w:sz="0" w:space="0" w:color="auto"/>
        <w:bottom w:val="none" w:sz="0" w:space="0" w:color="auto"/>
        <w:right w:val="none" w:sz="0" w:space="0" w:color="auto"/>
      </w:divBdr>
    </w:div>
    <w:div w:id="205870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ajfrn/2025/v4i2269"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195</TotalTime>
  <Pages>17</Pages>
  <Words>4316</Words>
  <Characters>28276</Characters>
  <Application>Microsoft Office Word</Application>
  <DocSecurity>0</DocSecurity>
  <Lines>456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Aurodeep Kamal</dc:creator>
  <cp:keywords/>
  <dc:description/>
  <cp:lastModifiedBy>Editor-26</cp:lastModifiedBy>
  <cp:revision>106</cp:revision>
  <dcterms:created xsi:type="dcterms:W3CDTF">2025-06-25T22:30:00Z</dcterms:created>
  <dcterms:modified xsi:type="dcterms:W3CDTF">2025-07-10T08:00:00Z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3edfde87-15cd-40f2-abd0-9725e6e0d7b1</vt:lpwstr>
  </property>
</Properties>
</file>