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4040" w14:textId="77777777" w:rsidR="00BE74D0" w:rsidRPr="00853D74" w:rsidRDefault="00BE74D0" w:rsidP="00BE74D0">
      <w:pPr>
        <w:spacing w:after="0" w:line="360" w:lineRule="auto"/>
        <w:jc w:val="both"/>
        <w:rPr>
          <w:rFonts w:ascii="Times New Roman" w:hAnsi="Times New Roman" w:cs="Times New Roman"/>
          <w:b/>
          <w:bCs/>
          <w:i/>
          <w:iCs/>
          <w:sz w:val="24"/>
          <w:szCs w:val="24"/>
          <w:u w:val="single"/>
          <w:lang w:val="en-US"/>
        </w:rPr>
      </w:pPr>
      <w:r w:rsidRPr="00853D74">
        <w:rPr>
          <w:rFonts w:ascii="Times New Roman" w:hAnsi="Times New Roman" w:cs="Times New Roman"/>
          <w:b/>
          <w:bCs/>
          <w:i/>
          <w:iCs/>
          <w:sz w:val="24"/>
          <w:szCs w:val="24"/>
          <w:u w:val="single"/>
          <w:lang w:val="en-US"/>
        </w:rPr>
        <w:t>Review Article</w:t>
      </w:r>
    </w:p>
    <w:p w14:paraId="65892C43" w14:textId="6CE70B77" w:rsidR="002657F1" w:rsidRPr="00853D74" w:rsidRDefault="00AA4EDC" w:rsidP="00615EDA">
      <w:pPr>
        <w:spacing w:after="0" w:line="360" w:lineRule="auto"/>
        <w:jc w:val="center"/>
        <w:rPr>
          <w:rFonts w:ascii="Times New Roman" w:hAnsi="Times New Roman" w:cs="Times New Roman"/>
          <w:b/>
          <w:bCs/>
          <w:sz w:val="24"/>
          <w:szCs w:val="24"/>
        </w:rPr>
      </w:pPr>
      <w:r w:rsidRPr="00853D74">
        <w:rPr>
          <w:rFonts w:ascii="Times New Roman" w:hAnsi="Times New Roman" w:cs="Times New Roman"/>
          <w:b/>
          <w:bCs/>
          <w:sz w:val="24"/>
          <w:szCs w:val="24"/>
        </w:rPr>
        <w:t>Socio-Technical Challenges and Digital Transformation in Chemistry Education: Lessons from the Pandemic and Future Directions with AI and IoT</w:t>
      </w:r>
    </w:p>
    <w:p w14:paraId="6B8F9D8A" w14:textId="115B9DE3" w:rsidR="000F2814" w:rsidRPr="00853D74" w:rsidRDefault="000F2814" w:rsidP="000F2814">
      <w:pPr>
        <w:spacing w:after="0" w:line="360" w:lineRule="auto"/>
        <w:jc w:val="both"/>
        <w:rPr>
          <w:rFonts w:ascii="Times New Roman" w:hAnsi="Times New Roman" w:cs="Times New Roman"/>
          <w:sz w:val="24"/>
          <w:szCs w:val="24"/>
        </w:rPr>
      </w:pPr>
    </w:p>
    <w:p w14:paraId="7F9BA546" w14:textId="77777777" w:rsidR="000F2814" w:rsidRPr="00853D74" w:rsidRDefault="000F2814" w:rsidP="000F2814">
      <w:pPr>
        <w:spacing w:after="0" w:line="360" w:lineRule="auto"/>
        <w:jc w:val="both"/>
        <w:rPr>
          <w:rFonts w:ascii="Times New Roman" w:hAnsi="Times New Roman" w:cs="Times New Roman"/>
          <w:b/>
          <w:bCs/>
          <w:sz w:val="24"/>
          <w:szCs w:val="24"/>
        </w:rPr>
      </w:pPr>
      <w:r w:rsidRPr="00853D74">
        <w:rPr>
          <w:rFonts w:ascii="Times New Roman" w:hAnsi="Times New Roman" w:cs="Times New Roman"/>
          <w:b/>
          <w:bCs/>
          <w:sz w:val="24"/>
          <w:szCs w:val="24"/>
        </w:rPr>
        <w:t>Abstract</w:t>
      </w:r>
    </w:p>
    <w:p w14:paraId="01914CBC" w14:textId="2EF64382" w:rsidR="0071162B" w:rsidRPr="00853D74" w:rsidRDefault="0071162B" w:rsidP="0071162B">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The global education sector endured a massive disruption in early 2020 because of the pandemic caused by the spread of the coronavirus, thus requiring an instant shift from conventional pedagogy to emergency remote teaching. This</w:t>
      </w:r>
      <w:r w:rsidR="00FA4008" w:rsidRPr="00853D74">
        <w:rPr>
          <w:rFonts w:ascii="Times New Roman" w:hAnsi="Times New Roman" w:cs="Times New Roman"/>
          <w:sz w:val="24"/>
          <w:szCs w:val="24"/>
        </w:rPr>
        <w:t xml:space="preserve"> study</w:t>
      </w:r>
      <w:r w:rsidRPr="00853D74">
        <w:rPr>
          <w:rFonts w:ascii="Times New Roman" w:hAnsi="Times New Roman" w:cs="Times New Roman"/>
          <w:sz w:val="24"/>
          <w:szCs w:val="24"/>
        </w:rPr>
        <w:t xml:space="preserve"> is specifically concerned with the distinctions of chemistry education, a subject of study that is heavily based on empirical demonstration and hands-on learning. By examining the educational landscape in three countries - India, Spain and the Philippines, the</w:t>
      </w:r>
      <w:r w:rsidR="00FA4008" w:rsidRPr="00853D74">
        <w:rPr>
          <w:rFonts w:ascii="Times New Roman" w:hAnsi="Times New Roman" w:cs="Times New Roman"/>
          <w:sz w:val="24"/>
          <w:szCs w:val="24"/>
        </w:rPr>
        <w:t xml:space="preserve"> present </w:t>
      </w:r>
      <w:r w:rsidR="00FA4008" w:rsidRPr="00853D74">
        <w:rPr>
          <w:rFonts w:ascii="Times New Roman" w:hAnsi="Times New Roman" w:cs="Times New Roman"/>
          <w:sz w:val="24"/>
          <w:szCs w:val="24"/>
          <w:lang w:val="en-MY" w:eastAsia="en-MY"/>
        </w:rPr>
        <w:t>comparative literature review</w:t>
      </w:r>
      <w:r w:rsidR="001C2857" w:rsidRPr="00853D74">
        <w:rPr>
          <w:rFonts w:ascii="Times New Roman" w:hAnsi="Times New Roman" w:cs="Times New Roman"/>
          <w:sz w:val="24"/>
          <w:szCs w:val="24"/>
          <w:lang w:val="en-MY" w:eastAsia="en-MY"/>
        </w:rPr>
        <w:t xml:space="preserve"> including personal experience </w:t>
      </w:r>
      <w:r w:rsidRPr="00853D74">
        <w:rPr>
          <w:rFonts w:ascii="Times New Roman" w:hAnsi="Times New Roman" w:cs="Times New Roman"/>
          <w:sz w:val="24"/>
          <w:szCs w:val="24"/>
        </w:rPr>
        <w:t xml:space="preserve">helps to highlight the impact of diverse socio-economic factors on the adoption of digital tools. The analysis of literature shows that the transition had a complex balancing act of synchronous (real-time) interactions versus asynchronous (self-paced) resources. One of the major barriers that was found in this shift was the "digital divide", which furthered the inequities around student access to reliable internet connectivity and devices. It points out the efficacy of structured interventions, and specifically mentions the DLPCA (Discover, Learn, Practice, Collaborate, and Assess) model (presumably referring to a particular digitally-integrated cycle of learning). There is evidence to show that when blended learning strategies are implemented with pedagogical intent (as opposed to as a stopgap) student academic performance may be maintained and even improved. Eventually, this period of crisis proved that the academic community is mighty enough and that the path to the future of teaching science lies in hybrid structures that help to take advantage of the flexibility of digital means, without sacrificing scientific rigor. The future of chemistry education is in adopting a proactive approach to integrate hybrid pedagogy and AI-driven tools </w:t>
      </w:r>
      <w:r w:rsidR="00FA4008" w:rsidRPr="00853D74">
        <w:rPr>
          <w:rFonts w:ascii="Times New Roman" w:hAnsi="Times New Roman" w:cs="Times New Roman"/>
          <w:sz w:val="24"/>
          <w:szCs w:val="24"/>
        </w:rPr>
        <w:t>to</w:t>
      </w:r>
      <w:r w:rsidRPr="00853D74">
        <w:rPr>
          <w:rFonts w:ascii="Times New Roman" w:hAnsi="Times New Roman" w:cs="Times New Roman"/>
          <w:sz w:val="24"/>
          <w:szCs w:val="24"/>
        </w:rPr>
        <w:t xml:space="preserve"> develop digitally-skilled experimentalists.</w:t>
      </w:r>
    </w:p>
    <w:p w14:paraId="3097270C" w14:textId="77777777" w:rsidR="0060387F" w:rsidRPr="00853D74" w:rsidRDefault="0060387F" w:rsidP="004C00D0">
      <w:pPr>
        <w:spacing w:after="0" w:line="360" w:lineRule="auto"/>
        <w:jc w:val="both"/>
        <w:rPr>
          <w:rFonts w:ascii="Times New Roman" w:hAnsi="Times New Roman" w:cs="Times New Roman"/>
          <w:sz w:val="24"/>
          <w:szCs w:val="24"/>
        </w:rPr>
      </w:pPr>
    </w:p>
    <w:p w14:paraId="76CAB542" w14:textId="396F76AC" w:rsidR="00FC3D93" w:rsidRPr="00853D74" w:rsidRDefault="004C00D0" w:rsidP="004C00D0">
      <w:pPr>
        <w:spacing w:after="0" w:line="360" w:lineRule="auto"/>
        <w:jc w:val="both"/>
        <w:rPr>
          <w:rFonts w:ascii="Times New Roman" w:hAnsi="Times New Roman" w:cs="Times New Roman"/>
          <w:sz w:val="24"/>
          <w:szCs w:val="24"/>
        </w:rPr>
      </w:pPr>
      <w:r w:rsidRPr="00853D74">
        <w:rPr>
          <w:rFonts w:ascii="Times New Roman" w:hAnsi="Times New Roman" w:cs="Times New Roman"/>
          <w:b/>
          <w:bCs/>
          <w:sz w:val="24"/>
          <w:szCs w:val="24"/>
        </w:rPr>
        <w:t>Keywords:</w:t>
      </w:r>
      <w:r w:rsidRPr="00853D74">
        <w:rPr>
          <w:rFonts w:ascii="Times New Roman" w:hAnsi="Times New Roman" w:cs="Times New Roman"/>
          <w:sz w:val="24"/>
          <w:szCs w:val="24"/>
        </w:rPr>
        <w:t xml:space="preserve"> Chemistry Education; Emergency Remote Teaching; Digital Divide; Blended Learning; DLPCA Model</w:t>
      </w:r>
    </w:p>
    <w:p w14:paraId="04288944" w14:textId="77777777" w:rsidR="00FC3D93" w:rsidRPr="00853D74" w:rsidRDefault="00FC3D93">
      <w:pPr>
        <w:rPr>
          <w:rFonts w:ascii="Times New Roman" w:hAnsi="Times New Roman" w:cs="Times New Roman"/>
          <w:sz w:val="24"/>
          <w:szCs w:val="24"/>
        </w:rPr>
      </w:pPr>
      <w:r w:rsidRPr="00853D74">
        <w:rPr>
          <w:rFonts w:ascii="Times New Roman" w:hAnsi="Times New Roman" w:cs="Times New Roman"/>
          <w:sz w:val="24"/>
          <w:szCs w:val="24"/>
        </w:rPr>
        <w:br w:type="page"/>
      </w:r>
    </w:p>
    <w:p w14:paraId="1D4FE0E9" w14:textId="3F45A49E" w:rsidR="00AE2C94" w:rsidRPr="00853D74" w:rsidRDefault="0060387F" w:rsidP="001F53A7">
      <w:pPr>
        <w:spacing w:after="0" w:line="360" w:lineRule="auto"/>
        <w:jc w:val="both"/>
        <w:rPr>
          <w:rFonts w:ascii="Times New Roman" w:hAnsi="Times New Roman" w:cs="Times New Roman"/>
          <w:b/>
          <w:bCs/>
          <w:sz w:val="24"/>
          <w:szCs w:val="24"/>
        </w:rPr>
      </w:pPr>
      <w:r w:rsidRPr="00853D74">
        <w:rPr>
          <w:rFonts w:ascii="Times New Roman" w:hAnsi="Times New Roman" w:cs="Times New Roman"/>
          <w:b/>
          <w:bCs/>
          <w:sz w:val="24"/>
          <w:szCs w:val="24"/>
        </w:rPr>
        <w:lastRenderedPageBreak/>
        <w:t>Introduction</w:t>
      </w:r>
    </w:p>
    <w:p w14:paraId="41F86714" w14:textId="4809E863" w:rsidR="00FC3D93" w:rsidRPr="00853D74" w:rsidRDefault="001F53A7" w:rsidP="001F53A7">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The beginning of the Covid 19 pandemic in early 2020 was a watershed in the history of higher education</w:t>
      </w:r>
      <w:r w:rsidR="00A63B37" w:rsidRPr="00853D74">
        <w:rPr>
          <w:rFonts w:ascii="Times New Roman" w:hAnsi="Times New Roman" w:cs="Times New Roman"/>
          <w:sz w:val="24"/>
          <w:szCs w:val="24"/>
        </w:rPr>
        <w:t xml:space="preserve"> (</w:t>
      </w:r>
      <w:r w:rsidR="0018506C" w:rsidRPr="00853D74">
        <w:rPr>
          <w:rFonts w:ascii="Times New Roman" w:hAnsi="Times New Roman" w:cs="Times New Roman"/>
          <w:sz w:val="24"/>
          <w:szCs w:val="24"/>
        </w:rPr>
        <w:t xml:space="preserve">Li and Ali, 2022, Purcell and Lumbreras, 2021). </w:t>
      </w:r>
      <w:r w:rsidRPr="00853D74">
        <w:rPr>
          <w:rFonts w:ascii="Times New Roman" w:hAnsi="Times New Roman" w:cs="Times New Roman"/>
          <w:sz w:val="24"/>
          <w:szCs w:val="24"/>
        </w:rPr>
        <w:t>Almost overnight, the institutions around the world were forced to close their physical campuses to curb the spread of the virus, precipitating Emergency Remote Teaching (ERT), a mass migration from traditional face-to-face instruction unlike any in history. This abrupt paradigm shift created special and difficult problems for the science disciplines, especially chemistry</w:t>
      </w:r>
      <w:r w:rsidR="00F64475" w:rsidRPr="00853D74">
        <w:rPr>
          <w:rFonts w:ascii="Times New Roman" w:hAnsi="Times New Roman" w:cs="Times New Roman"/>
          <w:sz w:val="24"/>
          <w:szCs w:val="24"/>
        </w:rPr>
        <w:t xml:space="preserve"> (</w:t>
      </w:r>
      <w:proofErr w:type="spellStart"/>
      <w:r w:rsidR="0018506C" w:rsidRPr="00853D74">
        <w:rPr>
          <w:rFonts w:ascii="Times New Roman" w:hAnsi="Times New Roman" w:cs="Times New Roman"/>
          <w:sz w:val="24"/>
          <w:szCs w:val="24"/>
        </w:rPr>
        <w:t>Erduran</w:t>
      </w:r>
      <w:proofErr w:type="spellEnd"/>
      <w:r w:rsidR="0018506C" w:rsidRPr="00853D74">
        <w:rPr>
          <w:rFonts w:ascii="Times New Roman" w:hAnsi="Times New Roman" w:cs="Times New Roman"/>
          <w:sz w:val="24"/>
          <w:szCs w:val="24"/>
        </w:rPr>
        <w:t xml:space="preserve"> and </w:t>
      </w:r>
      <w:proofErr w:type="spellStart"/>
      <w:r w:rsidR="0018506C" w:rsidRPr="00853D74">
        <w:rPr>
          <w:rFonts w:ascii="Times New Roman" w:hAnsi="Times New Roman" w:cs="Times New Roman"/>
          <w:sz w:val="24"/>
          <w:szCs w:val="24"/>
        </w:rPr>
        <w:t>Akış</w:t>
      </w:r>
      <w:proofErr w:type="spellEnd"/>
      <w:r w:rsidR="0018506C" w:rsidRPr="00853D74">
        <w:rPr>
          <w:rFonts w:ascii="Times New Roman" w:hAnsi="Times New Roman" w:cs="Times New Roman"/>
          <w:sz w:val="24"/>
          <w:szCs w:val="24"/>
        </w:rPr>
        <w:t>, 2023</w:t>
      </w:r>
      <w:r w:rsidR="00F64475" w:rsidRPr="00853D74">
        <w:rPr>
          <w:rFonts w:ascii="Times New Roman" w:hAnsi="Times New Roman" w:cs="Times New Roman"/>
          <w:sz w:val="24"/>
          <w:szCs w:val="24"/>
        </w:rPr>
        <w:t>)</w:t>
      </w:r>
      <w:r w:rsidRPr="00853D74">
        <w:rPr>
          <w:rFonts w:ascii="Times New Roman" w:hAnsi="Times New Roman" w:cs="Times New Roman"/>
          <w:sz w:val="24"/>
          <w:szCs w:val="24"/>
        </w:rPr>
        <w:t>. The shutting of laboratories threatened to cut off the essential connection between macroscopic observation of chemical phenomena and their sub microscopic explanations, and forced educators to rethink entirely the way to teach the essence of scientific inquiry through a computer</w:t>
      </w:r>
      <w:r w:rsidR="004D3E66" w:rsidRPr="00853D74">
        <w:rPr>
          <w:rFonts w:ascii="Times New Roman" w:hAnsi="Times New Roman" w:cs="Times New Roman"/>
          <w:sz w:val="24"/>
          <w:szCs w:val="24"/>
        </w:rPr>
        <w:t xml:space="preserve"> or even mobile</w:t>
      </w:r>
      <w:r w:rsidRPr="00853D74">
        <w:rPr>
          <w:rFonts w:ascii="Times New Roman" w:hAnsi="Times New Roman" w:cs="Times New Roman"/>
          <w:sz w:val="24"/>
          <w:szCs w:val="24"/>
        </w:rPr>
        <w:t xml:space="preserve"> screen</w:t>
      </w:r>
      <w:r w:rsidR="007F32DA" w:rsidRPr="00853D74">
        <w:rPr>
          <w:rFonts w:ascii="Times New Roman" w:hAnsi="Times New Roman" w:cs="Times New Roman"/>
          <w:sz w:val="24"/>
          <w:szCs w:val="24"/>
        </w:rPr>
        <w:t xml:space="preserve"> (</w:t>
      </w:r>
      <w:r w:rsidR="0018506C" w:rsidRPr="00853D74">
        <w:rPr>
          <w:rFonts w:ascii="Times New Roman" w:hAnsi="Times New Roman" w:cs="Times New Roman"/>
          <w:sz w:val="24"/>
          <w:szCs w:val="24"/>
        </w:rPr>
        <w:t>Watts et al., 2022</w:t>
      </w:r>
      <w:r w:rsidR="00615EDA" w:rsidRPr="00853D74">
        <w:rPr>
          <w:rFonts w:ascii="Times New Roman" w:hAnsi="Times New Roman" w:cs="Times New Roman"/>
          <w:sz w:val="24"/>
          <w:szCs w:val="24"/>
        </w:rPr>
        <w:t xml:space="preserve">. </w:t>
      </w:r>
      <w:r w:rsidRPr="00853D74">
        <w:rPr>
          <w:rFonts w:ascii="Times New Roman" w:hAnsi="Times New Roman" w:cs="Times New Roman"/>
          <w:sz w:val="24"/>
          <w:szCs w:val="24"/>
        </w:rPr>
        <w:t xml:space="preserve">This shift of teaching and learning required faculty to quickly learn and become well versed in digital literacy, often learning to use Learning Management Systems (LMS), video conferencing software, and virtual simulation software in real-time. However, implementation of the </w:t>
      </w:r>
      <w:r w:rsidR="00615EDA" w:rsidRPr="00853D74">
        <w:rPr>
          <w:rFonts w:ascii="Times New Roman" w:hAnsi="Times New Roman" w:cs="Times New Roman"/>
          <w:sz w:val="24"/>
          <w:szCs w:val="24"/>
        </w:rPr>
        <w:t>adopted</w:t>
      </w:r>
      <w:r w:rsidRPr="00853D74">
        <w:rPr>
          <w:rFonts w:ascii="Times New Roman" w:hAnsi="Times New Roman" w:cs="Times New Roman"/>
          <w:sz w:val="24"/>
          <w:szCs w:val="24"/>
        </w:rPr>
        <w:t xml:space="preserve"> strategies was very far from uniformity. The response of the world to the pandemic has uncovered more profound socio-technical disparity, suggesting that while ensuring continuity of education was a universal aim, the avenues of achieving it would be highly dependent on the local infrastructure, economic resources, and cultural contexts</w:t>
      </w:r>
      <w:r w:rsidR="007F32DA" w:rsidRPr="00853D74">
        <w:rPr>
          <w:rFonts w:ascii="Times New Roman" w:hAnsi="Times New Roman" w:cs="Times New Roman"/>
          <w:sz w:val="24"/>
          <w:szCs w:val="24"/>
        </w:rPr>
        <w:t xml:space="preserve"> (</w:t>
      </w:r>
      <w:r w:rsidR="0018506C" w:rsidRPr="00853D74">
        <w:rPr>
          <w:rFonts w:ascii="Times New Roman" w:hAnsi="Times New Roman" w:cs="Times New Roman"/>
          <w:sz w:val="24"/>
          <w:szCs w:val="24"/>
        </w:rPr>
        <w:t>Wells et al., 2020</w:t>
      </w:r>
      <w:r w:rsidR="00615EDA" w:rsidRPr="00853D74">
        <w:rPr>
          <w:rFonts w:ascii="Times New Roman" w:hAnsi="Times New Roman" w:cs="Times New Roman"/>
          <w:sz w:val="24"/>
          <w:szCs w:val="24"/>
        </w:rPr>
        <w:t xml:space="preserve">. </w:t>
      </w:r>
      <w:r w:rsidR="007B2FE2" w:rsidRPr="00853D74">
        <w:rPr>
          <w:rFonts w:ascii="Times New Roman" w:hAnsi="Times New Roman" w:cs="Times New Roman"/>
          <w:sz w:val="24"/>
          <w:szCs w:val="24"/>
        </w:rPr>
        <w:t>T</w:t>
      </w:r>
      <w:r w:rsidRPr="00853D74">
        <w:rPr>
          <w:rFonts w:ascii="Times New Roman" w:hAnsi="Times New Roman" w:cs="Times New Roman"/>
          <w:sz w:val="24"/>
          <w:szCs w:val="24"/>
        </w:rPr>
        <w:t>his review looks in depth at three different geographical and socio-economic contexts</w:t>
      </w:r>
      <w:r w:rsidR="0018506C" w:rsidRPr="00853D74">
        <w:rPr>
          <w:rFonts w:ascii="Times New Roman" w:hAnsi="Times New Roman" w:cs="Times New Roman"/>
          <w:sz w:val="24"/>
          <w:szCs w:val="24"/>
        </w:rPr>
        <w:t xml:space="preserve">, </w:t>
      </w:r>
      <w:r w:rsidRPr="00853D74">
        <w:rPr>
          <w:rFonts w:ascii="Times New Roman" w:hAnsi="Times New Roman" w:cs="Times New Roman"/>
          <w:sz w:val="24"/>
          <w:szCs w:val="24"/>
        </w:rPr>
        <w:t>India, Spain and the Philippines</w:t>
      </w:r>
      <w:r w:rsidR="004D3E66" w:rsidRPr="00853D74">
        <w:rPr>
          <w:rFonts w:ascii="Times New Roman" w:hAnsi="Times New Roman" w:cs="Times New Roman"/>
          <w:sz w:val="24"/>
          <w:szCs w:val="24"/>
        </w:rPr>
        <w:t xml:space="preserve">, </w:t>
      </w:r>
      <w:r w:rsidRPr="00853D74">
        <w:rPr>
          <w:rFonts w:ascii="Times New Roman" w:hAnsi="Times New Roman" w:cs="Times New Roman"/>
          <w:sz w:val="24"/>
          <w:szCs w:val="24"/>
        </w:rPr>
        <w:t xml:space="preserve">to try to understand how chemistry education adapted to the crisis. </w:t>
      </w:r>
      <w:r w:rsidR="007B2FE2" w:rsidRPr="00853D74">
        <w:rPr>
          <w:rFonts w:ascii="Times New Roman" w:hAnsi="Times New Roman" w:cs="Times New Roman"/>
          <w:sz w:val="24"/>
          <w:szCs w:val="24"/>
        </w:rPr>
        <w:t xml:space="preserve">The choice of India, Philippines and Spain allows for critical comparison to be made on the development and developed world, and how different socio-technical infrastructures influenced pivot to hybrid chemistry education. By </w:t>
      </w:r>
      <w:proofErr w:type="spellStart"/>
      <w:r w:rsidR="007B2FE2" w:rsidRPr="00853D74">
        <w:rPr>
          <w:rFonts w:ascii="Times New Roman" w:hAnsi="Times New Roman" w:cs="Times New Roman"/>
          <w:sz w:val="24"/>
          <w:szCs w:val="24"/>
        </w:rPr>
        <w:t>analyzing</w:t>
      </w:r>
      <w:proofErr w:type="spellEnd"/>
      <w:r w:rsidR="007B2FE2" w:rsidRPr="00853D74">
        <w:rPr>
          <w:rFonts w:ascii="Times New Roman" w:hAnsi="Times New Roman" w:cs="Times New Roman"/>
          <w:sz w:val="24"/>
          <w:szCs w:val="24"/>
        </w:rPr>
        <w:t xml:space="preserve"> these economies, which are so diverse, the research shows how both resource limitations in the Global South and existing digital frameworks in the Global North enabled the implementation of AI and IoT in laboratory pedagogy. </w:t>
      </w:r>
      <w:r w:rsidRPr="00853D74">
        <w:rPr>
          <w:rFonts w:ascii="Times New Roman" w:hAnsi="Times New Roman" w:cs="Times New Roman"/>
          <w:sz w:val="24"/>
          <w:szCs w:val="24"/>
        </w:rPr>
        <w:t xml:space="preserve">In the event of India, </w:t>
      </w:r>
      <w:r w:rsidR="001C2857" w:rsidRPr="00853D74">
        <w:rPr>
          <w:rFonts w:ascii="Times New Roman" w:hAnsi="Times New Roman" w:cs="Times New Roman"/>
          <w:sz w:val="24"/>
          <w:szCs w:val="24"/>
        </w:rPr>
        <w:t>t</w:t>
      </w:r>
      <w:r w:rsidRPr="00853D74">
        <w:rPr>
          <w:rFonts w:ascii="Times New Roman" w:hAnsi="Times New Roman" w:cs="Times New Roman"/>
          <w:sz w:val="24"/>
          <w:szCs w:val="24"/>
        </w:rPr>
        <w:t>he Indian government had pre-emptively set up digital initiatives like SWAYAM (Study Webs of Active-Learning for Young Aspiring Minds) and e-Pathshala which offered a repository of massive open online courses (MOOCs) and digital textbooks</w:t>
      </w:r>
      <w:r w:rsidR="007F32DA" w:rsidRPr="00853D74">
        <w:rPr>
          <w:rFonts w:ascii="Times New Roman" w:hAnsi="Times New Roman" w:cs="Times New Roman"/>
          <w:sz w:val="24"/>
          <w:szCs w:val="24"/>
        </w:rPr>
        <w:t xml:space="preserve"> (</w:t>
      </w:r>
      <w:r w:rsidR="0018506C" w:rsidRPr="00853D74">
        <w:rPr>
          <w:rFonts w:ascii="Times New Roman" w:hAnsi="Times New Roman" w:cs="Times New Roman"/>
          <w:sz w:val="24"/>
          <w:szCs w:val="24"/>
        </w:rPr>
        <w:t>Gupta et al., 2022</w:t>
      </w:r>
      <w:r w:rsidR="007F32DA" w:rsidRPr="00853D74">
        <w:rPr>
          <w:rFonts w:ascii="Times New Roman" w:hAnsi="Times New Roman" w:cs="Times New Roman"/>
          <w:sz w:val="24"/>
          <w:szCs w:val="24"/>
        </w:rPr>
        <w:t>).</w:t>
      </w:r>
      <w:r w:rsidRPr="00853D74">
        <w:rPr>
          <w:rFonts w:ascii="Times New Roman" w:hAnsi="Times New Roman" w:cs="Times New Roman"/>
          <w:sz w:val="24"/>
          <w:szCs w:val="24"/>
        </w:rPr>
        <w:t xml:space="preserve"> These centralised resources provided an important backbone for the delivery of content, and theoretically quality educational material was available to all. However, the practical application of remote teaching in India highlighted a very severe "digital divide." For a good number of the student body, especially in rural areas and semi-urban areas, access to high-speed internet and reliable electricity were luxuries and not guarantees. Consequently, the need to use high bandwidth synchronous platforms (such as Zoom or MS Teams) was not always feasible.</w:t>
      </w:r>
      <w:r w:rsidR="00662192" w:rsidRPr="00853D74">
        <w:rPr>
          <w:rFonts w:ascii="Times New Roman" w:hAnsi="Times New Roman" w:cs="Times New Roman"/>
          <w:sz w:val="24"/>
          <w:szCs w:val="24"/>
        </w:rPr>
        <w:t xml:space="preserve"> To fill this void </w:t>
      </w:r>
      <w:r w:rsidR="00662192" w:rsidRPr="00853D74">
        <w:rPr>
          <w:rFonts w:ascii="Times New Roman" w:hAnsi="Times New Roman" w:cs="Times New Roman"/>
          <w:sz w:val="24"/>
          <w:szCs w:val="24"/>
        </w:rPr>
        <w:lastRenderedPageBreak/>
        <w:t xml:space="preserve">a tremendous flexibility of Indian chemistry educators to switch to low tech and accessible solutions was shown. </w:t>
      </w:r>
      <w:r w:rsidRPr="00853D74">
        <w:rPr>
          <w:rFonts w:ascii="Times New Roman" w:hAnsi="Times New Roman" w:cs="Times New Roman"/>
          <w:sz w:val="24"/>
          <w:szCs w:val="24"/>
        </w:rPr>
        <w:t>The ubiquitous messaging platform WhatsApp was born as an unlikely but important educational tool, serving as a primary tool for doubt clearance, dissemination of notes and keeping the student-teacher connection intact</w:t>
      </w:r>
      <w:r w:rsidR="00D93100" w:rsidRPr="00853D74">
        <w:rPr>
          <w:rFonts w:ascii="Times New Roman" w:hAnsi="Times New Roman" w:cs="Times New Roman"/>
          <w:sz w:val="24"/>
          <w:szCs w:val="24"/>
        </w:rPr>
        <w:t xml:space="preserve"> (</w:t>
      </w:r>
      <w:r w:rsidR="0018506C" w:rsidRPr="00853D74">
        <w:rPr>
          <w:rFonts w:ascii="Times New Roman" w:hAnsi="Times New Roman" w:cs="Times New Roman"/>
          <w:sz w:val="24"/>
          <w:szCs w:val="24"/>
        </w:rPr>
        <w:t>Singh et al., 2020</w:t>
      </w:r>
      <w:r w:rsidR="00D93100" w:rsidRPr="00853D74">
        <w:rPr>
          <w:rFonts w:ascii="Times New Roman" w:hAnsi="Times New Roman" w:cs="Times New Roman"/>
          <w:sz w:val="24"/>
          <w:szCs w:val="24"/>
        </w:rPr>
        <w:t xml:space="preserve">). </w:t>
      </w:r>
      <w:r w:rsidR="00C014CB" w:rsidRPr="00853D74">
        <w:rPr>
          <w:rFonts w:ascii="Times New Roman" w:hAnsi="Times New Roman" w:cs="Times New Roman"/>
          <w:sz w:val="24"/>
          <w:szCs w:val="24"/>
        </w:rPr>
        <w:t>On the other hand, the experience of a public university in Spain is revealing of the challenges in the Global North, where the digital infrastructure was better developed, but pedagogical obstacles were still a challenge</w:t>
      </w:r>
      <w:r w:rsidR="00D93100"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Luque-Martínez et al., 2025</w:t>
      </w:r>
      <w:r w:rsidR="00D93100" w:rsidRPr="00853D74">
        <w:rPr>
          <w:rFonts w:ascii="Times New Roman" w:hAnsi="Times New Roman" w:cs="Times New Roman"/>
          <w:sz w:val="24"/>
          <w:szCs w:val="24"/>
        </w:rPr>
        <w:t>)</w:t>
      </w:r>
      <w:r w:rsidR="00C014CB" w:rsidRPr="00853D74">
        <w:rPr>
          <w:rFonts w:ascii="Times New Roman" w:hAnsi="Times New Roman" w:cs="Times New Roman"/>
          <w:sz w:val="24"/>
          <w:szCs w:val="24"/>
        </w:rPr>
        <w:t>. With existing institutional Virtual Campuses and platforms such as Blackboard Collaborate, Spanish educators were able to put into practice a mixed model of synchronous and asynchronous learning with relative technical ease</w:t>
      </w:r>
      <w:r w:rsidRPr="00853D74">
        <w:rPr>
          <w:rFonts w:ascii="Times New Roman" w:hAnsi="Times New Roman" w:cs="Times New Roman"/>
          <w:sz w:val="24"/>
          <w:szCs w:val="24"/>
        </w:rPr>
        <w:t xml:space="preserve">. The stable internet and institutional subscriptions made it possible to provide real-time lectures, which were very similar to the traditional classroom experience. However, availability of technology did not address the "laboratory problem." Chemistry students in Spain </w:t>
      </w:r>
      <w:r w:rsidR="004D3E66" w:rsidRPr="00853D74">
        <w:rPr>
          <w:rFonts w:ascii="Times New Roman" w:hAnsi="Times New Roman" w:cs="Times New Roman"/>
          <w:sz w:val="24"/>
          <w:szCs w:val="24"/>
        </w:rPr>
        <w:t>experienced</w:t>
      </w:r>
      <w:r w:rsidRPr="00853D74">
        <w:rPr>
          <w:rFonts w:ascii="Times New Roman" w:hAnsi="Times New Roman" w:cs="Times New Roman"/>
          <w:sz w:val="24"/>
          <w:szCs w:val="24"/>
        </w:rPr>
        <w:t xml:space="preserve"> that while it was easy enough to understand theoretical content, the conversion of practical laboratory sessions into an online format using virtual simulations or videos was a lot more work to understand</w:t>
      </w:r>
      <w:r w:rsidR="00D93100"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Rodríguez-Rodríguez et al., 2020</w:t>
      </w:r>
      <w:r w:rsidR="00D93100" w:rsidRPr="00853D74">
        <w:rPr>
          <w:rFonts w:ascii="Times New Roman" w:hAnsi="Times New Roman" w:cs="Times New Roman"/>
          <w:sz w:val="24"/>
          <w:szCs w:val="24"/>
        </w:rPr>
        <w:t>)</w:t>
      </w:r>
      <w:r w:rsidRPr="00853D74">
        <w:rPr>
          <w:rFonts w:ascii="Times New Roman" w:hAnsi="Times New Roman" w:cs="Times New Roman"/>
          <w:sz w:val="24"/>
          <w:szCs w:val="24"/>
        </w:rPr>
        <w:t xml:space="preserve">. Student feedback suggested a strong preference for face-to-face interaction for practical work </w:t>
      </w:r>
      <w:r w:rsidR="004D3E66" w:rsidRPr="00853D74">
        <w:rPr>
          <w:rFonts w:ascii="Times New Roman" w:hAnsi="Times New Roman" w:cs="Times New Roman"/>
          <w:sz w:val="24"/>
          <w:szCs w:val="24"/>
        </w:rPr>
        <w:t>to</w:t>
      </w:r>
      <w:r w:rsidRPr="00853D74">
        <w:rPr>
          <w:rFonts w:ascii="Times New Roman" w:hAnsi="Times New Roman" w:cs="Times New Roman"/>
          <w:sz w:val="24"/>
          <w:szCs w:val="24"/>
        </w:rPr>
        <w:t xml:space="preserve"> perform certain tasks indicating that even with the most sophisticated digital tools, practical skills and critical thinking involved at the laboratory bench are extremely hard to replicate virtually. This context exposes that although technology has been able to resolve the delivery of information, it has not been able to replicate the experiential learning characteristic </w:t>
      </w:r>
      <w:r w:rsidR="004D3E66" w:rsidRPr="00853D74">
        <w:rPr>
          <w:rFonts w:ascii="Times New Roman" w:hAnsi="Times New Roman" w:cs="Times New Roman"/>
          <w:sz w:val="24"/>
          <w:szCs w:val="24"/>
        </w:rPr>
        <w:t xml:space="preserve">particularly </w:t>
      </w:r>
      <w:r w:rsidRPr="00853D74">
        <w:rPr>
          <w:rFonts w:ascii="Times New Roman" w:hAnsi="Times New Roman" w:cs="Times New Roman"/>
          <w:sz w:val="24"/>
          <w:szCs w:val="24"/>
        </w:rPr>
        <w:t>of chemistry.</w:t>
      </w:r>
      <w:r w:rsidR="004D3E66" w:rsidRPr="00853D74">
        <w:rPr>
          <w:rFonts w:ascii="Times New Roman" w:hAnsi="Times New Roman" w:cs="Times New Roman"/>
          <w:sz w:val="24"/>
          <w:szCs w:val="24"/>
        </w:rPr>
        <w:t xml:space="preserve"> </w:t>
      </w:r>
      <w:r w:rsidRPr="00853D74">
        <w:rPr>
          <w:rFonts w:ascii="Times New Roman" w:hAnsi="Times New Roman" w:cs="Times New Roman"/>
          <w:sz w:val="24"/>
          <w:szCs w:val="24"/>
        </w:rPr>
        <w:t>While, a private university in Philippines provides interesting case study of Pedagogical innovation rather than pure technological solutions</w:t>
      </w:r>
      <w:r w:rsidR="005D68FA"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Joaquin et al., 2020</w:t>
      </w:r>
      <w:r w:rsidR="005D68FA" w:rsidRPr="00853D74">
        <w:rPr>
          <w:rFonts w:ascii="Times New Roman" w:hAnsi="Times New Roman" w:cs="Times New Roman"/>
          <w:sz w:val="24"/>
          <w:szCs w:val="24"/>
        </w:rPr>
        <w:t>)</w:t>
      </w:r>
      <w:r w:rsidRPr="00853D74">
        <w:rPr>
          <w:rFonts w:ascii="Times New Roman" w:hAnsi="Times New Roman" w:cs="Times New Roman"/>
          <w:sz w:val="24"/>
          <w:szCs w:val="24"/>
        </w:rPr>
        <w:t>. Facing a middle ground of the improved resources but still constricted bandwidths (which is common in the archipelagic nation) educators put in practice structured strategy called DLPCA (Discover, Learn, Practice, Collaborate and Assess)</w:t>
      </w:r>
      <w:r w:rsidR="005D68FA"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Setiawan and Rosli, 2022</w:t>
      </w:r>
      <w:r w:rsidR="005D68FA" w:rsidRPr="00853D74">
        <w:rPr>
          <w:rFonts w:ascii="Times New Roman" w:hAnsi="Times New Roman" w:cs="Times New Roman"/>
          <w:sz w:val="24"/>
          <w:szCs w:val="24"/>
        </w:rPr>
        <w:t>)</w:t>
      </w:r>
      <w:r w:rsidRPr="00853D74">
        <w:rPr>
          <w:rFonts w:ascii="Times New Roman" w:hAnsi="Times New Roman" w:cs="Times New Roman"/>
          <w:sz w:val="24"/>
          <w:szCs w:val="24"/>
        </w:rPr>
        <w:t>. This approach was an effective way to operationalize the "flipped classroom" model for the remote era. Understanding that live streaming was not always feasible for students using small amounts of data, the university used pre-recorded videos hosted on YouTube. This way, students were able to "Discover" and "Learn" the theoretical concepts asynchronously, at their own pace and resolution settings which bypasses bandwidth bottlenecks</w:t>
      </w:r>
      <w:r w:rsidR="00B42414" w:rsidRPr="00853D74">
        <w:rPr>
          <w:rFonts w:ascii="Times New Roman" w:hAnsi="Times New Roman" w:cs="Times New Roman"/>
          <w:sz w:val="24"/>
          <w:szCs w:val="24"/>
        </w:rPr>
        <w:t xml:space="preserve"> (</w:t>
      </w:r>
      <w:proofErr w:type="spellStart"/>
      <w:r w:rsidR="00A04AE2" w:rsidRPr="00853D74">
        <w:rPr>
          <w:rFonts w:ascii="Times New Roman" w:hAnsi="Times New Roman" w:cs="Times New Roman"/>
          <w:sz w:val="24"/>
          <w:szCs w:val="24"/>
        </w:rPr>
        <w:t>Baig</w:t>
      </w:r>
      <w:proofErr w:type="spellEnd"/>
      <w:r w:rsidR="00A04AE2" w:rsidRPr="00853D74">
        <w:rPr>
          <w:rFonts w:ascii="Times New Roman" w:hAnsi="Times New Roman" w:cs="Times New Roman"/>
          <w:sz w:val="24"/>
          <w:szCs w:val="24"/>
        </w:rPr>
        <w:t xml:space="preserve"> and </w:t>
      </w:r>
      <w:proofErr w:type="spellStart"/>
      <w:r w:rsidR="00A04AE2" w:rsidRPr="00853D74">
        <w:rPr>
          <w:rFonts w:ascii="Times New Roman" w:hAnsi="Times New Roman" w:cs="Times New Roman"/>
          <w:sz w:val="24"/>
          <w:szCs w:val="24"/>
        </w:rPr>
        <w:t>Yadegaridehkordi</w:t>
      </w:r>
      <w:proofErr w:type="spellEnd"/>
      <w:r w:rsidR="00A04AE2" w:rsidRPr="00853D74">
        <w:rPr>
          <w:rFonts w:ascii="Times New Roman" w:hAnsi="Times New Roman" w:cs="Times New Roman"/>
          <w:sz w:val="24"/>
          <w:szCs w:val="24"/>
        </w:rPr>
        <w:t>, 2023</w:t>
      </w:r>
      <w:r w:rsidR="00B42414" w:rsidRPr="00853D74">
        <w:rPr>
          <w:rFonts w:ascii="Times New Roman" w:hAnsi="Times New Roman" w:cs="Times New Roman"/>
          <w:sz w:val="24"/>
          <w:szCs w:val="24"/>
        </w:rPr>
        <w:t>)</w:t>
      </w:r>
      <w:r w:rsidRPr="00853D74">
        <w:rPr>
          <w:rFonts w:ascii="Times New Roman" w:hAnsi="Times New Roman" w:cs="Times New Roman"/>
          <w:sz w:val="24"/>
          <w:szCs w:val="24"/>
        </w:rPr>
        <w:t xml:space="preserve">. </w:t>
      </w:r>
      <w:r w:rsidR="00384220" w:rsidRPr="00853D74">
        <w:rPr>
          <w:rFonts w:ascii="Times New Roman" w:hAnsi="Times New Roman" w:cs="Times New Roman"/>
          <w:sz w:val="24"/>
          <w:szCs w:val="24"/>
        </w:rPr>
        <w:t>Synchronous sessions were then set aside for high value interaction such as collaborative problem-solving and "Practice." The results of this strategic pivot were striking; the University said that it has seen improvement in student performance, and hate a significantly lower rate of students failing, as compared to previous face-to-face semesters.</w:t>
      </w:r>
      <w:r w:rsidR="001C2857" w:rsidRPr="00853D74">
        <w:rPr>
          <w:rFonts w:ascii="Times New Roman" w:hAnsi="Times New Roman" w:cs="Times New Roman"/>
          <w:sz w:val="24"/>
          <w:szCs w:val="24"/>
        </w:rPr>
        <w:t xml:space="preserve"> </w:t>
      </w:r>
      <w:r w:rsidRPr="00853D74">
        <w:rPr>
          <w:rFonts w:ascii="Times New Roman" w:hAnsi="Times New Roman" w:cs="Times New Roman"/>
          <w:sz w:val="24"/>
          <w:szCs w:val="24"/>
        </w:rPr>
        <w:t xml:space="preserve">Finally, for all three contexts, there </w:t>
      </w:r>
      <w:r w:rsidRPr="00853D74">
        <w:rPr>
          <w:rFonts w:ascii="Times New Roman" w:hAnsi="Times New Roman" w:cs="Times New Roman"/>
          <w:sz w:val="24"/>
          <w:szCs w:val="24"/>
        </w:rPr>
        <w:lastRenderedPageBreak/>
        <w:t>was a forced evolution of the assessment landscape. The movement to online platforms raised immediate concerns for the academic integrity because of the inability to have traditional invigilated examinations</w:t>
      </w:r>
      <w:r w:rsidR="00B42414"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Holden et al., 2021</w:t>
      </w:r>
      <w:r w:rsidR="00B42414" w:rsidRPr="00853D74">
        <w:rPr>
          <w:rFonts w:ascii="Times New Roman" w:hAnsi="Times New Roman" w:cs="Times New Roman"/>
          <w:sz w:val="24"/>
          <w:szCs w:val="24"/>
        </w:rPr>
        <w:t>)</w:t>
      </w:r>
      <w:r w:rsidRPr="00853D74">
        <w:rPr>
          <w:rFonts w:ascii="Times New Roman" w:hAnsi="Times New Roman" w:cs="Times New Roman"/>
          <w:sz w:val="24"/>
          <w:szCs w:val="24"/>
        </w:rPr>
        <w:t>.</w:t>
      </w:r>
      <w:r w:rsidR="00A54FB6" w:rsidRPr="00853D74">
        <w:rPr>
          <w:rFonts w:ascii="Times New Roman" w:hAnsi="Times New Roman" w:cs="Times New Roman"/>
          <w:sz w:val="24"/>
          <w:szCs w:val="24"/>
        </w:rPr>
        <w:t xml:space="preserve"> </w:t>
      </w:r>
      <w:r w:rsidR="00384220" w:rsidRPr="00853D74">
        <w:rPr>
          <w:rFonts w:ascii="Times New Roman" w:hAnsi="Times New Roman" w:cs="Times New Roman"/>
          <w:sz w:val="24"/>
          <w:szCs w:val="24"/>
        </w:rPr>
        <w:t>In conclusion, this synthesis of experiences in India, Spain and Philippines shows that there was no one "pandemic pedagogy". Whether government portals and WhatsApp in India, strong Virtual Campuses in Spain or the structured DLPCA model in the Philippines, the one common point was the pedagogical resiliency of the educators</w:t>
      </w:r>
      <w:r w:rsidR="00B42414"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Ramirez, 2020</w:t>
      </w:r>
      <w:r w:rsidR="00B42414" w:rsidRPr="00853D74">
        <w:rPr>
          <w:rFonts w:ascii="Times New Roman" w:hAnsi="Times New Roman" w:cs="Times New Roman"/>
          <w:sz w:val="24"/>
          <w:szCs w:val="24"/>
        </w:rPr>
        <w:t>)</w:t>
      </w:r>
      <w:r w:rsidR="00384220" w:rsidRPr="00853D74">
        <w:rPr>
          <w:rFonts w:ascii="Times New Roman" w:hAnsi="Times New Roman" w:cs="Times New Roman"/>
          <w:sz w:val="24"/>
          <w:szCs w:val="24"/>
        </w:rPr>
        <w:t xml:space="preserve">. </w:t>
      </w:r>
      <w:r w:rsidRPr="00853D74">
        <w:rPr>
          <w:rFonts w:ascii="Times New Roman" w:hAnsi="Times New Roman" w:cs="Times New Roman"/>
          <w:sz w:val="24"/>
          <w:szCs w:val="24"/>
        </w:rPr>
        <w:t>They successfully negotiated the transition from "sage" to "guide" and the continuity of scientific learning could be maintained, despite the lack of physical classrooms and laboratories, the transmission of chemical knowledge could survive.</w:t>
      </w:r>
      <w:r w:rsidR="00F64475" w:rsidRPr="00853D74">
        <w:rPr>
          <w:rFonts w:ascii="Times New Roman" w:hAnsi="Times New Roman" w:cs="Times New Roman"/>
          <w:sz w:val="24"/>
          <w:szCs w:val="24"/>
        </w:rPr>
        <w:t xml:space="preserve"> Despite the reactive pivot of chemistry education to digital due to the pandemic, the future of chemistry education is the proactive integration. This combination of a hybrid pedagogy and cutting-edge computational technologies (AI/ML/IoT) should yield chemists that are both good experimentalists and data scientists. (</w:t>
      </w:r>
      <w:r w:rsidR="00A04AE2" w:rsidRPr="00853D74">
        <w:rPr>
          <w:rFonts w:ascii="Times New Roman" w:hAnsi="Times New Roman" w:cs="Times New Roman"/>
          <w:sz w:val="24"/>
          <w:szCs w:val="24"/>
        </w:rPr>
        <w:t>Huang, 2025;</w:t>
      </w:r>
      <w:r w:rsidR="005D68FA" w:rsidRPr="00853D74">
        <w:rPr>
          <w:rFonts w:ascii="Times New Roman" w:hAnsi="Times New Roman" w:cs="Times New Roman"/>
          <w:sz w:val="24"/>
          <w:szCs w:val="24"/>
        </w:rPr>
        <w:t xml:space="preserve"> </w:t>
      </w:r>
      <w:bookmarkStart w:id="0" w:name="_Hlk218924845"/>
      <w:r w:rsidR="00F64475" w:rsidRPr="00853D74">
        <w:rPr>
          <w:rFonts w:ascii="Times New Roman" w:hAnsi="Times New Roman" w:cs="Times New Roman"/>
          <w:sz w:val="24"/>
          <w:szCs w:val="24"/>
        </w:rPr>
        <w:t>Reyes</w:t>
      </w:r>
      <w:r w:rsidR="00A04AE2" w:rsidRPr="00853D74">
        <w:rPr>
          <w:rFonts w:ascii="Times New Roman" w:hAnsi="Times New Roman" w:cs="Times New Roman"/>
          <w:sz w:val="24"/>
          <w:szCs w:val="24"/>
        </w:rPr>
        <w:t xml:space="preserve"> </w:t>
      </w:r>
      <w:r w:rsidR="00F64475" w:rsidRPr="00853D74">
        <w:rPr>
          <w:rFonts w:ascii="Times New Roman" w:hAnsi="Times New Roman" w:cs="Times New Roman"/>
          <w:sz w:val="24"/>
          <w:szCs w:val="24"/>
        </w:rPr>
        <w:t>and Regala</w:t>
      </w:r>
      <w:r w:rsidR="00A04AE2" w:rsidRPr="00853D74">
        <w:rPr>
          <w:rFonts w:ascii="Times New Roman" w:hAnsi="Times New Roman" w:cs="Times New Roman"/>
          <w:sz w:val="24"/>
          <w:szCs w:val="24"/>
        </w:rPr>
        <w:t xml:space="preserve">, </w:t>
      </w:r>
      <w:r w:rsidR="00F64475" w:rsidRPr="00853D74">
        <w:rPr>
          <w:rFonts w:ascii="Times New Roman" w:hAnsi="Times New Roman" w:cs="Times New Roman"/>
          <w:sz w:val="24"/>
          <w:szCs w:val="24"/>
        </w:rPr>
        <w:t>2025</w:t>
      </w:r>
      <w:bookmarkEnd w:id="0"/>
      <w:r w:rsidR="00F64475" w:rsidRPr="00853D74">
        <w:rPr>
          <w:rFonts w:ascii="Times New Roman" w:hAnsi="Times New Roman" w:cs="Times New Roman"/>
          <w:sz w:val="24"/>
          <w:szCs w:val="24"/>
        </w:rPr>
        <w:t>)</w:t>
      </w:r>
      <w:r w:rsidR="00615EDA" w:rsidRPr="00853D74">
        <w:rPr>
          <w:rFonts w:ascii="Times New Roman" w:hAnsi="Times New Roman" w:cs="Times New Roman"/>
          <w:sz w:val="24"/>
          <w:szCs w:val="24"/>
        </w:rPr>
        <w:t xml:space="preserve">. </w:t>
      </w:r>
    </w:p>
    <w:p w14:paraId="33EA61D4" w14:textId="77777777" w:rsidR="00FC3D93" w:rsidRPr="00853D74" w:rsidRDefault="00FC3D93" w:rsidP="001F53A7">
      <w:pPr>
        <w:spacing w:after="0" w:line="360" w:lineRule="auto"/>
        <w:jc w:val="both"/>
        <w:rPr>
          <w:rFonts w:ascii="Times New Roman" w:hAnsi="Times New Roman" w:cs="Times New Roman"/>
          <w:sz w:val="24"/>
          <w:szCs w:val="24"/>
        </w:rPr>
      </w:pPr>
    </w:p>
    <w:p w14:paraId="65A0DD35" w14:textId="26A23123" w:rsidR="003B3E23" w:rsidRPr="00853D74" w:rsidRDefault="006E0F3C"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2. </w:t>
      </w:r>
      <w:r w:rsidR="00703437" w:rsidRPr="00853D74">
        <w:rPr>
          <w:rFonts w:ascii="Times New Roman" w:hAnsi="Times New Roman" w:cs="Times New Roman"/>
          <w:sz w:val="24"/>
          <w:szCs w:val="24"/>
        </w:rPr>
        <w:t xml:space="preserve">Adaption of Delivery Models in New </w:t>
      </w:r>
      <w:r w:rsidR="003B3E23" w:rsidRPr="00853D74">
        <w:rPr>
          <w:rFonts w:ascii="Times New Roman" w:hAnsi="Times New Roman" w:cs="Times New Roman"/>
          <w:sz w:val="24"/>
          <w:szCs w:val="24"/>
        </w:rPr>
        <w:t>Pedagogical</w:t>
      </w:r>
      <w:r w:rsidR="00703437" w:rsidRPr="00853D74">
        <w:rPr>
          <w:rFonts w:ascii="Times New Roman" w:hAnsi="Times New Roman" w:cs="Times New Roman"/>
          <w:sz w:val="24"/>
          <w:szCs w:val="24"/>
        </w:rPr>
        <w:t xml:space="preserve"> Approach</w:t>
      </w:r>
    </w:p>
    <w:p w14:paraId="27EFED1D" w14:textId="183BC15E" w:rsidR="001C2857" w:rsidRPr="00853D74" w:rsidRDefault="001C2857" w:rsidP="001C2857">
      <w:pPr>
        <w:spacing w:after="0" w:line="360" w:lineRule="auto"/>
        <w:jc w:val="both"/>
        <w:rPr>
          <w:rFonts w:ascii="Times New Roman" w:hAnsi="Times New Roman" w:cs="Times New Roman"/>
          <w:noProof/>
          <w:sz w:val="24"/>
          <w:szCs w:val="24"/>
        </w:rPr>
      </w:pPr>
      <w:r w:rsidRPr="00853D74">
        <w:rPr>
          <w:rFonts w:ascii="Times New Roman" w:hAnsi="Times New Roman" w:cs="Times New Roman"/>
          <w:sz w:val="24"/>
          <w:szCs w:val="24"/>
        </w:rPr>
        <w:t xml:space="preserve">The shift to online learning required leaving behind traditional lecture models in favour of flexible models of delivery that could accommodate restrictions on physical gatherings. Fig. 1. exhibits transformative nature of chemistry education from traditional hands-on pedagogy through the emergency digital disruptions of the Covid-19 pandemic. It also describes a future computational tool for next generation of digitally-savvy chemists. </w:t>
      </w:r>
    </w:p>
    <w:p w14:paraId="2117289E" w14:textId="4C61096F" w:rsidR="001C2857" w:rsidRPr="00853D74" w:rsidRDefault="001C2857" w:rsidP="001C2857">
      <w:pPr>
        <w:spacing w:after="0" w:line="360" w:lineRule="auto"/>
        <w:jc w:val="both"/>
        <w:rPr>
          <w:rFonts w:ascii="Times New Roman" w:hAnsi="Times New Roman" w:cs="Times New Roman"/>
          <w:sz w:val="24"/>
          <w:szCs w:val="24"/>
        </w:rPr>
      </w:pPr>
      <w:r w:rsidRPr="00853D74">
        <w:rPr>
          <w:rFonts w:ascii="Times New Roman" w:hAnsi="Times New Roman" w:cs="Times New Roman"/>
          <w:noProof/>
          <w:sz w:val="24"/>
          <w:szCs w:val="24"/>
        </w:rPr>
        <w:drawing>
          <wp:inline distT="0" distB="0" distL="0" distR="0" wp14:anchorId="2C0B8242" wp14:editId="2270796A">
            <wp:extent cx="5763802" cy="2920006"/>
            <wp:effectExtent l="0" t="0" r="8890" b="0"/>
            <wp:docPr id="534635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110"/>
                    <a:stretch>
                      <a:fillRect/>
                    </a:stretch>
                  </pic:blipFill>
                  <pic:spPr bwMode="auto">
                    <a:xfrm>
                      <a:off x="0" y="0"/>
                      <a:ext cx="5765413" cy="2920822"/>
                    </a:xfrm>
                    <a:prstGeom prst="rect">
                      <a:avLst/>
                    </a:prstGeom>
                    <a:noFill/>
                    <a:ln>
                      <a:noFill/>
                    </a:ln>
                    <a:extLst>
                      <a:ext uri="{53640926-AAD7-44D8-BBD7-CCE9431645EC}">
                        <a14:shadowObscured xmlns:a14="http://schemas.microsoft.com/office/drawing/2010/main"/>
                      </a:ext>
                    </a:extLst>
                  </pic:spPr>
                </pic:pic>
              </a:graphicData>
            </a:graphic>
          </wp:inline>
        </w:drawing>
      </w:r>
    </w:p>
    <w:p w14:paraId="2B7A2786" w14:textId="77777777" w:rsidR="001C2857" w:rsidRPr="00853D74" w:rsidRDefault="001C2857" w:rsidP="001C2857">
      <w:pPr>
        <w:spacing w:after="0" w:line="360" w:lineRule="auto"/>
        <w:jc w:val="both"/>
        <w:rPr>
          <w:rFonts w:ascii="Times New Roman" w:hAnsi="Times New Roman" w:cs="Times New Roman"/>
          <w:sz w:val="24"/>
          <w:szCs w:val="24"/>
        </w:rPr>
      </w:pPr>
      <w:r w:rsidRPr="00853D74">
        <w:rPr>
          <w:rFonts w:ascii="Times New Roman" w:hAnsi="Times New Roman" w:cs="Times New Roman"/>
          <w:b/>
          <w:bCs/>
          <w:sz w:val="24"/>
          <w:szCs w:val="24"/>
        </w:rPr>
        <w:t>Fig. 1.:</w:t>
      </w:r>
      <w:r w:rsidRPr="00853D74">
        <w:rPr>
          <w:rFonts w:ascii="Times New Roman" w:hAnsi="Times New Roman" w:cs="Times New Roman"/>
          <w:sz w:val="24"/>
          <w:szCs w:val="24"/>
        </w:rPr>
        <w:t xml:space="preserve"> Redefining Chemistry Education in the Post-Pandemic Era through Hybrid Pedagogy </w:t>
      </w:r>
    </w:p>
    <w:p w14:paraId="05525FA4" w14:textId="7F1EE949" w:rsidR="00AA4EDC" w:rsidRPr="00853D74" w:rsidRDefault="00AA4EDC" w:rsidP="00AA4EDC">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(Image generated using Google Gemini AI for illustrative purposes) </w:t>
      </w:r>
    </w:p>
    <w:p w14:paraId="7CDFC43A" w14:textId="5D5DFFA4"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lastRenderedPageBreak/>
        <w:t xml:space="preserve">2.1. </w:t>
      </w:r>
      <w:r w:rsidR="00703437" w:rsidRPr="00853D74">
        <w:rPr>
          <w:rFonts w:ascii="Times New Roman" w:hAnsi="Times New Roman" w:cs="Times New Roman"/>
          <w:sz w:val="24"/>
          <w:szCs w:val="24"/>
        </w:rPr>
        <w:t>Revolution in</w:t>
      </w:r>
      <w:r w:rsidRPr="00853D74">
        <w:rPr>
          <w:rFonts w:ascii="Times New Roman" w:hAnsi="Times New Roman" w:cs="Times New Roman"/>
          <w:sz w:val="24"/>
          <w:szCs w:val="24"/>
        </w:rPr>
        <w:t xml:space="preserve"> Blended and Hybrid Learning</w:t>
      </w:r>
    </w:p>
    <w:p w14:paraId="2F77E413" w14:textId="505E0104" w:rsidR="003B3E23" w:rsidRPr="00853D74" w:rsidRDefault="00384220"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A common theme found among the reviewed literature is the effectiveness of synchronous (live) and asynchronous (self-paced) instruction when combined. </w:t>
      </w:r>
      <w:r w:rsidR="003B3E23" w:rsidRPr="00853D74">
        <w:rPr>
          <w:rFonts w:ascii="Times New Roman" w:hAnsi="Times New Roman" w:cs="Times New Roman"/>
          <w:sz w:val="24"/>
          <w:szCs w:val="24"/>
        </w:rPr>
        <w:t>In Philippines, the Department of Chemical Engineering, University of Santo Tomas adopted a systematic five component strategy called DLPCA (Discover, Learn, Practice, Collaborate and Assess). This 'flipped classroom' approach involved the use of pre-recorded lecture videos for asynchronous (nonface-to-face) content consumption, while synchronous sessions (using Zoom or Google Meet) were reserved for collaborative problem-solving and clarification</w:t>
      </w:r>
      <w:r w:rsidR="008C3EE3"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Lapitan Jr, 2023</w:t>
      </w:r>
      <w:r w:rsidR="008C3EE3" w:rsidRPr="00853D74">
        <w:rPr>
          <w:rFonts w:ascii="Times New Roman" w:hAnsi="Times New Roman" w:cs="Times New Roman"/>
          <w:sz w:val="24"/>
          <w:szCs w:val="24"/>
        </w:rPr>
        <w:t>)</w:t>
      </w:r>
      <w:r w:rsidR="003B3E23" w:rsidRPr="00853D74">
        <w:rPr>
          <w:rFonts w:ascii="Times New Roman" w:hAnsi="Times New Roman" w:cs="Times New Roman"/>
          <w:sz w:val="24"/>
          <w:szCs w:val="24"/>
        </w:rPr>
        <w:t>. This approach was intended to alleviate the cognitive burden, which gave students the opportunity to process complex concepts in Physical and Analytical Chemistry at their own pace before high-level discussion.</w:t>
      </w:r>
    </w:p>
    <w:p w14:paraId="2575823F" w14:textId="3BCC0A58"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Similarly in Spain the Complutense University of Madrid has adopted a mixed model for their Pharmacy and Food Science degrees</w:t>
      </w:r>
      <w:r w:rsidR="008C3EE3"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Giner-Murillo et al., 2021</w:t>
      </w:r>
      <w:r w:rsidR="008C3EE3" w:rsidRPr="00853D74">
        <w:rPr>
          <w:rFonts w:ascii="Times New Roman" w:hAnsi="Times New Roman" w:cs="Times New Roman"/>
          <w:sz w:val="24"/>
          <w:szCs w:val="24"/>
        </w:rPr>
        <w:t>)</w:t>
      </w:r>
      <w:r w:rsidRPr="00853D74">
        <w:rPr>
          <w:rFonts w:ascii="Times New Roman" w:hAnsi="Times New Roman" w:cs="Times New Roman"/>
          <w:sz w:val="24"/>
          <w:szCs w:val="24"/>
        </w:rPr>
        <w:t>. Theoretical content was provided through the Virtual Campus (Moodle) and Blackboard Collaborate and the practical seminars were provided using Google Meet for synchronous interaction. This impersonal blend enabled students to have a sense of community whilst also benefiting from the flexibility of recorded materials.</w:t>
      </w:r>
    </w:p>
    <w:p w14:paraId="537437AA" w14:textId="77777777" w:rsidR="003B3E23" w:rsidRPr="00853D74" w:rsidRDefault="003B3E23" w:rsidP="003B3E23">
      <w:pPr>
        <w:spacing w:after="0" w:line="360" w:lineRule="auto"/>
        <w:jc w:val="both"/>
        <w:rPr>
          <w:rFonts w:ascii="Times New Roman" w:hAnsi="Times New Roman" w:cs="Times New Roman"/>
          <w:sz w:val="24"/>
          <w:szCs w:val="24"/>
        </w:rPr>
      </w:pPr>
    </w:p>
    <w:p w14:paraId="77544DD9" w14:textId="4E7BEF8A" w:rsidR="00703437"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2.2. </w:t>
      </w:r>
      <w:r w:rsidR="00703437" w:rsidRPr="00853D74">
        <w:rPr>
          <w:rFonts w:ascii="Times New Roman" w:hAnsi="Times New Roman" w:cs="Times New Roman"/>
          <w:sz w:val="24"/>
          <w:szCs w:val="24"/>
        </w:rPr>
        <w:t>Institutional Platforms and Government’s Initiative.</w:t>
      </w:r>
    </w:p>
    <w:p w14:paraId="68D6CC9D" w14:textId="1CE6C3DA"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In India, where there is much variation in the development of the digital infrastructure across different regions, the transition was largely government supported. The National Council of Educational Research and Training (NCERT) took advantage of various platforms like SWAYAM, e-Pathshala (a repository of e-books and audio), 'NCERT OFFICIAL' YouTube channel etc. to spread content</w:t>
      </w:r>
      <w:r w:rsidR="008C3EE3"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Khan, 2023</w:t>
      </w:r>
      <w:r w:rsidR="008C3EE3" w:rsidRPr="00853D74">
        <w:rPr>
          <w:rFonts w:ascii="Times New Roman" w:hAnsi="Times New Roman" w:cs="Times New Roman"/>
          <w:sz w:val="24"/>
          <w:szCs w:val="24"/>
        </w:rPr>
        <w:t>)</w:t>
      </w:r>
      <w:r w:rsidRPr="00853D74">
        <w:rPr>
          <w:rFonts w:ascii="Times New Roman" w:hAnsi="Times New Roman" w:cs="Times New Roman"/>
          <w:sz w:val="24"/>
          <w:szCs w:val="24"/>
        </w:rPr>
        <w:t>. Unlike the integrated LMS approaches seen in Spain and the Philippines, the Indian situation adopted a wider range of accessible tools such as WhatsApp for doubt clearance and distribution of study material, so that education was accessible even within a low bandwidth environment</w:t>
      </w:r>
      <w:r w:rsidR="008C3EE3"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Bozkurt, 2020</w:t>
      </w:r>
      <w:r w:rsidR="008C3EE3" w:rsidRPr="00853D74">
        <w:rPr>
          <w:rFonts w:ascii="Times New Roman" w:hAnsi="Times New Roman" w:cs="Times New Roman"/>
          <w:sz w:val="24"/>
          <w:szCs w:val="24"/>
        </w:rPr>
        <w:t>)</w:t>
      </w:r>
      <w:r w:rsidRPr="00853D74">
        <w:rPr>
          <w:rFonts w:ascii="Times New Roman" w:hAnsi="Times New Roman" w:cs="Times New Roman"/>
          <w:sz w:val="24"/>
          <w:szCs w:val="24"/>
        </w:rPr>
        <w:t>.</w:t>
      </w:r>
    </w:p>
    <w:p w14:paraId="5B63F164" w14:textId="77777777" w:rsidR="00AF3DC2" w:rsidRPr="00853D74" w:rsidRDefault="00AF3DC2" w:rsidP="003B3E23">
      <w:pPr>
        <w:spacing w:after="0" w:line="360" w:lineRule="auto"/>
        <w:jc w:val="both"/>
        <w:rPr>
          <w:rFonts w:ascii="Times New Roman" w:hAnsi="Times New Roman" w:cs="Times New Roman"/>
          <w:sz w:val="24"/>
          <w:szCs w:val="24"/>
        </w:rPr>
      </w:pPr>
    </w:p>
    <w:p w14:paraId="4CFC26FF" w14:textId="1124EE39" w:rsidR="00AF3DC2" w:rsidRPr="00853D74" w:rsidRDefault="00AF3DC2" w:rsidP="00AF3DC2">
      <w:p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2.3. </w:t>
      </w:r>
      <w:r w:rsidR="00703437" w:rsidRPr="00853D74">
        <w:rPr>
          <w:rFonts w:ascii="Times New Roman" w:hAnsi="Times New Roman" w:cs="Times New Roman"/>
          <w:sz w:val="24"/>
          <w:szCs w:val="24"/>
          <w:lang w:val="en-GB"/>
        </w:rPr>
        <w:t>Instructor perspectives: Digital interface adjustment.</w:t>
      </w:r>
    </w:p>
    <w:p w14:paraId="5AE08440" w14:textId="33FF9552" w:rsidR="00AF3DC2" w:rsidRPr="00853D74" w:rsidRDefault="00AF3DC2" w:rsidP="00AF3DC2">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The shift to virtual instruction required a quick change in personal teaching methods, especially for a discipline with high visual and quantitative content as chemistry. As the author of this review and an active educator during the pandemic, the immediate shift from physical blackboards to digital screens forced the immediate adaptation of the new hardware/software to continue being pedagogically effective.</w:t>
      </w:r>
      <w:r w:rsidR="00AE2C94" w:rsidRPr="00853D74">
        <w:rPr>
          <w:rFonts w:ascii="Times New Roman" w:hAnsi="Times New Roman" w:cs="Times New Roman"/>
          <w:sz w:val="24"/>
          <w:szCs w:val="24"/>
        </w:rPr>
        <w:t xml:space="preserve"> </w:t>
      </w:r>
      <w:r w:rsidRPr="00853D74">
        <w:rPr>
          <w:rFonts w:ascii="Times New Roman" w:hAnsi="Times New Roman" w:cs="Times New Roman"/>
          <w:sz w:val="24"/>
          <w:szCs w:val="24"/>
        </w:rPr>
        <w:t xml:space="preserve">A very important adaptation was the use of a digital </w:t>
      </w:r>
      <w:r w:rsidRPr="00853D74">
        <w:rPr>
          <w:rFonts w:ascii="Times New Roman" w:hAnsi="Times New Roman" w:cs="Times New Roman"/>
          <w:sz w:val="24"/>
          <w:szCs w:val="24"/>
        </w:rPr>
        <w:lastRenderedPageBreak/>
        <w:t>pen tablet (pen tab) as part of the everyday teaching routine. In a traditional classroom an indispensable tool is the blackboard to derive not only complex chemical calculations but also sketch reaction mechanisms in real-time. The pen tablet was able to overcome this deficit and enabled the natural handwriting of chemical equations and the drawing of molecular structures with precision, directly onto the virtual whiteboard</w:t>
      </w:r>
      <w:r w:rsidR="008C3EE3"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Lee, 2021</w:t>
      </w:r>
      <w:r w:rsidR="008C3EE3" w:rsidRPr="00853D74">
        <w:rPr>
          <w:rFonts w:ascii="Times New Roman" w:hAnsi="Times New Roman" w:cs="Times New Roman"/>
          <w:sz w:val="24"/>
          <w:szCs w:val="24"/>
        </w:rPr>
        <w:t>)</w:t>
      </w:r>
      <w:r w:rsidRPr="00853D74">
        <w:rPr>
          <w:rFonts w:ascii="Times New Roman" w:hAnsi="Times New Roman" w:cs="Times New Roman"/>
          <w:sz w:val="24"/>
          <w:szCs w:val="24"/>
        </w:rPr>
        <w:t>. This tool was extremely useful in emulating "chalk and talk" method where the instruction would not be a static slide presentation but the students could follow the logical flow of mathematical derivations step by step</w:t>
      </w:r>
      <w:r w:rsidR="003F3661" w:rsidRPr="00853D74">
        <w:rPr>
          <w:rFonts w:ascii="Times New Roman" w:hAnsi="Times New Roman" w:cs="Times New Roman"/>
          <w:sz w:val="24"/>
          <w:szCs w:val="24"/>
        </w:rPr>
        <w:t xml:space="preserve">. </w:t>
      </w:r>
      <w:r w:rsidRPr="00853D74">
        <w:rPr>
          <w:rFonts w:ascii="Times New Roman" w:hAnsi="Times New Roman" w:cs="Times New Roman"/>
          <w:sz w:val="24"/>
          <w:szCs w:val="24"/>
        </w:rPr>
        <w:t>Furthermore, the teaching of stereochemistry (which requires a good understanding of spatial relationships and visualization in three dimensions) was seen as a special challenge in a 2D virtual environment</w:t>
      </w:r>
      <w:r w:rsidR="008C3EE3" w:rsidRPr="00853D74">
        <w:rPr>
          <w:rFonts w:ascii="Times New Roman" w:hAnsi="Times New Roman" w:cs="Times New Roman"/>
          <w:sz w:val="24"/>
          <w:szCs w:val="24"/>
        </w:rPr>
        <w:t xml:space="preserve"> (</w:t>
      </w:r>
      <w:r w:rsidR="00A04AE2" w:rsidRPr="00853D74">
        <w:rPr>
          <w:rFonts w:ascii="Times New Roman" w:hAnsi="Times New Roman" w:cs="Times New Roman"/>
          <w:sz w:val="24"/>
          <w:szCs w:val="24"/>
        </w:rPr>
        <w:t>KL et al., 2018</w:t>
      </w:r>
      <w:r w:rsidR="008C3EE3" w:rsidRPr="00853D74">
        <w:rPr>
          <w:rFonts w:ascii="Times New Roman" w:hAnsi="Times New Roman" w:cs="Times New Roman"/>
          <w:sz w:val="24"/>
          <w:szCs w:val="24"/>
        </w:rPr>
        <w:t>)</w:t>
      </w:r>
      <w:r w:rsidRPr="00853D74">
        <w:rPr>
          <w:rFonts w:ascii="Times New Roman" w:hAnsi="Times New Roman" w:cs="Times New Roman"/>
          <w:sz w:val="24"/>
          <w:szCs w:val="24"/>
        </w:rPr>
        <w:t xml:space="preserve">. </w:t>
      </w:r>
      <w:r w:rsidR="00A93768" w:rsidRPr="00853D74">
        <w:rPr>
          <w:rFonts w:ascii="Times New Roman" w:hAnsi="Times New Roman" w:cs="Times New Roman"/>
          <w:sz w:val="24"/>
          <w:szCs w:val="24"/>
        </w:rPr>
        <w:t xml:space="preserve">Motivating students create their own models using household materials inspired them to develop them through audio-visual tools showing 3D models of the concepts that were being taught. This hybrid approach to digital technology and in-person protest was effective in keeping learning going and interest up during a time of desperate remote learning </w:t>
      </w:r>
      <w:r w:rsidR="008C3EE3" w:rsidRPr="00853D74">
        <w:rPr>
          <w:rFonts w:ascii="Times New Roman" w:hAnsi="Times New Roman" w:cs="Times New Roman"/>
          <w:sz w:val="24"/>
          <w:szCs w:val="24"/>
        </w:rPr>
        <w:t>(</w:t>
      </w:r>
      <w:r w:rsidR="00136893" w:rsidRPr="00853D74">
        <w:rPr>
          <w:rFonts w:ascii="Times New Roman" w:hAnsi="Times New Roman" w:cs="Times New Roman"/>
          <w:sz w:val="24"/>
          <w:szCs w:val="24"/>
        </w:rPr>
        <w:t>Cui, 2023</w:t>
      </w:r>
      <w:r w:rsidR="008C3EE3" w:rsidRPr="00853D74">
        <w:rPr>
          <w:rFonts w:ascii="Times New Roman" w:hAnsi="Times New Roman" w:cs="Times New Roman"/>
          <w:sz w:val="24"/>
          <w:szCs w:val="24"/>
        </w:rPr>
        <w:t>)</w:t>
      </w:r>
      <w:r w:rsidRPr="00853D74">
        <w:rPr>
          <w:rFonts w:ascii="Times New Roman" w:hAnsi="Times New Roman" w:cs="Times New Roman"/>
          <w:sz w:val="24"/>
          <w:szCs w:val="24"/>
        </w:rPr>
        <w:t>.</w:t>
      </w:r>
    </w:p>
    <w:p w14:paraId="146EE8A6" w14:textId="723E6623" w:rsidR="00AF3DC2" w:rsidRPr="00853D74" w:rsidRDefault="00AF3DC2" w:rsidP="003B3E23">
      <w:pPr>
        <w:spacing w:after="0" w:line="360" w:lineRule="auto"/>
        <w:jc w:val="both"/>
        <w:rPr>
          <w:rFonts w:ascii="Times New Roman" w:hAnsi="Times New Roman" w:cs="Times New Roman"/>
          <w:sz w:val="24"/>
          <w:szCs w:val="24"/>
        </w:rPr>
      </w:pPr>
    </w:p>
    <w:p w14:paraId="13748126" w14:textId="71D2E72D"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3. </w:t>
      </w:r>
      <w:r w:rsidR="00703437" w:rsidRPr="00853D74">
        <w:rPr>
          <w:rFonts w:ascii="Times New Roman" w:hAnsi="Times New Roman" w:cs="Times New Roman"/>
          <w:sz w:val="24"/>
          <w:szCs w:val="24"/>
        </w:rPr>
        <w:t>The Digital Divide and Problems of Infrastructure.</w:t>
      </w:r>
    </w:p>
    <w:p w14:paraId="778B47AC" w14:textId="310C3EFF"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The success of the online teaching strategies depended inextricably on the socio-technical constraints of the student body. The </w:t>
      </w:r>
      <w:r w:rsidR="00C014CB" w:rsidRPr="00853D74">
        <w:rPr>
          <w:rFonts w:ascii="Times New Roman" w:hAnsi="Times New Roman" w:cs="Times New Roman"/>
          <w:sz w:val="24"/>
          <w:szCs w:val="24"/>
        </w:rPr>
        <w:t xml:space="preserve">presented </w:t>
      </w:r>
      <w:r w:rsidRPr="00853D74">
        <w:rPr>
          <w:rFonts w:ascii="Times New Roman" w:hAnsi="Times New Roman" w:cs="Times New Roman"/>
          <w:sz w:val="24"/>
          <w:szCs w:val="24"/>
        </w:rPr>
        <w:t xml:space="preserve">studies </w:t>
      </w:r>
      <w:r w:rsidR="00C014CB" w:rsidRPr="00853D74">
        <w:rPr>
          <w:rFonts w:ascii="Times New Roman" w:hAnsi="Times New Roman" w:cs="Times New Roman"/>
          <w:sz w:val="24"/>
          <w:szCs w:val="24"/>
        </w:rPr>
        <w:t>focus on the</w:t>
      </w:r>
      <w:r w:rsidRPr="00853D74">
        <w:rPr>
          <w:rFonts w:ascii="Times New Roman" w:hAnsi="Times New Roman" w:cs="Times New Roman"/>
          <w:sz w:val="24"/>
          <w:szCs w:val="24"/>
        </w:rPr>
        <w:t xml:space="preserve"> </w:t>
      </w:r>
      <w:r w:rsidR="00C014CB" w:rsidRPr="00853D74">
        <w:rPr>
          <w:rFonts w:ascii="Times New Roman" w:hAnsi="Times New Roman" w:cs="Times New Roman"/>
          <w:sz w:val="24"/>
          <w:szCs w:val="24"/>
        </w:rPr>
        <w:t>unambiguous</w:t>
      </w:r>
      <w:r w:rsidRPr="00853D74">
        <w:rPr>
          <w:rFonts w:ascii="Times New Roman" w:hAnsi="Times New Roman" w:cs="Times New Roman"/>
          <w:sz w:val="24"/>
          <w:szCs w:val="24"/>
        </w:rPr>
        <w:t xml:space="preserve"> </w:t>
      </w:r>
      <w:r w:rsidR="00C014CB" w:rsidRPr="00853D74">
        <w:rPr>
          <w:rFonts w:ascii="Times New Roman" w:hAnsi="Times New Roman" w:cs="Times New Roman"/>
          <w:sz w:val="24"/>
          <w:szCs w:val="24"/>
        </w:rPr>
        <w:t>difference</w:t>
      </w:r>
      <w:r w:rsidRPr="00853D74">
        <w:rPr>
          <w:rFonts w:ascii="Times New Roman" w:hAnsi="Times New Roman" w:cs="Times New Roman"/>
          <w:sz w:val="24"/>
          <w:szCs w:val="24"/>
        </w:rPr>
        <w:t xml:space="preserve"> in challenges experienced in developing and developed economies.</w:t>
      </w:r>
    </w:p>
    <w:p w14:paraId="622BEF7B" w14:textId="77777777" w:rsidR="003B3E23" w:rsidRPr="00853D74" w:rsidRDefault="003B3E23" w:rsidP="003B3E23">
      <w:pPr>
        <w:spacing w:after="0" w:line="360" w:lineRule="auto"/>
        <w:jc w:val="both"/>
        <w:rPr>
          <w:rFonts w:ascii="Times New Roman" w:hAnsi="Times New Roman" w:cs="Times New Roman"/>
          <w:sz w:val="24"/>
          <w:szCs w:val="24"/>
        </w:rPr>
      </w:pPr>
    </w:p>
    <w:p w14:paraId="35498C85" w14:textId="7F9D74A0"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3.1. </w:t>
      </w:r>
      <w:r w:rsidR="00703437" w:rsidRPr="00853D74">
        <w:rPr>
          <w:rFonts w:ascii="Times New Roman" w:hAnsi="Times New Roman" w:cs="Times New Roman"/>
          <w:sz w:val="24"/>
          <w:szCs w:val="24"/>
        </w:rPr>
        <w:t>Connection and Hardware limitations.</w:t>
      </w:r>
    </w:p>
    <w:p w14:paraId="66821558" w14:textId="0D414BCD"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In India the "digital divide" was a formidable obstacle. Data showed that there were around 31 million households that still do not have electricity and average internet speeds were far below global standards</w:t>
      </w:r>
      <w:r w:rsidR="00984C7F"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Giri and Dutta, 2020</w:t>
      </w:r>
      <w:r w:rsidR="00984C7F" w:rsidRPr="00853D74">
        <w:rPr>
          <w:rFonts w:ascii="Times New Roman" w:hAnsi="Times New Roman" w:cs="Times New Roman"/>
          <w:sz w:val="24"/>
          <w:szCs w:val="24"/>
        </w:rPr>
        <w:t>)</w:t>
      </w:r>
      <w:r w:rsidRPr="00853D74">
        <w:rPr>
          <w:rFonts w:ascii="Times New Roman" w:hAnsi="Times New Roman" w:cs="Times New Roman"/>
          <w:sz w:val="24"/>
          <w:szCs w:val="24"/>
        </w:rPr>
        <w:t>. Furthermore, many teachers and students did not have access to their own laptops, using mobile devices for learning, which are less favourable for viewing detailed chemical structures or typing up assignments. Super cyclones, like Amphan in May 2020, caused even further destruction of infrastructure in certain areas, on top of the disruption to education</w:t>
      </w:r>
      <w:r w:rsidR="00984C7F"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Goswami and Tabrez, 2025</w:t>
      </w:r>
      <w:r w:rsidR="00984C7F" w:rsidRPr="00853D74">
        <w:rPr>
          <w:rFonts w:ascii="Times New Roman" w:hAnsi="Times New Roman" w:cs="Times New Roman"/>
          <w:sz w:val="24"/>
          <w:szCs w:val="24"/>
        </w:rPr>
        <w:t>)</w:t>
      </w:r>
      <w:r w:rsidRPr="00853D74">
        <w:rPr>
          <w:rFonts w:ascii="Times New Roman" w:hAnsi="Times New Roman" w:cs="Times New Roman"/>
          <w:sz w:val="24"/>
          <w:szCs w:val="24"/>
        </w:rPr>
        <w:t>. The Philippines had similar issues with the stability of the internet. Instructors observed that slow connections frequently resulted in students being disconnected from sync sessions which caused anxiety and disruption. To mitigate this, the DLPCA strategy focused on elements of the web that had asynchronous components (such as YouTube videos) that could be streamed at lower bandwidths or downloaded for offline viewing.</w:t>
      </w:r>
    </w:p>
    <w:p w14:paraId="78C6BB22" w14:textId="78C956F7"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lastRenderedPageBreak/>
        <w:t>In contrast, the Spanish cohort had fewer infrastructural deficits. A survey of students found that the majority had sufficient technical resources (computers and broadband) to follow online classes</w:t>
      </w:r>
      <w:r w:rsidR="00984C7F"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Pérez-Amaral et al., 2021</w:t>
      </w:r>
      <w:r w:rsidR="00984C7F" w:rsidRPr="00853D74">
        <w:rPr>
          <w:rFonts w:ascii="Times New Roman" w:hAnsi="Times New Roman" w:cs="Times New Roman"/>
          <w:sz w:val="24"/>
          <w:szCs w:val="24"/>
        </w:rPr>
        <w:t>)</w:t>
      </w:r>
      <w:r w:rsidRPr="00853D74">
        <w:rPr>
          <w:rFonts w:ascii="Times New Roman" w:hAnsi="Times New Roman" w:cs="Times New Roman"/>
          <w:sz w:val="24"/>
          <w:szCs w:val="24"/>
        </w:rPr>
        <w:t>. The university was well ahead in addressing the minority of students experiencing the "digital divide" by setting up a system of loans for laptops and internet cards.</w:t>
      </w:r>
    </w:p>
    <w:p w14:paraId="2FDE559C" w14:textId="77777777" w:rsidR="003B3E23" w:rsidRPr="00853D74" w:rsidRDefault="003B3E23" w:rsidP="003B3E23">
      <w:pPr>
        <w:spacing w:after="0" w:line="360" w:lineRule="auto"/>
        <w:jc w:val="both"/>
        <w:rPr>
          <w:rFonts w:ascii="Times New Roman" w:hAnsi="Times New Roman" w:cs="Times New Roman"/>
          <w:b/>
          <w:bCs/>
          <w:sz w:val="24"/>
          <w:szCs w:val="24"/>
        </w:rPr>
      </w:pPr>
    </w:p>
    <w:p w14:paraId="57B67571" w14:textId="77777777"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3.2. The Laboratory Conundrum</w:t>
      </w:r>
    </w:p>
    <w:p w14:paraId="0DC45A4D" w14:textId="514DFCFE"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Perhaps the most major loss occurred during the pandemic in terms of suspended wet-lab activities. In Spain, practical laboratory sessions for Food Science students were modified into synchronous online explanations with videos and protocols, which 79.6% of the students considered needed "extra effort" and did not work as well as face-to-face practice</w:t>
      </w:r>
      <w:r w:rsidR="00E92EDF"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Rodríguez-Rodríguez et al., 2020</w:t>
      </w:r>
      <w:r w:rsidR="00E92EDF" w:rsidRPr="00853D74">
        <w:rPr>
          <w:rFonts w:ascii="Times New Roman" w:hAnsi="Times New Roman" w:cs="Times New Roman"/>
          <w:sz w:val="24"/>
          <w:szCs w:val="24"/>
        </w:rPr>
        <w:t>)</w:t>
      </w:r>
      <w:r w:rsidRPr="00853D74">
        <w:rPr>
          <w:rFonts w:ascii="Times New Roman" w:hAnsi="Times New Roman" w:cs="Times New Roman"/>
          <w:sz w:val="24"/>
          <w:szCs w:val="24"/>
        </w:rPr>
        <w:t>. In India, the absence of hands-on experiments was found as a crucial gap which makes the students find it difficult to build strong conceptual knowledge based on self-observation. While virtual labs were referred to as alternatives, the immediate implementation of these was often prevented due to safety concerns or unavailability of software</w:t>
      </w:r>
      <w:r w:rsidR="00E92EDF"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Giri and Dutta, 2020</w:t>
      </w:r>
      <w:r w:rsidR="00E92EDF" w:rsidRPr="00853D74">
        <w:rPr>
          <w:rFonts w:ascii="Times New Roman" w:hAnsi="Times New Roman" w:cs="Times New Roman"/>
          <w:sz w:val="24"/>
          <w:szCs w:val="24"/>
        </w:rPr>
        <w:t>)</w:t>
      </w:r>
      <w:r w:rsidRPr="00853D74">
        <w:rPr>
          <w:rFonts w:ascii="Times New Roman" w:hAnsi="Times New Roman" w:cs="Times New Roman"/>
          <w:sz w:val="24"/>
          <w:szCs w:val="24"/>
        </w:rPr>
        <w:t>.</w:t>
      </w:r>
    </w:p>
    <w:p w14:paraId="67B03483" w14:textId="77777777" w:rsidR="003B3E23" w:rsidRPr="00853D74" w:rsidRDefault="003B3E23" w:rsidP="003B3E23">
      <w:pPr>
        <w:spacing w:after="0" w:line="360" w:lineRule="auto"/>
        <w:jc w:val="both"/>
        <w:rPr>
          <w:rFonts w:ascii="Times New Roman" w:hAnsi="Times New Roman" w:cs="Times New Roman"/>
          <w:sz w:val="24"/>
          <w:szCs w:val="24"/>
        </w:rPr>
      </w:pPr>
    </w:p>
    <w:p w14:paraId="1CB91B3C" w14:textId="77777777" w:rsidR="00703437"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4. </w:t>
      </w:r>
      <w:r w:rsidR="00703437" w:rsidRPr="00853D74">
        <w:rPr>
          <w:rFonts w:ascii="Times New Roman" w:hAnsi="Times New Roman" w:cs="Times New Roman"/>
          <w:sz w:val="24"/>
          <w:szCs w:val="24"/>
        </w:rPr>
        <w:t>Assessment, Academic and Performance Integrity.</w:t>
      </w:r>
    </w:p>
    <w:p w14:paraId="4C8FDC95" w14:textId="43EAAB44" w:rsidR="00384220" w:rsidRPr="00853D74" w:rsidRDefault="00384220"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The shift to online platforms necessitated a re-think of how knowledge in chemistry is assessed and this meant that grading patterns changed and the issue of academic honesty was raised.</w:t>
      </w:r>
    </w:p>
    <w:p w14:paraId="5DF16975" w14:textId="5B4DA3C0"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4.1. Impact on Student Grades</w:t>
      </w:r>
    </w:p>
    <w:p w14:paraId="11679BBA" w14:textId="06254382"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Contrary to the fear that learning online would decrease the level of academic performance, evidence obtained from Spain and the Philippines suggests that the opposite is true. In the Philippines, a comparison of grades in Analytical Chemistry revealed that the student performance significantly improved during the online term compared to the previous face-to-face term. Specifically, the percentage of failing grades was reduced from 18.2% to 4.1%</w:t>
      </w:r>
      <w:r w:rsidR="009A5B6D"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Lapitan Jr, et al., 2021</w:t>
      </w:r>
      <w:r w:rsidR="009A5B6D" w:rsidRPr="00853D74">
        <w:rPr>
          <w:rFonts w:ascii="Times New Roman" w:hAnsi="Times New Roman" w:cs="Times New Roman"/>
          <w:sz w:val="24"/>
          <w:szCs w:val="24"/>
        </w:rPr>
        <w:t>)</w:t>
      </w:r>
      <w:r w:rsidRPr="00853D74">
        <w:rPr>
          <w:rFonts w:ascii="Times New Roman" w:hAnsi="Times New Roman" w:cs="Times New Roman"/>
          <w:sz w:val="24"/>
          <w:szCs w:val="24"/>
        </w:rPr>
        <w:t>. This improvement was attributed to the flexible nature of the DLPCA strategy which allowed students to go back to lecture materials repeatedly.</w:t>
      </w:r>
    </w:p>
    <w:p w14:paraId="4ECDE977" w14:textId="6F82DA4E"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In Spain, a similar trend was found where the number of accomplished tasks during the online period was significantly higher than in the face-to-face instruction</w:t>
      </w:r>
      <w:r w:rsidR="009A5B6D"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Rodríguez-Rodríguez, et al., 2020</w:t>
      </w:r>
      <w:r w:rsidR="009A5B6D" w:rsidRPr="00853D74">
        <w:rPr>
          <w:rFonts w:ascii="Times New Roman" w:hAnsi="Times New Roman" w:cs="Times New Roman"/>
          <w:sz w:val="24"/>
          <w:szCs w:val="24"/>
        </w:rPr>
        <w:t>)</w:t>
      </w:r>
      <w:r w:rsidRPr="00853D74">
        <w:rPr>
          <w:rFonts w:ascii="Times New Roman" w:hAnsi="Times New Roman" w:cs="Times New Roman"/>
          <w:sz w:val="24"/>
          <w:szCs w:val="24"/>
        </w:rPr>
        <w:t xml:space="preserve">. Though, in India, the results came out to be more nuanced. While there was an increase in the minimum scores of students (which indicates that lower performing students improved), there was a slight decrease in the scores of top performing students. This dip at the </w:t>
      </w:r>
      <w:r w:rsidRPr="00853D74">
        <w:rPr>
          <w:rFonts w:ascii="Times New Roman" w:hAnsi="Times New Roman" w:cs="Times New Roman"/>
          <w:sz w:val="24"/>
          <w:szCs w:val="24"/>
        </w:rPr>
        <w:lastRenderedPageBreak/>
        <w:t>top end was ascribed to the inability of accessing to physical library resources and specialized reference texts</w:t>
      </w:r>
      <w:r w:rsidR="009A5B6D" w:rsidRPr="00853D74">
        <w:rPr>
          <w:rFonts w:ascii="Times New Roman" w:hAnsi="Times New Roman" w:cs="Times New Roman"/>
          <w:sz w:val="24"/>
          <w:szCs w:val="24"/>
        </w:rPr>
        <w:t xml:space="preserve"> (</w:t>
      </w:r>
      <w:r w:rsidR="00136893" w:rsidRPr="00853D74">
        <w:rPr>
          <w:rFonts w:ascii="Times New Roman" w:hAnsi="Times New Roman" w:cs="Times New Roman"/>
          <w:sz w:val="24"/>
          <w:szCs w:val="24"/>
        </w:rPr>
        <w:t>Giri and Dutta, 2020</w:t>
      </w:r>
      <w:r w:rsidR="009A5B6D" w:rsidRPr="00853D74">
        <w:rPr>
          <w:rFonts w:ascii="Times New Roman" w:hAnsi="Times New Roman" w:cs="Times New Roman"/>
          <w:sz w:val="24"/>
          <w:szCs w:val="24"/>
        </w:rPr>
        <w:t>)</w:t>
      </w:r>
      <w:r w:rsidRPr="00853D74">
        <w:rPr>
          <w:rFonts w:ascii="Times New Roman" w:hAnsi="Times New Roman" w:cs="Times New Roman"/>
          <w:sz w:val="24"/>
          <w:szCs w:val="24"/>
        </w:rPr>
        <w:t>.</w:t>
      </w:r>
    </w:p>
    <w:p w14:paraId="0AACC1BC" w14:textId="77777777" w:rsidR="006E0F3C" w:rsidRPr="00853D74" w:rsidRDefault="006E0F3C" w:rsidP="003B3E23">
      <w:pPr>
        <w:spacing w:after="0" w:line="360" w:lineRule="auto"/>
        <w:jc w:val="both"/>
        <w:rPr>
          <w:rFonts w:ascii="Times New Roman" w:hAnsi="Times New Roman" w:cs="Times New Roman"/>
          <w:sz w:val="24"/>
          <w:szCs w:val="24"/>
        </w:rPr>
      </w:pPr>
    </w:p>
    <w:p w14:paraId="4C824B3A" w14:textId="2072C59F"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4.2. </w:t>
      </w:r>
      <w:r w:rsidR="00703437" w:rsidRPr="00853D74">
        <w:rPr>
          <w:rFonts w:ascii="Times New Roman" w:hAnsi="Times New Roman" w:cs="Times New Roman"/>
          <w:sz w:val="24"/>
          <w:szCs w:val="24"/>
        </w:rPr>
        <w:t>Academic Integrity and Designs of Assessment.</w:t>
      </w:r>
    </w:p>
    <w:p w14:paraId="33AAE9DA" w14:textId="3B9E9931" w:rsidR="003B3E23" w:rsidRPr="00853D74" w:rsidRDefault="003B3E23" w:rsidP="003B3E23">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With the impossibility of proctored physical exams, institutions switched to other means of assessment. In India, the internal assessments changed to assignment submissions through emails</w:t>
      </w:r>
      <w:r w:rsidR="004E1C67" w:rsidRPr="00853D74">
        <w:rPr>
          <w:rFonts w:ascii="Times New Roman" w:hAnsi="Times New Roman" w:cs="Times New Roman"/>
          <w:sz w:val="24"/>
          <w:szCs w:val="24"/>
        </w:rPr>
        <w:t xml:space="preserve"> (</w:t>
      </w:r>
      <w:r w:rsidR="00473F8F" w:rsidRPr="00853D74">
        <w:rPr>
          <w:rFonts w:ascii="Times New Roman" w:hAnsi="Times New Roman" w:cs="Times New Roman"/>
          <w:sz w:val="24"/>
          <w:szCs w:val="24"/>
        </w:rPr>
        <w:t>Kundu and Bej, 2021</w:t>
      </w:r>
      <w:r w:rsidR="004E1C67" w:rsidRPr="00853D74">
        <w:rPr>
          <w:rFonts w:ascii="Times New Roman" w:hAnsi="Times New Roman" w:cs="Times New Roman"/>
          <w:sz w:val="24"/>
          <w:szCs w:val="24"/>
        </w:rPr>
        <w:t>)</w:t>
      </w:r>
      <w:r w:rsidRPr="00853D74">
        <w:rPr>
          <w:rFonts w:ascii="Times New Roman" w:hAnsi="Times New Roman" w:cs="Times New Roman"/>
          <w:sz w:val="24"/>
          <w:szCs w:val="24"/>
        </w:rPr>
        <w:t>. However, this caused a concern around plagiarism, in that there were many instances of students submitting assignments that were not creative, or were seemingly direct copies from a text. To combat this, educators started to make questions course specific and require responses that were not readily found on the internet.</w:t>
      </w:r>
      <w:r w:rsidR="004E1C67" w:rsidRPr="00853D74">
        <w:rPr>
          <w:rFonts w:ascii="Times New Roman" w:hAnsi="Times New Roman" w:cs="Times New Roman"/>
          <w:sz w:val="24"/>
          <w:szCs w:val="24"/>
        </w:rPr>
        <w:t xml:space="preserve"> </w:t>
      </w:r>
      <w:r w:rsidRPr="00853D74">
        <w:rPr>
          <w:rFonts w:ascii="Times New Roman" w:hAnsi="Times New Roman" w:cs="Times New Roman"/>
          <w:sz w:val="24"/>
          <w:szCs w:val="24"/>
        </w:rPr>
        <w:t>In the Philippines, the integrity of online exams was ensured with "timed-release" questions and creating unique sets of problems that students tackle to prevent collaboration</w:t>
      </w:r>
      <w:r w:rsidR="004E1C67" w:rsidRPr="00853D74">
        <w:rPr>
          <w:rFonts w:ascii="Times New Roman" w:hAnsi="Times New Roman" w:cs="Times New Roman"/>
          <w:sz w:val="24"/>
          <w:szCs w:val="24"/>
        </w:rPr>
        <w:t xml:space="preserve"> (</w:t>
      </w:r>
      <w:r w:rsidR="00473F8F" w:rsidRPr="00853D74">
        <w:rPr>
          <w:rFonts w:ascii="Times New Roman" w:hAnsi="Times New Roman" w:cs="Times New Roman"/>
          <w:sz w:val="24"/>
          <w:szCs w:val="24"/>
        </w:rPr>
        <w:t>Lapitan Jr et al., 2021</w:t>
      </w:r>
      <w:r w:rsidR="004E1C67" w:rsidRPr="00853D74">
        <w:rPr>
          <w:rFonts w:ascii="Times New Roman" w:hAnsi="Times New Roman" w:cs="Times New Roman"/>
          <w:sz w:val="24"/>
          <w:szCs w:val="24"/>
        </w:rPr>
        <w:t>)</w:t>
      </w:r>
      <w:r w:rsidRPr="00853D74">
        <w:rPr>
          <w:rFonts w:ascii="Times New Roman" w:hAnsi="Times New Roman" w:cs="Times New Roman"/>
          <w:sz w:val="24"/>
          <w:szCs w:val="24"/>
        </w:rPr>
        <w:t>. Despite these measures, the way in which assessments were designed continued to be a tension point</w:t>
      </w:r>
      <w:r w:rsidR="004E1C67" w:rsidRPr="00853D74">
        <w:rPr>
          <w:rFonts w:ascii="Times New Roman" w:hAnsi="Times New Roman" w:cs="Times New Roman"/>
          <w:sz w:val="24"/>
          <w:szCs w:val="24"/>
        </w:rPr>
        <w:t>. S</w:t>
      </w:r>
      <w:r w:rsidRPr="00853D74">
        <w:rPr>
          <w:rFonts w:ascii="Times New Roman" w:hAnsi="Times New Roman" w:cs="Times New Roman"/>
          <w:sz w:val="24"/>
          <w:szCs w:val="24"/>
        </w:rPr>
        <w:t>ome students reported that the amount of time given to upload solutions was not enough given slow internet speeds, and caused unnecessary stress.</w:t>
      </w:r>
    </w:p>
    <w:p w14:paraId="773512F7" w14:textId="77777777" w:rsidR="006E0F3C" w:rsidRPr="00853D74" w:rsidRDefault="006E0F3C" w:rsidP="003B3E23">
      <w:pPr>
        <w:spacing w:after="0" w:line="360" w:lineRule="auto"/>
        <w:jc w:val="both"/>
        <w:rPr>
          <w:rFonts w:ascii="Times New Roman" w:hAnsi="Times New Roman" w:cs="Times New Roman"/>
          <w:sz w:val="24"/>
          <w:szCs w:val="24"/>
        </w:rPr>
      </w:pPr>
    </w:p>
    <w:p w14:paraId="62BB556A" w14:textId="48BB5504" w:rsidR="00E47F4D" w:rsidRPr="00853D74" w:rsidRDefault="00E47F4D"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5. </w:t>
      </w:r>
      <w:r w:rsidR="00703437" w:rsidRPr="00853D74">
        <w:rPr>
          <w:rFonts w:ascii="Times New Roman" w:hAnsi="Times New Roman" w:cs="Times New Roman"/>
          <w:sz w:val="24"/>
          <w:szCs w:val="24"/>
        </w:rPr>
        <w:t>Students Perception and Satisfaction.</w:t>
      </w:r>
    </w:p>
    <w:p w14:paraId="47C8A417" w14:textId="77777777" w:rsidR="00E47F4D" w:rsidRPr="00853D74" w:rsidRDefault="00E47F4D"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Student feedback gathered in these different studies indicates a complex relationship with online learning.</w:t>
      </w:r>
    </w:p>
    <w:p w14:paraId="3CCFB3F1" w14:textId="77777777" w:rsidR="004E1C67" w:rsidRPr="00853D74" w:rsidRDefault="00E47F4D"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5.1. </w:t>
      </w:r>
      <w:r w:rsidR="00703437" w:rsidRPr="00853D74">
        <w:rPr>
          <w:rFonts w:ascii="Times New Roman" w:hAnsi="Times New Roman" w:cs="Times New Roman"/>
          <w:sz w:val="24"/>
          <w:szCs w:val="24"/>
        </w:rPr>
        <w:t>Face-to-Face Preference</w:t>
      </w:r>
      <w:r w:rsidR="00476B10" w:rsidRPr="00853D74">
        <w:rPr>
          <w:rFonts w:ascii="Times New Roman" w:hAnsi="Times New Roman" w:cs="Times New Roman"/>
          <w:sz w:val="24"/>
          <w:szCs w:val="24"/>
        </w:rPr>
        <w:t xml:space="preserve">: </w:t>
      </w:r>
      <w:r w:rsidRPr="00853D74">
        <w:rPr>
          <w:rFonts w:ascii="Times New Roman" w:hAnsi="Times New Roman" w:cs="Times New Roman"/>
          <w:sz w:val="24"/>
          <w:szCs w:val="24"/>
        </w:rPr>
        <w:t>In all three contexts, there was a significant majority preference for face-to-face learning, with reference to the absence of human contact and difficulty of concentration in isolation.</w:t>
      </w:r>
    </w:p>
    <w:p w14:paraId="35AB06EA" w14:textId="54A26B38" w:rsidR="00E47F4D" w:rsidRPr="00853D74" w:rsidRDefault="00476B10"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5.2. </w:t>
      </w:r>
      <w:r w:rsidR="00703437" w:rsidRPr="00853D74">
        <w:rPr>
          <w:rFonts w:ascii="Times New Roman" w:hAnsi="Times New Roman" w:cs="Times New Roman"/>
          <w:sz w:val="24"/>
          <w:szCs w:val="24"/>
        </w:rPr>
        <w:t>Flexibility Appreciation</w:t>
      </w:r>
      <w:r w:rsidRPr="00853D74">
        <w:rPr>
          <w:rFonts w:ascii="Times New Roman" w:hAnsi="Times New Roman" w:cs="Times New Roman"/>
          <w:sz w:val="24"/>
          <w:szCs w:val="24"/>
        </w:rPr>
        <w:t>:</w:t>
      </w:r>
      <w:r w:rsidR="00E47F4D" w:rsidRPr="00853D74">
        <w:rPr>
          <w:rFonts w:ascii="Times New Roman" w:hAnsi="Times New Roman" w:cs="Times New Roman"/>
          <w:sz w:val="24"/>
          <w:szCs w:val="24"/>
        </w:rPr>
        <w:t xml:space="preserve"> Despite the preference to the physical classrooms, students appreciated the "time-saving" aspect and "schedule flexibility" of online </w:t>
      </w:r>
      <w:r w:rsidR="004E1C67" w:rsidRPr="00853D74">
        <w:rPr>
          <w:rFonts w:ascii="Times New Roman" w:hAnsi="Times New Roman" w:cs="Times New Roman"/>
          <w:sz w:val="24"/>
          <w:szCs w:val="24"/>
        </w:rPr>
        <w:t>learning (</w:t>
      </w:r>
      <w:r w:rsidR="00473F8F" w:rsidRPr="00853D74">
        <w:rPr>
          <w:rFonts w:ascii="Times New Roman" w:hAnsi="Times New Roman" w:cs="Times New Roman"/>
          <w:sz w:val="24"/>
          <w:szCs w:val="24"/>
        </w:rPr>
        <w:t>Almeida, 2023</w:t>
      </w:r>
      <w:r w:rsidR="004E1C67" w:rsidRPr="00853D74">
        <w:rPr>
          <w:rFonts w:ascii="Times New Roman" w:hAnsi="Times New Roman" w:cs="Times New Roman"/>
          <w:sz w:val="24"/>
          <w:szCs w:val="24"/>
        </w:rPr>
        <w:t>)</w:t>
      </w:r>
      <w:r w:rsidR="00E47F4D" w:rsidRPr="00853D74">
        <w:rPr>
          <w:rFonts w:ascii="Times New Roman" w:hAnsi="Times New Roman" w:cs="Times New Roman"/>
          <w:sz w:val="24"/>
          <w:szCs w:val="24"/>
        </w:rPr>
        <w:t>. In the Philippines, the fact that lecture videos can be re-watched was reported to be a significant benefit, to explain difficult concepts that may be overlooked in a live lecture</w:t>
      </w:r>
      <w:r w:rsidR="004E1C67" w:rsidRPr="00853D74">
        <w:rPr>
          <w:rFonts w:ascii="Times New Roman" w:hAnsi="Times New Roman" w:cs="Times New Roman"/>
          <w:sz w:val="24"/>
          <w:szCs w:val="24"/>
        </w:rPr>
        <w:t xml:space="preserve"> (</w:t>
      </w:r>
      <w:proofErr w:type="spellStart"/>
      <w:r w:rsidR="00473F8F" w:rsidRPr="00853D74">
        <w:rPr>
          <w:rFonts w:ascii="Times New Roman" w:hAnsi="Times New Roman" w:cs="Times New Roman"/>
          <w:sz w:val="24"/>
          <w:szCs w:val="24"/>
        </w:rPr>
        <w:t>Cavanlit</w:t>
      </w:r>
      <w:proofErr w:type="spellEnd"/>
      <w:r w:rsidR="00473F8F" w:rsidRPr="00853D74">
        <w:rPr>
          <w:rFonts w:ascii="Times New Roman" w:hAnsi="Times New Roman" w:cs="Times New Roman"/>
          <w:sz w:val="24"/>
          <w:szCs w:val="24"/>
        </w:rPr>
        <w:t xml:space="preserve"> et al., 2023</w:t>
      </w:r>
      <w:r w:rsidR="004E1C67" w:rsidRPr="00853D74">
        <w:rPr>
          <w:rFonts w:ascii="Times New Roman" w:hAnsi="Times New Roman" w:cs="Times New Roman"/>
          <w:sz w:val="24"/>
          <w:szCs w:val="24"/>
        </w:rPr>
        <w:t>)</w:t>
      </w:r>
      <w:r w:rsidR="00E47F4D" w:rsidRPr="00853D74">
        <w:rPr>
          <w:rFonts w:ascii="Times New Roman" w:hAnsi="Times New Roman" w:cs="Times New Roman"/>
          <w:sz w:val="24"/>
          <w:szCs w:val="24"/>
        </w:rPr>
        <w:t>.</w:t>
      </w:r>
    </w:p>
    <w:p w14:paraId="1598928B" w14:textId="77777777" w:rsidR="004E1C67" w:rsidRPr="00853D74" w:rsidRDefault="004E1C67" w:rsidP="00E47F4D">
      <w:pPr>
        <w:spacing w:after="0" w:line="360" w:lineRule="auto"/>
        <w:jc w:val="both"/>
        <w:rPr>
          <w:rFonts w:ascii="Times New Roman" w:hAnsi="Times New Roman" w:cs="Times New Roman"/>
          <w:sz w:val="24"/>
          <w:szCs w:val="24"/>
        </w:rPr>
      </w:pPr>
    </w:p>
    <w:p w14:paraId="7D3508A9" w14:textId="4EF278ED" w:rsidR="00E47F4D" w:rsidRPr="00853D74" w:rsidRDefault="004E1C67"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5.3. </w:t>
      </w:r>
      <w:r w:rsidR="00E47F4D" w:rsidRPr="00853D74">
        <w:rPr>
          <w:rFonts w:ascii="Times New Roman" w:hAnsi="Times New Roman" w:cs="Times New Roman"/>
          <w:sz w:val="24"/>
          <w:szCs w:val="24"/>
        </w:rPr>
        <w:t>Teacher Adaptation: Students mostly looked upon the efforts of their instructors with positive feelings. Good ratings were given by students on teacher adaptation and accessibility (4.4 out of 5) in recognition of the difficulty of the situation in Spain</w:t>
      </w:r>
      <w:r w:rsidR="00D65821" w:rsidRPr="00853D74">
        <w:rPr>
          <w:rFonts w:ascii="Times New Roman" w:hAnsi="Times New Roman" w:cs="Times New Roman"/>
          <w:sz w:val="24"/>
          <w:szCs w:val="24"/>
        </w:rPr>
        <w:t xml:space="preserve"> (</w:t>
      </w:r>
      <w:r w:rsidR="00473F8F" w:rsidRPr="00853D74">
        <w:rPr>
          <w:rFonts w:ascii="Times New Roman" w:hAnsi="Times New Roman" w:cs="Times New Roman"/>
          <w:sz w:val="24"/>
          <w:szCs w:val="24"/>
        </w:rPr>
        <w:t>Parra-González et al., 2021</w:t>
      </w:r>
      <w:r w:rsidR="00D65821" w:rsidRPr="00853D74">
        <w:rPr>
          <w:rFonts w:ascii="Times New Roman" w:hAnsi="Times New Roman" w:cs="Times New Roman"/>
          <w:sz w:val="24"/>
          <w:szCs w:val="24"/>
        </w:rPr>
        <w:t>)</w:t>
      </w:r>
      <w:r w:rsidR="00E47F4D" w:rsidRPr="00853D74">
        <w:rPr>
          <w:rFonts w:ascii="Times New Roman" w:hAnsi="Times New Roman" w:cs="Times New Roman"/>
          <w:sz w:val="24"/>
          <w:szCs w:val="24"/>
        </w:rPr>
        <w:t>.</w:t>
      </w:r>
    </w:p>
    <w:p w14:paraId="1D4D3AE5" w14:textId="77777777" w:rsidR="00DD76DD" w:rsidRPr="00853D74" w:rsidRDefault="00DD76DD" w:rsidP="00E47F4D">
      <w:pPr>
        <w:spacing w:after="0" w:line="360" w:lineRule="auto"/>
        <w:jc w:val="both"/>
        <w:rPr>
          <w:rFonts w:ascii="Times New Roman" w:hAnsi="Times New Roman" w:cs="Times New Roman"/>
          <w:sz w:val="24"/>
          <w:szCs w:val="24"/>
        </w:rPr>
      </w:pPr>
    </w:p>
    <w:p w14:paraId="50ED8A3E" w14:textId="5FB79911" w:rsidR="001759C8" w:rsidRPr="00853D74" w:rsidRDefault="00397728"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6. </w:t>
      </w:r>
      <w:r w:rsidR="001759C8" w:rsidRPr="00853D74">
        <w:rPr>
          <w:rFonts w:ascii="Times New Roman" w:hAnsi="Times New Roman" w:cs="Times New Roman"/>
          <w:sz w:val="24"/>
          <w:szCs w:val="24"/>
        </w:rPr>
        <w:t>Post-Pandemic Paradigms: The Future of Chemistry Education</w:t>
      </w:r>
    </w:p>
    <w:p w14:paraId="0C6874EA" w14:textId="5BB1B6FB" w:rsidR="001759C8" w:rsidRPr="00853D74" w:rsidRDefault="001759C8"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lastRenderedPageBreak/>
        <w:t>The subsiding of the crisis of the Covid-19 pandemic did not mean a return to the pedagogical norms of pre-2020; on the contrary, it triggered a permanent change in the field of chemistry education. The biggest shift has been from the "Emergency Remote Teaching" to intentional hybrid learning models. Institutions have kept the digital infrastructure built during the pandemic (Learning Management Systems - LMS, video conferencing tools, etc.) and have incorporated them into the traditional curriculum.</w:t>
      </w:r>
      <w:r w:rsidR="00397728" w:rsidRPr="00853D74">
        <w:rPr>
          <w:rFonts w:ascii="Times New Roman" w:hAnsi="Times New Roman" w:cs="Times New Roman"/>
          <w:sz w:val="24"/>
          <w:szCs w:val="24"/>
        </w:rPr>
        <w:t xml:space="preserve"> </w:t>
      </w:r>
      <w:r w:rsidRPr="00853D74">
        <w:rPr>
          <w:rFonts w:ascii="Times New Roman" w:hAnsi="Times New Roman" w:cs="Times New Roman"/>
          <w:sz w:val="24"/>
          <w:szCs w:val="24"/>
        </w:rPr>
        <w:t>One of the changes that seems to be prevalent is the use of "Flipped Classroom" in chemistry classes</w:t>
      </w:r>
      <w:r w:rsidR="00BC09F4" w:rsidRPr="00853D74">
        <w:rPr>
          <w:rFonts w:ascii="Times New Roman" w:hAnsi="Times New Roman" w:cs="Times New Roman"/>
          <w:sz w:val="24"/>
          <w:szCs w:val="24"/>
        </w:rPr>
        <w:t xml:space="preserve"> (Cao et al., 2025).</w:t>
      </w:r>
      <w:r w:rsidRPr="00853D74">
        <w:rPr>
          <w:rFonts w:ascii="Times New Roman" w:hAnsi="Times New Roman" w:cs="Times New Roman"/>
          <w:sz w:val="24"/>
          <w:szCs w:val="24"/>
        </w:rPr>
        <w:t xml:space="preserve"> Theoretical concepts, which often involve a lot of nomenclature and memorizing of mechanism, are now often taught in a pre-recorded module or curated online content, leaving time for face-to-face interaction such as problem solving and critical discussion.</w:t>
      </w:r>
      <w:r w:rsidR="00397728" w:rsidRPr="00853D74">
        <w:rPr>
          <w:rFonts w:ascii="Times New Roman" w:hAnsi="Times New Roman" w:cs="Times New Roman"/>
          <w:sz w:val="24"/>
          <w:szCs w:val="24"/>
        </w:rPr>
        <w:t xml:space="preserve"> </w:t>
      </w:r>
      <w:r w:rsidRPr="00853D74">
        <w:rPr>
          <w:rFonts w:ascii="Times New Roman" w:hAnsi="Times New Roman" w:cs="Times New Roman"/>
          <w:sz w:val="24"/>
          <w:szCs w:val="24"/>
        </w:rPr>
        <w:t>Furthermore, the role of Virtual Laboratories has changed from a replacement to a prerequisite. Virtual simulations are now increasingly being used as "pre-lab" exercises, where students can become familiar with the protocols of experiments, safety measures, and apparatus handling in a risk-free and digital environment before moving into the physical laboratory.</w:t>
      </w:r>
      <w:r w:rsidR="00397728" w:rsidRPr="00853D74">
        <w:rPr>
          <w:rFonts w:ascii="Times New Roman" w:hAnsi="Times New Roman" w:cs="Times New Roman"/>
          <w:sz w:val="24"/>
          <w:szCs w:val="24"/>
        </w:rPr>
        <w:t xml:space="preserve"> </w:t>
      </w:r>
      <w:r w:rsidRPr="00853D74">
        <w:rPr>
          <w:rFonts w:ascii="Times New Roman" w:hAnsi="Times New Roman" w:cs="Times New Roman"/>
          <w:sz w:val="24"/>
          <w:szCs w:val="24"/>
        </w:rPr>
        <w:t>This type of hybrid approach has been shown to have the potential to reduce chemical waste and increase safety compliance during actual experimentation. Finally, assessment strategies have become more diversified; the pandemic revealed the shortcomings of rote memorization exams and there has been a lasting preference for continuous assessment strategies, open-book assessments, and project-based learning that resembles the research of the scientific community.</w:t>
      </w:r>
    </w:p>
    <w:p w14:paraId="7E983BFB" w14:textId="77777777" w:rsidR="005300D3" w:rsidRPr="00853D74" w:rsidRDefault="005300D3" w:rsidP="001759C8">
      <w:pPr>
        <w:spacing w:after="0" w:line="360" w:lineRule="auto"/>
        <w:jc w:val="both"/>
        <w:rPr>
          <w:rFonts w:ascii="Times New Roman" w:hAnsi="Times New Roman" w:cs="Times New Roman"/>
          <w:sz w:val="24"/>
          <w:szCs w:val="24"/>
        </w:rPr>
      </w:pPr>
    </w:p>
    <w:p w14:paraId="6CE496B8" w14:textId="217E5FE7" w:rsidR="0018506C" w:rsidRPr="00853D74" w:rsidRDefault="0018506C" w:rsidP="005300D3">
      <w:pPr>
        <w:jc w:val="both"/>
        <w:rPr>
          <w:rFonts w:ascii="Times New Roman" w:hAnsi="Times New Roman" w:cs="Times New Roman"/>
          <w:sz w:val="24"/>
          <w:szCs w:val="24"/>
          <w:lang w:val="en-GB"/>
        </w:rPr>
      </w:pPr>
      <w:r w:rsidRPr="00853D74">
        <w:rPr>
          <w:rFonts w:ascii="Times New Roman" w:hAnsi="Times New Roman" w:cs="Times New Roman"/>
          <w:b/>
          <w:bCs/>
          <w:sz w:val="24"/>
          <w:szCs w:val="24"/>
          <w:lang w:val="en-GB"/>
        </w:rPr>
        <w:t>Table 1:</w:t>
      </w:r>
      <w:r w:rsidRPr="00853D74">
        <w:rPr>
          <w:rFonts w:ascii="Times New Roman" w:hAnsi="Times New Roman" w:cs="Times New Roman"/>
          <w:sz w:val="24"/>
          <w:szCs w:val="24"/>
          <w:lang w:val="en-GB"/>
        </w:rPr>
        <w:t xml:space="preserve"> </w:t>
      </w:r>
      <w:r w:rsidR="005300D3" w:rsidRPr="00853D74">
        <w:rPr>
          <w:rFonts w:ascii="Times New Roman" w:hAnsi="Times New Roman" w:cs="Times New Roman"/>
          <w:sz w:val="24"/>
          <w:szCs w:val="24"/>
        </w:rPr>
        <w:t>Comparative adaptation of higher education pedagogy during the pandemic: Developed (Spain) vs. Developing nations (India, Philippines)</w:t>
      </w:r>
    </w:p>
    <w:tbl>
      <w:tblPr>
        <w:tblStyle w:val="TableGrid"/>
        <w:tblW w:w="0" w:type="auto"/>
        <w:tblLook w:val="04A0" w:firstRow="1" w:lastRow="0" w:firstColumn="1" w:lastColumn="0" w:noHBand="0" w:noVBand="1"/>
      </w:tblPr>
      <w:tblGrid>
        <w:gridCol w:w="1569"/>
        <w:gridCol w:w="3556"/>
        <w:gridCol w:w="3891"/>
      </w:tblGrid>
      <w:tr w:rsidR="00853D74" w:rsidRPr="00853D74" w14:paraId="0A56A1B0" w14:textId="77777777" w:rsidTr="0018506C">
        <w:tc>
          <w:tcPr>
            <w:tcW w:w="1569" w:type="dxa"/>
            <w:hideMark/>
          </w:tcPr>
          <w:p w14:paraId="1876F267"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Aspect</w:t>
            </w:r>
          </w:p>
        </w:tc>
        <w:tc>
          <w:tcPr>
            <w:tcW w:w="3556" w:type="dxa"/>
            <w:hideMark/>
          </w:tcPr>
          <w:p w14:paraId="263E2014"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Developed Context (e.g., Spain)</w:t>
            </w:r>
          </w:p>
        </w:tc>
        <w:tc>
          <w:tcPr>
            <w:tcW w:w="3891" w:type="dxa"/>
            <w:hideMark/>
          </w:tcPr>
          <w:p w14:paraId="38615DC2"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Developing Context (e.g., India, Philippines)</w:t>
            </w:r>
          </w:p>
        </w:tc>
      </w:tr>
      <w:tr w:rsidR="00853D74" w:rsidRPr="00853D74" w14:paraId="0DE6A413" w14:textId="77777777" w:rsidTr="0018506C">
        <w:tc>
          <w:tcPr>
            <w:tcW w:w="1569" w:type="dxa"/>
            <w:hideMark/>
          </w:tcPr>
          <w:p w14:paraId="388597FB"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Adoption &amp; Platforms</w:t>
            </w:r>
          </w:p>
        </w:tc>
        <w:tc>
          <w:tcPr>
            <w:tcW w:w="3556" w:type="dxa"/>
            <w:hideMark/>
          </w:tcPr>
          <w:p w14:paraId="7824571D"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Rapid &amp; Institutional:</w:t>
            </w:r>
          </w:p>
          <w:p w14:paraId="1615824D" w14:textId="551B6C0D"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Fast transition using Moodle, Blackboard Collaborate, and Virtual Campus. Utilized specialized software for virtual labs and synchronous online assessments.</w:t>
            </w:r>
          </w:p>
        </w:tc>
        <w:tc>
          <w:tcPr>
            <w:tcW w:w="3891" w:type="dxa"/>
            <w:hideMark/>
          </w:tcPr>
          <w:p w14:paraId="5234933F"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Public &amp; Government-Led:</w:t>
            </w:r>
          </w:p>
          <w:p w14:paraId="4601B878"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Reliance on government initiatives like SHAGUN, NROER, and e-Pathshala to bridge gaps.</w:t>
            </w:r>
          </w:p>
          <w:p w14:paraId="4B0EB29A"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Heavy use of accessible public platforms like YouTube (e.g., "NCERT Official"), WhatsApp, and Facebook due to ease of access.</w:t>
            </w:r>
          </w:p>
        </w:tc>
      </w:tr>
      <w:tr w:rsidR="00853D74" w:rsidRPr="00853D74" w14:paraId="738608AD" w14:textId="77777777" w:rsidTr="0018506C">
        <w:tc>
          <w:tcPr>
            <w:tcW w:w="1569" w:type="dxa"/>
            <w:hideMark/>
          </w:tcPr>
          <w:p w14:paraId="6431367B"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Technology Infrastructure</w:t>
            </w:r>
          </w:p>
        </w:tc>
        <w:tc>
          <w:tcPr>
            <w:tcW w:w="3556" w:type="dxa"/>
            <w:hideMark/>
          </w:tcPr>
          <w:p w14:paraId="4F03F4C2"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High Stability &amp; Access:</w:t>
            </w:r>
          </w:p>
          <w:p w14:paraId="65D19BC7"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Infrastructure is generally adequate with 91.4% of households having internet access.</w:t>
            </w:r>
          </w:p>
          <w:p w14:paraId="35521150"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lastRenderedPageBreak/>
              <w:t>Students mostly possessed necessary devices (laptops/desktops); universities provided loaner equipment for the minority (1–3%) with connection issues.</w:t>
            </w:r>
          </w:p>
        </w:tc>
        <w:tc>
          <w:tcPr>
            <w:tcW w:w="3891" w:type="dxa"/>
            <w:hideMark/>
          </w:tcPr>
          <w:p w14:paraId="286EF2BF"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lastRenderedPageBreak/>
              <w:t>Infrastructural Deficits:</w:t>
            </w:r>
          </w:p>
          <w:p w14:paraId="43634435" w14:textId="244FC9C2"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 xml:space="preserve">Significant challenges including limited electricity (31 million homes in India lack </w:t>
            </w:r>
            <w:r w:rsidRPr="00853D74">
              <w:rPr>
                <w:rFonts w:ascii="Times New Roman" w:hAnsi="Times New Roman" w:cs="Times New Roman"/>
              </w:rPr>
              <w:lastRenderedPageBreak/>
              <w:t>power) and slow upload speeds</w:t>
            </w:r>
            <w:r w:rsidR="00AD225A" w:rsidRPr="00853D74">
              <w:rPr>
                <w:rFonts w:ascii="Times New Roman" w:hAnsi="Times New Roman" w:cs="Times New Roman"/>
              </w:rPr>
              <w:t xml:space="preserve"> </w:t>
            </w:r>
            <w:r w:rsidR="00AD225A" w:rsidRPr="00853D74">
              <w:rPr>
                <w:rFonts w:ascii="Times New Roman" w:hAnsi="Times New Roman" w:cs="Times New Roman"/>
                <w:sz w:val="24"/>
                <w:szCs w:val="24"/>
              </w:rPr>
              <w:t xml:space="preserve">(Giri and Dutta, 2020). </w:t>
            </w:r>
          </w:p>
          <w:p w14:paraId="523C6F48"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Mobile Reliance: ~71% of users access the internet via mobile phones rather than computers, limiting the complexity of tasks.</w:t>
            </w:r>
          </w:p>
        </w:tc>
      </w:tr>
      <w:tr w:rsidR="00853D74" w:rsidRPr="00853D74" w14:paraId="118CDE4D" w14:textId="77777777" w:rsidTr="0018506C">
        <w:tc>
          <w:tcPr>
            <w:tcW w:w="1569" w:type="dxa"/>
            <w:hideMark/>
          </w:tcPr>
          <w:p w14:paraId="7807C7C9"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lastRenderedPageBreak/>
              <w:t>Teaching Strategy &amp; Interaction</w:t>
            </w:r>
          </w:p>
        </w:tc>
        <w:tc>
          <w:tcPr>
            <w:tcW w:w="3556" w:type="dxa"/>
            <w:hideMark/>
          </w:tcPr>
          <w:p w14:paraId="5D885C6F"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Synchronous Focus:</w:t>
            </w:r>
          </w:p>
          <w:p w14:paraId="1749CC9F" w14:textId="121450CA"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Real-time (synchronous) sessions fostered better interaction and motivation, preferred by 63.6% of students. Focus on managing group sizes to maintain interaction quality.</w:t>
            </w:r>
          </w:p>
        </w:tc>
        <w:tc>
          <w:tcPr>
            <w:tcW w:w="3891" w:type="dxa"/>
            <w:hideMark/>
          </w:tcPr>
          <w:p w14:paraId="053B9B4D"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Asynchronous &amp; Flexible:</w:t>
            </w:r>
          </w:p>
          <w:p w14:paraId="5AC17A8A"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Shifted to "Guide on the Side" model with asynchronous methods (recorded videos) to accommodate lag.</w:t>
            </w:r>
          </w:p>
          <w:p w14:paraId="4B86E85C"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Interaction often hampered by technological issues; teachers faced difficulties monitoring student engagement remotely.</w:t>
            </w:r>
          </w:p>
        </w:tc>
      </w:tr>
      <w:tr w:rsidR="00853D74" w:rsidRPr="00853D74" w14:paraId="31DCA1B0" w14:textId="77777777" w:rsidTr="0018506C">
        <w:tc>
          <w:tcPr>
            <w:tcW w:w="1569" w:type="dxa"/>
            <w:hideMark/>
          </w:tcPr>
          <w:p w14:paraId="6438F162"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Student Performance &amp; Feedback</w:t>
            </w:r>
          </w:p>
        </w:tc>
        <w:tc>
          <w:tcPr>
            <w:tcW w:w="3556" w:type="dxa"/>
            <w:hideMark/>
          </w:tcPr>
          <w:p w14:paraId="77912C64"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General Success:</w:t>
            </w:r>
          </w:p>
          <w:p w14:paraId="1760F8D5"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Students adapted well; online students performed better or comparable to face-to-face students in some metrics.</w:t>
            </w:r>
          </w:p>
          <w:p w14:paraId="7E36CAA2" w14:textId="306C1FF0"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Students appreciated the "Save Time" factor and schedule flexibility.</w:t>
            </w:r>
          </w:p>
        </w:tc>
        <w:tc>
          <w:tcPr>
            <w:tcW w:w="3891" w:type="dxa"/>
            <w:hideMark/>
          </w:tcPr>
          <w:p w14:paraId="17089F17"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Mixed Results (The "Gap"):</w:t>
            </w:r>
          </w:p>
          <w:p w14:paraId="40CC011C"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Low-Scorers Improved: Online teaching helped low-scoring students improve performance significantly.</w:t>
            </w:r>
          </w:p>
          <w:p w14:paraId="6D535B26"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Top-Scorers Declined: High-performing students saw a slight decline, attributed to a lack of access to library resources and advanced materials.</w:t>
            </w:r>
          </w:p>
        </w:tc>
      </w:tr>
      <w:tr w:rsidR="00853D74" w:rsidRPr="00853D74" w14:paraId="71B973AF" w14:textId="77777777" w:rsidTr="0018506C">
        <w:tc>
          <w:tcPr>
            <w:tcW w:w="1569" w:type="dxa"/>
            <w:hideMark/>
          </w:tcPr>
          <w:p w14:paraId="7833B187"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Practical &amp; Laboratory Work</w:t>
            </w:r>
          </w:p>
        </w:tc>
        <w:tc>
          <w:tcPr>
            <w:tcW w:w="3556" w:type="dxa"/>
            <w:hideMark/>
          </w:tcPr>
          <w:p w14:paraId="722E8B04"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Virtual Adaptation:</w:t>
            </w:r>
          </w:p>
          <w:p w14:paraId="7E9805C5"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Labs conducted via video explanations and virtual simulations.</w:t>
            </w:r>
          </w:p>
          <w:p w14:paraId="2922575F"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While students preferred in-person labs, they adapted to online tools without significant loss of theoretical understanding.</w:t>
            </w:r>
          </w:p>
        </w:tc>
        <w:tc>
          <w:tcPr>
            <w:tcW w:w="3891" w:type="dxa"/>
            <w:hideMark/>
          </w:tcPr>
          <w:p w14:paraId="257E9448"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Severe Disruption:</w:t>
            </w:r>
          </w:p>
          <w:p w14:paraId="040B4D8D"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Critical lack of hands-on experiments; virtual labs were often not viable due to data limits.</w:t>
            </w:r>
          </w:p>
          <w:p w14:paraId="40AAC0F6"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Reliance on TV broadcasting or simple videos, leading to a gap in experiential learning.</w:t>
            </w:r>
          </w:p>
        </w:tc>
      </w:tr>
      <w:tr w:rsidR="00853D74" w:rsidRPr="00853D74" w14:paraId="5945E449" w14:textId="77777777" w:rsidTr="0018506C">
        <w:tc>
          <w:tcPr>
            <w:tcW w:w="1569" w:type="dxa"/>
            <w:hideMark/>
          </w:tcPr>
          <w:p w14:paraId="7297E400"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Challenges Faced</w:t>
            </w:r>
          </w:p>
        </w:tc>
        <w:tc>
          <w:tcPr>
            <w:tcW w:w="3556" w:type="dxa"/>
            <w:hideMark/>
          </w:tcPr>
          <w:p w14:paraId="4812D5B3"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Management &amp; Adaptation:</w:t>
            </w:r>
          </w:p>
          <w:p w14:paraId="159D1E0E"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Primary challenges were managing interaction, ensuring engagement in large groups, and maintaining student commitment.</w:t>
            </w:r>
          </w:p>
          <w:p w14:paraId="4796B363"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Workload perception was high among students.</w:t>
            </w:r>
          </w:p>
        </w:tc>
        <w:tc>
          <w:tcPr>
            <w:tcW w:w="3891" w:type="dxa"/>
            <w:hideMark/>
          </w:tcPr>
          <w:p w14:paraId="7B6CAE8F"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Environmental &amp; Skill Gaps:</w:t>
            </w:r>
          </w:p>
          <w:p w14:paraId="13719CBD"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Digital Divide:</w:t>
            </w:r>
            <w:r w:rsidRPr="00853D74">
              <w:rPr>
                <w:rFonts w:ascii="Times New Roman" w:hAnsi="Times New Roman" w:cs="Times New Roman"/>
              </w:rPr>
              <w:t xml:space="preserve"> Distracting home environments (noise, lack of space).</w:t>
            </w:r>
          </w:p>
          <w:p w14:paraId="0896AAA6"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Skills:</w:t>
            </w:r>
            <w:r w:rsidRPr="00853D74">
              <w:rPr>
                <w:rFonts w:ascii="Times New Roman" w:hAnsi="Times New Roman" w:cs="Times New Roman"/>
              </w:rPr>
              <w:t xml:space="preserve"> Teachers often inexperienced with modern web tools.</w:t>
            </w:r>
          </w:p>
          <w:p w14:paraId="171D4752"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Integrity:</w:t>
            </w:r>
            <w:r w:rsidRPr="00853D74">
              <w:rPr>
                <w:rFonts w:ascii="Times New Roman" w:hAnsi="Times New Roman" w:cs="Times New Roman"/>
              </w:rPr>
              <w:t xml:space="preserve"> High concern regarding plagiarism in assignment-based assessments.</w:t>
            </w:r>
          </w:p>
        </w:tc>
      </w:tr>
      <w:tr w:rsidR="00A53625" w:rsidRPr="00853D74" w14:paraId="645D3839" w14:textId="77777777" w:rsidTr="0018506C">
        <w:tc>
          <w:tcPr>
            <w:tcW w:w="1569" w:type="dxa"/>
            <w:hideMark/>
          </w:tcPr>
          <w:p w14:paraId="6953BA01" w14:textId="77777777" w:rsidR="0018506C" w:rsidRPr="00853D74" w:rsidRDefault="0018506C" w:rsidP="00734308">
            <w:pPr>
              <w:spacing w:after="160" w:line="259" w:lineRule="auto"/>
              <w:rPr>
                <w:rFonts w:ascii="Times New Roman" w:hAnsi="Times New Roman" w:cs="Times New Roman"/>
              </w:rPr>
            </w:pPr>
            <w:r w:rsidRPr="00853D74">
              <w:rPr>
                <w:rFonts w:ascii="Times New Roman" w:hAnsi="Times New Roman" w:cs="Times New Roman"/>
                <w:b/>
                <w:bCs/>
              </w:rPr>
              <w:t>Overall Effectiveness</w:t>
            </w:r>
          </w:p>
        </w:tc>
        <w:tc>
          <w:tcPr>
            <w:tcW w:w="3556" w:type="dxa"/>
            <w:hideMark/>
          </w:tcPr>
          <w:p w14:paraId="4C13B15F"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t>Viable Supplement:</w:t>
            </w:r>
          </w:p>
          <w:p w14:paraId="2A8870C4"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 xml:space="preserve">Successful adaptation with emphasis on planning; online education is </w:t>
            </w:r>
            <w:r w:rsidRPr="00853D74">
              <w:rPr>
                <w:rFonts w:ascii="Times New Roman" w:hAnsi="Times New Roman" w:cs="Times New Roman"/>
              </w:rPr>
              <w:lastRenderedPageBreak/>
              <w:t>viewed as a viable supplement that offers flexibility.</w:t>
            </w:r>
          </w:p>
        </w:tc>
        <w:tc>
          <w:tcPr>
            <w:tcW w:w="3891" w:type="dxa"/>
            <w:hideMark/>
          </w:tcPr>
          <w:p w14:paraId="4F5ACE38"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b/>
                <w:bCs/>
              </w:rPr>
              <w:lastRenderedPageBreak/>
              <w:t>Alternative with Limitations:</w:t>
            </w:r>
          </w:p>
          <w:p w14:paraId="69A60AF7"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lastRenderedPageBreak/>
              <w:t>Effective as an emergency alternative but lags in engagement and practical skill development.</w:t>
            </w:r>
          </w:p>
          <w:p w14:paraId="21FF90A8" w14:textId="77777777" w:rsidR="0018506C" w:rsidRPr="00853D74" w:rsidRDefault="0018506C" w:rsidP="0018506C">
            <w:pPr>
              <w:spacing w:after="160" w:line="259" w:lineRule="auto"/>
              <w:jc w:val="both"/>
              <w:rPr>
                <w:rFonts w:ascii="Times New Roman" w:hAnsi="Times New Roman" w:cs="Times New Roman"/>
              </w:rPr>
            </w:pPr>
            <w:r w:rsidRPr="00853D74">
              <w:rPr>
                <w:rFonts w:ascii="Times New Roman" w:hAnsi="Times New Roman" w:cs="Times New Roman"/>
              </w:rPr>
              <w:t>Highlighted the urgent need for infrastructural improvements to make online learning equitable.</w:t>
            </w:r>
          </w:p>
        </w:tc>
      </w:tr>
    </w:tbl>
    <w:p w14:paraId="73F9B9C9" w14:textId="77777777" w:rsidR="005300D3" w:rsidRPr="00853D74" w:rsidRDefault="005300D3" w:rsidP="001759C8">
      <w:pPr>
        <w:spacing w:after="0" w:line="360" w:lineRule="auto"/>
        <w:jc w:val="both"/>
        <w:rPr>
          <w:rFonts w:ascii="Times New Roman" w:hAnsi="Times New Roman" w:cs="Times New Roman"/>
          <w:sz w:val="24"/>
          <w:szCs w:val="24"/>
        </w:rPr>
      </w:pPr>
    </w:p>
    <w:p w14:paraId="50018E7E" w14:textId="71940569" w:rsidR="005300D3" w:rsidRPr="00853D74" w:rsidRDefault="00E27D72"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7. Applications of Al and </w:t>
      </w:r>
      <w:proofErr w:type="spellStart"/>
      <w:r w:rsidRPr="00853D74">
        <w:rPr>
          <w:rFonts w:ascii="Times New Roman" w:hAnsi="Times New Roman" w:cs="Times New Roman"/>
          <w:sz w:val="24"/>
          <w:szCs w:val="24"/>
        </w:rPr>
        <w:t>loT</w:t>
      </w:r>
      <w:proofErr w:type="spellEnd"/>
      <w:r w:rsidRPr="00853D74">
        <w:rPr>
          <w:rFonts w:ascii="Times New Roman" w:hAnsi="Times New Roman" w:cs="Times New Roman"/>
          <w:sz w:val="24"/>
          <w:szCs w:val="24"/>
        </w:rPr>
        <w:t xml:space="preserve"> in Chemistry Education</w:t>
      </w:r>
    </w:p>
    <w:p w14:paraId="3DF49ABE" w14:textId="32FA0DD4" w:rsidR="00E27D72" w:rsidRPr="00853D74" w:rsidRDefault="00E27D72"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The use of Artificial Intelligence (AI) and Internet of Things (IoT) tools, including autonomous robot platforms and voice-activated devices, is transforming the way chemistry is taught, by moving away the emphasis on manual labour to the higher-order data analysis and modelling. AI is used as an influential research tool in the current chemistry lessons to predict molecular properties, create new catalysts, and develop complex retrosynthesis pathways. These digital assistants are usually realized in the form of Internet of Things-enhanced so-called hands-free AI speakers, which mean offering real-time, multimodal assistance to students in their experiments- responding to their questions on the preparation of solutions or disposal of waste without interrupting the actual lab work. Moreover, systems such as AlphaFold2 and the so-called </w:t>
      </w:r>
      <w:proofErr w:type="spellStart"/>
      <w:r w:rsidRPr="00853D74">
        <w:rPr>
          <w:rFonts w:ascii="Times New Roman" w:hAnsi="Times New Roman" w:cs="Times New Roman"/>
          <w:sz w:val="24"/>
          <w:szCs w:val="24"/>
        </w:rPr>
        <w:t>Coscientist</w:t>
      </w:r>
      <w:proofErr w:type="spellEnd"/>
      <w:r w:rsidRPr="00853D74">
        <w:rPr>
          <w:rFonts w:ascii="Times New Roman" w:hAnsi="Times New Roman" w:cs="Times New Roman"/>
          <w:sz w:val="24"/>
          <w:szCs w:val="24"/>
        </w:rPr>
        <w:t xml:space="preserve"> indicate that autonomous labs are possible with AI taking care of optimization of syntheses and structural validation</w:t>
      </w:r>
      <w:r w:rsidR="00CE6845" w:rsidRPr="00853D74">
        <w:rPr>
          <w:rFonts w:ascii="Times New Roman" w:hAnsi="Times New Roman" w:cs="Times New Roman"/>
          <w:sz w:val="24"/>
          <w:szCs w:val="24"/>
        </w:rPr>
        <w:t xml:space="preserve"> (Berber et al., 2025)</w:t>
      </w:r>
      <w:r w:rsidRPr="00853D74">
        <w:rPr>
          <w:rFonts w:ascii="Times New Roman" w:hAnsi="Times New Roman" w:cs="Times New Roman"/>
          <w:sz w:val="24"/>
          <w:szCs w:val="24"/>
        </w:rPr>
        <w:t xml:space="preserve">. As these applications provide added value of personalized learning and interest in STEM careers among the students, it also presents some negative aspects like factual hallucinations, ethical bias in the generation of images, and the danger of becoming overdependent on factually un-verified information. As a result, the successful integration process presupposes the creation of Technological Content Knowledge (TCK) by educators and the promotion of AI literacy, so that students </w:t>
      </w:r>
      <w:r w:rsidR="00CE6845" w:rsidRPr="00853D74">
        <w:rPr>
          <w:rFonts w:ascii="Times New Roman" w:hAnsi="Times New Roman" w:cs="Times New Roman"/>
          <w:sz w:val="24"/>
          <w:szCs w:val="24"/>
        </w:rPr>
        <w:t>can</w:t>
      </w:r>
      <w:r w:rsidRPr="00853D74">
        <w:rPr>
          <w:rFonts w:ascii="Times New Roman" w:hAnsi="Times New Roman" w:cs="Times New Roman"/>
          <w:sz w:val="24"/>
          <w:szCs w:val="24"/>
        </w:rPr>
        <w:t xml:space="preserve"> assess AI-created outputs with a critical approach through the utilization of such strategies as the Five S framework</w:t>
      </w:r>
      <w:r w:rsidR="00CE6845" w:rsidRPr="00853D74">
        <w:rPr>
          <w:rFonts w:ascii="Times New Roman" w:hAnsi="Times New Roman" w:cs="Times New Roman"/>
          <w:sz w:val="24"/>
          <w:szCs w:val="24"/>
        </w:rPr>
        <w:t xml:space="preserve"> (set the scene, be specific, simplify language, structure the output, and share feedback) (</w:t>
      </w:r>
      <w:proofErr w:type="spellStart"/>
      <w:r w:rsidR="00CE6845" w:rsidRPr="00853D74">
        <w:rPr>
          <w:rFonts w:ascii="Times New Roman" w:hAnsi="Times New Roman" w:cs="Times New Roman"/>
          <w:sz w:val="24"/>
          <w:szCs w:val="24"/>
        </w:rPr>
        <w:t>Erümit</w:t>
      </w:r>
      <w:proofErr w:type="spellEnd"/>
      <w:r w:rsidR="00CE6845" w:rsidRPr="00853D74">
        <w:rPr>
          <w:rFonts w:ascii="Times New Roman" w:hAnsi="Times New Roman" w:cs="Times New Roman"/>
          <w:sz w:val="24"/>
          <w:szCs w:val="24"/>
        </w:rPr>
        <w:t xml:space="preserve"> and </w:t>
      </w:r>
      <w:proofErr w:type="spellStart"/>
      <w:r w:rsidR="00CE6845" w:rsidRPr="00853D74">
        <w:rPr>
          <w:rFonts w:ascii="Times New Roman" w:hAnsi="Times New Roman" w:cs="Times New Roman"/>
          <w:sz w:val="24"/>
          <w:szCs w:val="24"/>
        </w:rPr>
        <w:t>Sarıalioğlu</w:t>
      </w:r>
      <w:proofErr w:type="spellEnd"/>
      <w:r w:rsidR="00CE6845" w:rsidRPr="00853D74">
        <w:rPr>
          <w:rFonts w:ascii="Times New Roman" w:hAnsi="Times New Roman" w:cs="Times New Roman"/>
          <w:sz w:val="24"/>
          <w:szCs w:val="24"/>
        </w:rPr>
        <w:t xml:space="preserve"> 2025).</w:t>
      </w:r>
    </w:p>
    <w:p w14:paraId="16DA4A6C" w14:textId="77777777" w:rsidR="005300D3" w:rsidRPr="00853D74" w:rsidRDefault="005300D3" w:rsidP="001759C8">
      <w:pPr>
        <w:spacing w:after="0" w:line="360" w:lineRule="auto"/>
        <w:jc w:val="both"/>
        <w:rPr>
          <w:rFonts w:ascii="Times New Roman" w:hAnsi="Times New Roman" w:cs="Times New Roman"/>
          <w:sz w:val="24"/>
          <w:szCs w:val="24"/>
        </w:rPr>
      </w:pPr>
    </w:p>
    <w:p w14:paraId="10129674" w14:textId="77777777" w:rsidR="005300D3" w:rsidRPr="00853D74" w:rsidRDefault="005300D3" w:rsidP="001759C8">
      <w:pPr>
        <w:spacing w:after="0" w:line="360" w:lineRule="auto"/>
        <w:jc w:val="both"/>
        <w:rPr>
          <w:rFonts w:ascii="Times New Roman" w:hAnsi="Times New Roman" w:cs="Times New Roman"/>
          <w:sz w:val="24"/>
          <w:szCs w:val="24"/>
        </w:rPr>
      </w:pPr>
    </w:p>
    <w:p w14:paraId="7A21AFC0" w14:textId="255EBE58" w:rsidR="001759C8" w:rsidRPr="00853D74" w:rsidRDefault="00E27D72"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8</w:t>
      </w:r>
      <w:r w:rsidR="00397728" w:rsidRPr="00853D74">
        <w:rPr>
          <w:rFonts w:ascii="Times New Roman" w:hAnsi="Times New Roman" w:cs="Times New Roman"/>
          <w:sz w:val="24"/>
          <w:szCs w:val="24"/>
        </w:rPr>
        <w:t xml:space="preserve">. </w:t>
      </w:r>
      <w:r w:rsidR="001759C8" w:rsidRPr="00853D74">
        <w:rPr>
          <w:rFonts w:ascii="Times New Roman" w:hAnsi="Times New Roman" w:cs="Times New Roman"/>
          <w:sz w:val="24"/>
          <w:szCs w:val="24"/>
        </w:rPr>
        <w:t>Future Prospects: AI, IoT, and ML in Higher Education of Chemistry</w:t>
      </w:r>
    </w:p>
    <w:p w14:paraId="7960531B" w14:textId="77777777" w:rsidR="001759C8" w:rsidRPr="00853D74" w:rsidRDefault="001759C8"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As higher education enters the "Industry 4.0" era; the combination of Artificial Intelligence (AI), Internet of Things (IoT) and Machine Learning (ML) promises to change the way chemistry is taught and practiced.</w:t>
      </w:r>
    </w:p>
    <w:p w14:paraId="2C8E0C71" w14:textId="77777777" w:rsidR="00397728" w:rsidRPr="00853D74" w:rsidRDefault="00397728" w:rsidP="001759C8">
      <w:pPr>
        <w:spacing w:after="0" w:line="360" w:lineRule="auto"/>
        <w:jc w:val="both"/>
        <w:rPr>
          <w:rFonts w:ascii="Times New Roman" w:hAnsi="Times New Roman" w:cs="Times New Roman"/>
          <w:sz w:val="24"/>
          <w:szCs w:val="24"/>
        </w:rPr>
      </w:pPr>
    </w:p>
    <w:p w14:paraId="7F612479" w14:textId="3C8CA2E0" w:rsidR="001759C8" w:rsidRPr="00853D74" w:rsidRDefault="00CE6845"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8</w:t>
      </w:r>
      <w:r w:rsidR="00397728" w:rsidRPr="00853D74">
        <w:rPr>
          <w:rFonts w:ascii="Times New Roman" w:hAnsi="Times New Roman" w:cs="Times New Roman"/>
          <w:sz w:val="24"/>
          <w:szCs w:val="24"/>
        </w:rPr>
        <w:t xml:space="preserve">.1. </w:t>
      </w:r>
      <w:r w:rsidR="001759C8" w:rsidRPr="00853D74">
        <w:rPr>
          <w:rFonts w:ascii="Times New Roman" w:hAnsi="Times New Roman" w:cs="Times New Roman"/>
          <w:sz w:val="24"/>
          <w:szCs w:val="24"/>
        </w:rPr>
        <w:t>Artificial Intelligence (AI) &amp; Customized Learning</w:t>
      </w:r>
    </w:p>
    <w:p w14:paraId="4CC124ED" w14:textId="14BC57E5" w:rsidR="001759C8" w:rsidRPr="00853D74" w:rsidRDefault="001759C8"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lastRenderedPageBreak/>
        <w:t>AI-driven systems of Intelligent Tutoring Systems (ITS) have the potential to democratise personalised instruction</w:t>
      </w:r>
      <w:r w:rsidR="0079276E" w:rsidRPr="00853D74">
        <w:rPr>
          <w:rFonts w:ascii="Times New Roman" w:hAnsi="Times New Roman" w:cs="Times New Roman"/>
          <w:sz w:val="24"/>
          <w:szCs w:val="24"/>
        </w:rPr>
        <w:t xml:space="preserve"> (Chinnasamy et al., 2025). IGI Global Scientific Publishing.</w:t>
      </w:r>
      <w:r w:rsidRPr="00853D74">
        <w:rPr>
          <w:rFonts w:ascii="Times New Roman" w:hAnsi="Times New Roman" w:cs="Times New Roman"/>
          <w:sz w:val="24"/>
          <w:szCs w:val="24"/>
        </w:rPr>
        <w:t xml:space="preserve"> In subjects such as thermodynamics or quantum chemistry, which are complex, AI algorithms can </w:t>
      </w:r>
      <w:r w:rsidR="00BC09F4" w:rsidRPr="00853D74">
        <w:rPr>
          <w:rFonts w:ascii="Times New Roman" w:hAnsi="Times New Roman" w:cs="Times New Roman"/>
          <w:sz w:val="24"/>
          <w:szCs w:val="24"/>
        </w:rPr>
        <w:t>analyse</w:t>
      </w:r>
      <w:r w:rsidRPr="00853D74">
        <w:rPr>
          <w:rFonts w:ascii="Times New Roman" w:hAnsi="Times New Roman" w:cs="Times New Roman"/>
          <w:sz w:val="24"/>
          <w:szCs w:val="24"/>
        </w:rPr>
        <w:t xml:space="preserve"> a student's performance real-time and detect certain gaps in the concepts and develop customized quizzes or explanations to overcome them. In addition to tutoring, Generative AI is changing the process of writing in science and literature review, though it requires new curricula on digital ethics and academic integrity</w:t>
      </w:r>
      <w:r w:rsidR="00BC09F4" w:rsidRPr="00853D74">
        <w:rPr>
          <w:rFonts w:ascii="Times New Roman" w:hAnsi="Times New Roman" w:cs="Times New Roman"/>
          <w:sz w:val="24"/>
          <w:szCs w:val="24"/>
        </w:rPr>
        <w:t xml:space="preserve"> (Maiti, 2026).</w:t>
      </w:r>
    </w:p>
    <w:p w14:paraId="12E5239D" w14:textId="77777777" w:rsidR="00397728" w:rsidRPr="00853D74" w:rsidRDefault="00397728" w:rsidP="001759C8">
      <w:pPr>
        <w:spacing w:after="0" w:line="360" w:lineRule="auto"/>
        <w:jc w:val="both"/>
        <w:rPr>
          <w:rFonts w:ascii="Times New Roman" w:hAnsi="Times New Roman" w:cs="Times New Roman"/>
          <w:sz w:val="24"/>
          <w:szCs w:val="24"/>
        </w:rPr>
      </w:pPr>
    </w:p>
    <w:p w14:paraId="28B27263" w14:textId="193E1326" w:rsidR="001759C8" w:rsidRPr="00853D74" w:rsidRDefault="00CE6845"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8</w:t>
      </w:r>
      <w:r w:rsidR="00397728" w:rsidRPr="00853D74">
        <w:rPr>
          <w:rFonts w:ascii="Times New Roman" w:hAnsi="Times New Roman" w:cs="Times New Roman"/>
          <w:sz w:val="24"/>
          <w:szCs w:val="24"/>
        </w:rPr>
        <w:t xml:space="preserve">.2. </w:t>
      </w:r>
      <w:r w:rsidR="001759C8" w:rsidRPr="00853D74">
        <w:rPr>
          <w:rFonts w:ascii="Times New Roman" w:hAnsi="Times New Roman" w:cs="Times New Roman"/>
          <w:sz w:val="24"/>
          <w:szCs w:val="24"/>
        </w:rPr>
        <w:t>Machine Learning (ML) in Chemical Research Training</w:t>
      </w:r>
    </w:p>
    <w:p w14:paraId="60DB1515" w14:textId="548CC388" w:rsidR="001759C8" w:rsidRPr="00853D74" w:rsidRDefault="001759C8"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Integrating ML into the undergraduate and postgraduate chemistry curriculum is not an option anymore but is an essential requirement to be ready for modernization in the workforce</w:t>
      </w:r>
      <w:r w:rsidR="00F03B2F" w:rsidRPr="00853D74">
        <w:rPr>
          <w:rFonts w:ascii="Times New Roman" w:hAnsi="Times New Roman" w:cs="Times New Roman"/>
          <w:sz w:val="24"/>
          <w:szCs w:val="24"/>
        </w:rPr>
        <w:t xml:space="preserve"> (Berber et al., 2025)</w:t>
      </w:r>
      <w:r w:rsidRPr="00853D74">
        <w:rPr>
          <w:rFonts w:ascii="Times New Roman" w:hAnsi="Times New Roman" w:cs="Times New Roman"/>
          <w:sz w:val="24"/>
          <w:szCs w:val="24"/>
        </w:rPr>
        <w:t>. Future curricula will likely include "Cheminformatics" where students learn to use ML algorithms for predicting molecular properties, optimizing reaction conditions and accelerating drug discovery processes.3 This changes the emphasis from pure wet-lab skills to becoming a "hybrid chemist" with the profile of a chemist who is good at synthesis and data science.</w:t>
      </w:r>
    </w:p>
    <w:p w14:paraId="76129F97" w14:textId="77777777" w:rsidR="00BC09F4" w:rsidRPr="00853D74" w:rsidRDefault="00BC09F4" w:rsidP="001759C8">
      <w:pPr>
        <w:spacing w:after="0" w:line="360" w:lineRule="auto"/>
        <w:jc w:val="both"/>
        <w:rPr>
          <w:rFonts w:ascii="Times New Roman" w:hAnsi="Times New Roman" w:cs="Times New Roman"/>
          <w:sz w:val="24"/>
          <w:szCs w:val="24"/>
        </w:rPr>
      </w:pPr>
    </w:p>
    <w:p w14:paraId="4FC4ADA8" w14:textId="008DA08E" w:rsidR="001759C8" w:rsidRPr="00853D74" w:rsidRDefault="00CE6845"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8</w:t>
      </w:r>
      <w:r w:rsidR="00F03B2F" w:rsidRPr="00853D74">
        <w:rPr>
          <w:rFonts w:ascii="Times New Roman" w:hAnsi="Times New Roman" w:cs="Times New Roman"/>
          <w:sz w:val="24"/>
          <w:szCs w:val="24"/>
        </w:rPr>
        <w:t xml:space="preserve">.3. </w:t>
      </w:r>
      <w:r w:rsidR="001759C8" w:rsidRPr="00853D74">
        <w:rPr>
          <w:rFonts w:ascii="Times New Roman" w:hAnsi="Times New Roman" w:cs="Times New Roman"/>
          <w:sz w:val="24"/>
          <w:szCs w:val="24"/>
        </w:rPr>
        <w:t>Internet of Things (IoT) with Smart Laboratory</w:t>
      </w:r>
    </w:p>
    <w:p w14:paraId="52AECE9D" w14:textId="7B5F5F83" w:rsidR="00DD76DD" w:rsidRPr="00853D74" w:rsidRDefault="001759C8" w:rsidP="001759C8">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The application of IoT makes the physical lab a "Smart Lab." Connected sensors can be used to monitor reaction parameters (temperature, pressure, pH) remotely, which makes it possible for students to monitor long duration experiments from their smart phones without being physically present. Furthermore, IoT improves safety management by automatic gas leak detection or volatile organic compound (VOC) level detection and automatic ventilation system start-up or detecting and alerting to help achieve a safer learning environment for young chemists</w:t>
      </w:r>
      <w:r w:rsidR="00F03B2F" w:rsidRPr="00853D74">
        <w:rPr>
          <w:rFonts w:ascii="Times New Roman" w:hAnsi="Times New Roman" w:cs="Times New Roman"/>
          <w:sz w:val="24"/>
          <w:szCs w:val="24"/>
        </w:rPr>
        <w:t xml:space="preserve"> (</w:t>
      </w:r>
      <w:proofErr w:type="spellStart"/>
      <w:r w:rsidR="00F03B2F" w:rsidRPr="00853D74">
        <w:rPr>
          <w:rFonts w:ascii="Times New Roman" w:hAnsi="Times New Roman" w:cs="Times New Roman"/>
          <w:sz w:val="24"/>
          <w:szCs w:val="24"/>
        </w:rPr>
        <w:t>Sreenivasu</w:t>
      </w:r>
      <w:proofErr w:type="spellEnd"/>
      <w:r w:rsidR="00F03B2F" w:rsidRPr="00853D74">
        <w:rPr>
          <w:rFonts w:ascii="Times New Roman" w:hAnsi="Times New Roman" w:cs="Times New Roman"/>
          <w:sz w:val="24"/>
          <w:szCs w:val="24"/>
        </w:rPr>
        <w:t xml:space="preserve"> et al., 2025).</w:t>
      </w:r>
    </w:p>
    <w:p w14:paraId="446BEB70" w14:textId="1733B24F" w:rsidR="00CE6845" w:rsidRPr="00853D74" w:rsidRDefault="00CE6845" w:rsidP="001759C8">
      <w:pPr>
        <w:spacing w:after="0" w:line="360" w:lineRule="auto"/>
        <w:jc w:val="both"/>
        <w:rPr>
          <w:rFonts w:ascii="Times New Roman" w:hAnsi="Times New Roman" w:cs="Times New Roman"/>
          <w:sz w:val="24"/>
          <w:szCs w:val="24"/>
        </w:rPr>
      </w:pPr>
    </w:p>
    <w:p w14:paraId="3ABDE5DA" w14:textId="77777777" w:rsidR="00E47F4D" w:rsidRPr="00853D74" w:rsidRDefault="00E47F4D" w:rsidP="00E47F4D">
      <w:pPr>
        <w:spacing w:after="0" w:line="360" w:lineRule="auto"/>
        <w:jc w:val="both"/>
        <w:rPr>
          <w:rFonts w:ascii="Times New Roman" w:hAnsi="Times New Roman" w:cs="Times New Roman"/>
          <w:sz w:val="24"/>
          <w:szCs w:val="24"/>
        </w:rPr>
      </w:pPr>
    </w:p>
    <w:p w14:paraId="769A2A6F" w14:textId="5E021D3F" w:rsidR="00E47F4D" w:rsidRPr="00853D74" w:rsidRDefault="00CE6845"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9</w:t>
      </w:r>
      <w:r w:rsidR="00E47F4D" w:rsidRPr="00853D74">
        <w:rPr>
          <w:rFonts w:ascii="Times New Roman" w:hAnsi="Times New Roman" w:cs="Times New Roman"/>
          <w:sz w:val="24"/>
          <w:szCs w:val="24"/>
        </w:rPr>
        <w:t>. Conclusion</w:t>
      </w:r>
    </w:p>
    <w:p w14:paraId="452C9352" w14:textId="774B5C27" w:rsidR="000F2814" w:rsidRPr="00853D74" w:rsidRDefault="00E47F4D" w:rsidP="00E47F4D">
      <w:pPr>
        <w:spacing w:after="0" w:line="360" w:lineRule="auto"/>
        <w:jc w:val="both"/>
        <w:rPr>
          <w:rFonts w:ascii="Times New Roman" w:hAnsi="Times New Roman" w:cs="Times New Roman"/>
          <w:sz w:val="24"/>
          <w:szCs w:val="24"/>
        </w:rPr>
      </w:pPr>
      <w:r w:rsidRPr="00853D74">
        <w:rPr>
          <w:rFonts w:ascii="Times New Roman" w:hAnsi="Times New Roman" w:cs="Times New Roman"/>
          <w:sz w:val="24"/>
          <w:szCs w:val="24"/>
        </w:rPr>
        <w:t xml:space="preserve">The incident of the corona virus known as Covid-19 became a definite catalyst for </w:t>
      </w:r>
      <w:proofErr w:type="spellStart"/>
      <w:r w:rsidRPr="00853D74">
        <w:rPr>
          <w:rFonts w:ascii="Times New Roman" w:hAnsi="Times New Roman" w:cs="Times New Roman"/>
          <w:sz w:val="24"/>
          <w:szCs w:val="24"/>
        </w:rPr>
        <w:t>catalyzing</w:t>
      </w:r>
      <w:proofErr w:type="spellEnd"/>
      <w:r w:rsidRPr="00853D74">
        <w:rPr>
          <w:rFonts w:ascii="Times New Roman" w:hAnsi="Times New Roman" w:cs="Times New Roman"/>
          <w:sz w:val="24"/>
          <w:szCs w:val="24"/>
        </w:rPr>
        <w:t xml:space="preserve"> the digital transformation of chemistry education. By the beginning of 2022, the fact that although emergency remote teaching managed to fill the gaps during the pandemic's lockdowns, it highlighted the disparity in the world's educational infrastructure significantly. The "one-size-fits-all" approach was no longer possible; </w:t>
      </w:r>
      <w:r w:rsidR="008E4C30" w:rsidRPr="00853D74">
        <w:rPr>
          <w:rFonts w:ascii="Times New Roman" w:hAnsi="Times New Roman" w:cs="Times New Roman"/>
          <w:sz w:val="24"/>
          <w:szCs w:val="24"/>
        </w:rPr>
        <w:t>to</w:t>
      </w:r>
      <w:r w:rsidRPr="00853D74">
        <w:rPr>
          <w:rFonts w:ascii="Times New Roman" w:hAnsi="Times New Roman" w:cs="Times New Roman"/>
          <w:sz w:val="24"/>
          <w:szCs w:val="24"/>
        </w:rPr>
        <w:t xml:space="preserve"> teach effectively, localization was necessary. The DLPCA model in the Philippines and the mixed-method approach in Spain </w:t>
      </w:r>
      <w:r w:rsidRPr="00853D74">
        <w:rPr>
          <w:rFonts w:ascii="Times New Roman" w:hAnsi="Times New Roman" w:cs="Times New Roman"/>
          <w:sz w:val="24"/>
          <w:szCs w:val="24"/>
        </w:rPr>
        <w:lastRenderedPageBreak/>
        <w:t>showed that blended learning (an approach that combines asynchronous content delivery with synchronous active learning) can contribute to better engagement and grades among students. However, the Indian experience points out that unless the basic "digital divide" (electricity, connectivity and devices) is addressed, the benefits of online education are inaccessible to the most vulnerable populations40.</w:t>
      </w:r>
      <w:r w:rsidR="006E0F3C" w:rsidRPr="00853D74">
        <w:rPr>
          <w:rFonts w:ascii="Times New Roman" w:hAnsi="Times New Roman" w:cs="Times New Roman"/>
          <w:sz w:val="24"/>
          <w:szCs w:val="24"/>
        </w:rPr>
        <w:t xml:space="preserve"> </w:t>
      </w:r>
      <w:r w:rsidRPr="00853D74">
        <w:rPr>
          <w:rFonts w:ascii="Times New Roman" w:hAnsi="Times New Roman" w:cs="Times New Roman"/>
          <w:sz w:val="24"/>
          <w:szCs w:val="24"/>
        </w:rPr>
        <w:t xml:space="preserve">Moving forward, the incorporation of virtual resources </w:t>
      </w:r>
      <w:r w:rsidR="006E0F3C" w:rsidRPr="00853D74">
        <w:rPr>
          <w:rFonts w:ascii="Times New Roman" w:hAnsi="Times New Roman" w:cs="Times New Roman"/>
          <w:sz w:val="24"/>
          <w:szCs w:val="24"/>
        </w:rPr>
        <w:t xml:space="preserve">and various relevant tools (like, Pentab and 3D models) have been </w:t>
      </w:r>
      <w:r w:rsidRPr="00853D74">
        <w:rPr>
          <w:rFonts w:ascii="Times New Roman" w:hAnsi="Times New Roman" w:cs="Times New Roman"/>
          <w:sz w:val="24"/>
          <w:szCs w:val="24"/>
        </w:rPr>
        <w:t>developed</w:t>
      </w:r>
      <w:r w:rsidR="006E0F3C" w:rsidRPr="00853D74">
        <w:rPr>
          <w:rFonts w:ascii="Times New Roman" w:hAnsi="Times New Roman" w:cs="Times New Roman"/>
          <w:sz w:val="24"/>
          <w:szCs w:val="24"/>
        </w:rPr>
        <w:t>/employed</w:t>
      </w:r>
      <w:r w:rsidRPr="00853D74">
        <w:rPr>
          <w:rFonts w:ascii="Times New Roman" w:hAnsi="Times New Roman" w:cs="Times New Roman"/>
          <w:sz w:val="24"/>
          <w:szCs w:val="24"/>
        </w:rPr>
        <w:t xml:space="preserve"> during this time (video repositories and e-modules, for example) into the traditional curriculum is an avenue for a more resilient hybrid future for chemistry education.</w:t>
      </w:r>
      <w:r w:rsidR="00DD76DD" w:rsidRPr="00853D74">
        <w:rPr>
          <w:rFonts w:ascii="Times New Roman" w:hAnsi="Times New Roman" w:cs="Times New Roman"/>
          <w:sz w:val="24"/>
          <w:szCs w:val="24"/>
        </w:rPr>
        <w:t xml:space="preserve"> </w:t>
      </w:r>
      <w:r w:rsidR="001759C8" w:rsidRPr="00853D74">
        <w:rPr>
          <w:rFonts w:ascii="Times New Roman" w:hAnsi="Times New Roman" w:cs="Times New Roman"/>
          <w:sz w:val="24"/>
          <w:szCs w:val="24"/>
        </w:rPr>
        <w:t>While the pandemic has created a reactive leap to the digital option, the future of chemistry education will be in proactive integration. The intersection of hybrid pedagogy and state-of-the-art computational tools (AI/ML/IoT) can be expected to give rise to a generation of chemists that are not only good experimentalists but also digitally-savvy data scientists.</w:t>
      </w:r>
    </w:p>
    <w:p w14:paraId="211B4D4A" w14:textId="2F70D2F2" w:rsidR="008466AB" w:rsidRPr="00853D74" w:rsidRDefault="008466AB" w:rsidP="00E47F4D">
      <w:pPr>
        <w:spacing w:after="0" w:line="360" w:lineRule="auto"/>
        <w:jc w:val="both"/>
        <w:rPr>
          <w:rFonts w:ascii="Times New Roman" w:hAnsi="Times New Roman" w:cs="Times New Roman"/>
          <w:sz w:val="24"/>
          <w:szCs w:val="24"/>
        </w:rPr>
      </w:pPr>
    </w:p>
    <w:p w14:paraId="5118E64C" w14:textId="1CC69C97" w:rsidR="008466AB" w:rsidRDefault="008466AB" w:rsidP="008466AB">
      <w:pPr>
        <w:pStyle w:val="NoSpacing"/>
        <w:rPr>
          <w:rFonts w:ascii="Times New Roman" w:hAnsi="Times New Roman" w:cs="Times New Roman"/>
          <w:b/>
          <w:bCs/>
          <w:sz w:val="24"/>
          <w:szCs w:val="24"/>
        </w:rPr>
      </w:pPr>
      <w:bookmarkStart w:id="1" w:name="_Hlk198031404"/>
      <w:r w:rsidRPr="00853D74">
        <w:rPr>
          <w:rFonts w:ascii="Times New Roman" w:hAnsi="Times New Roman" w:cs="Times New Roman"/>
          <w:b/>
          <w:bCs/>
          <w:sz w:val="24"/>
          <w:szCs w:val="24"/>
        </w:rPr>
        <w:t>Disclaimer (Artificial intelligence)</w:t>
      </w:r>
    </w:p>
    <w:p w14:paraId="0A71FC10" w14:textId="51DFB5EC" w:rsidR="008B69AF" w:rsidRDefault="008B69AF" w:rsidP="008466AB">
      <w:pPr>
        <w:pStyle w:val="NoSpacing"/>
        <w:rPr>
          <w:rFonts w:ascii="Times New Roman" w:hAnsi="Times New Roman" w:cs="Times New Roman"/>
          <w:b/>
          <w:bCs/>
          <w:sz w:val="24"/>
          <w:szCs w:val="24"/>
        </w:rPr>
      </w:pPr>
    </w:p>
    <w:p w14:paraId="67DFCBA7" w14:textId="77777777" w:rsidR="008B69AF" w:rsidRPr="008B69AF" w:rsidRDefault="008B69AF" w:rsidP="008B69AF">
      <w:pPr>
        <w:spacing w:after="200" w:line="276" w:lineRule="auto"/>
        <w:rPr>
          <w:rFonts w:ascii="Calibri" w:eastAsia="Calibri" w:hAnsi="Calibri" w:cs="Times New Roman"/>
          <w:szCs w:val="22"/>
          <w:lang w:val="en-US" w:bidi="ar-SA"/>
        </w:rPr>
      </w:pPr>
      <w:r w:rsidRPr="008B69AF">
        <w:rPr>
          <w:rFonts w:ascii="Calibri" w:eastAsia="Calibri" w:hAnsi="Calibri" w:cs="Times New Roman"/>
          <w:szCs w:val="22"/>
          <w:lang w:val="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94C1FA" w14:textId="77777777" w:rsidR="008B69AF" w:rsidRPr="008B69AF" w:rsidRDefault="008B69AF" w:rsidP="008B69AF">
      <w:pPr>
        <w:spacing w:after="200" w:line="276" w:lineRule="auto"/>
        <w:rPr>
          <w:rFonts w:ascii="Calibri" w:eastAsia="Calibri" w:hAnsi="Calibri" w:cs="Times New Roman"/>
          <w:b/>
          <w:szCs w:val="22"/>
          <w:lang w:val="en-US" w:bidi="ar-SA"/>
        </w:rPr>
      </w:pPr>
      <w:r w:rsidRPr="008B69AF">
        <w:rPr>
          <w:rFonts w:ascii="Calibri" w:eastAsia="Calibri" w:hAnsi="Calibri" w:cs="Times New Roman"/>
          <w:b/>
          <w:szCs w:val="22"/>
          <w:lang w:val="en-US" w:bidi="ar-SA"/>
        </w:rPr>
        <w:t>Details of the AI usage are given below:</w:t>
      </w:r>
    </w:p>
    <w:p w14:paraId="58E25468" w14:textId="238F9663" w:rsidR="008B69AF" w:rsidRPr="008B69AF" w:rsidRDefault="008B69AF" w:rsidP="008B69AF">
      <w:pPr>
        <w:spacing w:after="200" w:line="276" w:lineRule="auto"/>
        <w:rPr>
          <w:rFonts w:ascii="Calibri" w:eastAsia="Calibri" w:hAnsi="Calibri" w:cs="Times New Roman"/>
          <w:szCs w:val="22"/>
          <w:lang w:val="en-US" w:bidi="ar-SA"/>
        </w:rPr>
      </w:pPr>
      <w:r w:rsidRPr="008B69AF">
        <w:rPr>
          <w:rFonts w:ascii="Calibri" w:eastAsia="Calibri" w:hAnsi="Calibri" w:cs="Times New Roman"/>
          <w:szCs w:val="22"/>
          <w:lang w:val="en-US" w:bidi="ar-SA"/>
        </w:rPr>
        <w:t>1.</w:t>
      </w:r>
      <w:r>
        <w:rPr>
          <w:rFonts w:ascii="Calibri" w:eastAsia="Calibri" w:hAnsi="Calibri" w:cs="Times New Roman"/>
          <w:szCs w:val="22"/>
          <w:lang w:val="en-US" w:bidi="ar-SA"/>
        </w:rPr>
        <w:t xml:space="preserve"> T</w:t>
      </w:r>
      <w:r w:rsidRPr="008B69AF">
        <w:rPr>
          <w:rFonts w:ascii="Calibri" w:eastAsia="Calibri" w:hAnsi="Calibri" w:cs="Times New Roman"/>
          <w:szCs w:val="22"/>
          <w:lang w:val="en-US" w:bidi="ar-SA"/>
        </w:rPr>
        <w:t>he</w:t>
      </w:r>
      <w:r>
        <w:rPr>
          <w:rFonts w:ascii="Calibri" w:eastAsia="Calibri" w:hAnsi="Calibri" w:cs="Times New Roman"/>
          <w:szCs w:val="22"/>
          <w:lang w:val="en-US" w:bidi="ar-SA"/>
        </w:rPr>
        <w:t xml:space="preserve"> </w:t>
      </w:r>
      <w:r w:rsidRPr="008B69AF">
        <w:rPr>
          <w:rFonts w:ascii="Calibri" w:eastAsia="Calibri" w:hAnsi="Calibri" w:cs="Times New Roman"/>
          <w:szCs w:val="22"/>
          <w:lang w:val="en-US" w:bidi="ar-SA"/>
        </w:rPr>
        <w:t>author used Google Gemini AI to generate one image (Figure 1), for illustrative purposes</w:t>
      </w:r>
      <w:r w:rsidR="0041512E">
        <w:rPr>
          <w:rFonts w:ascii="Calibri" w:eastAsia="Calibri" w:hAnsi="Calibri" w:cs="Times New Roman"/>
          <w:szCs w:val="22"/>
          <w:lang w:val="en-US" w:bidi="ar-SA"/>
        </w:rPr>
        <w:t>.</w:t>
      </w:r>
    </w:p>
    <w:p w14:paraId="7DCD09A5" w14:textId="2821B1C9" w:rsidR="008B69AF" w:rsidRDefault="008B69AF" w:rsidP="008B69AF">
      <w:pPr>
        <w:spacing w:after="200" w:line="276" w:lineRule="auto"/>
        <w:rPr>
          <w:rFonts w:ascii="Calibri" w:eastAsia="Calibri" w:hAnsi="Calibri" w:cs="Times New Roman"/>
          <w:szCs w:val="22"/>
          <w:lang w:val="en-US" w:bidi="ar-SA"/>
        </w:rPr>
      </w:pPr>
      <w:r w:rsidRPr="008B69AF">
        <w:rPr>
          <w:rFonts w:ascii="Calibri" w:eastAsia="Calibri" w:hAnsi="Calibri" w:cs="Times New Roman"/>
          <w:szCs w:val="22"/>
          <w:lang w:val="en-US" w:bidi="ar-SA"/>
        </w:rPr>
        <w:t>2.</w:t>
      </w:r>
      <w:r w:rsidR="0041512E">
        <w:rPr>
          <w:rFonts w:ascii="Calibri" w:eastAsia="Calibri" w:hAnsi="Calibri" w:cs="Times New Roman"/>
          <w:szCs w:val="22"/>
          <w:lang w:val="en-US" w:bidi="ar-SA"/>
        </w:rPr>
        <w:t xml:space="preserve"> T</w:t>
      </w:r>
      <w:r w:rsidR="0041512E" w:rsidRPr="0041512E">
        <w:rPr>
          <w:rFonts w:ascii="Calibri" w:eastAsia="Calibri" w:hAnsi="Calibri" w:cs="Times New Roman"/>
          <w:szCs w:val="22"/>
          <w:lang w:val="en-US" w:bidi="ar-SA"/>
        </w:rPr>
        <w:t>o refine the English by rephrasing very few sentences to produce clearer and more meaningful sentences</w:t>
      </w:r>
    </w:p>
    <w:p w14:paraId="2FAE39A6" w14:textId="0860F996" w:rsidR="0008650A" w:rsidRPr="008B69AF" w:rsidRDefault="0008650A" w:rsidP="008B69AF">
      <w:pPr>
        <w:spacing w:after="200" w:line="276" w:lineRule="auto"/>
        <w:rPr>
          <w:rFonts w:ascii="Calibri" w:eastAsia="Calibri" w:hAnsi="Calibri" w:cs="Times New Roman"/>
          <w:szCs w:val="22"/>
          <w:lang w:val="en-US" w:bidi="ar-SA"/>
        </w:rPr>
      </w:pPr>
      <w:r w:rsidRPr="0008650A">
        <w:rPr>
          <w:rFonts w:ascii="Calibri" w:eastAsia="Calibri" w:hAnsi="Calibri" w:cs="Times New Roman"/>
          <w:szCs w:val="22"/>
          <w:lang w:val="en-US" w:bidi="ar-SA"/>
        </w:rPr>
        <w:t>After using this tool/service, the author carefully reviewed and edited all AI-assisted material and takes full responsibility for the final content of the publication.</w:t>
      </w:r>
    </w:p>
    <w:p w14:paraId="0E52FCD9" w14:textId="77777777" w:rsidR="008B69AF" w:rsidRPr="00853D74" w:rsidRDefault="008B69AF" w:rsidP="008466AB">
      <w:pPr>
        <w:pStyle w:val="NoSpacing"/>
        <w:rPr>
          <w:rFonts w:ascii="Times New Roman" w:hAnsi="Times New Roman" w:cs="Times New Roman"/>
          <w:b/>
          <w:bCs/>
          <w:sz w:val="24"/>
          <w:szCs w:val="24"/>
        </w:rPr>
      </w:pPr>
    </w:p>
    <w:p w14:paraId="6B099D58" w14:textId="77777777" w:rsidR="008466AB" w:rsidRPr="00853D74" w:rsidRDefault="008466AB" w:rsidP="008466AB">
      <w:pPr>
        <w:pStyle w:val="NoSpacing"/>
        <w:rPr>
          <w:rFonts w:ascii="Arial" w:hAnsi="Arial" w:cs="Arial"/>
        </w:rPr>
      </w:pPr>
      <w:bookmarkStart w:id="2" w:name="_GoBack"/>
      <w:bookmarkEnd w:id="1"/>
      <w:bookmarkEnd w:id="2"/>
    </w:p>
    <w:p w14:paraId="6AE61DE5" w14:textId="77777777" w:rsidR="008466AB" w:rsidRPr="00853D74" w:rsidRDefault="008466AB" w:rsidP="008466AB">
      <w:pPr>
        <w:pStyle w:val="NoSpacing"/>
        <w:rPr>
          <w:rFonts w:ascii="Arial" w:hAnsi="Arial" w:cs="Arial"/>
        </w:rPr>
      </w:pPr>
    </w:p>
    <w:p w14:paraId="1915CDCF" w14:textId="77777777" w:rsidR="008466AB" w:rsidRPr="00853D74" w:rsidRDefault="008466AB" w:rsidP="008466AB">
      <w:pPr>
        <w:pStyle w:val="NoSpacing"/>
        <w:rPr>
          <w:rFonts w:ascii="Arial" w:hAnsi="Arial" w:cs="Arial"/>
        </w:rPr>
      </w:pPr>
    </w:p>
    <w:p w14:paraId="16595732" w14:textId="354C4928" w:rsidR="00CE6845" w:rsidRPr="00853D74" w:rsidRDefault="00CE6845">
      <w:pPr>
        <w:rPr>
          <w:rFonts w:ascii="Times New Roman" w:hAnsi="Times New Roman" w:cs="Times New Roman"/>
          <w:sz w:val="24"/>
          <w:szCs w:val="24"/>
        </w:rPr>
      </w:pPr>
      <w:r w:rsidRPr="00853D74">
        <w:rPr>
          <w:rFonts w:ascii="Times New Roman" w:hAnsi="Times New Roman" w:cs="Times New Roman"/>
          <w:sz w:val="24"/>
          <w:szCs w:val="24"/>
        </w:rPr>
        <w:br w:type="page"/>
      </w:r>
    </w:p>
    <w:p w14:paraId="5A1C9185" w14:textId="77777777" w:rsidR="000F2814" w:rsidRPr="00853D74" w:rsidRDefault="000F2814" w:rsidP="000F2814">
      <w:pPr>
        <w:spacing w:after="0" w:line="360" w:lineRule="auto"/>
        <w:jc w:val="both"/>
        <w:rPr>
          <w:rFonts w:ascii="Times New Roman" w:hAnsi="Times New Roman" w:cs="Times New Roman"/>
          <w:b/>
          <w:bCs/>
          <w:sz w:val="24"/>
          <w:szCs w:val="24"/>
        </w:rPr>
      </w:pPr>
      <w:r w:rsidRPr="00853D74">
        <w:rPr>
          <w:rFonts w:ascii="Times New Roman" w:hAnsi="Times New Roman" w:cs="Times New Roman"/>
          <w:b/>
          <w:bCs/>
          <w:sz w:val="24"/>
          <w:szCs w:val="24"/>
        </w:rPr>
        <w:lastRenderedPageBreak/>
        <w:t>References</w:t>
      </w:r>
    </w:p>
    <w:p w14:paraId="400E651E"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3" w:name="_Hlk218925959"/>
      <w:r w:rsidRPr="00853D74">
        <w:rPr>
          <w:rFonts w:ascii="Times New Roman" w:hAnsi="Times New Roman" w:cs="Times New Roman"/>
          <w:sz w:val="24"/>
          <w:szCs w:val="24"/>
        </w:rPr>
        <w:t>Almeida, D., 2023</w:t>
      </w:r>
      <w:bookmarkEnd w:id="3"/>
      <w:r w:rsidRPr="00853D74">
        <w:rPr>
          <w:rFonts w:ascii="Times New Roman" w:hAnsi="Times New Roman" w:cs="Times New Roman"/>
          <w:sz w:val="24"/>
          <w:szCs w:val="24"/>
        </w:rPr>
        <w:t>. </w:t>
      </w:r>
      <w:r w:rsidRPr="00853D74">
        <w:rPr>
          <w:rFonts w:ascii="Times New Roman" w:hAnsi="Times New Roman" w:cs="Times New Roman"/>
          <w:i/>
          <w:iCs/>
          <w:sz w:val="24"/>
          <w:szCs w:val="24"/>
        </w:rPr>
        <w:t>Measuring Students´ e-Learning Satisfaction and Flexibility Impacts in Individual Performance During Covid-19 in Higher Education Institutions</w:t>
      </w:r>
      <w:r w:rsidRPr="00853D74">
        <w:rPr>
          <w:rFonts w:ascii="Times New Roman" w:hAnsi="Times New Roman" w:cs="Times New Roman"/>
          <w:sz w:val="24"/>
          <w:szCs w:val="24"/>
        </w:rPr>
        <w:t xml:space="preserve"> (Master's thesis, </w:t>
      </w:r>
      <w:proofErr w:type="spellStart"/>
      <w:r w:rsidRPr="00853D74">
        <w:rPr>
          <w:rFonts w:ascii="Times New Roman" w:hAnsi="Times New Roman" w:cs="Times New Roman"/>
          <w:sz w:val="24"/>
          <w:szCs w:val="24"/>
        </w:rPr>
        <w:t>Universidade</w:t>
      </w:r>
      <w:proofErr w:type="spellEnd"/>
      <w:r w:rsidRPr="00853D74">
        <w:rPr>
          <w:rFonts w:ascii="Times New Roman" w:hAnsi="Times New Roman" w:cs="Times New Roman"/>
          <w:sz w:val="24"/>
          <w:szCs w:val="24"/>
        </w:rPr>
        <w:t xml:space="preserve"> NOVA de </w:t>
      </w:r>
      <w:proofErr w:type="spellStart"/>
      <w:r w:rsidRPr="00853D74">
        <w:rPr>
          <w:rFonts w:ascii="Times New Roman" w:hAnsi="Times New Roman" w:cs="Times New Roman"/>
          <w:sz w:val="24"/>
          <w:szCs w:val="24"/>
        </w:rPr>
        <w:t>Lisboa</w:t>
      </w:r>
      <w:proofErr w:type="spellEnd"/>
      <w:r w:rsidRPr="00853D74">
        <w:rPr>
          <w:rFonts w:ascii="Times New Roman" w:hAnsi="Times New Roman" w:cs="Times New Roman"/>
          <w:sz w:val="24"/>
          <w:szCs w:val="24"/>
        </w:rPr>
        <w:t xml:space="preserve"> (Portugal).</w:t>
      </w:r>
    </w:p>
    <w:p w14:paraId="034A0D7D"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4" w:name="_Hlk218924717"/>
      <w:r w:rsidRPr="00853D74">
        <w:rPr>
          <w:rFonts w:ascii="Times New Roman" w:hAnsi="Times New Roman" w:cs="Times New Roman"/>
          <w:sz w:val="24"/>
          <w:szCs w:val="24"/>
        </w:rPr>
        <w:t xml:space="preserve">Baig, M.I. and </w:t>
      </w:r>
      <w:proofErr w:type="spellStart"/>
      <w:r w:rsidRPr="00853D74">
        <w:rPr>
          <w:rFonts w:ascii="Times New Roman" w:hAnsi="Times New Roman" w:cs="Times New Roman"/>
          <w:sz w:val="24"/>
          <w:szCs w:val="24"/>
        </w:rPr>
        <w:t>Yadegaridehkordi</w:t>
      </w:r>
      <w:proofErr w:type="spellEnd"/>
      <w:r w:rsidRPr="00853D74">
        <w:rPr>
          <w:rFonts w:ascii="Times New Roman" w:hAnsi="Times New Roman" w:cs="Times New Roman"/>
          <w:sz w:val="24"/>
          <w:szCs w:val="24"/>
        </w:rPr>
        <w:t>, E., 2023</w:t>
      </w:r>
      <w:bookmarkEnd w:id="4"/>
      <w:r w:rsidRPr="00853D74">
        <w:rPr>
          <w:rFonts w:ascii="Times New Roman" w:hAnsi="Times New Roman" w:cs="Times New Roman"/>
          <w:sz w:val="24"/>
          <w:szCs w:val="24"/>
        </w:rPr>
        <w:t>. Flipped classroom in higher education: a systematic literature review and research challenges. </w:t>
      </w:r>
      <w:r w:rsidRPr="00853D74">
        <w:rPr>
          <w:rFonts w:ascii="Times New Roman" w:hAnsi="Times New Roman" w:cs="Times New Roman"/>
          <w:i/>
          <w:iCs/>
          <w:sz w:val="24"/>
          <w:szCs w:val="24"/>
        </w:rPr>
        <w:t>International Journal of Educational Technology in Higher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20</w:t>
      </w:r>
      <w:r w:rsidRPr="00853D74">
        <w:rPr>
          <w:rFonts w:ascii="Times New Roman" w:hAnsi="Times New Roman" w:cs="Times New Roman"/>
          <w:sz w:val="24"/>
          <w:szCs w:val="24"/>
        </w:rPr>
        <w:t>(1), p.61.</w:t>
      </w:r>
    </w:p>
    <w:p w14:paraId="312D23A3" w14:textId="7A7EB5DB" w:rsidR="00F03B2F" w:rsidRPr="00853D74" w:rsidRDefault="00F03B2F"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Berber, S., </w:t>
      </w:r>
      <w:proofErr w:type="spellStart"/>
      <w:r w:rsidRPr="00853D74">
        <w:rPr>
          <w:rFonts w:ascii="Times New Roman" w:hAnsi="Times New Roman" w:cs="Times New Roman"/>
          <w:sz w:val="24"/>
          <w:szCs w:val="24"/>
        </w:rPr>
        <w:t>Brückner</w:t>
      </w:r>
      <w:proofErr w:type="spellEnd"/>
      <w:r w:rsidRPr="00853D74">
        <w:rPr>
          <w:rFonts w:ascii="Times New Roman" w:hAnsi="Times New Roman" w:cs="Times New Roman"/>
          <w:sz w:val="24"/>
          <w:szCs w:val="24"/>
        </w:rPr>
        <w:t>, M., Maurer, N. and Huwer, J., 2025. Artificial intelligence in chemistry research─ Implications for teaching and learning. </w:t>
      </w:r>
      <w:r w:rsidRPr="00853D74">
        <w:rPr>
          <w:rFonts w:ascii="Times New Roman" w:hAnsi="Times New Roman" w:cs="Times New Roman"/>
          <w:i/>
          <w:iCs/>
          <w:sz w:val="24"/>
          <w:szCs w:val="24"/>
        </w:rPr>
        <w:t>Journal of Chemical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102</w:t>
      </w:r>
      <w:r w:rsidRPr="00853D74">
        <w:rPr>
          <w:rFonts w:ascii="Times New Roman" w:hAnsi="Times New Roman" w:cs="Times New Roman"/>
          <w:sz w:val="24"/>
          <w:szCs w:val="24"/>
        </w:rPr>
        <w:t>(4), pp.1445-1456.</w:t>
      </w:r>
    </w:p>
    <w:p w14:paraId="4AF422DE"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5" w:name="_Hlk218925016"/>
      <w:r w:rsidRPr="00853D74">
        <w:rPr>
          <w:rFonts w:ascii="Times New Roman" w:hAnsi="Times New Roman" w:cs="Times New Roman"/>
          <w:sz w:val="24"/>
          <w:szCs w:val="24"/>
        </w:rPr>
        <w:t>Bozkurt, A</w:t>
      </w:r>
      <w:bookmarkEnd w:id="5"/>
      <w:r w:rsidRPr="00853D74">
        <w:rPr>
          <w:rFonts w:ascii="Times New Roman" w:hAnsi="Times New Roman" w:cs="Times New Roman"/>
          <w:sz w:val="24"/>
          <w:szCs w:val="24"/>
        </w:rPr>
        <w:t xml:space="preserve">., Jung, I., Xiao, J., </w:t>
      </w:r>
      <w:proofErr w:type="spellStart"/>
      <w:r w:rsidRPr="00853D74">
        <w:rPr>
          <w:rFonts w:ascii="Times New Roman" w:hAnsi="Times New Roman" w:cs="Times New Roman"/>
          <w:sz w:val="24"/>
          <w:szCs w:val="24"/>
        </w:rPr>
        <w:t>Vladimirschi</w:t>
      </w:r>
      <w:proofErr w:type="spellEnd"/>
      <w:r w:rsidRPr="00853D74">
        <w:rPr>
          <w:rFonts w:ascii="Times New Roman" w:hAnsi="Times New Roman" w:cs="Times New Roman"/>
          <w:sz w:val="24"/>
          <w:szCs w:val="24"/>
        </w:rPr>
        <w:t>, V., Schuwer, R., Egorov, G., Lambert, S., Al-Freih, M., Pete, J., Olcott Jr, D. and Rodes, V., 2020. A global outlook to the interruption of education due to COVID-19 pandemic: Navigating in a time of uncertainty and crisis. </w:t>
      </w:r>
      <w:r w:rsidRPr="00853D74">
        <w:rPr>
          <w:rFonts w:ascii="Times New Roman" w:hAnsi="Times New Roman" w:cs="Times New Roman"/>
          <w:i/>
          <w:iCs/>
          <w:sz w:val="24"/>
          <w:szCs w:val="24"/>
        </w:rPr>
        <w:t>Asian journal of distance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15</w:t>
      </w:r>
      <w:r w:rsidRPr="00853D74">
        <w:rPr>
          <w:rFonts w:ascii="Times New Roman" w:hAnsi="Times New Roman" w:cs="Times New Roman"/>
          <w:sz w:val="24"/>
          <w:szCs w:val="24"/>
        </w:rPr>
        <w:t>(1), pp.1-126.</w:t>
      </w:r>
    </w:p>
    <w:p w14:paraId="12EA69CF"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6" w:name="_Hlk218925993"/>
      <w:proofErr w:type="spellStart"/>
      <w:r w:rsidRPr="00853D74">
        <w:rPr>
          <w:rFonts w:ascii="Times New Roman" w:hAnsi="Times New Roman" w:cs="Times New Roman"/>
          <w:sz w:val="24"/>
          <w:szCs w:val="24"/>
        </w:rPr>
        <w:t>Cavanlit</w:t>
      </w:r>
      <w:bookmarkEnd w:id="6"/>
      <w:proofErr w:type="spellEnd"/>
      <w:r w:rsidRPr="00853D74">
        <w:rPr>
          <w:rFonts w:ascii="Times New Roman" w:hAnsi="Times New Roman" w:cs="Times New Roman"/>
          <w:sz w:val="24"/>
          <w:szCs w:val="24"/>
        </w:rPr>
        <w:t xml:space="preserve">, K.L., </w:t>
      </w:r>
      <w:proofErr w:type="spellStart"/>
      <w:r w:rsidRPr="00853D74">
        <w:rPr>
          <w:rFonts w:ascii="Times New Roman" w:hAnsi="Times New Roman" w:cs="Times New Roman"/>
          <w:sz w:val="24"/>
          <w:szCs w:val="24"/>
        </w:rPr>
        <w:t>Encabo</w:t>
      </w:r>
      <w:proofErr w:type="spellEnd"/>
      <w:r w:rsidRPr="00853D74">
        <w:rPr>
          <w:rFonts w:ascii="Times New Roman" w:hAnsi="Times New Roman" w:cs="Times New Roman"/>
          <w:sz w:val="24"/>
          <w:szCs w:val="24"/>
        </w:rPr>
        <w:t xml:space="preserve">, E.M. and </w:t>
      </w:r>
      <w:proofErr w:type="spellStart"/>
      <w:r w:rsidRPr="00853D74">
        <w:rPr>
          <w:rFonts w:ascii="Times New Roman" w:hAnsi="Times New Roman" w:cs="Times New Roman"/>
          <w:sz w:val="24"/>
          <w:szCs w:val="24"/>
        </w:rPr>
        <w:t>Vilbar</w:t>
      </w:r>
      <w:proofErr w:type="spellEnd"/>
      <w:r w:rsidRPr="00853D74">
        <w:rPr>
          <w:rFonts w:ascii="Times New Roman" w:hAnsi="Times New Roman" w:cs="Times New Roman"/>
          <w:sz w:val="24"/>
          <w:szCs w:val="24"/>
        </w:rPr>
        <w:t>, A., 2023, September. Using recorded lectures in teaching higher education in an online remote learning context. In </w:t>
      </w:r>
      <w:r w:rsidRPr="00853D74">
        <w:rPr>
          <w:rFonts w:ascii="Times New Roman" w:hAnsi="Times New Roman" w:cs="Times New Roman"/>
          <w:i/>
          <w:iCs/>
          <w:sz w:val="24"/>
          <w:szCs w:val="24"/>
        </w:rPr>
        <w:t>Novel &amp; Intelligent Digital Systems Conferences</w:t>
      </w:r>
      <w:r w:rsidRPr="00853D74">
        <w:rPr>
          <w:rFonts w:ascii="Times New Roman" w:hAnsi="Times New Roman" w:cs="Times New Roman"/>
          <w:sz w:val="24"/>
          <w:szCs w:val="24"/>
        </w:rPr>
        <w:t> (pp. 187-194). Cham: Springer Nature Switzerland</w:t>
      </w:r>
    </w:p>
    <w:p w14:paraId="798AAF77" w14:textId="3331AC08" w:rsidR="00BC09F4" w:rsidRPr="00853D74" w:rsidRDefault="00BC09F4"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Cao, J., Aris, S.R.S. and ab Wahid, N.T., 2025. Transforming Undergraduate Chemistry: A Decade of Flipped Classroom Innovations (2013-2023). </w:t>
      </w:r>
      <w:proofErr w:type="spellStart"/>
      <w:r w:rsidRPr="00853D74">
        <w:rPr>
          <w:rFonts w:ascii="Times New Roman" w:hAnsi="Times New Roman" w:cs="Times New Roman"/>
          <w:i/>
          <w:iCs/>
          <w:sz w:val="24"/>
          <w:szCs w:val="24"/>
        </w:rPr>
        <w:t>Foro</w:t>
      </w:r>
      <w:proofErr w:type="spellEnd"/>
      <w:r w:rsidRPr="00853D74">
        <w:rPr>
          <w:rFonts w:ascii="Times New Roman" w:hAnsi="Times New Roman" w:cs="Times New Roman"/>
          <w:i/>
          <w:iCs/>
          <w:sz w:val="24"/>
          <w:szCs w:val="24"/>
        </w:rPr>
        <w:t xml:space="preserve"> de </w:t>
      </w:r>
      <w:proofErr w:type="spellStart"/>
      <w:r w:rsidRPr="00853D74">
        <w:rPr>
          <w:rFonts w:ascii="Times New Roman" w:hAnsi="Times New Roman" w:cs="Times New Roman"/>
          <w:i/>
          <w:iCs/>
          <w:sz w:val="24"/>
          <w:szCs w:val="24"/>
        </w:rPr>
        <w:t>Educacion</w:t>
      </w:r>
      <w:proofErr w:type="spellEnd"/>
      <w:r w:rsidRPr="00853D74">
        <w:rPr>
          <w:rFonts w:ascii="Times New Roman" w:hAnsi="Times New Roman" w:cs="Times New Roman"/>
          <w:sz w:val="24"/>
          <w:szCs w:val="24"/>
        </w:rPr>
        <w:t>, </w:t>
      </w:r>
      <w:r w:rsidRPr="00853D74">
        <w:rPr>
          <w:rFonts w:ascii="Times New Roman" w:hAnsi="Times New Roman" w:cs="Times New Roman"/>
          <w:i/>
          <w:iCs/>
          <w:sz w:val="24"/>
          <w:szCs w:val="24"/>
        </w:rPr>
        <w:t>23</w:t>
      </w:r>
      <w:r w:rsidRPr="00853D74">
        <w:rPr>
          <w:rFonts w:ascii="Times New Roman" w:hAnsi="Times New Roman" w:cs="Times New Roman"/>
          <w:sz w:val="24"/>
          <w:szCs w:val="24"/>
        </w:rPr>
        <w:t>(2).</w:t>
      </w:r>
    </w:p>
    <w:p w14:paraId="547471A1" w14:textId="39E5D275" w:rsidR="00856F54" w:rsidRPr="00853D74" w:rsidRDefault="00856F54"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Chinnasamy, P., Rani, R.M., Ayyasamy, R.K., Sujithra, L.R., Mounika, T. and </w:t>
      </w:r>
      <w:proofErr w:type="spellStart"/>
      <w:r w:rsidRPr="00853D74">
        <w:rPr>
          <w:rFonts w:ascii="Times New Roman" w:hAnsi="Times New Roman" w:cs="Times New Roman"/>
          <w:sz w:val="24"/>
          <w:szCs w:val="24"/>
        </w:rPr>
        <w:t>Cherukuvada</w:t>
      </w:r>
      <w:proofErr w:type="spellEnd"/>
      <w:r w:rsidRPr="00853D74">
        <w:rPr>
          <w:rFonts w:ascii="Times New Roman" w:hAnsi="Times New Roman" w:cs="Times New Roman"/>
          <w:sz w:val="24"/>
          <w:szCs w:val="24"/>
        </w:rPr>
        <w:t>, S., 2025. Transforming Education With AI-Driven Intelligent Tutoring Systems. In </w:t>
      </w:r>
      <w:r w:rsidRPr="00853D74">
        <w:rPr>
          <w:rFonts w:ascii="Times New Roman" w:hAnsi="Times New Roman" w:cs="Times New Roman"/>
          <w:i/>
          <w:iCs/>
          <w:sz w:val="24"/>
          <w:szCs w:val="24"/>
        </w:rPr>
        <w:t>Driving Quality Education Through AI and Data Science</w:t>
      </w:r>
      <w:r w:rsidRPr="00853D74">
        <w:rPr>
          <w:rFonts w:ascii="Times New Roman" w:hAnsi="Times New Roman" w:cs="Times New Roman"/>
          <w:sz w:val="24"/>
          <w:szCs w:val="24"/>
        </w:rPr>
        <w:t> (pp. 239-258). IGI Global Scientific Publishing.</w:t>
      </w:r>
    </w:p>
    <w:p w14:paraId="45E9D56F"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Cui, J., 2023. </w:t>
      </w:r>
      <w:r w:rsidRPr="00853D74">
        <w:rPr>
          <w:rFonts w:ascii="Times New Roman" w:hAnsi="Times New Roman" w:cs="Times New Roman"/>
          <w:i/>
          <w:iCs/>
          <w:sz w:val="24"/>
          <w:szCs w:val="24"/>
        </w:rPr>
        <w:t>Hybrid course model in physical education: enhancing undergraduate learning experience in a leading Chinese public university</w:t>
      </w:r>
      <w:r w:rsidRPr="00853D74">
        <w:rPr>
          <w:rFonts w:ascii="Times New Roman" w:hAnsi="Times New Roman" w:cs="Times New Roman"/>
          <w:sz w:val="24"/>
          <w:szCs w:val="24"/>
        </w:rPr>
        <w:t> (Doctoral dissertation, Northeastern University.</w:t>
      </w:r>
    </w:p>
    <w:p w14:paraId="36ADD5BF"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proofErr w:type="spellStart"/>
      <w:r w:rsidRPr="00853D74">
        <w:rPr>
          <w:rFonts w:ascii="Times New Roman" w:hAnsi="Times New Roman" w:cs="Times New Roman"/>
          <w:sz w:val="24"/>
          <w:szCs w:val="24"/>
        </w:rPr>
        <w:t>Erduran</w:t>
      </w:r>
      <w:proofErr w:type="spellEnd"/>
      <w:r w:rsidRPr="00853D74">
        <w:rPr>
          <w:rFonts w:ascii="Times New Roman" w:hAnsi="Times New Roman" w:cs="Times New Roman"/>
          <w:sz w:val="24"/>
          <w:szCs w:val="24"/>
        </w:rPr>
        <w:t xml:space="preserve">, S. and </w:t>
      </w:r>
      <w:proofErr w:type="spellStart"/>
      <w:r w:rsidRPr="00853D74">
        <w:rPr>
          <w:rFonts w:ascii="Times New Roman" w:hAnsi="Times New Roman" w:cs="Times New Roman"/>
          <w:sz w:val="24"/>
          <w:szCs w:val="24"/>
        </w:rPr>
        <w:t>Akış</w:t>
      </w:r>
      <w:proofErr w:type="spellEnd"/>
      <w:r w:rsidRPr="00853D74">
        <w:rPr>
          <w:rFonts w:ascii="Times New Roman" w:hAnsi="Times New Roman" w:cs="Times New Roman"/>
          <w:sz w:val="24"/>
          <w:szCs w:val="24"/>
        </w:rPr>
        <w:t>, A.P., 2023. Chemistry education research: Recent trends and the onset of the pandemic era. </w:t>
      </w:r>
      <w:r w:rsidRPr="00853D74">
        <w:rPr>
          <w:rFonts w:ascii="Times New Roman" w:hAnsi="Times New Roman" w:cs="Times New Roman"/>
          <w:i/>
          <w:iCs/>
          <w:sz w:val="24"/>
          <w:szCs w:val="24"/>
        </w:rPr>
        <w:t>Handbook of research on science education</w:t>
      </w:r>
      <w:r w:rsidRPr="00853D74">
        <w:rPr>
          <w:rFonts w:ascii="Times New Roman" w:hAnsi="Times New Roman" w:cs="Times New Roman"/>
          <w:sz w:val="24"/>
          <w:szCs w:val="24"/>
        </w:rPr>
        <w:t>, pp.657-691.</w:t>
      </w:r>
    </w:p>
    <w:p w14:paraId="2508964C" w14:textId="7F0A104B" w:rsidR="00CE6845" w:rsidRPr="00853D74" w:rsidRDefault="00CE6845" w:rsidP="005300D3">
      <w:pPr>
        <w:pStyle w:val="ListParagraph"/>
        <w:numPr>
          <w:ilvl w:val="0"/>
          <w:numId w:val="6"/>
        </w:numPr>
        <w:spacing w:after="0" w:line="360" w:lineRule="auto"/>
        <w:jc w:val="both"/>
        <w:rPr>
          <w:rFonts w:ascii="Times New Roman" w:hAnsi="Times New Roman" w:cs="Times New Roman"/>
          <w:sz w:val="24"/>
          <w:szCs w:val="24"/>
          <w:lang w:val="en-GB"/>
        </w:rPr>
      </w:pPr>
      <w:proofErr w:type="spellStart"/>
      <w:r w:rsidRPr="00853D74">
        <w:rPr>
          <w:rFonts w:ascii="Times New Roman" w:hAnsi="Times New Roman" w:cs="Times New Roman"/>
          <w:sz w:val="24"/>
          <w:szCs w:val="24"/>
        </w:rPr>
        <w:t>Erümit</w:t>
      </w:r>
      <w:proofErr w:type="spellEnd"/>
      <w:r w:rsidRPr="00853D74">
        <w:rPr>
          <w:rFonts w:ascii="Times New Roman" w:hAnsi="Times New Roman" w:cs="Times New Roman"/>
          <w:sz w:val="24"/>
          <w:szCs w:val="24"/>
        </w:rPr>
        <w:t xml:space="preserve">, A.K. and </w:t>
      </w:r>
      <w:proofErr w:type="spellStart"/>
      <w:r w:rsidRPr="00853D74">
        <w:rPr>
          <w:rFonts w:ascii="Times New Roman" w:hAnsi="Times New Roman" w:cs="Times New Roman"/>
          <w:sz w:val="24"/>
          <w:szCs w:val="24"/>
        </w:rPr>
        <w:t>Sarıalioğlu</w:t>
      </w:r>
      <w:proofErr w:type="spellEnd"/>
      <w:r w:rsidRPr="00853D74">
        <w:rPr>
          <w:rFonts w:ascii="Times New Roman" w:hAnsi="Times New Roman" w:cs="Times New Roman"/>
          <w:sz w:val="24"/>
          <w:szCs w:val="24"/>
        </w:rPr>
        <w:t>, R.Ö., 2025. Artificial intelligence in science and chemistry education: a systematic review. </w:t>
      </w:r>
      <w:r w:rsidRPr="00853D74">
        <w:rPr>
          <w:rFonts w:ascii="Times New Roman" w:hAnsi="Times New Roman" w:cs="Times New Roman"/>
          <w:i/>
          <w:iCs/>
          <w:sz w:val="24"/>
          <w:szCs w:val="24"/>
        </w:rPr>
        <w:t>Discover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4</w:t>
      </w:r>
      <w:r w:rsidRPr="00853D74">
        <w:rPr>
          <w:rFonts w:ascii="Times New Roman" w:hAnsi="Times New Roman" w:cs="Times New Roman"/>
          <w:sz w:val="24"/>
          <w:szCs w:val="24"/>
        </w:rPr>
        <w:t>(1), p.178.</w:t>
      </w:r>
    </w:p>
    <w:p w14:paraId="45EDD2BC"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7" w:name="_Hlk218924935"/>
      <w:r w:rsidRPr="00853D74">
        <w:rPr>
          <w:rFonts w:ascii="Times New Roman" w:hAnsi="Times New Roman" w:cs="Times New Roman"/>
          <w:sz w:val="24"/>
          <w:szCs w:val="24"/>
        </w:rPr>
        <w:t>Giner-Murillo</w:t>
      </w:r>
      <w:bookmarkEnd w:id="7"/>
      <w:r w:rsidRPr="00853D74">
        <w:rPr>
          <w:rFonts w:ascii="Times New Roman" w:hAnsi="Times New Roman" w:cs="Times New Roman"/>
          <w:sz w:val="24"/>
          <w:szCs w:val="24"/>
        </w:rPr>
        <w:t xml:space="preserve">, M., Atienza-Carbonell, B., Cervera-Martinez, J., </w:t>
      </w:r>
      <w:proofErr w:type="spellStart"/>
      <w:r w:rsidRPr="00853D74">
        <w:rPr>
          <w:rFonts w:ascii="Times New Roman" w:hAnsi="Times New Roman" w:cs="Times New Roman"/>
          <w:sz w:val="24"/>
          <w:szCs w:val="24"/>
        </w:rPr>
        <w:t>Bobes-Bascaran</w:t>
      </w:r>
      <w:proofErr w:type="spellEnd"/>
      <w:r w:rsidRPr="00853D74">
        <w:rPr>
          <w:rFonts w:ascii="Times New Roman" w:hAnsi="Times New Roman" w:cs="Times New Roman"/>
          <w:sz w:val="24"/>
          <w:szCs w:val="24"/>
        </w:rPr>
        <w:t>, T., Crespo-</w:t>
      </w:r>
      <w:proofErr w:type="spellStart"/>
      <w:r w:rsidRPr="00853D74">
        <w:rPr>
          <w:rFonts w:ascii="Times New Roman" w:hAnsi="Times New Roman" w:cs="Times New Roman"/>
          <w:sz w:val="24"/>
          <w:szCs w:val="24"/>
        </w:rPr>
        <w:t>Facorro</w:t>
      </w:r>
      <w:proofErr w:type="spellEnd"/>
      <w:r w:rsidRPr="00853D74">
        <w:rPr>
          <w:rFonts w:ascii="Times New Roman" w:hAnsi="Times New Roman" w:cs="Times New Roman"/>
          <w:sz w:val="24"/>
          <w:szCs w:val="24"/>
        </w:rPr>
        <w:t xml:space="preserve">, B., De Boni, R.B., Esteban, C., Garcia-Portilla, M.P., Gomes-da-Costa, S., Gonzalez-Pinto, A. and Jaen-Moreno, M.J., 2021. Lifestyle in undergraduate </w:t>
      </w:r>
      <w:r w:rsidRPr="00853D74">
        <w:rPr>
          <w:rFonts w:ascii="Times New Roman" w:hAnsi="Times New Roman" w:cs="Times New Roman"/>
          <w:sz w:val="24"/>
          <w:szCs w:val="24"/>
        </w:rPr>
        <w:lastRenderedPageBreak/>
        <w:t>students and demographically matched controls during the COVID-19 pandemic in Spain. </w:t>
      </w:r>
      <w:r w:rsidRPr="00853D74">
        <w:rPr>
          <w:rFonts w:ascii="Times New Roman" w:hAnsi="Times New Roman" w:cs="Times New Roman"/>
          <w:i/>
          <w:iCs/>
          <w:sz w:val="24"/>
          <w:szCs w:val="24"/>
        </w:rPr>
        <w:t>International journal of environmental research and public health</w:t>
      </w:r>
      <w:r w:rsidRPr="00853D74">
        <w:rPr>
          <w:rFonts w:ascii="Times New Roman" w:hAnsi="Times New Roman" w:cs="Times New Roman"/>
          <w:sz w:val="24"/>
          <w:szCs w:val="24"/>
        </w:rPr>
        <w:t>, </w:t>
      </w:r>
      <w:r w:rsidRPr="00853D74">
        <w:rPr>
          <w:rFonts w:ascii="Times New Roman" w:hAnsi="Times New Roman" w:cs="Times New Roman"/>
          <w:i/>
          <w:iCs/>
          <w:sz w:val="24"/>
          <w:szCs w:val="24"/>
        </w:rPr>
        <w:t>18</w:t>
      </w:r>
      <w:r w:rsidRPr="00853D74">
        <w:rPr>
          <w:rFonts w:ascii="Times New Roman" w:hAnsi="Times New Roman" w:cs="Times New Roman"/>
          <w:sz w:val="24"/>
          <w:szCs w:val="24"/>
        </w:rPr>
        <w:t>(15), p.8133.</w:t>
      </w:r>
    </w:p>
    <w:p w14:paraId="4FBA41AD"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Giri, S. and Dutta, P., 2020. Identifying challenges and opportunities in teaching chemistry online in India amid COVID-19. </w:t>
      </w:r>
      <w:r w:rsidRPr="00853D74">
        <w:rPr>
          <w:rFonts w:ascii="Times New Roman" w:hAnsi="Times New Roman" w:cs="Times New Roman"/>
          <w:i/>
          <w:iCs/>
          <w:sz w:val="24"/>
          <w:szCs w:val="24"/>
        </w:rPr>
        <w:t>Journal of Chemical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98</w:t>
      </w:r>
      <w:r w:rsidRPr="00853D74">
        <w:rPr>
          <w:rFonts w:ascii="Times New Roman" w:hAnsi="Times New Roman" w:cs="Times New Roman"/>
          <w:sz w:val="24"/>
          <w:szCs w:val="24"/>
        </w:rPr>
        <w:t>(2), pp.694-699.</w:t>
      </w:r>
    </w:p>
    <w:p w14:paraId="37765959"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8" w:name="_Hlk218925234"/>
      <w:r w:rsidRPr="00853D74">
        <w:rPr>
          <w:rFonts w:ascii="Times New Roman" w:hAnsi="Times New Roman" w:cs="Times New Roman"/>
          <w:sz w:val="24"/>
          <w:szCs w:val="24"/>
        </w:rPr>
        <w:t>Goswami, T. and Tabrez, Z., 2025</w:t>
      </w:r>
      <w:bookmarkEnd w:id="8"/>
      <w:r w:rsidRPr="00853D74">
        <w:rPr>
          <w:rFonts w:ascii="Times New Roman" w:hAnsi="Times New Roman" w:cs="Times New Roman"/>
          <w:sz w:val="24"/>
          <w:szCs w:val="24"/>
        </w:rPr>
        <w:t>. School education amid crisis: a secondary data analysis of cyclone Amphan and COVID-19 in North &amp; South 24 Parganas, West Bengal. </w:t>
      </w:r>
      <w:r w:rsidRPr="00853D74">
        <w:rPr>
          <w:rFonts w:ascii="Times New Roman" w:hAnsi="Times New Roman" w:cs="Times New Roman"/>
          <w:i/>
          <w:iCs/>
          <w:sz w:val="24"/>
          <w:szCs w:val="24"/>
        </w:rPr>
        <w:t>Discover Global Society</w:t>
      </w:r>
      <w:r w:rsidRPr="00853D74">
        <w:rPr>
          <w:rFonts w:ascii="Times New Roman" w:hAnsi="Times New Roman" w:cs="Times New Roman"/>
          <w:sz w:val="24"/>
          <w:szCs w:val="24"/>
        </w:rPr>
        <w:t>, </w:t>
      </w:r>
      <w:r w:rsidRPr="00853D74">
        <w:rPr>
          <w:rFonts w:ascii="Times New Roman" w:hAnsi="Times New Roman" w:cs="Times New Roman"/>
          <w:i/>
          <w:iCs/>
          <w:sz w:val="24"/>
          <w:szCs w:val="24"/>
        </w:rPr>
        <w:t>3</w:t>
      </w:r>
      <w:r w:rsidRPr="00853D74">
        <w:rPr>
          <w:rFonts w:ascii="Times New Roman" w:hAnsi="Times New Roman" w:cs="Times New Roman"/>
          <w:sz w:val="24"/>
          <w:szCs w:val="24"/>
        </w:rPr>
        <w:t>(1), p.61.</w:t>
      </w:r>
    </w:p>
    <w:p w14:paraId="524E7A75"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Gupta, A., Rana, N. and Raj, M., 2022. ROLE OF DIGITAL MEDIA IN BUILDING WORLD CLASS INSTITUTIONS WITH SPECIAL REFERENCE TO TEACHING-LEARNING: A SURVEY. </w:t>
      </w:r>
      <w:r w:rsidRPr="00853D74">
        <w:rPr>
          <w:rFonts w:ascii="Times New Roman" w:hAnsi="Times New Roman" w:cs="Times New Roman"/>
          <w:i/>
          <w:iCs/>
          <w:sz w:val="24"/>
          <w:szCs w:val="24"/>
        </w:rPr>
        <w:t>European Journal of Education Studies</w:t>
      </w:r>
      <w:r w:rsidRPr="00853D74">
        <w:rPr>
          <w:rFonts w:ascii="Times New Roman" w:hAnsi="Times New Roman" w:cs="Times New Roman"/>
          <w:sz w:val="24"/>
          <w:szCs w:val="24"/>
        </w:rPr>
        <w:t>, </w:t>
      </w:r>
      <w:r w:rsidRPr="00853D74">
        <w:rPr>
          <w:rFonts w:ascii="Times New Roman" w:hAnsi="Times New Roman" w:cs="Times New Roman"/>
          <w:i/>
          <w:iCs/>
          <w:sz w:val="24"/>
          <w:szCs w:val="24"/>
        </w:rPr>
        <w:t>9</w:t>
      </w:r>
      <w:r w:rsidRPr="00853D74">
        <w:rPr>
          <w:rFonts w:ascii="Times New Roman" w:hAnsi="Times New Roman" w:cs="Times New Roman"/>
          <w:sz w:val="24"/>
          <w:szCs w:val="24"/>
        </w:rPr>
        <w:t>(7)</w:t>
      </w:r>
    </w:p>
    <w:p w14:paraId="27BCAD27"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9" w:name="_Hlk218924753"/>
      <w:r w:rsidRPr="00853D74">
        <w:rPr>
          <w:rFonts w:ascii="Times New Roman" w:hAnsi="Times New Roman" w:cs="Times New Roman"/>
          <w:sz w:val="24"/>
          <w:szCs w:val="24"/>
        </w:rPr>
        <w:t>Holden</w:t>
      </w:r>
      <w:bookmarkEnd w:id="9"/>
      <w:r w:rsidRPr="00853D74">
        <w:rPr>
          <w:rFonts w:ascii="Times New Roman" w:hAnsi="Times New Roman" w:cs="Times New Roman"/>
          <w:sz w:val="24"/>
          <w:szCs w:val="24"/>
        </w:rPr>
        <w:t>, O.L., Norris, M.E. and Kuhlmeier, V.A., 2021, July. Academic integrity in online assessment: A research review. In </w:t>
      </w:r>
      <w:r w:rsidRPr="00853D74">
        <w:rPr>
          <w:rFonts w:ascii="Times New Roman" w:hAnsi="Times New Roman" w:cs="Times New Roman"/>
          <w:i/>
          <w:iCs/>
          <w:sz w:val="24"/>
          <w:szCs w:val="24"/>
        </w:rPr>
        <w:t>Frontiers in education</w:t>
      </w:r>
      <w:r w:rsidRPr="00853D74">
        <w:rPr>
          <w:rFonts w:ascii="Times New Roman" w:hAnsi="Times New Roman" w:cs="Times New Roman"/>
          <w:sz w:val="24"/>
          <w:szCs w:val="24"/>
        </w:rPr>
        <w:t> (Vol. 6, p. 639814). Frontiers Media SA.</w:t>
      </w:r>
    </w:p>
    <w:p w14:paraId="0C4B720F"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0" w:name="_Hlk218924823"/>
      <w:r w:rsidRPr="00853D74">
        <w:rPr>
          <w:rFonts w:ascii="Times New Roman" w:hAnsi="Times New Roman" w:cs="Times New Roman"/>
          <w:sz w:val="24"/>
          <w:szCs w:val="24"/>
        </w:rPr>
        <w:t>Huang, Z.J., 2025</w:t>
      </w:r>
      <w:bookmarkEnd w:id="10"/>
      <w:r w:rsidRPr="00853D74">
        <w:rPr>
          <w:rFonts w:ascii="Times New Roman" w:hAnsi="Times New Roman" w:cs="Times New Roman"/>
          <w:sz w:val="24"/>
          <w:szCs w:val="24"/>
        </w:rPr>
        <w:t>. Integrating Artificial</w:t>
      </w:r>
      <w:r w:rsidRPr="00853D74">
        <w:rPr>
          <w:rFonts w:ascii="Times New Roman" w:hAnsi="Times New Roman" w:cs="Times New Roman"/>
          <w:sz w:val="24"/>
          <w:szCs w:val="24"/>
        </w:rPr>
        <w:noBreakHyphen/>
        <w:t>Intelligence Assistance into Chemical Process Control Education. </w:t>
      </w:r>
      <w:r w:rsidRPr="00853D74">
        <w:rPr>
          <w:rFonts w:ascii="Times New Roman" w:hAnsi="Times New Roman" w:cs="Times New Roman"/>
          <w:i/>
          <w:iCs/>
          <w:sz w:val="24"/>
          <w:szCs w:val="24"/>
        </w:rPr>
        <w:t>Education for Chemical Engineers</w:t>
      </w:r>
      <w:r w:rsidRPr="00853D74">
        <w:rPr>
          <w:rFonts w:ascii="Times New Roman" w:hAnsi="Times New Roman" w:cs="Times New Roman"/>
          <w:sz w:val="24"/>
          <w:szCs w:val="24"/>
        </w:rPr>
        <w:t>.</w:t>
      </w:r>
    </w:p>
    <w:p w14:paraId="45636877"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1" w:name="_Hlk218924641"/>
      <w:r w:rsidRPr="00853D74">
        <w:rPr>
          <w:rFonts w:ascii="Times New Roman" w:hAnsi="Times New Roman" w:cs="Times New Roman"/>
          <w:sz w:val="24"/>
          <w:szCs w:val="24"/>
        </w:rPr>
        <w:t>Joaquin</w:t>
      </w:r>
      <w:bookmarkEnd w:id="11"/>
      <w:r w:rsidRPr="00853D74">
        <w:rPr>
          <w:rFonts w:ascii="Times New Roman" w:hAnsi="Times New Roman" w:cs="Times New Roman"/>
          <w:sz w:val="24"/>
          <w:szCs w:val="24"/>
        </w:rPr>
        <w:t xml:space="preserve">, J.J.B., Biana, H.T. and </w:t>
      </w:r>
      <w:proofErr w:type="spellStart"/>
      <w:r w:rsidRPr="00853D74">
        <w:rPr>
          <w:rFonts w:ascii="Times New Roman" w:hAnsi="Times New Roman" w:cs="Times New Roman"/>
          <w:sz w:val="24"/>
          <w:szCs w:val="24"/>
        </w:rPr>
        <w:t>Dacela</w:t>
      </w:r>
      <w:proofErr w:type="spellEnd"/>
      <w:r w:rsidRPr="00853D74">
        <w:rPr>
          <w:rFonts w:ascii="Times New Roman" w:hAnsi="Times New Roman" w:cs="Times New Roman"/>
          <w:sz w:val="24"/>
          <w:szCs w:val="24"/>
        </w:rPr>
        <w:t>, M.A., 2020, October. The Philippine higher education sector in the time of COVID-19. In </w:t>
      </w:r>
      <w:r w:rsidRPr="00853D74">
        <w:rPr>
          <w:rFonts w:ascii="Times New Roman" w:hAnsi="Times New Roman" w:cs="Times New Roman"/>
          <w:i/>
          <w:iCs/>
          <w:sz w:val="24"/>
          <w:szCs w:val="24"/>
        </w:rPr>
        <w:t>Frontiers in Education</w:t>
      </w:r>
      <w:r w:rsidRPr="00853D74">
        <w:rPr>
          <w:rFonts w:ascii="Times New Roman" w:hAnsi="Times New Roman" w:cs="Times New Roman"/>
          <w:sz w:val="24"/>
          <w:szCs w:val="24"/>
        </w:rPr>
        <w:t> (Vol. 5, p. 576371). Frontiers Media SA.</w:t>
      </w:r>
    </w:p>
    <w:p w14:paraId="11AB6DDB"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2" w:name="_Hlk218924989"/>
      <w:r w:rsidRPr="00853D74">
        <w:rPr>
          <w:rFonts w:ascii="Times New Roman" w:hAnsi="Times New Roman" w:cs="Times New Roman"/>
          <w:sz w:val="24"/>
          <w:szCs w:val="24"/>
        </w:rPr>
        <w:t>Khan, A., 2023</w:t>
      </w:r>
      <w:bookmarkEnd w:id="12"/>
      <w:r w:rsidRPr="00853D74">
        <w:rPr>
          <w:rFonts w:ascii="Times New Roman" w:hAnsi="Times New Roman" w:cs="Times New Roman"/>
          <w:sz w:val="24"/>
          <w:szCs w:val="24"/>
        </w:rPr>
        <w:t>. ICT and digital revolution: implications for teacher education. In </w:t>
      </w:r>
      <w:r w:rsidRPr="00853D74">
        <w:rPr>
          <w:rFonts w:ascii="Times New Roman" w:hAnsi="Times New Roman" w:cs="Times New Roman"/>
          <w:i/>
          <w:iCs/>
          <w:sz w:val="24"/>
          <w:szCs w:val="24"/>
        </w:rPr>
        <w:t>Teaching and Teacher Education in India: Perspectives, Concerns and Trends</w:t>
      </w:r>
      <w:r w:rsidRPr="00853D74">
        <w:rPr>
          <w:rFonts w:ascii="Times New Roman" w:hAnsi="Times New Roman" w:cs="Times New Roman"/>
          <w:sz w:val="24"/>
          <w:szCs w:val="24"/>
        </w:rPr>
        <w:t> (pp. 299-321). Singapore: Springer Nature Singapore.</w:t>
      </w:r>
    </w:p>
    <w:p w14:paraId="78A22F1D"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3" w:name="_Hlk218925117"/>
      <w:r w:rsidRPr="00853D74">
        <w:rPr>
          <w:rFonts w:ascii="Times New Roman" w:hAnsi="Times New Roman" w:cs="Times New Roman"/>
          <w:sz w:val="24"/>
          <w:szCs w:val="24"/>
        </w:rPr>
        <w:t>KL</w:t>
      </w:r>
      <w:bookmarkEnd w:id="13"/>
      <w:r w:rsidRPr="00853D74">
        <w:rPr>
          <w:rFonts w:ascii="Times New Roman" w:hAnsi="Times New Roman" w:cs="Times New Roman"/>
          <w:sz w:val="24"/>
          <w:szCs w:val="24"/>
        </w:rPr>
        <w:t xml:space="preserve">, N.S., Chavan, P.S. and Murthy, S., 2018, July. </w:t>
      </w:r>
      <w:proofErr w:type="spellStart"/>
      <w:r w:rsidRPr="00853D74">
        <w:rPr>
          <w:rFonts w:ascii="Times New Roman" w:hAnsi="Times New Roman" w:cs="Times New Roman"/>
          <w:sz w:val="24"/>
          <w:szCs w:val="24"/>
        </w:rPr>
        <w:t>StereoChem</w:t>
      </w:r>
      <w:proofErr w:type="spellEnd"/>
      <w:r w:rsidRPr="00853D74">
        <w:rPr>
          <w:rFonts w:ascii="Times New Roman" w:hAnsi="Times New Roman" w:cs="Times New Roman"/>
          <w:sz w:val="24"/>
          <w:szCs w:val="24"/>
        </w:rPr>
        <w:t>: Augmented reality 3D molecular model visualization app for teaching and learning stereochemistry. In </w:t>
      </w:r>
      <w:r w:rsidRPr="00853D74">
        <w:rPr>
          <w:rFonts w:ascii="Times New Roman" w:hAnsi="Times New Roman" w:cs="Times New Roman"/>
          <w:i/>
          <w:iCs/>
          <w:sz w:val="24"/>
          <w:szCs w:val="24"/>
        </w:rPr>
        <w:t>2018 IEEE 18th international conference on advanced learning technologies (ICALT)</w:t>
      </w:r>
      <w:r w:rsidRPr="00853D74">
        <w:rPr>
          <w:rFonts w:ascii="Times New Roman" w:hAnsi="Times New Roman" w:cs="Times New Roman"/>
          <w:sz w:val="24"/>
          <w:szCs w:val="24"/>
        </w:rPr>
        <w:t> (pp. 252-256). IEEE.</w:t>
      </w:r>
    </w:p>
    <w:p w14:paraId="00F67376"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4" w:name="_Hlk218925878"/>
      <w:r w:rsidRPr="00853D74">
        <w:rPr>
          <w:rFonts w:ascii="Times New Roman" w:hAnsi="Times New Roman" w:cs="Times New Roman"/>
          <w:sz w:val="24"/>
          <w:szCs w:val="24"/>
        </w:rPr>
        <w:t>Kundu, A. and Bej, T., 2021</w:t>
      </w:r>
      <w:bookmarkEnd w:id="14"/>
      <w:r w:rsidRPr="00853D74">
        <w:rPr>
          <w:rFonts w:ascii="Times New Roman" w:hAnsi="Times New Roman" w:cs="Times New Roman"/>
          <w:sz w:val="24"/>
          <w:szCs w:val="24"/>
        </w:rPr>
        <w:t>. Experiencing e-assessment during COVID-19: an analysis of Indian students' perception. </w:t>
      </w:r>
      <w:r w:rsidRPr="00853D74">
        <w:rPr>
          <w:rFonts w:ascii="Times New Roman" w:hAnsi="Times New Roman" w:cs="Times New Roman"/>
          <w:i/>
          <w:iCs/>
          <w:sz w:val="24"/>
          <w:szCs w:val="24"/>
        </w:rPr>
        <w:t>Higher Education Evaluation and Development</w:t>
      </w:r>
      <w:r w:rsidRPr="00853D74">
        <w:rPr>
          <w:rFonts w:ascii="Times New Roman" w:hAnsi="Times New Roman" w:cs="Times New Roman"/>
          <w:sz w:val="24"/>
          <w:szCs w:val="24"/>
        </w:rPr>
        <w:t>, </w:t>
      </w:r>
      <w:r w:rsidRPr="00853D74">
        <w:rPr>
          <w:rFonts w:ascii="Times New Roman" w:hAnsi="Times New Roman" w:cs="Times New Roman"/>
          <w:i/>
          <w:iCs/>
          <w:sz w:val="24"/>
          <w:szCs w:val="24"/>
        </w:rPr>
        <w:t>15</w:t>
      </w:r>
      <w:r w:rsidRPr="00853D74">
        <w:rPr>
          <w:rFonts w:ascii="Times New Roman" w:hAnsi="Times New Roman" w:cs="Times New Roman"/>
          <w:sz w:val="24"/>
          <w:szCs w:val="24"/>
        </w:rPr>
        <w:t>(2), pp.114-134.</w:t>
      </w:r>
    </w:p>
    <w:p w14:paraId="09B8162A"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5" w:name="_Hlk218924903"/>
      <w:r w:rsidRPr="00853D74">
        <w:rPr>
          <w:rFonts w:ascii="Times New Roman" w:hAnsi="Times New Roman" w:cs="Times New Roman"/>
          <w:sz w:val="24"/>
          <w:szCs w:val="24"/>
        </w:rPr>
        <w:t>Lapitan Jr</w:t>
      </w:r>
      <w:bookmarkEnd w:id="15"/>
      <w:r w:rsidRPr="00853D74">
        <w:rPr>
          <w:rFonts w:ascii="Times New Roman" w:hAnsi="Times New Roman" w:cs="Times New Roman"/>
          <w:sz w:val="24"/>
          <w:szCs w:val="24"/>
        </w:rPr>
        <w:t xml:space="preserve">, L.D., Chan, A.L.A., </w:t>
      </w:r>
      <w:proofErr w:type="spellStart"/>
      <w:r w:rsidRPr="00853D74">
        <w:rPr>
          <w:rFonts w:ascii="Times New Roman" w:hAnsi="Times New Roman" w:cs="Times New Roman"/>
          <w:sz w:val="24"/>
          <w:szCs w:val="24"/>
        </w:rPr>
        <w:t>Sabarillo</w:t>
      </w:r>
      <w:proofErr w:type="spellEnd"/>
      <w:r w:rsidRPr="00853D74">
        <w:rPr>
          <w:rFonts w:ascii="Times New Roman" w:hAnsi="Times New Roman" w:cs="Times New Roman"/>
          <w:sz w:val="24"/>
          <w:szCs w:val="24"/>
        </w:rPr>
        <w:t xml:space="preserve">, N.S., </w:t>
      </w:r>
      <w:proofErr w:type="spellStart"/>
      <w:r w:rsidRPr="00853D74">
        <w:rPr>
          <w:rFonts w:ascii="Times New Roman" w:hAnsi="Times New Roman" w:cs="Times New Roman"/>
          <w:sz w:val="24"/>
          <w:szCs w:val="24"/>
        </w:rPr>
        <w:t>Sumalinog</w:t>
      </w:r>
      <w:proofErr w:type="spellEnd"/>
      <w:r w:rsidRPr="00853D74">
        <w:rPr>
          <w:rFonts w:ascii="Times New Roman" w:hAnsi="Times New Roman" w:cs="Times New Roman"/>
          <w:sz w:val="24"/>
          <w:szCs w:val="24"/>
        </w:rPr>
        <w:t>, D.A.G. and Diaz, J.M.S., 2023. Design, implementation, and evaluation of an online flipped classroom with collaborative learning model in an undergraduate chemical engineering course. </w:t>
      </w:r>
      <w:r w:rsidRPr="00853D74">
        <w:rPr>
          <w:rFonts w:ascii="Times New Roman" w:hAnsi="Times New Roman" w:cs="Times New Roman"/>
          <w:i/>
          <w:iCs/>
          <w:sz w:val="24"/>
          <w:szCs w:val="24"/>
        </w:rPr>
        <w:t>Education for Chemical Engineers</w:t>
      </w:r>
      <w:r w:rsidRPr="00853D74">
        <w:rPr>
          <w:rFonts w:ascii="Times New Roman" w:hAnsi="Times New Roman" w:cs="Times New Roman"/>
          <w:sz w:val="24"/>
          <w:szCs w:val="24"/>
        </w:rPr>
        <w:t>, </w:t>
      </w:r>
      <w:r w:rsidRPr="00853D74">
        <w:rPr>
          <w:rFonts w:ascii="Times New Roman" w:hAnsi="Times New Roman" w:cs="Times New Roman"/>
          <w:i/>
          <w:iCs/>
          <w:sz w:val="24"/>
          <w:szCs w:val="24"/>
        </w:rPr>
        <w:t>43</w:t>
      </w:r>
      <w:r w:rsidRPr="00853D74">
        <w:rPr>
          <w:rFonts w:ascii="Times New Roman" w:hAnsi="Times New Roman" w:cs="Times New Roman"/>
          <w:sz w:val="24"/>
          <w:szCs w:val="24"/>
        </w:rPr>
        <w:t>, pp.58-72.</w:t>
      </w:r>
    </w:p>
    <w:p w14:paraId="763707BF"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6" w:name="_Hlk218925443"/>
      <w:r w:rsidRPr="00853D74">
        <w:rPr>
          <w:rFonts w:ascii="Times New Roman" w:hAnsi="Times New Roman" w:cs="Times New Roman"/>
          <w:sz w:val="24"/>
          <w:szCs w:val="24"/>
        </w:rPr>
        <w:lastRenderedPageBreak/>
        <w:t>Lapitan Jr</w:t>
      </w:r>
      <w:bookmarkEnd w:id="16"/>
      <w:r w:rsidRPr="00853D74">
        <w:rPr>
          <w:rFonts w:ascii="Times New Roman" w:hAnsi="Times New Roman" w:cs="Times New Roman"/>
          <w:sz w:val="24"/>
          <w:szCs w:val="24"/>
        </w:rPr>
        <w:t xml:space="preserve">, L.D., Tiangco, C.E., </w:t>
      </w:r>
      <w:proofErr w:type="spellStart"/>
      <w:r w:rsidRPr="00853D74">
        <w:rPr>
          <w:rFonts w:ascii="Times New Roman" w:hAnsi="Times New Roman" w:cs="Times New Roman"/>
          <w:sz w:val="24"/>
          <w:szCs w:val="24"/>
        </w:rPr>
        <w:t>Sumalinog</w:t>
      </w:r>
      <w:proofErr w:type="spellEnd"/>
      <w:r w:rsidRPr="00853D74">
        <w:rPr>
          <w:rFonts w:ascii="Times New Roman" w:hAnsi="Times New Roman" w:cs="Times New Roman"/>
          <w:sz w:val="24"/>
          <w:szCs w:val="24"/>
        </w:rPr>
        <w:t xml:space="preserve">, D.A.G., </w:t>
      </w:r>
      <w:proofErr w:type="spellStart"/>
      <w:r w:rsidRPr="00853D74">
        <w:rPr>
          <w:rFonts w:ascii="Times New Roman" w:hAnsi="Times New Roman" w:cs="Times New Roman"/>
          <w:sz w:val="24"/>
          <w:szCs w:val="24"/>
        </w:rPr>
        <w:t>Sabarillo</w:t>
      </w:r>
      <w:proofErr w:type="spellEnd"/>
      <w:r w:rsidRPr="00853D74">
        <w:rPr>
          <w:rFonts w:ascii="Times New Roman" w:hAnsi="Times New Roman" w:cs="Times New Roman"/>
          <w:sz w:val="24"/>
          <w:szCs w:val="24"/>
        </w:rPr>
        <w:t>, N.S. and Diaz, J.M., 2021. An effective blended online teaching and learning strategy during the COVID-19 pandemic. </w:t>
      </w:r>
      <w:r w:rsidRPr="00853D74">
        <w:rPr>
          <w:rFonts w:ascii="Times New Roman" w:hAnsi="Times New Roman" w:cs="Times New Roman"/>
          <w:i/>
          <w:iCs/>
          <w:sz w:val="24"/>
          <w:szCs w:val="24"/>
        </w:rPr>
        <w:t>Education for chemical engineers</w:t>
      </w:r>
      <w:r w:rsidRPr="00853D74">
        <w:rPr>
          <w:rFonts w:ascii="Times New Roman" w:hAnsi="Times New Roman" w:cs="Times New Roman"/>
          <w:sz w:val="24"/>
          <w:szCs w:val="24"/>
        </w:rPr>
        <w:t>, </w:t>
      </w:r>
      <w:r w:rsidRPr="00853D74">
        <w:rPr>
          <w:rFonts w:ascii="Times New Roman" w:hAnsi="Times New Roman" w:cs="Times New Roman"/>
          <w:i/>
          <w:iCs/>
          <w:sz w:val="24"/>
          <w:szCs w:val="24"/>
        </w:rPr>
        <w:t>35</w:t>
      </w:r>
      <w:r w:rsidRPr="00853D74">
        <w:rPr>
          <w:rFonts w:ascii="Times New Roman" w:hAnsi="Times New Roman" w:cs="Times New Roman"/>
          <w:sz w:val="24"/>
          <w:szCs w:val="24"/>
        </w:rPr>
        <w:t>, pp.116-131.</w:t>
      </w:r>
    </w:p>
    <w:p w14:paraId="38312276"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7" w:name="_Hlk218925921"/>
      <w:r w:rsidRPr="00853D74">
        <w:rPr>
          <w:rFonts w:ascii="Times New Roman" w:hAnsi="Times New Roman" w:cs="Times New Roman"/>
          <w:sz w:val="24"/>
          <w:szCs w:val="24"/>
        </w:rPr>
        <w:t>Lapitan Jr</w:t>
      </w:r>
      <w:bookmarkEnd w:id="17"/>
      <w:r w:rsidRPr="00853D74">
        <w:rPr>
          <w:rFonts w:ascii="Times New Roman" w:hAnsi="Times New Roman" w:cs="Times New Roman"/>
          <w:sz w:val="24"/>
          <w:szCs w:val="24"/>
        </w:rPr>
        <w:t xml:space="preserve">, L.D., Tiangco, C.E., </w:t>
      </w:r>
      <w:proofErr w:type="spellStart"/>
      <w:r w:rsidRPr="00853D74">
        <w:rPr>
          <w:rFonts w:ascii="Times New Roman" w:hAnsi="Times New Roman" w:cs="Times New Roman"/>
          <w:sz w:val="24"/>
          <w:szCs w:val="24"/>
        </w:rPr>
        <w:t>Sumalinog</w:t>
      </w:r>
      <w:proofErr w:type="spellEnd"/>
      <w:r w:rsidRPr="00853D74">
        <w:rPr>
          <w:rFonts w:ascii="Times New Roman" w:hAnsi="Times New Roman" w:cs="Times New Roman"/>
          <w:sz w:val="24"/>
          <w:szCs w:val="24"/>
        </w:rPr>
        <w:t xml:space="preserve">, D.A.G., </w:t>
      </w:r>
      <w:proofErr w:type="spellStart"/>
      <w:r w:rsidRPr="00853D74">
        <w:rPr>
          <w:rFonts w:ascii="Times New Roman" w:hAnsi="Times New Roman" w:cs="Times New Roman"/>
          <w:sz w:val="24"/>
          <w:szCs w:val="24"/>
        </w:rPr>
        <w:t>Sabarillo</w:t>
      </w:r>
      <w:proofErr w:type="spellEnd"/>
      <w:r w:rsidRPr="00853D74">
        <w:rPr>
          <w:rFonts w:ascii="Times New Roman" w:hAnsi="Times New Roman" w:cs="Times New Roman"/>
          <w:sz w:val="24"/>
          <w:szCs w:val="24"/>
        </w:rPr>
        <w:t>, N.S. and Diaz, J.M., 2021. An effective blended online teaching and learning strategy during the COVID-19 pandemic. </w:t>
      </w:r>
      <w:r w:rsidRPr="00853D74">
        <w:rPr>
          <w:rFonts w:ascii="Times New Roman" w:hAnsi="Times New Roman" w:cs="Times New Roman"/>
          <w:i/>
          <w:iCs/>
          <w:sz w:val="24"/>
          <w:szCs w:val="24"/>
        </w:rPr>
        <w:t>Education for chemical engineers</w:t>
      </w:r>
      <w:r w:rsidRPr="00853D74">
        <w:rPr>
          <w:rFonts w:ascii="Times New Roman" w:hAnsi="Times New Roman" w:cs="Times New Roman"/>
          <w:sz w:val="24"/>
          <w:szCs w:val="24"/>
        </w:rPr>
        <w:t>, </w:t>
      </w:r>
      <w:r w:rsidRPr="00853D74">
        <w:rPr>
          <w:rFonts w:ascii="Times New Roman" w:hAnsi="Times New Roman" w:cs="Times New Roman"/>
          <w:i/>
          <w:iCs/>
          <w:sz w:val="24"/>
          <w:szCs w:val="24"/>
        </w:rPr>
        <w:t>35</w:t>
      </w:r>
      <w:r w:rsidRPr="00853D74">
        <w:rPr>
          <w:rFonts w:ascii="Times New Roman" w:hAnsi="Times New Roman" w:cs="Times New Roman"/>
          <w:sz w:val="24"/>
          <w:szCs w:val="24"/>
        </w:rPr>
        <w:t>, pp.116-131.</w:t>
      </w:r>
    </w:p>
    <w:p w14:paraId="5003D2AC"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8" w:name="_Hlk218925052"/>
      <w:r w:rsidRPr="00853D74">
        <w:rPr>
          <w:rFonts w:ascii="Times New Roman" w:hAnsi="Times New Roman" w:cs="Times New Roman"/>
          <w:sz w:val="24"/>
          <w:szCs w:val="24"/>
        </w:rPr>
        <w:t>Lee</w:t>
      </w:r>
      <w:bookmarkEnd w:id="18"/>
      <w:r w:rsidRPr="00853D74">
        <w:rPr>
          <w:rFonts w:ascii="Times New Roman" w:hAnsi="Times New Roman" w:cs="Times New Roman"/>
          <w:sz w:val="24"/>
          <w:szCs w:val="24"/>
        </w:rPr>
        <w:t>, C.B., Hanham, J., Kannangara, K. and Qi, J., 2021. Exploring user experience of digital pen and tablet technology for learning chemistry: applying an activity theory lens. </w:t>
      </w:r>
      <w:proofErr w:type="spellStart"/>
      <w:r w:rsidRPr="00853D74">
        <w:rPr>
          <w:rFonts w:ascii="Times New Roman" w:hAnsi="Times New Roman" w:cs="Times New Roman"/>
          <w:i/>
          <w:iCs/>
          <w:sz w:val="24"/>
          <w:szCs w:val="24"/>
        </w:rPr>
        <w:t>Heliyon</w:t>
      </w:r>
      <w:proofErr w:type="spellEnd"/>
      <w:r w:rsidRPr="00853D74">
        <w:rPr>
          <w:rFonts w:ascii="Times New Roman" w:hAnsi="Times New Roman" w:cs="Times New Roman"/>
          <w:sz w:val="24"/>
          <w:szCs w:val="24"/>
        </w:rPr>
        <w:t>, </w:t>
      </w:r>
      <w:r w:rsidRPr="00853D74">
        <w:rPr>
          <w:rFonts w:ascii="Times New Roman" w:hAnsi="Times New Roman" w:cs="Times New Roman"/>
          <w:i/>
          <w:iCs/>
          <w:sz w:val="24"/>
          <w:szCs w:val="24"/>
        </w:rPr>
        <w:t>7</w:t>
      </w:r>
      <w:r w:rsidRPr="00853D74">
        <w:rPr>
          <w:rFonts w:ascii="Times New Roman" w:hAnsi="Times New Roman" w:cs="Times New Roman"/>
          <w:sz w:val="24"/>
          <w:szCs w:val="24"/>
        </w:rPr>
        <w:t>(1).</w:t>
      </w:r>
    </w:p>
    <w:p w14:paraId="3DB5E71A"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Li, M. and Ai, N., 2022. The COVID‐19 pandemic: The watershed moment for student mobility in Chinese </w:t>
      </w:r>
      <w:proofErr w:type="gramStart"/>
      <w:r w:rsidRPr="00853D74">
        <w:rPr>
          <w:rFonts w:ascii="Times New Roman" w:hAnsi="Times New Roman" w:cs="Times New Roman"/>
          <w:sz w:val="24"/>
          <w:szCs w:val="24"/>
        </w:rPr>
        <w:t>universities?.</w:t>
      </w:r>
      <w:proofErr w:type="gramEnd"/>
      <w:r w:rsidRPr="00853D74">
        <w:rPr>
          <w:rFonts w:ascii="Times New Roman" w:hAnsi="Times New Roman" w:cs="Times New Roman"/>
          <w:sz w:val="24"/>
          <w:szCs w:val="24"/>
        </w:rPr>
        <w:t> </w:t>
      </w:r>
      <w:r w:rsidRPr="00853D74">
        <w:rPr>
          <w:rFonts w:ascii="Times New Roman" w:hAnsi="Times New Roman" w:cs="Times New Roman"/>
          <w:i/>
          <w:iCs/>
          <w:sz w:val="24"/>
          <w:szCs w:val="24"/>
        </w:rPr>
        <w:t>Higher Education Quarterly</w:t>
      </w:r>
      <w:r w:rsidRPr="00853D74">
        <w:rPr>
          <w:rFonts w:ascii="Times New Roman" w:hAnsi="Times New Roman" w:cs="Times New Roman"/>
          <w:sz w:val="24"/>
          <w:szCs w:val="24"/>
        </w:rPr>
        <w:t>, </w:t>
      </w:r>
      <w:r w:rsidRPr="00853D74">
        <w:rPr>
          <w:rFonts w:ascii="Times New Roman" w:hAnsi="Times New Roman" w:cs="Times New Roman"/>
          <w:i/>
          <w:iCs/>
          <w:sz w:val="24"/>
          <w:szCs w:val="24"/>
        </w:rPr>
        <w:t>76</w:t>
      </w:r>
      <w:r w:rsidRPr="00853D74">
        <w:rPr>
          <w:rFonts w:ascii="Times New Roman" w:hAnsi="Times New Roman" w:cs="Times New Roman"/>
          <w:sz w:val="24"/>
          <w:szCs w:val="24"/>
        </w:rPr>
        <w:t>(2), pp.247-259</w:t>
      </w:r>
    </w:p>
    <w:p w14:paraId="66FDE58E" w14:textId="03F57C06" w:rsidR="00BC09F4" w:rsidRPr="00853D74" w:rsidRDefault="005300D3" w:rsidP="00BC09F4">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Luque-Martínez, T., Doña-Toledo, L. and </w:t>
      </w:r>
      <w:proofErr w:type="spellStart"/>
      <w:r w:rsidRPr="00853D74">
        <w:rPr>
          <w:rFonts w:ascii="Times New Roman" w:hAnsi="Times New Roman" w:cs="Times New Roman"/>
          <w:sz w:val="24"/>
          <w:szCs w:val="24"/>
        </w:rPr>
        <w:t>Faraoni</w:t>
      </w:r>
      <w:proofErr w:type="spellEnd"/>
      <w:r w:rsidRPr="00853D74">
        <w:rPr>
          <w:rFonts w:ascii="Times New Roman" w:hAnsi="Times New Roman" w:cs="Times New Roman"/>
          <w:sz w:val="24"/>
          <w:szCs w:val="24"/>
        </w:rPr>
        <w:t>, N., 2025. The digital future of Spanish universities: Facing the challenge of a digital transformation. </w:t>
      </w:r>
      <w:r w:rsidRPr="00853D74">
        <w:rPr>
          <w:rFonts w:ascii="Times New Roman" w:hAnsi="Times New Roman" w:cs="Times New Roman"/>
          <w:i/>
          <w:iCs/>
          <w:sz w:val="24"/>
          <w:szCs w:val="24"/>
        </w:rPr>
        <w:t>The Bottom Line</w:t>
      </w:r>
      <w:r w:rsidRPr="00853D74">
        <w:rPr>
          <w:rFonts w:ascii="Times New Roman" w:hAnsi="Times New Roman" w:cs="Times New Roman"/>
          <w:sz w:val="24"/>
          <w:szCs w:val="24"/>
        </w:rPr>
        <w:t>, </w:t>
      </w:r>
      <w:r w:rsidRPr="00853D74">
        <w:rPr>
          <w:rFonts w:ascii="Times New Roman" w:hAnsi="Times New Roman" w:cs="Times New Roman"/>
          <w:i/>
          <w:iCs/>
          <w:sz w:val="24"/>
          <w:szCs w:val="24"/>
        </w:rPr>
        <w:t>38</w:t>
      </w:r>
      <w:r w:rsidRPr="00853D74">
        <w:rPr>
          <w:rFonts w:ascii="Times New Roman" w:hAnsi="Times New Roman" w:cs="Times New Roman"/>
          <w:sz w:val="24"/>
          <w:szCs w:val="24"/>
        </w:rPr>
        <w:t>(1), pp.28-48.</w:t>
      </w:r>
    </w:p>
    <w:p w14:paraId="4D3430F0" w14:textId="77FE3FA6" w:rsidR="00BC09F4" w:rsidRPr="00853D74" w:rsidRDefault="00BC09F4" w:rsidP="00BC09F4">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Maiti, A., 2026. The Integration of Generative AI in Distance Education on Learning Effectiveness and Academic Integrity: A Systematic Review. </w:t>
      </w:r>
      <w:r w:rsidRPr="00853D74">
        <w:rPr>
          <w:rFonts w:ascii="Times New Roman" w:hAnsi="Times New Roman" w:cs="Times New Roman"/>
          <w:i/>
          <w:iCs/>
          <w:sz w:val="24"/>
          <w:szCs w:val="24"/>
        </w:rPr>
        <w:t>JOURNAL OF DIGITAL LEARNING AND DISTANCE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4</w:t>
      </w:r>
      <w:r w:rsidRPr="00853D74">
        <w:rPr>
          <w:rFonts w:ascii="Times New Roman" w:hAnsi="Times New Roman" w:cs="Times New Roman"/>
          <w:sz w:val="24"/>
          <w:szCs w:val="24"/>
        </w:rPr>
        <w:t>(8), pp.1807-1822.</w:t>
      </w:r>
    </w:p>
    <w:p w14:paraId="04C205BF"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19" w:name="_Hlk218926052"/>
      <w:r w:rsidRPr="00853D74">
        <w:rPr>
          <w:rFonts w:ascii="Times New Roman" w:hAnsi="Times New Roman" w:cs="Times New Roman"/>
          <w:sz w:val="24"/>
          <w:szCs w:val="24"/>
        </w:rPr>
        <w:t>Parra-González</w:t>
      </w:r>
      <w:bookmarkEnd w:id="19"/>
      <w:r w:rsidRPr="00853D74">
        <w:rPr>
          <w:rFonts w:ascii="Times New Roman" w:hAnsi="Times New Roman" w:cs="Times New Roman"/>
          <w:sz w:val="24"/>
          <w:szCs w:val="24"/>
        </w:rPr>
        <w:t>, M.E., López-Belmonte, J., Segura-Robles, A. and Moreno-Guerrero, A.J., 2021. Spanish adaptation and validation of the teaching and learning experiences questionnaire. </w:t>
      </w:r>
      <w:r w:rsidRPr="00853D74">
        <w:rPr>
          <w:rFonts w:ascii="Times New Roman" w:hAnsi="Times New Roman" w:cs="Times New Roman"/>
          <w:i/>
          <w:iCs/>
          <w:sz w:val="24"/>
          <w:szCs w:val="24"/>
        </w:rPr>
        <w:t>International Journal of Environmental Research and Public Health</w:t>
      </w:r>
      <w:r w:rsidRPr="00853D74">
        <w:rPr>
          <w:rFonts w:ascii="Times New Roman" w:hAnsi="Times New Roman" w:cs="Times New Roman"/>
          <w:sz w:val="24"/>
          <w:szCs w:val="24"/>
        </w:rPr>
        <w:t>, </w:t>
      </w:r>
      <w:r w:rsidRPr="00853D74">
        <w:rPr>
          <w:rFonts w:ascii="Times New Roman" w:hAnsi="Times New Roman" w:cs="Times New Roman"/>
          <w:i/>
          <w:iCs/>
          <w:sz w:val="24"/>
          <w:szCs w:val="24"/>
        </w:rPr>
        <w:t>18</w:t>
      </w:r>
      <w:r w:rsidRPr="00853D74">
        <w:rPr>
          <w:rFonts w:ascii="Times New Roman" w:hAnsi="Times New Roman" w:cs="Times New Roman"/>
          <w:sz w:val="24"/>
          <w:szCs w:val="24"/>
        </w:rPr>
        <w:t>(7), p.3518.</w:t>
      </w:r>
    </w:p>
    <w:p w14:paraId="22632E81"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20" w:name="_Hlk218925298"/>
      <w:r w:rsidRPr="00853D74">
        <w:rPr>
          <w:rFonts w:ascii="Times New Roman" w:hAnsi="Times New Roman" w:cs="Times New Roman"/>
          <w:sz w:val="24"/>
          <w:szCs w:val="24"/>
        </w:rPr>
        <w:t>Pérez-Amaral</w:t>
      </w:r>
      <w:bookmarkEnd w:id="20"/>
      <w:r w:rsidRPr="00853D74">
        <w:rPr>
          <w:rFonts w:ascii="Times New Roman" w:hAnsi="Times New Roman" w:cs="Times New Roman"/>
          <w:sz w:val="24"/>
          <w:szCs w:val="24"/>
        </w:rPr>
        <w:t xml:space="preserve">, T., Valarezo, A., López, R. and </w:t>
      </w:r>
      <w:proofErr w:type="spellStart"/>
      <w:r w:rsidRPr="00853D74">
        <w:rPr>
          <w:rFonts w:ascii="Times New Roman" w:hAnsi="Times New Roman" w:cs="Times New Roman"/>
          <w:sz w:val="24"/>
          <w:szCs w:val="24"/>
        </w:rPr>
        <w:t>Garín</w:t>
      </w:r>
      <w:proofErr w:type="spellEnd"/>
      <w:r w:rsidRPr="00853D74">
        <w:rPr>
          <w:rFonts w:ascii="Times New Roman" w:hAnsi="Times New Roman" w:cs="Times New Roman"/>
          <w:sz w:val="24"/>
          <w:szCs w:val="24"/>
        </w:rPr>
        <w:t xml:space="preserve">-Muñoz, T., 2021. Digital divides across consumers of internet services in Spain using panel data 2007–2019. Narrowing or </w:t>
      </w:r>
      <w:proofErr w:type="gramStart"/>
      <w:r w:rsidRPr="00853D74">
        <w:rPr>
          <w:rFonts w:ascii="Times New Roman" w:hAnsi="Times New Roman" w:cs="Times New Roman"/>
          <w:sz w:val="24"/>
          <w:szCs w:val="24"/>
        </w:rPr>
        <w:t>not?.</w:t>
      </w:r>
      <w:proofErr w:type="gramEnd"/>
      <w:r w:rsidRPr="00853D74">
        <w:rPr>
          <w:rFonts w:ascii="Times New Roman" w:hAnsi="Times New Roman" w:cs="Times New Roman"/>
          <w:sz w:val="24"/>
          <w:szCs w:val="24"/>
        </w:rPr>
        <w:t> </w:t>
      </w:r>
      <w:r w:rsidRPr="00853D74">
        <w:rPr>
          <w:rFonts w:ascii="Times New Roman" w:hAnsi="Times New Roman" w:cs="Times New Roman"/>
          <w:i/>
          <w:iCs/>
          <w:sz w:val="24"/>
          <w:szCs w:val="24"/>
        </w:rPr>
        <w:t>Telecommunications Policy</w:t>
      </w:r>
      <w:r w:rsidRPr="00853D74">
        <w:rPr>
          <w:rFonts w:ascii="Times New Roman" w:hAnsi="Times New Roman" w:cs="Times New Roman"/>
          <w:sz w:val="24"/>
          <w:szCs w:val="24"/>
        </w:rPr>
        <w:t>, </w:t>
      </w:r>
      <w:r w:rsidRPr="00853D74">
        <w:rPr>
          <w:rFonts w:ascii="Times New Roman" w:hAnsi="Times New Roman" w:cs="Times New Roman"/>
          <w:i/>
          <w:iCs/>
          <w:sz w:val="24"/>
          <w:szCs w:val="24"/>
        </w:rPr>
        <w:t>45</w:t>
      </w:r>
      <w:r w:rsidRPr="00853D74">
        <w:rPr>
          <w:rFonts w:ascii="Times New Roman" w:hAnsi="Times New Roman" w:cs="Times New Roman"/>
          <w:sz w:val="24"/>
          <w:szCs w:val="24"/>
        </w:rPr>
        <w:t>(2), p.102093.</w:t>
      </w:r>
    </w:p>
    <w:p w14:paraId="51FBD498"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Purcell, W.M. and Lumbreras, J., 2021. Higher education and the COVID-19 pandemic: navigating disruption using the sustainable development goals. </w:t>
      </w:r>
      <w:r w:rsidRPr="00853D74">
        <w:rPr>
          <w:rFonts w:ascii="Times New Roman" w:hAnsi="Times New Roman" w:cs="Times New Roman"/>
          <w:i/>
          <w:iCs/>
          <w:sz w:val="24"/>
          <w:szCs w:val="24"/>
        </w:rPr>
        <w:t>Discover Sustainability</w:t>
      </w:r>
      <w:r w:rsidRPr="00853D74">
        <w:rPr>
          <w:rFonts w:ascii="Times New Roman" w:hAnsi="Times New Roman" w:cs="Times New Roman"/>
          <w:sz w:val="24"/>
          <w:szCs w:val="24"/>
        </w:rPr>
        <w:t>, </w:t>
      </w:r>
      <w:r w:rsidRPr="00853D74">
        <w:rPr>
          <w:rFonts w:ascii="Times New Roman" w:hAnsi="Times New Roman" w:cs="Times New Roman"/>
          <w:i/>
          <w:iCs/>
          <w:sz w:val="24"/>
          <w:szCs w:val="24"/>
        </w:rPr>
        <w:t>2</w:t>
      </w:r>
      <w:r w:rsidRPr="00853D74">
        <w:rPr>
          <w:rFonts w:ascii="Times New Roman" w:hAnsi="Times New Roman" w:cs="Times New Roman"/>
          <w:sz w:val="24"/>
          <w:szCs w:val="24"/>
        </w:rPr>
        <w:t>(1), p.6</w:t>
      </w:r>
    </w:p>
    <w:p w14:paraId="45179ADE"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21" w:name="_Hlk218924788"/>
      <w:r w:rsidRPr="00853D74">
        <w:rPr>
          <w:rFonts w:ascii="Times New Roman" w:hAnsi="Times New Roman" w:cs="Times New Roman"/>
          <w:sz w:val="24"/>
          <w:szCs w:val="24"/>
        </w:rPr>
        <w:t>Ramirez, V.E., 2020</w:t>
      </w:r>
      <w:bookmarkEnd w:id="21"/>
      <w:r w:rsidRPr="00853D74">
        <w:rPr>
          <w:rFonts w:ascii="Times New Roman" w:hAnsi="Times New Roman" w:cs="Times New Roman"/>
          <w:sz w:val="24"/>
          <w:szCs w:val="24"/>
        </w:rPr>
        <w:t>. Resilience amidst pandemic: HEI sustaining quality assurance in a digital world. </w:t>
      </w:r>
      <w:r w:rsidRPr="00853D74">
        <w:rPr>
          <w:rFonts w:ascii="Times New Roman" w:hAnsi="Times New Roman" w:cs="Times New Roman"/>
          <w:i/>
          <w:iCs/>
          <w:sz w:val="24"/>
          <w:szCs w:val="24"/>
        </w:rPr>
        <w:t>Higher Education Quality Assurance</w:t>
      </w:r>
      <w:r w:rsidRPr="00853D74">
        <w:rPr>
          <w:rFonts w:ascii="Times New Roman" w:hAnsi="Times New Roman" w:cs="Times New Roman"/>
          <w:sz w:val="24"/>
          <w:szCs w:val="24"/>
        </w:rPr>
        <w:t>, pp.1-32.</w:t>
      </w:r>
    </w:p>
    <w:p w14:paraId="359D13B6"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Reyes, R.L. and Regala, J.D., 2025. Reimagining the Philosophy of Experimentation in Chemistry Education: Embracing AI as a Tool for Scientific Inquiry. </w:t>
      </w:r>
      <w:r w:rsidRPr="00853D74">
        <w:rPr>
          <w:rFonts w:ascii="Times New Roman" w:hAnsi="Times New Roman" w:cs="Times New Roman"/>
          <w:i/>
          <w:iCs/>
          <w:sz w:val="24"/>
          <w:szCs w:val="24"/>
        </w:rPr>
        <w:t>Science &amp; Education</w:t>
      </w:r>
      <w:r w:rsidRPr="00853D74">
        <w:rPr>
          <w:rFonts w:ascii="Times New Roman" w:hAnsi="Times New Roman" w:cs="Times New Roman"/>
          <w:sz w:val="24"/>
          <w:szCs w:val="24"/>
        </w:rPr>
        <w:t>, pp.1-46</w:t>
      </w:r>
    </w:p>
    <w:p w14:paraId="6609F785"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22" w:name="_Hlk218924576"/>
      <w:r w:rsidRPr="00853D74">
        <w:rPr>
          <w:rFonts w:ascii="Times New Roman" w:hAnsi="Times New Roman" w:cs="Times New Roman"/>
          <w:sz w:val="24"/>
          <w:szCs w:val="24"/>
        </w:rPr>
        <w:t>Rodríguez-Rodríguez</w:t>
      </w:r>
      <w:bookmarkEnd w:id="22"/>
      <w:r w:rsidRPr="00853D74">
        <w:rPr>
          <w:rFonts w:ascii="Times New Roman" w:hAnsi="Times New Roman" w:cs="Times New Roman"/>
          <w:sz w:val="24"/>
          <w:szCs w:val="24"/>
        </w:rPr>
        <w:t>, E., Sánchez-Paniagua, M., Sanz-</w:t>
      </w:r>
      <w:proofErr w:type="spellStart"/>
      <w:r w:rsidRPr="00853D74">
        <w:rPr>
          <w:rFonts w:ascii="Times New Roman" w:hAnsi="Times New Roman" w:cs="Times New Roman"/>
          <w:sz w:val="24"/>
          <w:szCs w:val="24"/>
        </w:rPr>
        <w:t>Landaluze</w:t>
      </w:r>
      <w:proofErr w:type="spellEnd"/>
      <w:r w:rsidRPr="00853D74">
        <w:rPr>
          <w:rFonts w:ascii="Times New Roman" w:hAnsi="Times New Roman" w:cs="Times New Roman"/>
          <w:sz w:val="24"/>
          <w:szCs w:val="24"/>
        </w:rPr>
        <w:t xml:space="preserve">, J. and Moreno-Guzmán, M., 2020. Analytical chemistry teaching adaptation in the COVID-19 period: </w:t>
      </w:r>
      <w:r w:rsidRPr="00853D74">
        <w:rPr>
          <w:rFonts w:ascii="Times New Roman" w:hAnsi="Times New Roman" w:cs="Times New Roman"/>
          <w:sz w:val="24"/>
          <w:szCs w:val="24"/>
        </w:rPr>
        <w:lastRenderedPageBreak/>
        <w:t>experiences and students’ opinion. </w:t>
      </w:r>
      <w:r w:rsidRPr="00853D74">
        <w:rPr>
          <w:rFonts w:ascii="Times New Roman" w:hAnsi="Times New Roman" w:cs="Times New Roman"/>
          <w:i/>
          <w:iCs/>
          <w:sz w:val="24"/>
          <w:szCs w:val="24"/>
        </w:rPr>
        <w:t>Journal of Chemical Education</w:t>
      </w:r>
      <w:r w:rsidRPr="00853D74">
        <w:rPr>
          <w:rFonts w:ascii="Times New Roman" w:hAnsi="Times New Roman" w:cs="Times New Roman"/>
          <w:sz w:val="24"/>
          <w:szCs w:val="24"/>
        </w:rPr>
        <w:t>, </w:t>
      </w:r>
      <w:r w:rsidRPr="00853D74">
        <w:rPr>
          <w:rFonts w:ascii="Times New Roman" w:hAnsi="Times New Roman" w:cs="Times New Roman"/>
          <w:i/>
          <w:iCs/>
          <w:sz w:val="24"/>
          <w:szCs w:val="24"/>
        </w:rPr>
        <w:t>97</w:t>
      </w:r>
      <w:r w:rsidRPr="00853D74">
        <w:rPr>
          <w:rFonts w:ascii="Times New Roman" w:hAnsi="Times New Roman" w:cs="Times New Roman"/>
          <w:sz w:val="24"/>
          <w:szCs w:val="24"/>
        </w:rPr>
        <w:t>(9), pp.2556-2564.</w:t>
      </w:r>
    </w:p>
    <w:p w14:paraId="27699152"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bookmarkStart w:id="23" w:name="_Hlk218924679"/>
      <w:r w:rsidRPr="00853D74">
        <w:rPr>
          <w:rFonts w:ascii="Times New Roman" w:hAnsi="Times New Roman" w:cs="Times New Roman"/>
          <w:sz w:val="24"/>
          <w:szCs w:val="24"/>
        </w:rPr>
        <w:t>Setiawan, N.C.E. and Rosli, M.S., 2022</w:t>
      </w:r>
      <w:bookmarkEnd w:id="23"/>
      <w:r w:rsidRPr="00853D74">
        <w:rPr>
          <w:rFonts w:ascii="Times New Roman" w:hAnsi="Times New Roman" w:cs="Times New Roman"/>
          <w:sz w:val="24"/>
          <w:szCs w:val="24"/>
        </w:rPr>
        <w:t>. Experience using a five-component blended learning strategy during the Covid-19 pandemic. In </w:t>
      </w:r>
      <w:r w:rsidRPr="00853D74">
        <w:rPr>
          <w:rFonts w:ascii="Times New Roman" w:hAnsi="Times New Roman" w:cs="Times New Roman"/>
          <w:i/>
          <w:iCs/>
          <w:sz w:val="24"/>
          <w:szCs w:val="24"/>
        </w:rPr>
        <w:t>Improving Assessment and Evaluation Strategies on Online Learning</w:t>
      </w:r>
      <w:r w:rsidRPr="00853D74">
        <w:rPr>
          <w:rFonts w:ascii="Times New Roman" w:hAnsi="Times New Roman" w:cs="Times New Roman"/>
          <w:sz w:val="24"/>
          <w:szCs w:val="24"/>
        </w:rPr>
        <w:t xml:space="preserve"> (pp. 68-74). Routledge. </w:t>
      </w:r>
    </w:p>
    <w:p w14:paraId="17F8AEC3"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Singh, M., Adebayo, S.O., Saini, M. and Singh, J., 2021. Indian government E-learning initiatives in response to COVID-19 crisis: A case study on online learning in Indian higher education system. </w:t>
      </w:r>
      <w:r w:rsidRPr="00853D74">
        <w:rPr>
          <w:rFonts w:ascii="Times New Roman" w:hAnsi="Times New Roman" w:cs="Times New Roman"/>
          <w:i/>
          <w:iCs/>
          <w:sz w:val="24"/>
          <w:szCs w:val="24"/>
        </w:rPr>
        <w:t>Education and Information Technologies</w:t>
      </w:r>
      <w:r w:rsidRPr="00853D74">
        <w:rPr>
          <w:rFonts w:ascii="Times New Roman" w:hAnsi="Times New Roman" w:cs="Times New Roman"/>
          <w:sz w:val="24"/>
          <w:szCs w:val="24"/>
        </w:rPr>
        <w:t>, </w:t>
      </w:r>
      <w:r w:rsidRPr="00853D74">
        <w:rPr>
          <w:rFonts w:ascii="Times New Roman" w:hAnsi="Times New Roman" w:cs="Times New Roman"/>
          <w:i/>
          <w:iCs/>
          <w:sz w:val="24"/>
          <w:szCs w:val="24"/>
        </w:rPr>
        <w:t>26</w:t>
      </w:r>
      <w:r w:rsidRPr="00853D74">
        <w:rPr>
          <w:rFonts w:ascii="Times New Roman" w:hAnsi="Times New Roman" w:cs="Times New Roman"/>
          <w:sz w:val="24"/>
          <w:szCs w:val="24"/>
        </w:rPr>
        <w:t>(6), pp.7569-7607.</w:t>
      </w:r>
    </w:p>
    <w:p w14:paraId="73F66840" w14:textId="780A31A0" w:rsidR="00F03B2F" w:rsidRPr="00853D74" w:rsidRDefault="00F03B2F"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Sreenivasu, S.V.N., Shaikh, A.L., Srivastava, B.K., Nautiyal, B. and Yadav, C.H., 2025. Experimentation and Testing of IoT Based System for Enhancement of Chemical Laboratory Safety for Prevention of Accidents. In </w:t>
      </w:r>
      <w:r w:rsidRPr="00853D74">
        <w:rPr>
          <w:rFonts w:ascii="Times New Roman" w:hAnsi="Times New Roman" w:cs="Times New Roman"/>
          <w:i/>
          <w:iCs/>
          <w:sz w:val="24"/>
          <w:szCs w:val="24"/>
        </w:rPr>
        <w:t>Technological Applications for Smart Sensors</w:t>
      </w:r>
      <w:r w:rsidRPr="00853D74">
        <w:rPr>
          <w:rFonts w:ascii="Times New Roman" w:hAnsi="Times New Roman" w:cs="Times New Roman"/>
          <w:sz w:val="24"/>
          <w:szCs w:val="24"/>
        </w:rPr>
        <w:t> (pp. 287-305). Apple Academic Press.</w:t>
      </w:r>
    </w:p>
    <w:p w14:paraId="3A553C9E"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Watts, J., Crippen, K.J., Payne, C., Imperial, L. and </w:t>
      </w:r>
      <w:proofErr w:type="spellStart"/>
      <w:r w:rsidRPr="00853D74">
        <w:rPr>
          <w:rFonts w:ascii="Times New Roman" w:hAnsi="Times New Roman" w:cs="Times New Roman"/>
          <w:sz w:val="24"/>
          <w:szCs w:val="24"/>
        </w:rPr>
        <w:t>Veige</w:t>
      </w:r>
      <w:proofErr w:type="spellEnd"/>
      <w:r w:rsidRPr="00853D74">
        <w:rPr>
          <w:rFonts w:ascii="Times New Roman" w:hAnsi="Times New Roman" w:cs="Times New Roman"/>
          <w:sz w:val="24"/>
          <w:szCs w:val="24"/>
        </w:rPr>
        <w:t>, M., 2022. The varied experience of undergraduate students during the transition to mandatory online chem lab during the initial lockdown of the COVID-19 pandemic. </w:t>
      </w:r>
      <w:r w:rsidRPr="00853D74">
        <w:rPr>
          <w:rFonts w:ascii="Times New Roman" w:hAnsi="Times New Roman" w:cs="Times New Roman"/>
          <w:i/>
          <w:iCs/>
          <w:sz w:val="24"/>
          <w:szCs w:val="24"/>
        </w:rPr>
        <w:t>Disciplinary and Interdisciplinary Science Education Research</w:t>
      </w:r>
      <w:r w:rsidRPr="00853D74">
        <w:rPr>
          <w:rFonts w:ascii="Times New Roman" w:hAnsi="Times New Roman" w:cs="Times New Roman"/>
          <w:sz w:val="24"/>
          <w:szCs w:val="24"/>
        </w:rPr>
        <w:t>, </w:t>
      </w:r>
      <w:r w:rsidRPr="00853D74">
        <w:rPr>
          <w:rFonts w:ascii="Times New Roman" w:hAnsi="Times New Roman" w:cs="Times New Roman"/>
          <w:i/>
          <w:iCs/>
          <w:sz w:val="24"/>
          <w:szCs w:val="24"/>
        </w:rPr>
        <w:t>4</w:t>
      </w:r>
      <w:r w:rsidRPr="00853D74">
        <w:rPr>
          <w:rFonts w:ascii="Times New Roman" w:hAnsi="Times New Roman" w:cs="Times New Roman"/>
          <w:sz w:val="24"/>
          <w:szCs w:val="24"/>
        </w:rPr>
        <w:t>(1), p.14</w:t>
      </w:r>
    </w:p>
    <w:p w14:paraId="730341B4" w14:textId="77777777" w:rsidR="005300D3" w:rsidRPr="00853D74" w:rsidRDefault="005300D3" w:rsidP="005300D3">
      <w:pPr>
        <w:pStyle w:val="ListParagraph"/>
        <w:numPr>
          <w:ilvl w:val="0"/>
          <w:numId w:val="6"/>
        </w:numPr>
        <w:spacing w:after="0" w:line="360" w:lineRule="auto"/>
        <w:jc w:val="both"/>
        <w:rPr>
          <w:rFonts w:ascii="Times New Roman" w:hAnsi="Times New Roman" w:cs="Times New Roman"/>
          <w:sz w:val="24"/>
          <w:szCs w:val="24"/>
          <w:lang w:val="en-GB"/>
        </w:rPr>
      </w:pPr>
      <w:r w:rsidRPr="00853D74">
        <w:rPr>
          <w:rFonts w:ascii="Times New Roman" w:hAnsi="Times New Roman" w:cs="Times New Roman"/>
          <w:sz w:val="24"/>
          <w:szCs w:val="24"/>
        </w:rPr>
        <w:t xml:space="preserve">Wells, P., </w:t>
      </w:r>
      <w:proofErr w:type="spellStart"/>
      <w:r w:rsidRPr="00853D74">
        <w:rPr>
          <w:rFonts w:ascii="Times New Roman" w:hAnsi="Times New Roman" w:cs="Times New Roman"/>
          <w:sz w:val="24"/>
          <w:szCs w:val="24"/>
        </w:rPr>
        <w:t>Abouarghoub</w:t>
      </w:r>
      <w:proofErr w:type="spellEnd"/>
      <w:r w:rsidRPr="00853D74">
        <w:rPr>
          <w:rFonts w:ascii="Times New Roman" w:hAnsi="Times New Roman" w:cs="Times New Roman"/>
          <w:sz w:val="24"/>
          <w:szCs w:val="24"/>
        </w:rPr>
        <w:t>, W., Pettit, S. and Beresford, A., 2020. A socio-technical transitions perspective for assessing future sustainability following the COVID-19 pandemic. </w:t>
      </w:r>
      <w:r w:rsidRPr="00853D74">
        <w:rPr>
          <w:rFonts w:ascii="Times New Roman" w:hAnsi="Times New Roman" w:cs="Times New Roman"/>
          <w:i/>
          <w:iCs/>
          <w:sz w:val="24"/>
          <w:szCs w:val="24"/>
        </w:rPr>
        <w:t>Sustainability: Science, Practice and Policy</w:t>
      </w:r>
      <w:r w:rsidRPr="00853D74">
        <w:rPr>
          <w:rFonts w:ascii="Times New Roman" w:hAnsi="Times New Roman" w:cs="Times New Roman"/>
          <w:sz w:val="24"/>
          <w:szCs w:val="24"/>
        </w:rPr>
        <w:t>, </w:t>
      </w:r>
      <w:r w:rsidRPr="00853D74">
        <w:rPr>
          <w:rFonts w:ascii="Times New Roman" w:hAnsi="Times New Roman" w:cs="Times New Roman"/>
          <w:i/>
          <w:iCs/>
          <w:sz w:val="24"/>
          <w:szCs w:val="24"/>
        </w:rPr>
        <w:t>16</w:t>
      </w:r>
      <w:r w:rsidRPr="00853D74">
        <w:rPr>
          <w:rFonts w:ascii="Times New Roman" w:hAnsi="Times New Roman" w:cs="Times New Roman"/>
          <w:sz w:val="24"/>
          <w:szCs w:val="24"/>
        </w:rPr>
        <w:t>(1), pp.29-36</w:t>
      </w:r>
    </w:p>
    <w:p w14:paraId="354FD6F8" w14:textId="77777777" w:rsidR="000F2814" w:rsidRPr="00853D74" w:rsidRDefault="000F2814" w:rsidP="000F2814">
      <w:pPr>
        <w:spacing w:after="0" w:line="360" w:lineRule="auto"/>
        <w:jc w:val="both"/>
        <w:rPr>
          <w:rFonts w:ascii="Times New Roman" w:hAnsi="Times New Roman" w:cs="Times New Roman"/>
          <w:sz w:val="24"/>
          <w:szCs w:val="24"/>
          <w:lang w:val="en-GB"/>
        </w:rPr>
      </w:pPr>
    </w:p>
    <w:sectPr w:rsidR="000F2814" w:rsidRPr="00853D7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A3D17" w14:textId="77777777" w:rsidR="008F3D25" w:rsidRDefault="008F3D25" w:rsidP="00E33A87">
      <w:pPr>
        <w:spacing w:after="0" w:line="240" w:lineRule="auto"/>
      </w:pPr>
      <w:r>
        <w:separator/>
      </w:r>
    </w:p>
  </w:endnote>
  <w:endnote w:type="continuationSeparator" w:id="0">
    <w:p w14:paraId="16877F11" w14:textId="77777777" w:rsidR="008F3D25" w:rsidRDefault="008F3D25" w:rsidP="00E3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6D50" w14:textId="77777777" w:rsidR="00E33A87" w:rsidRDefault="00E33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00C7" w14:textId="77777777" w:rsidR="00E33A87" w:rsidRDefault="00E33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DAA0" w14:textId="77777777" w:rsidR="00E33A87" w:rsidRDefault="00E3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56A44" w14:textId="77777777" w:rsidR="008F3D25" w:rsidRDefault="008F3D25" w:rsidP="00E33A87">
      <w:pPr>
        <w:spacing w:after="0" w:line="240" w:lineRule="auto"/>
      </w:pPr>
      <w:r>
        <w:separator/>
      </w:r>
    </w:p>
  </w:footnote>
  <w:footnote w:type="continuationSeparator" w:id="0">
    <w:p w14:paraId="179658DD" w14:textId="77777777" w:rsidR="008F3D25" w:rsidRDefault="008F3D25" w:rsidP="00E3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D4B5" w14:textId="32194D84" w:rsidR="00E33A87" w:rsidRDefault="008F3D25">
    <w:pPr>
      <w:pStyle w:val="Header"/>
    </w:pPr>
    <w:r>
      <w:rPr>
        <w:noProof/>
      </w:rPr>
      <w:pict w14:anchorId="10EB6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B7FD" w14:textId="09AD6C71" w:rsidR="00E33A87" w:rsidRDefault="008F3D25">
    <w:pPr>
      <w:pStyle w:val="Header"/>
    </w:pPr>
    <w:r>
      <w:rPr>
        <w:noProof/>
      </w:rPr>
      <w:pict w14:anchorId="6A8EF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45F3" w14:textId="1444DE2B" w:rsidR="00E33A87" w:rsidRDefault="008F3D25">
    <w:pPr>
      <w:pStyle w:val="Header"/>
    </w:pPr>
    <w:r>
      <w:rPr>
        <w:noProof/>
      </w:rPr>
      <w:pict w14:anchorId="6B115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40E42"/>
    <w:multiLevelType w:val="multilevel"/>
    <w:tmpl w:val="683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F1219"/>
    <w:multiLevelType w:val="hybridMultilevel"/>
    <w:tmpl w:val="88C69514"/>
    <w:lvl w:ilvl="0" w:tplc="0F6292E2">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 w15:restartNumberingAfterBreak="0">
    <w:nsid w:val="452D022F"/>
    <w:multiLevelType w:val="multilevel"/>
    <w:tmpl w:val="D7CC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C4805"/>
    <w:multiLevelType w:val="hybridMultilevel"/>
    <w:tmpl w:val="41863BF6"/>
    <w:lvl w:ilvl="0" w:tplc="4E00B5C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63BC00F5"/>
    <w:multiLevelType w:val="hybridMultilevel"/>
    <w:tmpl w:val="9662DD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6F32DB"/>
    <w:multiLevelType w:val="hybridMultilevel"/>
    <w:tmpl w:val="8982AAFA"/>
    <w:lvl w:ilvl="0" w:tplc="C0064CF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6A7013E0"/>
    <w:multiLevelType w:val="multilevel"/>
    <w:tmpl w:val="6ACC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F603B4"/>
    <w:multiLevelType w:val="hybridMultilevel"/>
    <w:tmpl w:val="24AEA566"/>
    <w:lvl w:ilvl="0" w:tplc="D850F94A">
      <w:start w:val="1"/>
      <w:numFmt w:val="lowerLetter"/>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14"/>
    <w:rsid w:val="0008650A"/>
    <w:rsid w:val="000A27D2"/>
    <w:rsid w:val="000F2814"/>
    <w:rsid w:val="00104EB3"/>
    <w:rsid w:val="00122C86"/>
    <w:rsid w:val="00136893"/>
    <w:rsid w:val="001730B3"/>
    <w:rsid w:val="001759C8"/>
    <w:rsid w:val="0018506C"/>
    <w:rsid w:val="00186E6D"/>
    <w:rsid w:val="00191F43"/>
    <w:rsid w:val="001C2857"/>
    <w:rsid w:val="001C28D7"/>
    <w:rsid w:val="001F53A7"/>
    <w:rsid w:val="0025538D"/>
    <w:rsid w:val="002657F1"/>
    <w:rsid w:val="002A0969"/>
    <w:rsid w:val="002A39D2"/>
    <w:rsid w:val="00373C7F"/>
    <w:rsid w:val="00384220"/>
    <w:rsid w:val="00397728"/>
    <w:rsid w:val="003A265F"/>
    <w:rsid w:val="003B3E23"/>
    <w:rsid w:val="003B7519"/>
    <w:rsid w:val="003F3661"/>
    <w:rsid w:val="0040401C"/>
    <w:rsid w:val="0041512E"/>
    <w:rsid w:val="00457FEE"/>
    <w:rsid w:val="00473F8F"/>
    <w:rsid w:val="00476B10"/>
    <w:rsid w:val="00480D66"/>
    <w:rsid w:val="004A28E7"/>
    <w:rsid w:val="004C00D0"/>
    <w:rsid w:val="004D3E66"/>
    <w:rsid w:val="004E1C67"/>
    <w:rsid w:val="0051587F"/>
    <w:rsid w:val="00522BDB"/>
    <w:rsid w:val="005300D3"/>
    <w:rsid w:val="005336AA"/>
    <w:rsid w:val="005C7349"/>
    <w:rsid w:val="005D02D7"/>
    <w:rsid w:val="005D68FA"/>
    <w:rsid w:val="0060387F"/>
    <w:rsid w:val="00615EDA"/>
    <w:rsid w:val="0065004A"/>
    <w:rsid w:val="00662192"/>
    <w:rsid w:val="00683A7A"/>
    <w:rsid w:val="006B4E14"/>
    <w:rsid w:val="006E0F3C"/>
    <w:rsid w:val="00703437"/>
    <w:rsid w:val="00704F76"/>
    <w:rsid w:val="0071162B"/>
    <w:rsid w:val="00761020"/>
    <w:rsid w:val="0079276E"/>
    <w:rsid w:val="007B2FE2"/>
    <w:rsid w:val="007B523A"/>
    <w:rsid w:val="007D5D16"/>
    <w:rsid w:val="007F32DA"/>
    <w:rsid w:val="008466AB"/>
    <w:rsid w:val="00853D74"/>
    <w:rsid w:val="00856F54"/>
    <w:rsid w:val="00865B0D"/>
    <w:rsid w:val="008B4277"/>
    <w:rsid w:val="008B69AF"/>
    <w:rsid w:val="008C3EE3"/>
    <w:rsid w:val="008E4C30"/>
    <w:rsid w:val="008F3D25"/>
    <w:rsid w:val="00984C7F"/>
    <w:rsid w:val="009A5B6D"/>
    <w:rsid w:val="009F2FD8"/>
    <w:rsid w:val="00A04AE2"/>
    <w:rsid w:val="00A53625"/>
    <w:rsid w:val="00A54FB6"/>
    <w:rsid w:val="00A63B37"/>
    <w:rsid w:val="00A93768"/>
    <w:rsid w:val="00AA4EDC"/>
    <w:rsid w:val="00AC7354"/>
    <w:rsid w:val="00AD225A"/>
    <w:rsid w:val="00AE2C94"/>
    <w:rsid w:val="00AF3DC2"/>
    <w:rsid w:val="00AF4F0A"/>
    <w:rsid w:val="00B05C40"/>
    <w:rsid w:val="00B42414"/>
    <w:rsid w:val="00B94D4A"/>
    <w:rsid w:val="00BC09F4"/>
    <w:rsid w:val="00BC6D96"/>
    <w:rsid w:val="00BE74D0"/>
    <w:rsid w:val="00C014CB"/>
    <w:rsid w:val="00C024C8"/>
    <w:rsid w:val="00C21BF1"/>
    <w:rsid w:val="00CD0742"/>
    <w:rsid w:val="00CE6845"/>
    <w:rsid w:val="00D35EE6"/>
    <w:rsid w:val="00D502B5"/>
    <w:rsid w:val="00D65821"/>
    <w:rsid w:val="00D93100"/>
    <w:rsid w:val="00DD76DD"/>
    <w:rsid w:val="00E10465"/>
    <w:rsid w:val="00E27D72"/>
    <w:rsid w:val="00E33A87"/>
    <w:rsid w:val="00E47F4D"/>
    <w:rsid w:val="00E8403E"/>
    <w:rsid w:val="00E92EDF"/>
    <w:rsid w:val="00E95451"/>
    <w:rsid w:val="00EE5236"/>
    <w:rsid w:val="00F03B2F"/>
    <w:rsid w:val="00F17B5F"/>
    <w:rsid w:val="00F402A9"/>
    <w:rsid w:val="00F64475"/>
    <w:rsid w:val="00FA4008"/>
    <w:rsid w:val="00FC3D93"/>
    <w:rsid w:val="00FC42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8C7AC"/>
  <w15:chartTrackingRefBased/>
  <w15:docId w15:val="{3D66A18E-D675-4199-884B-A9C17C9F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81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F281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F281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F2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81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F281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F281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F2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814"/>
    <w:rPr>
      <w:rFonts w:eastAsiaTheme="majorEastAsia" w:cstheme="majorBidi"/>
      <w:color w:val="272727" w:themeColor="text1" w:themeTint="D8"/>
    </w:rPr>
  </w:style>
  <w:style w:type="paragraph" w:styleId="Title">
    <w:name w:val="Title"/>
    <w:basedOn w:val="Normal"/>
    <w:next w:val="Normal"/>
    <w:link w:val="TitleChar"/>
    <w:uiPriority w:val="10"/>
    <w:qFormat/>
    <w:rsid w:val="000F281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281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281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281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2814"/>
    <w:pPr>
      <w:spacing w:before="160"/>
      <w:jc w:val="center"/>
    </w:pPr>
    <w:rPr>
      <w:i/>
      <w:iCs/>
      <w:color w:val="404040" w:themeColor="text1" w:themeTint="BF"/>
    </w:rPr>
  </w:style>
  <w:style w:type="character" w:customStyle="1" w:styleId="QuoteChar">
    <w:name w:val="Quote Char"/>
    <w:basedOn w:val="DefaultParagraphFont"/>
    <w:link w:val="Quote"/>
    <w:uiPriority w:val="29"/>
    <w:rsid w:val="000F2814"/>
    <w:rPr>
      <w:i/>
      <w:iCs/>
      <w:color w:val="404040" w:themeColor="text1" w:themeTint="BF"/>
    </w:rPr>
  </w:style>
  <w:style w:type="paragraph" w:styleId="ListParagraph">
    <w:name w:val="List Paragraph"/>
    <w:basedOn w:val="Normal"/>
    <w:uiPriority w:val="34"/>
    <w:qFormat/>
    <w:rsid w:val="000F2814"/>
    <w:pPr>
      <w:ind w:left="720"/>
      <w:contextualSpacing/>
    </w:pPr>
  </w:style>
  <w:style w:type="character" w:styleId="IntenseEmphasis">
    <w:name w:val="Intense Emphasis"/>
    <w:basedOn w:val="DefaultParagraphFont"/>
    <w:uiPriority w:val="21"/>
    <w:qFormat/>
    <w:rsid w:val="000F2814"/>
    <w:rPr>
      <w:i/>
      <w:iCs/>
      <w:color w:val="2F5496" w:themeColor="accent1" w:themeShade="BF"/>
    </w:rPr>
  </w:style>
  <w:style w:type="paragraph" w:styleId="IntenseQuote">
    <w:name w:val="Intense Quote"/>
    <w:basedOn w:val="Normal"/>
    <w:next w:val="Normal"/>
    <w:link w:val="IntenseQuoteChar"/>
    <w:uiPriority w:val="30"/>
    <w:qFormat/>
    <w:rsid w:val="000F2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814"/>
    <w:rPr>
      <w:i/>
      <w:iCs/>
      <w:color w:val="2F5496" w:themeColor="accent1" w:themeShade="BF"/>
    </w:rPr>
  </w:style>
  <w:style w:type="character" w:styleId="IntenseReference">
    <w:name w:val="Intense Reference"/>
    <w:basedOn w:val="DefaultParagraphFont"/>
    <w:uiPriority w:val="32"/>
    <w:qFormat/>
    <w:rsid w:val="000F2814"/>
    <w:rPr>
      <w:b/>
      <w:bCs/>
      <w:smallCaps/>
      <w:color w:val="2F5496" w:themeColor="accent1" w:themeShade="BF"/>
      <w:spacing w:val="5"/>
    </w:rPr>
  </w:style>
  <w:style w:type="character" w:styleId="Hyperlink">
    <w:name w:val="Hyperlink"/>
    <w:basedOn w:val="DefaultParagraphFont"/>
    <w:uiPriority w:val="99"/>
    <w:unhideWhenUsed/>
    <w:rsid w:val="006E0F3C"/>
    <w:rPr>
      <w:color w:val="0563C1" w:themeColor="hyperlink"/>
      <w:u w:val="single"/>
    </w:rPr>
  </w:style>
  <w:style w:type="character" w:styleId="UnresolvedMention">
    <w:name w:val="Unresolved Mention"/>
    <w:basedOn w:val="DefaultParagraphFont"/>
    <w:uiPriority w:val="99"/>
    <w:semiHidden/>
    <w:unhideWhenUsed/>
    <w:rsid w:val="006E0F3C"/>
    <w:rPr>
      <w:color w:val="605E5C"/>
      <w:shd w:val="clear" w:color="auto" w:fill="E1DFDD"/>
    </w:rPr>
  </w:style>
  <w:style w:type="table" w:styleId="TableGrid">
    <w:name w:val="Table Grid"/>
    <w:basedOn w:val="TableNormal"/>
    <w:uiPriority w:val="39"/>
    <w:rsid w:val="001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87"/>
  </w:style>
  <w:style w:type="paragraph" w:styleId="Footer">
    <w:name w:val="footer"/>
    <w:basedOn w:val="Normal"/>
    <w:link w:val="FooterChar"/>
    <w:uiPriority w:val="99"/>
    <w:unhideWhenUsed/>
    <w:rsid w:val="00E33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A87"/>
  </w:style>
  <w:style w:type="paragraph" w:styleId="NoSpacing">
    <w:name w:val="No Spacing"/>
    <w:uiPriority w:val="1"/>
    <w:qFormat/>
    <w:rsid w:val="008466AB"/>
    <w:pPr>
      <w:spacing w:after="0" w:line="240" w:lineRule="auto"/>
    </w:pPr>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1958">
      <w:bodyDiv w:val="1"/>
      <w:marLeft w:val="0"/>
      <w:marRight w:val="0"/>
      <w:marTop w:val="0"/>
      <w:marBottom w:val="0"/>
      <w:divBdr>
        <w:top w:val="none" w:sz="0" w:space="0" w:color="auto"/>
        <w:left w:val="none" w:sz="0" w:space="0" w:color="auto"/>
        <w:bottom w:val="none" w:sz="0" w:space="0" w:color="auto"/>
        <w:right w:val="none" w:sz="0" w:space="0" w:color="auto"/>
      </w:divBdr>
    </w:div>
    <w:div w:id="17306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Ambika Kumar</dc:creator>
  <cp:keywords/>
  <dc:description/>
  <cp:lastModifiedBy>SDI 1158</cp:lastModifiedBy>
  <cp:revision>7</cp:revision>
  <dcterms:created xsi:type="dcterms:W3CDTF">2026-02-12T12:52:00Z</dcterms:created>
  <dcterms:modified xsi:type="dcterms:W3CDTF">2026-02-14T08:23:00Z</dcterms:modified>
</cp:coreProperties>
</file>