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4BE" w:rsidRDefault="008F683E">
      <w:pPr>
        <w:spacing w:before="79" w:line="259" w:lineRule="auto"/>
        <w:ind w:right="669"/>
        <w:jc w:val="center"/>
        <w:rPr>
          <w:b/>
          <w:sz w:val="24"/>
          <w:szCs w:val="24"/>
        </w:rPr>
      </w:pPr>
      <w:r>
        <w:rPr>
          <w:b/>
          <w:sz w:val="24"/>
          <w:szCs w:val="24"/>
        </w:rPr>
        <w:t>An</w:t>
      </w:r>
      <w:r>
        <w:rPr>
          <w:b/>
          <w:spacing w:val="-6"/>
          <w:sz w:val="24"/>
          <w:szCs w:val="24"/>
        </w:rPr>
        <w:t xml:space="preserve"> </w:t>
      </w:r>
      <w:r>
        <w:rPr>
          <w:b/>
          <w:sz w:val="24"/>
          <w:szCs w:val="24"/>
        </w:rPr>
        <w:t>Assessment</w:t>
      </w:r>
      <w:r>
        <w:rPr>
          <w:b/>
          <w:spacing w:val="-5"/>
          <w:sz w:val="24"/>
          <w:szCs w:val="24"/>
        </w:rPr>
        <w:t xml:space="preserve"> o</w:t>
      </w:r>
      <w:r>
        <w:rPr>
          <w:b/>
          <w:sz w:val="24"/>
          <w:szCs w:val="24"/>
        </w:rPr>
        <w:t>f</w:t>
      </w:r>
      <w:r>
        <w:rPr>
          <w:b/>
          <w:spacing w:val="-7"/>
          <w:sz w:val="24"/>
          <w:szCs w:val="24"/>
        </w:rPr>
        <w:t xml:space="preserve"> </w:t>
      </w:r>
      <w:r>
        <w:rPr>
          <w:b/>
          <w:sz w:val="24"/>
          <w:szCs w:val="24"/>
        </w:rPr>
        <w:t>Lead,</w:t>
      </w:r>
      <w:r>
        <w:rPr>
          <w:b/>
          <w:spacing w:val="-5"/>
          <w:sz w:val="24"/>
          <w:szCs w:val="24"/>
        </w:rPr>
        <w:t xml:space="preserve"> </w:t>
      </w:r>
      <w:r>
        <w:rPr>
          <w:b/>
          <w:sz w:val="24"/>
          <w:szCs w:val="24"/>
        </w:rPr>
        <w:t>Zinc,</w:t>
      </w:r>
      <w:r>
        <w:rPr>
          <w:b/>
          <w:spacing w:val="-5"/>
          <w:sz w:val="24"/>
          <w:szCs w:val="24"/>
        </w:rPr>
        <w:t xml:space="preserve"> </w:t>
      </w:r>
      <w:r>
        <w:rPr>
          <w:b/>
          <w:sz w:val="24"/>
          <w:szCs w:val="24"/>
        </w:rPr>
        <w:t>Iron,</w:t>
      </w:r>
      <w:r>
        <w:rPr>
          <w:b/>
          <w:spacing w:val="-5"/>
          <w:sz w:val="24"/>
          <w:szCs w:val="24"/>
        </w:rPr>
        <w:t xml:space="preserve"> a</w:t>
      </w:r>
      <w:r>
        <w:rPr>
          <w:b/>
          <w:sz w:val="24"/>
          <w:szCs w:val="24"/>
        </w:rPr>
        <w:t>nd</w:t>
      </w:r>
      <w:r>
        <w:rPr>
          <w:b/>
          <w:spacing w:val="-6"/>
          <w:sz w:val="24"/>
          <w:szCs w:val="24"/>
        </w:rPr>
        <w:t xml:space="preserve"> </w:t>
      </w:r>
      <w:r>
        <w:rPr>
          <w:b/>
          <w:sz w:val="24"/>
          <w:szCs w:val="24"/>
        </w:rPr>
        <w:t>Cadmium</w:t>
      </w:r>
      <w:r>
        <w:rPr>
          <w:b/>
          <w:spacing w:val="-7"/>
          <w:sz w:val="24"/>
          <w:szCs w:val="24"/>
        </w:rPr>
        <w:t xml:space="preserve"> </w:t>
      </w:r>
      <w:r>
        <w:rPr>
          <w:b/>
          <w:sz w:val="24"/>
          <w:szCs w:val="24"/>
        </w:rPr>
        <w:t xml:space="preserve">Concentration in Cat Fish, Snail </w:t>
      </w:r>
      <w:proofErr w:type="gramStart"/>
      <w:r>
        <w:rPr>
          <w:b/>
          <w:sz w:val="24"/>
          <w:szCs w:val="24"/>
        </w:rPr>
        <w:t>And</w:t>
      </w:r>
      <w:proofErr w:type="gramEnd"/>
      <w:r>
        <w:rPr>
          <w:b/>
          <w:sz w:val="24"/>
          <w:szCs w:val="24"/>
        </w:rPr>
        <w:t xml:space="preserve"> Periwinkle Ob</w:t>
      </w:r>
      <w:r w:rsidR="00316896">
        <w:rPr>
          <w:b/>
          <w:sz w:val="24"/>
          <w:szCs w:val="24"/>
        </w:rPr>
        <w:t xml:space="preserve">tained from Abakpa, </w:t>
      </w:r>
      <w:proofErr w:type="spellStart"/>
      <w:r w:rsidR="00316896">
        <w:rPr>
          <w:b/>
          <w:sz w:val="24"/>
          <w:szCs w:val="24"/>
        </w:rPr>
        <w:t>Gariki</w:t>
      </w:r>
      <w:proofErr w:type="spellEnd"/>
      <w:r w:rsidR="00316896">
        <w:rPr>
          <w:b/>
          <w:sz w:val="24"/>
          <w:szCs w:val="24"/>
        </w:rPr>
        <w:t xml:space="preserve"> and </w:t>
      </w:r>
      <w:proofErr w:type="spellStart"/>
      <w:r>
        <w:rPr>
          <w:b/>
          <w:sz w:val="24"/>
          <w:szCs w:val="24"/>
        </w:rPr>
        <w:t>Ogbete</w:t>
      </w:r>
      <w:proofErr w:type="spellEnd"/>
      <w:r>
        <w:rPr>
          <w:b/>
          <w:sz w:val="24"/>
          <w:szCs w:val="24"/>
        </w:rPr>
        <w:t>, Markets in Enugu Metropolis</w:t>
      </w:r>
    </w:p>
    <w:p w:rsidR="007E54BE" w:rsidRDefault="007E54BE">
      <w:pPr>
        <w:pStyle w:val="Heading1"/>
        <w:spacing w:before="77"/>
        <w:ind w:left="0"/>
        <w:jc w:val="both"/>
        <w:rPr>
          <w:spacing w:val="-2"/>
        </w:rPr>
      </w:pPr>
    </w:p>
    <w:p w:rsidR="007E54BE" w:rsidRDefault="008F683E">
      <w:pPr>
        <w:pStyle w:val="Heading1"/>
        <w:spacing w:before="77"/>
        <w:ind w:left="0"/>
        <w:jc w:val="both"/>
      </w:pPr>
      <w:r>
        <w:rPr>
          <w:spacing w:val="-2"/>
        </w:rPr>
        <w:t>Abstract</w:t>
      </w:r>
    </w:p>
    <w:p w:rsidR="007E54BE" w:rsidRDefault="008F683E">
      <w:pPr>
        <w:spacing w:before="79" w:line="259" w:lineRule="auto"/>
        <w:ind w:right="669"/>
        <w:jc w:val="both"/>
        <w:rPr>
          <w:b/>
          <w:sz w:val="24"/>
          <w:szCs w:val="24"/>
        </w:rPr>
      </w:pPr>
      <w:r>
        <w:rPr>
          <w:sz w:val="24"/>
          <w:szCs w:val="24"/>
        </w:rPr>
        <w:t xml:space="preserve">This study assessed the concentrations of heavy metals in seafood from three different markets in Enugu Metropolis, focusing on iron, lead, cadmium, and zinc in catfish, snail, and periwinkle. The markets sampled were Abakpa, </w:t>
      </w:r>
      <w:proofErr w:type="spellStart"/>
      <w:r>
        <w:rPr>
          <w:sz w:val="24"/>
          <w:szCs w:val="24"/>
        </w:rPr>
        <w:t>Garriki</w:t>
      </w:r>
      <w:proofErr w:type="spellEnd"/>
      <w:r>
        <w:rPr>
          <w:sz w:val="24"/>
          <w:szCs w:val="24"/>
        </w:rPr>
        <w:t xml:space="preserve">, and </w:t>
      </w:r>
      <w:proofErr w:type="spellStart"/>
      <w:r>
        <w:rPr>
          <w:sz w:val="24"/>
          <w:szCs w:val="24"/>
        </w:rPr>
        <w:t>Ogbete</w:t>
      </w:r>
      <w:proofErr w:type="spellEnd"/>
      <w:r>
        <w:rPr>
          <w:sz w:val="24"/>
          <w:szCs w:val="24"/>
        </w:rPr>
        <w:t xml:space="preserve">. The extracts of the test samples were analyzed for heavy metals using an Agilent FS240AA atomic absorption spectrophotometer. The results showed varying concentrations of heavy metals in the seafood samples. In Abakpa market, lead concentrations were lower in periwinkle (0.158 mg/kg) and snail (0.204 mg/kg) compared to other heavy metals, but higher in catfish (0.518 mg/kg). In </w:t>
      </w:r>
      <w:proofErr w:type="spellStart"/>
      <w:r>
        <w:rPr>
          <w:sz w:val="24"/>
          <w:szCs w:val="24"/>
        </w:rPr>
        <w:t>Garriki</w:t>
      </w:r>
      <w:proofErr w:type="spellEnd"/>
      <w:r>
        <w:rPr>
          <w:sz w:val="24"/>
          <w:szCs w:val="24"/>
        </w:rPr>
        <w:t xml:space="preserve"> market, lead concentrations were higher in catfish (0.402 mg/kg) and snail (1.284 mg/kg). In </w:t>
      </w:r>
      <w:proofErr w:type="spellStart"/>
      <w:r>
        <w:rPr>
          <w:sz w:val="24"/>
          <w:szCs w:val="24"/>
        </w:rPr>
        <w:t>Ogbete</w:t>
      </w:r>
      <w:proofErr w:type="spellEnd"/>
      <w:r>
        <w:rPr>
          <w:sz w:val="24"/>
          <w:szCs w:val="24"/>
        </w:rPr>
        <w:t xml:space="preserve"> market, iron (0.838 mg/kg) and zinc (0.978 mg/kg) concentrations were higher in snail. Cadmium was not detected in any samples. The study highlights the importance of monitoring heavy metal concentrations in edible aquatic organisms to ensure food safety and public health. The findings suggest that the seafood samples contain relatively low levels of lead, zinc, and iron, making them safe for consumption and posing minimal risk to human health. The results can inform consumption guidelines and support sustainable aquaculture practices.</w:t>
      </w:r>
    </w:p>
    <w:p w:rsidR="007E54BE" w:rsidRDefault="007E54BE">
      <w:pPr>
        <w:rPr>
          <w:b/>
          <w:bCs/>
          <w:sz w:val="24"/>
          <w:szCs w:val="24"/>
        </w:rPr>
      </w:pPr>
    </w:p>
    <w:p w:rsidR="007E54BE" w:rsidRDefault="008F683E">
      <w:pPr>
        <w:rPr>
          <w:sz w:val="24"/>
          <w:szCs w:val="24"/>
        </w:rPr>
      </w:pPr>
      <w:r>
        <w:rPr>
          <w:b/>
          <w:bCs/>
          <w:sz w:val="24"/>
          <w:szCs w:val="24"/>
        </w:rPr>
        <w:t>Keywords</w:t>
      </w:r>
      <w:r>
        <w:rPr>
          <w:sz w:val="24"/>
          <w:szCs w:val="24"/>
        </w:rPr>
        <w:t xml:space="preserve">: </w:t>
      </w:r>
      <w:r>
        <w:rPr>
          <w:rFonts w:eastAsia="SimSun"/>
          <w:sz w:val="24"/>
          <w:szCs w:val="24"/>
        </w:rPr>
        <w:t>Heavy metals; Seafood; Catfish; Snail; Periwinkle; Atomic absorption spectrophotometry; Public health; Aquatic organisms; Environmental monitoring.</w:t>
      </w:r>
    </w:p>
    <w:p w:rsidR="007E54BE" w:rsidRDefault="007E54BE">
      <w:pPr>
        <w:rPr>
          <w:sz w:val="24"/>
          <w:szCs w:val="24"/>
        </w:rPr>
      </w:pPr>
    </w:p>
    <w:p w:rsidR="007E54BE" w:rsidRDefault="008F683E">
      <w:pPr>
        <w:pStyle w:val="Heading2"/>
        <w:tabs>
          <w:tab w:val="left" w:pos="720"/>
        </w:tabs>
        <w:spacing w:before="0"/>
        <w:ind w:left="0"/>
      </w:pPr>
      <w:r>
        <w:rPr>
          <w:spacing w:val="-2"/>
        </w:rPr>
        <w:t>1.0 Introduction</w:t>
      </w:r>
    </w:p>
    <w:p w:rsidR="007E54BE" w:rsidRDefault="008F683E">
      <w:pPr>
        <w:pStyle w:val="NormalWeb"/>
        <w:spacing w:line="360" w:lineRule="auto"/>
        <w:jc w:val="both"/>
      </w:pPr>
      <w:r>
        <w:t>Heavy metal pollution has become a major concern in aquatic ecosystems due to its adverse effects on environmental sustainability and human health (</w:t>
      </w:r>
      <w:r>
        <w:rPr>
          <w:color w:val="222222"/>
          <w:shd w:val="clear" w:color="auto" w:fill="FFFFFF"/>
        </w:rPr>
        <w:t>Mishra et al.</w:t>
      </w:r>
      <w:r>
        <w:t>, 2018). The contamination of aquatic environments with heavy metals has attracted global attention because of their abundance, persistence, and potential toxicity (</w:t>
      </w:r>
      <w:r>
        <w:rPr>
          <w:color w:val="222222"/>
          <w:shd w:val="clear" w:color="auto" w:fill="FFFFFF"/>
        </w:rPr>
        <w:t>Ali et al</w:t>
      </w:r>
      <w:r>
        <w:t xml:space="preserve">., 2019). Both natural and anthropogenic activities contribute to the presence of heavy metals in the environment </w:t>
      </w:r>
      <w:r>
        <w:rPr>
          <w:color w:val="FF0000"/>
        </w:rPr>
        <w:t>(Okeke et al., 2015)</w:t>
      </w:r>
      <w:r>
        <w:t>; however, anthropogenic activities play a more significant role by introducing large quantities of metals into water bodies and sediments, thereby polluting aquatic ecosystems (</w:t>
      </w:r>
      <w:r>
        <w:rPr>
          <w:color w:val="222222"/>
          <w:shd w:val="clear" w:color="auto" w:fill="FFFFFF"/>
        </w:rPr>
        <w:t xml:space="preserve">Gao et al., </w:t>
      </w:r>
      <w:r>
        <w:t xml:space="preserve">2016; </w:t>
      </w:r>
      <w:proofErr w:type="spellStart"/>
      <w:r>
        <w:rPr>
          <w:color w:val="222222"/>
          <w:shd w:val="clear" w:color="auto" w:fill="FFFFFF"/>
        </w:rPr>
        <w:t>Kahlon</w:t>
      </w:r>
      <w:proofErr w:type="spellEnd"/>
      <w:r>
        <w:rPr>
          <w:color w:val="222222"/>
          <w:shd w:val="clear" w:color="auto" w:fill="FFFFFF"/>
        </w:rPr>
        <w:t xml:space="preserve"> et al., 2018</w:t>
      </w:r>
      <w:r>
        <w:t>).</w:t>
      </w:r>
    </w:p>
    <w:p w:rsidR="007E54BE" w:rsidRDefault="008F683E">
      <w:pPr>
        <w:pStyle w:val="NormalWeb"/>
        <w:spacing w:line="360" w:lineRule="auto"/>
        <w:jc w:val="both"/>
      </w:pPr>
      <w:r>
        <w:t>Heavy metals are elements that have high density, atomic weight, or atomic number (</w:t>
      </w:r>
      <w:r>
        <w:rPr>
          <w:color w:val="222222"/>
          <w:shd w:val="clear" w:color="auto" w:fill="FFFFFF"/>
        </w:rPr>
        <w:t xml:space="preserve">Ali &amp; Khan, 2018). </w:t>
      </w:r>
      <w:r>
        <w:t xml:space="preserve"> They are characterized by high electrical conductivity, malleability, and luster, and they readily lose electrons to form cations. Although these metals are intrinsic components of the natural environment and usually occur at low concentrations in aquatic systems, elevated levels can be toxic (</w:t>
      </w:r>
      <w:r>
        <w:rPr>
          <w:color w:val="222222"/>
          <w:shd w:val="clear" w:color="auto" w:fill="FFFFFF"/>
        </w:rPr>
        <w:t>Wu et al</w:t>
      </w:r>
      <w:r>
        <w:t>., 2016). Humans may be exposed to both organic and inorganic pollutants associated with aquatic environments through the consumption of contaminated aquatic foods (</w:t>
      </w:r>
      <w:proofErr w:type="spellStart"/>
      <w:r>
        <w:rPr>
          <w:color w:val="FF0000"/>
        </w:rPr>
        <w:t>Baki</w:t>
      </w:r>
      <w:proofErr w:type="spellEnd"/>
      <w:r>
        <w:rPr>
          <w:color w:val="FF0000"/>
        </w:rPr>
        <w:t xml:space="preserve"> et al., 2018</w:t>
      </w:r>
      <w:r>
        <w:t xml:space="preserve">; </w:t>
      </w:r>
      <w:r>
        <w:rPr>
          <w:color w:val="222222"/>
          <w:shd w:val="clear" w:color="auto" w:fill="FFFFFF"/>
        </w:rPr>
        <w:t>Rose, 2023</w:t>
      </w:r>
      <w:r>
        <w:t>).</w:t>
      </w:r>
    </w:p>
    <w:p w:rsidR="007E54BE" w:rsidRDefault="008F683E">
      <w:pPr>
        <w:pStyle w:val="NormalWeb"/>
        <w:spacing w:line="360" w:lineRule="auto"/>
        <w:jc w:val="both"/>
      </w:pPr>
      <w:r>
        <w:lastRenderedPageBreak/>
        <w:t>Aquatic organisms are known to accumulate heavy metals in their tissues, often at concentrations much higher than those in the surrounding environment (</w:t>
      </w:r>
      <w:r>
        <w:rPr>
          <w:color w:val="222222"/>
          <w:shd w:val="clear" w:color="auto" w:fill="FFFFFF"/>
        </w:rPr>
        <w:t>Zaynab et al., 2022</w:t>
      </w:r>
      <w:proofErr w:type="gramStart"/>
      <w:r>
        <w:rPr>
          <w:color w:val="222222"/>
          <w:shd w:val="clear" w:color="auto" w:fill="FFFFFF"/>
        </w:rPr>
        <w:t>).</w:t>
      </w:r>
      <w:r>
        <w:t>.</w:t>
      </w:r>
      <w:proofErr w:type="gramEnd"/>
      <w:r>
        <w:t xml:space="preserve"> This accumulation depends on the rate and duration of contamination and provides an integrated measure of heavy metal exposure over time, ranging from weeks to several years. The body burden of trace metals in any organism reflects the balance between metal uptake and metal elimination processes.</w:t>
      </w:r>
    </w:p>
    <w:p w:rsidR="007E54BE" w:rsidRDefault="008F683E">
      <w:pPr>
        <w:pStyle w:val="NormalWeb"/>
        <w:spacing w:line="360" w:lineRule="auto"/>
        <w:jc w:val="both"/>
      </w:pPr>
      <w:r>
        <w:t>Heavy metals include metalloids, transition metals, basic metals, lanthanides, and actinides. These metals enter aquatic systems primarily through atmospheric deposition, direct discharge, runoff, tidal flooding, and water flow processes (</w:t>
      </w:r>
      <w:r>
        <w:rPr>
          <w:color w:val="222222"/>
          <w:shd w:val="clear" w:color="auto" w:fill="FFFFFF"/>
        </w:rPr>
        <w:t>Kumar et al., 2023</w:t>
      </w:r>
      <w:proofErr w:type="gramStart"/>
      <w:r>
        <w:rPr>
          <w:color w:val="222222"/>
          <w:shd w:val="clear" w:color="auto" w:fill="FFFFFF"/>
        </w:rPr>
        <w:t>).</w:t>
      </w:r>
      <w:r>
        <w:t>.</w:t>
      </w:r>
      <w:proofErr w:type="gramEnd"/>
      <w:r>
        <w:t xml:space="preserve"> Mining activities, in particular, are major contributors to heavy metal pollution and can lead to significant accumulation of toxic metals in aquatic ecosystems. Human exposure to these metals occurs largely through the consumption of contaminated seafood, making bioaccumulation in aquatic organisms a critical public health concern due to the transfer of toxic substances along the food chain (</w:t>
      </w:r>
      <w:proofErr w:type="gramStart"/>
      <w:r>
        <w:rPr>
          <w:color w:val="222222"/>
          <w:shd w:val="clear" w:color="auto" w:fill="FFFFFF"/>
        </w:rPr>
        <w:t>Ali  &amp;</w:t>
      </w:r>
      <w:proofErr w:type="gramEnd"/>
      <w:r>
        <w:rPr>
          <w:color w:val="222222"/>
          <w:shd w:val="clear" w:color="auto" w:fill="FFFFFF"/>
        </w:rPr>
        <w:t xml:space="preserve"> Khan,  2019)</w:t>
      </w:r>
    </w:p>
    <w:p w:rsidR="007E54BE" w:rsidRDefault="008F683E">
      <w:pPr>
        <w:pStyle w:val="NormalWeb"/>
        <w:spacing w:line="360" w:lineRule="auto"/>
        <w:jc w:val="both"/>
      </w:pPr>
      <w:r>
        <w:t>Fish is widely recognized as a valuable source of high-quality protein and omega-3 fatty acids, while periwinkle is also rich in omega-3 fatty acids, protein, vitamins, iron, and phosphorus (</w:t>
      </w:r>
      <w:proofErr w:type="spellStart"/>
      <w:r>
        <w:rPr>
          <w:color w:val="222222"/>
          <w:shd w:val="clear" w:color="auto" w:fill="FFFFFF"/>
        </w:rPr>
        <w:t>Khanjani</w:t>
      </w:r>
      <w:proofErr w:type="spellEnd"/>
      <w:r>
        <w:rPr>
          <w:color w:val="222222"/>
          <w:shd w:val="clear" w:color="auto" w:fill="FFFFFF"/>
        </w:rPr>
        <w:t xml:space="preserve"> &amp; </w:t>
      </w:r>
      <w:proofErr w:type="spellStart"/>
      <w:r>
        <w:rPr>
          <w:color w:val="222222"/>
          <w:shd w:val="clear" w:color="auto" w:fill="FFFFFF"/>
        </w:rPr>
        <w:t>Sharifinia</w:t>
      </w:r>
      <w:proofErr w:type="spellEnd"/>
      <w:r>
        <w:rPr>
          <w:color w:val="222222"/>
          <w:shd w:val="clear" w:color="auto" w:fill="FFFFFF"/>
        </w:rPr>
        <w:t>, 2024)</w:t>
      </w:r>
      <w:r>
        <w:t>. Aquatic organisms assimilate metals through multiple pathways, including ingestion of contaminated food and suspended particles, ion exchange of dissolved metals across membranes such as the gills, and adsorption onto tissue surfaces (</w:t>
      </w:r>
      <w:proofErr w:type="spellStart"/>
      <w:proofErr w:type="gramStart"/>
      <w:r>
        <w:rPr>
          <w:color w:val="222222"/>
          <w:shd w:val="clear" w:color="auto" w:fill="FFFFFF"/>
        </w:rPr>
        <w:t>Kwong</w:t>
      </w:r>
      <w:proofErr w:type="spellEnd"/>
      <w:r>
        <w:rPr>
          <w:color w:val="222222"/>
          <w:shd w:val="clear" w:color="auto" w:fill="FFFFFF"/>
        </w:rPr>
        <w:t>,  2024</w:t>
      </w:r>
      <w:proofErr w:type="gramEnd"/>
      <w:r>
        <w:rPr>
          <w:color w:val="222222"/>
          <w:shd w:val="clear" w:color="auto" w:fill="FFFFFF"/>
        </w:rPr>
        <w:t>)</w:t>
      </w:r>
      <w:r>
        <w:t>. Catfish and periwinkle may absorb lead from contaminated water or sediments, potentially causing adverse health effects such as liver damage, gastrointestinal disorders, and immune system suppression in humans, whereas snails may exhibit lower lead concentrations due to their partially terrestrial habitat. The extent of bioaccumulation depends on several factors, including metal concentration in water and sediments, feeding habits, digestive capacity, age, and lipid content of the organism (</w:t>
      </w:r>
      <w:r>
        <w:rPr>
          <w:color w:val="222222"/>
          <w:shd w:val="clear" w:color="auto" w:fill="FFFFFF"/>
        </w:rPr>
        <w:t xml:space="preserve">Jamil </w:t>
      </w:r>
      <w:proofErr w:type="spellStart"/>
      <w:r>
        <w:rPr>
          <w:color w:val="222222"/>
          <w:shd w:val="clear" w:color="auto" w:fill="FFFFFF"/>
        </w:rPr>
        <w:t>Emon</w:t>
      </w:r>
      <w:proofErr w:type="spellEnd"/>
      <w:r>
        <w:rPr>
          <w:color w:val="222222"/>
          <w:shd w:val="clear" w:color="auto" w:fill="FFFFFF"/>
        </w:rPr>
        <w:t xml:space="preserve"> et al., 2023)</w:t>
      </w:r>
      <w:r>
        <w:t xml:space="preserve">. Fish, in particular, are known to bioaccumulate both organic and inorganic pollutants over extended periods, making them reliable indicators of aquatic contamination (Kelle and </w:t>
      </w:r>
      <w:proofErr w:type="spellStart"/>
      <w:r>
        <w:t>Ngbede</w:t>
      </w:r>
      <w:proofErr w:type="spellEnd"/>
      <w:r>
        <w:t>, 2018).</w:t>
      </w:r>
    </w:p>
    <w:p w:rsidR="007E54BE" w:rsidRDefault="008F683E">
      <w:pPr>
        <w:pStyle w:val="NormalWeb"/>
        <w:spacing w:line="360" w:lineRule="auto"/>
        <w:jc w:val="both"/>
      </w:pPr>
      <w:r>
        <w:t xml:space="preserve">This study aims to determine the concentrations of selected heavy metals in commonly consumed seafood obtained from three major markets in Enugu Metropolis. Specifically, the study focuses on assessing the levels of lead, zinc, and iron in snail, catfish, and periwinkle, examining how these concentrations vary in relation to habitat, feeding habits, and exposure to environmental pollutants. The </w:t>
      </w:r>
      <w:proofErr w:type="gramStart"/>
      <w:r>
        <w:t>study  further</w:t>
      </w:r>
      <w:proofErr w:type="gramEnd"/>
      <w:r>
        <w:t xml:space="preserve"> seeks to evaluate the potential health risks associated with the consumption of seafood contaminated with heavy metals.</w:t>
      </w:r>
    </w:p>
    <w:p w:rsidR="007E54BE" w:rsidRDefault="008F683E">
      <w:pPr>
        <w:pStyle w:val="Heading2"/>
        <w:tabs>
          <w:tab w:val="left" w:pos="720"/>
        </w:tabs>
        <w:spacing w:before="79"/>
        <w:ind w:left="0"/>
        <w:jc w:val="left"/>
      </w:pPr>
      <w:r>
        <w:rPr>
          <w:spacing w:val="-2"/>
        </w:rPr>
        <w:lastRenderedPageBreak/>
        <w:t>2.0 Methods</w:t>
      </w:r>
    </w:p>
    <w:p w:rsidR="007E54BE" w:rsidRDefault="007E54BE">
      <w:pPr>
        <w:pStyle w:val="BodyText"/>
        <w:spacing w:before="22"/>
        <w:rPr>
          <w:b/>
        </w:rPr>
      </w:pPr>
    </w:p>
    <w:p w:rsidR="007E54BE" w:rsidRDefault="008F683E">
      <w:pPr>
        <w:pStyle w:val="Heading2"/>
        <w:tabs>
          <w:tab w:val="left" w:pos="900"/>
        </w:tabs>
        <w:spacing w:before="0"/>
        <w:ind w:left="0"/>
        <w:jc w:val="left"/>
      </w:pPr>
      <w:bookmarkStart w:id="0" w:name="_TOC_250005"/>
      <w:r>
        <w:t>2.1 Sample</w:t>
      </w:r>
      <w:r>
        <w:rPr>
          <w:spacing w:val="-4"/>
        </w:rPr>
        <w:t xml:space="preserve"> </w:t>
      </w:r>
      <w:bookmarkEnd w:id="0"/>
      <w:r>
        <w:rPr>
          <w:spacing w:val="-2"/>
        </w:rPr>
        <w:t>Collection</w:t>
      </w:r>
    </w:p>
    <w:p w:rsidR="007E54BE" w:rsidRDefault="007E54BE">
      <w:pPr>
        <w:pStyle w:val="BodyText"/>
        <w:spacing w:before="17"/>
        <w:rPr>
          <w:b/>
        </w:rPr>
      </w:pPr>
    </w:p>
    <w:p w:rsidR="007E54BE" w:rsidRDefault="008F683E">
      <w:pPr>
        <w:pStyle w:val="BodyText"/>
        <w:spacing w:line="360" w:lineRule="auto"/>
        <w:ind w:right="1075"/>
      </w:pPr>
      <w:r>
        <w:t xml:space="preserve">Seafood samples, comprising catfish, snail, and periwinkle, were procured from three distinct locations within Enugu Metropolis, Enugu State: Abakpa, </w:t>
      </w:r>
      <w:proofErr w:type="spellStart"/>
      <w:r>
        <w:t>Garriki</w:t>
      </w:r>
      <w:proofErr w:type="spellEnd"/>
      <w:r>
        <w:t xml:space="preserve">, and </w:t>
      </w:r>
      <w:proofErr w:type="spellStart"/>
      <w:r>
        <w:t>Ogbete</w:t>
      </w:r>
      <w:proofErr w:type="spellEnd"/>
      <w:r>
        <w:t xml:space="preserve"> markets.</w:t>
      </w:r>
      <w:bookmarkStart w:id="1" w:name="_TOC_250004"/>
    </w:p>
    <w:p w:rsidR="007E54BE" w:rsidRDefault="008F683E">
      <w:pPr>
        <w:pStyle w:val="Heading2"/>
        <w:tabs>
          <w:tab w:val="left" w:pos="900"/>
        </w:tabs>
        <w:ind w:left="0"/>
        <w:jc w:val="left"/>
      </w:pPr>
      <w:r>
        <w:t>2.2. Description</w:t>
      </w:r>
      <w:r>
        <w:rPr>
          <w:spacing w:val="-6"/>
        </w:rPr>
        <w:t xml:space="preserve"> </w:t>
      </w:r>
      <w:r>
        <w:t>of</w:t>
      </w:r>
      <w:r>
        <w:rPr>
          <w:spacing w:val="-2"/>
        </w:rPr>
        <w:t xml:space="preserve"> </w:t>
      </w:r>
      <w:r>
        <w:t>Sample</w:t>
      </w:r>
      <w:r>
        <w:rPr>
          <w:spacing w:val="-3"/>
        </w:rPr>
        <w:t xml:space="preserve"> </w:t>
      </w:r>
      <w:bookmarkEnd w:id="1"/>
      <w:r>
        <w:rPr>
          <w:spacing w:val="-2"/>
        </w:rPr>
        <w:t>Collection</w:t>
      </w:r>
    </w:p>
    <w:p w:rsidR="007E54BE" w:rsidRDefault="007E54BE">
      <w:pPr>
        <w:pStyle w:val="BodyText"/>
        <w:spacing w:before="17"/>
        <w:rPr>
          <w:b/>
        </w:rPr>
      </w:pPr>
    </w:p>
    <w:p w:rsidR="007E54BE" w:rsidRDefault="008F683E">
      <w:pPr>
        <w:pStyle w:val="BodyText"/>
        <w:spacing w:line="360" w:lineRule="auto"/>
        <w:jc w:val="both"/>
      </w:pPr>
      <w:r>
        <w:t xml:space="preserve">Samples were collected from three locations in Enugu State, Nigeria: Abakpa (6.4636°N, 7.4845°E), </w:t>
      </w:r>
      <w:proofErr w:type="spellStart"/>
      <w:r>
        <w:t>Garriki</w:t>
      </w:r>
      <w:proofErr w:type="spellEnd"/>
      <w:r>
        <w:t xml:space="preserve"> (6.3833°N, 7.5167°E), and </w:t>
      </w:r>
      <w:proofErr w:type="spellStart"/>
      <w:r>
        <w:t>Ogbete</w:t>
      </w:r>
      <w:proofErr w:type="spellEnd"/>
      <w:r>
        <w:t xml:space="preserve"> (6.4667°N, 7.4833°E).</w:t>
      </w:r>
    </w:p>
    <w:p w:rsidR="007E54BE" w:rsidRDefault="008F683E">
      <w:pPr>
        <w:pStyle w:val="Heading2"/>
        <w:tabs>
          <w:tab w:val="left" w:pos="900"/>
        </w:tabs>
        <w:ind w:left="0"/>
        <w:jc w:val="left"/>
      </w:pPr>
      <w:bookmarkStart w:id="2" w:name="_TOC_250003"/>
      <w:r>
        <w:t>2.3 Sample</w:t>
      </w:r>
      <w:r>
        <w:rPr>
          <w:spacing w:val="-3"/>
        </w:rPr>
        <w:t xml:space="preserve"> </w:t>
      </w:r>
      <w:bookmarkEnd w:id="2"/>
      <w:r>
        <w:rPr>
          <w:spacing w:val="-2"/>
        </w:rPr>
        <w:t>Preparation</w:t>
      </w:r>
    </w:p>
    <w:p w:rsidR="007E54BE" w:rsidRDefault="008F683E">
      <w:pPr>
        <w:pStyle w:val="Heading2"/>
        <w:tabs>
          <w:tab w:val="left" w:pos="900"/>
        </w:tabs>
        <w:spacing w:before="162" w:line="360" w:lineRule="auto"/>
        <w:ind w:left="0"/>
        <w:rPr>
          <w:b w:val="0"/>
          <w:bCs w:val="0"/>
        </w:rPr>
      </w:pPr>
      <w:r>
        <w:rPr>
          <w:b w:val="0"/>
          <w:bCs w:val="0"/>
        </w:rPr>
        <w:t>The required parts of the seafood were separated and dried. A 2 g portion of the dried sample was weighed and placed in a digestion flask, followed by the addition of 20ml of an acid mixture (650ml conc HNO</w:t>
      </w:r>
      <w:r>
        <w:rPr>
          <w:b w:val="0"/>
          <w:bCs w:val="0"/>
          <w:vertAlign w:val="subscript"/>
        </w:rPr>
        <w:t>3</w:t>
      </w:r>
      <w:r>
        <w:rPr>
          <w:b w:val="0"/>
          <w:bCs w:val="0"/>
        </w:rPr>
        <w:t>, 80 ml perchloric acid, and 20 ml conc H</w:t>
      </w:r>
      <w:r>
        <w:rPr>
          <w:b w:val="0"/>
          <w:bCs w:val="0"/>
          <w:vertAlign w:val="subscript"/>
        </w:rPr>
        <w:t>2</w:t>
      </w:r>
      <w:r>
        <w:rPr>
          <w:b w:val="0"/>
          <w:bCs w:val="0"/>
        </w:rPr>
        <w:t>SO</w:t>
      </w:r>
      <w:r>
        <w:rPr>
          <w:b w:val="0"/>
          <w:bCs w:val="0"/>
          <w:vertAlign w:val="subscript"/>
        </w:rPr>
        <w:t>4</w:t>
      </w:r>
      <w:r>
        <w:rPr>
          <w:b w:val="0"/>
          <w:bCs w:val="0"/>
        </w:rPr>
        <w:t>. The flask was heated until a clear digest was obtained, which was then diluted with water to the 100ml mark.</w:t>
      </w:r>
    </w:p>
    <w:p w:rsidR="007E54BE" w:rsidRDefault="008F683E">
      <w:pPr>
        <w:pStyle w:val="Heading2"/>
        <w:tabs>
          <w:tab w:val="left" w:pos="900"/>
        </w:tabs>
        <w:spacing w:before="162"/>
        <w:ind w:left="0"/>
      </w:pPr>
      <w:r>
        <w:t>2.4 Preparation</w:t>
      </w:r>
      <w:r>
        <w:rPr>
          <w:spacing w:val="-5"/>
        </w:rPr>
        <w:t xml:space="preserve"> </w:t>
      </w:r>
      <w:r>
        <w:t>of</w:t>
      </w:r>
      <w:r>
        <w:rPr>
          <w:spacing w:val="-1"/>
        </w:rPr>
        <w:t xml:space="preserve"> </w:t>
      </w:r>
      <w:r>
        <w:t>Reference</w:t>
      </w:r>
      <w:r>
        <w:rPr>
          <w:spacing w:val="-3"/>
        </w:rPr>
        <w:t xml:space="preserve"> </w:t>
      </w:r>
      <w:r>
        <w:rPr>
          <w:spacing w:val="-2"/>
        </w:rPr>
        <w:t>Solutions</w:t>
      </w:r>
    </w:p>
    <w:p w:rsidR="007E54BE" w:rsidRDefault="008F683E">
      <w:pPr>
        <w:pStyle w:val="BodyText"/>
        <w:spacing w:line="360" w:lineRule="auto"/>
        <w:ind w:right="360"/>
        <w:jc w:val="both"/>
      </w:pPr>
      <w:r>
        <w:t>Standard metal solutions were prepared in the optimal concentration range, with daily reference solutions made by diluting single stock element solutions with water containing 1.5 ml concentrated nitric acid/L. A calibration blank was prepared using all reagents except metal stock solutions. Calibration curves for each metal were generated by plotting standard absorbance against concentration.</w:t>
      </w:r>
    </w:p>
    <w:p w:rsidR="007E54BE" w:rsidRDefault="007E54BE">
      <w:pPr>
        <w:pStyle w:val="BodyText"/>
        <w:spacing w:line="360" w:lineRule="auto"/>
        <w:ind w:right="360"/>
        <w:jc w:val="both"/>
        <w:rPr>
          <w:b/>
          <w:bCs/>
        </w:rPr>
      </w:pPr>
    </w:p>
    <w:p w:rsidR="007E54BE" w:rsidRDefault="007E54BE">
      <w:pPr>
        <w:pStyle w:val="BodyText"/>
        <w:spacing w:line="360" w:lineRule="auto"/>
        <w:ind w:right="360"/>
        <w:jc w:val="both"/>
        <w:rPr>
          <w:b/>
          <w:bCs/>
        </w:rPr>
      </w:pPr>
    </w:p>
    <w:p w:rsidR="007E54BE" w:rsidRDefault="007E54BE">
      <w:pPr>
        <w:pStyle w:val="BodyText"/>
        <w:spacing w:line="360" w:lineRule="auto"/>
        <w:ind w:right="360"/>
        <w:jc w:val="both"/>
        <w:rPr>
          <w:b/>
          <w:bCs/>
        </w:rPr>
      </w:pPr>
    </w:p>
    <w:p w:rsidR="007E54BE" w:rsidRDefault="007E54BE">
      <w:pPr>
        <w:pStyle w:val="BodyText"/>
        <w:spacing w:line="360" w:lineRule="auto"/>
        <w:ind w:right="360"/>
        <w:jc w:val="both"/>
        <w:rPr>
          <w:b/>
          <w:bCs/>
        </w:rPr>
      </w:pPr>
    </w:p>
    <w:p w:rsidR="007E54BE" w:rsidRDefault="007E54BE">
      <w:pPr>
        <w:pStyle w:val="BodyText"/>
        <w:spacing w:line="360" w:lineRule="auto"/>
        <w:ind w:right="360"/>
        <w:jc w:val="both"/>
        <w:rPr>
          <w:b/>
          <w:bCs/>
        </w:rPr>
      </w:pPr>
    </w:p>
    <w:p w:rsidR="007E54BE" w:rsidRDefault="008F683E">
      <w:pPr>
        <w:pStyle w:val="BodyText"/>
        <w:spacing w:line="360" w:lineRule="auto"/>
        <w:ind w:right="360"/>
        <w:jc w:val="both"/>
        <w:rPr>
          <w:b/>
          <w:bCs/>
        </w:rPr>
      </w:pPr>
      <w:r>
        <w:rPr>
          <w:b/>
          <w:bCs/>
        </w:rPr>
        <w:t>2.5 Determination</w:t>
      </w:r>
      <w:r>
        <w:rPr>
          <w:b/>
          <w:bCs/>
          <w:spacing w:val="-2"/>
        </w:rPr>
        <w:t xml:space="preserve"> </w:t>
      </w:r>
      <w:r>
        <w:rPr>
          <w:b/>
          <w:bCs/>
        </w:rPr>
        <w:t>of Heavy</w:t>
      </w:r>
      <w:r>
        <w:rPr>
          <w:b/>
          <w:bCs/>
          <w:spacing w:val="-2"/>
        </w:rPr>
        <w:t xml:space="preserve"> </w:t>
      </w:r>
      <w:r>
        <w:rPr>
          <w:b/>
          <w:bCs/>
        </w:rPr>
        <w:t>Metals</w:t>
      </w:r>
      <w:r>
        <w:rPr>
          <w:b/>
          <w:bCs/>
          <w:spacing w:val="-1"/>
        </w:rPr>
        <w:t xml:space="preserve"> </w:t>
      </w:r>
      <w:r>
        <w:rPr>
          <w:b/>
          <w:bCs/>
        </w:rPr>
        <w:t>in</w:t>
      </w:r>
      <w:r>
        <w:rPr>
          <w:b/>
          <w:bCs/>
          <w:spacing w:val="-1"/>
        </w:rPr>
        <w:t xml:space="preserve"> </w:t>
      </w:r>
      <w:r>
        <w:rPr>
          <w:b/>
          <w:bCs/>
        </w:rPr>
        <w:t>the</w:t>
      </w:r>
      <w:r>
        <w:rPr>
          <w:b/>
          <w:bCs/>
          <w:spacing w:val="-1"/>
        </w:rPr>
        <w:t xml:space="preserve"> </w:t>
      </w:r>
      <w:r>
        <w:rPr>
          <w:b/>
          <w:bCs/>
          <w:spacing w:val="-2"/>
        </w:rPr>
        <w:t>Sample</w:t>
      </w:r>
    </w:p>
    <w:p w:rsidR="007E54BE" w:rsidRDefault="007E54BE">
      <w:pPr>
        <w:pStyle w:val="BodyText"/>
        <w:spacing w:before="16"/>
        <w:rPr>
          <w:b/>
        </w:rPr>
      </w:pPr>
    </w:p>
    <w:p w:rsidR="007E54BE" w:rsidRDefault="008F683E">
      <w:pPr>
        <w:pStyle w:val="BodyText"/>
        <w:spacing w:line="360" w:lineRule="auto"/>
        <w:ind w:right="359"/>
        <w:jc w:val="both"/>
      </w:pPr>
      <w:r>
        <w:t xml:space="preserve">The test samples were analyzed for heavy metals using an Agilent FS240AA atomic absorption spectrophotometer, following the American Public Health Association (APHA) method (1995). The process involved digesting the samples to release heavy metals, calibrating the instrument with known standards, and introducing the samples for analysis via atomic absorption spectroscopy (AAS). The resulting data were interpreted by comparing sample spectral signals with calibration </w:t>
      </w:r>
      <w:r>
        <w:lastRenderedPageBreak/>
        <w:t xml:space="preserve">standards to determine heavy metal concentrations. Quality control measures validated the </w:t>
      </w:r>
      <w:proofErr w:type="gramStart"/>
      <w:r>
        <w:t>results..</w:t>
      </w:r>
      <w:proofErr w:type="gramEnd"/>
    </w:p>
    <w:p w:rsidR="007E54BE" w:rsidRDefault="008F683E">
      <w:pPr>
        <w:pStyle w:val="Heading2"/>
        <w:tabs>
          <w:tab w:val="left" w:pos="720"/>
        </w:tabs>
        <w:spacing w:before="166"/>
        <w:ind w:left="0"/>
      </w:pPr>
      <w:r>
        <w:t>2.6 Statistical</w:t>
      </w:r>
      <w:r>
        <w:rPr>
          <w:spacing w:val="-2"/>
        </w:rPr>
        <w:t xml:space="preserve"> Analysis</w:t>
      </w:r>
    </w:p>
    <w:p w:rsidR="007E54BE" w:rsidRDefault="007E54BE">
      <w:pPr>
        <w:pStyle w:val="BodyText"/>
        <w:spacing w:before="17"/>
        <w:rPr>
          <w:b/>
        </w:rPr>
      </w:pPr>
    </w:p>
    <w:p w:rsidR="007E54BE" w:rsidRDefault="008F683E">
      <w:pPr>
        <w:pStyle w:val="BodyText"/>
        <w:spacing w:line="360" w:lineRule="auto"/>
        <w:ind w:right="359"/>
        <w:jc w:val="both"/>
      </w:pPr>
      <w:r>
        <w:t>Statistical analysis was performed using ANOVA to evaluate differences in metal concentrations between species and locations. The results were interpreted at a significance level of α = 0.05. Correlation analysis was conducted to examine relationships between metal concentrations, providing insights into potential common environmental influences on metal uptake.</w:t>
      </w:r>
    </w:p>
    <w:p w:rsidR="007E54BE" w:rsidRDefault="007E54BE">
      <w:pPr>
        <w:pStyle w:val="BodyText"/>
        <w:spacing w:before="22"/>
        <w:rPr>
          <w:b/>
        </w:rPr>
      </w:pPr>
    </w:p>
    <w:p w:rsidR="007E54BE" w:rsidRDefault="008F683E">
      <w:pPr>
        <w:pStyle w:val="ListParagraph"/>
        <w:tabs>
          <w:tab w:val="left" w:pos="4500"/>
        </w:tabs>
        <w:ind w:left="0" w:firstLine="0"/>
        <w:rPr>
          <w:b/>
          <w:sz w:val="24"/>
          <w:szCs w:val="24"/>
        </w:rPr>
      </w:pPr>
      <w:r>
        <w:rPr>
          <w:b/>
          <w:spacing w:val="-2"/>
          <w:sz w:val="24"/>
          <w:szCs w:val="24"/>
        </w:rPr>
        <w:t>3.0 Results</w:t>
      </w:r>
    </w:p>
    <w:p w:rsidR="007E54BE" w:rsidRDefault="007E54BE">
      <w:pPr>
        <w:pStyle w:val="BodyText"/>
        <w:spacing w:before="21"/>
        <w:rPr>
          <w:b/>
        </w:rPr>
      </w:pPr>
    </w:p>
    <w:p w:rsidR="007E54BE" w:rsidRDefault="008F683E">
      <w:pPr>
        <w:pStyle w:val="ListParagraph"/>
        <w:tabs>
          <w:tab w:val="left" w:pos="736"/>
        </w:tabs>
        <w:spacing w:line="357" w:lineRule="auto"/>
        <w:ind w:left="0" w:right="358" w:firstLine="0"/>
        <w:rPr>
          <w:b/>
          <w:sz w:val="24"/>
          <w:szCs w:val="24"/>
        </w:rPr>
      </w:pPr>
      <w:r>
        <w:rPr>
          <w:b/>
          <w:sz w:val="24"/>
          <w:szCs w:val="24"/>
        </w:rPr>
        <w:t>3.1 Concentration</w:t>
      </w:r>
      <w:r>
        <w:rPr>
          <w:b/>
          <w:spacing w:val="40"/>
          <w:sz w:val="24"/>
          <w:szCs w:val="24"/>
        </w:rPr>
        <w:t xml:space="preserve"> o</w:t>
      </w:r>
      <w:r>
        <w:rPr>
          <w:b/>
          <w:sz w:val="24"/>
          <w:szCs w:val="24"/>
        </w:rPr>
        <w:t>f</w:t>
      </w:r>
      <w:r>
        <w:rPr>
          <w:b/>
          <w:spacing w:val="40"/>
          <w:sz w:val="24"/>
          <w:szCs w:val="24"/>
        </w:rPr>
        <w:t xml:space="preserve"> </w:t>
      </w:r>
      <w:r>
        <w:rPr>
          <w:b/>
          <w:sz w:val="24"/>
          <w:szCs w:val="24"/>
        </w:rPr>
        <w:t>Lead,</w:t>
      </w:r>
      <w:r>
        <w:rPr>
          <w:b/>
          <w:spacing w:val="40"/>
          <w:sz w:val="24"/>
          <w:szCs w:val="24"/>
        </w:rPr>
        <w:t xml:space="preserve"> </w:t>
      </w:r>
      <w:r>
        <w:rPr>
          <w:b/>
          <w:sz w:val="24"/>
          <w:szCs w:val="24"/>
        </w:rPr>
        <w:t>Zinc</w:t>
      </w:r>
      <w:r>
        <w:rPr>
          <w:b/>
          <w:spacing w:val="40"/>
          <w:sz w:val="24"/>
          <w:szCs w:val="24"/>
        </w:rPr>
        <w:t xml:space="preserve"> a</w:t>
      </w:r>
      <w:r>
        <w:rPr>
          <w:b/>
          <w:sz w:val="24"/>
          <w:szCs w:val="24"/>
        </w:rPr>
        <w:t>nd</w:t>
      </w:r>
      <w:r>
        <w:rPr>
          <w:b/>
          <w:spacing w:val="40"/>
          <w:sz w:val="24"/>
          <w:szCs w:val="24"/>
        </w:rPr>
        <w:t xml:space="preserve"> </w:t>
      </w:r>
      <w:r>
        <w:rPr>
          <w:b/>
          <w:sz w:val="24"/>
          <w:szCs w:val="24"/>
        </w:rPr>
        <w:t>Iron in</w:t>
      </w:r>
      <w:r>
        <w:rPr>
          <w:b/>
          <w:spacing w:val="40"/>
          <w:sz w:val="24"/>
          <w:szCs w:val="24"/>
        </w:rPr>
        <w:t xml:space="preserve"> </w:t>
      </w:r>
      <w:r>
        <w:rPr>
          <w:b/>
          <w:sz w:val="24"/>
          <w:szCs w:val="24"/>
        </w:rPr>
        <w:t>Snail,</w:t>
      </w:r>
      <w:r>
        <w:rPr>
          <w:b/>
          <w:spacing w:val="40"/>
          <w:sz w:val="24"/>
          <w:szCs w:val="24"/>
        </w:rPr>
        <w:t xml:space="preserve"> </w:t>
      </w:r>
      <w:r>
        <w:rPr>
          <w:b/>
          <w:sz w:val="24"/>
          <w:szCs w:val="24"/>
        </w:rPr>
        <w:t>Fish</w:t>
      </w:r>
      <w:r>
        <w:rPr>
          <w:b/>
          <w:spacing w:val="40"/>
          <w:sz w:val="24"/>
          <w:szCs w:val="24"/>
        </w:rPr>
        <w:t xml:space="preserve"> a</w:t>
      </w:r>
      <w:r>
        <w:rPr>
          <w:b/>
          <w:sz w:val="24"/>
          <w:szCs w:val="24"/>
        </w:rPr>
        <w:t>nd</w:t>
      </w:r>
      <w:r>
        <w:rPr>
          <w:b/>
          <w:spacing w:val="40"/>
          <w:sz w:val="24"/>
          <w:szCs w:val="24"/>
        </w:rPr>
        <w:t xml:space="preserve"> </w:t>
      </w:r>
      <w:r>
        <w:rPr>
          <w:b/>
          <w:sz w:val="24"/>
          <w:szCs w:val="24"/>
        </w:rPr>
        <w:t>Periwinkle from Abakpa Market</w:t>
      </w:r>
    </w:p>
    <w:p w:rsidR="007E54BE" w:rsidRDefault="008F683E">
      <w:pPr>
        <w:pStyle w:val="Heading2"/>
        <w:spacing w:line="360" w:lineRule="auto"/>
        <w:ind w:left="0" w:right="366"/>
        <w:rPr>
          <w:b w:val="0"/>
          <w:bCs w:val="0"/>
        </w:rPr>
      </w:pPr>
      <w:r>
        <w:rPr>
          <w:b w:val="0"/>
          <w:bCs w:val="0"/>
        </w:rPr>
        <w:t>The concentration of heavy metals in seafood samples from Abakpa region is presented in Table 1. In snail, iron had the highest concentration, followed by zinc and then lead. In catfish, iron was also the most concentrated, followed by lead and then zinc. In periwinkle, lead had the highest concentration, followed by iron and then zinc.</w:t>
      </w:r>
    </w:p>
    <w:p w:rsidR="007E54BE" w:rsidRDefault="008F683E">
      <w:pPr>
        <w:pStyle w:val="ListParagraph"/>
        <w:tabs>
          <w:tab w:val="left" w:pos="736"/>
        </w:tabs>
        <w:ind w:left="0" w:right="358" w:firstLine="0"/>
        <w:rPr>
          <w:b/>
          <w:sz w:val="24"/>
          <w:szCs w:val="24"/>
        </w:rPr>
      </w:pPr>
      <w:r>
        <w:rPr>
          <w:b/>
          <w:bCs/>
          <w:sz w:val="24"/>
          <w:szCs w:val="24"/>
        </w:rPr>
        <w:t>Table 1</w:t>
      </w:r>
      <w:r>
        <w:rPr>
          <w:sz w:val="24"/>
          <w:szCs w:val="24"/>
        </w:rPr>
        <w:t>:</w:t>
      </w:r>
      <w:r>
        <w:rPr>
          <w:b/>
          <w:sz w:val="24"/>
          <w:szCs w:val="24"/>
        </w:rPr>
        <w:t xml:space="preserve"> Concentration</w:t>
      </w:r>
      <w:r>
        <w:rPr>
          <w:b/>
          <w:spacing w:val="40"/>
          <w:sz w:val="24"/>
          <w:szCs w:val="24"/>
        </w:rPr>
        <w:t xml:space="preserve"> o</w:t>
      </w:r>
      <w:r>
        <w:rPr>
          <w:b/>
          <w:sz w:val="24"/>
          <w:szCs w:val="24"/>
        </w:rPr>
        <w:t>f</w:t>
      </w:r>
      <w:r>
        <w:rPr>
          <w:b/>
          <w:spacing w:val="40"/>
          <w:sz w:val="24"/>
          <w:szCs w:val="24"/>
        </w:rPr>
        <w:t xml:space="preserve"> </w:t>
      </w:r>
      <w:r>
        <w:rPr>
          <w:b/>
          <w:sz w:val="24"/>
          <w:szCs w:val="24"/>
        </w:rPr>
        <w:t>Lead,</w:t>
      </w:r>
      <w:r>
        <w:rPr>
          <w:b/>
          <w:spacing w:val="40"/>
          <w:sz w:val="24"/>
          <w:szCs w:val="24"/>
        </w:rPr>
        <w:t xml:space="preserve"> </w:t>
      </w:r>
      <w:r>
        <w:rPr>
          <w:b/>
          <w:sz w:val="24"/>
          <w:szCs w:val="24"/>
        </w:rPr>
        <w:t>Zinc</w:t>
      </w:r>
      <w:r>
        <w:rPr>
          <w:b/>
          <w:spacing w:val="40"/>
          <w:sz w:val="24"/>
          <w:szCs w:val="24"/>
        </w:rPr>
        <w:t xml:space="preserve"> a</w:t>
      </w:r>
      <w:r>
        <w:rPr>
          <w:b/>
          <w:sz w:val="24"/>
          <w:szCs w:val="24"/>
        </w:rPr>
        <w:t>nd</w:t>
      </w:r>
      <w:r>
        <w:rPr>
          <w:b/>
          <w:spacing w:val="40"/>
          <w:sz w:val="24"/>
          <w:szCs w:val="24"/>
        </w:rPr>
        <w:t xml:space="preserve"> </w:t>
      </w:r>
      <w:r>
        <w:rPr>
          <w:b/>
          <w:sz w:val="24"/>
          <w:szCs w:val="24"/>
        </w:rPr>
        <w:t>Iron in</w:t>
      </w:r>
      <w:r>
        <w:rPr>
          <w:b/>
          <w:spacing w:val="40"/>
          <w:sz w:val="24"/>
          <w:szCs w:val="24"/>
        </w:rPr>
        <w:t xml:space="preserve"> </w:t>
      </w:r>
      <w:r>
        <w:rPr>
          <w:b/>
          <w:sz w:val="24"/>
          <w:szCs w:val="24"/>
        </w:rPr>
        <w:t>Snail,</w:t>
      </w:r>
      <w:r>
        <w:rPr>
          <w:b/>
          <w:spacing w:val="40"/>
          <w:sz w:val="24"/>
          <w:szCs w:val="24"/>
        </w:rPr>
        <w:t xml:space="preserve"> </w:t>
      </w:r>
      <w:r>
        <w:rPr>
          <w:b/>
          <w:sz w:val="24"/>
          <w:szCs w:val="24"/>
        </w:rPr>
        <w:t>Fish</w:t>
      </w:r>
      <w:r>
        <w:rPr>
          <w:b/>
          <w:spacing w:val="40"/>
          <w:sz w:val="24"/>
          <w:szCs w:val="24"/>
        </w:rPr>
        <w:t xml:space="preserve"> a</w:t>
      </w:r>
      <w:r>
        <w:rPr>
          <w:b/>
          <w:sz w:val="24"/>
          <w:szCs w:val="24"/>
        </w:rPr>
        <w:t>nd</w:t>
      </w:r>
      <w:r>
        <w:rPr>
          <w:b/>
          <w:spacing w:val="40"/>
          <w:sz w:val="24"/>
          <w:szCs w:val="24"/>
        </w:rPr>
        <w:t xml:space="preserve"> </w:t>
      </w:r>
      <w:r>
        <w:rPr>
          <w:b/>
          <w:sz w:val="24"/>
          <w:szCs w:val="24"/>
        </w:rPr>
        <w:t>Periwinkle from Abakpa Market</w:t>
      </w:r>
    </w:p>
    <w:tbl>
      <w:tblPr>
        <w:tblW w:w="0" w:type="auto"/>
        <w:tblInd w:w="8" w:type="dxa"/>
        <w:tblLayout w:type="fixed"/>
        <w:tblCellMar>
          <w:left w:w="0" w:type="dxa"/>
          <w:right w:w="0" w:type="dxa"/>
        </w:tblCellMar>
        <w:tblLook w:val="04A0" w:firstRow="1" w:lastRow="0" w:firstColumn="1" w:lastColumn="0" w:noHBand="0" w:noVBand="1"/>
      </w:tblPr>
      <w:tblGrid>
        <w:gridCol w:w="2430"/>
        <w:gridCol w:w="2100"/>
        <w:gridCol w:w="2280"/>
        <w:gridCol w:w="3255"/>
      </w:tblGrid>
      <w:tr w:rsidR="007E54BE">
        <w:trPr>
          <w:trHeight w:val="654"/>
        </w:trPr>
        <w:tc>
          <w:tcPr>
            <w:tcW w:w="2430" w:type="dxa"/>
            <w:tcBorders>
              <w:top w:val="single" w:sz="4" w:space="0" w:color="000000"/>
              <w:bottom w:val="single" w:sz="4" w:space="0" w:color="000000"/>
            </w:tcBorders>
          </w:tcPr>
          <w:p w:rsidR="007E54BE" w:rsidRDefault="008F683E">
            <w:pPr>
              <w:pStyle w:val="TableParagraph"/>
              <w:rPr>
                <w:sz w:val="24"/>
                <w:szCs w:val="24"/>
              </w:rPr>
            </w:pPr>
            <w:r>
              <w:rPr>
                <w:sz w:val="24"/>
                <w:szCs w:val="24"/>
              </w:rPr>
              <w:t>Parameters</w:t>
            </w:r>
            <w:r>
              <w:rPr>
                <w:spacing w:val="-3"/>
                <w:sz w:val="24"/>
                <w:szCs w:val="24"/>
              </w:rPr>
              <w:t xml:space="preserve"> </w:t>
            </w:r>
            <w:r>
              <w:rPr>
                <w:spacing w:val="-2"/>
                <w:sz w:val="24"/>
                <w:szCs w:val="24"/>
              </w:rPr>
              <w:t>(m/kg)</w:t>
            </w:r>
          </w:p>
        </w:tc>
        <w:tc>
          <w:tcPr>
            <w:tcW w:w="2100" w:type="dxa"/>
            <w:tcBorders>
              <w:top w:val="single" w:sz="4" w:space="0" w:color="000000"/>
              <w:bottom w:val="single" w:sz="4" w:space="0" w:color="000000"/>
            </w:tcBorders>
          </w:tcPr>
          <w:p w:rsidR="007E54BE" w:rsidRDefault="008F683E">
            <w:pPr>
              <w:pStyle w:val="TableParagraph"/>
              <w:ind w:left="462"/>
              <w:rPr>
                <w:sz w:val="24"/>
                <w:szCs w:val="24"/>
              </w:rPr>
            </w:pPr>
            <w:r>
              <w:rPr>
                <w:spacing w:val="-4"/>
                <w:sz w:val="24"/>
                <w:szCs w:val="24"/>
              </w:rPr>
              <w:t>Snail</w:t>
            </w:r>
          </w:p>
        </w:tc>
        <w:tc>
          <w:tcPr>
            <w:tcW w:w="2280" w:type="dxa"/>
            <w:tcBorders>
              <w:top w:val="single" w:sz="4" w:space="0" w:color="000000"/>
              <w:bottom w:val="single" w:sz="4" w:space="0" w:color="000000"/>
            </w:tcBorders>
          </w:tcPr>
          <w:p w:rsidR="007E54BE" w:rsidRDefault="008F683E">
            <w:pPr>
              <w:pStyle w:val="TableParagraph"/>
              <w:ind w:left="630"/>
              <w:rPr>
                <w:sz w:val="24"/>
                <w:szCs w:val="24"/>
              </w:rPr>
            </w:pPr>
            <w:r>
              <w:rPr>
                <w:spacing w:val="-2"/>
                <w:sz w:val="24"/>
                <w:szCs w:val="24"/>
              </w:rPr>
              <w:t>Catfish</w:t>
            </w:r>
          </w:p>
        </w:tc>
        <w:tc>
          <w:tcPr>
            <w:tcW w:w="3255" w:type="dxa"/>
            <w:tcBorders>
              <w:top w:val="single" w:sz="4" w:space="0" w:color="000000"/>
              <w:bottom w:val="single" w:sz="4" w:space="0" w:color="000000"/>
            </w:tcBorders>
          </w:tcPr>
          <w:p w:rsidR="007E54BE" w:rsidRDefault="008F683E">
            <w:pPr>
              <w:pStyle w:val="TableParagraph"/>
              <w:ind w:left="688"/>
              <w:rPr>
                <w:sz w:val="24"/>
                <w:szCs w:val="24"/>
              </w:rPr>
            </w:pPr>
            <w:r>
              <w:rPr>
                <w:spacing w:val="-2"/>
                <w:sz w:val="24"/>
                <w:szCs w:val="24"/>
              </w:rPr>
              <w:t>Periwinkle</w:t>
            </w:r>
          </w:p>
        </w:tc>
      </w:tr>
      <w:tr w:rsidR="007E54BE">
        <w:trPr>
          <w:trHeight w:val="704"/>
        </w:trPr>
        <w:tc>
          <w:tcPr>
            <w:tcW w:w="2430" w:type="dxa"/>
            <w:tcBorders>
              <w:top w:val="single" w:sz="4" w:space="0" w:color="000000"/>
            </w:tcBorders>
          </w:tcPr>
          <w:p w:rsidR="007E54BE" w:rsidRDefault="008F683E">
            <w:pPr>
              <w:pStyle w:val="TableParagraph"/>
              <w:rPr>
                <w:sz w:val="24"/>
                <w:szCs w:val="24"/>
              </w:rPr>
            </w:pPr>
            <w:r>
              <w:rPr>
                <w:sz w:val="24"/>
                <w:szCs w:val="24"/>
              </w:rPr>
              <w:t>Lead</w:t>
            </w:r>
          </w:p>
        </w:tc>
        <w:tc>
          <w:tcPr>
            <w:tcW w:w="2100" w:type="dxa"/>
            <w:tcBorders>
              <w:top w:val="single" w:sz="4" w:space="0" w:color="000000"/>
            </w:tcBorders>
          </w:tcPr>
          <w:p w:rsidR="007E54BE" w:rsidRDefault="008F683E">
            <w:pPr>
              <w:pStyle w:val="TableParagraph"/>
              <w:ind w:left="462"/>
              <w:rPr>
                <w:sz w:val="24"/>
                <w:szCs w:val="24"/>
              </w:rPr>
            </w:pPr>
            <w:r>
              <w:rPr>
                <w:spacing w:val="-2"/>
                <w:sz w:val="24"/>
                <w:szCs w:val="24"/>
              </w:rPr>
              <w:t>0.204 ± 0.063</w:t>
            </w:r>
          </w:p>
        </w:tc>
        <w:tc>
          <w:tcPr>
            <w:tcW w:w="2280" w:type="dxa"/>
            <w:tcBorders>
              <w:top w:val="single" w:sz="4" w:space="0" w:color="000000"/>
            </w:tcBorders>
          </w:tcPr>
          <w:p w:rsidR="007E54BE" w:rsidRDefault="008F683E">
            <w:pPr>
              <w:pStyle w:val="TableParagraph"/>
              <w:ind w:left="630"/>
              <w:rPr>
                <w:sz w:val="24"/>
                <w:szCs w:val="24"/>
              </w:rPr>
            </w:pPr>
            <w:r>
              <w:rPr>
                <w:spacing w:val="-2"/>
                <w:sz w:val="24"/>
                <w:szCs w:val="24"/>
              </w:rPr>
              <w:t>0.518 ± 0.159</w:t>
            </w:r>
          </w:p>
        </w:tc>
        <w:tc>
          <w:tcPr>
            <w:tcW w:w="3255" w:type="dxa"/>
            <w:tcBorders>
              <w:top w:val="single" w:sz="4" w:space="0" w:color="000000"/>
            </w:tcBorders>
          </w:tcPr>
          <w:p w:rsidR="007E54BE" w:rsidRDefault="008F683E">
            <w:pPr>
              <w:pStyle w:val="TableParagraph"/>
              <w:ind w:left="688"/>
              <w:rPr>
                <w:sz w:val="24"/>
                <w:szCs w:val="24"/>
              </w:rPr>
            </w:pPr>
            <w:r>
              <w:rPr>
                <w:spacing w:val="-2"/>
                <w:sz w:val="24"/>
                <w:szCs w:val="24"/>
              </w:rPr>
              <w:t>0.158 ± 0.095</w:t>
            </w:r>
          </w:p>
        </w:tc>
      </w:tr>
      <w:tr w:rsidR="007E54BE">
        <w:trPr>
          <w:trHeight w:val="654"/>
        </w:trPr>
        <w:tc>
          <w:tcPr>
            <w:tcW w:w="2430" w:type="dxa"/>
          </w:tcPr>
          <w:p w:rsidR="007E54BE" w:rsidRDefault="008F683E">
            <w:pPr>
              <w:pStyle w:val="TableParagraph"/>
              <w:spacing w:before="183"/>
              <w:rPr>
                <w:sz w:val="24"/>
                <w:szCs w:val="24"/>
              </w:rPr>
            </w:pPr>
            <w:r>
              <w:rPr>
                <w:spacing w:val="-4"/>
                <w:sz w:val="24"/>
                <w:szCs w:val="24"/>
              </w:rPr>
              <w:t>Zinc</w:t>
            </w:r>
          </w:p>
        </w:tc>
        <w:tc>
          <w:tcPr>
            <w:tcW w:w="2100" w:type="dxa"/>
          </w:tcPr>
          <w:p w:rsidR="007E54BE" w:rsidRDefault="008F683E">
            <w:pPr>
              <w:pStyle w:val="TableParagraph"/>
              <w:spacing w:before="183"/>
              <w:ind w:left="462"/>
              <w:rPr>
                <w:sz w:val="24"/>
                <w:szCs w:val="24"/>
              </w:rPr>
            </w:pPr>
            <w:r>
              <w:rPr>
                <w:spacing w:val="-2"/>
                <w:sz w:val="24"/>
                <w:szCs w:val="24"/>
              </w:rPr>
              <w:t>0.685 ± 0.196</w:t>
            </w:r>
          </w:p>
        </w:tc>
        <w:tc>
          <w:tcPr>
            <w:tcW w:w="2280" w:type="dxa"/>
          </w:tcPr>
          <w:p w:rsidR="007E54BE" w:rsidRDefault="008F683E">
            <w:pPr>
              <w:pStyle w:val="TableParagraph"/>
              <w:spacing w:before="183"/>
              <w:ind w:left="630"/>
              <w:rPr>
                <w:sz w:val="24"/>
                <w:szCs w:val="24"/>
              </w:rPr>
            </w:pPr>
            <w:r>
              <w:rPr>
                <w:spacing w:val="-2"/>
                <w:sz w:val="24"/>
                <w:szCs w:val="24"/>
              </w:rPr>
              <w:t>0.448 ± 0.028</w:t>
            </w:r>
          </w:p>
        </w:tc>
        <w:tc>
          <w:tcPr>
            <w:tcW w:w="3255" w:type="dxa"/>
          </w:tcPr>
          <w:p w:rsidR="007E54BE" w:rsidRDefault="008F683E">
            <w:pPr>
              <w:pStyle w:val="TableParagraph"/>
              <w:spacing w:before="183"/>
              <w:ind w:left="688"/>
              <w:rPr>
                <w:sz w:val="24"/>
                <w:szCs w:val="24"/>
              </w:rPr>
            </w:pPr>
            <w:r>
              <w:rPr>
                <w:spacing w:val="-2"/>
                <w:sz w:val="24"/>
                <w:szCs w:val="24"/>
              </w:rPr>
              <w:t>0.090 ± 0.225</w:t>
            </w:r>
          </w:p>
        </w:tc>
      </w:tr>
      <w:tr w:rsidR="007E54BE">
        <w:trPr>
          <w:trHeight w:val="653"/>
        </w:trPr>
        <w:tc>
          <w:tcPr>
            <w:tcW w:w="2430" w:type="dxa"/>
          </w:tcPr>
          <w:p w:rsidR="007E54BE" w:rsidRDefault="008F683E">
            <w:pPr>
              <w:pStyle w:val="TableParagraph"/>
              <w:spacing w:before="184"/>
              <w:rPr>
                <w:sz w:val="24"/>
                <w:szCs w:val="24"/>
              </w:rPr>
            </w:pPr>
            <w:r>
              <w:rPr>
                <w:spacing w:val="-4"/>
                <w:sz w:val="24"/>
                <w:szCs w:val="24"/>
              </w:rPr>
              <w:t>Iron</w:t>
            </w:r>
          </w:p>
        </w:tc>
        <w:tc>
          <w:tcPr>
            <w:tcW w:w="2100" w:type="dxa"/>
          </w:tcPr>
          <w:p w:rsidR="007E54BE" w:rsidRDefault="008F683E">
            <w:pPr>
              <w:pStyle w:val="TableParagraph"/>
              <w:spacing w:before="184"/>
              <w:ind w:left="462"/>
              <w:rPr>
                <w:sz w:val="24"/>
                <w:szCs w:val="24"/>
              </w:rPr>
            </w:pPr>
            <w:r>
              <w:rPr>
                <w:spacing w:val="-2"/>
                <w:sz w:val="24"/>
                <w:szCs w:val="24"/>
              </w:rPr>
              <w:t>1.478 ± 0.486</w:t>
            </w:r>
          </w:p>
        </w:tc>
        <w:tc>
          <w:tcPr>
            <w:tcW w:w="2280" w:type="dxa"/>
          </w:tcPr>
          <w:p w:rsidR="007E54BE" w:rsidRDefault="008F683E">
            <w:pPr>
              <w:pStyle w:val="TableParagraph"/>
              <w:spacing w:before="184"/>
              <w:ind w:left="630"/>
              <w:rPr>
                <w:sz w:val="24"/>
                <w:szCs w:val="24"/>
              </w:rPr>
            </w:pPr>
            <w:r>
              <w:rPr>
                <w:spacing w:val="-2"/>
                <w:sz w:val="24"/>
                <w:szCs w:val="24"/>
              </w:rPr>
              <w:t>0.762 ± 0.021</w:t>
            </w:r>
          </w:p>
        </w:tc>
        <w:tc>
          <w:tcPr>
            <w:tcW w:w="3255" w:type="dxa"/>
          </w:tcPr>
          <w:p w:rsidR="007E54BE" w:rsidRDefault="008F683E">
            <w:pPr>
              <w:pStyle w:val="TableParagraph"/>
              <w:spacing w:before="184"/>
              <w:ind w:left="688"/>
              <w:rPr>
                <w:sz w:val="24"/>
                <w:szCs w:val="24"/>
              </w:rPr>
            </w:pPr>
            <w:r>
              <w:rPr>
                <w:spacing w:val="-2"/>
                <w:sz w:val="24"/>
                <w:szCs w:val="24"/>
              </w:rPr>
              <w:t>0.133 ± 0.465</w:t>
            </w:r>
          </w:p>
        </w:tc>
      </w:tr>
      <w:tr w:rsidR="007E54BE">
        <w:trPr>
          <w:trHeight w:val="603"/>
        </w:trPr>
        <w:tc>
          <w:tcPr>
            <w:tcW w:w="2430" w:type="dxa"/>
            <w:tcBorders>
              <w:bottom w:val="single" w:sz="4" w:space="0" w:color="000000"/>
            </w:tcBorders>
          </w:tcPr>
          <w:p w:rsidR="007E54BE" w:rsidRDefault="008F683E">
            <w:pPr>
              <w:pStyle w:val="TableParagraph"/>
              <w:spacing w:before="183"/>
              <w:rPr>
                <w:sz w:val="24"/>
                <w:szCs w:val="24"/>
              </w:rPr>
            </w:pPr>
            <w:r>
              <w:rPr>
                <w:spacing w:val="-5"/>
                <w:sz w:val="24"/>
                <w:szCs w:val="24"/>
              </w:rPr>
              <w:t>Cd</w:t>
            </w:r>
          </w:p>
        </w:tc>
        <w:tc>
          <w:tcPr>
            <w:tcW w:w="2100" w:type="dxa"/>
            <w:tcBorders>
              <w:bottom w:val="single" w:sz="4" w:space="0" w:color="000000"/>
            </w:tcBorders>
          </w:tcPr>
          <w:p w:rsidR="007E54BE" w:rsidRDefault="008F683E">
            <w:pPr>
              <w:pStyle w:val="TableParagraph"/>
              <w:spacing w:before="183"/>
              <w:ind w:left="462"/>
              <w:rPr>
                <w:sz w:val="24"/>
                <w:szCs w:val="24"/>
              </w:rPr>
            </w:pPr>
            <w:proofErr w:type="spellStart"/>
            <w:r>
              <w:rPr>
                <w:spacing w:val="-5"/>
                <w:sz w:val="24"/>
                <w:szCs w:val="24"/>
              </w:rPr>
              <w:t>n.d</w:t>
            </w:r>
            <w:proofErr w:type="spellEnd"/>
            <w:r>
              <w:rPr>
                <w:spacing w:val="-5"/>
                <w:sz w:val="24"/>
                <w:szCs w:val="24"/>
              </w:rPr>
              <w:t xml:space="preserve"> </w:t>
            </w:r>
            <w:r>
              <w:rPr>
                <w:spacing w:val="-2"/>
                <w:sz w:val="24"/>
                <w:szCs w:val="24"/>
              </w:rPr>
              <w:t>± 0.000</w:t>
            </w:r>
          </w:p>
        </w:tc>
        <w:tc>
          <w:tcPr>
            <w:tcW w:w="2280" w:type="dxa"/>
            <w:tcBorders>
              <w:bottom w:val="single" w:sz="4" w:space="0" w:color="000000"/>
            </w:tcBorders>
          </w:tcPr>
          <w:p w:rsidR="007E54BE" w:rsidRDefault="008F683E">
            <w:pPr>
              <w:pStyle w:val="TableParagraph"/>
              <w:spacing w:before="183"/>
              <w:ind w:left="630"/>
              <w:rPr>
                <w:sz w:val="24"/>
                <w:szCs w:val="24"/>
              </w:rPr>
            </w:pPr>
            <w:proofErr w:type="spellStart"/>
            <w:r>
              <w:rPr>
                <w:spacing w:val="-5"/>
                <w:sz w:val="24"/>
                <w:szCs w:val="24"/>
              </w:rPr>
              <w:t>n.d</w:t>
            </w:r>
            <w:proofErr w:type="spellEnd"/>
            <w:r>
              <w:rPr>
                <w:spacing w:val="-5"/>
                <w:sz w:val="24"/>
                <w:szCs w:val="24"/>
              </w:rPr>
              <w:t xml:space="preserve"> </w:t>
            </w:r>
            <w:r>
              <w:rPr>
                <w:spacing w:val="-2"/>
                <w:sz w:val="24"/>
                <w:szCs w:val="24"/>
              </w:rPr>
              <w:t>± 0.000</w:t>
            </w:r>
          </w:p>
        </w:tc>
        <w:tc>
          <w:tcPr>
            <w:tcW w:w="3255" w:type="dxa"/>
            <w:tcBorders>
              <w:bottom w:val="single" w:sz="4" w:space="0" w:color="000000"/>
            </w:tcBorders>
          </w:tcPr>
          <w:p w:rsidR="007E54BE" w:rsidRDefault="008F683E">
            <w:pPr>
              <w:pStyle w:val="TableParagraph"/>
              <w:spacing w:before="183"/>
              <w:ind w:left="688"/>
              <w:rPr>
                <w:sz w:val="24"/>
                <w:szCs w:val="24"/>
              </w:rPr>
            </w:pPr>
            <w:proofErr w:type="spellStart"/>
            <w:r>
              <w:rPr>
                <w:spacing w:val="-5"/>
                <w:sz w:val="24"/>
                <w:szCs w:val="24"/>
              </w:rPr>
              <w:t>n.d</w:t>
            </w:r>
            <w:proofErr w:type="spellEnd"/>
            <w:r>
              <w:rPr>
                <w:spacing w:val="-5"/>
                <w:sz w:val="24"/>
                <w:szCs w:val="24"/>
              </w:rPr>
              <w:t xml:space="preserve"> </w:t>
            </w:r>
            <w:r>
              <w:rPr>
                <w:spacing w:val="-2"/>
                <w:sz w:val="24"/>
                <w:szCs w:val="24"/>
              </w:rPr>
              <w:t>± 0.000</w:t>
            </w:r>
          </w:p>
        </w:tc>
      </w:tr>
    </w:tbl>
    <w:p w:rsidR="007E54BE" w:rsidRDefault="008F683E">
      <w:pPr>
        <w:pStyle w:val="BodyText"/>
        <w:spacing w:before="22"/>
        <w:rPr>
          <w:b/>
        </w:rPr>
      </w:pPr>
      <w:proofErr w:type="spellStart"/>
      <w:r>
        <w:rPr>
          <w:b/>
        </w:rPr>
        <w:t>N.d</w:t>
      </w:r>
      <w:proofErr w:type="spellEnd"/>
      <w:r>
        <w:rPr>
          <w:b/>
        </w:rPr>
        <w:t>: not detectable</w:t>
      </w:r>
    </w:p>
    <w:p w:rsidR="007E54BE" w:rsidRDefault="007E54BE">
      <w:pPr>
        <w:pStyle w:val="TableParagraph"/>
        <w:ind w:left="0"/>
        <w:rPr>
          <w:sz w:val="24"/>
          <w:szCs w:val="24"/>
        </w:rPr>
        <w:sectPr w:rsidR="007E54BE">
          <w:pgSz w:w="12240" w:h="15840"/>
          <w:pgMar w:top="1360" w:right="1080" w:bottom="1200" w:left="1080" w:header="0" w:footer="1014" w:gutter="0"/>
          <w:cols w:space="720"/>
        </w:sectPr>
      </w:pPr>
    </w:p>
    <w:p w:rsidR="007E54BE" w:rsidRDefault="008F683E">
      <w:pPr>
        <w:pStyle w:val="ListParagraph"/>
        <w:tabs>
          <w:tab w:val="left" w:pos="695"/>
        </w:tabs>
        <w:spacing w:before="79" w:line="357" w:lineRule="auto"/>
        <w:ind w:left="0" w:right="358" w:firstLine="0"/>
        <w:rPr>
          <w:b/>
          <w:sz w:val="24"/>
          <w:szCs w:val="24"/>
        </w:rPr>
      </w:pPr>
      <w:r>
        <w:rPr>
          <w:b/>
          <w:sz w:val="24"/>
          <w:szCs w:val="24"/>
        </w:rPr>
        <w:lastRenderedPageBreak/>
        <w:t>3.2 Concentration</w:t>
      </w:r>
      <w:r>
        <w:rPr>
          <w:b/>
          <w:spacing w:val="-3"/>
          <w:sz w:val="24"/>
          <w:szCs w:val="24"/>
        </w:rPr>
        <w:t xml:space="preserve"> o</w:t>
      </w:r>
      <w:r>
        <w:rPr>
          <w:b/>
          <w:sz w:val="24"/>
          <w:szCs w:val="24"/>
        </w:rPr>
        <w:t>f Lead, Zinc</w:t>
      </w:r>
      <w:r>
        <w:rPr>
          <w:b/>
          <w:spacing w:val="-1"/>
          <w:sz w:val="24"/>
          <w:szCs w:val="24"/>
        </w:rPr>
        <w:t xml:space="preserve"> a</w:t>
      </w:r>
      <w:r>
        <w:rPr>
          <w:b/>
          <w:sz w:val="24"/>
          <w:szCs w:val="24"/>
        </w:rPr>
        <w:t>nd</w:t>
      </w:r>
      <w:r>
        <w:rPr>
          <w:b/>
          <w:spacing w:val="-1"/>
          <w:sz w:val="24"/>
          <w:szCs w:val="24"/>
        </w:rPr>
        <w:t xml:space="preserve"> </w:t>
      </w:r>
      <w:r>
        <w:rPr>
          <w:b/>
          <w:sz w:val="24"/>
          <w:szCs w:val="24"/>
        </w:rPr>
        <w:t>Iron in Snail, Catfish and</w:t>
      </w:r>
      <w:r>
        <w:rPr>
          <w:b/>
          <w:spacing w:val="-3"/>
          <w:sz w:val="24"/>
          <w:szCs w:val="24"/>
        </w:rPr>
        <w:t xml:space="preserve"> </w:t>
      </w:r>
      <w:r>
        <w:rPr>
          <w:b/>
          <w:sz w:val="24"/>
          <w:szCs w:val="24"/>
        </w:rPr>
        <w:t xml:space="preserve">Periwinkle from </w:t>
      </w:r>
      <w:proofErr w:type="spellStart"/>
      <w:r>
        <w:rPr>
          <w:b/>
          <w:sz w:val="24"/>
          <w:szCs w:val="24"/>
        </w:rPr>
        <w:t>Garki</w:t>
      </w:r>
      <w:proofErr w:type="spellEnd"/>
      <w:r>
        <w:rPr>
          <w:b/>
          <w:sz w:val="24"/>
          <w:szCs w:val="24"/>
        </w:rPr>
        <w:t xml:space="preserve"> Market</w:t>
      </w:r>
    </w:p>
    <w:p w:rsidR="007E54BE" w:rsidRDefault="008F683E">
      <w:pPr>
        <w:pStyle w:val="ListParagraph"/>
        <w:tabs>
          <w:tab w:val="left" w:pos="695"/>
        </w:tabs>
        <w:spacing w:before="79" w:line="357" w:lineRule="auto"/>
        <w:ind w:left="0" w:right="358" w:firstLine="0"/>
        <w:rPr>
          <w:sz w:val="24"/>
          <w:szCs w:val="24"/>
        </w:rPr>
      </w:pPr>
      <w:r>
        <w:rPr>
          <w:sz w:val="24"/>
          <w:szCs w:val="24"/>
        </w:rPr>
        <w:t xml:space="preserve">In </w:t>
      </w:r>
      <w:proofErr w:type="spellStart"/>
      <w:r>
        <w:rPr>
          <w:sz w:val="24"/>
          <w:szCs w:val="24"/>
        </w:rPr>
        <w:t>Garriki</w:t>
      </w:r>
      <w:proofErr w:type="spellEnd"/>
      <w:r>
        <w:rPr>
          <w:sz w:val="24"/>
          <w:szCs w:val="24"/>
        </w:rPr>
        <w:t xml:space="preserve"> region, heavy metal concentrations varied across species (Table 2). Snail had highest lead levels, followed by zinc and iron. Catfish had highest iron levels, followed by zinc and lead. Periwinkle had highest lead levels, followed by iron and zinc. Overall, lead concentrations were higher in snail and periwinkle, while iron dominated in catfish.</w:t>
      </w:r>
    </w:p>
    <w:p w:rsidR="007E54BE" w:rsidRDefault="008F683E">
      <w:pPr>
        <w:pStyle w:val="ListParagraph"/>
        <w:tabs>
          <w:tab w:val="left" w:pos="695"/>
        </w:tabs>
        <w:spacing w:before="79"/>
        <w:ind w:left="0" w:right="358" w:firstLine="0"/>
        <w:jc w:val="both"/>
        <w:rPr>
          <w:sz w:val="24"/>
          <w:szCs w:val="24"/>
        </w:rPr>
      </w:pPr>
      <w:r>
        <w:rPr>
          <w:b/>
          <w:bCs/>
          <w:sz w:val="24"/>
          <w:szCs w:val="24"/>
        </w:rPr>
        <w:t>Table 2:</w:t>
      </w:r>
      <w:r>
        <w:rPr>
          <w:sz w:val="24"/>
          <w:szCs w:val="24"/>
        </w:rPr>
        <w:t xml:space="preserve"> </w:t>
      </w:r>
      <w:r>
        <w:rPr>
          <w:b/>
          <w:sz w:val="24"/>
          <w:szCs w:val="24"/>
        </w:rPr>
        <w:t>Concentration</w:t>
      </w:r>
      <w:r>
        <w:rPr>
          <w:b/>
          <w:spacing w:val="-3"/>
          <w:sz w:val="24"/>
          <w:szCs w:val="24"/>
        </w:rPr>
        <w:t xml:space="preserve"> o</w:t>
      </w:r>
      <w:r>
        <w:rPr>
          <w:b/>
          <w:sz w:val="24"/>
          <w:szCs w:val="24"/>
        </w:rPr>
        <w:t>f Lead, Zinc</w:t>
      </w:r>
      <w:r>
        <w:rPr>
          <w:b/>
          <w:spacing w:val="-1"/>
          <w:sz w:val="24"/>
          <w:szCs w:val="24"/>
        </w:rPr>
        <w:t xml:space="preserve"> a</w:t>
      </w:r>
      <w:r>
        <w:rPr>
          <w:b/>
          <w:sz w:val="24"/>
          <w:szCs w:val="24"/>
        </w:rPr>
        <w:t>nd</w:t>
      </w:r>
      <w:r>
        <w:rPr>
          <w:b/>
          <w:spacing w:val="-1"/>
          <w:sz w:val="24"/>
          <w:szCs w:val="24"/>
        </w:rPr>
        <w:t xml:space="preserve"> </w:t>
      </w:r>
      <w:r>
        <w:rPr>
          <w:b/>
          <w:sz w:val="24"/>
          <w:szCs w:val="24"/>
        </w:rPr>
        <w:t>Iron in Snail, Catfish and</w:t>
      </w:r>
      <w:r>
        <w:rPr>
          <w:b/>
          <w:spacing w:val="-3"/>
          <w:sz w:val="24"/>
          <w:szCs w:val="24"/>
        </w:rPr>
        <w:t xml:space="preserve"> </w:t>
      </w:r>
      <w:r>
        <w:rPr>
          <w:b/>
          <w:sz w:val="24"/>
          <w:szCs w:val="24"/>
        </w:rPr>
        <w:t xml:space="preserve">Periwinkle from </w:t>
      </w:r>
      <w:proofErr w:type="spellStart"/>
      <w:r>
        <w:rPr>
          <w:b/>
          <w:sz w:val="24"/>
          <w:szCs w:val="24"/>
        </w:rPr>
        <w:t>Garki</w:t>
      </w:r>
      <w:proofErr w:type="spellEnd"/>
      <w:r>
        <w:rPr>
          <w:b/>
          <w:sz w:val="24"/>
          <w:szCs w:val="24"/>
        </w:rPr>
        <w:t xml:space="preserve"> Market</w:t>
      </w:r>
    </w:p>
    <w:tbl>
      <w:tblPr>
        <w:tblpPr w:leftFromText="180" w:rightFromText="180" w:vertAnchor="text" w:horzAnchor="page" w:tblpX="1702" w:tblpY="152"/>
        <w:tblOverlap w:val="never"/>
        <w:tblW w:w="8730" w:type="dxa"/>
        <w:tblLayout w:type="fixed"/>
        <w:tblCellMar>
          <w:left w:w="0" w:type="dxa"/>
          <w:right w:w="0" w:type="dxa"/>
        </w:tblCellMar>
        <w:tblLook w:val="04A0" w:firstRow="1" w:lastRow="0" w:firstColumn="1" w:lastColumn="0" w:noHBand="0" w:noVBand="1"/>
      </w:tblPr>
      <w:tblGrid>
        <w:gridCol w:w="2049"/>
        <w:gridCol w:w="1771"/>
        <w:gridCol w:w="1955"/>
        <w:gridCol w:w="2955"/>
      </w:tblGrid>
      <w:tr w:rsidR="007E54BE">
        <w:trPr>
          <w:trHeight w:val="1307"/>
        </w:trPr>
        <w:tc>
          <w:tcPr>
            <w:tcW w:w="2049" w:type="dxa"/>
            <w:tcBorders>
              <w:top w:val="single" w:sz="4" w:space="0" w:color="000000"/>
              <w:bottom w:val="single" w:sz="4" w:space="0" w:color="000000"/>
            </w:tcBorders>
          </w:tcPr>
          <w:p w:rsidR="007E54BE" w:rsidRDefault="008F683E">
            <w:pPr>
              <w:pStyle w:val="TableParagraph"/>
              <w:rPr>
                <w:sz w:val="24"/>
                <w:szCs w:val="24"/>
              </w:rPr>
            </w:pPr>
            <w:r>
              <w:rPr>
                <w:sz w:val="24"/>
                <w:szCs w:val="24"/>
              </w:rPr>
              <w:t>Parameter</w:t>
            </w:r>
            <w:r>
              <w:rPr>
                <w:spacing w:val="-3"/>
                <w:sz w:val="24"/>
                <w:szCs w:val="24"/>
              </w:rPr>
              <w:t xml:space="preserve"> </w:t>
            </w:r>
            <w:r>
              <w:rPr>
                <w:spacing w:val="-2"/>
                <w:sz w:val="24"/>
                <w:szCs w:val="24"/>
              </w:rPr>
              <w:t>(m/kg)</w:t>
            </w:r>
          </w:p>
        </w:tc>
        <w:tc>
          <w:tcPr>
            <w:tcW w:w="1771" w:type="dxa"/>
            <w:tcBorders>
              <w:top w:val="single" w:sz="4" w:space="0" w:color="000000"/>
              <w:bottom w:val="single" w:sz="4" w:space="0" w:color="000000"/>
            </w:tcBorders>
          </w:tcPr>
          <w:p w:rsidR="007E54BE" w:rsidRDefault="008F683E">
            <w:pPr>
              <w:pStyle w:val="TableParagraph"/>
              <w:ind w:left="248"/>
              <w:rPr>
                <w:sz w:val="24"/>
                <w:szCs w:val="24"/>
              </w:rPr>
            </w:pPr>
            <w:r>
              <w:rPr>
                <w:spacing w:val="-2"/>
                <w:sz w:val="24"/>
                <w:szCs w:val="24"/>
              </w:rPr>
              <w:t>Snail</w:t>
            </w:r>
          </w:p>
        </w:tc>
        <w:tc>
          <w:tcPr>
            <w:tcW w:w="1955" w:type="dxa"/>
            <w:tcBorders>
              <w:top w:val="single" w:sz="4" w:space="0" w:color="000000"/>
              <w:bottom w:val="single" w:sz="4" w:space="0" w:color="000000"/>
            </w:tcBorders>
          </w:tcPr>
          <w:p w:rsidR="007E54BE" w:rsidRDefault="008F683E">
            <w:pPr>
              <w:pStyle w:val="TableParagraph"/>
              <w:ind w:left="465"/>
              <w:rPr>
                <w:sz w:val="24"/>
                <w:szCs w:val="24"/>
              </w:rPr>
            </w:pPr>
            <w:r>
              <w:rPr>
                <w:sz w:val="24"/>
                <w:szCs w:val="24"/>
              </w:rPr>
              <w:t>Cat</w:t>
            </w:r>
            <w:r>
              <w:rPr>
                <w:spacing w:val="-1"/>
                <w:sz w:val="24"/>
                <w:szCs w:val="24"/>
              </w:rPr>
              <w:t xml:space="preserve"> </w:t>
            </w:r>
            <w:r>
              <w:rPr>
                <w:spacing w:val="-4"/>
                <w:sz w:val="24"/>
                <w:szCs w:val="24"/>
              </w:rPr>
              <w:t>fish</w:t>
            </w:r>
          </w:p>
        </w:tc>
        <w:tc>
          <w:tcPr>
            <w:tcW w:w="2955" w:type="dxa"/>
            <w:tcBorders>
              <w:top w:val="single" w:sz="4" w:space="0" w:color="000000"/>
              <w:bottom w:val="single" w:sz="4" w:space="0" w:color="000000"/>
            </w:tcBorders>
          </w:tcPr>
          <w:p w:rsidR="007E54BE" w:rsidRDefault="008F683E">
            <w:pPr>
              <w:pStyle w:val="TableParagraph"/>
              <w:ind w:left="616"/>
              <w:rPr>
                <w:sz w:val="24"/>
                <w:szCs w:val="24"/>
              </w:rPr>
            </w:pPr>
            <w:r>
              <w:rPr>
                <w:spacing w:val="-2"/>
                <w:sz w:val="24"/>
                <w:szCs w:val="24"/>
              </w:rPr>
              <w:t>Periwinkle</w:t>
            </w:r>
          </w:p>
        </w:tc>
      </w:tr>
      <w:tr w:rsidR="007E54BE">
        <w:trPr>
          <w:trHeight w:val="703"/>
        </w:trPr>
        <w:tc>
          <w:tcPr>
            <w:tcW w:w="2049" w:type="dxa"/>
            <w:tcBorders>
              <w:top w:val="single" w:sz="4" w:space="0" w:color="000000"/>
            </w:tcBorders>
          </w:tcPr>
          <w:p w:rsidR="007E54BE" w:rsidRDefault="008F683E">
            <w:pPr>
              <w:pStyle w:val="TableParagraph"/>
              <w:rPr>
                <w:sz w:val="24"/>
                <w:szCs w:val="24"/>
              </w:rPr>
            </w:pPr>
            <w:r>
              <w:rPr>
                <w:spacing w:val="-4"/>
                <w:sz w:val="24"/>
                <w:szCs w:val="24"/>
              </w:rPr>
              <w:t>Lead</w:t>
            </w:r>
          </w:p>
        </w:tc>
        <w:tc>
          <w:tcPr>
            <w:tcW w:w="1771" w:type="dxa"/>
            <w:tcBorders>
              <w:top w:val="single" w:sz="4" w:space="0" w:color="000000"/>
            </w:tcBorders>
          </w:tcPr>
          <w:p w:rsidR="007E54BE" w:rsidRDefault="008F683E">
            <w:pPr>
              <w:pStyle w:val="TableParagraph"/>
              <w:ind w:left="248"/>
              <w:rPr>
                <w:sz w:val="24"/>
                <w:szCs w:val="24"/>
              </w:rPr>
            </w:pPr>
            <w:proofErr w:type="gramStart"/>
            <w:r>
              <w:rPr>
                <w:spacing w:val="-2"/>
                <w:sz w:val="24"/>
                <w:szCs w:val="24"/>
              </w:rPr>
              <w:t xml:space="preserve">1.284 </w:t>
            </w:r>
            <w:r>
              <w:rPr>
                <w:spacing w:val="-5"/>
                <w:sz w:val="24"/>
                <w:szCs w:val="24"/>
              </w:rPr>
              <w:t xml:space="preserve"> </w:t>
            </w:r>
            <w:r>
              <w:rPr>
                <w:spacing w:val="-2"/>
                <w:sz w:val="24"/>
                <w:szCs w:val="24"/>
              </w:rPr>
              <w:t>±</w:t>
            </w:r>
            <w:proofErr w:type="gramEnd"/>
            <w:r>
              <w:rPr>
                <w:spacing w:val="-2"/>
                <w:sz w:val="24"/>
                <w:szCs w:val="24"/>
              </w:rPr>
              <w:t xml:space="preserve"> 0.478</w:t>
            </w:r>
          </w:p>
        </w:tc>
        <w:tc>
          <w:tcPr>
            <w:tcW w:w="1955" w:type="dxa"/>
            <w:tcBorders>
              <w:top w:val="single" w:sz="4" w:space="0" w:color="000000"/>
            </w:tcBorders>
          </w:tcPr>
          <w:p w:rsidR="007E54BE" w:rsidRDefault="008F683E">
            <w:pPr>
              <w:pStyle w:val="TableParagraph"/>
              <w:ind w:left="465"/>
              <w:rPr>
                <w:sz w:val="24"/>
                <w:szCs w:val="24"/>
              </w:rPr>
            </w:pPr>
            <w:proofErr w:type="gramStart"/>
            <w:r>
              <w:rPr>
                <w:spacing w:val="-2"/>
                <w:sz w:val="24"/>
                <w:szCs w:val="24"/>
              </w:rPr>
              <w:t xml:space="preserve">0.402 </w:t>
            </w:r>
            <w:r>
              <w:rPr>
                <w:spacing w:val="-5"/>
                <w:sz w:val="24"/>
                <w:szCs w:val="24"/>
              </w:rPr>
              <w:t xml:space="preserve"> </w:t>
            </w:r>
            <w:r>
              <w:rPr>
                <w:spacing w:val="-2"/>
                <w:sz w:val="24"/>
                <w:szCs w:val="24"/>
              </w:rPr>
              <w:t>±</w:t>
            </w:r>
            <w:proofErr w:type="gramEnd"/>
            <w:r>
              <w:rPr>
                <w:spacing w:val="-2"/>
                <w:sz w:val="24"/>
                <w:szCs w:val="24"/>
              </w:rPr>
              <w:t xml:space="preserve"> 0.146</w:t>
            </w:r>
          </w:p>
        </w:tc>
        <w:tc>
          <w:tcPr>
            <w:tcW w:w="2955" w:type="dxa"/>
            <w:tcBorders>
              <w:top w:val="single" w:sz="4" w:space="0" w:color="000000"/>
            </w:tcBorders>
          </w:tcPr>
          <w:p w:rsidR="007E54BE" w:rsidRDefault="008F683E">
            <w:pPr>
              <w:pStyle w:val="TableParagraph"/>
              <w:ind w:left="616"/>
              <w:rPr>
                <w:sz w:val="24"/>
                <w:szCs w:val="24"/>
              </w:rPr>
            </w:pPr>
            <w:proofErr w:type="gramStart"/>
            <w:r>
              <w:rPr>
                <w:spacing w:val="-2"/>
                <w:sz w:val="24"/>
                <w:szCs w:val="24"/>
              </w:rPr>
              <w:t xml:space="preserve">0.138 </w:t>
            </w:r>
            <w:r>
              <w:rPr>
                <w:spacing w:val="-5"/>
                <w:sz w:val="24"/>
                <w:szCs w:val="24"/>
              </w:rPr>
              <w:t xml:space="preserve"> </w:t>
            </w:r>
            <w:r>
              <w:rPr>
                <w:spacing w:val="-2"/>
                <w:sz w:val="24"/>
                <w:szCs w:val="24"/>
              </w:rPr>
              <w:t>±</w:t>
            </w:r>
            <w:proofErr w:type="gramEnd"/>
            <w:r>
              <w:rPr>
                <w:spacing w:val="-2"/>
                <w:sz w:val="24"/>
                <w:szCs w:val="24"/>
              </w:rPr>
              <w:t xml:space="preserve"> 0.332</w:t>
            </w:r>
          </w:p>
        </w:tc>
      </w:tr>
      <w:tr w:rsidR="007E54BE">
        <w:trPr>
          <w:trHeight w:val="654"/>
        </w:trPr>
        <w:tc>
          <w:tcPr>
            <w:tcW w:w="2049" w:type="dxa"/>
          </w:tcPr>
          <w:p w:rsidR="007E54BE" w:rsidRDefault="008F683E">
            <w:pPr>
              <w:pStyle w:val="TableParagraph"/>
              <w:spacing w:before="183"/>
              <w:rPr>
                <w:sz w:val="24"/>
                <w:szCs w:val="24"/>
              </w:rPr>
            </w:pPr>
            <w:r>
              <w:rPr>
                <w:spacing w:val="-4"/>
                <w:sz w:val="24"/>
                <w:szCs w:val="24"/>
              </w:rPr>
              <w:t>Zinc</w:t>
            </w:r>
          </w:p>
        </w:tc>
        <w:tc>
          <w:tcPr>
            <w:tcW w:w="1771" w:type="dxa"/>
          </w:tcPr>
          <w:p w:rsidR="007E54BE" w:rsidRDefault="008F683E">
            <w:pPr>
              <w:pStyle w:val="TableParagraph"/>
              <w:spacing w:before="183"/>
              <w:ind w:left="248"/>
              <w:rPr>
                <w:sz w:val="24"/>
                <w:szCs w:val="24"/>
              </w:rPr>
            </w:pPr>
            <w:proofErr w:type="gramStart"/>
            <w:r>
              <w:rPr>
                <w:spacing w:val="-2"/>
                <w:sz w:val="24"/>
                <w:szCs w:val="24"/>
              </w:rPr>
              <w:t xml:space="preserve">0.433 </w:t>
            </w:r>
            <w:r>
              <w:rPr>
                <w:spacing w:val="-5"/>
                <w:sz w:val="24"/>
                <w:szCs w:val="24"/>
              </w:rPr>
              <w:t xml:space="preserve"> </w:t>
            </w:r>
            <w:r>
              <w:rPr>
                <w:spacing w:val="-2"/>
                <w:sz w:val="24"/>
                <w:szCs w:val="24"/>
              </w:rPr>
              <w:t>±</w:t>
            </w:r>
            <w:proofErr w:type="gramEnd"/>
            <w:r>
              <w:rPr>
                <w:spacing w:val="-2"/>
                <w:sz w:val="24"/>
                <w:szCs w:val="24"/>
              </w:rPr>
              <w:t xml:space="preserve"> 0.021</w:t>
            </w:r>
          </w:p>
        </w:tc>
        <w:tc>
          <w:tcPr>
            <w:tcW w:w="1955" w:type="dxa"/>
          </w:tcPr>
          <w:p w:rsidR="007E54BE" w:rsidRDefault="008F683E">
            <w:pPr>
              <w:pStyle w:val="TableParagraph"/>
              <w:spacing w:before="183"/>
              <w:ind w:left="465"/>
              <w:rPr>
                <w:sz w:val="24"/>
                <w:szCs w:val="24"/>
              </w:rPr>
            </w:pPr>
            <w:proofErr w:type="gramStart"/>
            <w:r>
              <w:rPr>
                <w:spacing w:val="-2"/>
                <w:sz w:val="24"/>
                <w:szCs w:val="24"/>
              </w:rPr>
              <w:t xml:space="preserve">0.673 </w:t>
            </w:r>
            <w:r>
              <w:rPr>
                <w:spacing w:val="-5"/>
                <w:sz w:val="24"/>
                <w:szCs w:val="24"/>
              </w:rPr>
              <w:t xml:space="preserve"> </w:t>
            </w:r>
            <w:r>
              <w:rPr>
                <w:spacing w:val="-2"/>
                <w:sz w:val="24"/>
                <w:szCs w:val="24"/>
              </w:rPr>
              <w:t>±</w:t>
            </w:r>
            <w:proofErr w:type="gramEnd"/>
            <w:r>
              <w:rPr>
                <w:spacing w:val="-2"/>
                <w:sz w:val="24"/>
                <w:szCs w:val="24"/>
              </w:rPr>
              <w:t xml:space="preserve">  0.191</w:t>
            </w:r>
          </w:p>
        </w:tc>
        <w:tc>
          <w:tcPr>
            <w:tcW w:w="2955" w:type="dxa"/>
          </w:tcPr>
          <w:p w:rsidR="007E54BE" w:rsidRDefault="008F683E">
            <w:pPr>
              <w:pStyle w:val="TableParagraph"/>
              <w:spacing w:before="183"/>
              <w:ind w:left="616"/>
              <w:rPr>
                <w:sz w:val="24"/>
                <w:szCs w:val="24"/>
              </w:rPr>
            </w:pPr>
            <w:proofErr w:type="gramStart"/>
            <w:r>
              <w:rPr>
                <w:spacing w:val="-2"/>
                <w:sz w:val="24"/>
                <w:szCs w:val="24"/>
              </w:rPr>
              <w:t xml:space="preserve">0.104 </w:t>
            </w:r>
            <w:r>
              <w:rPr>
                <w:spacing w:val="-5"/>
                <w:sz w:val="24"/>
                <w:szCs w:val="24"/>
              </w:rPr>
              <w:t xml:space="preserve"> </w:t>
            </w:r>
            <w:r>
              <w:rPr>
                <w:spacing w:val="-2"/>
                <w:sz w:val="24"/>
                <w:szCs w:val="24"/>
              </w:rPr>
              <w:t>±</w:t>
            </w:r>
            <w:proofErr w:type="gramEnd"/>
            <w:r>
              <w:rPr>
                <w:spacing w:val="-2"/>
                <w:sz w:val="24"/>
                <w:szCs w:val="24"/>
              </w:rPr>
              <w:t xml:space="preserve"> 0.211</w:t>
            </w:r>
          </w:p>
        </w:tc>
      </w:tr>
      <w:tr w:rsidR="007E54BE">
        <w:trPr>
          <w:trHeight w:val="653"/>
        </w:trPr>
        <w:tc>
          <w:tcPr>
            <w:tcW w:w="2049" w:type="dxa"/>
          </w:tcPr>
          <w:p w:rsidR="007E54BE" w:rsidRDefault="008F683E">
            <w:pPr>
              <w:pStyle w:val="TableParagraph"/>
              <w:spacing w:before="184"/>
              <w:rPr>
                <w:sz w:val="24"/>
                <w:szCs w:val="24"/>
              </w:rPr>
            </w:pPr>
            <w:r>
              <w:rPr>
                <w:spacing w:val="-4"/>
                <w:sz w:val="24"/>
                <w:szCs w:val="24"/>
              </w:rPr>
              <w:t>Iron</w:t>
            </w:r>
          </w:p>
        </w:tc>
        <w:tc>
          <w:tcPr>
            <w:tcW w:w="1771" w:type="dxa"/>
          </w:tcPr>
          <w:p w:rsidR="007E54BE" w:rsidRDefault="008F683E">
            <w:pPr>
              <w:pStyle w:val="TableParagraph"/>
              <w:spacing w:before="184"/>
              <w:ind w:left="248"/>
              <w:rPr>
                <w:sz w:val="24"/>
                <w:szCs w:val="24"/>
              </w:rPr>
            </w:pPr>
            <w:proofErr w:type="gramStart"/>
            <w:r>
              <w:rPr>
                <w:spacing w:val="-2"/>
                <w:sz w:val="24"/>
                <w:szCs w:val="24"/>
              </w:rPr>
              <w:t xml:space="preserve">0.278 </w:t>
            </w:r>
            <w:r>
              <w:rPr>
                <w:spacing w:val="-5"/>
                <w:sz w:val="24"/>
                <w:szCs w:val="24"/>
              </w:rPr>
              <w:t xml:space="preserve"> </w:t>
            </w:r>
            <w:r>
              <w:rPr>
                <w:spacing w:val="-2"/>
                <w:sz w:val="24"/>
                <w:szCs w:val="24"/>
              </w:rPr>
              <w:t>±</w:t>
            </w:r>
            <w:proofErr w:type="gramEnd"/>
            <w:r>
              <w:rPr>
                <w:spacing w:val="-2"/>
                <w:sz w:val="24"/>
                <w:szCs w:val="24"/>
              </w:rPr>
              <w:t xml:space="preserve"> 0.111 </w:t>
            </w:r>
          </w:p>
        </w:tc>
        <w:tc>
          <w:tcPr>
            <w:tcW w:w="1955" w:type="dxa"/>
          </w:tcPr>
          <w:p w:rsidR="007E54BE" w:rsidRDefault="008F683E">
            <w:pPr>
              <w:pStyle w:val="TableParagraph"/>
              <w:spacing w:before="184"/>
              <w:ind w:left="465"/>
              <w:rPr>
                <w:sz w:val="24"/>
                <w:szCs w:val="24"/>
              </w:rPr>
            </w:pPr>
            <w:proofErr w:type="gramStart"/>
            <w:r>
              <w:rPr>
                <w:spacing w:val="-2"/>
                <w:sz w:val="24"/>
                <w:szCs w:val="24"/>
              </w:rPr>
              <w:t xml:space="preserve">0.904 </w:t>
            </w:r>
            <w:r>
              <w:rPr>
                <w:spacing w:val="-5"/>
                <w:sz w:val="24"/>
                <w:szCs w:val="24"/>
              </w:rPr>
              <w:t xml:space="preserve"> </w:t>
            </w:r>
            <w:r>
              <w:rPr>
                <w:spacing w:val="-2"/>
                <w:sz w:val="24"/>
                <w:szCs w:val="24"/>
              </w:rPr>
              <w:t>±</w:t>
            </w:r>
            <w:proofErr w:type="gramEnd"/>
            <w:r>
              <w:rPr>
                <w:spacing w:val="-2"/>
                <w:sz w:val="24"/>
                <w:szCs w:val="24"/>
              </w:rPr>
              <w:t xml:space="preserve"> 0.331 </w:t>
            </w:r>
          </w:p>
        </w:tc>
        <w:tc>
          <w:tcPr>
            <w:tcW w:w="2955" w:type="dxa"/>
          </w:tcPr>
          <w:p w:rsidR="007E54BE" w:rsidRDefault="008F683E">
            <w:pPr>
              <w:pStyle w:val="TableParagraph"/>
              <w:spacing w:before="184"/>
              <w:ind w:left="616"/>
              <w:rPr>
                <w:sz w:val="24"/>
                <w:szCs w:val="24"/>
              </w:rPr>
            </w:pPr>
            <w:proofErr w:type="gramStart"/>
            <w:r>
              <w:rPr>
                <w:spacing w:val="-2"/>
                <w:sz w:val="24"/>
                <w:szCs w:val="24"/>
              </w:rPr>
              <w:t xml:space="preserve">0.127 </w:t>
            </w:r>
            <w:r>
              <w:rPr>
                <w:spacing w:val="-5"/>
                <w:sz w:val="24"/>
                <w:szCs w:val="24"/>
              </w:rPr>
              <w:t xml:space="preserve"> </w:t>
            </w:r>
            <w:r>
              <w:rPr>
                <w:spacing w:val="-2"/>
                <w:sz w:val="24"/>
                <w:szCs w:val="24"/>
              </w:rPr>
              <w:t>±</w:t>
            </w:r>
            <w:proofErr w:type="gramEnd"/>
            <w:r>
              <w:rPr>
                <w:spacing w:val="-2"/>
                <w:sz w:val="24"/>
                <w:szCs w:val="24"/>
              </w:rPr>
              <w:t xml:space="preserve"> 0.218</w:t>
            </w:r>
          </w:p>
        </w:tc>
      </w:tr>
      <w:tr w:rsidR="007E54BE">
        <w:trPr>
          <w:trHeight w:val="603"/>
        </w:trPr>
        <w:tc>
          <w:tcPr>
            <w:tcW w:w="2049" w:type="dxa"/>
            <w:tcBorders>
              <w:bottom w:val="single" w:sz="4" w:space="0" w:color="000000"/>
            </w:tcBorders>
          </w:tcPr>
          <w:p w:rsidR="007E54BE" w:rsidRDefault="008F683E">
            <w:pPr>
              <w:pStyle w:val="TableParagraph"/>
              <w:spacing w:before="183"/>
              <w:rPr>
                <w:sz w:val="24"/>
                <w:szCs w:val="24"/>
              </w:rPr>
            </w:pPr>
            <w:r>
              <w:rPr>
                <w:spacing w:val="-5"/>
                <w:sz w:val="24"/>
                <w:szCs w:val="24"/>
              </w:rPr>
              <w:t>Cd</w:t>
            </w:r>
          </w:p>
        </w:tc>
        <w:tc>
          <w:tcPr>
            <w:tcW w:w="1771" w:type="dxa"/>
            <w:tcBorders>
              <w:bottom w:val="single" w:sz="4" w:space="0" w:color="000000"/>
            </w:tcBorders>
          </w:tcPr>
          <w:p w:rsidR="007E54BE" w:rsidRDefault="008F683E">
            <w:pPr>
              <w:pStyle w:val="TableParagraph"/>
              <w:spacing w:before="183"/>
              <w:ind w:firstLineChars="100" w:firstLine="235"/>
              <w:rPr>
                <w:sz w:val="24"/>
                <w:szCs w:val="24"/>
              </w:rPr>
            </w:pPr>
            <w:proofErr w:type="spellStart"/>
            <w:r>
              <w:rPr>
                <w:spacing w:val="-5"/>
                <w:sz w:val="24"/>
                <w:szCs w:val="24"/>
              </w:rPr>
              <w:t>n.d</w:t>
            </w:r>
            <w:proofErr w:type="spellEnd"/>
            <w:r>
              <w:rPr>
                <w:spacing w:val="-5"/>
                <w:sz w:val="24"/>
                <w:szCs w:val="24"/>
              </w:rPr>
              <w:t xml:space="preserve"> </w:t>
            </w:r>
            <w:r>
              <w:rPr>
                <w:spacing w:val="-2"/>
                <w:sz w:val="24"/>
                <w:szCs w:val="24"/>
              </w:rPr>
              <w:t>± 0.000</w:t>
            </w:r>
          </w:p>
        </w:tc>
        <w:tc>
          <w:tcPr>
            <w:tcW w:w="1955" w:type="dxa"/>
            <w:tcBorders>
              <w:bottom w:val="single" w:sz="4" w:space="0" w:color="000000"/>
            </w:tcBorders>
          </w:tcPr>
          <w:p w:rsidR="007E54BE" w:rsidRDefault="008F683E">
            <w:pPr>
              <w:pStyle w:val="TableParagraph"/>
              <w:spacing w:before="183"/>
              <w:ind w:left="630"/>
              <w:rPr>
                <w:sz w:val="24"/>
                <w:szCs w:val="24"/>
              </w:rPr>
            </w:pPr>
            <w:proofErr w:type="spellStart"/>
            <w:r>
              <w:rPr>
                <w:spacing w:val="-5"/>
                <w:sz w:val="24"/>
                <w:szCs w:val="24"/>
              </w:rPr>
              <w:t>n.d</w:t>
            </w:r>
            <w:proofErr w:type="spellEnd"/>
            <w:r>
              <w:rPr>
                <w:spacing w:val="-5"/>
                <w:sz w:val="24"/>
                <w:szCs w:val="24"/>
              </w:rPr>
              <w:t xml:space="preserve"> </w:t>
            </w:r>
            <w:r>
              <w:rPr>
                <w:spacing w:val="-2"/>
                <w:sz w:val="24"/>
                <w:szCs w:val="24"/>
              </w:rPr>
              <w:t>± 0.000</w:t>
            </w:r>
          </w:p>
        </w:tc>
        <w:tc>
          <w:tcPr>
            <w:tcW w:w="2955" w:type="dxa"/>
            <w:tcBorders>
              <w:bottom w:val="single" w:sz="4" w:space="0" w:color="000000"/>
            </w:tcBorders>
          </w:tcPr>
          <w:p w:rsidR="007E54BE" w:rsidRDefault="008F683E">
            <w:pPr>
              <w:pStyle w:val="TableParagraph"/>
              <w:spacing w:before="183"/>
              <w:ind w:left="688"/>
              <w:rPr>
                <w:sz w:val="24"/>
                <w:szCs w:val="24"/>
              </w:rPr>
            </w:pPr>
            <w:proofErr w:type="spellStart"/>
            <w:r>
              <w:rPr>
                <w:spacing w:val="-5"/>
                <w:sz w:val="24"/>
                <w:szCs w:val="24"/>
              </w:rPr>
              <w:t>n.d</w:t>
            </w:r>
            <w:proofErr w:type="spellEnd"/>
            <w:r>
              <w:rPr>
                <w:spacing w:val="-5"/>
                <w:sz w:val="24"/>
                <w:szCs w:val="24"/>
              </w:rPr>
              <w:t xml:space="preserve"> </w:t>
            </w:r>
            <w:r>
              <w:rPr>
                <w:spacing w:val="-2"/>
                <w:sz w:val="24"/>
                <w:szCs w:val="24"/>
              </w:rPr>
              <w:t>± 0.000</w:t>
            </w:r>
          </w:p>
        </w:tc>
      </w:tr>
    </w:tbl>
    <w:p w:rsidR="007E54BE" w:rsidRDefault="008F683E">
      <w:pPr>
        <w:pStyle w:val="BodyText"/>
        <w:spacing w:before="22"/>
        <w:rPr>
          <w:b/>
        </w:rPr>
      </w:pPr>
      <w:proofErr w:type="spellStart"/>
      <w:r>
        <w:rPr>
          <w:b/>
        </w:rPr>
        <w:t>N.d</w:t>
      </w:r>
      <w:proofErr w:type="spellEnd"/>
      <w:r>
        <w:rPr>
          <w:b/>
        </w:rPr>
        <w:t>: not detectable</w:t>
      </w:r>
    </w:p>
    <w:p w:rsidR="007E54BE" w:rsidRDefault="007E54BE">
      <w:pPr>
        <w:pStyle w:val="BodyText"/>
        <w:spacing w:after="1"/>
        <w:rPr>
          <w:b/>
        </w:rPr>
      </w:pPr>
    </w:p>
    <w:p w:rsidR="007E54BE" w:rsidRDefault="008F683E">
      <w:pPr>
        <w:pStyle w:val="ListParagraph"/>
        <w:tabs>
          <w:tab w:val="left" w:pos="691"/>
        </w:tabs>
        <w:spacing w:before="79" w:line="357" w:lineRule="auto"/>
        <w:ind w:left="0" w:right="398" w:firstLine="0"/>
        <w:rPr>
          <w:b/>
          <w:sz w:val="24"/>
          <w:szCs w:val="24"/>
        </w:rPr>
      </w:pPr>
      <w:r>
        <w:rPr>
          <w:b/>
          <w:sz w:val="24"/>
          <w:szCs w:val="24"/>
        </w:rPr>
        <w:t>3.3 Concentration</w:t>
      </w:r>
      <w:r>
        <w:rPr>
          <w:b/>
          <w:spacing w:val="-4"/>
          <w:sz w:val="24"/>
          <w:szCs w:val="24"/>
        </w:rPr>
        <w:t xml:space="preserve"> o</w:t>
      </w:r>
      <w:r>
        <w:rPr>
          <w:b/>
          <w:sz w:val="24"/>
          <w:szCs w:val="24"/>
        </w:rPr>
        <w:t>f</w:t>
      </w:r>
      <w:r>
        <w:rPr>
          <w:b/>
          <w:spacing w:val="-3"/>
          <w:sz w:val="24"/>
          <w:szCs w:val="24"/>
        </w:rPr>
        <w:t xml:space="preserve"> </w:t>
      </w:r>
      <w:r>
        <w:rPr>
          <w:b/>
          <w:sz w:val="24"/>
          <w:szCs w:val="24"/>
        </w:rPr>
        <w:t>Lead,</w:t>
      </w:r>
      <w:r>
        <w:rPr>
          <w:b/>
          <w:spacing w:val="-3"/>
          <w:sz w:val="24"/>
          <w:szCs w:val="24"/>
        </w:rPr>
        <w:t xml:space="preserve"> </w:t>
      </w:r>
      <w:r>
        <w:rPr>
          <w:b/>
          <w:sz w:val="24"/>
          <w:szCs w:val="24"/>
        </w:rPr>
        <w:t>Zinc</w:t>
      </w:r>
      <w:r>
        <w:rPr>
          <w:b/>
          <w:spacing w:val="-5"/>
          <w:sz w:val="24"/>
          <w:szCs w:val="24"/>
        </w:rPr>
        <w:t xml:space="preserve"> a</w:t>
      </w:r>
      <w:r>
        <w:rPr>
          <w:b/>
          <w:sz w:val="24"/>
          <w:szCs w:val="24"/>
        </w:rPr>
        <w:t>nd</w:t>
      </w:r>
      <w:r>
        <w:rPr>
          <w:b/>
          <w:spacing w:val="-4"/>
          <w:sz w:val="24"/>
          <w:szCs w:val="24"/>
        </w:rPr>
        <w:t xml:space="preserve"> </w:t>
      </w:r>
      <w:r>
        <w:rPr>
          <w:b/>
          <w:sz w:val="24"/>
          <w:szCs w:val="24"/>
        </w:rPr>
        <w:t>Iron</w:t>
      </w:r>
      <w:r>
        <w:rPr>
          <w:b/>
          <w:spacing w:val="-3"/>
          <w:sz w:val="24"/>
          <w:szCs w:val="24"/>
        </w:rPr>
        <w:t xml:space="preserve"> i</w:t>
      </w:r>
      <w:r>
        <w:rPr>
          <w:b/>
          <w:sz w:val="24"/>
          <w:szCs w:val="24"/>
        </w:rPr>
        <w:t>n</w:t>
      </w:r>
      <w:r>
        <w:rPr>
          <w:b/>
          <w:spacing w:val="-4"/>
          <w:sz w:val="24"/>
          <w:szCs w:val="24"/>
        </w:rPr>
        <w:t xml:space="preserve"> </w:t>
      </w:r>
      <w:r>
        <w:rPr>
          <w:b/>
          <w:sz w:val="24"/>
          <w:szCs w:val="24"/>
        </w:rPr>
        <w:t>Snail,</w:t>
      </w:r>
      <w:r>
        <w:rPr>
          <w:b/>
          <w:spacing w:val="-3"/>
          <w:sz w:val="24"/>
          <w:szCs w:val="24"/>
        </w:rPr>
        <w:t xml:space="preserve"> </w:t>
      </w:r>
      <w:r>
        <w:rPr>
          <w:b/>
          <w:sz w:val="24"/>
          <w:szCs w:val="24"/>
        </w:rPr>
        <w:t>Catfish</w:t>
      </w:r>
      <w:r>
        <w:rPr>
          <w:b/>
          <w:spacing w:val="-3"/>
          <w:sz w:val="24"/>
          <w:szCs w:val="24"/>
        </w:rPr>
        <w:t xml:space="preserve"> </w:t>
      </w:r>
      <w:proofErr w:type="gramStart"/>
      <w:r>
        <w:rPr>
          <w:b/>
          <w:sz w:val="24"/>
          <w:szCs w:val="24"/>
        </w:rPr>
        <w:t>And</w:t>
      </w:r>
      <w:proofErr w:type="gramEnd"/>
      <w:r>
        <w:rPr>
          <w:b/>
          <w:spacing w:val="-4"/>
          <w:sz w:val="24"/>
          <w:szCs w:val="24"/>
        </w:rPr>
        <w:t xml:space="preserve"> </w:t>
      </w:r>
      <w:r>
        <w:rPr>
          <w:b/>
          <w:sz w:val="24"/>
          <w:szCs w:val="24"/>
        </w:rPr>
        <w:t xml:space="preserve">Periwinkle from </w:t>
      </w:r>
      <w:proofErr w:type="spellStart"/>
      <w:r>
        <w:rPr>
          <w:b/>
          <w:sz w:val="24"/>
          <w:szCs w:val="24"/>
        </w:rPr>
        <w:t>Ogbete</w:t>
      </w:r>
      <w:proofErr w:type="spellEnd"/>
      <w:r>
        <w:rPr>
          <w:b/>
          <w:sz w:val="24"/>
          <w:szCs w:val="24"/>
        </w:rPr>
        <w:t xml:space="preserve"> Market</w:t>
      </w:r>
    </w:p>
    <w:p w:rsidR="007E54BE" w:rsidRDefault="008F683E">
      <w:pPr>
        <w:spacing w:before="165" w:line="360" w:lineRule="auto"/>
        <w:ind w:right="366"/>
        <w:jc w:val="both"/>
        <w:rPr>
          <w:spacing w:val="-2"/>
          <w:sz w:val="24"/>
          <w:szCs w:val="24"/>
        </w:rPr>
      </w:pPr>
      <w:r>
        <w:rPr>
          <w:spacing w:val="-2"/>
          <w:sz w:val="24"/>
          <w:szCs w:val="24"/>
        </w:rPr>
        <w:t xml:space="preserve">In </w:t>
      </w:r>
      <w:proofErr w:type="spellStart"/>
      <w:r>
        <w:rPr>
          <w:spacing w:val="-2"/>
          <w:sz w:val="24"/>
          <w:szCs w:val="24"/>
        </w:rPr>
        <w:t>Ogbete</w:t>
      </w:r>
      <w:proofErr w:type="spellEnd"/>
      <w:r>
        <w:rPr>
          <w:spacing w:val="-2"/>
          <w:sz w:val="24"/>
          <w:szCs w:val="24"/>
        </w:rPr>
        <w:t xml:space="preserve"> region, lead concentrations were highest in all seafood samples (Table 3). In snail, lead was followed by zinc and then iron. Similarly, in catfish, lead was followed by iron and then zinc. In periwinkle, lead was followed by zinc and then iron. Overall, lead levels were consistently high across all species, while iron and zinc levels varied.</w:t>
      </w:r>
    </w:p>
    <w:p w:rsidR="007E54BE" w:rsidRDefault="007E54BE">
      <w:pPr>
        <w:spacing w:before="165" w:line="360" w:lineRule="auto"/>
        <w:ind w:right="366"/>
        <w:jc w:val="both"/>
        <w:rPr>
          <w:b/>
          <w:sz w:val="24"/>
          <w:szCs w:val="24"/>
        </w:rPr>
      </w:pPr>
    </w:p>
    <w:p w:rsidR="007E54BE" w:rsidRDefault="007E54BE">
      <w:pPr>
        <w:spacing w:before="165" w:line="360" w:lineRule="auto"/>
        <w:ind w:right="366"/>
        <w:jc w:val="both"/>
        <w:rPr>
          <w:b/>
          <w:sz w:val="24"/>
          <w:szCs w:val="24"/>
        </w:rPr>
      </w:pPr>
    </w:p>
    <w:p w:rsidR="007E54BE" w:rsidRDefault="007E54BE">
      <w:pPr>
        <w:spacing w:before="165" w:line="360" w:lineRule="auto"/>
        <w:ind w:right="366"/>
        <w:jc w:val="both"/>
        <w:rPr>
          <w:b/>
          <w:sz w:val="24"/>
          <w:szCs w:val="24"/>
        </w:rPr>
      </w:pPr>
    </w:p>
    <w:p w:rsidR="007E54BE" w:rsidRDefault="007E54BE">
      <w:pPr>
        <w:spacing w:before="165" w:line="360" w:lineRule="auto"/>
        <w:ind w:right="366"/>
        <w:jc w:val="both"/>
        <w:rPr>
          <w:b/>
          <w:sz w:val="24"/>
          <w:szCs w:val="24"/>
        </w:rPr>
      </w:pPr>
    </w:p>
    <w:p w:rsidR="007E54BE" w:rsidRDefault="008F683E">
      <w:pPr>
        <w:spacing w:before="165"/>
        <w:ind w:right="366"/>
        <w:jc w:val="both"/>
        <w:rPr>
          <w:b/>
          <w:sz w:val="24"/>
          <w:szCs w:val="24"/>
        </w:rPr>
      </w:pPr>
      <w:r>
        <w:rPr>
          <w:b/>
          <w:sz w:val="24"/>
          <w:szCs w:val="24"/>
        </w:rPr>
        <w:lastRenderedPageBreak/>
        <w:t xml:space="preserve">Table </w:t>
      </w:r>
      <w:bookmarkStart w:id="3" w:name="_GoBack"/>
      <w:bookmarkEnd w:id="3"/>
      <w:r>
        <w:rPr>
          <w:b/>
          <w:sz w:val="24"/>
          <w:szCs w:val="24"/>
        </w:rPr>
        <w:t>3: Concentration</w:t>
      </w:r>
      <w:r>
        <w:rPr>
          <w:b/>
          <w:spacing w:val="-4"/>
          <w:sz w:val="24"/>
          <w:szCs w:val="24"/>
        </w:rPr>
        <w:t xml:space="preserve"> o</w:t>
      </w:r>
      <w:r>
        <w:rPr>
          <w:b/>
          <w:sz w:val="24"/>
          <w:szCs w:val="24"/>
        </w:rPr>
        <w:t>f</w:t>
      </w:r>
      <w:r>
        <w:rPr>
          <w:b/>
          <w:spacing w:val="-3"/>
          <w:sz w:val="24"/>
          <w:szCs w:val="24"/>
        </w:rPr>
        <w:t xml:space="preserve"> </w:t>
      </w:r>
      <w:r>
        <w:rPr>
          <w:b/>
          <w:sz w:val="24"/>
          <w:szCs w:val="24"/>
        </w:rPr>
        <w:t>Lead,</w:t>
      </w:r>
      <w:r>
        <w:rPr>
          <w:b/>
          <w:spacing w:val="-3"/>
          <w:sz w:val="24"/>
          <w:szCs w:val="24"/>
        </w:rPr>
        <w:t xml:space="preserve"> </w:t>
      </w:r>
      <w:r>
        <w:rPr>
          <w:b/>
          <w:sz w:val="24"/>
          <w:szCs w:val="24"/>
        </w:rPr>
        <w:t>Zinc</w:t>
      </w:r>
      <w:r>
        <w:rPr>
          <w:b/>
          <w:spacing w:val="-5"/>
          <w:sz w:val="24"/>
          <w:szCs w:val="24"/>
        </w:rPr>
        <w:t xml:space="preserve"> a</w:t>
      </w:r>
      <w:r>
        <w:rPr>
          <w:b/>
          <w:sz w:val="24"/>
          <w:szCs w:val="24"/>
        </w:rPr>
        <w:t>nd</w:t>
      </w:r>
      <w:r>
        <w:rPr>
          <w:b/>
          <w:spacing w:val="-4"/>
          <w:sz w:val="24"/>
          <w:szCs w:val="24"/>
        </w:rPr>
        <w:t xml:space="preserve"> </w:t>
      </w:r>
      <w:r>
        <w:rPr>
          <w:b/>
          <w:sz w:val="24"/>
          <w:szCs w:val="24"/>
        </w:rPr>
        <w:t>Iron</w:t>
      </w:r>
      <w:r>
        <w:rPr>
          <w:b/>
          <w:spacing w:val="-3"/>
          <w:sz w:val="24"/>
          <w:szCs w:val="24"/>
        </w:rPr>
        <w:t xml:space="preserve"> i</w:t>
      </w:r>
      <w:r>
        <w:rPr>
          <w:b/>
          <w:sz w:val="24"/>
          <w:szCs w:val="24"/>
        </w:rPr>
        <w:t>n</w:t>
      </w:r>
      <w:r>
        <w:rPr>
          <w:b/>
          <w:spacing w:val="-4"/>
          <w:sz w:val="24"/>
          <w:szCs w:val="24"/>
        </w:rPr>
        <w:t xml:space="preserve"> </w:t>
      </w:r>
      <w:r>
        <w:rPr>
          <w:b/>
          <w:sz w:val="24"/>
          <w:szCs w:val="24"/>
        </w:rPr>
        <w:t>Snail,</w:t>
      </w:r>
      <w:r>
        <w:rPr>
          <w:b/>
          <w:spacing w:val="-3"/>
          <w:sz w:val="24"/>
          <w:szCs w:val="24"/>
        </w:rPr>
        <w:t xml:space="preserve"> </w:t>
      </w:r>
      <w:r>
        <w:rPr>
          <w:b/>
          <w:sz w:val="24"/>
          <w:szCs w:val="24"/>
        </w:rPr>
        <w:t>Catfish</w:t>
      </w:r>
      <w:r>
        <w:rPr>
          <w:b/>
          <w:spacing w:val="-3"/>
          <w:sz w:val="24"/>
          <w:szCs w:val="24"/>
        </w:rPr>
        <w:t xml:space="preserve"> </w:t>
      </w:r>
      <w:r>
        <w:rPr>
          <w:b/>
          <w:sz w:val="24"/>
          <w:szCs w:val="24"/>
        </w:rPr>
        <w:t>And</w:t>
      </w:r>
      <w:r>
        <w:rPr>
          <w:b/>
          <w:spacing w:val="-4"/>
          <w:sz w:val="24"/>
          <w:szCs w:val="24"/>
        </w:rPr>
        <w:t xml:space="preserve"> </w:t>
      </w:r>
      <w:r>
        <w:rPr>
          <w:b/>
          <w:sz w:val="24"/>
          <w:szCs w:val="24"/>
        </w:rPr>
        <w:t xml:space="preserve">Periwinkle from </w:t>
      </w:r>
      <w:proofErr w:type="spellStart"/>
      <w:r>
        <w:rPr>
          <w:b/>
          <w:sz w:val="24"/>
          <w:szCs w:val="24"/>
        </w:rPr>
        <w:t>Ogbete</w:t>
      </w:r>
      <w:proofErr w:type="spellEnd"/>
      <w:r>
        <w:rPr>
          <w:b/>
          <w:sz w:val="24"/>
          <w:szCs w:val="24"/>
        </w:rPr>
        <w:t xml:space="preserve"> Market</w:t>
      </w:r>
    </w:p>
    <w:tbl>
      <w:tblPr>
        <w:tblpPr w:leftFromText="180" w:rightFromText="180" w:vertAnchor="text" w:horzAnchor="page" w:tblpX="1387" w:tblpY="179"/>
        <w:tblOverlap w:val="never"/>
        <w:tblW w:w="0" w:type="auto"/>
        <w:tblLayout w:type="fixed"/>
        <w:tblCellMar>
          <w:left w:w="0" w:type="dxa"/>
          <w:right w:w="0" w:type="dxa"/>
        </w:tblCellMar>
        <w:tblLook w:val="04A0" w:firstRow="1" w:lastRow="0" w:firstColumn="1" w:lastColumn="0" w:noHBand="0" w:noVBand="1"/>
      </w:tblPr>
      <w:tblGrid>
        <w:gridCol w:w="2263"/>
        <w:gridCol w:w="2077"/>
        <w:gridCol w:w="1785"/>
        <w:gridCol w:w="3258"/>
      </w:tblGrid>
      <w:tr w:rsidR="007E54BE">
        <w:trPr>
          <w:trHeight w:val="652"/>
        </w:trPr>
        <w:tc>
          <w:tcPr>
            <w:tcW w:w="2263" w:type="dxa"/>
            <w:tcBorders>
              <w:top w:val="single" w:sz="4" w:space="0" w:color="000000"/>
              <w:bottom w:val="single" w:sz="4" w:space="0" w:color="000000"/>
            </w:tcBorders>
          </w:tcPr>
          <w:p w:rsidR="007E54BE" w:rsidRDefault="008F683E">
            <w:pPr>
              <w:pStyle w:val="TableParagraph"/>
              <w:rPr>
                <w:sz w:val="24"/>
                <w:szCs w:val="24"/>
              </w:rPr>
            </w:pPr>
            <w:r>
              <w:rPr>
                <w:sz w:val="24"/>
                <w:szCs w:val="24"/>
              </w:rPr>
              <w:t>Parameters</w:t>
            </w:r>
            <w:r>
              <w:rPr>
                <w:spacing w:val="-3"/>
                <w:sz w:val="24"/>
                <w:szCs w:val="24"/>
              </w:rPr>
              <w:t xml:space="preserve"> </w:t>
            </w:r>
            <w:r>
              <w:rPr>
                <w:spacing w:val="-2"/>
                <w:sz w:val="24"/>
                <w:szCs w:val="24"/>
              </w:rPr>
              <w:t>(m/kg)</w:t>
            </w:r>
          </w:p>
        </w:tc>
        <w:tc>
          <w:tcPr>
            <w:tcW w:w="2077" w:type="dxa"/>
            <w:tcBorders>
              <w:top w:val="single" w:sz="4" w:space="0" w:color="000000"/>
              <w:bottom w:val="single" w:sz="4" w:space="0" w:color="000000"/>
            </w:tcBorders>
          </w:tcPr>
          <w:p w:rsidR="007E54BE" w:rsidRDefault="008F683E">
            <w:pPr>
              <w:pStyle w:val="TableParagraph"/>
              <w:ind w:left="372"/>
              <w:rPr>
                <w:sz w:val="24"/>
                <w:szCs w:val="24"/>
              </w:rPr>
            </w:pPr>
            <w:proofErr w:type="spellStart"/>
            <w:r>
              <w:rPr>
                <w:sz w:val="24"/>
                <w:szCs w:val="24"/>
              </w:rPr>
              <w:t>Ogbete</w:t>
            </w:r>
            <w:proofErr w:type="spellEnd"/>
            <w:r>
              <w:rPr>
                <w:spacing w:val="-2"/>
                <w:sz w:val="24"/>
                <w:szCs w:val="24"/>
              </w:rPr>
              <w:t xml:space="preserve"> Snail</w:t>
            </w:r>
          </w:p>
        </w:tc>
        <w:tc>
          <w:tcPr>
            <w:tcW w:w="1785" w:type="dxa"/>
            <w:tcBorders>
              <w:top w:val="single" w:sz="4" w:space="0" w:color="000000"/>
              <w:bottom w:val="single" w:sz="4" w:space="0" w:color="000000"/>
            </w:tcBorders>
          </w:tcPr>
          <w:p w:rsidR="007E54BE" w:rsidRDefault="008F683E">
            <w:pPr>
              <w:pStyle w:val="TableParagraph"/>
              <w:ind w:left="520"/>
              <w:rPr>
                <w:sz w:val="24"/>
                <w:szCs w:val="24"/>
              </w:rPr>
            </w:pPr>
            <w:r>
              <w:rPr>
                <w:spacing w:val="-2"/>
                <w:sz w:val="24"/>
                <w:szCs w:val="24"/>
              </w:rPr>
              <w:t>Catfish</w:t>
            </w:r>
          </w:p>
        </w:tc>
        <w:tc>
          <w:tcPr>
            <w:tcW w:w="3258" w:type="dxa"/>
            <w:tcBorders>
              <w:top w:val="single" w:sz="4" w:space="0" w:color="000000"/>
              <w:bottom w:val="single" w:sz="4" w:space="0" w:color="000000"/>
            </w:tcBorders>
          </w:tcPr>
          <w:p w:rsidR="007E54BE" w:rsidRDefault="008F683E">
            <w:pPr>
              <w:pStyle w:val="TableParagraph"/>
              <w:ind w:left="571"/>
              <w:rPr>
                <w:sz w:val="24"/>
                <w:szCs w:val="24"/>
              </w:rPr>
            </w:pPr>
            <w:r>
              <w:rPr>
                <w:spacing w:val="-2"/>
                <w:sz w:val="24"/>
                <w:szCs w:val="24"/>
              </w:rPr>
              <w:t>Periwinkle</w:t>
            </w:r>
          </w:p>
        </w:tc>
      </w:tr>
      <w:tr w:rsidR="007E54BE">
        <w:trPr>
          <w:trHeight w:val="726"/>
        </w:trPr>
        <w:tc>
          <w:tcPr>
            <w:tcW w:w="2263" w:type="dxa"/>
            <w:tcBorders>
              <w:top w:val="single" w:sz="4" w:space="0" w:color="000000"/>
            </w:tcBorders>
          </w:tcPr>
          <w:p w:rsidR="007E54BE" w:rsidRDefault="008F683E">
            <w:pPr>
              <w:pStyle w:val="TableParagraph"/>
              <w:rPr>
                <w:sz w:val="24"/>
                <w:szCs w:val="24"/>
              </w:rPr>
            </w:pPr>
            <w:r>
              <w:rPr>
                <w:spacing w:val="-4"/>
                <w:sz w:val="24"/>
                <w:szCs w:val="24"/>
              </w:rPr>
              <w:t>Lead</w:t>
            </w:r>
          </w:p>
        </w:tc>
        <w:tc>
          <w:tcPr>
            <w:tcW w:w="2077" w:type="dxa"/>
            <w:tcBorders>
              <w:top w:val="single" w:sz="4" w:space="0" w:color="000000"/>
            </w:tcBorders>
          </w:tcPr>
          <w:p w:rsidR="007E54BE" w:rsidRDefault="008F683E">
            <w:pPr>
              <w:pStyle w:val="TableParagraph"/>
              <w:spacing w:before="239"/>
              <w:ind w:left="372"/>
              <w:rPr>
                <w:sz w:val="24"/>
                <w:szCs w:val="24"/>
              </w:rPr>
            </w:pPr>
            <w:r>
              <w:rPr>
                <w:spacing w:val="-2"/>
                <w:sz w:val="24"/>
                <w:szCs w:val="24"/>
              </w:rPr>
              <w:t>1.322 ± 0.426</w:t>
            </w:r>
          </w:p>
        </w:tc>
        <w:tc>
          <w:tcPr>
            <w:tcW w:w="1785" w:type="dxa"/>
            <w:tcBorders>
              <w:top w:val="single" w:sz="4" w:space="0" w:color="000000"/>
            </w:tcBorders>
          </w:tcPr>
          <w:p w:rsidR="007E54BE" w:rsidRDefault="008F683E">
            <w:pPr>
              <w:pStyle w:val="TableParagraph"/>
              <w:spacing w:before="239"/>
              <w:ind w:left="460"/>
              <w:rPr>
                <w:sz w:val="24"/>
                <w:szCs w:val="24"/>
              </w:rPr>
            </w:pPr>
            <w:r>
              <w:rPr>
                <w:spacing w:val="-2"/>
                <w:sz w:val="24"/>
                <w:szCs w:val="24"/>
              </w:rPr>
              <w:t>0.672 ± 0.034</w:t>
            </w:r>
          </w:p>
        </w:tc>
        <w:tc>
          <w:tcPr>
            <w:tcW w:w="3258" w:type="dxa"/>
            <w:tcBorders>
              <w:top w:val="single" w:sz="4" w:space="0" w:color="000000"/>
            </w:tcBorders>
          </w:tcPr>
          <w:p w:rsidR="007E54BE" w:rsidRDefault="008F683E">
            <w:pPr>
              <w:pStyle w:val="TableParagraph"/>
              <w:spacing w:before="239"/>
              <w:ind w:left="571"/>
              <w:rPr>
                <w:sz w:val="24"/>
                <w:szCs w:val="24"/>
              </w:rPr>
            </w:pPr>
            <w:r>
              <w:rPr>
                <w:spacing w:val="-2"/>
                <w:sz w:val="24"/>
                <w:szCs w:val="24"/>
              </w:rPr>
              <w:t>0.167 ± 0.391</w:t>
            </w:r>
          </w:p>
        </w:tc>
      </w:tr>
      <w:tr w:rsidR="007E54BE">
        <w:trPr>
          <w:trHeight w:val="680"/>
        </w:trPr>
        <w:tc>
          <w:tcPr>
            <w:tcW w:w="2263" w:type="dxa"/>
          </w:tcPr>
          <w:p w:rsidR="007E54BE" w:rsidRDefault="008F683E">
            <w:pPr>
              <w:pStyle w:val="TableParagraph"/>
              <w:spacing w:before="189"/>
              <w:rPr>
                <w:sz w:val="24"/>
                <w:szCs w:val="24"/>
              </w:rPr>
            </w:pPr>
            <w:r>
              <w:rPr>
                <w:spacing w:val="-4"/>
                <w:sz w:val="24"/>
                <w:szCs w:val="24"/>
              </w:rPr>
              <w:t>Zinc</w:t>
            </w:r>
          </w:p>
        </w:tc>
        <w:tc>
          <w:tcPr>
            <w:tcW w:w="2077" w:type="dxa"/>
          </w:tcPr>
          <w:p w:rsidR="007E54BE" w:rsidRDefault="008F683E">
            <w:pPr>
              <w:pStyle w:val="TableParagraph"/>
              <w:spacing w:before="194"/>
              <w:ind w:left="372"/>
              <w:rPr>
                <w:sz w:val="24"/>
                <w:szCs w:val="24"/>
              </w:rPr>
            </w:pPr>
            <w:proofErr w:type="gramStart"/>
            <w:r>
              <w:rPr>
                <w:spacing w:val="-2"/>
                <w:sz w:val="24"/>
                <w:szCs w:val="24"/>
              </w:rPr>
              <w:t>0.978  ±</w:t>
            </w:r>
            <w:proofErr w:type="gramEnd"/>
            <w:r>
              <w:rPr>
                <w:spacing w:val="-2"/>
                <w:sz w:val="24"/>
                <w:szCs w:val="24"/>
              </w:rPr>
              <w:t xml:space="preserve"> 0.321</w:t>
            </w:r>
          </w:p>
        </w:tc>
        <w:tc>
          <w:tcPr>
            <w:tcW w:w="1785" w:type="dxa"/>
          </w:tcPr>
          <w:p w:rsidR="007E54BE" w:rsidRDefault="008F683E">
            <w:pPr>
              <w:pStyle w:val="TableParagraph"/>
              <w:spacing w:before="194"/>
              <w:ind w:left="460"/>
              <w:rPr>
                <w:sz w:val="24"/>
                <w:szCs w:val="24"/>
              </w:rPr>
            </w:pPr>
            <w:r>
              <w:rPr>
                <w:spacing w:val="-2"/>
                <w:sz w:val="24"/>
                <w:szCs w:val="24"/>
              </w:rPr>
              <w:t>0.467 ± 0.040</w:t>
            </w:r>
          </w:p>
        </w:tc>
        <w:tc>
          <w:tcPr>
            <w:tcW w:w="3258" w:type="dxa"/>
          </w:tcPr>
          <w:p w:rsidR="007E54BE" w:rsidRDefault="008F683E">
            <w:pPr>
              <w:pStyle w:val="TableParagraph"/>
              <w:spacing w:before="194"/>
              <w:ind w:left="571"/>
              <w:rPr>
                <w:sz w:val="24"/>
                <w:szCs w:val="24"/>
              </w:rPr>
            </w:pPr>
            <w:r>
              <w:rPr>
                <w:spacing w:val="-2"/>
                <w:sz w:val="24"/>
                <w:szCs w:val="24"/>
              </w:rPr>
              <w:t>0.128 ± 0.280</w:t>
            </w:r>
          </w:p>
        </w:tc>
      </w:tr>
      <w:tr w:rsidR="007E54BE">
        <w:trPr>
          <w:trHeight w:val="679"/>
        </w:trPr>
        <w:tc>
          <w:tcPr>
            <w:tcW w:w="2263" w:type="dxa"/>
          </w:tcPr>
          <w:p w:rsidR="007E54BE" w:rsidRDefault="008F683E">
            <w:pPr>
              <w:pStyle w:val="TableParagraph"/>
              <w:spacing w:before="188"/>
              <w:rPr>
                <w:sz w:val="24"/>
                <w:szCs w:val="24"/>
              </w:rPr>
            </w:pPr>
            <w:r>
              <w:rPr>
                <w:spacing w:val="-4"/>
                <w:sz w:val="24"/>
                <w:szCs w:val="24"/>
              </w:rPr>
              <w:t>Iron</w:t>
            </w:r>
          </w:p>
        </w:tc>
        <w:tc>
          <w:tcPr>
            <w:tcW w:w="2077" w:type="dxa"/>
          </w:tcPr>
          <w:p w:rsidR="007E54BE" w:rsidRDefault="008F683E">
            <w:pPr>
              <w:pStyle w:val="TableParagraph"/>
              <w:spacing w:before="193"/>
              <w:ind w:left="372"/>
              <w:rPr>
                <w:sz w:val="24"/>
                <w:szCs w:val="24"/>
              </w:rPr>
            </w:pPr>
            <w:r>
              <w:rPr>
                <w:spacing w:val="-2"/>
                <w:sz w:val="24"/>
                <w:szCs w:val="24"/>
              </w:rPr>
              <w:t>0.838 ± 0.239</w:t>
            </w:r>
          </w:p>
        </w:tc>
        <w:tc>
          <w:tcPr>
            <w:tcW w:w="1785" w:type="dxa"/>
          </w:tcPr>
          <w:p w:rsidR="007E54BE" w:rsidRDefault="008F683E">
            <w:pPr>
              <w:pStyle w:val="TableParagraph"/>
              <w:spacing w:before="193"/>
              <w:ind w:left="460"/>
              <w:rPr>
                <w:sz w:val="24"/>
                <w:szCs w:val="24"/>
              </w:rPr>
            </w:pPr>
            <w:r>
              <w:rPr>
                <w:spacing w:val="-2"/>
                <w:sz w:val="24"/>
                <w:szCs w:val="24"/>
              </w:rPr>
              <w:t>0.563 ± 0.045</w:t>
            </w:r>
          </w:p>
        </w:tc>
        <w:tc>
          <w:tcPr>
            <w:tcW w:w="3258" w:type="dxa"/>
          </w:tcPr>
          <w:p w:rsidR="007E54BE" w:rsidRDefault="008F683E">
            <w:pPr>
              <w:pStyle w:val="TableParagraph"/>
              <w:spacing w:before="193"/>
              <w:ind w:left="571"/>
              <w:rPr>
                <w:sz w:val="24"/>
                <w:szCs w:val="24"/>
              </w:rPr>
            </w:pPr>
            <w:r>
              <w:rPr>
                <w:spacing w:val="-2"/>
                <w:sz w:val="24"/>
                <w:szCs w:val="24"/>
              </w:rPr>
              <w:t>0.097 ± 0.284</w:t>
            </w:r>
          </w:p>
        </w:tc>
      </w:tr>
      <w:tr w:rsidR="007E54BE">
        <w:trPr>
          <w:trHeight w:val="605"/>
        </w:trPr>
        <w:tc>
          <w:tcPr>
            <w:tcW w:w="2263" w:type="dxa"/>
            <w:tcBorders>
              <w:bottom w:val="single" w:sz="4" w:space="0" w:color="000000"/>
            </w:tcBorders>
          </w:tcPr>
          <w:p w:rsidR="007E54BE" w:rsidRDefault="008F683E">
            <w:pPr>
              <w:pStyle w:val="TableParagraph"/>
              <w:spacing w:before="187"/>
              <w:rPr>
                <w:sz w:val="24"/>
                <w:szCs w:val="24"/>
              </w:rPr>
            </w:pPr>
            <w:r>
              <w:rPr>
                <w:spacing w:val="-5"/>
                <w:sz w:val="24"/>
                <w:szCs w:val="24"/>
              </w:rPr>
              <w:t>Cd</w:t>
            </w:r>
          </w:p>
        </w:tc>
        <w:tc>
          <w:tcPr>
            <w:tcW w:w="2077" w:type="dxa"/>
            <w:tcBorders>
              <w:bottom w:val="single" w:sz="4" w:space="0" w:color="000000"/>
            </w:tcBorders>
          </w:tcPr>
          <w:p w:rsidR="007E54BE" w:rsidRDefault="008F683E">
            <w:pPr>
              <w:pStyle w:val="TableParagraph"/>
              <w:spacing w:before="187"/>
              <w:ind w:left="372"/>
              <w:rPr>
                <w:sz w:val="24"/>
                <w:szCs w:val="24"/>
              </w:rPr>
            </w:pPr>
            <w:proofErr w:type="spellStart"/>
            <w:proofErr w:type="gramStart"/>
            <w:r>
              <w:rPr>
                <w:spacing w:val="-5"/>
                <w:sz w:val="24"/>
                <w:szCs w:val="24"/>
              </w:rPr>
              <w:t>N.d</w:t>
            </w:r>
            <w:proofErr w:type="spellEnd"/>
            <w:proofErr w:type="gramEnd"/>
          </w:p>
        </w:tc>
        <w:tc>
          <w:tcPr>
            <w:tcW w:w="1785" w:type="dxa"/>
            <w:tcBorders>
              <w:bottom w:val="single" w:sz="4" w:space="0" w:color="000000"/>
            </w:tcBorders>
          </w:tcPr>
          <w:p w:rsidR="007E54BE" w:rsidRDefault="008F683E">
            <w:pPr>
              <w:pStyle w:val="TableParagraph"/>
              <w:spacing w:before="187"/>
              <w:ind w:left="460"/>
              <w:rPr>
                <w:sz w:val="24"/>
                <w:szCs w:val="24"/>
              </w:rPr>
            </w:pPr>
            <w:proofErr w:type="spellStart"/>
            <w:proofErr w:type="gramStart"/>
            <w:r>
              <w:rPr>
                <w:spacing w:val="-5"/>
                <w:sz w:val="24"/>
                <w:szCs w:val="24"/>
              </w:rPr>
              <w:t>N.d</w:t>
            </w:r>
            <w:proofErr w:type="spellEnd"/>
            <w:proofErr w:type="gramEnd"/>
          </w:p>
        </w:tc>
        <w:tc>
          <w:tcPr>
            <w:tcW w:w="3258" w:type="dxa"/>
            <w:tcBorders>
              <w:bottom w:val="single" w:sz="4" w:space="0" w:color="000000"/>
            </w:tcBorders>
          </w:tcPr>
          <w:p w:rsidR="007E54BE" w:rsidRDefault="008F683E">
            <w:pPr>
              <w:pStyle w:val="TableParagraph"/>
              <w:spacing w:before="187"/>
              <w:ind w:left="571"/>
              <w:rPr>
                <w:sz w:val="24"/>
                <w:szCs w:val="24"/>
              </w:rPr>
            </w:pPr>
            <w:proofErr w:type="spellStart"/>
            <w:proofErr w:type="gramStart"/>
            <w:r>
              <w:rPr>
                <w:spacing w:val="-5"/>
                <w:sz w:val="24"/>
                <w:szCs w:val="24"/>
              </w:rPr>
              <w:t>N.d</w:t>
            </w:r>
            <w:proofErr w:type="spellEnd"/>
            <w:proofErr w:type="gramEnd"/>
          </w:p>
        </w:tc>
      </w:tr>
    </w:tbl>
    <w:p w:rsidR="007E54BE" w:rsidRDefault="008F683E">
      <w:pPr>
        <w:pStyle w:val="BodyText"/>
        <w:spacing w:before="22"/>
        <w:rPr>
          <w:b/>
        </w:rPr>
      </w:pPr>
      <w:proofErr w:type="spellStart"/>
      <w:r>
        <w:rPr>
          <w:b/>
        </w:rPr>
        <w:t>N.d</w:t>
      </w:r>
      <w:proofErr w:type="spellEnd"/>
      <w:r>
        <w:rPr>
          <w:b/>
        </w:rPr>
        <w:t>: not detectable</w:t>
      </w:r>
    </w:p>
    <w:p w:rsidR="007E54BE" w:rsidRDefault="007E54BE">
      <w:pPr>
        <w:pStyle w:val="BodyText"/>
        <w:spacing w:before="22"/>
        <w:rPr>
          <w:b/>
        </w:rPr>
      </w:pPr>
    </w:p>
    <w:p w:rsidR="007E54BE" w:rsidRDefault="008F683E">
      <w:pPr>
        <w:pStyle w:val="ListParagraph"/>
        <w:tabs>
          <w:tab w:val="left" w:pos="3240"/>
        </w:tabs>
        <w:ind w:left="0" w:firstLine="0"/>
        <w:rPr>
          <w:sz w:val="24"/>
          <w:szCs w:val="24"/>
        </w:rPr>
      </w:pPr>
      <w:r>
        <w:rPr>
          <w:b/>
          <w:sz w:val="24"/>
          <w:szCs w:val="24"/>
        </w:rPr>
        <w:t>4.0 Discussion</w:t>
      </w:r>
      <w:r>
        <w:rPr>
          <w:b/>
          <w:spacing w:val="-1"/>
          <w:sz w:val="24"/>
          <w:szCs w:val="24"/>
        </w:rPr>
        <w:t xml:space="preserve"> </w:t>
      </w:r>
    </w:p>
    <w:p w:rsidR="007E54BE" w:rsidRDefault="008F683E">
      <w:pPr>
        <w:pStyle w:val="NormalWeb"/>
        <w:spacing w:line="360" w:lineRule="auto"/>
        <w:jc w:val="both"/>
      </w:pPr>
      <w:r>
        <w:t>The results of this study assessed the concentrations of lead (Pb), zinc (Zn), and iron (Fe) in catfish, snail, and periwinkle samples. All the analyzed metals were detectable in the seafood species, although their concentrations varied across species and locations.</w:t>
      </w:r>
    </w:p>
    <w:p w:rsidR="007E54BE" w:rsidRDefault="008F683E">
      <w:pPr>
        <w:pStyle w:val="NormalWeb"/>
        <w:spacing w:line="360" w:lineRule="auto"/>
        <w:jc w:val="both"/>
      </w:pPr>
      <w:r>
        <w:t>Lead is a non-essential trace metal with no known biological role in aquatic organisms and is toxic even at low concentrations, as it disrupts essential cellular and tissue functions (</w:t>
      </w:r>
      <w:proofErr w:type="spellStart"/>
      <w:r>
        <w:t>Generalova</w:t>
      </w:r>
      <w:proofErr w:type="spellEnd"/>
      <w:r>
        <w:t xml:space="preserve"> et al., 2025). In humans, exposure to high or lethal doses of lead can cause oxidative brain damage and has been linked to neurological disorders such as Meniere’s disease (Roth &amp; Salvi, 2016).</w:t>
      </w:r>
    </w:p>
    <w:p w:rsidR="007E54BE" w:rsidRDefault="008F683E">
      <w:pPr>
        <w:pStyle w:val="NormalWeb"/>
        <w:spacing w:line="360" w:lineRule="auto"/>
        <w:jc w:val="both"/>
        <w:rPr>
          <w:color w:val="FF0000"/>
        </w:rPr>
      </w:pPr>
      <w:r>
        <w:t>In Abakpa, lead was detected in all seafood samples, with the highest concentration in catfish (0.518 ± 0.159 mg/kg), followed by snail (0.204 ± 0.063 mg/kg), and periwinkle (0.158 ± 0.095 mg/kg). The elevated lead level in catfish may be attributed to its bottom-dwelling habit, which increases exposure to contaminated sediments that accumulate heavy metals from industrial discharge, agricultural runoff, and domestic waste (</w:t>
      </w:r>
      <w:proofErr w:type="spellStart"/>
      <w:r>
        <w:t>Mayila</w:t>
      </w:r>
      <w:proofErr w:type="spellEnd"/>
      <w:r>
        <w:t xml:space="preserve"> et al., 2024). Although snails and periwinkles also interact with sediments, differences in mobility, feeding behavior, metabolism, and exposure duration may limit their lead uptake (Delgado-Suárez et al., 2025). The presence of lead in all samples raises public health concerns, as excessive intake is associated with neurological, renal, and developmental disorders, particularly in children and pregnant women (Ara &amp; </w:t>
      </w:r>
      <w:proofErr w:type="spellStart"/>
      <w:r>
        <w:t>Usmani</w:t>
      </w:r>
      <w:proofErr w:type="spellEnd"/>
      <w:r>
        <w:t xml:space="preserve">, 2015; Jia et al., 2025). </w:t>
      </w:r>
      <w:r>
        <w:rPr>
          <w:color w:val="FF0000"/>
        </w:rPr>
        <w:t xml:space="preserve">The FAO (2003) recommended </w:t>
      </w:r>
      <w:r>
        <w:rPr>
          <w:color w:val="FF0000"/>
        </w:rPr>
        <w:lastRenderedPageBreak/>
        <w:t xml:space="preserve">maximum permissible limit for lead (Pb) in sea food is </w:t>
      </w:r>
      <w:r>
        <w:rPr>
          <w:rStyle w:val="Strong"/>
          <w:b w:val="0"/>
          <w:bCs w:val="0"/>
          <w:color w:val="FF0000"/>
        </w:rPr>
        <w:t>0.2 mg/kg</w:t>
      </w:r>
      <w:r>
        <w:rPr>
          <w:color w:val="FF0000"/>
        </w:rPr>
        <w:t xml:space="preserve">. The mean lead concentrations recorded in the analyzed samples were </w:t>
      </w:r>
      <w:r>
        <w:rPr>
          <w:rStyle w:val="Strong"/>
          <w:b w:val="0"/>
          <w:bCs w:val="0"/>
          <w:color w:val="FF0000"/>
        </w:rPr>
        <w:t>0.204 ± 0.063 mg/kg</w:t>
      </w:r>
      <w:r>
        <w:rPr>
          <w:color w:val="FF0000"/>
        </w:rPr>
        <w:t xml:space="preserve"> for snail, </w:t>
      </w:r>
      <w:r>
        <w:rPr>
          <w:rStyle w:val="Strong"/>
          <w:b w:val="0"/>
          <w:bCs w:val="0"/>
          <w:color w:val="FF0000"/>
        </w:rPr>
        <w:t>0.518 ± 0.159 mg/kg</w:t>
      </w:r>
      <w:r>
        <w:rPr>
          <w:color w:val="FF0000"/>
        </w:rPr>
        <w:t xml:space="preserve"> for catfish, and </w:t>
      </w:r>
      <w:r>
        <w:rPr>
          <w:rStyle w:val="Strong"/>
          <w:b w:val="0"/>
          <w:bCs w:val="0"/>
          <w:color w:val="FF0000"/>
        </w:rPr>
        <w:t>0.158 ± 0.095 mg/kg</w:t>
      </w:r>
      <w:r>
        <w:rPr>
          <w:color w:val="FF0000"/>
        </w:rPr>
        <w:t xml:space="preserve"> for periwinkle. The lead concentration in </w:t>
      </w:r>
      <w:r>
        <w:rPr>
          <w:rStyle w:val="Strong"/>
          <w:b w:val="0"/>
          <w:bCs w:val="0"/>
          <w:color w:val="FF0000"/>
        </w:rPr>
        <w:t>snail</w:t>
      </w:r>
      <w:r>
        <w:rPr>
          <w:color w:val="FF0000"/>
        </w:rPr>
        <w:t xml:space="preserve"> was </w:t>
      </w:r>
      <w:r>
        <w:rPr>
          <w:rStyle w:val="Emphasis"/>
          <w:color w:val="FF0000"/>
        </w:rPr>
        <w:t>slightly above</w:t>
      </w:r>
      <w:r>
        <w:rPr>
          <w:color w:val="FF0000"/>
        </w:rPr>
        <w:t xml:space="preserve"> the FAO recommended limit, indicating marginal contamination. In </w:t>
      </w:r>
      <w:r>
        <w:rPr>
          <w:rStyle w:val="Strong"/>
          <w:b w:val="0"/>
          <w:bCs w:val="0"/>
          <w:color w:val="FF0000"/>
        </w:rPr>
        <w:t>catfish</w:t>
      </w:r>
      <w:r>
        <w:rPr>
          <w:color w:val="FF0000"/>
        </w:rPr>
        <w:t xml:space="preserve">, the lead level was </w:t>
      </w:r>
      <w:r>
        <w:rPr>
          <w:rStyle w:val="Emphasis"/>
          <w:color w:val="FF0000"/>
        </w:rPr>
        <w:t>significantly higher</w:t>
      </w:r>
      <w:r>
        <w:rPr>
          <w:color w:val="FF0000"/>
        </w:rPr>
        <w:t xml:space="preserve"> than the permissible limit, suggesting a potential health risk associated with its consumption. Conversely, the lead concentration in </w:t>
      </w:r>
      <w:r>
        <w:rPr>
          <w:rStyle w:val="Strong"/>
          <w:b w:val="0"/>
          <w:bCs w:val="0"/>
          <w:color w:val="FF0000"/>
        </w:rPr>
        <w:t>periwinkle</w:t>
      </w:r>
      <w:r>
        <w:rPr>
          <w:color w:val="FF0000"/>
        </w:rPr>
        <w:t xml:space="preserve"> was </w:t>
      </w:r>
      <w:r>
        <w:rPr>
          <w:rStyle w:val="Emphasis"/>
          <w:color w:val="FF0000"/>
        </w:rPr>
        <w:t>below</w:t>
      </w:r>
      <w:r>
        <w:rPr>
          <w:color w:val="FF0000"/>
        </w:rPr>
        <w:t xml:space="preserve"> the FAO limit, indicating that it is within acceptable safety levels for lead.</w:t>
      </w:r>
    </w:p>
    <w:p w:rsidR="007E54BE" w:rsidRDefault="008F683E">
      <w:pPr>
        <w:pStyle w:val="NormalWeb"/>
        <w:spacing w:line="360" w:lineRule="auto"/>
        <w:jc w:val="both"/>
        <w:rPr>
          <w:color w:val="FF0000"/>
        </w:rPr>
      </w:pPr>
      <w:r>
        <w:t xml:space="preserve">At </w:t>
      </w:r>
      <w:proofErr w:type="spellStart"/>
      <w:r>
        <w:t>Garki</w:t>
      </w:r>
      <w:proofErr w:type="spellEnd"/>
      <w:r>
        <w:t>, lead concentrations varied considerably among species. Snail recorded the highest mean concentration (1.284 ± 0.478 mg/kg), followed by catfish (0.402 ± 0.146 mg/kg), while periwinkle had the lowest value (0.138 ± 0.332 mg/kg). The high lead burden in snails is likely due to their benthic lifestyle and direct feeding on sediments and detritus, which serve as long-term reservoirs for heavy metals (</w:t>
      </w:r>
      <w:proofErr w:type="spellStart"/>
      <w:r>
        <w:t>Owojori</w:t>
      </w:r>
      <w:proofErr w:type="spellEnd"/>
      <w:r>
        <w:t xml:space="preserve"> et al., 2022). Catfish, although bottom dwellers, are more mobile and have a broader diet, reducing prolonged sediment exposure (Pinheiro-Sousa et al., 2021), while physiological differences may limit lead uptake in periwinkles (</w:t>
      </w:r>
      <w:proofErr w:type="spellStart"/>
      <w:r>
        <w:t>Udiba</w:t>
      </w:r>
      <w:proofErr w:type="spellEnd"/>
      <w:r>
        <w:t xml:space="preserve"> et al., 2021). Chronic consumption of highly contaminated snails poses potential risks of neurological damage and kidney dysfunction. </w:t>
      </w:r>
      <w:r>
        <w:rPr>
          <w:color w:val="FF0000"/>
        </w:rPr>
        <w:t xml:space="preserve">The lead concentration in </w:t>
      </w:r>
      <w:r>
        <w:rPr>
          <w:rStyle w:val="Strong"/>
          <w:b w:val="0"/>
          <w:bCs w:val="0"/>
          <w:color w:val="FF0000"/>
        </w:rPr>
        <w:t>snail</w:t>
      </w:r>
      <w:r>
        <w:rPr>
          <w:color w:val="FF0000"/>
        </w:rPr>
        <w:t xml:space="preserve"> was </w:t>
      </w:r>
      <w:r>
        <w:rPr>
          <w:rStyle w:val="Strong"/>
          <w:b w:val="0"/>
          <w:bCs w:val="0"/>
          <w:color w:val="FF0000"/>
        </w:rPr>
        <w:t>substantially higher</w:t>
      </w:r>
      <w:r>
        <w:rPr>
          <w:color w:val="FF0000"/>
        </w:rPr>
        <w:t xml:space="preserve"> than the FAO permissible limit, indicating a high level of contamination and a potential health risk to consumers. Similarly, </w:t>
      </w:r>
      <w:r>
        <w:rPr>
          <w:rStyle w:val="Strong"/>
          <w:b w:val="0"/>
          <w:bCs w:val="0"/>
          <w:color w:val="FF0000"/>
        </w:rPr>
        <w:t>catfish</w:t>
      </w:r>
      <w:r>
        <w:rPr>
          <w:color w:val="FF0000"/>
        </w:rPr>
        <w:t xml:space="preserve"> showed lead levels </w:t>
      </w:r>
      <w:r>
        <w:rPr>
          <w:rStyle w:val="Strong"/>
          <w:b w:val="0"/>
          <w:bCs w:val="0"/>
          <w:color w:val="FF0000"/>
        </w:rPr>
        <w:t>above the recommended limit</w:t>
      </w:r>
      <w:r>
        <w:rPr>
          <w:color w:val="FF0000"/>
        </w:rPr>
        <w:t xml:space="preserve">, suggesting possible contamination and associated health concerns. In contrast, the lead concentration in </w:t>
      </w:r>
      <w:r>
        <w:rPr>
          <w:rStyle w:val="Strong"/>
          <w:b w:val="0"/>
          <w:bCs w:val="0"/>
          <w:color w:val="FF0000"/>
        </w:rPr>
        <w:t>periwinkle</w:t>
      </w:r>
      <w:r>
        <w:rPr>
          <w:color w:val="FF0000"/>
        </w:rPr>
        <w:t xml:space="preserve"> was </w:t>
      </w:r>
      <w:r>
        <w:rPr>
          <w:rStyle w:val="Strong"/>
          <w:b w:val="0"/>
          <w:bCs w:val="0"/>
          <w:color w:val="FF0000"/>
        </w:rPr>
        <w:t>below</w:t>
      </w:r>
      <w:r>
        <w:rPr>
          <w:color w:val="FF0000"/>
        </w:rPr>
        <w:t xml:space="preserve"> the FAO limit, indicating that it is within acceptable safety levels with respect to lead.</w:t>
      </w:r>
    </w:p>
    <w:p w:rsidR="007E54BE" w:rsidRDefault="008F683E">
      <w:pPr>
        <w:pStyle w:val="NormalWeb"/>
        <w:spacing w:line="360" w:lineRule="auto"/>
        <w:jc w:val="both"/>
        <w:rPr>
          <w:color w:val="FF0000"/>
        </w:rPr>
      </w:pPr>
      <w:r>
        <w:t xml:space="preserve">In </w:t>
      </w:r>
      <w:proofErr w:type="spellStart"/>
      <w:r>
        <w:t>Ogbete</w:t>
      </w:r>
      <w:proofErr w:type="spellEnd"/>
      <w:r>
        <w:t>, snails again showed the highest lead concentration (1.322 ± 0.426 mg/kg), followed by catfish (0.672 ± 0.034 mg/kg), with periwinkle recording the lowest level (0.167 ± 0.391 mg/kg). This pattern reflects the strong association of snails with contaminated sediments and organic matter enriched by industrial activities, vehicular emissions, agricultural runoff, and poor waste management (</w:t>
      </w:r>
      <w:proofErr w:type="spellStart"/>
      <w:r>
        <w:t>Eniola</w:t>
      </w:r>
      <w:proofErr w:type="spellEnd"/>
      <w:r>
        <w:t xml:space="preserve"> &amp; Oni, 2025). Although catfish also exhibited notable lead levels due to bottom feeding, their mobility and dietary diversity may reduce accumulation compared to snails (Rahman et al., 2025). Lower lead levels in periwinkles may result from reduced uptake or </w:t>
      </w:r>
      <w:r>
        <w:lastRenderedPageBreak/>
        <w:t>more efficient excretion mechanisms (</w:t>
      </w:r>
      <w:proofErr w:type="spellStart"/>
      <w:r>
        <w:t>Balali</w:t>
      </w:r>
      <w:proofErr w:type="spellEnd"/>
      <w:r>
        <w:t xml:space="preserve">-Mood et al., 2021). These findings highlight significant food safety concerns and emphasize the need for continuous environmental monitoring and stricter pollution control measures. </w:t>
      </w:r>
      <w:r>
        <w:rPr>
          <w:color w:val="FF0000"/>
        </w:rPr>
        <w:t xml:space="preserve">The lead concentration in </w:t>
      </w:r>
      <w:proofErr w:type="spellStart"/>
      <w:r>
        <w:rPr>
          <w:rStyle w:val="Strong"/>
          <w:b w:val="0"/>
          <w:bCs w:val="0"/>
          <w:color w:val="FF0000"/>
        </w:rPr>
        <w:t>Ogbete</w:t>
      </w:r>
      <w:proofErr w:type="spellEnd"/>
      <w:r>
        <w:rPr>
          <w:rStyle w:val="Strong"/>
          <w:b w:val="0"/>
          <w:bCs w:val="0"/>
          <w:color w:val="FF0000"/>
        </w:rPr>
        <w:t xml:space="preserve"> snail</w:t>
      </w:r>
      <w:r>
        <w:rPr>
          <w:color w:val="FF0000"/>
        </w:rPr>
        <w:t xml:space="preserve"> was </w:t>
      </w:r>
      <w:r>
        <w:rPr>
          <w:rStyle w:val="Strong"/>
          <w:b w:val="0"/>
          <w:bCs w:val="0"/>
          <w:color w:val="FF0000"/>
        </w:rPr>
        <w:t>markedly higher</w:t>
      </w:r>
      <w:r>
        <w:rPr>
          <w:color w:val="FF0000"/>
        </w:rPr>
        <w:t xml:space="preserve"> than the FAO (2003) recommended limit, indicating severe lead contamination and a potential health risk to consumers. Similarly, </w:t>
      </w:r>
      <w:r>
        <w:rPr>
          <w:rStyle w:val="Strong"/>
          <w:b w:val="0"/>
          <w:bCs w:val="0"/>
          <w:color w:val="FF0000"/>
        </w:rPr>
        <w:t>catfish</w:t>
      </w:r>
      <w:r>
        <w:rPr>
          <w:color w:val="FF0000"/>
        </w:rPr>
        <w:t xml:space="preserve"> exhibited lead levels </w:t>
      </w:r>
      <w:r>
        <w:rPr>
          <w:rStyle w:val="Strong"/>
          <w:b w:val="0"/>
          <w:bCs w:val="0"/>
          <w:color w:val="FF0000"/>
        </w:rPr>
        <w:t>above</w:t>
      </w:r>
      <w:r>
        <w:rPr>
          <w:color w:val="FF0000"/>
        </w:rPr>
        <w:t xml:space="preserve"> the permissible limit, suggesting possible health concerns associated with its consumption. In contrast, the lead concentration in </w:t>
      </w:r>
      <w:r>
        <w:rPr>
          <w:rStyle w:val="Strong"/>
          <w:b w:val="0"/>
          <w:bCs w:val="0"/>
          <w:color w:val="FF0000"/>
        </w:rPr>
        <w:t>periwinkle</w:t>
      </w:r>
      <w:r>
        <w:rPr>
          <w:color w:val="FF0000"/>
        </w:rPr>
        <w:t xml:space="preserve"> was </w:t>
      </w:r>
      <w:r>
        <w:rPr>
          <w:rStyle w:val="Strong"/>
          <w:b w:val="0"/>
          <w:bCs w:val="0"/>
          <w:color w:val="FF0000"/>
        </w:rPr>
        <w:t>below</w:t>
      </w:r>
      <w:r>
        <w:rPr>
          <w:color w:val="FF0000"/>
        </w:rPr>
        <w:t xml:space="preserve"> the FAO (2003) limit, indicating that it is within acceptable safety levels with respect to lead.</w:t>
      </w:r>
    </w:p>
    <w:p w:rsidR="007E54BE" w:rsidRDefault="008F683E">
      <w:pPr>
        <w:pStyle w:val="NormalWeb"/>
        <w:spacing w:line="360" w:lineRule="auto"/>
        <w:jc w:val="both"/>
      </w:pPr>
      <w:r>
        <w:t>Zinc is an essential micronutrient commonly found in seafood and plays important roles in immune function, skin health, cell growth, wound healing, and enzyme activity (Bao et al., 2014; Patil et al., 2023). When consumed at moderate levels, zinc contributes positively to human nutrition.</w:t>
      </w:r>
    </w:p>
    <w:p w:rsidR="007E54BE" w:rsidRDefault="008F683E">
      <w:pPr>
        <w:pStyle w:val="NormalWeb"/>
        <w:spacing w:line="360" w:lineRule="auto"/>
        <w:jc w:val="both"/>
        <w:rPr>
          <w:color w:val="FF0000"/>
        </w:rPr>
      </w:pPr>
      <w:r>
        <w:t xml:space="preserve">At Abakpa, snails recorded the highest zinc concentration (0.685 ± 0.196 mg/kg), followed by catfish (0.448 ± 0.028 mg/kg), while periwinkle showed the lowest level (0.090 ± 0.225 mg/kg). The higher zinc accumulation in snails is likely linked to their benthic lifestyle and feeding on detritus and organic matter, which often contain metals concentrated in sediments (Alonso &amp; Valle-Torres, 2018; </w:t>
      </w:r>
      <w:proofErr w:type="spellStart"/>
      <w:r>
        <w:t>Oloyede</w:t>
      </w:r>
      <w:proofErr w:type="spellEnd"/>
      <w:r>
        <w:t xml:space="preserve"> et al., 2026). Catfish also exhibited appreciable zinc levels due to bottom-feeding habits (Idris et al., 2025), whereas the lower levels in periwinkles may reflect differences in habitat preference and physiological regulation. Although the observed zinc levels are nutritionally beneficial, excessive accumulation may interfere with the metabolism of other essential metals (</w:t>
      </w:r>
      <w:proofErr w:type="spellStart"/>
      <w:r>
        <w:t>Maares</w:t>
      </w:r>
      <w:proofErr w:type="spellEnd"/>
      <w:r>
        <w:t xml:space="preserve"> &amp; </w:t>
      </w:r>
      <w:proofErr w:type="spellStart"/>
      <w:r>
        <w:t>Haase</w:t>
      </w:r>
      <w:proofErr w:type="spellEnd"/>
      <w:r>
        <w:t xml:space="preserve">, 2016; Parveen et al., 2017). </w:t>
      </w:r>
      <w:r>
        <w:rPr>
          <w:color w:val="FF0000"/>
        </w:rPr>
        <w:t xml:space="preserve">Based on FAO/WHO (2017) recommended level of zinc in seafoods, the concentration of zinc in all the </w:t>
      </w:r>
      <w:proofErr w:type="spellStart"/>
      <w:r>
        <w:rPr>
          <w:color w:val="FF0000"/>
        </w:rPr>
        <w:t>analysed</w:t>
      </w:r>
      <w:proofErr w:type="spellEnd"/>
      <w:r>
        <w:rPr>
          <w:color w:val="FF0000"/>
        </w:rPr>
        <w:t xml:space="preserve"> seafoods are within the acceptable limit and safe for human consumption.</w:t>
      </w:r>
    </w:p>
    <w:p w:rsidR="007E54BE" w:rsidRDefault="008F683E">
      <w:pPr>
        <w:pStyle w:val="NormalWeb"/>
        <w:spacing w:line="360" w:lineRule="auto"/>
        <w:jc w:val="both"/>
      </w:pPr>
      <w:r>
        <w:t xml:space="preserve">In </w:t>
      </w:r>
      <w:proofErr w:type="spellStart"/>
      <w:r>
        <w:t>Garki</w:t>
      </w:r>
      <w:proofErr w:type="spellEnd"/>
      <w:r>
        <w:t xml:space="preserve">, catfish had the highest zinc concentration (0.673 ± 0.191 mg/kg), followed by snail (0.433 ± 0.021 mg/kg), while periwinkle recorded the lowest value (0.104 ± 0.211 mg/kg). This distribution suggests that catfish accumulate zinc more readily, likely due to feeding habits and metabolic requirements, while snails accumulate zinc through continuous sediment contact. Periwinkles again showed the lowest accumulation, possibly due to physiological </w:t>
      </w:r>
      <w:proofErr w:type="spellStart"/>
      <w:proofErr w:type="gramStart"/>
      <w:r>
        <w:t>regulation.</w:t>
      </w:r>
      <w:r>
        <w:rPr>
          <w:color w:val="FF0000"/>
        </w:rPr>
        <w:t>Based</w:t>
      </w:r>
      <w:proofErr w:type="spellEnd"/>
      <w:proofErr w:type="gramEnd"/>
      <w:r>
        <w:rPr>
          <w:color w:val="FF0000"/>
        </w:rPr>
        <w:t xml:space="preserve"> on FAO/WHO (2017) </w:t>
      </w:r>
      <w:r>
        <w:rPr>
          <w:color w:val="FF0000"/>
        </w:rPr>
        <w:lastRenderedPageBreak/>
        <w:t xml:space="preserve">recommended level of zinc in seafoods, the concentration of zinc in all the </w:t>
      </w:r>
      <w:proofErr w:type="spellStart"/>
      <w:r>
        <w:rPr>
          <w:color w:val="FF0000"/>
        </w:rPr>
        <w:t>analysed</w:t>
      </w:r>
      <w:proofErr w:type="spellEnd"/>
      <w:r>
        <w:rPr>
          <w:color w:val="FF0000"/>
        </w:rPr>
        <w:t xml:space="preserve"> seafoods are within the acceptable limit and safe for human consumption.</w:t>
      </w:r>
    </w:p>
    <w:p w:rsidR="007E54BE" w:rsidRDefault="008F683E">
      <w:pPr>
        <w:pStyle w:val="NormalWeb"/>
        <w:spacing w:line="360" w:lineRule="auto"/>
        <w:jc w:val="both"/>
      </w:pPr>
      <w:r>
        <w:t xml:space="preserve">At </w:t>
      </w:r>
      <w:proofErr w:type="spellStart"/>
      <w:r>
        <w:t>Ogbete</w:t>
      </w:r>
      <w:proofErr w:type="spellEnd"/>
      <w:r>
        <w:t xml:space="preserve">, snails recorded the highest zinc concentration (0.978 ± 0.321 mg/kg), followed by catfish (0.467 ± 0.040 mg/kg), with periwinkle showing the lowest level (0.128 ± 0.280 mg/kg). Prolonged sediment contact enhances zinc bioaccumulation in snails, while catfish mobility and varied diet may limit continuous exposure. The presence of zinc in all samples underscores the influence of environmental conditions on trace metal accumulation and the importance of routine monitoring to ensure consumer safety. </w:t>
      </w:r>
      <w:r>
        <w:rPr>
          <w:color w:val="FF0000"/>
        </w:rPr>
        <w:t xml:space="preserve">Based on FAO/WHO (2017) recommended level of zinc in seafoods, the concentration of zinc in all the </w:t>
      </w:r>
      <w:proofErr w:type="spellStart"/>
      <w:r>
        <w:rPr>
          <w:color w:val="FF0000"/>
        </w:rPr>
        <w:t>analysed</w:t>
      </w:r>
      <w:proofErr w:type="spellEnd"/>
      <w:r>
        <w:rPr>
          <w:color w:val="FF0000"/>
        </w:rPr>
        <w:t xml:space="preserve"> seafoods are within the acceptable limit and safe for human consumption.</w:t>
      </w:r>
    </w:p>
    <w:p w:rsidR="007E54BE" w:rsidRDefault="008F683E">
      <w:pPr>
        <w:pStyle w:val="NormalWeb"/>
        <w:spacing w:line="360" w:lineRule="auto"/>
        <w:jc w:val="both"/>
      </w:pPr>
      <w:r>
        <w:t>Iron, an essential mineral required for hemoglobin synthesis and oxygen transport (</w:t>
      </w:r>
      <w:proofErr w:type="spellStart"/>
      <w:r>
        <w:t>Obeagu</w:t>
      </w:r>
      <w:proofErr w:type="spellEnd"/>
      <w:r>
        <w:t>, 2025), was detected at low to moderate concentrations in all samples. At Abakpa, snails recorded the highest iron concentration (1.478 ± 0.486 mg/kg), likely due to their feeding habits and slow metabolism, which promote metal accumulation over time (</w:t>
      </w:r>
      <w:proofErr w:type="spellStart"/>
      <w:r>
        <w:t>Adewumi</w:t>
      </w:r>
      <w:proofErr w:type="spellEnd"/>
      <w:r>
        <w:t xml:space="preserve"> et al., 2013; </w:t>
      </w:r>
      <w:proofErr w:type="spellStart"/>
      <w:r>
        <w:t>Olaifa</w:t>
      </w:r>
      <w:proofErr w:type="spellEnd"/>
      <w:r>
        <w:t xml:space="preserve"> et al., 2004). Although iron is nutritionally important, excessive intake may cause gastrointestinal problems, liver damage, and increased infection risk (Lal, 2020). </w:t>
      </w:r>
      <w:r>
        <w:rPr>
          <w:color w:val="FF0000"/>
        </w:rPr>
        <w:t xml:space="preserve">Based on FAO/WHO (2017) recommended level of </w:t>
      </w:r>
      <w:proofErr w:type="spellStart"/>
      <w:r>
        <w:rPr>
          <w:color w:val="FF0000"/>
        </w:rPr>
        <w:t>irom</w:t>
      </w:r>
      <w:proofErr w:type="spellEnd"/>
      <w:r>
        <w:rPr>
          <w:color w:val="FF0000"/>
        </w:rPr>
        <w:t xml:space="preserve"> in seafoods of 50 mg/kg, the concentration of iron in all the </w:t>
      </w:r>
      <w:proofErr w:type="spellStart"/>
      <w:r>
        <w:rPr>
          <w:color w:val="FF0000"/>
        </w:rPr>
        <w:t>analysed</w:t>
      </w:r>
      <w:proofErr w:type="spellEnd"/>
      <w:r>
        <w:rPr>
          <w:color w:val="FF0000"/>
        </w:rPr>
        <w:t xml:space="preserve"> seafoods are within the acceptable limit and safe for human consumption.</w:t>
      </w:r>
    </w:p>
    <w:p w:rsidR="007E54BE" w:rsidRDefault="008F683E">
      <w:pPr>
        <w:pStyle w:val="NormalWeb"/>
        <w:spacing w:line="360" w:lineRule="auto"/>
        <w:jc w:val="both"/>
      </w:pPr>
      <w:r>
        <w:t xml:space="preserve">In </w:t>
      </w:r>
      <w:proofErr w:type="spellStart"/>
      <w:r>
        <w:t>Garki</w:t>
      </w:r>
      <w:proofErr w:type="spellEnd"/>
      <w:r>
        <w:t xml:space="preserve">, catfish recorded the highest iron concentration (0.904 ± 0.331 mg/kg), followed by snail (0.278 ± 0.111 mg/kg), while periwinkle had the lowest level (0.127 ± 0.218 mg/kg). The higher iron content in catfish may be related to active feeding behavior and trophic position, whereas lower levels in snails and periwinkles may reflect differences in environmental availability and physiological regulation. </w:t>
      </w:r>
      <w:r>
        <w:rPr>
          <w:color w:val="FF0000"/>
        </w:rPr>
        <w:t xml:space="preserve">Based on FAO/WHO (2017) recommended level of </w:t>
      </w:r>
      <w:proofErr w:type="spellStart"/>
      <w:r>
        <w:rPr>
          <w:color w:val="FF0000"/>
        </w:rPr>
        <w:t>irom</w:t>
      </w:r>
      <w:proofErr w:type="spellEnd"/>
      <w:r>
        <w:rPr>
          <w:color w:val="FF0000"/>
        </w:rPr>
        <w:t xml:space="preserve"> in seafoods of 50 mg/kg, the concentration of iron in all the </w:t>
      </w:r>
      <w:proofErr w:type="spellStart"/>
      <w:r>
        <w:rPr>
          <w:color w:val="FF0000"/>
        </w:rPr>
        <w:t>analysed</w:t>
      </w:r>
      <w:proofErr w:type="spellEnd"/>
      <w:r>
        <w:rPr>
          <w:color w:val="FF0000"/>
        </w:rPr>
        <w:t xml:space="preserve"> seafoods are within the acceptable limit and safe for human consumption.</w:t>
      </w:r>
    </w:p>
    <w:p w:rsidR="007E54BE" w:rsidRDefault="008F683E">
      <w:pPr>
        <w:pStyle w:val="NormalWeb"/>
        <w:spacing w:line="360" w:lineRule="auto"/>
        <w:jc w:val="both"/>
      </w:pPr>
      <w:r>
        <w:t xml:space="preserve">At </w:t>
      </w:r>
      <w:proofErr w:type="spellStart"/>
      <w:r>
        <w:t>Ogbete</w:t>
      </w:r>
      <w:proofErr w:type="spellEnd"/>
      <w:r>
        <w:t xml:space="preserve">, snails again showed the highest iron concentration (0.838 ± 0.239 mg/kg), followed by catfish (0.563 ± 0.045 mg/kg), with periwinkle recording the lowest value (0.097 ± 0.284 mg/kg). These results suggest that snails may serve as a better </w:t>
      </w:r>
      <w:r>
        <w:lastRenderedPageBreak/>
        <w:t xml:space="preserve">dietary source of iron, although routine monitoring is necessary to ensure concentrations remain within safe limits. </w:t>
      </w:r>
      <w:r>
        <w:rPr>
          <w:color w:val="FF0000"/>
        </w:rPr>
        <w:t xml:space="preserve">Based on FAO/WHO (2017) recommended level of </w:t>
      </w:r>
      <w:proofErr w:type="spellStart"/>
      <w:r>
        <w:rPr>
          <w:color w:val="FF0000"/>
        </w:rPr>
        <w:t>irom</w:t>
      </w:r>
      <w:proofErr w:type="spellEnd"/>
      <w:r>
        <w:rPr>
          <w:color w:val="FF0000"/>
        </w:rPr>
        <w:t xml:space="preserve"> in seafoods of 50 mg/kg, the concentration of iron in all the </w:t>
      </w:r>
      <w:proofErr w:type="spellStart"/>
      <w:r>
        <w:rPr>
          <w:color w:val="FF0000"/>
        </w:rPr>
        <w:t>analysed</w:t>
      </w:r>
      <w:proofErr w:type="spellEnd"/>
      <w:r>
        <w:rPr>
          <w:color w:val="FF0000"/>
        </w:rPr>
        <w:t xml:space="preserve"> seafoods are within the acceptable limit and safe for human consumption.</w:t>
      </w:r>
    </w:p>
    <w:p w:rsidR="007E54BE" w:rsidRDefault="008F683E">
      <w:pPr>
        <w:pStyle w:val="NormalWeb"/>
        <w:spacing w:line="360" w:lineRule="auto"/>
        <w:jc w:val="both"/>
      </w:pPr>
      <w:r>
        <w:t xml:space="preserve">Cadmium (Cd) was not detected in any of the snail, catfish, or periwinkle samples from the three markets, with values recorded as </w:t>
      </w:r>
      <w:proofErr w:type="spellStart"/>
      <w:r>
        <w:t>n.d</w:t>
      </w:r>
      <w:proofErr w:type="spellEnd"/>
      <w:r>
        <w:t xml:space="preserve"> ± 0.000 mg/kg. This indicates that cadmium concentrations were below the detection limit of the analytical method used. The absence of detectable cadmium may reflect limited anthropogenic input, effective dilution, and natural attenuation processes in the aquatic environment (Yuan et al., 2019). From a public health perspective, this is encouraging, as cadmium is highly toxic and has no biological benefit. Nonetheless, continuous monitoring remains necessary to prevent future contamination. </w:t>
      </w:r>
      <w:r>
        <w:rPr>
          <w:color w:val="FF0000"/>
        </w:rPr>
        <w:t xml:space="preserve">Based on the FAO (2003) recommendation </w:t>
      </w:r>
      <w:proofErr w:type="gramStart"/>
      <w:r>
        <w:rPr>
          <w:color w:val="FF0000"/>
        </w:rPr>
        <w:t>of  0.1</w:t>
      </w:r>
      <w:proofErr w:type="gramEnd"/>
      <w:r>
        <w:rPr>
          <w:color w:val="FF0000"/>
        </w:rPr>
        <w:t xml:space="preserve"> mg/kg, the concentration of cadmium in all the seafoods is within the </w:t>
      </w:r>
      <w:proofErr w:type="spellStart"/>
      <w:r>
        <w:rPr>
          <w:color w:val="FF0000"/>
        </w:rPr>
        <w:t>accepatable</w:t>
      </w:r>
      <w:proofErr w:type="spellEnd"/>
      <w:r>
        <w:rPr>
          <w:color w:val="FF0000"/>
        </w:rPr>
        <w:t xml:space="preserve"> limit and is safe for consumption with regards to cadmium concentrations.</w:t>
      </w:r>
    </w:p>
    <w:p w:rsidR="007E54BE" w:rsidRDefault="008F683E">
      <w:pPr>
        <w:pStyle w:val="NormalWeb"/>
        <w:spacing w:line="360" w:lineRule="auto"/>
        <w:jc w:val="both"/>
      </w:pPr>
      <w:r>
        <w:t xml:space="preserve">One-way ANOVA showed statistically significant differences (p &lt; 0.05) in lead, zinc, and iron concentrations among seafood species across all three markets. In Abakpa Market, catfish recorded significantly higher lead levels than snail and periwinkle, zinc concentrations were significantly higher in snail than in catfish and periwinkle, and iron levels were also significantly higher in snail, indicating species-dependent metal accumulation. In </w:t>
      </w:r>
      <w:proofErr w:type="spellStart"/>
      <w:r>
        <w:t>Garki</w:t>
      </w:r>
      <w:proofErr w:type="spellEnd"/>
      <w:r>
        <w:t xml:space="preserve"> Market, significant interspecies differences were observed for all metals, with snail showing significantly higher lead concentrations, catfish recording the highest zinc and iron levels, and periwinkle consistently having the lowest concentrations, reflecting distinct ecological and physiological influences on metal uptake. Similarly, in </w:t>
      </w:r>
      <w:proofErr w:type="spellStart"/>
      <w:r>
        <w:t>Ogbete</w:t>
      </w:r>
      <w:proofErr w:type="spellEnd"/>
      <w:r>
        <w:t xml:space="preserve"> Market, significant variations (p &lt; 0.05) were observed among species, as snails accumulated significantly higher levels of lead, zinc, and iron compared to catfish and periwinkle, confirming their greater bioaccumulation potential. Overall, species type significantly influenced Pb, Zn, and Fe concentrations in all markets, with snails generally exhibiting the highest accumulation, particularly for lead and zinc, catfish accumulating more iron in </w:t>
      </w:r>
      <w:proofErr w:type="spellStart"/>
      <w:r>
        <w:t>Garki</w:t>
      </w:r>
      <w:proofErr w:type="spellEnd"/>
      <w:r>
        <w:t xml:space="preserve"> and </w:t>
      </w:r>
      <w:proofErr w:type="spellStart"/>
      <w:r>
        <w:t>Ogbete</w:t>
      </w:r>
      <w:proofErr w:type="spellEnd"/>
      <w:r>
        <w:t>, and periwinkle consistently recording the lowest metal levels. Cadmium was excluded from the analysis due to non-detectable concentrations across all samples.</w:t>
      </w:r>
    </w:p>
    <w:p w:rsidR="007E54BE" w:rsidRDefault="008F683E">
      <w:pPr>
        <w:pStyle w:val="Heading3"/>
        <w:rPr>
          <w:rFonts w:ascii="Times New Roman" w:hAnsi="Times New Roman" w:hint="default"/>
          <w:sz w:val="24"/>
          <w:szCs w:val="24"/>
        </w:rPr>
      </w:pPr>
      <w:r>
        <w:rPr>
          <w:rFonts w:ascii="Times New Roman" w:hAnsi="Times New Roman" w:hint="default"/>
          <w:sz w:val="24"/>
          <w:szCs w:val="24"/>
        </w:rPr>
        <w:lastRenderedPageBreak/>
        <w:t>5.0 Conclusion</w:t>
      </w:r>
    </w:p>
    <w:p w:rsidR="007E54BE" w:rsidRDefault="008F683E">
      <w:pPr>
        <w:pStyle w:val="NormalWeb"/>
        <w:spacing w:line="360" w:lineRule="auto"/>
        <w:jc w:val="both"/>
        <w:rPr>
          <w:b/>
          <w:bCs/>
        </w:rPr>
      </w:pPr>
      <w:r>
        <w:t>The concentrations of lead, zinc, and iron detected in catfish, snail, and periwinkle were generally low. This suggests that seafood samples collected from the different regions contain minimal levels of these heavy metals, making them safe for consumption and posing little risk to human health. The absence of cadmium in all samples is particularly reassuring. However, continuous monitoring is recommended to ensure that cadmium and other heavy metal levels remain within safe limits over time.</w:t>
      </w:r>
    </w:p>
    <w:p w:rsidR="007E54BE" w:rsidRDefault="008F683E">
      <w:pPr>
        <w:rPr>
          <w:b/>
          <w:bCs/>
          <w:sz w:val="24"/>
          <w:szCs w:val="24"/>
        </w:rPr>
      </w:pPr>
      <w:r>
        <w:rPr>
          <w:b/>
          <w:bCs/>
          <w:sz w:val="24"/>
          <w:szCs w:val="24"/>
        </w:rPr>
        <w:t>References</w:t>
      </w:r>
    </w:p>
    <w:p w:rsidR="007E54BE" w:rsidRDefault="007E54BE">
      <w:pPr>
        <w:spacing w:line="360" w:lineRule="auto"/>
        <w:rPr>
          <w:sz w:val="24"/>
          <w:szCs w:val="24"/>
        </w:rPr>
      </w:pPr>
    </w:p>
    <w:p w:rsidR="007E54BE" w:rsidRDefault="008F683E">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Ali, H., &amp; Khan, E. (2018). What are heavy metals? Long-standing controversy over the scientific use of the term ‘heavy metals’–proposal of a comprehensive definition. </w:t>
      </w:r>
      <w:r>
        <w:rPr>
          <w:rFonts w:eastAsia="SimSun"/>
          <w:i/>
          <w:iCs/>
          <w:color w:val="222222"/>
          <w:sz w:val="24"/>
          <w:szCs w:val="24"/>
          <w:shd w:val="clear" w:color="auto" w:fill="FFFFFF"/>
        </w:rPr>
        <w:t>Toxicological &amp; Environmental Chemistry</w:t>
      </w:r>
      <w:r>
        <w:rPr>
          <w:rFonts w:eastAsia="SimSun"/>
          <w:color w:val="222222"/>
          <w:sz w:val="24"/>
          <w:szCs w:val="24"/>
          <w:shd w:val="clear" w:color="auto" w:fill="FFFFFF"/>
        </w:rPr>
        <w:t>, </w:t>
      </w:r>
      <w:r>
        <w:rPr>
          <w:rFonts w:eastAsia="SimSun"/>
          <w:i/>
          <w:iCs/>
          <w:color w:val="222222"/>
          <w:sz w:val="24"/>
          <w:szCs w:val="24"/>
          <w:shd w:val="clear" w:color="auto" w:fill="FFFFFF"/>
        </w:rPr>
        <w:t>100</w:t>
      </w:r>
      <w:r>
        <w:rPr>
          <w:rFonts w:eastAsia="SimSun"/>
          <w:color w:val="222222"/>
          <w:sz w:val="24"/>
          <w:szCs w:val="24"/>
          <w:shd w:val="clear" w:color="auto" w:fill="FFFFFF"/>
        </w:rPr>
        <w:t>(1), 6-19.</w:t>
      </w:r>
    </w:p>
    <w:p w:rsidR="007E54BE" w:rsidRDefault="008F683E">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Ali, H., &amp; Khan, E. (2019). Trophic transfer, bioaccumulation, and biomagnification of non-essential hazardous heavy metals and metalloids in food chains/webs—Concepts and implications for wildlife and human health. </w:t>
      </w:r>
      <w:r>
        <w:rPr>
          <w:rFonts w:eastAsia="SimSun"/>
          <w:i/>
          <w:iCs/>
          <w:color w:val="222222"/>
          <w:sz w:val="24"/>
          <w:szCs w:val="24"/>
          <w:shd w:val="clear" w:color="auto" w:fill="FFFFFF"/>
        </w:rPr>
        <w:t>Human and Ecological Risk Assessment: An International Journal</w:t>
      </w:r>
      <w:r>
        <w:rPr>
          <w:rFonts w:eastAsia="SimSun"/>
          <w:color w:val="222222"/>
          <w:sz w:val="24"/>
          <w:szCs w:val="24"/>
          <w:shd w:val="clear" w:color="auto" w:fill="FFFFFF"/>
        </w:rPr>
        <w:t>, </w:t>
      </w:r>
      <w:r>
        <w:rPr>
          <w:rFonts w:eastAsia="SimSun"/>
          <w:i/>
          <w:iCs/>
          <w:color w:val="222222"/>
          <w:sz w:val="24"/>
          <w:szCs w:val="24"/>
          <w:shd w:val="clear" w:color="auto" w:fill="FFFFFF"/>
        </w:rPr>
        <w:t>25</w:t>
      </w:r>
      <w:r>
        <w:rPr>
          <w:rFonts w:eastAsia="SimSun"/>
          <w:color w:val="222222"/>
          <w:sz w:val="24"/>
          <w:szCs w:val="24"/>
          <w:shd w:val="clear" w:color="auto" w:fill="FFFFFF"/>
        </w:rPr>
        <w:t>(6), 1353-1376.</w:t>
      </w:r>
    </w:p>
    <w:p w:rsidR="007E54BE" w:rsidRDefault="008F683E">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 xml:space="preserve">Ali, H., Khan, E., &amp; </w:t>
      </w:r>
      <w:proofErr w:type="spellStart"/>
      <w:r>
        <w:rPr>
          <w:rFonts w:eastAsia="SimSun"/>
          <w:color w:val="222222"/>
          <w:sz w:val="24"/>
          <w:szCs w:val="24"/>
          <w:shd w:val="clear" w:color="auto" w:fill="FFFFFF"/>
        </w:rPr>
        <w:t>Ilahi</w:t>
      </w:r>
      <w:proofErr w:type="spellEnd"/>
      <w:r>
        <w:rPr>
          <w:rFonts w:eastAsia="SimSun"/>
          <w:color w:val="222222"/>
          <w:sz w:val="24"/>
          <w:szCs w:val="24"/>
          <w:shd w:val="clear" w:color="auto" w:fill="FFFFFF"/>
        </w:rPr>
        <w:t>, I. (2019). Environmental chemistry and ecotoxicology of hazardous heavy metals: environmental persistence, toxicity, and bioaccumulation. </w:t>
      </w:r>
      <w:r>
        <w:rPr>
          <w:rFonts w:eastAsia="SimSun"/>
          <w:i/>
          <w:iCs/>
          <w:color w:val="222222"/>
          <w:sz w:val="24"/>
          <w:szCs w:val="24"/>
          <w:shd w:val="clear" w:color="auto" w:fill="FFFFFF"/>
        </w:rPr>
        <w:t>Journal of chemistry</w:t>
      </w:r>
      <w:r>
        <w:rPr>
          <w:rFonts w:eastAsia="SimSun"/>
          <w:color w:val="222222"/>
          <w:sz w:val="24"/>
          <w:szCs w:val="24"/>
          <w:shd w:val="clear" w:color="auto" w:fill="FFFFFF"/>
        </w:rPr>
        <w:t>, </w:t>
      </w:r>
      <w:r>
        <w:rPr>
          <w:rFonts w:eastAsia="SimSun"/>
          <w:i/>
          <w:iCs/>
          <w:color w:val="222222"/>
          <w:sz w:val="24"/>
          <w:szCs w:val="24"/>
          <w:shd w:val="clear" w:color="auto" w:fill="FFFFFF"/>
        </w:rPr>
        <w:t>2019</w:t>
      </w:r>
      <w:r>
        <w:rPr>
          <w:rFonts w:eastAsia="SimSun"/>
          <w:color w:val="222222"/>
          <w:sz w:val="24"/>
          <w:szCs w:val="24"/>
          <w:shd w:val="clear" w:color="auto" w:fill="FFFFFF"/>
        </w:rPr>
        <w:t>(1), 6730305.</w:t>
      </w:r>
    </w:p>
    <w:p w:rsidR="007E54BE" w:rsidRDefault="008F683E">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Alonso, Á., &amp; Valle-Torres, G. (2018). Feeding behavior of an aquatic snail as a simple endpoint to assess the exposure to cadmium. </w:t>
      </w:r>
      <w:r>
        <w:rPr>
          <w:rFonts w:eastAsia="SimSun"/>
          <w:i/>
          <w:iCs/>
          <w:color w:val="222222"/>
          <w:sz w:val="24"/>
          <w:szCs w:val="24"/>
          <w:shd w:val="clear" w:color="auto" w:fill="FFFFFF"/>
        </w:rPr>
        <w:t>Bulletin of environmental contamination and toxicology</w:t>
      </w:r>
      <w:r>
        <w:rPr>
          <w:rFonts w:eastAsia="SimSun"/>
          <w:color w:val="222222"/>
          <w:sz w:val="24"/>
          <w:szCs w:val="24"/>
          <w:shd w:val="clear" w:color="auto" w:fill="FFFFFF"/>
        </w:rPr>
        <w:t>, </w:t>
      </w:r>
      <w:r>
        <w:rPr>
          <w:rFonts w:eastAsia="SimSun"/>
          <w:i/>
          <w:iCs/>
          <w:color w:val="222222"/>
          <w:sz w:val="24"/>
          <w:szCs w:val="24"/>
          <w:shd w:val="clear" w:color="auto" w:fill="FFFFFF"/>
        </w:rPr>
        <w:t>100</w:t>
      </w:r>
      <w:r>
        <w:rPr>
          <w:rFonts w:eastAsia="SimSun"/>
          <w:color w:val="222222"/>
          <w:sz w:val="24"/>
          <w:szCs w:val="24"/>
          <w:shd w:val="clear" w:color="auto" w:fill="FFFFFF"/>
        </w:rPr>
        <w:t>(1), 82-88.</w:t>
      </w:r>
    </w:p>
    <w:p w:rsidR="007E54BE" w:rsidRDefault="008F683E">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 xml:space="preserve">Ara, A., &amp; </w:t>
      </w:r>
      <w:proofErr w:type="spellStart"/>
      <w:r>
        <w:rPr>
          <w:rFonts w:eastAsia="SimSun"/>
          <w:color w:val="222222"/>
          <w:sz w:val="24"/>
          <w:szCs w:val="24"/>
          <w:shd w:val="clear" w:color="auto" w:fill="FFFFFF"/>
        </w:rPr>
        <w:t>Usmani</w:t>
      </w:r>
      <w:proofErr w:type="spellEnd"/>
      <w:r>
        <w:rPr>
          <w:rFonts w:eastAsia="SimSun"/>
          <w:color w:val="222222"/>
          <w:sz w:val="24"/>
          <w:szCs w:val="24"/>
          <w:shd w:val="clear" w:color="auto" w:fill="FFFFFF"/>
        </w:rPr>
        <w:t>, J. A. (2015). Lead toxicity: a review. </w:t>
      </w:r>
      <w:r>
        <w:rPr>
          <w:rFonts w:eastAsia="SimSun"/>
          <w:i/>
          <w:iCs/>
          <w:color w:val="222222"/>
          <w:sz w:val="24"/>
          <w:szCs w:val="24"/>
          <w:shd w:val="clear" w:color="auto" w:fill="FFFFFF"/>
        </w:rPr>
        <w:t>Interdisciplinary Toxicology</w:t>
      </w:r>
      <w:r>
        <w:rPr>
          <w:rFonts w:eastAsia="SimSun"/>
          <w:color w:val="222222"/>
          <w:sz w:val="24"/>
          <w:szCs w:val="24"/>
          <w:shd w:val="clear" w:color="auto" w:fill="FFFFFF"/>
        </w:rPr>
        <w:t>, </w:t>
      </w:r>
      <w:r>
        <w:rPr>
          <w:rFonts w:eastAsia="SimSun"/>
          <w:i/>
          <w:iCs/>
          <w:color w:val="222222"/>
          <w:sz w:val="24"/>
          <w:szCs w:val="24"/>
          <w:shd w:val="clear" w:color="auto" w:fill="FFFFFF"/>
        </w:rPr>
        <w:t>8</w:t>
      </w:r>
      <w:r>
        <w:rPr>
          <w:rFonts w:eastAsia="SimSun"/>
          <w:color w:val="222222"/>
          <w:sz w:val="24"/>
          <w:szCs w:val="24"/>
          <w:shd w:val="clear" w:color="auto" w:fill="FFFFFF"/>
        </w:rPr>
        <w:t>(2), 55.</w:t>
      </w:r>
    </w:p>
    <w:p w:rsidR="007E54BE" w:rsidRDefault="008F683E">
      <w:pPr>
        <w:widowControl/>
        <w:autoSpaceDE/>
        <w:autoSpaceDN/>
        <w:spacing w:line="360" w:lineRule="auto"/>
        <w:ind w:left="480" w:hangingChars="200" w:hanging="480"/>
        <w:jc w:val="both"/>
        <w:rPr>
          <w:rFonts w:eastAsia="SimSun"/>
          <w:color w:val="222222"/>
          <w:sz w:val="24"/>
          <w:szCs w:val="24"/>
          <w:shd w:val="clear" w:color="auto" w:fill="FFFFFF"/>
        </w:rPr>
      </w:pPr>
      <w:proofErr w:type="spellStart"/>
      <w:r>
        <w:rPr>
          <w:rFonts w:eastAsia="SimSun"/>
          <w:color w:val="222222"/>
          <w:sz w:val="24"/>
          <w:szCs w:val="24"/>
          <w:shd w:val="clear" w:color="auto" w:fill="FFFFFF"/>
        </w:rPr>
        <w:t>Balali</w:t>
      </w:r>
      <w:proofErr w:type="spellEnd"/>
      <w:r>
        <w:rPr>
          <w:rFonts w:eastAsia="SimSun"/>
          <w:color w:val="222222"/>
          <w:sz w:val="24"/>
          <w:szCs w:val="24"/>
          <w:shd w:val="clear" w:color="auto" w:fill="FFFFFF"/>
        </w:rPr>
        <w:t xml:space="preserve">-Mood, M., </w:t>
      </w:r>
      <w:proofErr w:type="spellStart"/>
      <w:r>
        <w:rPr>
          <w:rFonts w:eastAsia="SimSun"/>
          <w:color w:val="222222"/>
          <w:sz w:val="24"/>
          <w:szCs w:val="24"/>
          <w:shd w:val="clear" w:color="auto" w:fill="FFFFFF"/>
        </w:rPr>
        <w:t>Naseri</w:t>
      </w:r>
      <w:proofErr w:type="spellEnd"/>
      <w:r>
        <w:rPr>
          <w:rFonts w:eastAsia="SimSun"/>
          <w:color w:val="222222"/>
          <w:sz w:val="24"/>
          <w:szCs w:val="24"/>
          <w:shd w:val="clear" w:color="auto" w:fill="FFFFFF"/>
        </w:rPr>
        <w:t xml:space="preserve">, K., </w:t>
      </w:r>
      <w:proofErr w:type="spellStart"/>
      <w:r>
        <w:rPr>
          <w:rFonts w:eastAsia="SimSun"/>
          <w:color w:val="222222"/>
          <w:sz w:val="24"/>
          <w:szCs w:val="24"/>
          <w:shd w:val="clear" w:color="auto" w:fill="FFFFFF"/>
        </w:rPr>
        <w:t>Tahergorabi</w:t>
      </w:r>
      <w:proofErr w:type="spellEnd"/>
      <w:r>
        <w:rPr>
          <w:rFonts w:eastAsia="SimSun"/>
          <w:color w:val="222222"/>
          <w:sz w:val="24"/>
          <w:szCs w:val="24"/>
          <w:shd w:val="clear" w:color="auto" w:fill="FFFFFF"/>
        </w:rPr>
        <w:t xml:space="preserve">, Z., </w:t>
      </w:r>
      <w:proofErr w:type="spellStart"/>
      <w:r>
        <w:rPr>
          <w:rFonts w:eastAsia="SimSun"/>
          <w:color w:val="222222"/>
          <w:sz w:val="24"/>
          <w:szCs w:val="24"/>
          <w:shd w:val="clear" w:color="auto" w:fill="FFFFFF"/>
        </w:rPr>
        <w:t>Khazdair</w:t>
      </w:r>
      <w:proofErr w:type="spellEnd"/>
      <w:r>
        <w:rPr>
          <w:rFonts w:eastAsia="SimSun"/>
          <w:color w:val="222222"/>
          <w:sz w:val="24"/>
          <w:szCs w:val="24"/>
          <w:shd w:val="clear" w:color="auto" w:fill="FFFFFF"/>
        </w:rPr>
        <w:t>, M. R., &amp; Sadeghi, M. (2021). Toxic mechanisms of five heavy metals: mercury, lead, chromium, cadmium, and arsenic. </w:t>
      </w:r>
      <w:r>
        <w:rPr>
          <w:rFonts w:eastAsia="SimSun"/>
          <w:i/>
          <w:iCs/>
          <w:color w:val="222222"/>
          <w:sz w:val="24"/>
          <w:szCs w:val="24"/>
          <w:shd w:val="clear" w:color="auto" w:fill="FFFFFF"/>
        </w:rPr>
        <w:t>Frontiers in pharmacology</w:t>
      </w:r>
      <w:r>
        <w:rPr>
          <w:rFonts w:eastAsia="SimSun"/>
          <w:color w:val="222222"/>
          <w:sz w:val="24"/>
          <w:szCs w:val="24"/>
          <w:shd w:val="clear" w:color="auto" w:fill="FFFFFF"/>
        </w:rPr>
        <w:t>, </w:t>
      </w:r>
      <w:r>
        <w:rPr>
          <w:rFonts w:eastAsia="SimSun"/>
          <w:i/>
          <w:iCs/>
          <w:color w:val="222222"/>
          <w:sz w:val="24"/>
          <w:szCs w:val="24"/>
          <w:shd w:val="clear" w:color="auto" w:fill="FFFFFF"/>
        </w:rPr>
        <w:t>12</w:t>
      </w:r>
      <w:r>
        <w:rPr>
          <w:rFonts w:eastAsia="SimSun"/>
          <w:color w:val="222222"/>
          <w:sz w:val="24"/>
          <w:szCs w:val="24"/>
          <w:shd w:val="clear" w:color="auto" w:fill="FFFFFF"/>
        </w:rPr>
        <w:t>, 643972.</w:t>
      </w:r>
    </w:p>
    <w:p w:rsidR="007E54BE" w:rsidRDefault="008F683E">
      <w:pPr>
        <w:widowControl/>
        <w:autoSpaceDE/>
        <w:autoSpaceDN/>
        <w:adjustRightInd w:val="0"/>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Bao, B., Ahmad, A., Azmi, A., Li, Y., Prasad, A., &amp; Sarkar, F. H. (2014). The biological significance of zinc in inflammation and aging. In </w:t>
      </w:r>
      <w:r>
        <w:rPr>
          <w:rFonts w:eastAsia="SimSun"/>
          <w:i/>
          <w:iCs/>
          <w:color w:val="222222"/>
          <w:sz w:val="24"/>
          <w:szCs w:val="24"/>
          <w:shd w:val="clear" w:color="auto" w:fill="FFFFFF"/>
        </w:rPr>
        <w:t>Inflammation, advancing age and nutrition</w:t>
      </w:r>
      <w:r>
        <w:rPr>
          <w:rFonts w:eastAsia="SimSun"/>
          <w:color w:val="222222"/>
          <w:sz w:val="24"/>
          <w:szCs w:val="24"/>
          <w:shd w:val="clear" w:color="auto" w:fill="FFFFFF"/>
        </w:rPr>
        <w:t> (pp. 15-27). Academic Press.</w:t>
      </w:r>
    </w:p>
    <w:p w:rsidR="007E54BE" w:rsidRDefault="008F683E">
      <w:pPr>
        <w:widowControl/>
        <w:autoSpaceDE/>
        <w:autoSpaceDN/>
        <w:adjustRightInd w:val="0"/>
        <w:spacing w:line="360" w:lineRule="auto"/>
        <w:ind w:left="480" w:hangingChars="200" w:hanging="480"/>
        <w:jc w:val="both"/>
        <w:rPr>
          <w:rFonts w:eastAsia="SimSun"/>
          <w:color w:val="FF0000"/>
          <w:sz w:val="24"/>
          <w:szCs w:val="24"/>
          <w:shd w:val="clear" w:color="auto" w:fill="FFFFFF"/>
        </w:rPr>
      </w:pPr>
      <w:proofErr w:type="spellStart"/>
      <w:r>
        <w:rPr>
          <w:color w:val="FF0000"/>
          <w:sz w:val="24"/>
          <w:szCs w:val="24"/>
          <w:lang w:val="en-GB"/>
        </w:rPr>
        <w:t>Baki</w:t>
      </w:r>
      <w:proofErr w:type="spellEnd"/>
      <w:r>
        <w:rPr>
          <w:color w:val="FF0000"/>
          <w:sz w:val="24"/>
          <w:szCs w:val="24"/>
          <w:lang w:val="en-GB"/>
        </w:rPr>
        <w:t xml:space="preserve">, M. A., Hossain, M. M., </w:t>
      </w:r>
      <w:proofErr w:type="spellStart"/>
      <w:r>
        <w:rPr>
          <w:color w:val="FF0000"/>
          <w:sz w:val="24"/>
          <w:szCs w:val="24"/>
          <w:lang w:val="en-GB"/>
        </w:rPr>
        <w:t>Akter</w:t>
      </w:r>
      <w:proofErr w:type="spellEnd"/>
      <w:r>
        <w:rPr>
          <w:color w:val="FF0000"/>
          <w:sz w:val="24"/>
          <w:szCs w:val="24"/>
          <w:lang w:val="en-GB"/>
        </w:rPr>
        <w:t xml:space="preserve">, J., Quraishi, S. B., </w:t>
      </w:r>
      <w:proofErr w:type="spellStart"/>
      <w:r>
        <w:rPr>
          <w:color w:val="FF0000"/>
          <w:sz w:val="24"/>
          <w:szCs w:val="24"/>
          <w:lang w:val="en-GB"/>
        </w:rPr>
        <w:t>Shojib</w:t>
      </w:r>
      <w:proofErr w:type="spellEnd"/>
      <w:r>
        <w:rPr>
          <w:color w:val="FF0000"/>
          <w:sz w:val="24"/>
          <w:szCs w:val="24"/>
          <w:lang w:val="en-GB"/>
        </w:rPr>
        <w:t xml:space="preserve">, M. F. H., Ullah, A. A., &amp; Khan, M. F. (2018). Concentration of heavy metals in seafood (fishes, shrimp, </w:t>
      </w:r>
      <w:r>
        <w:rPr>
          <w:color w:val="FF0000"/>
          <w:sz w:val="24"/>
          <w:szCs w:val="24"/>
          <w:lang w:val="en-GB"/>
        </w:rPr>
        <w:lastRenderedPageBreak/>
        <w:t xml:space="preserve">lobster and crabs) and human health assessment in Saint Martin Island, Bangladesh. Ecotoxicology and </w:t>
      </w:r>
      <w:r>
        <w:rPr>
          <w:color w:val="FF0000"/>
          <w:sz w:val="24"/>
          <w:szCs w:val="24"/>
        </w:rPr>
        <w:t>E</w:t>
      </w:r>
      <w:proofErr w:type="spellStart"/>
      <w:r>
        <w:rPr>
          <w:color w:val="FF0000"/>
          <w:sz w:val="24"/>
          <w:szCs w:val="24"/>
          <w:lang w:val="en-GB"/>
        </w:rPr>
        <w:t>nvironmental</w:t>
      </w:r>
      <w:proofErr w:type="spellEnd"/>
      <w:r>
        <w:rPr>
          <w:color w:val="FF0000"/>
          <w:sz w:val="24"/>
          <w:szCs w:val="24"/>
          <w:lang w:val="en-GB"/>
        </w:rPr>
        <w:t xml:space="preserve"> </w:t>
      </w:r>
      <w:r>
        <w:rPr>
          <w:color w:val="FF0000"/>
          <w:sz w:val="24"/>
          <w:szCs w:val="24"/>
        </w:rPr>
        <w:t>S</w:t>
      </w:r>
      <w:proofErr w:type="spellStart"/>
      <w:r>
        <w:rPr>
          <w:color w:val="FF0000"/>
          <w:sz w:val="24"/>
          <w:szCs w:val="24"/>
          <w:lang w:val="en-GB"/>
        </w:rPr>
        <w:t>afety</w:t>
      </w:r>
      <w:proofErr w:type="spellEnd"/>
      <w:r>
        <w:rPr>
          <w:color w:val="FF0000"/>
          <w:sz w:val="24"/>
          <w:szCs w:val="24"/>
          <w:lang w:val="en-GB"/>
        </w:rPr>
        <w:t>, 159, 153-163.</w:t>
      </w:r>
    </w:p>
    <w:p w:rsidR="007E54BE" w:rsidRDefault="008F683E">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 xml:space="preserve">Delgado-Suárez, I., Gutiérrez, Á. J., </w:t>
      </w:r>
      <w:proofErr w:type="spellStart"/>
      <w:r>
        <w:rPr>
          <w:rFonts w:eastAsia="SimSun"/>
          <w:color w:val="222222"/>
          <w:sz w:val="24"/>
          <w:szCs w:val="24"/>
          <w:shd w:val="clear" w:color="auto" w:fill="FFFFFF"/>
        </w:rPr>
        <w:t>Hardisson</w:t>
      </w:r>
      <w:proofErr w:type="spellEnd"/>
      <w:r>
        <w:rPr>
          <w:rFonts w:eastAsia="SimSun"/>
          <w:color w:val="222222"/>
          <w:sz w:val="24"/>
          <w:szCs w:val="24"/>
          <w:shd w:val="clear" w:color="auto" w:fill="FFFFFF"/>
        </w:rPr>
        <w:t>, A., Thorne-</w:t>
      </w:r>
      <w:proofErr w:type="spellStart"/>
      <w:r>
        <w:rPr>
          <w:rFonts w:eastAsia="SimSun"/>
          <w:color w:val="222222"/>
          <w:sz w:val="24"/>
          <w:szCs w:val="24"/>
          <w:shd w:val="clear" w:color="auto" w:fill="FFFFFF"/>
        </w:rPr>
        <w:t>Bazarra</w:t>
      </w:r>
      <w:proofErr w:type="spellEnd"/>
      <w:r>
        <w:rPr>
          <w:rFonts w:eastAsia="SimSun"/>
          <w:color w:val="222222"/>
          <w:sz w:val="24"/>
          <w:szCs w:val="24"/>
          <w:shd w:val="clear" w:color="auto" w:fill="FFFFFF"/>
        </w:rPr>
        <w:t>, T., Paz, S., Revert, C., ... &amp; Lozano-Bilbao, E. (2025). Metals in intertidal gastropods: Relationship between species and feeding habits. </w:t>
      </w:r>
      <w:r>
        <w:rPr>
          <w:rFonts w:eastAsia="SimSun"/>
          <w:i/>
          <w:iCs/>
          <w:color w:val="222222"/>
          <w:sz w:val="24"/>
          <w:szCs w:val="24"/>
          <w:shd w:val="clear" w:color="auto" w:fill="FFFFFF"/>
        </w:rPr>
        <w:t>Marine Pollution Bulletin</w:t>
      </w:r>
      <w:r>
        <w:rPr>
          <w:rFonts w:eastAsia="SimSun"/>
          <w:color w:val="222222"/>
          <w:sz w:val="24"/>
          <w:szCs w:val="24"/>
          <w:shd w:val="clear" w:color="auto" w:fill="FFFFFF"/>
        </w:rPr>
        <w:t>, </w:t>
      </w:r>
      <w:r>
        <w:rPr>
          <w:rFonts w:eastAsia="SimSun"/>
          <w:i/>
          <w:iCs/>
          <w:color w:val="222222"/>
          <w:sz w:val="24"/>
          <w:szCs w:val="24"/>
          <w:shd w:val="clear" w:color="auto" w:fill="FFFFFF"/>
        </w:rPr>
        <w:t>220</w:t>
      </w:r>
      <w:r>
        <w:rPr>
          <w:rFonts w:eastAsia="SimSun"/>
          <w:color w:val="222222"/>
          <w:sz w:val="24"/>
          <w:szCs w:val="24"/>
          <w:shd w:val="clear" w:color="auto" w:fill="FFFFFF"/>
        </w:rPr>
        <w:t>, 118366.</w:t>
      </w:r>
    </w:p>
    <w:p w:rsidR="007E54BE" w:rsidRDefault="008F683E">
      <w:pPr>
        <w:widowControl/>
        <w:autoSpaceDE/>
        <w:autoSpaceDN/>
        <w:spacing w:line="360" w:lineRule="auto"/>
        <w:ind w:left="480" w:hangingChars="200" w:hanging="480"/>
        <w:jc w:val="both"/>
        <w:rPr>
          <w:rFonts w:eastAsia="SimSun"/>
          <w:sz w:val="24"/>
          <w:szCs w:val="24"/>
        </w:rPr>
      </w:pPr>
      <w:proofErr w:type="spellStart"/>
      <w:r>
        <w:rPr>
          <w:rFonts w:eastAsia="SimSun"/>
          <w:sz w:val="24"/>
          <w:szCs w:val="24"/>
        </w:rPr>
        <w:t>Eniola</w:t>
      </w:r>
      <w:proofErr w:type="spellEnd"/>
      <w:r>
        <w:rPr>
          <w:rFonts w:eastAsia="SimSun"/>
          <w:sz w:val="24"/>
          <w:szCs w:val="24"/>
        </w:rPr>
        <w:t>, W., &amp; Oni, A. O. (2025). Evaluation of Heavy Metals Concentrations in the Giant Land Snails (</w:t>
      </w:r>
      <w:proofErr w:type="spellStart"/>
      <w:r>
        <w:rPr>
          <w:rFonts w:eastAsia="SimSun"/>
          <w:sz w:val="24"/>
          <w:szCs w:val="24"/>
        </w:rPr>
        <w:t>Archachatina</w:t>
      </w:r>
      <w:proofErr w:type="spellEnd"/>
      <w:r>
        <w:rPr>
          <w:rFonts w:eastAsia="SimSun"/>
          <w:sz w:val="24"/>
          <w:szCs w:val="24"/>
        </w:rPr>
        <w:t xml:space="preserve"> </w:t>
      </w:r>
      <w:proofErr w:type="spellStart"/>
      <w:r>
        <w:rPr>
          <w:rFonts w:eastAsia="SimSun"/>
          <w:sz w:val="24"/>
          <w:szCs w:val="24"/>
        </w:rPr>
        <w:t>marginata</w:t>
      </w:r>
      <w:proofErr w:type="spellEnd"/>
      <w:r>
        <w:rPr>
          <w:rFonts w:eastAsia="SimSun"/>
          <w:sz w:val="24"/>
          <w:szCs w:val="24"/>
        </w:rPr>
        <w:t xml:space="preserve"> and </w:t>
      </w:r>
      <w:proofErr w:type="spellStart"/>
      <w:r>
        <w:rPr>
          <w:rFonts w:eastAsia="SimSun"/>
          <w:sz w:val="24"/>
          <w:szCs w:val="24"/>
        </w:rPr>
        <w:t>Achatina</w:t>
      </w:r>
      <w:proofErr w:type="spellEnd"/>
      <w:r>
        <w:rPr>
          <w:rFonts w:eastAsia="SimSun"/>
          <w:sz w:val="24"/>
          <w:szCs w:val="24"/>
        </w:rPr>
        <w:t xml:space="preserve"> </w:t>
      </w:r>
      <w:proofErr w:type="spellStart"/>
      <w:r>
        <w:rPr>
          <w:rFonts w:eastAsia="SimSun"/>
          <w:sz w:val="24"/>
          <w:szCs w:val="24"/>
        </w:rPr>
        <w:t>achatina</w:t>
      </w:r>
      <w:proofErr w:type="spellEnd"/>
      <w:r>
        <w:rPr>
          <w:rFonts w:eastAsia="SimSun"/>
          <w:sz w:val="24"/>
          <w:szCs w:val="24"/>
        </w:rPr>
        <w:t>) as a Bioindicator of Environmental Pollution. International Journal of Scientific Research and Modern Technology, 4(8), 101–108.</w:t>
      </w:r>
    </w:p>
    <w:p w:rsidR="007E54BE" w:rsidRDefault="008F683E">
      <w:pPr>
        <w:widowControl/>
        <w:autoSpaceDE/>
        <w:autoSpaceDN/>
        <w:spacing w:line="360" w:lineRule="auto"/>
        <w:ind w:left="480" w:hangingChars="200" w:hanging="480"/>
        <w:jc w:val="both"/>
        <w:rPr>
          <w:rFonts w:eastAsia="SimSun"/>
          <w:color w:val="FF0000"/>
          <w:sz w:val="24"/>
          <w:szCs w:val="24"/>
        </w:rPr>
      </w:pPr>
      <w:r>
        <w:rPr>
          <w:rFonts w:eastAsia="SimSun"/>
          <w:color w:val="FF0000"/>
          <w:sz w:val="24"/>
          <w:szCs w:val="24"/>
        </w:rPr>
        <w:t xml:space="preserve">Food and </w:t>
      </w:r>
      <w:proofErr w:type="spellStart"/>
      <w:r>
        <w:rPr>
          <w:rFonts w:eastAsia="SimSun"/>
          <w:color w:val="FF0000"/>
          <w:sz w:val="24"/>
          <w:szCs w:val="24"/>
        </w:rPr>
        <w:t>Agriculural</w:t>
      </w:r>
      <w:proofErr w:type="spellEnd"/>
      <w:r>
        <w:rPr>
          <w:rFonts w:eastAsia="SimSun"/>
          <w:color w:val="FF0000"/>
          <w:sz w:val="24"/>
          <w:szCs w:val="24"/>
        </w:rPr>
        <w:t xml:space="preserve"> </w:t>
      </w:r>
      <w:proofErr w:type="spellStart"/>
      <w:r>
        <w:rPr>
          <w:rFonts w:eastAsia="SimSun"/>
          <w:color w:val="FF0000"/>
          <w:sz w:val="24"/>
          <w:szCs w:val="24"/>
        </w:rPr>
        <w:t>Organisation</w:t>
      </w:r>
      <w:proofErr w:type="spellEnd"/>
      <w:r>
        <w:rPr>
          <w:rFonts w:eastAsia="SimSun"/>
          <w:color w:val="FF0000"/>
          <w:sz w:val="24"/>
          <w:szCs w:val="24"/>
        </w:rPr>
        <w:t xml:space="preserve"> (FAO, 2003). Accessed January 31, 2026 at </w:t>
      </w:r>
      <w:hyperlink r:id="rId7" w:history="1">
        <w:r>
          <w:rPr>
            <w:rStyle w:val="Hyperlink"/>
            <w:rFonts w:eastAsia="SimSun"/>
            <w:color w:val="FF0000"/>
            <w:sz w:val="24"/>
            <w:szCs w:val="24"/>
          </w:rPr>
          <w:t>https://faolex.fao.org/docs/pdf/eri42405.pdf</w:t>
        </w:r>
      </w:hyperlink>
      <w:r>
        <w:rPr>
          <w:rFonts w:eastAsia="SimSun"/>
          <w:color w:val="FF0000"/>
          <w:sz w:val="24"/>
          <w:szCs w:val="24"/>
        </w:rPr>
        <w:t xml:space="preserve"> </w:t>
      </w:r>
    </w:p>
    <w:p w:rsidR="007E54BE" w:rsidRDefault="008F683E">
      <w:pPr>
        <w:widowControl/>
        <w:autoSpaceDE/>
        <w:autoSpaceDN/>
        <w:spacing w:line="360" w:lineRule="auto"/>
        <w:ind w:left="480" w:hangingChars="200" w:hanging="480"/>
        <w:jc w:val="both"/>
        <w:rPr>
          <w:rFonts w:eastAsia="SimSun"/>
          <w:color w:val="FF0000"/>
          <w:sz w:val="24"/>
          <w:szCs w:val="24"/>
        </w:rPr>
      </w:pPr>
      <w:r>
        <w:rPr>
          <w:rFonts w:eastAsia="SimSun"/>
          <w:color w:val="FF0000"/>
          <w:sz w:val="24"/>
          <w:szCs w:val="24"/>
        </w:rPr>
        <w:t xml:space="preserve">FAO/WHO (2017).  Standard </w:t>
      </w:r>
      <w:proofErr w:type="spellStart"/>
      <w:r>
        <w:rPr>
          <w:rFonts w:eastAsia="SimSun"/>
          <w:color w:val="FF0000"/>
          <w:sz w:val="24"/>
          <w:szCs w:val="24"/>
        </w:rPr>
        <w:t>programme</w:t>
      </w:r>
      <w:proofErr w:type="spellEnd"/>
      <w:r>
        <w:rPr>
          <w:rFonts w:eastAsia="SimSun"/>
          <w:color w:val="FF0000"/>
          <w:sz w:val="24"/>
          <w:szCs w:val="24"/>
        </w:rPr>
        <w:t xml:space="preserve"> Codex contaminants in food. J. Chm. Inf. Model, pp. 1-30.</w:t>
      </w:r>
    </w:p>
    <w:p w:rsidR="007E54BE" w:rsidRDefault="008F683E">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 xml:space="preserve">Gao, W., Du, Y., Gao, S., </w:t>
      </w:r>
      <w:proofErr w:type="spellStart"/>
      <w:r>
        <w:rPr>
          <w:rFonts w:eastAsia="SimSun"/>
          <w:color w:val="222222"/>
          <w:sz w:val="24"/>
          <w:szCs w:val="24"/>
          <w:shd w:val="clear" w:color="auto" w:fill="FFFFFF"/>
        </w:rPr>
        <w:t>Ingels</w:t>
      </w:r>
      <w:proofErr w:type="spellEnd"/>
      <w:r>
        <w:rPr>
          <w:rFonts w:eastAsia="SimSun"/>
          <w:color w:val="222222"/>
          <w:sz w:val="24"/>
          <w:szCs w:val="24"/>
          <w:shd w:val="clear" w:color="auto" w:fill="FFFFFF"/>
        </w:rPr>
        <w:t>, J., &amp; Wang, D. (2016). Heavy metal accumulation reflecting natural sedimentary processes and anthropogenic activities in two contrasting coastal wetland ecosystems, eastern China. </w:t>
      </w:r>
      <w:r>
        <w:rPr>
          <w:rFonts w:eastAsia="SimSun"/>
          <w:i/>
          <w:iCs/>
          <w:color w:val="222222"/>
          <w:sz w:val="24"/>
          <w:szCs w:val="24"/>
          <w:shd w:val="clear" w:color="auto" w:fill="FFFFFF"/>
        </w:rPr>
        <w:t>Journal of Soils and Sediments</w:t>
      </w:r>
      <w:r>
        <w:rPr>
          <w:rFonts w:eastAsia="SimSun"/>
          <w:color w:val="222222"/>
          <w:sz w:val="24"/>
          <w:szCs w:val="24"/>
          <w:shd w:val="clear" w:color="auto" w:fill="FFFFFF"/>
        </w:rPr>
        <w:t>, </w:t>
      </w:r>
      <w:r>
        <w:rPr>
          <w:rFonts w:eastAsia="SimSun"/>
          <w:i/>
          <w:iCs/>
          <w:color w:val="222222"/>
          <w:sz w:val="24"/>
          <w:szCs w:val="24"/>
          <w:shd w:val="clear" w:color="auto" w:fill="FFFFFF"/>
        </w:rPr>
        <w:t>16</w:t>
      </w:r>
      <w:r>
        <w:rPr>
          <w:rFonts w:eastAsia="SimSun"/>
          <w:color w:val="222222"/>
          <w:sz w:val="24"/>
          <w:szCs w:val="24"/>
          <w:shd w:val="clear" w:color="auto" w:fill="FFFFFF"/>
        </w:rPr>
        <w:t>(3), 1093-1108.</w:t>
      </w:r>
    </w:p>
    <w:p w:rsidR="007E54BE" w:rsidRDefault="008F683E">
      <w:pPr>
        <w:widowControl/>
        <w:autoSpaceDE/>
        <w:autoSpaceDN/>
        <w:adjustRightInd w:val="0"/>
        <w:spacing w:line="360" w:lineRule="auto"/>
        <w:ind w:left="480" w:hangingChars="200" w:hanging="480"/>
        <w:jc w:val="both"/>
        <w:rPr>
          <w:rFonts w:eastAsia="SimSun"/>
          <w:color w:val="222222"/>
          <w:sz w:val="24"/>
          <w:szCs w:val="24"/>
          <w:shd w:val="clear" w:color="auto" w:fill="FFFFFF"/>
        </w:rPr>
      </w:pPr>
      <w:proofErr w:type="spellStart"/>
      <w:r>
        <w:rPr>
          <w:rFonts w:eastAsia="SimSun"/>
          <w:color w:val="222222"/>
          <w:sz w:val="24"/>
          <w:szCs w:val="24"/>
          <w:shd w:val="clear" w:color="auto" w:fill="FFFFFF"/>
        </w:rPr>
        <w:t>Generalova</w:t>
      </w:r>
      <w:proofErr w:type="spellEnd"/>
      <w:r>
        <w:rPr>
          <w:rFonts w:eastAsia="SimSun"/>
          <w:color w:val="222222"/>
          <w:sz w:val="24"/>
          <w:szCs w:val="24"/>
          <w:shd w:val="clear" w:color="auto" w:fill="FFFFFF"/>
        </w:rPr>
        <w:t xml:space="preserve">, A., </w:t>
      </w:r>
      <w:proofErr w:type="spellStart"/>
      <w:r>
        <w:rPr>
          <w:rFonts w:eastAsia="SimSun"/>
          <w:color w:val="222222"/>
          <w:sz w:val="24"/>
          <w:szCs w:val="24"/>
          <w:shd w:val="clear" w:color="auto" w:fill="FFFFFF"/>
        </w:rPr>
        <w:t>Davidova</w:t>
      </w:r>
      <w:proofErr w:type="spellEnd"/>
      <w:r>
        <w:rPr>
          <w:rFonts w:eastAsia="SimSun"/>
          <w:color w:val="222222"/>
          <w:sz w:val="24"/>
          <w:szCs w:val="24"/>
          <w:shd w:val="clear" w:color="auto" w:fill="FFFFFF"/>
        </w:rPr>
        <w:t xml:space="preserve">, S., &amp; </w:t>
      </w:r>
      <w:proofErr w:type="spellStart"/>
      <w:r>
        <w:rPr>
          <w:rFonts w:eastAsia="SimSun"/>
          <w:color w:val="222222"/>
          <w:sz w:val="24"/>
          <w:szCs w:val="24"/>
          <w:shd w:val="clear" w:color="auto" w:fill="FFFFFF"/>
        </w:rPr>
        <w:t>Satchanska</w:t>
      </w:r>
      <w:proofErr w:type="spellEnd"/>
      <w:r>
        <w:rPr>
          <w:rFonts w:eastAsia="SimSun"/>
          <w:color w:val="222222"/>
          <w:sz w:val="24"/>
          <w:szCs w:val="24"/>
          <w:shd w:val="clear" w:color="auto" w:fill="FFFFFF"/>
        </w:rPr>
        <w:t>, G. (2025). The mechanisms of lead toxicity in living organisms. </w:t>
      </w:r>
      <w:r>
        <w:rPr>
          <w:rFonts w:eastAsia="SimSun"/>
          <w:i/>
          <w:iCs/>
          <w:color w:val="222222"/>
          <w:sz w:val="24"/>
          <w:szCs w:val="24"/>
          <w:shd w:val="clear" w:color="auto" w:fill="FFFFFF"/>
        </w:rPr>
        <w:t>Journal of Xenobiotics</w:t>
      </w:r>
      <w:r>
        <w:rPr>
          <w:rFonts w:eastAsia="SimSun"/>
          <w:color w:val="222222"/>
          <w:sz w:val="24"/>
          <w:szCs w:val="24"/>
          <w:shd w:val="clear" w:color="auto" w:fill="FFFFFF"/>
        </w:rPr>
        <w:t>, </w:t>
      </w:r>
      <w:r>
        <w:rPr>
          <w:rFonts w:eastAsia="SimSun"/>
          <w:i/>
          <w:iCs/>
          <w:color w:val="222222"/>
          <w:sz w:val="24"/>
          <w:szCs w:val="24"/>
          <w:shd w:val="clear" w:color="auto" w:fill="FFFFFF"/>
        </w:rPr>
        <w:t>15</w:t>
      </w:r>
      <w:r>
        <w:rPr>
          <w:rFonts w:eastAsia="SimSun"/>
          <w:color w:val="222222"/>
          <w:sz w:val="24"/>
          <w:szCs w:val="24"/>
          <w:shd w:val="clear" w:color="auto" w:fill="FFFFFF"/>
        </w:rPr>
        <w:t>(5), 146.</w:t>
      </w:r>
    </w:p>
    <w:p w:rsidR="007E54BE" w:rsidRDefault="008F683E">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 xml:space="preserve">Idris, N. S. U., </w:t>
      </w:r>
      <w:proofErr w:type="spellStart"/>
      <w:r>
        <w:rPr>
          <w:rFonts w:eastAsia="SimSun"/>
          <w:color w:val="222222"/>
          <w:sz w:val="24"/>
          <w:szCs w:val="24"/>
          <w:shd w:val="clear" w:color="auto" w:fill="FFFFFF"/>
        </w:rPr>
        <w:t>Ayub</w:t>
      </w:r>
      <w:proofErr w:type="spellEnd"/>
      <w:r>
        <w:rPr>
          <w:rFonts w:eastAsia="SimSun"/>
          <w:color w:val="222222"/>
          <w:sz w:val="24"/>
          <w:szCs w:val="24"/>
          <w:shd w:val="clear" w:color="auto" w:fill="FFFFFF"/>
        </w:rPr>
        <w:t xml:space="preserve">, M. A., Halim, N. S. A., Malek, N. H. A., &amp; </w:t>
      </w:r>
      <w:proofErr w:type="spellStart"/>
      <w:r>
        <w:rPr>
          <w:rFonts w:eastAsia="SimSun"/>
          <w:color w:val="222222"/>
          <w:sz w:val="24"/>
          <w:szCs w:val="24"/>
          <w:shd w:val="clear" w:color="auto" w:fill="FFFFFF"/>
        </w:rPr>
        <w:t>Yaakub</w:t>
      </w:r>
      <w:proofErr w:type="spellEnd"/>
      <w:r>
        <w:rPr>
          <w:rFonts w:eastAsia="SimSun"/>
          <w:color w:val="222222"/>
          <w:sz w:val="24"/>
          <w:szCs w:val="24"/>
          <w:shd w:val="clear" w:color="auto" w:fill="FFFFFF"/>
        </w:rPr>
        <w:t xml:space="preserve">, N. (2025). The bioconcentration of metals in Oreochromis </w:t>
      </w:r>
      <w:proofErr w:type="spellStart"/>
      <w:r>
        <w:rPr>
          <w:rFonts w:eastAsia="SimSun"/>
          <w:color w:val="222222"/>
          <w:sz w:val="24"/>
          <w:szCs w:val="24"/>
          <w:shd w:val="clear" w:color="auto" w:fill="FFFFFF"/>
        </w:rPr>
        <w:t>niloticus</w:t>
      </w:r>
      <w:proofErr w:type="spellEnd"/>
      <w:r>
        <w:rPr>
          <w:rFonts w:eastAsia="SimSun"/>
          <w:color w:val="222222"/>
          <w:sz w:val="24"/>
          <w:szCs w:val="24"/>
          <w:shd w:val="clear" w:color="auto" w:fill="FFFFFF"/>
        </w:rPr>
        <w:t xml:space="preserve"> and Pangasius sp. from a commercial fishpond. </w:t>
      </w:r>
      <w:r>
        <w:rPr>
          <w:rFonts w:eastAsia="SimSun"/>
          <w:i/>
          <w:iCs/>
          <w:color w:val="222222"/>
          <w:sz w:val="24"/>
          <w:szCs w:val="24"/>
          <w:shd w:val="clear" w:color="auto" w:fill="FFFFFF"/>
        </w:rPr>
        <w:t>Journal of Tropical Resources and Sustainable Science (JTRSS)</w:t>
      </w:r>
      <w:r>
        <w:rPr>
          <w:rFonts w:eastAsia="SimSun"/>
          <w:color w:val="222222"/>
          <w:sz w:val="24"/>
          <w:szCs w:val="24"/>
          <w:shd w:val="clear" w:color="auto" w:fill="FFFFFF"/>
        </w:rPr>
        <w:t>, </w:t>
      </w:r>
      <w:r>
        <w:rPr>
          <w:rFonts w:eastAsia="SimSun"/>
          <w:i/>
          <w:iCs/>
          <w:color w:val="222222"/>
          <w:sz w:val="24"/>
          <w:szCs w:val="24"/>
          <w:shd w:val="clear" w:color="auto" w:fill="FFFFFF"/>
        </w:rPr>
        <w:t>13</w:t>
      </w:r>
      <w:r>
        <w:rPr>
          <w:rFonts w:eastAsia="SimSun"/>
          <w:color w:val="222222"/>
          <w:sz w:val="24"/>
          <w:szCs w:val="24"/>
          <w:shd w:val="clear" w:color="auto" w:fill="FFFFFF"/>
        </w:rPr>
        <w:t>(2), 271-278.</w:t>
      </w:r>
    </w:p>
    <w:p w:rsidR="007E54BE" w:rsidRDefault="008F683E">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 xml:space="preserve">Jamil </w:t>
      </w:r>
      <w:proofErr w:type="spellStart"/>
      <w:r>
        <w:rPr>
          <w:rFonts w:eastAsia="SimSun"/>
          <w:color w:val="222222"/>
          <w:sz w:val="24"/>
          <w:szCs w:val="24"/>
          <w:shd w:val="clear" w:color="auto" w:fill="FFFFFF"/>
        </w:rPr>
        <w:t>Emon</w:t>
      </w:r>
      <w:proofErr w:type="spellEnd"/>
      <w:r>
        <w:rPr>
          <w:rFonts w:eastAsia="SimSun"/>
          <w:color w:val="222222"/>
          <w:sz w:val="24"/>
          <w:szCs w:val="24"/>
          <w:shd w:val="clear" w:color="auto" w:fill="FFFFFF"/>
        </w:rPr>
        <w:t xml:space="preserve">, F., </w:t>
      </w:r>
      <w:proofErr w:type="spellStart"/>
      <w:r>
        <w:rPr>
          <w:rFonts w:eastAsia="SimSun"/>
          <w:color w:val="222222"/>
          <w:sz w:val="24"/>
          <w:szCs w:val="24"/>
          <w:shd w:val="clear" w:color="auto" w:fill="FFFFFF"/>
        </w:rPr>
        <w:t>Rohani</w:t>
      </w:r>
      <w:proofErr w:type="spellEnd"/>
      <w:r>
        <w:rPr>
          <w:rFonts w:eastAsia="SimSun"/>
          <w:color w:val="222222"/>
          <w:sz w:val="24"/>
          <w:szCs w:val="24"/>
          <w:shd w:val="clear" w:color="auto" w:fill="FFFFFF"/>
        </w:rPr>
        <w:t xml:space="preserve">, M. F., </w:t>
      </w:r>
      <w:proofErr w:type="spellStart"/>
      <w:r>
        <w:rPr>
          <w:rFonts w:eastAsia="SimSun"/>
          <w:color w:val="222222"/>
          <w:sz w:val="24"/>
          <w:szCs w:val="24"/>
          <w:shd w:val="clear" w:color="auto" w:fill="FFFFFF"/>
        </w:rPr>
        <w:t>Sumaiya</w:t>
      </w:r>
      <w:proofErr w:type="spellEnd"/>
      <w:r>
        <w:rPr>
          <w:rFonts w:eastAsia="SimSun"/>
          <w:color w:val="222222"/>
          <w:sz w:val="24"/>
          <w:szCs w:val="24"/>
          <w:shd w:val="clear" w:color="auto" w:fill="FFFFFF"/>
        </w:rPr>
        <w:t xml:space="preserve">, N., </w:t>
      </w:r>
      <w:proofErr w:type="spellStart"/>
      <w:r>
        <w:rPr>
          <w:rFonts w:eastAsia="SimSun"/>
          <w:color w:val="222222"/>
          <w:sz w:val="24"/>
          <w:szCs w:val="24"/>
          <w:shd w:val="clear" w:color="auto" w:fill="FFFFFF"/>
        </w:rPr>
        <w:t>Tuj</w:t>
      </w:r>
      <w:proofErr w:type="spellEnd"/>
      <w:r>
        <w:rPr>
          <w:rFonts w:eastAsia="SimSun"/>
          <w:color w:val="222222"/>
          <w:sz w:val="24"/>
          <w:szCs w:val="24"/>
          <w:shd w:val="clear" w:color="auto" w:fill="FFFFFF"/>
        </w:rPr>
        <w:t xml:space="preserve"> Jannat, M. F., </w:t>
      </w:r>
      <w:proofErr w:type="spellStart"/>
      <w:r>
        <w:rPr>
          <w:rFonts w:eastAsia="SimSun"/>
          <w:color w:val="222222"/>
          <w:sz w:val="24"/>
          <w:szCs w:val="24"/>
          <w:shd w:val="clear" w:color="auto" w:fill="FFFFFF"/>
        </w:rPr>
        <w:t>Akter</w:t>
      </w:r>
      <w:proofErr w:type="spellEnd"/>
      <w:r>
        <w:rPr>
          <w:rFonts w:eastAsia="SimSun"/>
          <w:color w:val="222222"/>
          <w:sz w:val="24"/>
          <w:szCs w:val="24"/>
          <w:shd w:val="clear" w:color="auto" w:fill="FFFFFF"/>
        </w:rPr>
        <w:t>, Y., Shahjahan, M., ... &amp; Goh, K. W. (2023). Bioaccumulation and bioremediation of heavy metals in fishes—a review. </w:t>
      </w:r>
      <w:r>
        <w:rPr>
          <w:rFonts w:eastAsia="SimSun"/>
          <w:i/>
          <w:iCs/>
          <w:color w:val="222222"/>
          <w:sz w:val="24"/>
          <w:szCs w:val="24"/>
          <w:shd w:val="clear" w:color="auto" w:fill="FFFFFF"/>
        </w:rPr>
        <w:t>Toxics</w:t>
      </w:r>
      <w:r>
        <w:rPr>
          <w:rFonts w:eastAsia="SimSun"/>
          <w:color w:val="222222"/>
          <w:sz w:val="24"/>
          <w:szCs w:val="24"/>
          <w:shd w:val="clear" w:color="auto" w:fill="FFFFFF"/>
        </w:rPr>
        <w:t>, </w:t>
      </w:r>
      <w:r>
        <w:rPr>
          <w:rFonts w:eastAsia="SimSun"/>
          <w:i/>
          <w:iCs/>
          <w:color w:val="222222"/>
          <w:sz w:val="24"/>
          <w:szCs w:val="24"/>
          <w:shd w:val="clear" w:color="auto" w:fill="FFFFFF"/>
        </w:rPr>
        <w:t>11</w:t>
      </w:r>
      <w:r>
        <w:rPr>
          <w:rFonts w:eastAsia="SimSun"/>
          <w:color w:val="222222"/>
          <w:sz w:val="24"/>
          <w:szCs w:val="24"/>
          <w:shd w:val="clear" w:color="auto" w:fill="FFFFFF"/>
        </w:rPr>
        <w:t>(6), 510.</w:t>
      </w:r>
    </w:p>
    <w:p w:rsidR="007E54BE" w:rsidRDefault="008F683E">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 xml:space="preserve">Jia, Z., Zhang, H., Yu, L., </w:t>
      </w:r>
      <w:proofErr w:type="spellStart"/>
      <w:r>
        <w:rPr>
          <w:rFonts w:eastAsia="SimSun"/>
          <w:color w:val="222222"/>
          <w:sz w:val="24"/>
          <w:szCs w:val="24"/>
          <w:shd w:val="clear" w:color="auto" w:fill="FFFFFF"/>
        </w:rPr>
        <w:t>Qiu</w:t>
      </w:r>
      <w:proofErr w:type="spellEnd"/>
      <w:r>
        <w:rPr>
          <w:rFonts w:eastAsia="SimSun"/>
          <w:color w:val="222222"/>
          <w:sz w:val="24"/>
          <w:szCs w:val="24"/>
          <w:shd w:val="clear" w:color="auto" w:fill="FFFFFF"/>
        </w:rPr>
        <w:t xml:space="preserve">, F., </w:t>
      </w:r>
      <w:proofErr w:type="spellStart"/>
      <w:r>
        <w:rPr>
          <w:rFonts w:eastAsia="SimSun"/>
          <w:color w:val="222222"/>
          <w:sz w:val="24"/>
          <w:szCs w:val="24"/>
          <w:shd w:val="clear" w:color="auto" w:fill="FFFFFF"/>
        </w:rPr>
        <w:t>Lv</w:t>
      </w:r>
      <w:proofErr w:type="spellEnd"/>
      <w:r>
        <w:rPr>
          <w:rFonts w:eastAsia="SimSun"/>
          <w:color w:val="222222"/>
          <w:sz w:val="24"/>
          <w:szCs w:val="24"/>
          <w:shd w:val="clear" w:color="auto" w:fill="FFFFFF"/>
        </w:rPr>
        <w:t>, Y., Guan, J., ... &amp; Li, Y. (2023). Prenatal lead exposure, genetic factors, and cognitive developmental delay. </w:t>
      </w:r>
      <w:r>
        <w:rPr>
          <w:rFonts w:eastAsia="SimSun"/>
          <w:i/>
          <w:iCs/>
          <w:color w:val="222222"/>
          <w:sz w:val="24"/>
          <w:szCs w:val="24"/>
          <w:shd w:val="clear" w:color="auto" w:fill="FFFFFF"/>
        </w:rPr>
        <w:t>JAMA network open</w:t>
      </w:r>
      <w:r>
        <w:rPr>
          <w:rFonts w:eastAsia="SimSun"/>
          <w:color w:val="222222"/>
          <w:sz w:val="24"/>
          <w:szCs w:val="24"/>
          <w:shd w:val="clear" w:color="auto" w:fill="FFFFFF"/>
        </w:rPr>
        <w:t>, </w:t>
      </w:r>
      <w:r>
        <w:rPr>
          <w:rFonts w:eastAsia="SimSun"/>
          <w:i/>
          <w:iCs/>
          <w:color w:val="222222"/>
          <w:sz w:val="24"/>
          <w:szCs w:val="24"/>
          <w:shd w:val="clear" w:color="auto" w:fill="FFFFFF"/>
        </w:rPr>
        <w:t>6</w:t>
      </w:r>
      <w:r>
        <w:rPr>
          <w:rFonts w:eastAsia="SimSun"/>
          <w:color w:val="222222"/>
          <w:sz w:val="24"/>
          <w:szCs w:val="24"/>
          <w:shd w:val="clear" w:color="auto" w:fill="FFFFFF"/>
        </w:rPr>
        <w:t xml:space="preserve">(10), </w:t>
      </w:r>
      <w:r>
        <w:rPr>
          <w:rFonts w:eastAsia="SimSun"/>
          <w:color w:val="FF0000"/>
          <w:sz w:val="24"/>
          <w:szCs w:val="24"/>
          <w:shd w:val="clear" w:color="auto" w:fill="FFFFFF"/>
        </w:rPr>
        <w:t>1-12</w:t>
      </w:r>
      <w:r>
        <w:rPr>
          <w:rFonts w:eastAsia="SimSun"/>
          <w:color w:val="222222"/>
          <w:sz w:val="24"/>
          <w:szCs w:val="24"/>
          <w:shd w:val="clear" w:color="auto" w:fill="FFFFFF"/>
        </w:rPr>
        <w:t>.</w:t>
      </w:r>
    </w:p>
    <w:p w:rsidR="007E54BE" w:rsidRDefault="008F683E">
      <w:pPr>
        <w:widowControl/>
        <w:autoSpaceDE/>
        <w:autoSpaceDN/>
        <w:spacing w:line="360" w:lineRule="auto"/>
        <w:ind w:left="480" w:hangingChars="200" w:hanging="480"/>
        <w:jc w:val="both"/>
        <w:rPr>
          <w:rFonts w:eastAsia="SimSun"/>
          <w:color w:val="222222"/>
          <w:sz w:val="24"/>
          <w:szCs w:val="24"/>
          <w:shd w:val="clear" w:color="auto" w:fill="FFFFFF"/>
        </w:rPr>
      </w:pPr>
      <w:proofErr w:type="spellStart"/>
      <w:r>
        <w:rPr>
          <w:rFonts w:eastAsia="SimSun"/>
          <w:color w:val="222222"/>
          <w:sz w:val="24"/>
          <w:szCs w:val="24"/>
          <w:shd w:val="clear" w:color="auto" w:fill="FFFFFF"/>
        </w:rPr>
        <w:t>Kahlon</w:t>
      </w:r>
      <w:proofErr w:type="spellEnd"/>
      <w:r>
        <w:rPr>
          <w:rFonts w:eastAsia="SimSun"/>
          <w:color w:val="222222"/>
          <w:sz w:val="24"/>
          <w:szCs w:val="24"/>
          <w:shd w:val="clear" w:color="auto" w:fill="FFFFFF"/>
        </w:rPr>
        <w:t xml:space="preserve">, S. K., Sharma, G., </w:t>
      </w:r>
      <w:proofErr w:type="spellStart"/>
      <w:r>
        <w:rPr>
          <w:rFonts w:eastAsia="SimSun"/>
          <w:color w:val="222222"/>
          <w:sz w:val="24"/>
          <w:szCs w:val="24"/>
          <w:shd w:val="clear" w:color="auto" w:fill="FFFFFF"/>
        </w:rPr>
        <w:t>Julka</w:t>
      </w:r>
      <w:proofErr w:type="spellEnd"/>
      <w:r>
        <w:rPr>
          <w:rFonts w:eastAsia="SimSun"/>
          <w:color w:val="222222"/>
          <w:sz w:val="24"/>
          <w:szCs w:val="24"/>
          <w:shd w:val="clear" w:color="auto" w:fill="FFFFFF"/>
        </w:rPr>
        <w:t>, J. M., Kumar, A., Sharma, S., &amp; Stadler, F. J. (2018). Impact of heavy metals and nanoparticles on aquatic biota. </w:t>
      </w:r>
      <w:r>
        <w:rPr>
          <w:rFonts w:eastAsia="SimSun"/>
          <w:i/>
          <w:iCs/>
          <w:color w:val="222222"/>
          <w:sz w:val="24"/>
          <w:szCs w:val="24"/>
          <w:shd w:val="clear" w:color="auto" w:fill="FFFFFF"/>
        </w:rPr>
        <w:t>Environmental Chemistry Letters</w:t>
      </w:r>
      <w:r>
        <w:rPr>
          <w:rFonts w:eastAsia="SimSun"/>
          <w:color w:val="222222"/>
          <w:sz w:val="24"/>
          <w:szCs w:val="24"/>
          <w:shd w:val="clear" w:color="auto" w:fill="FFFFFF"/>
        </w:rPr>
        <w:t>, </w:t>
      </w:r>
      <w:r>
        <w:rPr>
          <w:rFonts w:eastAsia="SimSun"/>
          <w:i/>
          <w:iCs/>
          <w:color w:val="222222"/>
          <w:sz w:val="24"/>
          <w:szCs w:val="24"/>
          <w:shd w:val="clear" w:color="auto" w:fill="FFFFFF"/>
        </w:rPr>
        <w:t>16</w:t>
      </w:r>
      <w:r>
        <w:rPr>
          <w:rFonts w:eastAsia="SimSun"/>
          <w:color w:val="222222"/>
          <w:sz w:val="24"/>
          <w:szCs w:val="24"/>
          <w:shd w:val="clear" w:color="auto" w:fill="FFFFFF"/>
        </w:rPr>
        <w:t>(3), 919-946.</w:t>
      </w:r>
    </w:p>
    <w:p w:rsidR="007E54BE" w:rsidRDefault="008F683E">
      <w:pPr>
        <w:widowControl/>
        <w:autoSpaceDE/>
        <w:autoSpaceDN/>
        <w:spacing w:line="360" w:lineRule="auto"/>
        <w:ind w:left="480" w:hangingChars="200" w:hanging="480"/>
        <w:jc w:val="both"/>
        <w:rPr>
          <w:rFonts w:eastAsia="SimSun"/>
          <w:color w:val="222222"/>
          <w:sz w:val="24"/>
          <w:szCs w:val="24"/>
          <w:shd w:val="clear" w:color="auto" w:fill="FFFFFF"/>
        </w:rPr>
      </w:pPr>
      <w:proofErr w:type="spellStart"/>
      <w:r>
        <w:rPr>
          <w:rFonts w:eastAsia="SimSun"/>
          <w:color w:val="222222"/>
          <w:sz w:val="24"/>
          <w:szCs w:val="24"/>
          <w:shd w:val="clear" w:color="auto" w:fill="FFFFFF"/>
        </w:rPr>
        <w:lastRenderedPageBreak/>
        <w:t>Khanjani</w:t>
      </w:r>
      <w:proofErr w:type="spellEnd"/>
      <w:r>
        <w:rPr>
          <w:rFonts w:eastAsia="SimSun"/>
          <w:color w:val="222222"/>
          <w:sz w:val="24"/>
          <w:szCs w:val="24"/>
          <w:shd w:val="clear" w:color="auto" w:fill="FFFFFF"/>
        </w:rPr>
        <w:t xml:space="preserve">, M. H., &amp; </w:t>
      </w:r>
      <w:proofErr w:type="spellStart"/>
      <w:r>
        <w:rPr>
          <w:rFonts w:eastAsia="SimSun"/>
          <w:color w:val="222222"/>
          <w:sz w:val="24"/>
          <w:szCs w:val="24"/>
          <w:shd w:val="clear" w:color="auto" w:fill="FFFFFF"/>
        </w:rPr>
        <w:t>Sharifinia</w:t>
      </w:r>
      <w:proofErr w:type="spellEnd"/>
      <w:r>
        <w:rPr>
          <w:rFonts w:eastAsia="SimSun"/>
          <w:color w:val="222222"/>
          <w:sz w:val="24"/>
          <w:szCs w:val="24"/>
          <w:shd w:val="clear" w:color="auto" w:fill="FFFFFF"/>
        </w:rPr>
        <w:t>, M. (2024). Nutritional value and consumption pattern of indigenous small fish. In </w:t>
      </w:r>
      <w:r>
        <w:rPr>
          <w:rFonts w:eastAsia="SimSun"/>
          <w:i/>
          <w:iCs/>
          <w:color w:val="222222"/>
          <w:sz w:val="24"/>
          <w:szCs w:val="24"/>
          <w:shd w:val="clear" w:color="auto" w:fill="FFFFFF"/>
        </w:rPr>
        <w:t>Perspectives and Applications of Indigenous Small Fish in India: An Introduction</w:t>
      </w:r>
      <w:r>
        <w:rPr>
          <w:rFonts w:eastAsia="SimSun"/>
          <w:color w:val="222222"/>
          <w:sz w:val="24"/>
          <w:szCs w:val="24"/>
          <w:shd w:val="clear" w:color="auto" w:fill="FFFFFF"/>
        </w:rPr>
        <w:t> (pp. 193-227). Singapore: Springer Nature Singapore.</w:t>
      </w:r>
    </w:p>
    <w:p w:rsidR="007E54BE" w:rsidRDefault="008F683E">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Kumar, H., Singh, G., Mishra, V. K., Singh, R. P., &amp; Singh, P. (2023). Airborne heavy metals deposition and contamination to water resources. In </w:t>
      </w:r>
      <w:r>
        <w:rPr>
          <w:rFonts w:eastAsia="SimSun"/>
          <w:i/>
          <w:iCs/>
          <w:color w:val="222222"/>
          <w:sz w:val="24"/>
          <w:szCs w:val="24"/>
          <w:shd w:val="clear" w:color="auto" w:fill="FFFFFF"/>
        </w:rPr>
        <w:t>Metals in Water</w:t>
      </w:r>
      <w:r>
        <w:rPr>
          <w:rFonts w:eastAsia="SimSun"/>
          <w:color w:val="222222"/>
          <w:sz w:val="24"/>
          <w:szCs w:val="24"/>
          <w:shd w:val="clear" w:color="auto" w:fill="FFFFFF"/>
        </w:rPr>
        <w:t> (pp. 155-173). Elsevier.</w:t>
      </w:r>
    </w:p>
    <w:p w:rsidR="007E54BE" w:rsidRDefault="008F683E">
      <w:pPr>
        <w:widowControl/>
        <w:autoSpaceDE/>
        <w:autoSpaceDN/>
        <w:spacing w:line="360" w:lineRule="auto"/>
        <w:ind w:left="480" w:hangingChars="200" w:hanging="480"/>
        <w:jc w:val="both"/>
        <w:rPr>
          <w:rFonts w:eastAsia="SimSun"/>
          <w:color w:val="222222"/>
          <w:sz w:val="24"/>
          <w:szCs w:val="24"/>
          <w:shd w:val="clear" w:color="auto" w:fill="FFFFFF"/>
        </w:rPr>
      </w:pPr>
      <w:proofErr w:type="spellStart"/>
      <w:r>
        <w:rPr>
          <w:rFonts w:eastAsia="SimSun"/>
          <w:color w:val="222222"/>
          <w:sz w:val="24"/>
          <w:szCs w:val="24"/>
          <w:shd w:val="clear" w:color="auto" w:fill="FFFFFF"/>
        </w:rPr>
        <w:t>Kwong</w:t>
      </w:r>
      <w:proofErr w:type="spellEnd"/>
      <w:r>
        <w:rPr>
          <w:rFonts w:eastAsia="SimSun"/>
          <w:color w:val="222222"/>
          <w:sz w:val="24"/>
          <w:szCs w:val="24"/>
          <w:shd w:val="clear" w:color="auto" w:fill="FFFFFF"/>
        </w:rPr>
        <w:t>, R. W. (2024). Trace metals in the teleost fish gill: biological roles, uptake regulation, and detoxification mechanisms. </w:t>
      </w:r>
      <w:r>
        <w:rPr>
          <w:rFonts w:eastAsia="SimSun"/>
          <w:i/>
          <w:iCs/>
          <w:color w:val="222222"/>
          <w:sz w:val="24"/>
          <w:szCs w:val="24"/>
          <w:shd w:val="clear" w:color="auto" w:fill="FFFFFF"/>
        </w:rPr>
        <w:t>Journal of Comparative Physiology B</w:t>
      </w:r>
      <w:r>
        <w:rPr>
          <w:rFonts w:eastAsia="SimSun"/>
          <w:color w:val="222222"/>
          <w:sz w:val="24"/>
          <w:szCs w:val="24"/>
          <w:shd w:val="clear" w:color="auto" w:fill="FFFFFF"/>
        </w:rPr>
        <w:t>, </w:t>
      </w:r>
      <w:r>
        <w:rPr>
          <w:rFonts w:eastAsia="SimSun"/>
          <w:i/>
          <w:iCs/>
          <w:color w:val="222222"/>
          <w:sz w:val="24"/>
          <w:szCs w:val="24"/>
          <w:shd w:val="clear" w:color="auto" w:fill="FFFFFF"/>
        </w:rPr>
        <w:t>194</w:t>
      </w:r>
      <w:r>
        <w:rPr>
          <w:rFonts w:eastAsia="SimSun"/>
          <w:color w:val="222222"/>
          <w:sz w:val="24"/>
          <w:szCs w:val="24"/>
          <w:shd w:val="clear" w:color="auto" w:fill="FFFFFF"/>
        </w:rPr>
        <w:t>(5), 749-763.</w:t>
      </w:r>
    </w:p>
    <w:p w:rsidR="007E54BE" w:rsidRDefault="008F683E">
      <w:pPr>
        <w:widowControl/>
        <w:autoSpaceDE/>
        <w:autoSpaceDN/>
        <w:spacing w:line="360" w:lineRule="auto"/>
        <w:ind w:left="480" w:hangingChars="200" w:hanging="480"/>
        <w:jc w:val="both"/>
        <w:rPr>
          <w:rFonts w:ascii="Arial" w:eastAsia="SimSun" w:hAnsi="Arial" w:cs="Arial"/>
          <w:color w:val="222222"/>
          <w:sz w:val="19"/>
          <w:szCs w:val="19"/>
          <w:shd w:val="clear" w:color="auto" w:fill="FFFFFF"/>
        </w:rPr>
      </w:pPr>
      <w:r>
        <w:rPr>
          <w:rFonts w:eastAsia="SimSun"/>
          <w:color w:val="222222"/>
          <w:sz w:val="24"/>
          <w:szCs w:val="24"/>
          <w:shd w:val="clear" w:color="auto" w:fill="FFFFFF"/>
        </w:rPr>
        <w:t>Lal, A. (2020). Iron in health and disease: an update. </w:t>
      </w:r>
      <w:r>
        <w:rPr>
          <w:rFonts w:eastAsia="SimSun"/>
          <w:i/>
          <w:iCs/>
          <w:color w:val="222222"/>
          <w:sz w:val="24"/>
          <w:szCs w:val="24"/>
          <w:shd w:val="clear" w:color="auto" w:fill="FFFFFF"/>
        </w:rPr>
        <w:t>The Indian Journal of Pediatrics</w:t>
      </w:r>
      <w:r>
        <w:rPr>
          <w:rFonts w:eastAsia="SimSun"/>
          <w:color w:val="222222"/>
          <w:sz w:val="24"/>
          <w:szCs w:val="24"/>
          <w:shd w:val="clear" w:color="auto" w:fill="FFFFFF"/>
        </w:rPr>
        <w:t>, </w:t>
      </w:r>
      <w:r>
        <w:rPr>
          <w:rFonts w:eastAsia="SimSun"/>
          <w:i/>
          <w:iCs/>
          <w:color w:val="222222"/>
          <w:sz w:val="24"/>
          <w:szCs w:val="24"/>
          <w:shd w:val="clear" w:color="auto" w:fill="FFFFFF"/>
        </w:rPr>
        <w:t>87</w:t>
      </w:r>
      <w:r>
        <w:rPr>
          <w:rFonts w:eastAsia="SimSun"/>
          <w:color w:val="222222"/>
          <w:sz w:val="24"/>
          <w:szCs w:val="24"/>
          <w:shd w:val="clear" w:color="auto" w:fill="FFFFFF"/>
        </w:rPr>
        <w:t>(1), 58-65</w:t>
      </w:r>
      <w:r>
        <w:rPr>
          <w:rFonts w:ascii="Arial" w:eastAsia="SimSun" w:hAnsi="Arial" w:cs="Arial"/>
          <w:color w:val="222222"/>
          <w:sz w:val="19"/>
          <w:szCs w:val="19"/>
          <w:shd w:val="clear" w:color="auto" w:fill="FFFFFF"/>
        </w:rPr>
        <w:t>.</w:t>
      </w:r>
    </w:p>
    <w:p w:rsidR="007E54BE" w:rsidRDefault="008F683E">
      <w:pPr>
        <w:widowControl/>
        <w:autoSpaceDE/>
        <w:autoSpaceDN/>
        <w:spacing w:line="360" w:lineRule="auto"/>
        <w:ind w:left="480" w:hangingChars="200" w:hanging="480"/>
        <w:jc w:val="both"/>
        <w:rPr>
          <w:rFonts w:eastAsia="SimSun"/>
          <w:color w:val="222222"/>
          <w:sz w:val="24"/>
          <w:szCs w:val="24"/>
          <w:shd w:val="clear" w:color="auto" w:fill="FFFFFF"/>
        </w:rPr>
      </w:pPr>
      <w:proofErr w:type="spellStart"/>
      <w:r>
        <w:rPr>
          <w:rFonts w:eastAsia="SimSun"/>
          <w:color w:val="222222"/>
          <w:sz w:val="24"/>
          <w:szCs w:val="24"/>
          <w:shd w:val="clear" w:color="auto" w:fill="FFFFFF"/>
        </w:rPr>
        <w:t>Maares</w:t>
      </w:r>
      <w:proofErr w:type="spellEnd"/>
      <w:r>
        <w:rPr>
          <w:rFonts w:eastAsia="SimSun"/>
          <w:color w:val="222222"/>
          <w:sz w:val="24"/>
          <w:szCs w:val="24"/>
          <w:shd w:val="clear" w:color="auto" w:fill="FFFFFF"/>
        </w:rPr>
        <w:t xml:space="preserve">, M., &amp; </w:t>
      </w:r>
      <w:proofErr w:type="spellStart"/>
      <w:r>
        <w:rPr>
          <w:rFonts w:eastAsia="SimSun"/>
          <w:color w:val="222222"/>
          <w:sz w:val="24"/>
          <w:szCs w:val="24"/>
          <w:shd w:val="clear" w:color="auto" w:fill="FFFFFF"/>
        </w:rPr>
        <w:t>Haase</w:t>
      </w:r>
      <w:proofErr w:type="spellEnd"/>
      <w:r>
        <w:rPr>
          <w:rFonts w:eastAsia="SimSun"/>
          <w:color w:val="222222"/>
          <w:sz w:val="24"/>
          <w:szCs w:val="24"/>
          <w:shd w:val="clear" w:color="auto" w:fill="FFFFFF"/>
        </w:rPr>
        <w:t>, H. (2016). Zinc and immunity: An essential interrelation. </w:t>
      </w:r>
      <w:r>
        <w:rPr>
          <w:rFonts w:eastAsia="SimSun"/>
          <w:i/>
          <w:iCs/>
          <w:color w:val="222222"/>
          <w:sz w:val="24"/>
          <w:szCs w:val="24"/>
          <w:shd w:val="clear" w:color="auto" w:fill="FFFFFF"/>
        </w:rPr>
        <w:t>Archives of Biochemistry and Biophysics</w:t>
      </w:r>
      <w:r>
        <w:rPr>
          <w:rFonts w:eastAsia="SimSun"/>
          <w:color w:val="222222"/>
          <w:sz w:val="24"/>
          <w:szCs w:val="24"/>
          <w:shd w:val="clear" w:color="auto" w:fill="FFFFFF"/>
        </w:rPr>
        <w:t>, </w:t>
      </w:r>
      <w:r>
        <w:rPr>
          <w:rFonts w:eastAsia="SimSun"/>
          <w:i/>
          <w:iCs/>
          <w:color w:val="222222"/>
          <w:sz w:val="24"/>
          <w:szCs w:val="24"/>
          <w:shd w:val="clear" w:color="auto" w:fill="FFFFFF"/>
        </w:rPr>
        <w:t>611</w:t>
      </w:r>
      <w:r>
        <w:rPr>
          <w:rFonts w:eastAsia="SimSun"/>
          <w:color w:val="222222"/>
          <w:sz w:val="24"/>
          <w:szCs w:val="24"/>
          <w:shd w:val="clear" w:color="auto" w:fill="FFFFFF"/>
        </w:rPr>
        <w:t>, 58-65.</w:t>
      </w:r>
    </w:p>
    <w:p w:rsidR="007E54BE" w:rsidRDefault="008F683E">
      <w:pPr>
        <w:widowControl/>
        <w:autoSpaceDE/>
        <w:autoSpaceDN/>
        <w:spacing w:line="360" w:lineRule="auto"/>
        <w:ind w:left="480" w:hangingChars="200" w:hanging="480"/>
        <w:jc w:val="both"/>
        <w:rPr>
          <w:rFonts w:eastAsia="SimSun"/>
          <w:color w:val="222222"/>
          <w:sz w:val="24"/>
          <w:szCs w:val="24"/>
          <w:shd w:val="clear" w:color="auto" w:fill="FFFFFF"/>
        </w:rPr>
      </w:pPr>
      <w:proofErr w:type="spellStart"/>
      <w:r>
        <w:rPr>
          <w:rFonts w:eastAsia="SimSun"/>
          <w:color w:val="222222"/>
          <w:sz w:val="24"/>
          <w:szCs w:val="24"/>
          <w:shd w:val="clear" w:color="auto" w:fill="FFFFFF"/>
        </w:rPr>
        <w:t>Mayila</w:t>
      </w:r>
      <w:proofErr w:type="spellEnd"/>
      <w:r>
        <w:rPr>
          <w:rFonts w:eastAsia="SimSun"/>
          <w:color w:val="222222"/>
          <w:sz w:val="24"/>
          <w:szCs w:val="24"/>
          <w:shd w:val="clear" w:color="auto" w:fill="FFFFFF"/>
        </w:rPr>
        <w:t xml:space="preserve">, E., </w:t>
      </w:r>
      <w:proofErr w:type="spellStart"/>
      <w:r>
        <w:rPr>
          <w:rFonts w:eastAsia="SimSun"/>
          <w:color w:val="222222"/>
          <w:sz w:val="24"/>
          <w:szCs w:val="24"/>
          <w:shd w:val="clear" w:color="auto" w:fill="FFFFFF"/>
        </w:rPr>
        <w:t>Mzula</w:t>
      </w:r>
      <w:proofErr w:type="spellEnd"/>
      <w:r>
        <w:rPr>
          <w:rFonts w:eastAsia="SimSun"/>
          <w:color w:val="222222"/>
          <w:sz w:val="24"/>
          <w:szCs w:val="24"/>
          <w:shd w:val="clear" w:color="auto" w:fill="FFFFFF"/>
        </w:rPr>
        <w:t xml:space="preserve">, A., </w:t>
      </w:r>
      <w:proofErr w:type="spellStart"/>
      <w:r>
        <w:rPr>
          <w:rFonts w:eastAsia="SimSun"/>
          <w:color w:val="222222"/>
          <w:sz w:val="24"/>
          <w:szCs w:val="24"/>
          <w:shd w:val="clear" w:color="auto" w:fill="FFFFFF"/>
        </w:rPr>
        <w:t>Rumisha</w:t>
      </w:r>
      <w:proofErr w:type="spellEnd"/>
      <w:r>
        <w:rPr>
          <w:rFonts w:eastAsia="SimSun"/>
          <w:color w:val="222222"/>
          <w:sz w:val="24"/>
          <w:szCs w:val="24"/>
          <w:shd w:val="clear" w:color="auto" w:fill="FFFFFF"/>
        </w:rPr>
        <w:t xml:space="preserve">, C., </w:t>
      </w:r>
      <w:proofErr w:type="spellStart"/>
      <w:r>
        <w:rPr>
          <w:rFonts w:eastAsia="SimSun"/>
          <w:color w:val="222222"/>
          <w:sz w:val="24"/>
          <w:szCs w:val="24"/>
          <w:shd w:val="clear" w:color="auto" w:fill="FFFFFF"/>
        </w:rPr>
        <w:t>Leermakers</w:t>
      </w:r>
      <w:proofErr w:type="spellEnd"/>
      <w:r>
        <w:rPr>
          <w:rFonts w:eastAsia="SimSun"/>
          <w:color w:val="222222"/>
          <w:sz w:val="24"/>
          <w:szCs w:val="24"/>
          <w:shd w:val="clear" w:color="auto" w:fill="FFFFFF"/>
        </w:rPr>
        <w:t xml:space="preserve">, M., </w:t>
      </w:r>
      <w:proofErr w:type="spellStart"/>
      <w:r>
        <w:rPr>
          <w:rFonts w:eastAsia="SimSun"/>
          <w:color w:val="222222"/>
          <w:sz w:val="24"/>
          <w:szCs w:val="24"/>
          <w:shd w:val="clear" w:color="auto" w:fill="FFFFFF"/>
        </w:rPr>
        <w:t>Huyghe</w:t>
      </w:r>
      <w:proofErr w:type="spellEnd"/>
      <w:r>
        <w:rPr>
          <w:rFonts w:eastAsia="SimSun"/>
          <w:color w:val="222222"/>
          <w:sz w:val="24"/>
          <w:szCs w:val="24"/>
          <w:shd w:val="clear" w:color="auto" w:fill="FFFFFF"/>
        </w:rPr>
        <w:t xml:space="preserve">, F., &amp; </w:t>
      </w:r>
      <w:proofErr w:type="spellStart"/>
      <w:r>
        <w:rPr>
          <w:rFonts w:eastAsia="SimSun"/>
          <w:color w:val="222222"/>
          <w:sz w:val="24"/>
          <w:szCs w:val="24"/>
          <w:shd w:val="clear" w:color="auto" w:fill="FFFFFF"/>
        </w:rPr>
        <w:t>Kochzius</w:t>
      </w:r>
      <w:proofErr w:type="spellEnd"/>
      <w:r>
        <w:rPr>
          <w:rFonts w:eastAsia="SimSun"/>
          <w:color w:val="222222"/>
          <w:sz w:val="24"/>
          <w:szCs w:val="24"/>
          <w:shd w:val="clear" w:color="auto" w:fill="FFFFFF"/>
        </w:rPr>
        <w:t>, M. (2024). Status of trace metals and arsenic in sediments and catfish muscles (</w:t>
      </w:r>
      <w:proofErr w:type="spellStart"/>
      <w:r>
        <w:rPr>
          <w:rFonts w:eastAsia="SimSun"/>
          <w:color w:val="222222"/>
          <w:sz w:val="24"/>
          <w:szCs w:val="24"/>
          <w:shd w:val="clear" w:color="auto" w:fill="FFFFFF"/>
        </w:rPr>
        <w:t>Clarias</w:t>
      </w:r>
      <w:proofErr w:type="spellEnd"/>
      <w:r>
        <w:rPr>
          <w:rFonts w:eastAsia="SimSun"/>
          <w:color w:val="222222"/>
          <w:sz w:val="24"/>
          <w:szCs w:val="24"/>
          <w:shd w:val="clear" w:color="auto" w:fill="FFFFFF"/>
        </w:rPr>
        <w:t xml:space="preserve"> </w:t>
      </w:r>
      <w:proofErr w:type="spellStart"/>
      <w:r>
        <w:rPr>
          <w:rFonts w:eastAsia="SimSun"/>
          <w:color w:val="222222"/>
          <w:sz w:val="24"/>
          <w:szCs w:val="24"/>
          <w:shd w:val="clear" w:color="auto" w:fill="FFFFFF"/>
        </w:rPr>
        <w:t>gariepinus</w:t>
      </w:r>
      <w:proofErr w:type="spellEnd"/>
      <w:r>
        <w:rPr>
          <w:rFonts w:eastAsia="SimSun"/>
          <w:color w:val="222222"/>
          <w:sz w:val="24"/>
          <w:szCs w:val="24"/>
          <w:shd w:val="clear" w:color="auto" w:fill="FFFFFF"/>
        </w:rPr>
        <w:t>) from the Eastern Tanzanian basin. </w:t>
      </w:r>
      <w:proofErr w:type="spellStart"/>
      <w:r>
        <w:rPr>
          <w:rFonts w:eastAsia="SimSun"/>
          <w:i/>
          <w:iCs/>
          <w:color w:val="222222"/>
          <w:sz w:val="24"/>
          <w:szCs w:val="24"/>
          <w:shd w:val="clear" w:color="auto" w:fill="FFFFFF"/>
        </w:rPr>
        <w:t>PloS</w:t>
      </w:r>
      <w:proofErr w:type="spellEnd"/>
      <w:r>
        <w:rPr>
          <w:rFonts w:eastAsia="SimSun"/>
          <w:i/>
          <w:iCs/>
          <w:color w:val="222222"/>
          <w:sz w:val="24"/>
          <w:szCs w:val="24"/>
          <w:shd w:val="clear" w:color="auto" w:fill="FFFFFF"/>
        </w:rPr>
        <w:t xml:space="preserve"> one</w:t>
      </w:r>
      <w:r>
        <w:rPr>
          <w:rFonts w:eastAsia="SimSun"/>
          <w:color w:val="222222"/>
          <w:sz w:val="24"/>
          <w:szCs w:val="24"/>
          <w:shd w:val="clear" w:color="auto" w:fill="FFFFFF"/>
        </w:rPr>
        <w:t>, </w:t>
      </w:r>
      <w:r>
        <w:rPr>
          <w:rFonts w:eastAsia="SimSun"/>
          <w:i/>
          <w:iCs/>
          <w:color w:val="222222"/>
          <w:sz w:val="24"/>
          <w:szCs w:val="24"/>
          <w:shd w:val="clear" w:color="auto" w:fill="FFFFFF"/>
        </w:rPr>
        <w:t>19</w:t>
      </w:r>
      <w:r>
        <w:rPr>
          <w:rFonts w:eastAsia="SimSun"/>
          <w:color w:val="222222"/>
          <w:sz w:val="24"/>
          <w:szCs w:val="24"/>
          <w:shd w:val="clear" w:color="auto" w:fill="FFFFFF"/>
        </w:rPr>
        <w:t xml:space="preserve">(8), </w:t>
      </w:r>
      <w:r>
        <w:rPr>
          <w:rFonts w:eastAsia="SimSun"/>
          <w:color w:val="FF0000"/>
          <w:sz w:val="24"/>
          <w:szCs w:val="24"/>
          <w:shd w:val="clear" w:color="auto" w:fill="FFFFFF"/>
        </w:rPr>
        <w:t>1-23.</w:t>
      </w:r>
    </w:p>
    <w:p w:rsidR="007E54BE" w:rsidRDefault="008F683E">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 xml:space="preserve">Mishra, S., </w:t>
      </w:r>
      <w:proofErr w:type="spellStart"/>
      <w:r>
        <w:rPr>
          <w:rFonts w:eastAsia="SimSun"/>
          <w:color w:val="222222"/>
          <w:sz w:val="24"/>
          <w:szCs w:val="24"/>
          <w:shd w:val="clear" w:color="auto" w:fill="FFFFFF"/>
        </w:rPr>
        <w:t>Bharagava</w:t>
      </w:r>
      <w:proofErr w:type="spellEnd"/>
      <w:r>
        <w:rPr>
          <w:rFonts w:eastAsia="SimSun"/>
          <w:color w:val="222222"/>
          <w:sz w:val="24"/>
          <w:szCs w:val="24"/>
          <w:shd w:val="clear" w:color="auto" w:fill="FFFFFF"/>
        </w:rPr>
        <w:t xml:space="preserve">, R. N., More, N., Yadav, A., </w:t>
      </w:r>
      <w:proofErr w:type="spellStart"/>
      <w:r>
        <w:rPr>
          <w:rFonts w:eastAsia="SimSun"/>
          <w:color w:val="222222"/>
          <w:sz w:val="24"/>
          <w:szCs w:val="24"/>
          <w:shd w:val="clear" w:color="auto" w:fill="FFFFFF"/>
        </w:rPr>
        <w:t>Zainith</w:t>
      </w:r>
      <w:proofErr w:type="spellEnd"/>
      <w:r>
        <w:rPr>
          <w:rFonts w:eastAsia="SimSun"/>
          <w:color w:val="222222"/>
          <w:sz w:val="24"/>
          <w:szCs w:val="24"/>
          <w:shd w:val="clear" w:color="auto" w:fill="FFFFFF"/>
        </w:rPr>
        <w:t>, S., Mani, S., &amp; Chowdhary, P. (2018). Heavy metal contamination: an alarming threat to environment and human health. In </w:t>
      </w:r>
      <w:r>
        <w:rPr>
          <w:rFonts w:eastAsia="SimSun"/>
          <w:i/>
          <w:iCs/>
          <w:color w:val="222222"/>
          <w:sz w:val="24"/>
          <w:szCs w:val="24"/>
          <w:shd w:val="clear" w:color="auto" w:fill="FFFFFF"/>
        </w:rPr>
        <w:t>Environmental Biotechnology: For sustainable future</w:t>
      </w:r>
      <w:r>
        <w:rPr>
          <w:rFonts w:eastAsia="SimSun"/>
          <w:color w:val="222222"/>
          <w:sz w:val="24"/>
          <w:szCs w:val="24"/>
          <w:shd w:val="clear" w:color="auto" w:fill="FFFFFF"/>
        </w:rPr>
        <w:t> (pp. 103-125). Singapore: Springer Singapore.</w:t>
      </w:r>
    </w:p>
    <w:p w:rsidR="007E54BE" w:rsidRDefault="008F683E">
      <w:pPr>
        <w:widowControl/>
        <w:autoSpaceDE/>
        <w:autoSpaceDN/>
        <w:spacing w:line="360" w:lineRule="auto"/>
        <w:ind w:left="480" w:hangingChars="200" w:hanging="480"/>
        <w:jc w:val="both"/>
        <w:rPr>
          <w:rFonts w:eastAsia="SimSun"/>
          <w:color w:val="222222"/>
          <w:sz w:val="24"/>
          <w:szCs w:val="24"/>
          <w:shd w:val="clear" w:color="auto" w:fill="FFFFFF"/>
        </w:rPr>
      </w:pPr>
      <w:proofErr w:type="spellStart"/>
      <w:r>
        <w:rPr>
          <w:rFonts w:eastAsia="SimSun"/>
          <w:color w:val="222222"/>
          <w:sz w:val="24"/>
          <w:szCs w:val="24"/>
          <w:shd w:val="clear" w:color="auto" w:fill="FFFFFF"/>
        </w:rPr>
        <w:t>Nieder</w:t>
      </w:r>
      <w:proofErr w:type="spellEnd"/>
      <w:r>
        <w:rPr>
          <w:rFonts w:eastAsia="SimSun"/>
          <w:color w:val="222222"/>
          <w:sz w:val="24"/>
          <w:szCs w:val="24"/>
          <w:shd w:val="clear" w:color="auto" w:fill="FFFFFF"/>
        </w:rPr>
        <w:t xml:space="preserve">, R., &amp; </w:t>
      </w:r>
      <w:proofErr w:type="spellStart"/>
      <w:r>
        <w:rPr>
          <w:rFonts w:eastAsia="SimSun"/>
          <w:color w:val="222222"/>
          <w:sz w:val="24"/>
          <w:szCs w:val="24"/>
          <w:shd w:val="clear" w:color="auto" w:fill="FFFFFF"/>
        </w:rPr>
        <w:t>Benbi</w:t>
      </w:r>
      <w:proofErr w:type="spellEnd"/>
      <w:r>
        <w:rPr>
          <w:rFonts w:eastAsia="SimSun"/>
          <w:color w:val="222222"/>
          <w:sz w:val="24"/>
          <w:szCs w:val="24"/>
          <w:shd w:val="clear" w:color="auto" w:fill="FFFFFF"/>
        </w:rPr>
        <w:t>, D. K. (2024). Potentially toxic elements in the environment–a review of sources, sinks, pathways and mitigation measures. </w:t>
      </w:r>
      <w:r>
        <w:rPr>
          <w:rFonts w:eastAsia="SimSun"/>
          <w:i/>
          <w:iCs/>
          <w:color w:val="222222"/>
          <w:sz w:val="24"/>
          <w:szCs w:val="24"/>
          <w:shd w:val="clear" w:color="auto" w:fill="FFFFFF"/>
        </w:rPr>
        <w:t>Reviews on Environmental Health</w:t>
      </w:r>
      <w:r>
        <w:rPr>
          <w:rFonts w:eastAsia="SimSun"/>
          <w:color w:val="222222"/>
          <w:sz w:val="24"/>
          <w:szCs w:val="24"/>
          <w:shd w:val="clear" w:color="auto" w:fill="FFFFFF"/>
        </w:rPr>
        <w:t>, </w:t>
      </w:r>
      <w:r>
        <w:rPr>
          <w:rFonts w:eastAsia="SimSun"/>
          <w:i/>
          <w:iCs/>
          <w:color w:val="222222"/>
          <w:sz w:val="24"/>
          <w:szCs w:val="24"/>
          <w:shd w:val="clear" w:color="auto" w:fill="FFFFFF"/>
        </w:rPr>
        <w:t>39</w:t>
      </w:r>
      <w:r>
        <w:rPr>
          <w:rFonts w:eastAsia="SimSun"/>
          <w:color w:val="222222"/>
          <w:sz w:val="24"/>
          <w:szCs w:val="24"/>
          <w:shd w:val="clear" w:color="auto" w:fill="FFFFFF"/>
        </w:rPr>
        <w:t>(3), 561-575.</w:t>
      </w:r>
    </w:p>
    <w:p w:rsidR="007E54BE" w:rsidRDefault="008F683E">
      <w:pPr>
        <w:widowControl/>
        <w:autoSpaceDE/>
        <w:autoSpaceDN/>
        <w:adjustRightInd w:val="0"/>
        <w:spacing w:line="360" w:lineRule="auto"/>
        <w:ind w:left="480" w:hangingChars="200" w:hanging="480"/>
        <w:jc w:val="both"/>
        <w:rPr>
          <w:rFonts w:eastAsia="SimSun"/>
          <w:color w:val="222222"/>
          <w:sz w:val="24"/>
          <w:szCs w:val="24"/>
          <w:shd w:val="clear" w:color="auto" w:fill="FFFFFF"/>
        </w:rPr>
      </w:pPr>
      <w:proofErr w:type="spellStart"/>
      <w:r>
        <w:rPr>
          <w:rFonts w:eastAsia="SimSun"/>
          <w:color w:val="222222"/>
          <w:sz w:val="24"/>
          <w:szCs w:val="24"/>
          <w:shd w:val="clear" w:color="auto" w:fill="FFFFFF"/>
        </w:rPr>
        <w:t>Obeagu</w:t>
      </w:r>
      <w:proofErr w:type="spellEnd"/>
      <w:r>
        <w:rPr>
          <w:rFonts w:eastAsia="SimSun"/>
          <w:color w:val="222222"/>
          <w:sz w:val="24"/>
          <w:szCs w:val="24"/>
          <w:shd w:val="clear" w:color="auto" w:fill="FFFFFF"/>
        </w:rPr>
        <w:t>, E. I. (2025). Iron homeostasis and health: understanding its role beyond blood health–a narrative review. </w:t>
      </w:r>
      <w:r>
        <w:rPr>
          <w:rFonts w:eastAsia="SimSun"/>
          <w:i/>
          <w:iCs/>
          <w:color w:val="222222"/>
          <w:sz w:val="24"/>
          <w:szCs w:val="24"/>
          <w:shd w:val="clear" w:color="auto" w:fill="FFFFFF"/>
        </w:rPr>
        <w:t>Annals of Medicine and Surgery</w:t>
      </w:r>
      <w:r>
        <w:rPr>
          <w:rFonts w:eastAsia="SimSun"/>
          <w:color w:val="222222"/>
          <w:sz w:val="24"/>
          <w:szCs w:val="24"/>
          <w:shd w:val="clear" w:color="auto" w:fill="FFFFFF"/>
        </w:rPr>
        <w:t>, </w:t>
      </w:r>
      <w:r>
        <w:rPr>
          <w:rFonts w:eastAsia="SimSun"/>
          <w:i/>
          <w:iCs/>
          <w:color w:val="222222"/>
          <w:sz w:val="24"/>
          <w:szCs w:val="24"/>
          <w:shd w:val="clear" w:color="auto" w:fill="FFFFFF"/>
        </w:rPr>
        <w:t>87</w:t>
      </w:r>
      <w:r>
        <w:rPr>
          <w:rFonts w:eastAsia="SimSun"/>
          <w:color w:val="222222"/>
          <w:sz w:val="24"/>
          <w:szCs w:val="24"/>
          <w:shd w:val="clear" w:color="auto" w:fill="FFFFFF"/>
        </w:rPr>
        <w:t>(6), 3362-3371.</w:t>
      </w:r>
    </w:p>
    <w:p w:rsidR="007E54BE" w:rsidRDefault="008F683E">
      <w:pPr>
        <w:widowControl/>
        <w:autoSpaceDE/>
        <w:autoSpaceDN/>
        <w:adjustRightInd w:val="0"/>
        <w:spacing w:line="360" w:lineRule="auto"/>
        <w:ind w:left="480" w:hangingChars="200" w:hanging="480"/>
        <w:jc w:val="both"/>
        <w:rPr>
          <w:rFonts w:eastAsia="SimSun"/>
          <w:color w:val="FF0000"/>
          <w:sz w:val="24"/>
          <w:szCs w:val="24"/>
          <w:shd w:val="clear" w:color="auto" w:fill="FFFFFF"/>
        </w:rPr>
      </w:pPr>
      <w:r>
        <w:rPr>
          <w:color w:val="FF0000"/>
          <w:sz w:val="24"/>
          <w:szCs w:val="24"/>
        </w:rPr>
        <w:t xml:space="preserve">Okeke, I. I., </w:t>
      </w:r>
      <w:proofErr w:type="spellStart"/>
      <w:r>
        <w:rPr>
          <w:color w:val="FF0000"/>
          <w:sz w:val="24"/>
          <w:szCs w:val="24"/>
        </w:rPr>
        <w:t>Ujah</w:t>
      </w:r>
      <w:proofErr w:type="spellEnd"/>
      <w:r>
        <w:rPr>
          <w:color w:val="FF0000"/>
          <w:sz w:val="24"/>
          <w:szCs w:val="24"/>
        </w:rPr>
        <w:t xml:space="preserve">, P. A. C., Okoye, V. I. E., &amp; </w:t>
      </w:r>
      <w:proofErr w:type="spellStart"/>
      <w:r>
        <w:rPr>
          <w:color w:val="FF0000"/>
          <w:sz w:val="24"/>
          <w:szCs w:val="24"/>
        </w:rPr>
        <w:t>Ajiwe</w:t>
      </w:r>
      <w:proofErr w:type="spellEnd"/>
      <w:r>
        <w:rPr>
          <w:color w:val="FF0000"/>
          <w:sz w:val="24"/>
          <w:szCs w:val="24"/>
        </w:rPr>
        <w:t>, C. P. E. (2015). Effect of different levels of cadmium, lead and arsenic on the growth performance of broiler and layer chickens. Journal of Applied Chemistry, 8(10), 57-59.</w:t>
      </w:r>
    </w:p>
    <w:p w:rsidR="007E54BE" w:rsidRDefault="008F683E">
      <w:pPr>
        <w:widowControl/>
        <w:autoSpaceDE/>
        <w:autoSpaceDN/>
        <w:spacing w:line="360" w:lineRule="auto"/>
        <w:ind w:left="480" w:hangingChars="200" w:hanging="480"/>
        <w:jc w:val="both"/>
        <w:rPr>
          <w:rFonts w:eastAsia="SimSun"/>
          <w:color w:val="222222"/>
          <w:sz w:val="24"/>
          <w:szCs w:val="24"/>
          <w:shd w:val="clear" w:color="auto" w:fill="FFFFFF"/>
        </w:rPr>
      </w:pPr>
      <w:proofErr w:type="spellStart"/>
      <w:r>
        <w:rPr>
          <w:rFonts w:eastAsia="SimSun"/>
          <w:color w:val="222222"/>
          <w:sz w:val="24"/>
          <w:szCs w:val="24"/>
          <w:shd w:val="clear" w:color="auto" w:fill="FFFFFF"/>
        </w:rPr>
        <w:t>Oloyede</w:t>
      </w:r>
      <w:proofErr w:type="spellEnd"/>
      <w:r>
        <w:rPr>
          <w:rFonts w:eastAsia="SimSun"/>
          <w:color w:val="222222"/>
          <w:sz w:val="24"/>
          <w:szCs w:val="24"/>
          <w:shd w:val="clear" w:color="auto" w:fill="FFFFFF"/>
        </w:rPr>
        <w:t xml:space="preserve">, O. O., Kolawole, J., </w:t>
      </w:r>
      <w:proofErr w:type="spellStart"/>
      <w:r>
        <w:rPr>
          <w:rFonts w:eastAsia="SimSun"/>
          <w:color w:val="222222"/>
          <w:sz w:val="24"/>
          <w:szCs w:val="24"/>
          <w:shd w:val="clear" w:color="auto" w:fill="FFFFFF"/>
        </w:rPr>
        <w:t>Adaugo</w:t>
      </w:r>
      <w:proofErr w:type="spellEnd"/>
      <w:r>
        <w:rPr>
          <w:rFonts w:eastAsia="SimSun"/>
          <w:color w:val="222222"/>
          <w:sz w:val="24"/>
          <w:szCs w:val="24"/>
          <w:shd w:val="clear" w:color="auto" w:fill="FFFFFF"/>
        </w:rPr>
        <w:t xml:space="preserve">, U. L., </w:t>
      </w:r>
      <w:proofErr w:type="spellStart"/>
      <w:r>
        <w:rPr>
          <w:rFonts w:eastAsia="SimSun"/>
          <w:color w:val="222222"/>
          <w:sz w:val="24"/>
          <w:szCs w:val="24"/>
          <w:shd w:val="clear" w:color="auto" w:fill="FFFFFF"/>
        </w:rPr>
        <w:t>Adesakin</w:t>
      </w:r>
      <w:proofErr w:type="spellEnd"/>
      <w:r>
        <w:rPr>
          <w:rFonts w:eastAsia="SimSun"/>
          <w:color w:val="222222"/>
          <w:sz w:val="24"/>
          <w:szCs w:val="24"/>
          <w:shd w:val="clear" w:color="auto" w:fill="FFFFFF"/>
        </w:rPr>
        <w:t xml:space="preserve">, T. A., &amp; </w:t>
      </w:r>
      <w:proofErr w:type="spellStart"/>
      <w:r>
        <w:rPr>
          <w:rFonts w:eastAsia="SimSun"/>
          <w:color w:val="222222"/>
          <w:sz w:val="24"/>
          <w:szCs w:val="24"/>
          <w:shd w:val="clear" w:color="auto" w:fill="FFFFFF"/>
        </w:rPr>
        <w:t>Morenikeji</w:t>
      </w:r>
      <w:proofErr w:type="spellEnd"/>
      <w:r>
        <w:rPr>
          <w:rFonts w:eastAsia="SimSun"/>
          <w:color w:val="222222"/>
          <w:sz w:val="24"/>
          <w:szCs w:val="24"/>
          <w:shd w:val="clear" w:color="auto" w:fill="FFFFFF"/>
        </w:rPr>
        <w:t xml:space="preserve">, O. A. (2026). Heavy-metal bioavailability, water quality, and sediment characteristics in relation to freshwater snail distribution in </w:t>
      </w:r>
      <w:proofErr w:type="spellStart"/>
      <w:r>
        <w:rPr>
          <w:rFonts w:eastAsia="SimSun"/>
          <w:color w:val="222222"/>
          <w:sz w:val="24"/>
          <w:szCs w:val="24"/>
          <w:shd w:val="clear" w:color="auto" w:fill="FFFFFF"/>
        </w:rPr>
        <w:t>Alaro</w:t>
      </w:r>
      <w:proofErr w:type="spellEnd"/>
      <w:r>
        <w:rPr>
          <w:rFonts w:eastAsia="SimSun"/>
          <w:color w:val="222222"/>
          <w:sz w:val="24"/>
          <w:szCs w:val="24"/>
          <w:shd w:val="clear" w:color="auto" w:fill="FFFFFF"/>
        </w:rPr>
        <w:t xml:space="preserve"> River, southwestern Nigeria. </w:t>
      </w:r>
      <w:r>
        <w:rPr>
          <w:rFonts w:eastAsia="SimSun"/>
          <w:i/>
          <w:iCs/>
          <w:color w:val="222222"/>
          <w:sz w:val="24"/>
          <w:szCs w:val="24"/>
          <w:shd w:val="clear" w:color="auto" w:fill="FFFFFF"/>
        </w:rPr>
        <w:t>Toxicological &amp; Environmental Chemistry</w:t>
      </w:r>
      <w:r>
        <w:rPr>
          <w:rFonts w:eastAsia="SimSun"/>
          <w:color w:val="222222"/>
          <w:sz w:val="24"/>
          <w:szCs w:val="24"/>
          <w:shd w:val="clear" w:color="auto" w:fill="FFFFFF"/>
        </w:rPr>
        <w:t>, </w:t>
      </w:r>
      <w:r>
        <w:rPr>
          <w:rFonts w:eastAsia="SimSun"/>
          <w:i/>
          <w:iCs/>
          <w:color w:val="222222"/>
          <w:sz w:val="24"/>
          <w:szCs w:val="24"/>
          <w:shd w:val="clear" w:color="auto" w:fill="FFFFFF"/>
        </w:rPr>
        <w:t>108</w:t>
      </w:r>
      <w:r>
        <w:rPr>
          <w:rFonts w:eastAsia="SimSun"/>
          <w:color w:val="222222"/>
          <w:sz w:val="24"/>
          <w:szCs w:val="24"/>
          <w:shd w:val="clear" w:color="auto" w:fill="FFFFFF"/>
        </w:rPr>
        <w:t>(2), 200-232.</w:t>
      </w:r>
    </w:p>
    <w:p w:rsidR="007E54BE" w:rsidRDefault="008F683E">
      <w:pPr>
        <w:widowControl/>
        <w:autoSpaceDE/>
        <w:autoSpaceDN/>
        <w:spacing w:line="360" w:lineRule="auto"/>
        <w:ind w:left="480" w:hangingChars="200" w:hanging="480"/>
        <w:jc w:val="both"/>
        <w:rPr>
          <w:rFonts w:eastAsia="SimSun"/>
          <w:color w:val="222222"/>
          <w:sz w:val="24"/>
          <w:szCs w:val="24"/>
          <w:shd w:val="clear" w:color="auto" w:fill="FFFFFF"/>
        </w:rPr>
      </w:pPr>
      <w:proofErr w:type="spellStart"/>
      <w:r>
        <w:rPr>
          <w:rFonts w:eastAsia="SimSun"/>
          <w:color w:val="222222"/>
          <w:sz w:val="24"/>
          <w:szCs w:val="24"/>
          <w:shd w:val="clear" w:color="auto" w:fill="FFFFFF"/>
        </w:rPr>
        <w:lastRenderedPageBreak/>
        <w:t>Owojori</w:t>
      </w:r>
      <w:proofErr w:type="spellEnd"/>
      <w:r>
        <w:rPr>
          <w:rFonts w:eastAsia="SimSun"/>
          <w:color w:val="222222"/>
          <w:sz w:val="24"/>
          <w:szCs w:val="24"/>
          <w:shd w:val="clear" w:color="auto" w:fill="FFFFFF"/>
        </w:rPr>
        <w:t xml:space="preserve">, O. J., </w:t>
      </w:r>
      <w:proofErr w:type="spellStart"/>
      <w:r>
        <w:rPr>
          <w:rFonts w:eastAsia="SimSun"/>
          <w:color w:val="222222"/>
          <w:sz w:val="24"/>
          <w:szCs w:val="24"/>
          <w:shd w:val="clear" w:color="auto" w:fill="FFFFFF"/>
        </w:rPr>
        <w:t>Awodiran</w:t>
      </w:r>
      <w:proofErr w:type="spellEnd"/>
      <w:r>
        <w:rPr>
          <w:rFonts w:eastAsia="SimSun"/>
          <w:color w:val="222222"/>
          <w:sz w:val="24"/>
          <w:szCs w:val="24"/>
          <w:shd w:val="clear" w:color="auto" w:fill="FFFFFF"/>
        </w:rPr>
        <w:t xml:space="preserve">, M., Ayanda, O. E., &amp; </w:t>
      </w:r>
      <w:proofErr w:type="spellStart"/>
      <w:r>
        <w:rPr>
          <w:rFonts w:eastAsia="SimSun"/>
          <w:color w:val="222222"/>
          <w:sz w:val="24"/>
          <w:szCs w:val="24"/>
          <w:shd w:val="clear" w:color="auto" w:fill="FFFFFF"/>
        </w:rPr>
        <w:t>Jegede</w:t>
      </w:r>
      <w:proofErr w:type="spellEnd"/>
      <w:r>
        <w:rPr>
          <w:rFonts w:eastAsia="SimSun"/>
          <w:color w:val="222222"/>
          <w:sz w:val="24"/>
          <w:szCs w:val="24"/>
          <w:shd w:val="clear" w:color="auto" w:fill="FFFFFF"/>
        </w:rPr>
        <w:t xml:space="preserve">, O. O. (2022). Toxicity and accumulation of lead and cadmium in the land snail, </w:t>
      </w:r>
      <w:proofErr w:type="spellStart"/>
      <w:r>
        <w:rPr>
          <w:rFonts w:eastAsia="SimSun"/>
          <w:color w:val="222222"/>
          <w:sz w:val="24"/>
          <w:szCs w:val="24"/>
          <w:shd w:val="clear" w:color="auto" w:fill="FFFFFF"/>
        </w:rPr>
        <w:t>Archachatina</w:t>
      </w:r>
      <w:proofErr w:type="spellEnd"/>
      <w:r>
        <w:rPr>
          <w:rFonts w:eastAsia="SimSun"/>
          <w:color w:val="222222"/>
          <w:sz w:val="24"/>
          <w:szCs w:val="24"/>
          <w:shd w:val="clear" w:color="auto" w:fill="FFFFFF"/>
        </w:rPr>
        <w:t xml:space="preserve"> papyracea, in a tropical </w:t>
      </w:r>
      <w:proofErr w:type="spellStart"/>
      <w:r>
        <w:rPr>
          <w:rFonts w:eastAsia="SimSun"/>
          <w:color w:val="222222"/>
          <w:sz w:val="24"/>
          <w:szCs w:val="24"/>
          <w:shd w:val="clear" w:color="auto" w:fill="FFFFFF"/>
        </w:rPr>
        <w:t>Alfisol</w:t>
      </w:r>
      <w:proofErr w:type="spellEnd"/>
      <w:r>
        <w:rPr>
          <w:rFonts w:eastAsia="SimSun"/>
          <w:color w:val="222222"/>
          <w:sz w:val="24"/>
          <w:szCs w:val="24"/>
          <w:shd w:val="clear" w:color="auto" w:fill="FFFFFF"/>
        </w:rPr>
        <w:t xml:space="preserve"> from Southwestern Nigeria. </w:t>
      </w:r>
      <w:r>
        <w:rPr>
          <w:rFonts w:eastAsia="SimSun"/>
          <w:i/>
          <w:iCs/>
          <w:color w:val="222222"/>
          <w:sz w:val="24"/>
          <w:szCs w:val="24"/>
          <w:shd w:val="clear" w:color="auto" w:fill="FFFFFF"/>
        </w:rPr>
        <w:t>Environmental Science and Pollution Research</w:t>
      </w:r>
      <w:r>
        <w:rPr>
          <w:rFonts w:eastAsia="SimSun"/>
          <w:color w:val="222222"/>
          <w:sz w:val="24"/>
          <w:szCs w:val="24"/>
          <w:shd w:val="clear" w:color="auto" w:fill="FFFFFF"/>
        </w:rPr>
        <w:t>, </w:t>
      </w:r>
      <w:r>
        <w:rPr>
          <w:rFonts w:eastAsia="SimSun"/>
          <w:i/>
          <w:iCs/>
          <w:color w:val="222222"/>
          <w:sz w:val="24"/>
          <w:szCs w:val="24"/>
          <w:shd w:val="clear" w:color="auto" w:fill="FFFFFF"/>
        </w:rPr>
        <w:t>29</w:t>
      </w:r>
      <w:r>
        <w:rPr>
          <w:rFonts w:eastAsia="SimSun"/>
          <w:color w:val="222222"/>
          <w:sz w:val="24"/>
          <w:szCs w:val="24"/>
          <w:shd w:val="clear" w:color="auto" w:fill="FFFFFF"/>
        </w:rPr>
        <w:t>(29), 44917-44927.</w:t>
      </w:r>
    </w:p>
    <w:p w:rsidR="007E54BE" w:rsidRDefault="008F683E">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Parveen, N., Ansari, M. O., Ahmad, M. F., Jameel, S., &amp; Shadab, G. G. H. A. (2017). Zinc: An element of extensive medical importance. </w:t>
      </w:r>
      <w:r>
        <w:rPr>
          <w:rFonts w:eastAsia="SimSun"/>
          <w:i/>
          <w:iCs/>
          <w:color w:val="222222"/>
          <w:sz w:val="24"/>
          <w:szCs w:val="24"/>
          <w:shd w:val="clear" w:color="auto" w:fill="FFFFFF"/>
        </w:rPr>
        <w:t>Current Medicine Research and Practice</w:t>
      </w:r>
      <w:r>
        <w:rPr>
          <w:rFonts w:eastAsia="SimSun"/>
          <w:color w:val="222222"/>
          <w:sz w:val="24"/>
          <w:szCs w:val="24"/>
          <w:shd w:val="clear" w:color="auto" w:fill="FFFFFF"/>
        </w:rPr>
        <w:t>, </w:t>
      </w:r>
      <w:r>
        <w:rPr>
          <w:rFonts w:eastAsia="SimSun"/>
          <w:i/>
          <w:iCs/>
          <w:color w:val="222222"/>
          <w:sz w:val="24"/>
          <w:szCs w:val="24"/>
          <w:shd w:val="clear" w:color="auto" w:fill="FFFFFF"/>
        </w:rPr>
        <w:t>7</w:t>
      </w:r>
      <w:r>
        <w:rPr>
          <w:rFonts w:eastAsia="SimSun"/>
          <w:color w:val="222222"/>
          <w:sz w:val="24"/>
          <w:szCs w:val="24"/>
          <w:shd w:val="clear" w:color="auto" w:fill="FFFFFF"/>
        </w:rPr>
        <w:t>(3), 90-98.</w:t>
      </w:r>
    </w:p>
    <w:p w:rsidR="007E54BE" w:rsidRDefault="008F683E">
      <w:pPr>
        <w:widowControl/>
        <w:autoSpaceDE/>
        <w:autoSpaceDN/>
        <w:adjustRightInd w:val="0"/>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 xml:space="preserve">Patil, R., </w:t>
      </w:r>
      <w:proofErr w:type="spellStart"/>
      <w:r>
        <w:rPr>
          <w:rFonts w:eastAsia="SimSun"/>
          <w:color w:val="222222"/>
          <w:sz w:val="24"/>
          <w:szCs w:val="24"/>
          <w:shd w:val="clear" w:color="auto" w:fill="FFFFFF"/>
        </w:rPr>
        <w:t>Sontakke</w:t>
      </w:r>
      <w:proofErr w:type="spellEnd"/>
      <w:r>
        <w:rPr>
          <w:rFonts w:eastAsia="SimSun"/>
          <w:color w:val="222222"/>
          <w:sz w:val="24"/>
          <w:szCs w:val="24"/>
          <w:shd w:val="clear" w:color="auto" w:fill="FFFFFF"/>
        </w:rPr>
        <w:t xml:space="preserve">, T., </w:t>
      </w:r>
      <w:proofErr w:type="spellStart"/>
      <w:r>
        <w:rPr>
          <w:rFonts w:eastAsia="SimSun"/>
          <w:color w:val="222222"/>
          <w:sz w:val="24"/>
          <w:szCs w:val="24"/>
          <w:shd w:val="clear" w:color="auto" w:fill="FFFFFF"/>
        </w:rPr>
        <w:t>Biradar</w:t>
      </w:r>
      <w:proofErr w:type="spellEnd"/>
      <w:r>
        <w:rPr>
          <w:rFonts w:eastAsia="SimSun"/>
          <w:color w:val="222222"/>
          <w:sz w:val="24"/>
          <w:szCs w:val="24"/>
          <w:shd w:val="clear" w:color="auto" w:fill="FFFFFF"/>
        </w:rPr>
        <w:t xml:space="preserve">, A., &amp; </w:t>
      </w:r>
      <w:proofErr w:type="spellStart"/>
      <w:r>
        <w:rPr>
          <w:rFonts w:eastAsia="SimSun"/>
          <w:color w:val="222222"/>
          <w:sz w:val="24"/>
          <w:szCs w:val="24"/>
          <w:shd w:val="clear" w:color="auto" w:fill="FFFFFF"/>
        </w:rPr>
        <w:t>Nalage</w:t>
      </w:r>
      <w:proofErr w:type="spellEnd"/>
      <w:r>
        <w:rPr>
          <w:rFonts w:eastAsia="SimSun"/>
          <w:color w:val="222222"/>
          <w:sz w:val="24"/>
          <w:szCs w:val="24"/>
          <w:shd w:val="clear" w:color="auto" w:fill="FFFFFF"/>
        </w:rPr>
        <w:t>, D. (2023). Zinc: an essential trace element for human health and beyond. </w:t>
      </w:r>
      <w:r>
        <w:rPr>
          <w:rFonts w:eastAsia="SimSun"/>
          <w:i/>
          <w:iCs/>
          <w:color w:val="222222"/>
          <w:sz w:val="24"/>
          <w:szCs w:val="24"/>
          <w:shd w:val="clear" w:color="auto" w:fill="FFFFFF"/>
        </w:rPr>
        <w:t>Food Health</w:t>
      </w:r>
      <w:r>
        <w:rPr>
          <w:rFonts w:eastAsia="SimSun"/>
          <w:color w:val="222222"/>
          <w:sz w:val="24"/>
          <w:szCs w:val="24"/>
          <w:shd w:val="clear" w:color="auto" w:fill="FFFFFF"/>
        </w:rPr>
        <w:t>, </w:t>
      </w:r>
      <w:r>
        <w:rPr>
          <w:rFonts w:eastAsia="SimSun"/>
          <w:i/>
          <w:iCs/>
          <w:color w:val="222222"/>
          <w:sz w:val="24"/>
          <w:szCs w:val="24"/>
          <w:shd w:val="clear" w:color="auto" w:fill="FFFFFF"/>
        </w:rPr>
        <w:t>5</w:t>
      </w:r>
      <w:r>
        <w:rPr>
          <w:rFonts w:eastAsia="SimSun"/>
          <w:color w:val="222222"/>
          <w:sz w:val="24"/>
          <w:szCs w:val="24"/>
          <w:shd w:val="clear" w:color="auto" w:fill="FFFFFF"/>
        </w:rPr>
        <w:t>(3), 13.</w:t>
      </w:r>
    </w:p>
    <w:p w:rsidR="007E54BE" w:rsidRDefault="008F683E">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 xml:space="preserve">Pinheiro-Sousa, D. B., da Costa Soares, S. H., Torres, H. S., de Jesus, W. B., de Oliveira, S. R. S., Bastos, W. R., ... &amp; Carvalho-Neta, R. N. F. (2021). Sediment contaminant levels and </w:t>
      </w:r>
      <w:proofErr w:type="spellStart"/>
      <w:r>
        <w:rPr>
          <w:rFonts w:eastAsia="SimSun"/>
          <w:color w:val="222222"/>
          <w:sz w:val="24"/>
          <w:szCs w:val="24"/>
          <w:shd w:val="clear" w:color="auto" w:fill="FFFFFF"/>
        </w:rPr>
        <w:t>multibiomarker</w:t>
      </w:r>
      <w:proofErr w:type="spellEnd"/>
      <w:r>
        <w:rPr>
          <w:rFonts w:eastAsia="SimSun"/>
          <w:color w:val="222222"/>
          <w:sz w:val="24"/>
          <w:szCs w:val="24"/>
          <w:shd w:val="clear" w:color="auto" w:fill="FFFFFF"/>
        </w:rPr>
        <w:t xml:space="preserve"> approach to assess the health of catfish </w:t>
      </w:r>
      <w:proofErr w:type="spellStart"/>
      <w:r>
        <w:rPr>
          <w:rFonts w:eastAsia="SimSun"/>
          <w:color w:val="222222"/>
          <w:sz w:val="24"/>
          <w:szCs w:val="24"/>
          <w:shd w:val="clear" w:color="auto" w:fill="FFFFFF"/>
        </w:rPr>
        <w:t>Sciades</w:t>
      </w:r>
      <w:proofErr w:type="spellEnd"/>
      <w:r>
        <w:rPr>
          <w:rFonts w:eastAsia="SimSun"/>
          <w:color w:val="222222"/>
          <w:sz w:val="24"/>
          <w:szCs w:val="24"/>
          <w:shd w:val="clear" w:color="auto" w:fill="FFFFFF"/>
        </w:rPr>
        <w:t xml:space="preserve"> </w:t>
      </w:r>
      <w:proofErr w:type="spellStart"/>
      <w:r>
        <w:rPr>
          <w:rFonts w:eastAsia="SimSun"/>
          <w:color w:val="222222"/>
          <w:sz w:val="24"/>
          <w:szCs w:val="24"/>
          <w:shd w:val="clear" w:color="auto" w:fill="FFFFFF"/>
        </w:rPr>
        <w:t>herzbergii</w:t>
      </w:r>
      <w:proofErr w:type="spellEnd"/>
      <w:r>
        <w:rPr>
          <w:rFonts w:eastAsia="SimSun"/>
          <w:color w:val="222222"/>
          <w:sz w:val="24"/>
          <w:szCs w:val="24"/>
          <w:shd w:val="clear" w:color="auto" w:fill="FFFFFF"/>
        </w:rPr>
        <w:t xml:space="preserve"> in a harbor from the northern Brazilian Amazon. </w:t>
      </w:r>
      <w:r>
        <w:rPr>
          <w:rFonts w:eastAsia="SimSun"/>
          <w:i/>
          <w:iCs/>
          <w:color w:val="222222"/>
          <w:sz w:val="24"/>
          <w:szCs w:val="24"/>
          <w:shd w:val="clear" w:color="auto" w:fill="FFFFFF"/>
        </w:rPr>
        <w:t>Ecotoxicology and Environmental Safety</w:t>
      </w:r>
      <w:r>
        <w:rPr>
          <w:rFonts w:eastAsia="SimSun"/>
          <w:color w:val="222222"/>
          <w:sz w:val="24"/>
          <w:szCs w:val="24"/>
          <w:shd w:val="clear" w:color="auto" w:fill="FFFFFF"/>
        </w:rPr>
        <w:t>, </w:t>
      </w:r>
      <w:r>
        <w:rPr>
          <w:rFonts w:eastAsia="SimSun"/>
          <w:i/>
          <w:iCs/>
          <w:color w:val="222222"/>
          <w:sz w:val="24"/>
          <w:szCs w:val="24"/>
          <w:shd w:val="clear" w:color="auto" w:fill="FFFFFF"/>
        </w:rPr>
        <w:t>208</w:t>
      </w:r>
      <w:r>
        <w:rPr>
          <w:rFonts w:eastAsia="SimSun"/>
          <w:color w:val="222222"/>
          <w:sz w:val="24"/>
          <w:szCs w:val="24"/>
          <w:shd w:val="clear" w:color="auto" w:fill="FFFFFF"/>
        </w:rPr>
        <w:t>, 111540.</w:t>
      </w:r>
    </w:p>
    <w:p w:rsidR="007E54BE" w:rsidRDefault="008F683E">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 xml:space="preserve">Rahman, A. N. A., </w:t>
      </w:r>
      <w:proofErr w:type="spellStart"/>
      <w:r>
        <w:rPr>
          <w:rFonts w:eastAsia="SimSun"/>
          <w:color w:val="222222"/>
          <w:sz w:val="24"/>
          <w:szCs w:val="24"/>
          <w:shd w:val="clear" w:color="auto" w:fill="FFFFFF"/>
        </w:rPr>
        <w:t>Mahboub</w:t>
      </w:r>
      <w:proofErr w:type="spellEnd"/>
      <w:r>
        <w:rPr>
          <w:rFonts w:eastAsia="SimSun"/>
          <w:color w:val="222222"/>
          <w:sz w:val="24"/>
          <w:szCs w:val="24"/>
          <w:shd w:val="clear" w:color="auto" w:fill="FFFFFF"/>
        </w:rPr>
        <w:t xml:space="preserve">, H. H., </w:t>
      </w:r>
      <w:proofErr w:type="spellStart"/>
      <w:r>
        <w:rPr>
          <w:rFonts w:eastAsia="SimSun"/>
          <w:color w:val="222222"/>
          <w:sz w:val="24"/>
          <w:szCs w:val="24"/>
          <w:shd w:val="clear" w:color="auto" w:fill="FFFFFF"/>
        </w:rPr>
        <w:t>Ezz-Eldin</w:t>
      </w:r>
      <w:proofErr w:type="spellEnd"/>
      <w:r>
        <w:rPr>
          <w:rFonts w:eastAsia="SimSun"/>
          <w:color w:val="222222"/>
          <w:sz w:val="24"/>
          <w:szCs w:val="24"/>
          <w:shd w:val="clear" w:color="auto" w:fill="FFFFFF"/>
        </w:rPr>
        <w:t xml:space="preserve">, R. M., </w:t>
      </w:r>
      <w:proofErr w:type="spellStart"/>
      <w:r>
        <w:rPr>
          <w:rFonts w:eastAsia="SimSun"/>
          <w:color w:val="222222"/>
          <w:sz w:val="24"/>
          <w:szCs w:val="24"/>
          <w:shd w:val="clear" w:color="auto" w:fill="FFFFFF"/>
        </w:rPr>
        <w:t>Abdelwarith</w:t>
      </w:r>
      <w:proofErr w:type="spellEnd"/>
      <w:r>
        <w:rPr>
          <w:rFonts w:eastAsia="SimSun"/>
          <w:color w:val="222222"/>
          <w:sz w:val="24"/>
          <w:szCs w:val="24"/>
          <w:shd w:val="clear" w:color="auto" w:fill="FFFFFF"/>
        </w:rPr>
        <w:t xml:space="preserve">, A. A., Younis, E. M., Khamis, T., ... &amp; </w:t>
      </w:r>
      <w:proofErr w:type="spellStart"/>
      <w:r>
        <w:rPr>
          <w:rFonts w:eastAsia="SimSun"/>
          <w:color w:val="222222"/>
          <w:sz w:val="24"/>
          <w:szCs w:val="24"/>
          <w:shd w:val="clear" w:color="auto" w:fill="FFFFFF"/>
        </w:rPr>
        <w:t>Reyad</w:t>
      </w:r>
      <w:proofErr w:type="spellEnd"/>
      <w:r>
        <w:rPr>
          <w:rFonts w:eastAsia="SimSun"/>
          <w:color w:val="222222"/>
          <w:sz w:val="24"/>
          <w:szCs w:val="24"/>
          <w:shd w:val="clear" w:color="auto" w:fill="FFFFFF"/>
        </w:rPr>
        <w:t xml:space="preserve">, Y. A. (2025). Lead toxicity in African catfish: promising role of magnetite nanogel against </w:t>
      </w:r>
      <w:proofErr w:type="spellStart"/>
      <w:r>
        <w:rPr>
          <w:rFonts w:eastAsia="SimSun"/>
          <w:color w:val="222222"/>
          <w:sz w:val="24"/>
          <w:szCs w:val="24"/>
          <w:shd w:val="clear" w:color="auto" w:fill="FFFFFF"/>
        </w:rPr>
        <w:t>etho</w:t>
      </w:r>
      <w:proofErr w:type="spellEnd"/>
      <w:r>
        <w:rPr>
          <w:rFonts w:eastAsia="SimSun"/>
          <w:color w:val="222222"/>
          <w:sz w:val="24"/>
          <w:szCs w:val="24"/>
          <w:shd w:val="clear" w:color="auto" w:fill="FFFFFF"/>
        </w:rPr>
        <w:t>-neurological alterations, antioxidant suppression, gene toxicity, and histopathological/immunohistochemical disruptions. </w:t>
      </w:r>
      <w:r>
        <w:rPr>
          <w:rFonts w:eastAsia="SimSun"/>
          <w:i/>
          <w:iCs/>
          <w:color w:val="222222"/>
          <w:sz w:val="24"/>
          <w:szCs w:val="24"/>
          <w:shd w:val="clear" w:color="auto" w:fill="FFFFFF"/>
        </w:rPr>
        <w:t>Aquaculture</w:t>
      </w:r>
      <w:r>
        <w:rPr>
          <w:rFonts w:eastAsia="SimSun"/>
          <w:color w:val="222222"/>
          <w:sz w:val="24"/>
          <w:szCs w:val="24"/>
          <w:shd w:val="clear" w:color="auto" w:fill="FFFFFF"/>
        </w:rPr>
        <w:t>, </w:t>
      </w:r>
      <w:r>
        <w:rPr>
          <w:rFonts w:eastAsia="SimSun"/>
          <w:i/>
          <w:iCs/>
          <w:color w:val="222222"/>
          <w:sz w:val="24"/>
          <w:szCs w:val="24"/>
          <w:shd w:val="clear" w:color="auto" w:fill="FFFFFF"/>
        </w:rPr>
        <w:t>594</w:t>
      </w:r>
      <w:r>
        <w:rPr>
          <w:rFonts w:eastAsia="SimSun"/>
          <w:color w:val="222222"/>
          <w:sz w:val="24"/>
          <w:szCs w:val="24"/>
          <w:shd w:val="clear" w:color="auto" w:fill="FFFFFF"/>
        </w:rPr>
        <w:t>, 741411.</w:t>
      </w:r>
    </w:p>
    <w:p w:rsidR="007E54BE" w:rsidRDefault="008F683E">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Rose, M. (2023). Pollutants, residues and other contaminants in foods obtained from marine and fresh water. In </w:t>
      </w:r>
      <w:r>
        <w:rPr>
          <w:rFonts w:eastAsia="SimSun"/>
          <w:i/>
          <w:iCs/>
          <w:color w:val="222222"/>
          <w:sz w:val="24"/>
          <w:szCs w:val="24"/>
          <w:shd w:val="clear" w:color="auto" w:fill="FFFFFF"/>
        </w:rPr>
        <w:t>Present Knowledge in Food Safety</w:t>
      </w:r>
      <w:r>
        <w:rPr>
          <w:rFonts w:eastAsia="SimSun"/>
          <w:color w:val="222222"/>
          <w:sz w:val="24"/>
          <w:szCs w:val="24"/>
          <w:shd w:val="clear" w:color="auto" w:fill="FFFFFF"/>
        </w:rPr>
        <w:t> (pp. 128-141). Academic Press.</w:t>
      </w:r>
    </w:p>
    <w:p w:rsidR="007E54BE" w:rsidRDefault="008F683E">
      <w:pPr>
        <w:widowControl/>
        <w:autoSpaceDE/>
        <w:autoSpaceDN/>
        <w:adjustRightInd w:val="0"/>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Roth, J. A., &amp; Salvi, R. (2016). Ototoxicity of divalent metals. </w:t>
      </w:r>
      <w:r>
        <w:rPr>
          <w:rFonts w:eastAsia="SimSun"/>
          <w:i/>
          <w:iCs/>
          <w:color w:val="222222"/>
          <w:sz w:val="24"/>
          <w:szCs w:val="24"/>
          <w:shd w:val="clear" w:color="auto" w:fill="FFFFFF"/>
        </w:rPr>
        <w:t>Neurotoxicity Research</w:t>
      </w:r>
      <w:r>
        <w:rPr>
          <w:rFonts w:eastAsia="SimSun"/>
          <w:color w:val="222222"/>
          <w:sz w:val="24"/>
          <w:szCs w:val="24"/>
          <w:shd w:val="clear" w:color="auto" w:fill="FFFFFF"/>
        </w:rPr>
        <w:t>, </w:t>
      </w:r>
      <w:r>
        <w:rPr>
          <w:rFonts w:eastAsia="SimSun"/>
          <w:i/>
          <w:iCs/>
          <w:color w:val="222222"/>
          <w:sz w:val="24"/>
          <w:szCs w:val="24"/>
          <w:shd w:val="clear" w:color="auto" w:fill="FFFFFF"/>
        </w:rPr>
        <w:t>30</w:t>
      </w:r>
      <w:r>
        <w:rPr>
          <w:rFonts w:eastAsia="SimSun"/>
          <w:color w:val="222222"/>
          <w:sz w:val="24"/>
          <w:szCs w:val="24"/>
          <w:shd w:val="clear" w:color="auto" w:fill="FFFFFF"/>
        </w:rPr>
        <w:t>(2), 268-282.</w:t>
      </w:r>
    </w:p>
    <w:p w:rsidR="007E54BE" w:rsidRDefault="008F683E">
      <w:pPr>
        <w:widowControl/>
        <w:autoSpaceDE/>
        <w:autoSpaceDN/>
        <w:spacing w:line="360" w:lineRule="auto"/>
        <w:ind w:left="480" w:hangingChars="200" w:hanging="480"/>
        <w:jc w:val="both"/>
        <w:rPr>
          <w:rFonts w:eastAsia="SimSun"/>
          <w:color w:val="222222"/>
          <w:sz w:val="24"/>
          <w:szCs w:val="24"/>
          <w:shd w:val="clear" w:color="auto" w:fill="FFFFFF"/>
        </w:rPr>
      </w:pPr>
      <w:proofErr w:type="spellStart"/>
      <w:r>
        <w:rPr>
          <w:rFonts w:eastAsia="SimSun"/>
          <w:color w:val="222222"/>
          <w:sz w:val="24"/>
          <w:szCs w:val="24"/>
          <w:shd w:val="clear" w:color="auto" w:fill="FFFFFF"/>
        </w:rPr>
        <w:t>Udiba</w:t>
      </w:r>
      <w:proofErr w:type="spellEnd"/>
      <w:r>
        <w:rPr>
          <w:rFonts w:eastAsia="SimSun"/>
          <w:color w:val="222222"/>
          <w:sz w:val="24"/>
          <w:szCs w:val="24"/>
          <w:shd w:val="clear" w:color="auto" w:fill="FFFFFF"/>
        </w:rPr>
        <w:t xml:space="preserve">, U. U., </w:t>
      </w:r>
      <w:proofErr w:type="spellStart"/>
      <w:r>
        <w:rPr>
          <w:rFonts w:eastAsia="SimSun"/>
          <w:color w:val="222222"/>
          <w:sz w:val="24"/>
          <w:szCs w:val="24"/>
          <w:shd w:val="clear" w:color="auto" w:fill="FFFFFF"/>
        </w:rPr>
        <w:t>Udofia</w:t>
      </w:r>
      <w:proofErr w:type="spellEnd"/>
      <w:r>
        <w:rPr>
          <w:rFonts w:eastAsia="SimSun"/>
          <w:color w:val="222222"/>
          <w:sz w:val="24"/>
          <w:szCs w:val="24"/>
          <w:shd w:val="clear" w:color="auto" w:fill="FFFFFF"/>
        </w:rPr>
        <w:t>, U. U., &amp; Akpan, E. R. (2020). Concentration and Potential Human Health Hazards of Heavy Metals in Periwinkle (</w:t>
      </w:r>
      <w:proofErr w:type="spellStart"/>
      <w:r>
        <w:rPr>
          <w:rFonts w:eastAsia="SimSun"/>
          <w:color w:val="222222"/>
          <w:sz w:val="24"/>
          <w:szCs w:val="24"/>
          <w:shd w:val="clear" w:color="auto" w:fill="FFFFFF"/>
        </w:rPr>
        <w:t>Tympanotonus</w:t>
      </w:r>
      <w:proofErr w:type="spellEnd"/>
      <w:r>
        <w:rPr>
          <w:rFonts w:eastAsia="SimSun"/>
          <w:color w:val="222222"/>
          <w:sz w:val="24"/>
          <w:szCs w:val="24"/>
          <w:shd w:val="clear" w:color="auto" w:fill="FFFFFF"/>
        </w:rPr>
        <w:t xml:space="preserve"> </w:t>
      </w:r>
      <w:proofErr w:type="spellStart"/>
      <w:r>
        <w:rPr>
          <w:rFonts w:eastAsia="SimSun"/>
          <w:color w:val="222222"/>
          <w:sz w:val="24"/>
          <w:szCs w:val="24"/>
          <w:shd w:val="clear" w:color="auto" w:fill="FFFFFF"/>
        </w:rPr>
        <w:t>fuscatus</w:t>
      </w:r>
      <w:proofErr w:type="spellEnd"/>
      <w:r>
        <w:rPr>
          <w:rFonts w:eastAsia="SimSun"/>
          <w:color w:val="222222"/>
          <w:sz w:val="24"/>
          <w:szCs w:val="24"/>
          <w:shd w:val="clear" w:color="auto" w:fill="FFFFFF"/>
        </w:rPr>
        <w:t>) Purchased from Major Markets in Calabar, Nigeria. </w:t>
      </w:r>
      <w:r>
        <w:rPr>
          <w:rFonts w:eastAsia="SimSun"/>
          <w:i/>
          <w:iCs/>
          <w:color w:val="222222"/>
          <w:sz w:val="24"/>
          <w:szCs w:val="24"/>
          <w:shd w:val="clear" w:color="auto" w:fill="FFFFFF"/>
        </w:rPr>
        <w:t>Journal of Health &amp; Pollution</w:t>
      </w:r>
      <w:r>
        <w:rPr>
          <w:rFonts w:eastAsia="SimSun"/>
          <w:color w:val="222222"/>
          <w:sz w:val="24"/>
          <w:szCs w:val="24"/>
          <w:shd w:val="clear" w:color="auto" w:fill="FFFFFF"/>
        </w:rPr>
        <w:t>, </w:t>
      </w:r>
      <w:r>
        <w:rPr>
          <w:rFonts w:eastAsia="SimSun"/>
          <w:i/>
          <w:iCs/>
          <w:color w:val="222222"/>
          <w:sz w:val="24"/>
          <w:szCs w:val="24"/>
          <w:shd w:val="clear" w:color="auto" w:fill="FFFFFF"/>
        </w:rPr>
        <w:t>10</w:t>
      </w:r>
      <w:r>
        <w:rPr>
          <w:rFonts w:eastAsia="SimSun"/>
          <w:color w:val="222222"/>
          <w:sz w:val="24"/>
          <w:szCs w:val="24"/>
          <w:shd w:val="clear" w:color="auto" w:fill="FFFFFF"/>
        </w:rPr>
        <w:t>(28), 201206.</w:t>
      </w:r>
    </w:p>
    <w:p w:rsidR="007E54BE" w:rsidRDefault="008F683E">
      <w:pPr>
        <w:widowControl/>
        <w:autoSpaceDE/>
        <w:autoSpaceDN/>
        <w:spacing w:line="360" w:lineRule="auto"/>
        <w:ind w:left="480" w:hangingChars="200" w:hanging="480"/>
        <w:jc w:val="both"/>
        <w:rPr>
          <w:rFonts w:eastAsia="SimSun"/>
          <w:color w:val="222222"/>
          <w:sz w:val="24"/>
          <w:szCs w:val="24"/>
          <w:shd w:val="clear" w:color="auto" w:fill="FFFFFF"/>
        </w:rPr>
      </w:pPr>
      <w:proofErr w:type="spellStart"/>
      <w:r>
        <w:rPr>
          <w:rFonts w:eastAsia="SimSun"/>
          <w:color w:val="222222"/>
          <w:sz w:val="24"/>
          <w:szCs w:val="24"/>
          <w:shd w:val="clear" w:color="auto" w:fill="FFFFFF"/>
        </w:rPr>
        <w:t>Udiba</w:t>
      </w:r>
      <w:proofErr w:type="spellEnd"/>
      <w:r>
        <w:rPr>
          <w:rFonts w:eastAsia="SimSun"/>
          <w:color w:val="222222"/>
          <w:sz w:val="24"/>
          <w:szCs w:val="24"/>
          <w:shd w:val="clear" w:color="auto" w:fill="FFFFFF"/>
        </w:rPr>
        <w:t xml:space="preserve">, U. U., </w:t>
      </w:r>
      <w:proofErr w:type="spellStart"/>
      <w:r>
        <w:rPr>
          <w:rFonts w:eastAsia="SimSun"/>
          <w:color w:val="222222"/>
          <w:sz w:val="24"/>
          <w:szCs w:val="24"/>
          <w:shd w:val="clear" w:color="auto" w:fill="FFFFFF"/>
        </w:rPr>
        <w:t>Udofia</w:t>
      </w:r>
      <w:proofErr w:type="spellEnd"/>
      <w:r>
        <w:rPr>
          <w:rFonts w:eastAsia="SimSun"/>
          <w:color w:val="222222"/>
          <w:sz w:val="24"/>
          <w:szCs w:val="24"/>
          <w:shd w:val="clear" w:color="auto" w:fill="FFFFFF"/>
        </w:rPr>
        <w:t>, U. U., &amp; Akpan, E. R. (2020). Concentration and Potential Human Health Hazards of Heavy Metals in Periwinkle (</w:t>
      </w:r>
      <w:proofErr w:type="spellStart"/>
      <w:r>
        <w:rPr>
          <w:rFonts w:eastAsia="SimSun"/>
          <w:color w:val="222222"/>
          <w:sz w:val="24"/>
          <w:szCs w:val="24"/>
          <w:shd w:val="clear" w:color="auto" w:fill="FFFFFF"/>
        </w:rPr>
        <w:t>Tympanotonus</w:t>
      </w:r>
      <w:proofErr w:type="spellEnd"/>
      <w:r>
        <w:rPr>
          <w:rFonts w:eastAsia="SimSun"/>
          <w:color w:val="222222"/>
          <w:sz w:val="24"/>
          <w:szCs w:val="24"/>
          <w:shd w:val="clear" w:color="auto" w:fill="FFFFFF"/>
        </w:rPr>
        <w:t xml:space="preserve"> </w:t>
      </w:r>
      <w:proofErr w:type="spellStart"/>
      <w:r>
        <w:rPr>
          <w:rFonts w:eastAsia="SimSun"/>
          <w:color w:val="222222"/>
          <w:sz w:val="24"/>
          <w:szCs w:val="24"/>
          <w:shd w:val="clear" w:color="auto" w:fill="FFFFFF"/>
        </w:rPr>
        <w:t>fuscatus</w:t>
      </w:r>
      <w:proofErr w:type="spellEnd"/>
      <w:r>
        <w:rPr>
          <w:rFonts w:eastAsia="SimSun"/>
          <w:color w:val="222222"/>
          <w:sz w:val="24"/>
          <w:szCs w:val="24"/>
          <w:shd w:val="clear" w:color="auto" w:fill="FFFFFF"/>
        </w:rPr>
        <w:t>) Purchased from Major Markets in Calabar, Nigeria. </w:t>
      </w:r>
      <w:r>
        <w:rPr>
          <w:rFonts w:eastAsia="SimSun"/>
          <w:i/>
          <w:iCs/>
          <w:color w:val="222222"/>
          <w:sz w:val="24"/>
          <w:szCs w:val="24"/>
          <w:shd w:val="clear" w:color="auto" w:fill="FFFFFF"/>
        </w:rPr>
        <w:t>Journal of Health &amp; Pollution</w:t>
      </w:r>
      <w:r>
        <w:rPr>
          <w:rFonts w:eastAsia="SimSun"/>
          <w:color w:val="222222"/>
          <w:sz w:val="24"/>
          <w:szCs w:val="24"/>
          <w:shd w:val="clear" w:color="auto" w:fill="FFFFFF"/>
        </w:rPr>
        <w:t>, </w:t>
      </w:r>
      <w:r>
        <w:rPr>
          <w:rFonts w:eastAsia="SimSun"/>
          <w:i/>
          <w:iCs/>
          <w:color w:val="222222"/>
          <w:sz w:val="24"/>
          <w:szCs w:val="24"/>
          <w:shd w:val="clear" w:color="auto" w:fill="FFFFFF"/>
        </w:rPr>
        <w:t>10</w:t>
      </w:r>
      <w:r>
        <w:rPr>
          <w:rFonts w:eastAsia="SimSun"/>
          <w:color w:val="222222"/>
          <w:sz w:val="24"/>
          <w:szCs w:val="24"/>
          <w:shd w:val="clear" w:color="auto" w:fill="FFFFFF"/>
        </w:rPr>
        <w:t>(28), 201206.</w:t>
      </w:r>
    </w:p>
    <w:p w:rsidR="007E54BE" w:rsidRDefault="008F683E">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lastRenderedPageBreak/>
        <w:t xml:space="preserve">Wu, X., </w:t>
      </w:r>
      <w:proofErr w:type="spellStart"/>
      <w:r>
        <w:rPr>
          <w:rFonts w:eastAsia="SimSun"/>
          <w:color w:val="222222"/>
          <w:sz w:val="24"/>
          <w:szCs w:val="24"/>
          <w:shd w:val="clear" w:color="auto" w:fill="FFFFFF"/>
        </w:rPr>
        <w:t>Cobbina</w:t>
      </w:r>
      <w:proofErr w:type="spellEnd"/>
      <w:r>
        <w:rPr>
          <w:rFonts w:eastAsia="SimSun"/>
          <w:color w:val="222222"/>
          <w:sz w:val="24"/>
          <w:szCs w:val="24"/>
          <w:shd w:val="clear" w:color="auto" w:fill="FFFFFF"/>
        </w:rPr>
        <w:t>, S. J., Mao, G., Xu, H., Zhang, Z., &amp; Yang, L. (2016). A review of toxicity and mechanisms of individual and mixtures of heavy metals in the environment. </w:t>
      </w:r>
      <w:r>
        <w:rPr>
          <w:rFonts w:eastAsia="SimSun"/>
          <w:i/>
          <w:iCs/>
          <w:color w:val="222222"/>
          <w:sz w:val="24"/>
          <w:szCs w:val="24"/>
          <w:shd w:val="clear" w:color="auto" w:fill="FFFFFF"/>
        </w:rPr>
        <w:t>Environmental Science and Pollution Research</w:t>
      </w:r>
      <w:r>
        <w:rPr>
          <w:rFonts w:eastAsia="SimSun"/>
          <w:color w:val="222222"/>
          <w:sz w:val="24"/>
          <w:szCs w:val="24"/>
          <w:shd w:val="clear" w:color="auto" w:fill="FFFFFF"/>
        </w:rPr>
        <w:t>, </w:t>
      </w:r>
      <w:r>
        <w:rPr>
          <w:rFonts w:eastAsia="SimSun"/>
          <w:i/>
          <w:iCs/>
          <w:color w:val="222222"/>
          <w:sz w:val="24"/>
          <w:szCs w:val="24"/>
          <w:shd w:val="clear" w:color="auto" w:fill="FFFFFF"/>
        </w:rPr>
        <w:t>23</w:t>
      </w:r>
      <w:r>
        <w:rPr>
          <w:rFonts w:eastAsia="SimSun"/>
          <w:color w:val="222222"/>
          <w:sz w:val="24"/>
          <w:szCs w:val="24"/>
          <w:shd w:val="clear" w:color="auto" w:fill="FFFFFF"/>
        </w:rPr>
        <w:t>(9), 8244-8259.</w:t>
      </w:r>
    </w:p>
    <w:p w:rsidR="007E54BE" w:rsidRDefault="008F683E">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Yuan, Z., Luo, T., Liu, X., Hua, H., Zhuang, Y., Zhang, X., ... &amp; Ren, J. (2019). Tracing anthropogenic cadmium emissions: From sources to pollution. </w:t>
      </w:r>
      <w:r>
        <w:rPr>
          <w:rFonts w:eastAsia="SimSun"/>
          <w:i/>
          <w:iCs/>
          <w:color w:val="222222"/>
          <w:sz w:val="24"/>
          <w:szCs w:val="24"/>
          <w:shd w:val="clear" w:color="auto" w:fill="FFFFFF"/>
        </w:rPr>
        <w:t>Science of the Total Environment</w:t>
      </w:r>
      <w:r>
        <w:rPr>
          <w:rFonts w:eastAsia="SimSun"/>
          <w:color w:val="222222"/>
          <w:sz w:val="24"/>
          <w:szCs w:val="24"/>
          <w:shd w:val="clear" w:color="auto" w:fill="FFFFFF"/>
        </w:rPr>
        <w:t>, </w:t>
      </w:r>
      <w:r>
        <w:rPr>
          <w:rFonts w:eastAsia="SimSun"/>
          <w:i/>
          <w:iCs/>
          <w:color w:val="222222"/>
          <w:sz w:val="24"/>
          <w:szCs w:val="24"/>
          <w:shd w:val="clear" w:color="auto" w:fill="FFFFFF"/>
        </w:rPr>
        <w:t>676</w:t>
      </w:r>
      <w:r>
        <w:rPr>
          <w:rFonts w:eastAsia="SimSun"/>
          <w:color w:val="222222"/>
          <w:sz w:val="24"/>
          <w:szCs w:val="24"/>
          <w:shd w:val="clear" w:color="auto" w:fill="FFFFFF"/>
        </w:rPr>
        <w:t>, 87-96.</w:t>
      </w:r>
    </w:p>
    <w:p w:rsidR="007E54BE" w:rsidRDefault="008F683E">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Zaynab, M., Al-</w:t>
      </w:r>
      <w:proofErr w:type="spellStart"/>
      <w:r>
        <w:rPr>
          <w:rFonts w:eastAsia="SimSun"/>
          <w:color w:val="222222"/>
          <w:sz w:val="24"/>
          <w:szCs w:val="24"/>
          <w:shd w:val="clear" w:color="auto" w:fill="FFFFFF"/>
        </w:rPr>
        <w:t>Yahyai</w:t>
      </w:r>
      <w:proofErr w:type="spellEnd"/>
      <w:r>
        <w:rPr>
          <w:rFonts w:eastAsia="SimSun"/>
          <w:color w:val="222222"/>
          <w:sz w:val="24"/>
          <w:szCs w:val="24"/>
          <w:shd w:val="clear" w:color="auto" w:fill="FFFFFF"/>
        </w:rPr>
        <w:t>, R., Ameen, A., Sharif, Y., Ali, L., Fatima, M., ... &amp; Li, S. (2022). Health and environmental effects of heavy metals. </w:t>
      </w:r>
      <w:r>
        <w:rPr>
          <w:rFonts w:eastAsia="SimSun"/>
          <w:i/>
          <w:iCs/>
          <w:color w:val="222222"/>
          <w:sz w:val="24"/>
          <w:szCs w:val="24"/>
          <w:shd w:val="clear" w:color="auto" w:fill="FFFFFF"/>
        </w:rPr>
        <w:t>Journal of King Saud University-Science</w:t>
      </w:r>
      <w:r>
        <w:rPr>
          <w:rFonts w:eastAsia="SimSun"/>
          <w:color w:val="222222"/>
          <w:sz w:val="24"/>
          <w:szCs w:val="24"/>
          <w:shd w:val="clear" w:color="auto" w:fill="FFFFFF"/>
        </w:rPr>
        <w:t>, </w:t>
      </w:r>
      <w:r>
        <w:rPr>
          <w:rFonts w:eastAsia="SimSun"/>
          <w:i/>
          <w:iCs/>
          <w:color w:val="222222"/>
          <w:sz w:val="24"/>
          <w:szCs w:val="24"/>
          <w:shd w:val="clear" w:color="auto" w:fill="FFFFFF"/>
        </w:rPr>
        <w:t>34</w:t>
      </w:r>
      <w:r>
        <w:rPr>
          <w:rFonts w:eastAsia="SimSun"/>
          <w:color w:val="222222"/>
          <w:sz w:val="24"/>
          <w:szCs w:val="24"/>
          <w:shd w:val="clear" w:color="auto" w:fill="FFFFFF"/>
        </w:rPr>
        <w:t>(1), 101653.</w:t>
      </w:r>
    </w:p>
    <w:p w:rsidR="007E54BE" w:rsidRDefault="007E54BE">
      <w:pPr>
        <w:widowControl/>
        <w:autoSpaceDE/>
        <w:autoSpaceDN/>
        <w:ind w:left="480" w:hangingChars="200" w:hanging="480"/>
        <w:jc w:val="both"/>
        <w:rPr>
          <w:rFonts w:eastAsia="SimSun"/>
          <w:color w:val="222222"/>
          <w:sz w:val="24"/>
          <w:szCs w:val="24"/>
          <w:shd w:val="clear" w:color="auto" w:fill="FFFFFF"/>
        </w:rPr>
      </w:pPr>
    </w:p>
    <w:p w:rsidR="007E54BE" w:rsidRDefault="007E54BE">
      <w:pPr>
        <w:widowControl/>
        <w:autoSpaceDE/>
        <w:autoSpaceDN/>
        <w:spacing w:line="360" w:lineRule="auto"/>
        <w:ind w:left="480" w:hangingChars="200" w:hanging="480"/>
        <w:jc w:val="both"/>
        <w:rPr>
          <w:rFonts w:eastAsia="SimSun"/>
          <w:sz w:val="24"/>
          <w:szCs w:val="24"/>
        </w:rPr>
      </w:pPr>
    </w:p>
    <w:p w:rsidR="007E54BE" w:rsidRDefault="007E54BE">
      <w:pPr>
        <w:rPr>
          <w:sz w:val="24"/>
          <w:szCs w:val="24"/>
        </w:rPr>
      </w:pPr>
    </w:p>
    <w:sectPr w:rsidR="007E54BE">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A95" w:rsidRDefault="00583A95">
      <w:r>
        <w:separator/>
      </w:r>
    </w:p>
  </w:endnote>
  <w:endnote w:type="continuationSeparator" w:id="0">
    <w:p w:rsidR="00583A95" w:rsidRDefault="0058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A95" w:rsidRDefault="00583A95">
      <w:r>
        <w:separator/>
      </w:r>
    </w:p>
  </w:footnote>
  <w:footnote w:type="continuationSeparator" w:id="0">
    <w:p w:rsidR="00583A95" w:rsidRDefault="00583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D2C273"/>
    <w:multiLevelType w:val="singleLevel"/>
    <w:tmpl w:val="98D2C273"/>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BE67F6D"/>
    <w:rsid w:val="002137C9"/>
    <w:rsid w:val="00316896"/>
    <w:rsid w:val="00403582"/>
    <w:rsid w:val="00525F88"/>
    <w:rsid w:val="00583A95"/>
    <w:rsid w:val="007E54BE"/>
    <w:rsid w:val="008F683E"/>
    <w:rsid w:val="00AB759E"/>
    <w:rsid w:val="00E33028"/>
    <w:rsid w:val="00EF582E"/>
    <w:rsid w:val="0203486E"/>
    <w:rsid w:val="021B1804"/>
    <w:rsid w:val="03FB3F20"/>
    <w:rsid w:val="05222BF8"/>
    <w:rsid w:val="0A740113"/>
    <w:rsid w:val="108E3E8C"/>
    <w:rsid w:val="109B4F99"/>
    <w:rsid w:val="12285F03"/>
    <w:rsid w:val="13E13EB7"/>
    <w:rsid w:val="146B035A"/>
    <w:rsid w:val="169275F3"/>
    <w:rsid w:val="181347CA"/>
    <w:rsid w:val="187D094D"/>
    <w:rsid w:val="19882185"/>
    <w:rsid w:val="1BE67F6D"/>
    <w:rsid w:val="217F035D"/>
    <w:rsid w:val="21CE0138"/>
    <w:rsid w:val="2316333E"/>
    <w:rsid w:val="23A6054D"/>
    <w:rsid w:val="25BF124F"/>
    <w:rsid w:val="27346217"/>
    <w:rsid w:val="28A0016F"/>
    <w:rsid w:val="28EA6E33"/>
    <w:rsid w:val="29126D7D"/>
    <w:rsid w:val="2AB13291"/>
    <w:rsid w:val="2C6354D4"/>
    <w:rsid w:val="2D236108"/>
    <w:rsid w:val="2D373862"/>
    <w:rsid w:val="2D5F1580"/>
    <w:rsid w:val="302C1778"/>
    <w:rsid w:val="31CC4E5C"/>
    <w:rsid w:val="327C3242"/>
    <w:rsid w:val="32EE2A36"/>
    <w:rsid w:val="363A3E94"/>
    <w:rsid w:val="36CD2176"/>
    <w:rsid w:val="37C540D4"/>
    <w:rsid w:val="395824A8"/>
    <w:rsid w:val="39AA1A5C"/>
    <w:rsid w:val="3AE0723C"/>
    <w:rsid w:val="3BBF2421"/>
    <w:rsid w:val="3BC5126F"/>
    <w:rsid w:val="3C127E7E"/>
    <w:rsid w:val="3D083E17"/>
    <w:rsid w:val="3E533780"/>
    <w:rsid w:val="3E88404E"/>
    <w:rsid w:val="3FE822D9"/>
    <w:rsid w:val="40761B16"/>
    <w:rsid w:val="412C5BD7"/>
    <w:rsid w:val="428F761B"/>
    <w:rsid w:val="4460137B"/>
    <w:rsid w:val="47661BF9"/>
    <w:rsid w:val="476F45C7"/>
    <w:rsid w:val="499F771F"/>
    <w:rsid w:val="4A9D2C6A"/>
    <w:rsid w:val="4DAD1523"/>
    <w:rsid w:val="4DC54B84"/>
    <w:rsid w:val="4E09413B"/>
    <w:rsid w:val="4EFA751D"/>
    <w:rsid w:val="502D5246"/>
    <w:rsid w:val="505B4281"/>
    <w:rsid w:val="52B23061"/>
    <w:rsid w:val="54A44E68"/>
    <w:rsid w:val="554A28B9"/>
    <w:rsid w:val="561F00C7"/>
    <w:rsid w:val="57102E99"/>
    <w:rsid w:val="58AB5E56"/>
    <w:rsid w:val="590D25E8"/>
    <w:rsid w:val="599960B8"/>
    <w:rsid w:val="5BAD78ED"/>
    <w:rsid w:val="601C1FCE"/>
    <w:rsid w:val="651C6743"/>
    <w:rsid w:val="657C46D8"/>
    <w:rsid w:val="65836D12"/>
    <w:rsid w:val="66553CCF"/>
    <w:rsid w:val="66DC311A"/>
    <w:rsid w:val="679D5209"/>
    <w:rsid w:val="6803050A"/>
    <w:rsid w:val="684C38A3"/>
    <w:rsid w:val="68A514EA"/>
    <w:rsid w:val="697F5312"/>
    <w:rsid w:val="6A64787D"/>
    <w:rsid w:val="6CE45B48"/>
    <w:rsid w:val="6E7844B4"/>
    <w:rsid w:val="706A3EB9"/>
    <w:rsid w:val="70795571"/>
    <w:rsid w:val="70A16387"/>
    <w:rsid w:val="70A2025E"/>
    <w:rsid w:val="75394C61"/>
    <w:rsid w:val="75F716D6"/>
    <w:rsid w:val="76BF3F4B"/>
    <w:rsid w:val="77407493"/>
    <w:rsid w:val="77795190"/>
    <w:rsid w:val="7AA51E44"/>
    <w:rsid w:val="7BAB7961"/>
    <w:rsid w:val="7BD3507A"/>
    <w:rsid w:val="7D482776"/>
    <w:rsid w:val="7E0250CA"/>
    <w:rsid w:val="7F511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5B85A"/>
  <w15:docId w15:val="{FC93E897-8587-4128-A888-A29E4EFE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rPr>
  </w:style>
  <w:style w:type="paragraph" w:styleId="Heading1">
    <w:name w:val="heading 1"/>
    <w:basedOn w:val="Normal"/>
    <w:uiPriority w:val="1"/>
    <w:qFormat/>
    <w:pPr>
      <w:ind w:left="2568" w:right="2568"/>
      <w:jc w:val="center"/>
      <w:outlineLvl w:val="0"/>
    </w:pPr>
    <w:rPr>
      <w:b/>
      <w:bCs/>
      <w:sz w:val="24"/>
      <w:szCs w:val="24"/>
    </w:rPr>
  </w:style>
  <w:style w:type="paragraph" w:styleId="Heading2">
    <w:name w:val="heading 2"/>
    <w:basedOn w:val="Normal"/>
    <w:uiPriority w:val="1"/>
    <w:qFormat/>
    <w:pPr>
      <w:spacing w:before="165"/>
      <w:ind w:left="720"/>
      <w:jc w:val="both"/>
      <w:outlineLvl w:val="1"/>
    </w:pPr>
    <w:rPr>
      <w:b/>
      <w:bCs/>
      <w:sz w:val="24"/>
      <w:szCs w:val="24"/>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spacing w:before="234"/>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aolex.fao.org/docs/pdf/eri4240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15</Pages>
  <Words>4684</Words>
  <Characters>26704</Characters>
  <Application>Microsoft Office Word</Application>
  <DocSecurity>0</DocSecurity>
  <Lines>222</Lines>
  <Paragraphs>62</Paragraphs>
  <ScaleCrop>false</ScaleCrop>
  <Company/>
  <LinksUpToDate>false</LinksUpToDate>
  <CharactersWithSpaces>31326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Innocent Ujah</dc:creator>
  <cp:lastModifiedBy>SDI 1158</cp:lastModifiedBy>
  <cp:revision>7</cp:revision>
  <dcterms:created xsi:type="dcterms:W3CDTF">2026-01-16T07:31:00Z</dcterms:created>
  <dcterms:modified xsi:type="dcterms:W3CDTF">2026-02-07T11:41:00Z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0F791128161D4EB78464BC0A18C1D94A_11</vt:lpwstr>
  </property>
</Properties>
</file>