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D7" w:rsidRPr="006703D7" w:rsidRDefault="006703D7" w:rsidP="006703D7">
      <w:pPr>
        <w:pStyle w:val="vineela"/>
        <w:jc w:val="center"/>
        <w:rPr>
          <w:b/>
          <w:bCs/>
          <w:i/>
          <w:iCs/>
          <w:sz w:val="28"/>
          <w:u w:val="single"/>
        </w:rPr>
      </w:pPr>
      <w:r w:rsidRPr="006703D7">
        <w:rPr>
          <w:b/>
          <w:bCs/>
          <w:i/>
          <w:iCs/>
          <w:sz w:val="28"/>
          <w:u w:val="single"/>
        </w:rPr>
        <w:t xml:space="preserve">Case report </w:t>
      </w:r>
    </w:p>
    <w:p w:rsidR="00BB13F0" w:rsidRPr="00BB13F0" w:rsidRDefault="00BB13F0" w:rsidP="00BB13F0">
      <w:pPr>
        <w:pStyle w:val="vineela"/>
        <w:jc w:val="center"/>
        <w:rPr>
          <w:b/>
          <w:sz w:val="40"/>
        </w:rPr>
      </w:pPr>
      <w:r w:rsidRPr="00BB13F0">
        <w:rPr>
          <w:b/>
          <w:iCs/>
          <w:sz w:val="28"/>
          <w:szCs w:val="20"/>
        </w:rPr>
        <w:t>Hemolytic Anemia Associated with Dapsone Therapy in Pemphigus Foliaceus: A Case Report</w:t>
      </w:r>
    </w:p>
    <w:p w:rsidR="00D831A7" w:rsidRPr="00D831A7" w:rsidRDefault="00116859" w:rsidP="00D831A7">
      <w:pPr>
        <w:pStyle w:val="vineela"/>
        <w:rPr>
          <w:b/>
        </w:rPr>
      </w:pPr>
      <w:r w:rsidRPr="00D831A7">
        <w:rPr>
          <w:b/>
        </w:rPr>
        <w:t xml:space="preserve">Abstract </w:t>
      </w:r>
    </w:p>
    <w:p w:rsidR="00425FAB" w:rsidRPr="002B52C4" w:rsidRDefault="00425FAB" w:rsidP="00425FAB">
      <w:pPr>
        <w:pStyle w:val="vineela"/>
        <w:spacing w:after="120"/>
      </w:pPr>
      <w:r w:rsidRPr="002B52C4">
        <w:rPr>
          <w:b/>
          <w:bCs/>
        </w:rPr>
        <w:t xml:space="preserve">Background: </w:t>
      </w:r>
      <w:r w:rsidRPr="002B52C4">
        <w:br/>
        <w:t>Dapsone is frequently used as a steroid-sparing agent in autoimmune blistering disorders such as pemphigus foliaceus. Although generally well tolerated, dapsone can rarely cause serious hematological adverse effects, including hemolytic anemia, which may be life-threatening if not recognized early.</w:t>
      </w:r>
    </w:p>
    <w:p w:rsidR="00425FAB" w:rsidRDefault="00425FAB" w:rsidP="00425FAB">
      <w:pPr>
        <w:pStyle w:val="vineela"/>
        <w:spacing w:after="0"/>
      </w:pPr>
      <w:r w:rsidRPr="002B52C4">
        <w:rPr>
          <w:b/>
          <w:bCs/>
        </w:rPr>
        <w:t>Case Presentation:</w:t>
      </w:r>
    </w:p>
    <w:p w:rsidR="00425FAB" w:rsidRPr="002B52C4" w:rsidRDefault="00425FAB" w:rsidP="00425FAB">
      <w:pPr>
        <w:pStyle w:val="vineela"/>
        <w:spacing w:after="120"/>
      </w:pPr>
      <w:r w:rsidRPr="002B52C4">
        <w:t xml:space="preserve">We report the case of a 34-year-old female with a long-standing history of pemphigus foliaceus and hypothyroidism who developed severe hemolytic anemia during dapsone therapy. The patient presented with generalized weakness, dyspnea, cough, and reduced appetite. Laboratory investigations revealed markedly reduced hemoglobin levels, elevated reticulocyte count, increased lactate dehydrogenase, and indirect hyperbilirubinemia, consistent with active hemolysis. Direct Coombs test was positive, supporting the diagnosis of autoimmune hemolytic anemia. Based on clinical presentation, laboratory findings, and a probable causality score on the Naranjo adverse drug reaction probability scale, dapsone-induced hemolytic anemia was diagnosed. </w:t>
      </w:r>
      <w:r w:rsidR="00761BD5">
        <w:t xml:space="preserve">Dapsone was immediately discontinued, and the patient was managed with systemic corticosteroids, packed red blood cell transfusion, and supportive care, resulting in gradual clinical and hematological improvement, </w:t>
      </w:r>
      <w:r w:rsidRPr="002B52C4">
        <w:t>resulting in gradual clinical and hematological improvement.</w:t>
      </w:r>
    </w:p>
    <w:p w:rsidR="00425FAB" w:rsidRPr="002B52C4" w:rsidRDefault="00425FAB" w:rsidP="00425FAB">
      <w:pPr>
        <w:pStyle w:val="vineela"/>
        <w:spacing w:after="120"/>
      </w:pPr>
      <w:r w:rsidRPr="002B52C4">
        <w:rPr>
          <w:b/>
          <w:bCs/>
        </w:rPr>
        <w:t xml:space="preserve">Conclusion: </w:t>
      </w:r>
      <w:r w:rsidRPr="002B52C4">
        <w:br/>
        <w:t>This case highlights a rare but severe adverse drug reaction associated with dapsone therapy in pemphigus foliaceus. It underscores the importance of baseline evaluation, regular hematological monitoring, and early recognition of hemolytic complications in patients receiving dapsone. Clinicians should remain vigilant and consider safer alternative therapies in high-risk individuals to prevent potentially fatal outcomes.</w:t>
      </w:r>
    </w:p>
    <w:p w:rsidR="00425FAB" w:rsidRDefault="00425FAB" w:rsidP="00425FAB">
      <w:pPr>
        <w:spacing w:before="120" w:after="120" w:line="240" w:lineRule="auto"/>
        <w:jc w:val="both"/>
        <w:rPr>
          <w:rFonts w:ascii="Times New Roman" w:eastAsia="Times New Roman" w:hAnsi="Times New Roman" w:cs="Times New Roman"/>
          <w:sz w:val="24"/>
          <w:szCs w:val="24"/>
        </w:rPr>
      </w:pPr>
      <w:r w:rsidRPr="002B52C4">
        <w:rPr>
          <w:rFonts w:ascii="Times New Roman" w:eastAsia="Times New Roman" w:hAnsi="Times New Roman" w:cs="Times New Roman"/>
          <w:b/>
          <w:bCs/>
          <w:sz w:val="24"/>
          <w:szCs w:val="24"/>
        </w:rPr>
        <w:t>Keywords:</w:t>
      </w:r>
    </w:p>
    <w:p w:rsidR="00425FAB" w:rsidRPr="00425FAB" w:rsidRDefault="00425FAB" w:rsidP="00425FAB">
      <w:pPr>
        <w:spacing w:before="120" w:after="120" w:line="240" w:lineRule="auto"/>
        <w:jc w:val="both"/>
        <w:rPr>
          <w:rFonts w:ascii="Times New Roman" w:eastAsia="Times New Roman" w:hAnsi="Times New Roman" w:cs="Times New Roman"/>
          <w:sz w:val="24"/>
          <w:szCs w:val="24"/>
        </w:rPr>
      </w:pPr>
      <w:r w:rsidRPr="002B52C4">
        <w:rPr>
          <w:rFonts w:ascii="Times New Roman" w:eastAsia="Times New Roman" w:hAnsi="Times New Roman" w:cs="Times New Roman"/>
          <w:sz w:val="24"/>
          <w:szCs w:val="24"/>
        </w:rPr>
        <w:t>Hemolytic anemia; Dapsone; Adverse drug reaction; Pemphigus foliaceus; Autoimmune hemolytic anemia</w:t>
      </w:r>
    </w:p>
    <w:p w:rsidR="003E5CB0" w:rsidRPr="003E5CB0" w:rsidRDefault="003E5CB0" w:rsidP="00EE084B">
      <w:pPr>
        <w:pStyle w:val="vineela"/>
        <w:rPr>
          <w:b/>
        </w:rPr>
      </w:pPr>
      <w:r w:rsidRPr="00EE084B">
        <w:rPr>
          <w:rStyle w:val="Strong"/>
          <w:bCs w:val="0"/>
        </w:rPr>
        <w:t>Introduction</w:t>
      </w:r>
    </w:p>
    <w:p w:rsidR="003E5CB0" w:rsidRPr="00A91AF4" w:rsidRDefault="003E5CB0" w:rsidP="003E5CB0">
      <w:pPr>
        <w:jc w:val="both"/>
        <w:rPr>
          <w:rFonts w:ascii="Times New Roman" w:hAnsi="Times New Roman" w:cs="Times New Roman"/>
          <w:sz w:val="24"/>
        </w:rPr>
      </w:pPr>
      <w:r w:rsidRPr="00A91AF4">
        <w:rPr>
          <w:rFonts w:ascii="Times New Roman" w:hAnsi="Times New Roman" w:cs="Times New Roman"/>
          <w:sz w:val="24"/>
        </w:rPr>
        <w:t>Pemphigus foliaceus is a rare autoimmune disease that is characterized by the formation of blisters on the skin due to the development of antibodies against one of the proteins (desmoglein-1) that help hold cells together in our body (keratinocytes)</w:t>
      </w:r>
      <w:r w:rsidR="00ED618C">
        <w:rPr>
          <w:rFonts w:ascii="Times New Roman" w:hAnsi="Times New Roman" w:cs="Times New Roman"/>
          <w:sz w:val="24"/>
        </w:rPr>
        <w:t xml:space="preserve"> [</w:t>
      </w:r>
      <w:r w:rsidR="00F46E83">
        <w:rPr>
          <w:rFonts w:ascii="Times New Roman" w:hAnsi="Times New Roman" w:cs="Times New Roman"/>
          <w:sz w:val="24"/>
        </w:rPr>
        <w:fldChar w:fldCharType="begin"/>
      </w:r>
      <w:r w:rsidR="00ED618C">
        <w:rPr>
          <w:rFonts w:ascii="Times New Roman" w:hAnsi="Times New Roman" w:cs="Times New Roman"/>
          <w:sz w:val="24"/>
        </w:rPr>
        <w:instrText xml:space="preserve"> REF _Ref220504787 \r \h </w:instrText>
      </w:r>
      <w:r w:rsidR="00F46E83">
        <w:rPr>
          <w:rFonts w:ascii="Times New Roman" w:hAnsi="Times New Roman" w:cs="Times New Roman"/>
          <w:sz w:val="24"/>
        </w:rPr>
      </w:r>
      <w:r w:rsidR="00F46E83">
        <w:rPr>
          <w:rFonts w:ascii="Times New Roman" w:hAnsi="Times New Roman" w:cs="Times New Roman"/>
          <w:sz w:val="24"/>
        </w:rPr>
        <w:fldChar w:fldCharType="separate"/>
      </w:r>
      <w:r w:rsidR="00ED618C">
        <w:rPr>
          <w:rFonts w:ascii="Times New Roman" w:hAnsi="Times New Roman" w:cs="Times New Roman"/>
          <w:sz w:val="24"/>
        </w:rPr>
        <w:t>1</w:t>
      </w:r>
      <w:r w:rsidR="00F46E8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 xml:space="preserve">. While this is not a life-threatening condition, it does require the use of long-term medications to control disease activity. Systemic corticosteroids are used as the primary medication for the treatment of pemphigus foliaceus, but they can cause serious side effects when used over a long period </w:t>
      </w:r>
      <w:r w:rsidRPr="00A91AF4">
        <w:rPr>
          <w:rFonts w:ascii="Times New Roman" w:hAnsi="Times New Roman" w:cs="Times New Roman"/>
          <w:sz w:val="24"/>
        </w:rPr>
        <w:lastRenderedPageBreak/>
        <w:t>of time. As a result, steroid-sparing medications such as dapsone, azathioprine, and mycophenolate mofetil are now recommended</w:t>
      </w:r>
      <w:r w:rsidR="00ED618C">
        <w:rPr>
          <w:rFonts w:ascii="Times New Roman" w:hAnsi="Times New Roman" w:cs="Times New Roman"/>
          <w:sz w:val="24"/>
        </w:rPr>
        <w:t xml:space="preserve"> [</w:t>
      </w:r>
      <w:r w:rsidR="00F46E83">
        <w:rPr>
          <w:rFonts w:ascii="Times New Roman" w:hAnsi="Times New Roman" w:cs="Times New Roman"/>
          <w:sz w:val="24"/>
        </w:rPr>
        <w:fldChar w:fldCharType="begin"/>
      </w:r>
      <w:r w:rsidR="00ED618C">
        <w:rPr>
          <w:rFonts w:ascii="Times New Roman" w:hAnsi="Times New Roman" w:cs="Times New Roman"/>
          <w:sz w:val="24"/>
        </w:rPr>
        <w:instrText xml:space="preserve"> REF _Ref220504793 \r \h </w:instrText>
      </w:r>
      <w:r w:rsidR="00F46E83">
        <w:rPr>
          <w:rFonts w:ascii="Times New Roman" w:hAnsi="Times New Roman" w:cs="Times New Roman"/>
          <w:sz w:val="24"/>
        </w:rPr>
      </w:r>
      <w:r w:rsidR="00F46E83">
        <w:rPr>
          <w:rFonts w:ascii="Times New Roman" w:hAnsi="Times New Roman" w:cs="Times New Roman"/>
          <w:sz w:val="24"/>
        </w:rPr>
        <w:fldChar w:fldCharType="separate"/>
      </w:r>
      <w:r w:rsidR="00ED618C">
        <w:rPr>
          <w:rFonts w:ascii="Times New Roman" w:hAnsi="Times New Roman" w:cs="Times New Roman"/>
          <w:sz w:val="24"/>
        </w:rPr>
        <w:t>2</w:t>
      </w:r>
      <w:r w:rsidR="00F46E8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p>
    <w:p w:rsidR="003E5CB0" w:rsidRPr="00A91AF4" w:rsidRDefault="003E5CB0" w:rsidP="003E5CB0">
      <w:pPr>
        <w:jc w:val="both"/>
        <w:rPr>
          <w:rFonts w:ascii="Times New Roman" w:hAnsi="Times New Roman" w:cs="Times New Roman"/>
          <w:sz w:val="24"/>
        </w:rPr>
      </w:pPr>
      <w:r w:rsidRPr="00A91AF4">
        <w:rPr>
          <w:rFonts w:ascii="Times New Roman" w:hAnsi="Times New Roman" w:cs="Times New Roman"/>
          <w:sz w:val="24"/>
        </w:rPr>
        <w:t>Dapsone is an antibiotic that has anti-inflammatory and immunomodulatory effects, and it is often used in the treatment of many different skin diseases, including those caused by autoimmune blistering conditions. Dapsone has been found to be beneficial in treating many diseases; however, its use is associated with a number of potential side effects, including hematological toxicity. Hemolytic anemia is a recognized but infrequent complication of dapsone therapy that can occur in patients with normal G6PD levels. The risk of developing hemolysis due to dapsone increases with the dose of medication used and can be increased in patients with illnesses leading to hemolytic anemias, extended use of dapsone, and lack of monitoring of blood levels during treatment</w:t>
      </w:r>
      <w:r w:rsidR="00ED618C">
        <w:rPr>
          <w:rFonts w:ascii="Times New Roman" w:hAnsi="Times New Roman" w:cs="Times New Roman"/>
          <w:sz w:val="24"/>
        </w:rPr>
        <w:t xml:space="preserve"> [</w:t>
      </w:r>
      <w:r w:rsidR="00F46E83">
        <w:rPr>
          <w:rFonts w:ascii="Times New Roman" w:hAnsi="Times New Roman" w:cs="Times New Roman"/>
          <w:sz w:val="24"/>
        </w:rPr>
        <w:fldChar w:fldCharType="begin"/>
      </w:r>
      <w:r w:rsidR="00ED618C">
        <w:rPr>
          <w:rFonts w:ascii="Times New Roman" w:hAnsi="Times New Roman" w:cs="Times New Roman"/>
          <w:sz w:val="24"/>
        </w:rPr>
        <w:instrText xml:space="preserve"> REF _Ref220504799 \r \h </w:instrText>
      </w:r>
      <w:r w:rsidR="00F46E83">
        <w:rPr>
          <w:rFonts w:ascii="Times New Roman" w:hAnsi="Times New Roman" w:cs="Times New Roman"/>
          <w:sz w:val="24"/>
        </w:rPr>
      </w:r>
      <w:r w:rsidR="00F46E83">
        <w:rPr>
          <w:rFonts w:ascii="Times New Roman" w:hAnsi="Times New Roman" w:cs="Times New Roman"/>
          <w:sz w:val="24"/>
        </w:rPr>
        <w:fldChar w:fldCharType="separate"/>
      </w:r>
      <w:r w:rsidR="00ED618C">
        <w:rPr>
          <w:rFonts w:ascii="Times New Roman" w:hAnsi="Times New Roman" w:cs="Times New Roman"/>
          <w:sz w:val="24"/>
        </w:rPr>
        <w:t>3</w:t>
      </w:r>
      <w:r w:rsidR="00F46E8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r w:rsidR="001715E8">
        <w:rPr>
          <w:rFonts w:ascii="Times New Roman" w:hAnsi="Times New Roman" w:cs="Times New Roman"/>
          <w:sz w:val="24"/>
        </w:rPr>
        <w:t xml:space="preserve"> </w:t>
      </w:r>
      <w:r w:rsidRPr="00A91AF4">
        <w:rPr>
          <w:rFonts w:ascii="Times New Roman" w:hAnsi="Times New Roman" w:cs="Times New Roman"/>
          <w:sz w:val="24"/>
        </w:rPr>
        <w:t xml:space="preserve">Dapsone causes hemolytic anemia through oxidative damage of erythrocytes by its hydroxylamine compounds, which increases destruction of red blood cells. Symptoms that patients may experience as a result of this condition can range from mild fatigue to severe anemia with associated dyspnea and possible cardiovascular distress; many </w:t>
      </w:r>
      <w:proofErr w:type="gramStart"/>
      <w:r w:rsidRPr="00A91AF4">
        <w:rPr>
          <w:rFonts w:ascii="Times New Roman" w:hAnsi="Times New Roman" w:cs="Times New Roman"/>
          <w:sz w:val="24"/>
        </w:rPr>
        <w:t>times</w:t>
      </w:r>
      <w:proofErr w:type="gramEnd"/>
      <w:r w:rsidRPr="00A91AF4">
        <w:rPr>
          <w:rFonts w:ascii="Times New Roman" w:hAnsi="Times New Roman" w:cs="Times New Roman"/>
          <w:sz w:val="24"/>
        </w:rPr>
        <w:t xml:space="preserve"> these symptoms may be difficult to recognize at first because they are nonspecific. Identifying dapsone-induced hemolytic anemia and stopping dapsone treatment as early as possible is necessary to decrease morbidity and improve patient outcomes</w:t>
      </w:r>
      <w:r w:rsidR="00ED618C">
        <w:rPr>
          <w:rFonts w:ascii="Times New Roman" w:hAnsi="Times New Roman" w:cs="Times New Roman"/>
          <w:sz w:val="24"/>
        </w:rPr>
        <w:t xml:space="preserve"> [</w:t>
      </w:r>
      <w:r w:rsidR="00F46E83">
        <w:rPr>
          <w:rFonts w:ascii="Times New Roman" w:hAnsi="Times New Roman" w:cs="Times New Roman"/>
          <w:sz w:val="24"/>
        </w:rPr>
        <w:fldChar w:fldCharType="begin"/>
      </w:r>
      <w:r w:rsidR="00ED618C">
        <w:rPr>
          <w:rFonts w:ascii="Times New Roman" w:hAnsi="Times New Roman" w:cs="Times New Roman"/>
          <w:sz w:val="24"/>
        </w:rPr>
        <w:instrText xml:space="preserve"> REF _Ref220504806 \r \h </w:instrText>
      </w:r>
      <w:r w:rsidR="00F46E83">
        <w:rPr>
          <w:rFonts w:ascii="Times New Roman" w:hAnsi="Times New Roman" w:cs="Times New Roman"/>
          <w:sz w:val="24"/>
        </w:rPr>
      </w:r>
      <w:r w:rsidR="00F46E83">
        <w:rPr>
          <w:rFonts w:ascii="Times New Roman" w:hAnsi="Times New Roman" w:cs="Times New Roman"/>
          <w:sz w:val="24"/>
        </w:rPr>
        <w:fldChar w:fldCharType="separate"/>
      </w:r>
      <w:r w:rsidR="00ED618C">
        <w:rPr>
          <w:rFonts w:ascii="Times New Roman" w:hAnsi="Times New Roman" w:cs="Times New Roman"/>
          <w:sz w:val="24"/>
        </w:rPr>
        <w:t>4</w:t>
      </w:r>
      <w:r w:rsidR="00F46E83">
        <w:rPr>
          <w:rFonts w:ascii="Times New Roman" w:hAnsi="Times New Roman" w:cs="Times New Roman"/>
          <w:sz w:val="24"/>
        </w:rPr>
        <w:fldChar w:fldCharType="end"/>
      </w:r>
      <w:r w:rsidR="008037B0">
        <w:rPr>
          <w:rFonts w:ascii="Times New Roman" w:hAnsi="Times New Roman" w:cs="Times New Roman"/>
          <w:sz w:val="24"/>
        </w:rPr>
        <w:t>]</w:t>
      </w:r>
      <w:r w:rsidRPr="00A91AF4">
        <w:rPr>
          <w:rFonts w:ascii="Times New Roman" w:hAnsi="Times New Roman" w:cs="Times New Roman"/>
          <w:sz w:val="24"/>
        </w:rPr>
        <w:t>.</w:t>
      </w:r>
    </w:p>
    <w:p w:rsidR="001715E8" w:rsidRPr="001E4DA7" w:rsidRDefault="003E5CB0" w:rsidP="008037B0">
      <w:pPr>
        <w:jc w:val="both"/>
        <w:rPr>
          <w:rFonts w:ascii="Times New Roman" w:hAnsi="Times New Roman" w:cs="Times New Roman"/>
          <w:sz w:val="24"/>
        </w:rPr>
      </w:pPr>
      <w:r w:rsidRPr="00A91AF4">
        <w:rPr>
          <w:rFonts w:ascii="Times New Roman" w:hAnsi="Times New Roman" w:cs="Times New Roman"/>
          <w:sz w:val="24"/>
        </w:rPr>
        <w:t>Dapsone-induced hemolytic anemia has been documented in the literature; however, the occurrence of it in people with pemphigus foliaceus is still relatively rare, and may even go unrecognized in day-to-day clinical practice. The following case report will provide you with the experience of a patient who had a long history of pemphigus foliaceus and then developed dapsone-induced hemolytic anemia, therefore emphasizing the need for careful hematological surveillance when using dapsone in a patient who is deemed at high risk</w:t>
      </w:r>
      <w:r w:rsidR="001E4DA7">
        <w:rPr>
          <w:rFonts w:ascii="Times New Roman" w:hAnsi="Times New Roman" w:cs="Times New Roman"/>
          <w:sz w:val="24"/>
        </w:rPr>
        <w:t xml:space="preserve"> [</w:t>
      </w:r>
      <w:r w:rsidR="001E4DA7">
        <w:rPr>
          <w:rFonts w:ascii="Times New Roman" w:hAnsi="Times New Roman" w:cs="Times New Roman"/>
          <w:sz w:val="24"/>
        </w:rPr>
        <w:fldChar w:fldCharType="begin"/>
      </w:r>
      <w:r w:rsidR="001E4DA7">
        <w:rPr>
          <w:rFonts w:ascii="Times New Roman" w:hAnsi="Times New Roman" w:cs="Times New Roman"/>
          <w:sz w:val="24"/>
        </w:rPr>
        <w:instrText xml:space="preserve"> REF _Ref220504828 \r \h </w:instrText>
      </w:r>
      <w:r w:rsidR="001E4DA7">
        <w:rPr>
          <w:rFonts w:ascii="Times New Roman" w:hAnsi="Times New Roman" w:cs="Times New Roman"/>
          <w:sz w:val="24"/>
        </w:rPr>
      </w:r>
      <w:r w:rsidR="001E4DA7">
        <w:rPr>
          <w:rFonts w:ascii="Times New Roman" w:hAnsi="Times New Roman" w:cs="Times New Roman"/>
          <w:sz w:val="24"/>
        </w:rPr>
        <w:fldChar w:fldCharType="separate"/>
      </w:r>
      <w:r w:rsidR="001E4DA7">
        <w:rPr>
          <w:rFonts w:ascii="Times New Roman" w:hAnsi="Times New Roman" w:cs="Times New Roman"/>
          <w:sz w:val="24"/>
        </w:rPr>
        <w:t>6</w:t>
      </w:r>
      <w:r w:rsidR="001E4DA7">
        <w:rPr>
          <w:rFonts w:ascii="Times New Roman" w:hAnsi="Times New Roman" w:cs="Times New Roman"/>
          <w:sz w:val="24"/>
        </w:rPr>
        <w:fldChar w:fldCharType="end"/>
      </w:r>
      <w:r w:rsidR="001E4DA7">
        <w:rPr>
          <w:rFonts w:ascii="Times New Roman" w:hAnsi="Times New Roman" w:cs="Times New Roman"/>
          <w:sz w:val="24"/>
        </w:rPr>
        <w:t>,</w:t>
      </w:r>
      <w:r w:rsidR="001E4DA7">
        <w:rPr>
          <w:rFonts w:ascii="Times New Roman" w:hAnsi="Times New Roman" w:cs="Times New Roman"/>
          <w:sz w:val="24"/>
        </w:rPr>
        <w:fldChar w:fldCharType="begin"/>
      </w:r>
      <w:r w:rsidR="001E4DA7">
        <w:rPr>
          <w:rFonts w:ascii="Times New Roman" w:hAnsi="Times New Roman" w:cs="Times New Roman"/>
          <w:sz w:val="24"/>
        </w:rPr>
        <w:instrText xml:space="preserve"> REF _Ref220504834 \r \h </w:instrText>
      </w:r>
      <w:r w:rsidR="001E4DA7">
        <w:rPr>
          <w:rFonts w:ascii="Times New Roman" w:hAnsi="Times New Roman" w:cs="Times New Roman"/>
          <w:sz w:val="24"/>
        </w:rPr>
      </w:r>
      <w:r w:rsidR="001E4DA7">
        <w:rPr>
          <w:rFonts w:ascii="Times New Roman" w:hAnsi="Times New Roman" w:cs="Times New Roman"/>
          <w:sz w:val="24"/>
        </w:rPr>
        <w:fldChar w:fldCharType="separate"/>
      </w:r>
      <w:r w:rsidR="001E4DA7">
        <w:rPr>
          <w:rFonts w:ascii="Times New Roman" w:hAnsi="Times New Roman" w:cs="Times New Roman"/>
          <w:sz w:val="24"/>
        </w:rPr>
        <w:t>7</w:t>
      </w:r>
      <w:r w:rsidR="001E4DA7">
        <w:rPr>
          <w:rFonts w:ascii="Times New Roman" w:hAnsi="Times New Roman" w:cs="Times New Roman"/>
          <w:sz w:val="24"/>
        </w:rPr>
        <w:fldChar w:fldCharType="end"/>
      </w:r>
      <w:r w:rsidR="000F3958">
        <w:rPr>
          <w:rFonts w:ascii="Times New Roman" w:hAnsi="Times New Roman" w:cs="Times New Roman"/>
          <w:sz w:val="24"/>
        </w:rPr>
        <w:t>]</w:t>
      </w:r>
      <w:r w:rsidRPr="00A91AF4">
        <w:rPr>
          <w:rFonts w:ascii="Times New Roman" w:hAnsi="Times New Roman" w:cs="Times New Roman"/>
          <w:sz w:val="24"/>
        </w:rPr>
        <w:t>.</w:t>
      </w:r>
      <w:r w:rsidR="001E4DA7">
        <w:rPr>
          <w:rFonts w:ascii="Times New Roman" w:hAnsi="Times New Roman" w:cs="Times New Roman"/>
          <w:sz w:val="24"/>
        </w:rPr>
        <w:t xml:space="preserve"> </w:t>
      </w:r>
      <w:r w:rsidR="001715E8" w:rsidRPr="001715E8">
        <w:rPr>
          <w:rFonts w:ascii="Times New Roman" w:hAnsi="Times New Roman" w:cs="Times New Roman"/>
          <w:sz w:val="24"/>
        </w:rPr>
        <w:t>This case report highlights a rare but potentially life-threatening adverse drug reaction associated with dapsone therapy in a patient with pemphigus foliaceus. It emphasizes the need for vigilant hematological monitoring even in patients without known risk factors. The report also reinforces the utility of structured causality assessment tools such as the Naranjo scale in clinical practice. Overall, this manuscript contributes to improved pharmacovigilance awareness and safer use of dapsone in dermatological and autoimmune conditions.</w:t>
      </w:r>
    </w:p>
    <w:p w:rsidR="00116859" w:rsidRPr="008037B0" w:rsidRDefault="000D2C73" w:rsidP="008037B0">
      <w:pPr>
        <w:pStyle w:val="vineela"/>
        <w:rPr>
          <w:b/>
        </w:rPr>
      </w:pPr>
      <w:r w:rsidRPr="008037B0">
        <w:rPr>
          <w:b/>
        </w:rPr>
        <w:t>Case Presentation</w:t>
      </w:r>
    </w:p>
    <w:p w:rsidR="000D2C73" w:rsidRPr="008037B0" w:rsidRDefault="000D2C73" w:rsidP="008037B0">
      <w:pPr>
        <w:pStyle w:val="vineela"/>
      </w:pPr>
      <w:r w:rsidRPr="008037B0">
        <w:rPr>
          <w:rStyle w:val="diff-highlight"/>
          <w:szCs w:val="24"/>
        </w:rPr>
        <w:t>The patient was a</w:t>
      </w:r>
      <w:r w:rsidRPr="008037B0">
        <w:t xml:space="preserve"> 34-year-old female </w:t>
      </w:r>
      <w:r w:rsidRPr="008037B0">
        <w:rPr>
          <w:rStyle w:val="diff-highlight"/>
          <w:szCs w:val="24"/>
        </w:rPr>
        <w:t>with a known history of</w:t>
      </w:r>
      <w:r w:rsidRPr="008037B0">
        <w:t xml:space="preserve"> hypothyroidism </w:t>
      </w:r>
      <w:r w:rsidR="00C711BA" w:rsidRPr="008037B0">
        <w:t>for</w:t>
      </w:r>
      <w:r w:rsidRPr="008037B0">
        <w:t xml:space="preserve"> </w:t>
      </w:r>
      <w:r w:rsidRPr="00C20E6F">
        <w:t>10</w:t>
      </w:r>
      <w:r w:rsidRPr="008037B0">
        <w:t xml:space="preserve"> years</w:t>
      </w:r>
      <w:r w:rsidRPr="008037B0">
        <w:rPr>
          <w:rStyle w:val="diff-highlight"/>
          <w:szCs w:val="24"/>
        </w:rPr>
        <w:t xml:space="preserve"> and pemphigus foliaceous </w:t>
      </w:r>
      <w:r w:rsidR="00C711BA" w:rsidRPr="008037B0">
        <w:rPr>
          <w:rStyle w:val="diff-highlight"/>
          <w:szCs w:val="24"/>
        </w:rPr>
        <w:t>for</w:t>
      </w:r>
      <w:r w:rsidRPr="008037B0">
        <w:rPr>
          <w:rStyle w:val="diff-highlight"/>
          <w:szCs w:val="24"/>
        </w:rPr>
        <w:t xml:space="preserve"> 7 years</w:t>
      </w:r>
      <w:r w:rsidR="00C711BA" w:rsidRPr="008037B0">
        <w:rPr>
          <w:rStyle w:val="diff-highlight"/>
          <w:szCs w:val="24"/>
        </w:rPr>
        <w:t>.</w:t>
      </w:r>
      <w:r w:rsidR="009A777B" w:rsidRPr="009A777B">
        <w:t xml:space="preserve"> </w:t>
      </w:r>
      <w:r w:rsidR="009A777B">
        <w:t>The patient was previously in her usual state of health until 15 days prior to presentation</w:t>
      </w:r>
      <w:r w:rsidR="00C711BA" w:rsidRPr="008037B0">
        <w:rPr>
          <w:rStyle w:val="diff-highlight"/>
          <w:szCs w:val="24"/>
        </w:rPr>
        <w:t xml:space="preserve">. Then the patient developed fever, chills, backpain, cough associated with whitish </w:t>
      </w:r>
      <w:proofErr w:type="gramStart"/>
      <w:r w:rsidR="00C711BA" w:rsidRPr="008037B0">
        <w:rPr>
          <w:rStyle w:val="diff-highlight"/>
          <w:szCs w:val="24"/>
        </w:rPr>
        <w:t>non foul</w:t>
      </w:r>
      <w:proofErr w:type="gramEnd"/>
      <w:r w:rsidR="00C711BA" w:rsidRPr="008037B0">
        <w:rPr>
          <w:rStyle w:val="diff-highlight"/>
          <w:szCs w:val="24"/>
        </w:rPr>
        <w:t xml:space="preserve"> sputum, </w:t>
      </w:r>
      <w:r w:rsidR="00C711BA" w:rsidRPr="008037B0">
        <w:t xml:space="preserve">shortness of breath in the last 15 days, </w:t>
      </w:r>
      <w:r w:rsidR="00442ADA" w:rsidRPr="008037B0">
        <w:t>burning</w:t>
      </w:r>
      <w:r w:rsidR="00C711BA" w:rsidRPr="008037B0">
        <w:t xml:space="preserve"> micturition for</w:t>
      </w:r>
      <w:r w:rsidR="008143E4" w:rsidRPr="008037B0">
        <w:t xml:space="preserve"> a </w:t>
      </w:r>
      <w:r w:rsidR="00442ADA" w:rsidRPr="008037B0">
        <w:t xml:space="preserve">week, </w:t>
      </w:r>
      <w:r w:rsidR="00C711BA" w:rsidRPr="008037B0">
        <w:rPr>
          <w:rStyle w:val="diff-highlight"/>
          <w:szCs w:val="24"/>
        </w:rPr>
        <w:t>parotid swelling</w:t>
      </w:r>
      <w:r w:rsidR="00BB13F0">
        <w:rPr>
          <w:rStyle w:val="diff-highlight"/>
          <w:szCs w:val="24"/>
        </w:rPr>
        <w:t xml:space="preserve"> </w:t>
      </w:r>
      <w:r w:rsidR="006165B2" w:rsidRPr="008037B0">
        <w:rPr>
          <w:rStyle w:val="diff-highlight"/>
          <w:szCs w:val="24"/>
        </w:rPr>
        <w:t>&amp;</w:t>
      </w:r>
      <w:r w:rsidR="00BB13F0">
        <w:rPr>
          <w:rStyle w:val="diff-highlight"/>
          <w:szCs w:val="24"/>
        </w:rPr>
        <w:t xml:space="preserve"> </w:t>
      </w:r>
      <w:r w:rsidR="006165B2" w:rsidRPr="008037B0">
        <w:rPr>
          <w:rStyle w:val="diff-highlight"/>
          <w:szCs w:val="24"/>
        </w:rPr>
        <w:t>vomiting associated with food particles</w:t>
      </w:r>
      <w:r w:rsidR="00C711BA" w:rsidRPr="008037B0">
        <w:rPr>
          <w:rStyle w:val="diff-highlight"/>
          <w:szCs w:val="24"/>
        </w:rPr>
        <w:t xml:space="preserve"> in the last 4 days</w:t>
      </w:r>
      <w:r w:rsidR="006165B2" w:rsidRPr="008037B0">
        <w:rPr>
          <w:rStyle w:val="diff-highlight"/>
          <w:szCs w:val="24"/>
        </w:rPr>
        <w:t>,</w:t>
      </w:r>
      <w:r w:rsidR="00442ADA" w:rsidRPr="008037B0">
        <w:rPr>
          <w:rStyle w:val="diff-highlight"/>
          <w:szCs w:val="24"/>
        </w:rPr>
        <w:t xml:space="preserve"> last fever spike which is observed 3 days back,</w:t>
      </w:r>
      <w:r w:rsidR="006165B2" w:rsidRPr="008037B0">
        <w:rPr>
          <w:rStyle w:val="diff-highlight"/>
          <w:szCs w:val="24"/>
        </w:rPr>
        <w:t xml:space="preserve"> chest pain with palpitations 2 days back</w:t>
      </w:r>
      <w:r w:rsidR="00BB13F0">
        <w:rPr>
          <w:rStyle w:val="diff-highlight"/>
          <w:szCs w:val="24"/>
        </w:rPr>
        <w:t xml:space="preserve"> </w:t>
      </w:r>
      <w:r w:rsidR="00130F18" w:rsidRPr="008037B0">
        <w:rPr>
          <w:rStyle w:val="diff-highlight"/>
          <w:szCs w:val="24"/>
        </w:rPr>
        <w:t>which</w:t>
      </w:r>
      <w:r w:rsidR="00130F18" w:rsidRPr="008037B0">
        <w:t xml:space="preserve"> developed after </w:t>
      </w:r>
      <w:r w:rsidR="00130F18" w:rsidRPr="008037B0">
        <w:rPr>
          <w:rStyle w:val="diff-highlight"/>
          <w:szCs w:val="24"/>
        </w:rPr>
        <w:t xml:space="preserve">taking </w:t>
      </w:r>
      <w:r w:rsidR="00442ADA" w:rsidRPr="008037B0">
        <w:rPr>
          <w:rStyle w:val="diff-highlight"/>
          <w:szCs w:val="24"/>
        </w:rPr>
        <w:t>dapsone</w:t>
      </w:r>
      <w:r w:rsidR="00130F18" w:rsidRPr="008037B0">
        <w:t>.</w:t>
      </w:r>
      <w:r w:rsidR="00BB13F0">
        <w:t xml:space="preserve"> </w:t>
      </w:r>
      <w:r w:rsidRPr="008037B0">
        <w:t xml:space="preserve">The patient had been receiving </w:t>
      </w:r>
      <w:r w:rsidR="006165B2" w:rsidRPr="008037B0">
        <w:t>dapson</w:t>
      </w:r>
      <w:r w:rsidR="008037B0">
        <w:t xml:space="preserve">e </w:t>
      </w:r>
      <w:r w:rsidRPr="008037B0">
        <w:rPr>
          <w:rStyle w:val="Strong"/>
          <w:b w:val="0"/>
          <w:bCs w:val="0"/>
          <w:szCs w:val="24"/>
        </w:rPr>
        <w:t>10</w:t>
      </w:r>
      <w:r w:rsidR="00C20E6F">
        <w:rPr>
          <w:rStyle w:val="Strong"/>
          <w:b w:val="0"/>
          <w:bCs w:val="0"/>
          <w:szCs w:val="24"/>
        </w:rPr>
        <w:t>0</w:t>
      </w:r>
      <w:r w:rsidRPr="008037B0">
        <w:rPr>
          <w:rStyle w:val="Strong"/>
          <w:b w:val="0"/>
          <w:bCs w:val="0"/>
          <w:szCs w:val="24"/>
        </w:rPr>
        <w:t xml:space="preserve"> mg in a </w:t>
      </w:r>
      <w:r w:rsidR="006165B2" w:rsidRPr="008037B0">
        <w:rPr>
          <w:rStyle w:val="Strong"/>
          <w:b w:val="0"/>
          <w:bCs w:val="0"/>
          <w:szCs w:val="24"/>
        </w:rPr>
        <w:t>0</w:t>
      </w:r>
      <w:r w:rsidRPr="008037B0">
        <w:rPr>
          <w:rStyle w:val="Strong"/>
          <w:b w:val="0"/>
          <w:bCs w:val="0"/>
          <w:szCs w:val="24"/>
        </w:rPr>
        <w:t>-</w:t>
      </w:r>
      <w:r w:rsidR="006165B2" w:rsidRPr="008037B0">
        <w:rPr>
          <w:rStyle w:val="Strong"/>
          <w:b w:val="0"/>
          <w:bCs w:val="0"/>
          <w:szCs w:val="24"/>
        </w:rPr>
        <w:t>0</w:t>
      </w:r>
      <w:r w:rsidRPr="008037B0">
        <w:rPr>
          <w:rStyle w:val="Strong"/>
          <w:b w:val="0"/>
          <w:bCs w:val="0"/>
          <w:szCs w:val="24"/>
        </w:rPr>
        <w:t>-</w:t>
      </w:r>
      <w:r w:rsidR="006165B2" w:rsidRPr="008037B0">
        <w:rPr>
          <w:rStyle w:val="Strong"/>
          <w:b w:val="0"/>
          <w:bCs w:val="0"/>
          <w:szCs w:val="24"/>
        </w:rPr>
        <w:t>1</w:t>
      </w:r>
      <w:r w:rsidRPr="008037B0">
        <w:rPr>
          <w:rStyle w:val="Strong"/>
          <w:b w:val="0"/>
          <w:bCs w:val="0"/>
          <w:szCs w:val="24"/>
        </w:rPr>
        <w:t xml:space="preserve"> daily dosing schedule (total daily dose: </w:t>
      </w:r>
      <w:r w:rsidR="006165B2" w:rsidRPr="008037B0">
        <w:rPr>
          <w:rStyle w:val="Strong"/>
          <w:b w:val="0"/>
          <w:bCs w:val="0"/>
          <w:szCs w:val="24"/>
        </w:rPr>
        <w:t>1</w:t>
      </w:r>
      <w:r w:rsidRPr="008037B0">
        <w:rPr>
          <w:rStyle w:val="Strong"/>
          <w:b w:val="0"/>
          <w:bCs w:val="0"/>
          <w:szCs w:val="24"/>
        </w:rPr>
        <w:t>0</w:t>
      </w:r>
      <w:r w:rsidR="00C20E6F">
        <w:rPr>
          <w:rStyle w:val="Strong"/>
          <w:b w:val="0"/>
          <w:bCs w:val="0"/>
          <w:szCs w:val="24"/>
        </w:rPr>
        <w:t>0</w:t>
      </w:r>
      <w:r w:rsidRPr="008037B0">
        <w:rPr>
          <w:rStyle w:val="Strong"/>
          <w:b w:val="0"/>
          <w:bCs w:val="0"/>
          <w:szCs w:val="24"/>
        </w:rPr>
        <w:t xml:space="preserve"> mg)</w:t>
      </w:r>
      <w:r w:rsidRPr="008037B0">
        <w:t xml:space="preserve"> for the management </w:t>
      </w:r>
      <w:r w:rsidR="00130F18" w:rsidRPr="008037B0">
        <w:rPr>
          <w:rStyle w:val="diff-highlight"/>
          <w:szCs w:val="24"/>
        </w:rPr>
        <w:t>pemphigus foliaceous for 7 years</w:t>
      </w:r>
      <w:r w:rsidRPr="008037B0">
        <w:t xml:space="preserve">. </w:t>
      </w:r>
      <w:r w:rsidR="00BB13F0">
        <w:t xml:space="preserve">At the time of presentation, the patient was receiving dapsone 100 mg/day and levothyroxine for hypothyroidism. She was not on any other long-term </w:t>
      </w:r>
      <w:r w:rsidR="00BB13F0">
        <w:lastRenderedPageBreak/>
        <w:t>medications. During hospitalization, she received intravenous antibiotics and systemic corticosteroids. No exposure to other hemolysis-inducing drugs or toxins was identified.</w:t>
      </w:r>
      <w:r w:rsidRPr="008037B0">
        <w:rPr>
          <w:rStyle w:val="diff-highlight"/>
          <w:szCs w:val="24"/>
        </w:rPr>
        <w:t xml:space="preserve"> </w:t>
      </w:r>
      <w:r w:rsidRPr="008037B0">
        <w:t>On</w:t>
      </w:r>
      <w:r w:rsidRPr="008037B0">
        <w:rPr>
          <w:rStyle w:val="diff-highlight"/>
          <w:szCs w:val="24"/>
        </w:rPr>
        <w:t xml:space="preserve"> physical</w:t>
      </w:r>
      <w:r w:rsidRPr="008037B0">
        <w:t xml:space="preserve"> examination, the patient </w:t>
      </w:r>
      <w:r w:rsidRPr="008037B0">
        <w:rPr>
          <w:rStyle w:val="diff-highlight"/>
          <w:szCs w:val="24"/>
        </w:rPr>
        <w:t>was very</w:t>
      </w:r>
      <w:r w:rsidRPr="008037B0">
        <w:t xml:space="preserve"> ill. </w:t>
      </w:r>
      <w:r w:rsidRPr="008037B0">
        <w:rPr>
          <w:rStyle w:val="diff-highlight"/>
          <w:szCs w:val="24"/>
        </w:rPr>
        <w:t>H</w:t>
      </w:r>
      <w:r w:rsidR="00442ADA" w:rsidRPr="008037B0">
        <w:rPr>
          <w:rStyle w:val="diff-highlight"/>
          <w:szCs w:val="24"/>
        </w:rPr>
        <w:t>er</w:t>
      </w:r>
      <w:r w:rsidRPr="008037B0">
        <w:rPr>
          <w:rStyle w:val="diff-highlight"/>
          <w:szCs w:val="24"/>
        </w:rPr>
        <w:t xml:space="preserve"> vital signs </w:t>
      </w:r>
      <w:r w:rsidR="008143E4" w:rsidRPr="008037B0">
        <w:rPr>
          <w:rStyle w:val="diff-highlight"/>
          <w:szCs w:val="24"/>
        </w:rPr>
        <w:t>were</w:t>
      </w:r>
      <w:r w:rsidRPr="008037B0">
        <w:rPr>
          <w:rStyle w:val="diff-highlight"/>
          <w:szCs w:val="24"/>
        </w:rPr>
        <w:t xml:space="preserve"> showed </w:t>
      </w:r>
      <w:r w:rsidRPr="008037B0">
        <w:t xml:space="preserve">a temperature of 98.6°F, pulse rate of 86 </w:t>
      </w:r>
      <w:r w:rsidRPr="008037B0">
        <w:rPr>
          <w:rStyle w:val="diff-highlight"/>
          <w:szCs w:val="24"/>
        </w:rPr>
        <w:t>beats per minute</w:t>
      </w:r>
      <w:r w:rsidRPr="008037B0">
        <w:t>, blood pressure of 1</w:t>
      </w:r>
      <w:r w:rsidR="00442ADA" w:rsidRPr="008037B0">
        <w:t>1</w:t>
      </w:r>
      <w:r w:rsidRPr="008037B0">
        <w:t>0/</w:t>
      </w:r>
      <w:r w:rsidR="00442ADA" w:rsidRPr="008037B0">
        <w:t>7</w:t>
      </w:r>
      <w:r w:rsidRPr="008037B0">
        <w:t>0 mmHg,</w:t>
      </w:r>
      <w:r w:rsidRPr="008037B0">
        <w:rPr>
          <w:rStyle w:val="diff-highlight"/>
          <w:szCs w:val="24"/>
        </w:rPr>
        <w:t xml:space="preserve"> and</w:t>
      </w:r>
      <w:r w:rsidRPr="008037B0">
        <w:t xml:space="preserve"> respiratory rate of 1</w:t>
      </w:r>
      <w:r w:rsidR="00442ADA" w:rsidRPr="008037B0">
        <w:t>7</w:t>
      </w:r>
      <w:r w:rsidRPr="008037B0">
        <w:t xml:space="preserve"> breaths</w:t>
      </w:r>
      <w:r w:rsidRPr="008037B0">
        <w:rPr>
          <w:rStyle w:val="diff-highlight"/>
          <w:szCs w:val="24"/>
        </w:rPr>
        <w:t xml:space="preserve"> per minute</w:t>
      </w:r>
      <w:r w:rsidRPr="008037B0">
        <w:t>.</w:t>
      </w:r>
      <w:r w:rsidR="008143E4" w:rsidRPr="008037B0">
        <w:t xml:space="preserve"> All are normal in systemic examination. The detection of </w:t>
      </w:r>
      <w:r w:rsidR="008143E4" w:rsidRPr="008037B0">
        <w:rPr>
          <w:rStyle w:val="Strong"/>
          <w:b w:val="0"/>
          <w:bCs w:val="0"/>
          <w:szCs w:val="24"/>
        </w:rPr>
        <w:t>cervical</w:t>
      </w:r>
      <w:r w:rsidRPr="008037B0">
        <w:rPr>
          <w:rStyle w:val="Strong"/>
          <w:b w:val="0"/>
          <w:bCs w:val="0"/>
          <w:szCs w:val="24"/>
        </w:rPr>
        <w:t xml:space="preserve"> lymphadenopathy</w:t>
      </w:r>
      <w:r w:rsidR="008143E4" w:rsidRPr="008037B0">
        <w:rPr>
          <w:rStyle w:val="Strong"/>
          <w:b w:val="0"/>
          <w:bCs w:val="0"/>
          <w:szCs w:val="24"/>
        </w:rPr>
        <w:t>, hyperpigmentation</w:t>
      </w:r>
      <w:r w:rsidR="009A777B">
        <w:rPr>
          <w:rStyle w:val="Strong"/>
          <w:b w:val="0"/>
          <w:bCs w:val="0"/>
          <w:szCs w:val="24"/>
        </w:rPr>
        <w:t xml:space="preserve"> </w:t>
      </w:r>
      <w:r w:rsidRPr="008037B0">
        <w:rPr>
          <w:rStyle w:val="Strong"/>
          <w:b w:val="0"/>
          <w:bCs w:val="0"/>
          <w:szCs w:val="24"/>
        </w:rPr>
        <w:t>was</w:t>
      </w:r>
      <w:r w:rsidR="009A777B">
        <w:rPr>
          <w:rStyle w:val="Strong"/>
          <w:b w:val="0"/>
          <w:bCs w:val="0"/>
          <w:szCs w:val="24"/>
        </w:rPr>
        <w:t xml:space="preserve"> </w:t>
      </w:r>
      <w:r w:rsidR="008143E4" w:rsidRPr="008037B0">
        <w:rPr>
          <w:rStyle w:val="Strong"/>
          <w:b w:val="0"/>
          <w:bCs w:val="0"/>
          <w:szCs w:val="24"/>
        </w:rPr>
        <w:t>observed</w:t>
      </w:r>
      <w:r w:rsidRPr="008037B0">
        <w:rPr>
          <w:rStyle w:val="Strong"/>
          <w:b w:val="0"/>
          <w:bCs w:val="0"/>
          <w:szCs w:val="24"/>
        </w:rPr>
        <w:t xml:space="preserve"> on physical examination</w:t>
      </w:r>
      <w:r w:rsidRPr="008037B0">
        <w:t xml:space="preserve">, </w:t>
      </w:r>
      <w:proofErr w:type="spellStart"/>
      <w:r w:rsidRPr="008037B0">
        <w:t>while</w:t>
      </w:r>
      <w:r w:rsidRPr="008037B0">
        <w:rPr>
          <w:rStyle w:val="Strong"/>
          <w:b w:val="0"/>
          <w:bCs w:val="0"/>
          <w:szCs w:val="24"/>
        </w:rPr>
        <w:t>abdominal</w:t>
      </w:r>
      <w:proofErr w:type="spellEnd"/>
      <w:r w:rsidRPr="008037B0">
        <w:rPr>
          <w:rStyle w:val="Strong"/>
          <w:b w:val="0"/>
          <w:bCs w:val="0"/>
          <w:szCs w:val="24"/>
        </w:rPr>
        <w:t xml:space="preserve"> ultrasonography revealed splenomegaly</w:t>
      </w:r>
      <w:r w:rsidR="00130F18" w:rsidRPr="008037B0">
        <w:t xml:space="preserve"> and hepatomegaly.</w:t>
      </w:r>
    </w:p>
    <w:p w:rsidR="000D2C73" w:rsidRDefault="00930A5A" w:rsidP="008037B0">
      <w:pPr>
        <w:pStyle w:val="vineela"/>
      </w:pPr>
      <w:r w:rsidRPr="00930A5A">
        <w:t xml:space="preserve">Laboratory tests showed that the patient had severe hemolytic anemia with a low hemoglobin of 4 g/dl and a markedly decreased red cell count. The reticulocyte count was also elevated to 8.0%, along with elevated lactate dehydrogenase (LDH) and indirect bilirubin, indicating that the patient had ongoing hemolysis. The direct Coombs test was positive, indicating that the patient has autoimmune hemolytic anemia. C-reactive protein (CRP) and procalcitonin (PCT) were both elevated, indicating inflammation. Liver function tests showed an elevated bilirubin level, but renal function tests and complement levels (C3 and C4) were normal. </w:t>
      </w:r>
      <w:r w:rsidR="000D2C73" w:rsidRPr="008037B0">
        <w:t>All remaining laboratory parameters were within normal reference ranges and are therefore not shown</w:t>
      </w:r>
      <w:r w:rsidR="00A92ED2" w:rsidRPr="008037B0">
        <w:t xml:space="preserve"> in </w:t>
      </w:r>
      <w:r w:rsidR="00ED618C">
        <w:t>(</w:t>
      </w:r>
      <w:hyperlink w:anchor="table1" w:history="1">
        <w:r w:rsidR="00ED618C" w:rsidRPr="00ED618C">
          <w:rPr>
            <w:rStyle w:val="Hyperlink"/>
          </w:rPr>
          <w:t>Table 1</w:t>
        </w:r>
      </w:hyperlink>
      <w:r w:rsidR="000D2C73" w:rsidRPr="008037B0">
        <w:t xml:space="preserve">). Serum </w:t>
      </w:r>
      <w:r w:rsidR="00C231D9" w:rsidRPr="008037B0">
        <w:t>dapsone</w:t>
      </w:r>
      <w:r w:rsidR="000D2C73" w:rsidRPr="008037B0">
        <w:t xml:space="preserve"> levels were not measured, as routine therapeutic drug monitoring is not recommended. The diagnosis of </w:t>
      </w:r>
      <w:r w:rsidR="00C231D9" w:rsidRPr="008037B0">
        <w:t>dapsone</w:t>
      </w:r>
      <w:r w:rsidR="000D2C73" w:rsidRPr="008037B0">
        <w:t xml:space="preserve">-induced </w:t>
      </w:r>
      <w:r w:rsidR="00C231D9" w:rsidRPr="008037B0">
        <w:t>AIHA</w:t>
      </w:r>
      <w:r w:rsidR="000D2C73" w:rsidRPr="008037B0">
        <w:t xml:space="preserve"> was established based on clinical presentation, hematological findings, and causality assessment. </w:t>
      </w:r>
      <w:r w:rsidR="00C231D9" w:rsidRPr="008037B0">
        <w:t>Dapsone</w:t>
      </w:r>
      <w:r w:rsidR="000D2C73" w:rsidRPr="008037B0">
        <w:t xml:space="preserve"> was immediately discontinued and not used </w:t>
      </w:r>
      <w:r w:rsidR="00C231D9" w:rsidRPr="008037B0">
        <w:t xml:space="preserve">for </w:t>
      </w:r>
      <w:r w:rsidR="00AA0BFA" w:rsidRPr="008037B0">
        <w:t>clinical</w:t>
      </w:r>
      <w:r w:rsidR="00C231D9" w:rsidRPr="008037B0">
        <w:t xml:space="preserve"> management</w:t>
      </w:r>
      <w:r w:rsidR="000D2C73" w:rsidRPr="008037B0">
        <w:t xml:space="preserve">, which was achieved with </w:t>
      </w:r>
      <w:r w:rsidR="00A92ED2" w:rsidRPr="008037B0">
        <w:t>antibiotics</w:t>
      </w:r>
      <w:r w:rsidR="000D2C73" w:rsidRPr="008037B0">
        <w:t xml:space="preserve"> and corticosteroids. As part of the causality investigation of the suspected ADRs, </w:t>
      </w:r>
      <w:r w:rsidR="00A92ED2" w:rsidRPr="008037B0">
        <w:t>dapsone</w:t>
      </w:r>
      <w:r w:rsidR="000D2C73" w:rsidRPr="008037B0">
        <w:t xml:space="preserve"> was assessed using the Naranjo probability score</w:t>
      </w:r>
      <w:r w:rsidR="00ED618C">
        <w:t xml:space="preserve"> (</w:t>
      </w:r>
      <w:hyperlink w:anchor="table2" w:history="1">
        <w:r w:rsidR="00ED618C" w:rsidRPr="00ED618C">
          <w:rPr>
            <w:rStyle w:val="Hyperlink"/>
          </w:rPr>
          <w:t>Table 2</w:t>
        </w:r>
      </w:hyperlink>
      <w:r w:rsidR="00ED618C">
        <w:t>).</w:t>
      </w:r>
    </w:p>
    <w:p w:rsidR="00740A45" w:rsidRDefault="00740A45" w:rsidP="008037B0">
      <w:pPr>
        <w:pStyle w:val="vineela"/>
      </w:pPr>
      <w:r w:rsidRPr="008037B0">
        <w:t xml:space="preserve">Given the relationship with dapsone initiation and no other report as other possible cause, a diagnosis of dapsone-induced AIHA was made. </w:t>
      </w:r>
      <w:r>
        <w:t xml:space="preserve">Following confirmation of severe hemolytic anemia (hemoglobin 4 g/dL), dapsone was immediately discontinued. The patient was managed with systemic corticosteroids, packed red blood cell transfusions, broad-spectrum intravenous antibiotics, and supportive care. Close hematological monitoring was undertaken, and the patient demonstrated progressive improvement in hemoglobin levels over the subsequent days. Over the subsequent days, the </w:t>
      </w:r>
      <w:proofErr w:type="spellStart"/>
      <w:r w:rsidRPr="008037B0">
        <w:t>n</w:t>
      </w:r>
      <w:r>
        <w:t>in</w:t>
      </w:r>
      <w:r w:rsidRPr="008037B0">
        <w:t>dividual</w:t>
      </w:r>
      <w:proofErr w:type="spellEnd"/>
      <w:r w:rsidRPr="008037B0">
        <w:t xml:space="preserve"> demonstrated progressive improvement in</w:t>
      </w:r>
      <w:r>
        <w:t xml:space="preserve"> </w:t>
      </w:r>
      <w:r w:rsidRPr="008037B0">
        <w:t>hemoglobin status</w:t>
      </w:r>
      <w:r>
        <w:t>. Sh</w:t>
      </w:r>
      <w:r w:rsidRPr="008037B0">
        <w:t xml:space="preserve">e was discharged in a stable condition and had received instructions for hematology follow-up and alternative treatments </w:t>
      </w:r>
      <w:proofErr w:type="spellStart"/>
      <w:r w:rsidRPr="008037B0">
        <w:t>for</w:t>
      </w:r>
      <w:r w:rsidRPr="008037B0">
        <w:rPr>
          <w:rStyle w:val="diff-highlight"/>
          <w:szCs w:val="24"/>
        </w:rPr>
        <w:t>pemphigus</w:t>
      </w:r>
      <w:proofErr w:type="spellEnd"/>
      <w:r w:rsidRPr="008037B0">
        <w:rPr>
          <w:rStyle w:val="diff-highlight"/>
          <w:szCs w:val="24"/>
        </w:rPr>
        <w:t xml:space="preserve"> foliaceous</w:t>
      </w:r>
      <w:r w:rsidRPr="008037B0">
        <w:t>.</w:t>
      </w:r>
    </w:p>
    <w:p w:rsidR="00740A45" w:rsidRPr="00740A45" w:rsidRDefault="00740A45" w:rsidP="008037B0">
      <w:pPr>
        <w:pStyle w:val="vineela"/>
        <w:rPr>
          <w:b/>
        </w:rPr>
      </w:pPr>
      <w:r w:rsidRPr="00CB0D33">
        <w:rPr>
          <w:b/>
        </w:rPr>
        <w:t>Table 1: Day-wise Laborato</w:t>
      </w:r>
      <w:r>
        <w:rPr>
          <w:b/>
        </w:rPr>
        <w:t xml:space="preserve">ry Investigations of the </w:t>
      </w:r>
      <w:proofErr w:type="spellStart"/>
      <w:r>
        <w:rPr>
          <w:b/>
        </w:rPr>
        <w:t>Patien</w:t>
      </w:r>
      <w:proofErr w:type="spellEnd"/>
    </w:p>
    <w:tbl>
      <w:tblPr>
        <w:tblStyle w:val="TableGrid"/>
        <w:tblW w:w="10456" w:type="dxa"/>
        <w:jc w:val="center"/>
        <w:tblLayout w:type="fixed"/>
        <w:tblLook w:val="04A0" w:firstRow="1" w:lastRow="0" w:firstColumn="1" w:lastColumn="0" w:noHBand="0" w:noVBand="1"/>
      </w:tblPr>
      <w:tblGrid>
        <w:gridCol w:w="2235"/>
        <w:gridCol w:w="879"/>
        <w:gridCol w:w="709"/>
        <w:gridCol w:w="708"/>
        <w:gridCol w:w="709"/>
        <w:gridCol w:w="709"/>
        <w:gridCol w:w="709"/>
        <w:gridCol w:w="708"/>
        <w:gridCol w:w="709"/>
        <w:gridCol w:w="709"/>
        <w:gridCol w:w="1672"/>
      </w:tblGrid>
      <w:tr w:rsidR="009A6579" w:rsidRPr="00CF6173" w:rsidTr="00F53982">
        <w:trPr>
          <w:trHeight w:val="302"/>
          <w:jc w:val="center"/>
        </w:trPr>
        <w:tc>
          <w:tcPr>
            <w:tcW w:w="2235"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Parameter</w:t>
            </w:r>
          </w:p>
        </w:tc>
        <w:tc>
          <w:tcPr>
            <w:tcW w:w="879" w:type="dxa"/>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1</w:t>
            </w:r>
          </w:p>
        </w:tc>
        <w:tc>
          <w:tcPr>
            <w:tcW w:w="709" w:type="dxa"/>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2</w:t>
            </w:r>
          </w:p>
        </w:tc>
        <w:tc>
          <w:tcPr>
            <w:tcW w:w="708"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3</w:t>
            </w:r>
          </w:p>
        </w:tc>
        <w:tc>
          <w:tcPr>
            <w:tcW w:w="709"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4</w:t>
            </w:r>
          </w:p>
        </w:tc>
        <w:tc>
          <w:tcPr>
            <w:tcW w:w="709"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5</w:t>
            </w:r>
          </w:p>
        </w:tc>
        <w:tc>
          <w:tcPr>
            <w:tcW w:w="709"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6</w:t>
            </w:r>
          </w:p>
        </w:tc>
        <w:tc>
          <w:tcPr>
            <w:tcW w:w="708" w:type="dxa"/>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7</w:t>
            </w:r>
          </w:p>
        </w:tc>
        <w:tc>
          <w:tcPr>
            <w:tcW w:w="709" w:type="dxa"/>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8</w:t>
            </w:r>
          </w:p>
        </w:tc>
        <w:tc>
          <w:tcPr>
            <w:tcW w:w="709" w:type="dxa"/>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9</w:t>
            </w:r>
          </w:p>
        </w:tc>
        <w:tc>
          <w:tcPr>
            <w:tcW w:w="1672" w:type="dxa"/>
            <w:hideMark/>
          </w:tcPr>
          <w:p w:rsidR="009A6579" w:rsidRPr="00CF6173" w:rsidRDefault="009A6579" w:rsidP="00F53982">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Reference Range</w:t>
            </w:r>
          </w:p>
        </w:tc>
      </w:tr>
      <w:tr w:rsidR="009A6579" w:rsidRPr="00CF6173" w:rsidTr="00F53982">
        <w:trPr>
          <w:trHeight w:val="302"/>
          <w:jc w:val="center"/>
        </w:trPr>
        <w:tc>
          <w:tcPr>
            <w:tcW w:w="2235" w:type="dxa"/>
            <w:hideMark/>
          </w:tcPr>
          <w:p w:rsidR="009A6579" w:rsidRPr="00CF6173" w:rsidRDefault="009A6579" w:rsidP="00F53982">
            <w:pPr>
              <w:rPr>
                <w:rFonts w:ascii="Times New Roman" w:eastAsia="Times New Roman" w:hAnsi="Times New Roman" w:cs="Times New Roman"/>
                <w:sz w:val="24"/>
                <w:szCs w:val="24"/>
              </w:rPr>
            </w:pPr>
            <w:proofErr w:type="spellStart"/>
            <w:r w:rsidRPr="009C60F6">
              <w:rPr>
                <w:rFonts w:ascii="Times New Roman" w:eastAsia="Times New Roman" w:hAnsi="Times New Roman" w:cs="Times New Roman"/>
                <w:bCs/>
                <w:sz w:val="24"/>
                <w:szCs w:val="24"/>
              </w:rPr>
              <w:t>Haemoglobin</w:t>
            </w:r>
            <w:proofErr w:type="spellEnd"/>
            <w:r w:rsidRPr="009C60F6">
              <w:rPr>
                <w:rFonts w:ascii="Times New Roman" w:eastAsia="Times New Roman" w:hAnsi="Times New Roman" w:cs="Times New Roman"/>
                <w:bCs/>
                <w:sz w:val="24"/>
                <w:szCs w:val="24"/>
              </w:rPr>
              <w:t xml:space="preserve"> (g/dL)</w:t>
            </w:r>
          </w:p>
        </w:tc>
        <w:tc>
          <w:tcPr>
            <w:tcW w:w="87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hideMark/>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709"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08"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672" w:type="dxa"/>
            <w:hideMark/>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1.9</w:t>
            </w: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5 g/dl</w:t>
            </w:r>
          </w:p>
        </w:tc>
      </w:tr>
      <w:tr w:rsidR="009A6579" w:rsidRPr="00CF6173" w:rsidTr="00F53982">
        <w:trPr>
          <w:trHeight w:val="302"/>
          <w:jc w:val="center"/>
        </w:trPr>
        <w:tc>
          <w:tcPr>
            <w:tcW w:w="2235" w:type="dxa"/>
            <w:hideMark/>
          </w:tcPr>
          <w:p w:rsidR="009A6579" w:rsidRDefault="009A6579" w:rsidP="00F53982">
            <w:pPr>
              <w:spacing w:line="240" w:lineRule="auto"/>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t xml:space="preserve">Total WBC </w:t>
            </w:r>
          </w:p>
          <w:p w:rsidR="009A6579" w:rsidRPr="00874492" w:rsidRDefault="009A6579" w:rsidP="00F53982">
            <w:pPr>
              <w:spacing w:line="240" w:lineRule="auto"/>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t>(cells/cu mm)</w:t>
            </w:r>
          </w:p>
        </w:tc>
        <w:tc>
          <w:tcPr>
            <w:tcW w:w="87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7500</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5100</w:t>
            </w:r>
          </w:p>
        </w:tc>
        <w:tc>
          <w:tcPr>
            <w:tcW w:w="708"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4200</w:t>
            </w:r>
          </w:p>
        </w:tc>
        <w:tc>
          <w:tcPr>
            <w:tcW w:w="709" w:type="dxa"/>
            <w:hideMark/>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5800</w:t>
            </w:r>
          </w:p>
        </w:tc>
        <w:tc>
          <w:tcPr>
            <w:tcW w:w="709" w:type="dxa"/>
            <w:hideMark/>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708"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3700</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709" w:type="dxa"/>
          </w:tcPr>
          <w:p w:rsidR="009A6579" w:rsidRPr="00CF6173" w:rsidRDefault="00191A98"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A6579">
              <w:rPr>
                <w:rFonts w:ascii="Times New Roman" w:eastAsia="Times New Roman" w:hAnsi="Times New Roman" w:cs="Times New Roman"/>
                <w:sz w:val="24"/>
                <w:szCs w:val="24"/>
              </w:rPr>
              <w:t>00</w:t>
            </w:r>
          </w:p>
        </w:tc>
        <w:tc>
          <w:tcPr>
            <w:tcW w:w="1672" w:type="dxa"/>
            <w:hideMark/>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4000–11000</w:t>
            </w:r>
            <w:r w:rsidRPr="009C60F6">
              <w:rPr>
                <w:rFonts w:ascii="Times New Roman" w:eastAsia="Times New Roman" w:hAnsi="Times New Roman" w:cs="Times New Roman"/>
                <w:bCs/>
                <w:sz w:val="24"/>
                <w:szCs w:val="24"/>
              </w:rPr>
              <w:t xml:space="preserve"> cells/cu mm</w:t>
            </w:r>
          </w:p>
        </w:tc>
      </w:tr>
      <w:tr w:rsidR="009A6579" w:rsidRPr="00CF6173" w:rsidTr="00F53982">
        <w:trPr>
          <w:trHeight w:val="302"/>
          <w:jc w:val="center"/>
        </w:trPr>
        <w:tc>
          <w:tcPr>
            <w:tcW w:w="2235" w:type="dxa"/>
          </w:tcPr>
          <w:p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Total RBC </w:t>
            </w:r>
            <w:r>
              <w:rPr>
                <w:rFonts w:ascii="Times New Roman" w:eastAsia="Times New Roman" w:hAnsi="Times New Roman" w:cs="Times New Roman"/>
                <w:sz w:val="24"/>
                <w:szCs w:val="24"/>
              </w:rPr>
              <w:lastRenderedPageBreak/>
              <w:t>(millions/</w:t>
            </w:r>
            <w:proofErr w:type="spellStart"/>
            <w:r>
              <w:rPr>
                <w:rFonts w:ascii="Times New Roman" w:eastAsia="Times New Roman" w:hAnsi="Times New Roman" w:cs="Times New Roman"/>
                <w:sz w:val="24"/>
                <w:szCs w:val="24"/>
              </w:rPr>
              <w:t>cumm</w:t>
            </w:r>
            <w:proofErr w:type="spellEnd"/>
            <w:r>
              <w:rPr>
                <w:rFonts w:ascii="Times New Roman" w:eastAsia="Times New Roman" w:hAnsi="Times New Roman" w:cs="Times New Roman"/>
                <w:sz w:val="24"/>
                <w:szCs w:val="24"/>
              </w:rPr>
              <w:t>)</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0.96</w:t>
            </w:r>
          </w:p>
        </w:tc>
        <w:tc>
          <w:tcPr>
            <w:tcW w:w="708"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708"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709" w:type="dxa"/>
          </w:tcPr>
          <w:p w:rsidR="009A6579" w:rsidRPr="00CF6173" w:rsidRDefault="009A6579" w:rsidP="00F5398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1672"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3.8-4.8 </w:t>
            </w:r>
            <w:r>
              <w:rPr>
                <w:rFonts w:ascii="Times New Roman" w:eastAsia="Times New Roman" w:hAnsi="Times New Roman" w:cs="Times New Roman"/>
                <w:sz w:val="24"/>
                <w:szCs w:val="24"/>
              </w:rPr>
              <w:lastRenderedPageBreak/>
              <w:t>millions/</w:t>
            </w:r>
            <w:proofErr w:type="spellStart"/>
            <w:r>
              <w:rPr>
                <w:rFonts w:ascii="Times New Roman" w:eastAsia="Times New Roman" w:hAnsi="Times New Roman" w:cs="Times New Roman"/>
                <w:sz w:val="24"/>
                <w:szCs w:val="24"/>
              </w:rPr>
              <w:t>cumm</w:t>
            </w:r>
            <w:proofErr w:type="spellEnd"/>
          </w:p>
        </w:tc>
      </w:tr>
      <w:tr w:rsidR="009A6579" w:rsidRPr="00CF6173" w:rsidTr="00F53982">
        <w:trPr>
          <w:trHeight w:val="302"/>
          <w:jc w:val="center"/>
        </w:trPr>
        <w:tc>
          <w:tcPr>
            <w:tcW w:w="2235" w:type="dxa"/>
          </w:tcPr>
          <w:p w:rsidR="009A6579" w:rsidRPr="009C60F6" w:rsidRDefault="009A6579" w:rsidP="00F53982">
            <w:pPr>
              <w:rPr>
                <w:rFonts w:ascii="Times New Roman" w:eastAsia="Times New Roman" w:hAnsi="Times New Roman" w:cs="Times New Roman"/>
                <w:bCs/>
                <w:sz w:val="24"/>
                <w:szCs w:val="24"/>
              </w:rPr>
            </w:pPr>
            <w:r w:rsidRPr="009C60F6">
              <w:rPr>
                <w:rFonts w:ascii="Times New Roman" w:eastAsia="Times New Roman" w:hAnsi="Times New Roman" w:cs="Times New Roman"/>
                <w:bCs/>
                <w:sz w:val="24"/>
                <w:szCs w:val="24"/>
              </w:rPr>
              <w:lastRenderedPageBreak/>
              <w:t>ESR (mm/</w:t>
            </w:r>
            <w:proofErr w:type="spellStart"/>
            <w:r w:rsidRPr="009C60F6">
              <w:rPr>
                <w:rFonts w:ascii="Times New Roman" w:eastAsia="Times New Roman" w:hAnsi="Times New Roman" w:cs="Times New Roman"/>
                <w:bCs/>
                <w:sz w:val="24"/>
                <w:szCs w:val="24"/>
              </w:rPr>
              <w:t>hr</w:t>
            </w:r>
            <w:proofErr w:type="spellEnd"/>
            <w:r w:rsidRPr="009C60F6">
              <w:rPr>
                <w:rFonts w:ascii="Times New Roman" w:eastAsia="Times New Roman" w:hAnsi="Times New Roman" w:cs="Times New Roman"/>
                <w:bCs/>
                <w:sz w:val="24"/>
                <w:szCs w:val="24"/>
              </w:rPr>
              <w:t>)</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08"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709" w:type="dxa"/>
          </w:tcPr>
          <w:p w:rsidR="009A6579" w:rsidRPr="00CF6173" w:rsidRDefault="00191A98"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72"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0-20mm/</w:t>
            </w:r>
            <w:proofErr w:type="spellStart"/>
            <w:r>
              <w:rPr>
                <w:rFonts w:ascii="Times New Roman" w:eastAsia="Times New Roman" w:hAnsi="Times New Roman" w:cs="Times New Roman"/>
                <w:sz w:val="24"/>
                <w:szCs w:val="24"/>
              </w:rPr>
              <w:t>hr</w:t>
            </w:r>
            <w:proofErr w:type="spellEnd"/>
          </w:p>
        </w:tc>
      </w:tr>
      <w:tr w:rsidR="009A6579" w:rsidRPr="00CF6173" w:rsidTr="00F53982">
        <w:trPr>
          <w:trHeight w:val="302"/>
          <w:jc w:val="center"/>
        </w:trPr>
        <w:tc>
          <w:tcPr>
            <w:tcW w:w="2235" w:type="dxa"/>
          </w:tcPr>
          <w:p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Lactate dehydrogenase </w:t>
            </w:r>
          </w:p>
        </w:tc>
        <w:tc>
          <w:tcPr>
            <w:tcW w:w="87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575.07</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539.77</w:t>
            </w:r>
          </w:p>
        </w:tc>
        <w:tc>
          <w:tcPr>
            <w:tcW w:w="708"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536.31</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581.23</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562.16</w:t>
            </w:r>
          </w:p>
        </w:tc>
        <w:tc>
          <w:tcPr>
            <w:tcW w:w="1672"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230-460 U/I</w:t>
            </w:r>
          </w:p>
        </w:tc>
      </w:tr>
      <w:tr w:rsidR="009A6579" w:rsidRPr="00CF6173" w:rsidTr="00F53982">
        <w:trPr>
          <w:trHeight w:val="302"/>
          <w:jc w:val="center"/>
        </w:trPr>
        <w:tc>
          <w:tcPr>
            <w:tcW w:w="2235" w:type="dxa"/>
          </w:tcPr>
          <w:p w:rsidR="009A6579" w:rsidRPr="009C60F6"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Sodium </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136-145 </w:t>
            </w:r>
            <w:proofErr w:type="spellStart"/>
            <w:r>
              <w:rPr>
                <w:rFonts w:ascii="Times New Roman" w:eastAsia="Times New Roman" w:hAnsi="Times New Roman" w:cs="Times New Roman"/>
                <w:sz w:val="24"/>
                <w:szCs w:val="24"/>
              </w:rPr>
              <w:t>meq</w:t>
            </w:r>
            <w:proofErr w:type="spellEnd"/>
            <w:r>
              <w:rPr>
                <w:rFonts w:ascii="Times New Roman" w:eastAsia="Times New Roman" w:hAnsi="Times New Roman" w:cs="Times New Roman"/>
                <w:sz w:val="24"/>
                <w:szCs w:val="24"/>
              </w:rPr>
              <w:t>/L</w:t>
            </w:r>
          </w:p>
        </w:tc>
      </w:tr>
      <w:tr w:rsidR="009A6579" w:rsidRPr="00CF6173" w:rsidTr="00F53982">
        <w:trPr>
          <w:trHeight w:val="302"/>
          <w:jc w:val="center"/>
        </w:trPr>
        <w:tc>
          <w:tcPr>
            <w:tcW w:w="2235" w:type="dxa"/>
          </w:tcPr>
          <w:p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Calcium </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8.6-10.2 mg/dl</w:t>
            </w:r>
          </w:p>
        </w:tc>
      </w:tr>
      <w:tr w:rsidR="009A6579" w:rsidRPr="00CF6173" w:rsidTr="00F53982">
        <w:trPr>
          <w:trHeight w:val="302"/>
          <w:jc w:val="center"/>
        </w:trPr>
        <w:tc>
          <w:tcPr>
            <w:tcW w:w="2235" w:type="dxa"/>
          </w:tcPr>
          <w:p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 bilirubin </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0-0.2 mg/dl</w:t>
            </w:r>
          </w:p>
        </w:tc>
      </w:tr>
      <w:tr w:rsidR="009A6579" w:rsidRPr="00CF6173" w:rsidTr="00F53982">
        <w:trPr>
          <w:trHeight w:val="302"/>
          <w:jc w:val="center"/>
        </w:trPr>
        <w:tc>
          <w:tcPr>
            <w:tcW w:w="2235" w:type="dxa"/>
          </w:tcPr>
          <w:p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Indirect bilirubin</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0.2-0.6 mg/dl</w:t>
            </w:r>
          </w:p>
        </w:tc>
      </w:tr>
      <w:tr w:rsidR="009A6579" w:rsidRPr="00CF6173" w:rsidTr="00F53982">
        <w:trPr>
          <w:trHeight w:val="302"/>
          <w:jc w:val="center"/>
        </w:trPr>
        <w:tc>
          <w:tcPr>
            <w:tcW w:w="2235" w:type="dxa"/>
          </w:tcPr>
          <w:p w:rsidR="009A6579" w:rsidRDefault="009A6579" w:rsidP="00F5398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Globulin serum</w:t>
            </w:r>
          </w:p>
        </w:tc>
        <w:tc>
          <w:tcPr>
            <w:tcW w:w="879"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08"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709" w:type="dxa"/>
          </w:tcPr>
          <w:p w:rsidR="009A6579" w:rsidRPr="00CF6173"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709" w:type="dxa"/>
          </w:tcPr>
          <w:p w:rsidR="009A6579" w:rsidRPr="00CF6173" w:rsidRDefault="009A6579" w:rsidP="00F53982">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672" w:type="dxa"/>
          </w:tcPr>
          <w:p w:rsidR="009A6579" w:rsidRDefault="009A6579" w:rsidP="00F53982">
            <w:pPr>
              <w:rPr>
                <w:rFonts w:ascii="Times New Roman" w:eastAsia="Times New Roman" w:hAnsi="Times New Roman" w:cs="Times New Roman"/>
                <w:sz w:val="24"/>
                <w:szCs w:val="24"/>
              </w:rPr>
            </w:pPr>
            <w:r>
              <w:rPr>
                <w:rFonts w:ascii="Times New Roman" w:eastAsia="Times New Roman" w:hAnsi="Times New Roman" w:cs="Times New Roman"/>
                <w:sz w:val="24"/>
                <w:szCs w:val="24"/>
              </w:rPr>
              <w:t>2.5-3.5 g/dl</w:t>
            </w:r>
          </w:p>
        </w:tc>
      </w:tr>
    </w:tbl>
    <w:p w:rsidR="000D2C73" w:rsidRPr="00740A45" w:rsidRDefault="000D2C73" w:rsidP="00740A45">
      <w:pPr>
        <w:pStyle w:val="vineela"/>
        <w:spacing w:after="120"/>
        <w:rPr>
          <w:b/>
        </w:rPr>
      </w:pPr>
      <w:r>
        <w:rPr>
          <w:rStyle w:val="Strong"/>
        </w:rPr>
        <w:t>Note:</w:t>
      </w:r>
      <w:r>
        <w:t xml:space="preserve"> “—” indicates that the respective parameter was </w:t>
      </w:r>
      <w:r w:rsidRPr="00740A45">
        <w:rPr>
          <w:rStyle w:val="Strong"/>
          <w:b w:val="0"/>
        </w:rPr>
        <w:t>not measured on that particular day</w:t>
      </w:r>
      <w:r w:rsidRPr="00740A45">
        <w:rPr>
          <w:b/>
        </w:rPr>
        <w:t>.</w:t>
      </w:r>
    </w:p>
    <w:p w:rsidR="00740A45" w:rsidRDefault="00740A45" w:rsidP="000D2C73">
      <w:pPr>
        <w:pStyle w:val="vineela"/>
        <w:rPr>
          <w:szCs w:val="22"/>
          <w:shd w:val="clear" w:color="auto" w:fill="auto"/>
        </w:rPr>
      </w:pPr>
      <w:r>
        <w:rPr>
          <w:rStyle w:val="Strong"/>
        </w:rPr>
        <w:t>Note:</w:t>
      </w:r>
      <w:r>
        <w:t xml:space="preserve"> Reference ranges represent standard adult laboratory values used by the hospital’s central laboratory and are provided for comparison with the patient’s measured parameters.</w:t>
      </w:r>
    </w:p>
    <w:p w:rsidR="000D2C73" w:rsidRPr="00930A5A" w:rsidRDefault="000D2C73" w:rsidP="000D2C73">
      <w:pPr>
        <w:pStyle w:val="vineela"/>
      </w:pPr>
      <w:bookmarkStart w:id="0" w:name="tab2"/>
      <w:bookmarkStart w:id="1" w:name="table2"/>
      <w:r w:rsidRPr="00207D2C">
        <w:rPr>
          <w:b/>
        </w:rPr>
        <w:t xml:space="preserve">Table 2: Naranjo Causality </w:t>
      </w:r>
      <w:proofErr w:type="gramStart"/>
      <w:r w:rsidRPr="00207D2C">
        <w:rPr>
          <w:b/>
        </w:rPr>
        <w:t>Assessment</w:t>
      </w:r>
      <w:bookmarkEnd w:id="0"/>
      <w:r w:rsidRPr="00930A5A">
        <w:t>[</w:t>
      </w:r>
      <w:proofErr w:type="gramEnd"/>
      <w:r w:rsidR="00F46E83">
        <w:fldChar w:fldCharType="begin"/>
      </w:r>
      <w:r w:rsidR="00ED618C">
        <w:instrText xml:space="preserve"> REF _Ref220504818 \r \h </w:instrText>
      </w:r>
      <w:r w:rsidR="00F46E83">
        <w:fldChar w:fldCharType="separate"/>
      </w:r>
      <w:r w:rsidR="00ED618C">
        <w:t>5</w:t>
      </w:r>
      <w:r w:rsidR="00F46E83">
        <w:fldChar w:fldCharType="end"/>
      </w:r>
      <w:r w:rsidRPr="00930A5A">
        <w:t>]</w:t>
      </w:r>
    </w:p>
    <w:tbl>
      <w:tblPr>
        <w:tblStyle w:val="TableGrid"/>
        <w:tblW w:w="9576" w:type="dxa"/>
        <w:tblLook w:val="04A0" w:firstRow="1" w:lastRow="0" w:firstColumn="1" w:lastColumn="0" w:noHBand="0" w:noVBand="1"/>
      </w:tblPr>
      <w:tblGrid>
        <w:gridCol w:w="570"/>
        <w:gridCol w:w="5802"/>
        <w:gridCol w:w="590"/>
        <w:gridCol w:w="510"/>
        <w:gridCol w:w="1314"/>
        <w:gridCol w:w="790"/>
      </w:tblGrid>
      <w:tr w:rsidR="000D2C73" w:rsidRPr="00CF6173" w:rsidTr="00D831A7">
        <w:tc>
          <w:tcPr>
            <w:tcW w:w="0" w:type="auto"/>
            <w:hideMark/>
          </w:tcPr>
          <w:bookmarkEnd w:id="1"/>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Question</w:t>
            </w:r>
          </w:p>
        </w:tc>
        <w:tc>
          <w:tcPr>
            <w:tcW w:w="0" w:type="auto"/>
            <w:hideMark/>
          </w:tcPr>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Yes</w:t>
            </w:r>
          </w:p>
        </w:tc>
        <w:tc>
          <w:tcPr>
            <w:tcW w:w="0" w:type="auto"/>
            <w:hideMark/>
          </w:tcPr>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Do Not Know</w:t>
            </w:r>
          </w:p>
        </w:tc>
        <w:tc>
          <w:tcPr>
            <w:tcW w:w="0" w:type="auto"/>
            <w:hideMark/>
          </w:tcPr>
          <w:p w:rsidR="000D2C73" w:rsidRPr="00CF6173" w:rsidRDefault="000D2C73" w:rsidP="00D831A7">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Score</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previous conclusive reports on this reaction?</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event appear after the suspected drug was administered?</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2</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3</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improve when the drug was discontinued?</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reappear when the drug was re-administered?</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5</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alternative causes that could have caused the reaction?</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2</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FC3386"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6</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reaction reappear when a placebo was given?</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7</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drug detected in blood or other fluids at toxic levels?</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8</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reaction more severe with increased dose or less severe with decreased dose?</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rsidTr="00D831A7">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lastRenderedPageBreak/>
              <w:t>9</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patient have a similar reaction to the same or similar drugs previously?</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0D2C73" w:rsidRPr="00CF6173" w:rsidTr="00D831A7">
        <w:trPr>
          <w:trHeight w:val="658"/>
        </w:trPr>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adverse event confirmed by any objective evidence? (Lab reports)</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0D2C73" w:rsidRPr="00CF6173" w:rsidRDefault="000D2C73" w:rsidP="00D831A7">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bl>
    <w:p w:rsidR="000D2C73" w:rsidRDefault="000D2C73" w:rsidP="000D2C73">
      <w:pPr>
        <w:pStyle w:val="vineela"/>
        <w:spacing w:before="120" w:after="120"/>
        <w:rPr>
          <w:b/>
          <w:bCs/>
          <w:szCs w:val="22"/>
        </w:rPr>
      </w:pPr>
      <w:r w:rsidRPr="00207D2C">
        <w:rPr>
          <w:b/>
        </w:rPr>
        <w:t>Total Naranjo Score</w:t>
      </w:r>
      <w:r>
        <w:t xml:space="preserve"> = </w:t>
      </w:r>
      <w:r w:rsidR="00E03091">
        <w:t>7</w:t>
      </w:r>
    </w:p>
    <w:p w:rsidR="000D2C73" w:rsidRPr="00207D2C" w:rsidRDefault="000D2C73" w:rsidP="000D2C73">
      <w:pPr>
        <w:pStyle w:val="vineela"/>
        <w:spacing w:after="120"/>
        <w:rPr>
          <w:b/>
          <w:szCs w:val="24"/>
        </w:rPr>
      </w:pPr>
      <w:r w:rsidRPr="00207D2C">
        <w:rPr>
          <w:rStyle w:val="Strong"/>
          <w:szCs w:val="24"/>
        </w:rPr>
        <w:t xml:space="preserve">Causality Category: </w:t>
      </w:r>
      <w:r w:rsidR="002570E3">
        <w:rPr>
          <w:rStyle w:val="Strong"/>
          <w:szCs w:val="24"/>
        </w:rPr>
        <w:t>Probable</w:t>
      </w:r>
      <w:r w:rsidRPr="00207D2C">
        <w:rPr>
          <w:rStyle w:val="Strong"/>
          <w:szCs w:val="24"/>
        </w:rPr>
        <w:t xml:space="preserve"> ADR</w:t>
      </w:r>
    </w:p>
    <w:p w:rsidR="000D2C73" w:rsidRPr="00207D2C" w:rsidRDefault="000D2C73" w:rsidP="000D2C73">
      <w:pPr>
        <w:pStyle w:val="vineela"/>
        <w:rPr>
          <w:rFonts w:eastAsia="Times New Roman"/>
          <w:i/>
          <w:szCs w:val="24"/>
        </w:rPr>
      </w:pPr>
      <w:r w:rsidRPr="00CF6173">
        <w:rPr>
          <w:rStyle w:val="Emphasis"/>
          <w:szCs w:val="24"/>
        </w:rPr>
        <w:t>(Score Interpretation: ≥9 = Definite, 5–8 = Probable, 1–4 = Possible, 0 = Doubtful)</w:t>
      </w:r>
    </w:p>
    <w:p w:rsidR="00761BD5" w:rsidRPr="00761BD5" w:rsidRDefault="00761BD5" w:rsidP="009A6579">
      <w:pPr>
        <w:pStyle w:val="vineela"/>
        <w:rPr>
          <w:b/>
        </w:rPr>
      </w:pPr>
      <w:r w:rsidRPr="00761BD5">
        <w:rPr>
          <w:b/>
        </w:rPr>
        <w:t>Table 3: Clinical Timeline of Dapsone-Induced Hemolytic Anemia</w:t>
      </w:r>
    </w:p>
    <w:tbl>
      <w:tblPr>
        <w:tblStyle w:val="TableGrid"/>
        <w:tblW w:w="0" w:type="auto"/>
        <w:tblLook w:val="04A0" w:firstRow="1" w:lastRow="0" w:firstColumn="1" w:lastColumn="0" w:noHBand="0" w:noVBand="1"/>
      </w:tblPr>
      <w:tblGrid>
        <w:gridCol w:w="2802"/>
        <w:gridCol w:w="6440"/>
      </w:tblGrid>
      <w:tr w:rsidR="00761BD5" w:rsidTr="00761BD5">
        <w:tc>
          <w:tcPr>
            <w:tcW w:w="2802" w:type="dxa"/>
            <w:vAlign w:val="center"/>
          </w:tcPr>
          <w:p w:rsidR="00761BD5" w:rsidRPr="00761BD5" w:rsidRDefault="00761BD5" w:rsidP="00FD2EB9">
            <w:pPr>
              <w:spacing w:after="0" w:line="240" w:lineRule="auto"/>
              <w:jc w:val="center"/>
              <w:rPr>
                <w:rFonts w:ascii="Times New Roman" w:eastAsia="Times New Roman" w:hAnsi="Times New Roman" w:cs="Times New Roman"/>
                <w:b/>
                <w:bCs/>
                <w:sz w:val="24"/>
                <w:szCs w:val="24"/>
              </w:rPr>
            </w:pPr>
            <w:r w:rsidRPr="00761BD5">
              <w:rPr>
                <w:rFonts w:ascii="Times New Roman" w:eastAsia="Times New Roman" w:hAnsi="Times New Roman" w:cs="Times New Roman"/>
                <w:b/>
                <w:bCs/>
                <w:sz w:val="24"/>
                <w:szCs w:val="24"/>
              </w:rPr>
              <w:t>Timeline</w:t>
            </w:r>
          </w:p>
        </w:tc>
        <w:tc>
          <w:tcPr>
            <w:tcW w:w="6440" w:type="dxa"/>
            <w:vAlign w:val="center"/>
          </w:tcPr>
          <w:p w:rsidR="00761BD5" w:rsidRPr="00761BD5" w:rsidRDefault="00761BD5" w:rsidP="00FD2EB9">
            <w:pPr>
              <w:spacing w:after="0" w:line="240" w:lineRule="auto"/>
              <w:jc w:val="center"/>
              <w:rPr>
                <w:rFonts w:ascii="Times New Roman" w:eastAsia="Times New Roman" w:hAnsi="Times New Roman" w:cs="Times New Roman"/>
                <w:b/>
                <w:bCs/>
                <w:sz w:val="24"/>
                <w:szCs w:val="24"/>
              </w:rPr>
            </w:pPr>
            <w:r w:rsidRPr="00761BD5">
              <w:rPr>
                <w:rFonts w:ascii="Times New Roman" w:eastAsia="Times New Roman" w:hAnsi="Times New Roman" w:cs="Times New Roman"/>
                <w:b/>
                <w:bCs/>
                <w:sz w:val="24"/>
                <w:szCs w:val="24"/>
              </w:rPr>
              <w:t>Clinical Events</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15 days before admission</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Onset of fatigue, dyspnea, fever, weakness</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Day 1 (Admission)</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Severe hemolytic anemia detected (Hb 4 g/dL); evidence of hemolysis</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bCs/>
                <w:sz w:val="24"/>
                <w:szCs w:val="24"/>
              </w:rPr>
              <w:t>Day 2</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bCs/>
                <w:sz w:val="24"/>
                <w:szCs w:val="24"/>
              </w:rPr>
              <w:t>Dapsone discontinued; packed red blood cell transfusion administered; systemic corticosteroids and IV antibiotics initiated</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Day 3–7</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Hemoglobin gradually improved with ongoing treatment</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Day 9</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Patient clinically stable</w:t>
            </w:r>
          </w:p>
        </w:tc>
      </w:tr>
      <w:tr w:rsidR="00761BD5" w:rsidTr="00761BD5">
        <w:tc>
          <w:tcPr>
            <w:tcW w:w="2802"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Discharge</w:t>
            </w:r>
          </w:p>
        </w:tc>
        <w:tc>
          <w:tcPr>
            <w:tcW w:w="6440" w:type="dxa"/>
            <w:vAlign w:val="center"/>
          </w:tcPr>
          <w:p w:rsidR="00761BD5" w:rsidRPr="00761BD5" w:rsidRDefault="00761BD5" w:rsidP="00FD2EB9">
            <w:pPr>
              <w:spacing w:after="0" w:line="240" w:lineRule="auto"/>
              <w:rPr>
                <w:rFonts w:ascii="Times New Roman" w:eastAsia="Times New Roman" w:hAnsi="Times New Roman" w:cs="Times New Roman"/>
                <w:sz w:val="24"/>
                <w:szCs w:val="24"/>
              </w:rPr>
            </w:pPr>
            <w:r w:rsidRPr="00761BD5">
              <w:rPr>
                <w:rFonts w:ascii="Times New Roman" w:eastAsia="Times New Roman" w:hAnsi="Times New Roman" w:cs="Times New Roman"/>
                <w:sz w:val="24"/>
                <w:szCs w:val="24"/>
              </w:rPr>
              <w:t>Discharged with alternative therapy and hematology follow-up</w:t>
            </w:r>
          </w:p>
        </w:tc>
      </w:tr>
    </w:tbl>
    <w:p w:rsidR="00373664" w:rsidRPr="00DF5AAF" w:rsidRDefault="00373664" w:rsidP="00761BD5">
      <w:pPr>
        <w:pStyle w:val="vineela"/>
        <w:spacing w:before="360" w:after="120"/>
        <w:rPr>
          <w:b/>
          <w:szCs w:val="24"/>
        </w:rPr>
      </w:pPr>
      <w:r w:rsidRPr="009A6579">
        <w:rPr>
          <w:b/>
          <w:szCs w:val="24"/>
        </w:rPr>
        <w:t xml:space="preserve">Discussion </w:t>
      </w:r>
    </w:p>
    <w:p w:rsidR="00373664" w:rsidRPr="009A6579" w:rsidRDefault="00373664" w:rsidP="009A6579">
      <w:pPr>
        <w:pStyle w:val="vineela"/>
        <w:rPr>
          <w:szCs w:val="24"/>
        </w:rPr>
      </w:pPr>
      <w:r w:rsidRPr="009A6579">
        <w:rPr>
          <w:szCs w:val="24"/>
        </w:rPr>
        <w:t xml:space="preserve">In the case described here, the patient developed increased hemolytic anemia, as evidenced by decrease in </w:t>
      </w:r>
      <w:proofErr w:type="spellStart"/>
      <w:r w:rsidRPr="009A6579">
        <w:rPr>
          <w:szCs w:val="24"/>
        </w:rPr>
        <w:t>haemoglobin</w:t>
      </w:r>
      <w:proofErr w:type="spellEnd"/>
      <w:r w:rsidRPr="009A6579">
        <w:rPr>
          <w:szCs w:val="24"/>
        </w:rPr>
        <w:t xml:space="preserve"> count </w:t>
      </w:r>
      <w:proofErr w:type="spellStart"/>
      <w:r w:rsidRPr="009A6579">
        <w:rPr>
          <w:szCs w:val="24"/>
        </w:rPr>
        <w:t>upto</w:t>
      </w:r>
      <w:proofErr w:type="spellEnd"/>
      <w:r w:rsidRPr="009A6579">
        <w:rPr>
          <w:szCs w:val="24"/>
        </w:rPr>
        <w:t xml:space="preserve"> 4.4 gm% when dapsone is prescribed for a few days, high indirect bilirubin (1.5mg/dl</w:t>
      </w:r>
      <w:proofErr w:type="gramStart"/>
      <w:r w:rsidRPr="009A6579">
        <w:rPr>
          <w:szCs w:val="24"/>
        </w:rPr>
        <w:t>),high</w:t>
      </w:r>
      <w:proofErr w:type="gramEnd"/>
      <w:r w:rsidRPr="009A6579">
        <w:rPr>
          <w:szCs w:val="24"/>
        </w:rPr>
        <w:t xml:space="preserve"> reticulocyte </w:t>
      </w:r>
      <w:proofErr w:type="spellStart"/>
      <w:r w:rsidRPr="009A6579">
        <w:rPr>
          <w:szCs w:val="24"/>
        </w:rPr>
        <w:t>count,high</w:t>
      </w:r>
      <w:proofErr w:type="spellEnd"/>
      <w:r w:rsidRPr="009A6579">
        <w:rPr>
          <w:szCs w:val="24"/>
        </w:rPr>
        <w:t xml:space="preserve"> lactate dehydrogenase levels confirms that it is induced by the </w:t>
      </w:r>
      <w:proofErr w:type="spellStart"/>
      <w:r w:rsidRPr="009A6579">
        <w:rPr>
          <w:szCs w:val="24"/>
        </w:rPr>
        <w:t>dapsone,thus</w:t>
      </w:r>
      <w:proofErr w:type="spellEnd"/>
      <w:r w:rsidRPr="009A6579">
        <w:rPr>
          <w:szCs w:val="24"/>
        </w:rPr>
        <w:t xml:space="preserve"> confirming the presence of a life-threatening drug-induced hematological reaction. Clinically, patients may present with cyanosis, fatigue, or dyspnea even at relatively low levels of </w:t>
      </w:r>
      <w:proofErr w:type="spellStart"/>
      <w:r w:rsidRPr="009A6579">
        <w:rPr>
          <w:szCs w:val="24"/>
        </w:rPr>
        <w:t>methaemoglobin</w:t>
      </w:r>
      <w:proofErr w:type="spellEnd"/>
      <w:r w:rsidRPr="009A6579">
        <w:rPr>
          <w:szCs w:val="24"/>
        </w:rPr>
        <w:t xml:space="preserve"> accumulation</w:t>
      </w:r>
      <w:r w:rsidR="00ED618C">
        <w:rPr>
          <w:szCs w:val="24"/>
        </w:rPr>
        <w:t xml:space="preserve"> [</w:t>
      </w:r>
      <w:r w:rsidR="001E4DA7">
        <w:rPr>
          <w:szCs w:val="24"/>
        </w:rPr>
        <w:fldChar w:fldCharType="begin"/>
      </w:r>
      <w:r w:rsidR="001E4DA7">
        <w:rPr>
          <w:szCs w:val="24"/>
        </w:rPr>
        <w:instrText xml:space="preserve"> REF _Ref221046796 \r \h </w:instrText>
      </w:r>
      <w:r w:rsidR="001E4DA7">
        <w:rPr>
          <w:szCs w:val="24"/>
        </w:rPr>
      </w:r>
      <w:r w:rsidR="001E4DA7">
        <w:rPr>
          <w:szCs w:val="24"/>
        </w:rPr>
        <w:fldChar w:fldCharType="separate"/>
      </w:r>
      <w:r w:rsidR="001E4DA7">
        <w:rPr>
          <w:szCs w:val="24"/>
        </w:rPr>
        <w:t>8</w:t>
      </w:r>
      <w:r w:rsidR="001E4DA7">
        <w:rPr>
          <w:szCs w:val="24"/>
        </w:rPr>
        <w:fldChar w:fldCharType="end"/>
      </w:r>
      <w:r w:rsidR="001E4DA7">
        <w:rPr>
          <w:szCs w:val="24"/>
        </w:rPr>
        <w:t>,</w:t>
      </w:r>
      <w:r w:rsidR="001E4DA7">
        <w:rPr>
          <w:szCs w:val="24"/>
        </w:rPr>
        <w:fldChar w:fldCharType="begin"/>
      </w:r>
      <w:r w:rsidR="001E4DA7">
        <w:rPr>
          <w:szCs w:val="24"/>
        </w:rPr>
        <w:instrText xml:space="preserve"> REF _Ref221046811 \r \h </w:instrText>
      </w:r>
      <w:r w:rsidR="001E4DA7">
        <w:rPr>
          <w:szCs w:val="24"/>
        </w:rPr>
      </w:r>
      <w:r w:rsidR="001E4DA7">
        <w:rPr>
          <w:szCs w:val="24"/>
        </w:rPr>
        <w:fldChar w:fldCharType="separate"/>
      </w:r>
      <w:r w:rsidR="001E4DA7">
        <w:rPr>
          <w:szCs w:val="24"/>
        </w:rPr>
        <w:t>9</w:t>
      </w:r>
      <w:r w:rsidR="001E4DA7">
        <w:rPr>
          <w:szCs w:val="24"/>
        </w:rPr>
        <w:fldChar w:fldCharType="end"/>
      </w:r>
      <w:r w:rsidR="00DF5AAF">
        <w:rPr>
          <w:szCs w:val="24"/>
        </w:rPr>
        <w:t>]</w:t>
      </w:r>
      <w:r w:rsidRPr="009A6579">
        <w:rPr>
          <w:szCs w:val="24"/>
        </w:rPr>
        <w:t>. Dapsone can also trigger drug-induced lupus erythematosus, reflecting autoimmune activation in susceptible patients. Here the patient is presented with positive anti-</w:t>
      </w:r>
      <w:proofErr w:type="spellStart"/>
      <w:proofErr w:type="gramStart"/>
      <w:r w:rsidRPr="009A6579">
        <w:rPr>
          <w:szCs w:val="24"/>
        </w:rPr>
        <w:t>dsDNA,anti</w:t>
      </w:r>
      <w:proofErr w:type="spellEnd"/>
      <w:proofErr w:type="gramEnd"/>
      <w:r w:rsidRPr="009A6579">
        <w:rPr>
          <w:szCs w:val="24"/>
        </w:rPr>
        <w:t>-histone and DCT tests, which suggests AIHI 20 to idiopathic SLE with drug exposure complicating the picture</w:t>
      </w:r>
      <w:r w:rsidR="00ED618C">
        <w:rPr>
          <w:szCs w:val="24"/>
        </w:rPr>
        <w:t xml:space="preserve"> [</w:t>
      </w:r>
      <w:r w:rsidR="001E4DA7">
        <w:rPr>
          <w:szCs w:val="24"/>
        </w:rPr>
        <w:fldChar w:fldCharType="begin"/>
      </w:r>
      <w:r w:rsidR="001E4DA7">
        <w:rPr>
          <w:szCs w:val="24"/>
        </w:rPr>
        <w:instrText xml:space="preserve"> REF _Ref221162309 \r \h </w:instrText>
      </w:r>
      <w:r w:rsidR="001E4DA7">
        <w:rPr>
          <w:szCs w:val="24"/>
        </w:rPr>
      </w:r>
      <w:r w:rsidR="001E4DA7">
        <w:rPr>
          <w:szCs w:val="24"/>
        </w:rPr>
        <w:fldChar w:fldCharType="separate"/>
      </w:r>
      <w:r w:rsidR="001E4DA7">
        <w:rPr>
          <w:szCs w:val="24"/>
        </w:rPr>
        <w:t>10</w:t>
      </w:r>
      <w:r w:rsidR="001E4DA7">
        <w:rPr>
          <w:szCs w:val="24"/>
        </w:rPr>
        <w:fldChar w:fldCharType="end"/>
      </w:r>
      <w:r w:rsidR="001E4DA7">
        <w:rPr>
          <w:szCs w:val="24"/>
        </w:rPr>
        <w:t>,</w:t>
      </w:r>
      <w:r w:rsidR="001E4DA7">
        <w:rPr>
          <w:szCs w:val="24"/>
        </w:rPr>
        <w:fldChar w:fldCharType="begin"/>
      </w:r>
      <w:r w:rsidR="001E4DA7">
        <w:rPr>
          <w:szCs w:val="24"/>
        </w:rPr>
        <w:instrText xml:space="preserve"> REF _Ref221162314 \r \h </w:instrText>
      </w:r>
      <w:r w:rsidR="001E4DA7">
        <w:rPr>
          <w:szCs w:val="24"/>
        </w:rPr>
      </w:r>
      <w:r w:rsidR="001E4DA7">
        <w:rPr>
          <w:szCs w:val="24"/>
        </w:rPr>
        <w:fldChar w:fldCharType="separate"/>
      </w:r>
      <w:r w:rsidR="001E4DA7">
        <w:rPr>
          <w:szCs w:val="24"/>
        </w:rPr>
        <w:t>11</w:t>
      </w:r>
      <w:r w:rsidR="001E4DA7">
        <w:rPr>
          <w:szCs w:val="24"/>
        </w:rPr>
        <w:fldChar w:fldCharType="end"/>
      </w:r>
      <w:r w:rsidR="00216CB4">
        <w:rPr>
          <w:szCs w:val="24"/>
        </w:rPr>
        <w:t>].</w:t>
      </w:r>
    </w:p>
    <w:p w:rsidR="00373664" w:rsidRPr="009A6579" w:rsidRDefault="00373664" w:rsidP="009A6579">
      <w:pPr>
        <w:pStyle w:val="vineela"/>
        <w:rPr>
          <w:szCs w:val="24"/>
        </w:rPr>
      </w:pPr>
      <w:r w:rsidRPr="009A6579">
        <w:rPr>
          <w:szCs w:val="24"/>
        </w:rPr>
        <w:t xml:space="preserve">Management consists of immediate cessation of dapsone. In cases of severe PF, an immunosuppressant and prednisone combined treatment can be used. Other treatment options for refractory disease, or if there are contraindications to immunosuppressive agents include hydroxychloroquine, methotrexate </w:t>
      </w:r>
      <w:proofErr w:type="spellStart"/>
      <w:r w:rsidRPr="009A6579">
        <w:rPr>
          <w:szCs w:val="24"/>
        </w:rPr>
        <w:t>IVIg</w:t>
      </w:r>
      <w:proofErr w:type="spellEnd"/>
      <w:r w:rsidRPr="009A6579">
        <w:rPr>
          <w:szCs w:val="24"/>
        </w:rPr>
        <w:t xml:space="preserve"> 2 g/kg monthly, or RTX, Plasmapheresis and </w:t>
      </w:r>
      <w:proofErr w:type="spellStart"/>
      <w:r w:rsidRPr="009A6579">
        <w:rPr>
          <w:szCs w:val="24"/>
        </w:rPr>
        <w:t>IVIg</w:t>
      </w:r>
      <w:proofErr w:type="spellEnd"/>
      <w:r w:rsidRPr="009A6579">
        <w:rPr>
          <w:szCs w:val="24"/>
        </w:rPr>
        <w:t xml:space="preserve"> are therapeutic options in patients with recalcitrant disease. In this patient dapsone is stopped and replaced with hydroxychloroqu</w:t>
      </w:r>
      <w:r w:rsidR="00216CB4">
        <w:rPr>
          <w:szCs w:val="24"/>
        </w:rPr>
        <w:t>in</w:t>
      </w:r>
      <w:r w:rsidR="00ED618C">
        <w:rPr>
          <w:szCs w:val="24"/>
        </w:rPr>
        <w:t xml:space="preserve">e (200mg) and </w:t>
      </w:r>
      <w:proofErr w:type="spellStart"/>
      <w:r w:rsidR="00ED618C">
        <w:rPr>
          <w:szCs w:val="24"/>
        </w:rPr>
        <w:t>wysolone</w:t>
      </w:r>
      <w:proofErr w:type="spellEnd"/>
      <w:r w:rsidR="00ED618C">
        <w:rPr>
          <w:szCs w:val="24"/>
        </w:rPr>
        <w:t xml:space="preserve"> (40mg) [</w:t>
      </w:r>
      <w:r w:rsidR="001E4DA7">
        <w:rPr>
          <w:szCs w:val="24"/>
        </w:rPr>
        <w:fldChar w:fldCharType="begin"/>
      </w:r>
      <w:r w:rsidR="001E4DA7">
        <w:rPr>
          <w:szCs w:val="24"/>
        </w:rPr>
        <w:instrText xml:space="preserve"> REF _Ref221162294 \r \h </w:instrText>
      </w:r>
      <w:r w:rsidR="001E4DA7">
        <w:rPr>
          <w:szCs w:val="24"/>
        </w:rPr>
      </w:r>
      <w:r w:rsidR="001E4DA7">
        <w:rPr>
          <w:szCs w:val="24"/>
        </w:rPr>
        <w:fldChar w:fldCharType="separate"/>
      </w:r>
      <w:r w:rsidR="001E4DA7">
        <w:rPr>
          <w:szCs w:val="24"/>
        </w:rPr>
        <w:t>12</w:t>
      </w:r>
      <w:r w:rsidR="001E4DA7">
        <w:rPr>
          <w:szCs w:val="24"/>
        </w:rPr>
        <w:fldChar w:fldCharType="end"/>
      </w:r>
      <w:r w:rsidR="001E4DA7">
        <w:rPr>
          <w:szCs w:val="24"/>
        </w:rPr>
        <w:t>,</w:t>
      </w:r>
      <w:r w:rsidR="001E4DA7">
        <w:rPr>
          <w:szCs w:val="24"/>
        </w:rPr>
        <w:fldChar w:fldCharType="begin"/>
      </w:r>
      <w:r w:rsidR="001E4DA7">
        <w:rPr>
          <w:szCs w:val="24"/>
        </w:rPr>
        <w:instrText xml:space="preserve"> REF _Ref221162299 \r \h </w:instrText>
      </w:r>
      <w:r w:rsidR="001E4DA7">
        <w:rPr>
          <w:szCs w:val="24"/>
        </w:rPr>
      </w:r>
      <w:r w:rsidR="001E4DA7">
        <w:rPr>
          <w:szCs w:val="24"/>
        </w:rPr>
        <w:fldChar w:fldCharType="separate"/>
      </w:r>
      <w:r w:rsidR="001E4DA7">
        <w:rPr>
          <w:szCs w:val="24"/>
        </w:rPr>
        <w:t>13</w:t>
      </w:r>
      <w:r w:rsidR="001E4DA7">
        <w:rPr>
          <w:szCs w:val="24"/>
        </w:rPr>
        <w:fldChar w:fldCharType="end"/>
      </w:r>
      <w:r w:rsidR="00216CB4">
        <w:rPr>
          <w:szCs w:val="24"/>
        </w:rPr>
        <w:t>].</w:t>
      </w:r>
      <w:r w:rsidR="00740A45">
        <w:rPr>
          <w:szCs w:val="24"/>
        </w:rPr>
        <w:t xml:space="preserve"> </w:t>
      </w:r>
      <w:r w:rsidR="00740A45">
        <w:t xml:space="preserve">Current clinical recommendations emphasize the importance of baseline and periodic hematological monitoring in patients receiving dapsone. Baseline evaluation should include complete blood count and screening for glucose-6-phosphate dehydrogenase (G6PD) deficiency, followed by regular monitoring of hemoglobin levels and other hematological parameters during therapy. </w:t>
      </w:r>
      <w:r w:rsidR="00740A45">
        <w:lastRenderedPageBreak/>
        <w:t>Early identification of hematological abnormalities and prompt discontinuation of dapsone are essential to prevent severe and potentially life-threatening complications</w:t>
      </w:r>
      <w:r w:rsidR="001E4DA7">
        <w:t xml:space="preserve"> [</w:t>
      </w:r>
      <w:r w:rsidR="001E4DA7">
        <w:fldChar w:fldCharType="begin"/>
      </w:r>
      <w:r w:rsidR="001E4DA7">
        <w:instrText xml:space="preserve"> REF _Ref221162252 \r \h </w:instrText>
      </w:r>
      <w:r w:rsidR="001E4DA7">
        <w:fldChar w:fldCharType="separate"/>
      </w:r>
      <w:r w:rsidR="001E4DA7">
        <w:t>14</w:t>
      </w:r>
      <w:r w:rsidR="001E4DA7">
        <w:fldChar w:fldCharType="end"/>
      </w:r>
      <w:r w:rsidR="001E4DA7">
        <w:t>,</w:t>
      </w:r>
      <w:r w:rsidR="001E4DA7">
        <w:fldChar w:fldCharType="begin"/>
      </w:r>
      <w:r w:rsidR="001E4DA7">
        <w:instrText xml:space="preserve"> REF _Ref221162286 \r \h </w:instrText>
      </w:r>
      <w:r w:rsidR="001E4DA7">
        <w:fldChar w:fldCharType="separate"/>
      </w:r>
      <w:r w:rsidR="001E4DA7">
        <w:t>15</w:t>
      </w:r>
      <w:r w:rsidR="001E4DA7">
        <w:fldChar w:fldCharType="end"/>
      </w:r>
      <w:r w:rsidR="003C1BA1">
        <w:t>]</w:t>
      </w:r>
      <w:r w:rsidR="00740A45">
        <w:t>.</w:t>
      </w:r>
    </w:p>
    <w:p w:rsidR="00373664" w:rsidRPr="00216CB4" w:rsidRDefault="00373664" w:rsidP="00216CB4">
      <w:pPr>
        <w:pStyle w:val="vineela"/>
        <w:rPr>
          <w:b/>
          <w:lang w:val="en-IN"/>
        </w:rPr>
      </w:pPr>
      <w:r w:rsidRPr="00216CB4">
        <w:rPr>
          <w:b/>
          <w:lang w:val="en-IN"/>
        </w:rPr>
        <w:t>Conclusion:</w:t>
      </w:r>
    </w:p>
    <w:p w:rsidR="00E36F18" w:rsidRDefault="00AA0BFA" w:rsidP="00216CB4">
      <w:pPr>
        <w:pStyle w:val="vineela"/>
        <w:rPr>
          <w:lang w:val="en-IN"/>
        </w:rPr>
      </w:pPr>
      <w:r w:rsidRPr="00AA0BFA">
        <w:rPr>
          <w:lang w:val="en-IN"/>
        </w:rPr>
        <w:t xml:space="preserve">In conclusion, this case highlights the possibility of developing acute and life-threatening hematologic disorders due to dapsone therapy in patients with pemphigus foliaceus, even when dapsone is used for treating other conditions for only short periods of time. Therefore, all pemphigus foliaceus patients being treated with dapsone should undergo baseline evaluations (blood tests to measure </w:t>
      </w:r>
      <w:proofErr w:type="spellStart"/>
      <w:r w:rsidRPr="00AA0BFA">
        <w:rPr>
          <w:lang w:val="en-IN"/>
        </w:rPr>
        <w:t>hemoglobin</w:t>
      </w:r>
      <w:proofErr w:type="spellEnd"/>
      <w:r w:rsidRPr="00AA0BFA">
        <w:rPr>
          <w:lang w:val="en-IN"/>
        </w:rPr>
        <w:t>), as well as being monitored regularly (every 2-4 weeks) for any abnormal blood counts, and immediate drug withdrawal upon recognition of any concerning laboratory results or other warning signs to reduce risk of death from haematologic-related complications of dapsone therapy.</w:t>
      </w:r>
    </w:p>
    <w:p w:rsidR="00761BD5" w:rsidRPr="00761BD5" w:rsidRDefault="00761BD5" w:rsidP="00216CB4">
      <w:pPr>
        <w:pStyle w:val="vineela"/>
        <w:rPr>
          <w:b/>
        </w:rPr>
      </w:pPr>
      <w:r w:rsidRPr="00761BD5">
        <w:rPr>
          <w:b/>
        </w:rPr>
        <w:t>Informed Consent</w:t>
      </w:r>
    </w:p>
    <w:p w:rsidR="00761BD5" w:rsidRDefault="00761BD5" w:rsidP="00216CB4">
      <w:pPr>
        <w:pStyle w:val="vineela"/>
      </w:pPr>
      <w:r>
        <w:t>Written informed consent was obtained from the patient for the publication of this case report and the accompanying clinical and laboratory data. All personal identifiers have been removed to ensure patient anonymity and confidentiality.</w:t>
      </w:r>
    </w:p>
    <w:p w:rsidR="003650F9" w:rsidRPr="003A29C6" w:rsidRDefault="003650F9" w:rsidP="003650F9">
      <w:pPr>
        <w:jc w:val="both"/>
        <w:outlineLvl w:val="0"/>
        <w:rPr>
          <w:rFonts w:ascii="Arial" w:hAnsi="Arial" w:cs="Arial"/>
        </w:rPr>
      </w:pPr>
      <w:r w:rsidRPr="003A29C6">
        <w:rPr>
          <w:rFonts w:ascii="Arial" w:hAnsi="Arial" w:cs="Arial"/>
          <w:b/>
          <w:bCs/>
        </w:rPr>
        <w:t>COMPETING INTERESTS DISCLAIMER:</w:t>
      </w:r>
    </w:p>
    <w:p w:rsidR="003650F9" w:rsidRPr="00F12AB1" w:rsidRDefault="003650F9" w:rsidP="003650F9">
      <w:pPr>
        <w:rPr>
          <w:rFonts w:ascii="Times New Roman" w:hAnsi="Times New Roman" w:cs="Times New Roman"/>
        </w:rPr>
      </w:pPr>
      <w:r w:rsidRPr="00F12AB1">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B845EC" w:rsidRPr="00A33954" w:rsidRDefault="00B845EC" w:rsidP="00B845EC">
      <w:pPr>
        <w:keepNext/>
        <w:keepLines/>
        <w:spacing w:before="120" w:after="120" w:line="360" w:lineRule="auto"/>
        <w:jc w:val="both"/>
        <w:outlineLvl w:val="1"/>
        <w:rPr>
          <w:rFonts w:ascii="Times New Roman" w:eastAsia="Times New Roman" w:hAnsi="Times New Roman" w:cs="Times New Roman"/>
          <w:b/>
          <w:bCs/>
          <w:sz w:val="24"/>
          <w:szCs w:val="24"/>
          <w:highlight w:val="yellow"/>
          <w:lang w:eastAsia="en-IN"/>
        </w:rPr>
      </w:pPr>
      <w:bookmarkStart w:id="2" w:name="_Hlk218867759"/>
      <w:bookmarkStart w:id="3" w:name="_Hlk219125673"/>
      <w:bookmarkStart w:id="4" w:name="_GoBack"/>
      <w:r w:rsidRPr="00A33954">
        <w:rPr>
          <w:rFonts w:ascii="Times New Roman" w:eastAsia="Times New Roman" w:hAnsi="Times New Roman" w:cs="Times New Roman"/>
          <w:b/>
          <w:bCs/>
          <w:sz w:val="24"/>
          <w:szCs w:val="24"/>
          <w:highlight w:val="yellow"/>
          <w:lang w:eastAsia="en-IN"/>
        </w:rPr>
        <w:t>Disclaimer (Artificial intelligence)</w:t>
      </w:r>
    </w:p>
    <w:bookmarkEnd w:id="4"/>
    <w:p w:rsidR="003650F9" w:rsidRPr="00C20E6F" w:rsidRDefault="00B845EC" w:rsidP="00C20E6F">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bookmarkEnd w:id="2"/>
      <w:bookmarkEnd w:id="3"/>
    </w:p>
    <w:p w:rsidR="003E5CB0" w:rsidRPr="003E5CB0" w:rsidRDefault="003E5CB0" w:rsidP="003E5CB0">
      <w:pPr>
        <w:rPr>
          <w:rFonts w:ascii="Times New Roman" w:hAnsi="Times New Roman" w:cs="Times New Roman"/>
          <w:b/>
          <w:bCs/>
          <w:sz w:val="24"/>
          <w:szCs w:val="24"/>
        </w:rPr>
      </w:pPr>
      <w:r>
        <w:rPr>
          <w:rFonts w:ascii="Times New Roman" w:hAnsi="Times New Roman" w:cs="Times New Roman"/>
          <w:b/>
          <w:bCs/>
          <w:sz w:val="24"/>
          <w:szCs w:val="24"/>
        </w:rPr>
        <w:t>REFERENCES</w:t>
      </w:r>
    </w:p>
    <w:p w:rsidR="00AA0BFA" w:rsidRPr="00216CB4" w:rsidRDefault="003E5CB0" w:rsidP="003E5CB0">
      <w:pPr>
        <w:pStyle w:val="ListParagraph"/>
        <w:numPr>
          <w:ilvl w:val="0"/>
          <w:numId w:val="1"/>
        </w:numPr>
        <w:rPr>
          <w:rFonts w:ascii="Times New Roman" w:hAnsi="Times New Roman" w:cs="Times New Roman"/>
          <w:sz w:val="24"/>
          <w:szCs w:val="24"/>
        </w:rPr>
      </w:pPr>
      <w:bookmarkStart w:id="5" w:name="_Ref220504787"/>
      <w:proofErr w:type="spellStart"/>
      <w:r w:rsidRPr="00216CB4">
        <w:rPr>
          <w:rFonts w:ascii="Times New Roman" w:hAnsi="Times New Roman" w:cs="Times New Roman"/>
          <w:sz w:val="24"/>
          <w:szCs w:val="24"/>
          <w:shd w:val="clear" w:color="auto" w:fill="FFFFFF"/>
        </w:rPr>
        <w:t>Tavakolpour</w:t>
      </w:r>
      <w:proofErr w:type="spellEnd"/>
      <w:r w:rsidRPr="00216CB4">
        <w:rPr>
          <w:rFonts w:ascii="Times New Roman" w:hAnsi="Times New Roman" w:cs="Times New Roman"/>
          <w:sz w:val="24"/>
          <w:szCs w:val="24"/>
          <w:shd w:val="clear" w:color="auto" w:fill="FFFFFF"/>
        </w:rPr>
        <w:t xml:space="preserve"> S. Pemphigus trigger factors: special focus on pemphigus vulgaris and pemphigus foliaceus. Archives of dermatological research. 2018 Mar;310(2):95-106. </w:t>
      </w:r>
      <w:hyperlink r:id="rId7" w:history="1">
        <w:r w:rsidRPr="00216CB4">
          <w:rPr>
            <w:rStyle w:val="Hyperlink"/>
            <w:rFonts w:ascii="Times New Roman" w:hAnsi="Times New Roman" w:cs="Times New Roman"/>
            <w:sz w:val="24"/>
            <w:szCs w:val="24"/>
            <w:shd w:val="clear" w:color="auto" w:fill="FFFFFF"/>
          </w:rPr>
          <w:t>https://doi.org/10.1111/ced.14041</w:t>
        </w:r>
      </w:hyperlink>
      <w:bookmarkEnd w:id="5"/>
    </w:p>
    <w:p w:rsidR="003E5CB0" w:rsidRPr="00216CB4" w:rsidRDefault="003E5CB0" w:rsidP="003E5CB0">
      <w:pPr>
        <w:pStyle w:val="ListParagraph"/>
        <w:numPr>
          <w:ilvl w:val="0"/>
          <w:numId w:val="1"/>
        </w:numPr>
        <w:rPr>
          <w:rFonts w:ascii="Times New Roman" w:hAnsi="Times New Roman" w:cs="Times New Roman"/>
          <w:sz w:val="24"/>
          <w:szCs w:val="24"/>
        </w:rPr>
      </w:pPr>
      <w:bookmarkStart w:id="6" w:name="_Ref220504793"/>
      <w:r w:rsidRPr="00216CB4">
        <w:rPr>
          <w:rFonts w:ascii="Times New Roman" w:hAnsi="Times New Roman" w:cs="Times New Roman"/>
          <w:sz w:val="24"/>
          <w:szCs w:val="24"/>
          <w:shd w:val="clear" w:color="auto" w:fill="FFFFFF"/>
        </w:rPr>
        <w:t xml:space="preserve">Carver CA, </w:t>
      </w:r>
      <w:proofErr w:type="spellStart"/>
      <w:r w:rsidRPr="00216CB4">
        <w:rPr>
          <w:rFonts w:ascii="Times New Roman" w:hAnsi="Times New Roman" w:cs="Times New Roman"/>
          <w:sz w:val="24"/>
          <w:szCs w:val="24"/>
          <w:shd w:val="clear" w:color="auto" w:fill="FFFFFF"/>
        </w:rPr>
        <w:t>Kalesinskas</w:t>
      </w:r>
      <w:proofErr w:type="spellEnd"/>
      <w:r w:rsidRPr="00216CB4">
        <w:rPr>
          <w:rFonts w:ascii="Times New Roman" w:hAnsi="Times New Roman" w:cs="Times New Roman"/>
          <w:sz w:val="24"/>
          <w:szCs w:val="24"/>
          <w:shd w:val="clear" w:color="auto" w:fill="FFFFFF"/>
        </w:rPr>
        <w:t xml:space="preserve"> M, Ahmed AR. Current biologics in treatment of pemphigus foliaceus: a systematic review. Frontiers in Immunology. 2023 Oct </w:t>
      </w:r>
      <w:proofErr w:type="gramStart"/>
      <w:r w:rsidRPr="00216CB4">
        <w:rPr>
          <w:rFonts w:ascii="Times New Roman" w:hAnsi="Times New Roman" w:cs="Times New Roman"/>
          <w:sz w:val="24"/>
          <w:szCs w:val="24"/>
          <w:shd w:val="clear" w:color="auto" w:fill="FFFFFF"/>
        </w:rPr>
        <w:t>12;14:1267668</w:t>
      </w:r>
      <w:proofErr w:type="gramEnd"/>
      <w:r w:rsidRPr="00216CB4">
        <w:rPr>
          <w:rFonts w:ascii="Times New Roman" w:hAnsi="Times New Roman" w:cs="Times New Roman"/>
          <w:sz w:val="24"/>
          <w:szCs w:val="24"/>
          <w:shd w:val="clear" w:color="auto" w:fill="FFFFFF"/>
        </w:rPr>
        <w:t>.</w:t>
      </w:r>
      <w:hyperlink r:id="rId8" w:history="1">
        <w:r w:rsidRPr="00216CB4">
          <w:rPr>
            <w:rStyle w:val="Hyperlink"/>
            <w:rFonts w:ascii="Times New Roman" w:hAnsi="Times New Roman" w:cs="Times New Roman"/>
            <w:sz w:val="24"/>
            <w:szCs w:val="24"/>
          </w:rPr>
          <w:t>https://doi.org/10.3389/fimmu.2023.1267668</w:t>
        </w:r>
      </w:hyperlink>
      <w:bookmarkEnd w:id="6"/>
    </w:p>
    <w:p w:rsidR="008037B0" w:rsidRPr="00216CB4" w:rsidRDefault="008037B0" w:rsidP="003E5CB0">
      <w:pPr>
        <w:pStyle w:val="ListParagraph"/>
        <w:numPr>
          <w:ilvl w:val="0"/>
          <w:numId w:val="1"/>
        </w:numPr>
        <w:rPr>
          <w:rFonts w:ascii="Times New Roman" w:hAnsi="Times New Roman" w:cs="Times New Roman"/>
          <w:sz w:val="24"/>
          <w:szCs w:val="24"/>
        </w:rPr>
      </w:pPr>
      <w:bookmarkStart w:id="7" w:name="_Ref220504799"/>
      <w:r w:rsidRPr="00216CB4">
        <w:rPr>
          <w:rFonts w:ascii="Times New Roman" w:hAnsi="Times New Roman" w:cs="Times New Roman"/>
          <w:sz w:val="24"/>
          <w:szCs w:val="24"/>
          <w:shd w:val="clear" w:color="auto" w:fill="FFFFFF"/>
        </w:rPr>
        <w:t xml:space="preserve">Ghosh R, Mondal S, Roy D, Ray A, Mandal A, Benito-León J. A case of primary disseminated </w:t>
      </w:r>
      <w:proofErr w:type="spellStart"/>
      <w:r w:rsidRPr="00216CB4">
        <w:rPr>
          <w:rFonts w:ascii="Times New Roman" w:hAnsi="Times New Roman" w:cs="Times New Roman"/>
          <w:sz w:val="24"/>
          <w:szCs w:val="24"/>
          <w:shd w:val="clear" w:color="auto" w:fill="FFFFFF"/>
        </w:rPr>
        <w:t>rhinosporidiosis</w:t>
      </w:r>
      <w:proofErr w:type="spellEnd"/>
      <w:r w:rsidRPr="00216CB4">
        <w:rPr>
          <w:rFonts w:ascii="Times New Roman" w:hAnsi="Times New Roman" w:cs="Times New Roman"/>
          <w:sz w:val="24"/>
          <w:szCs w:val="24"/>
          <w:shd w:val="clear" w:color="auto" w:fill="FFFFFF"/>
        </w:rPr>
        <w:t xml:space="preserve"> and dapsone-induced autoimmune hemolytic anemia: A therapeutic misadventure. </w:t>
      </w:r>
      <w:proofErr w:type="spellStart"/>
      <w:r w:rsidRPr="00216CB4">
        <w:rPr>
          <w:rFonts w:ascii="Times New Roman" w:hAnsi="Times New Roman" w:cs="Times New Roman"/>
          <w:sz w:val="24"/>
          <w:szCs w:val="24"/>
          <w:shd w:val="clear" w:color="auto" w:fill="FFFFFF"/>
        </w:rPr>
        <w:t>IDCases</w:t>
      </w:r>
      <w:proofErr w:type="spellEnd"/>
      <w:r w:rsidRPr="00216CB4">
        <w:rPr>
          <w:rFonts w:ascii="Times New Roman" w:hAnsi="Times New Roman" w:cs="Times New Roman"/>
          <w:sz w:val="24"/>
          <w:szCs w:val="24"/>
          <w:shd w:val="clear" w:color="auto" w:fill="FFFFFF"/>
        </w:rPr>
        <w:t>. 2021 Jan 1;</w:t>
      </w:r>
      <w:proofErr w:type="gramStart"/>
      <w:r w:rsidRPr="00216CB4">
        <w:rPr>
          <w:rFonts w:ascii="Times New Roman" w:hAnsi="Times New Roman" w:cs="Times New Roman"/>
          <w:sz w:val="24"/>
          <w:szCs w:val="24"/>
          <w:shd w:val="clear" w:color="auto" w:fill="FFFFFF"/>
        </w:rPr>
        <w:t>24:e</w:t>
      </w:r>
      <w:proofErr w:type="gramEnd"/>
      <w:r w:rsidRPr="00216CB4">
        <w:rPr>
          <w:rFonts w:ascii="Times New Roman" w:hAnsi="Times New Roman" w:cs="Times New Roman"/>
          <w:sz w:val="24"/>
          <w:szCs w:val="24"/>
          <w:shd w:val="clear" w:color="auto" w:fill="FFFFFF"/>
        </w:rPr>
        <w:t>01076.</w:t>
      </w:r>
      <w:hyperlink r:id="rId9" w:history="1">
        <w:r w:rsidRPr="00216CB4">
          <w:rPr>
            <w:rStyle w:val="Hyperlink"/>
            <w:rFonts w:ascii="Times New Roman" w:hAnsi="Times New Roman" w:cs="Times New Roman"/>
            <w:sz w:val="24"/>
            <w:szCs w:val="24"/>
          </w:rPr>
          <w:t>https://doi.org/10.1016/j.idcr.2021.e01076</w:t>
        </w:r>
      </w:hyperlink>
      <w:bookmarkEnd w:id="7"/>
    </w:p>
    <w:p w:rsidR="009A6579" w:rsidRPr="00216CB4" w:rsidRDefault="008037B0" w:rsidP="009A6579">
      <w:pPr>
        <w:pStyle w:val="ListParagraph"/>
        <w:numPr>
          <w:ilvl w:val="0"/>
          <w:numId w:val="1"/>
        </w:numPr>
        <w:rPr>
          <w:rFonts w:ascii="Times New Roman" w:hAnsi="Times New Roman" w:cs="Times New Roman"/>
          <w:sz w:val="24"/>
          <w:szCs w:val="24"/>
        </w:rPr>
      </w:pPr>
      <w:bookmarkStart w:id="8" w:name="_Ref220504806"/>
      <w:r w:rsidRPr="00216CB4">
        <w:rPr>
          <w:rFonts w:ascii="Times New Roman" w:hAnsi="Times New Roman" w:cs="Times New Roman"/>
          <w:sz w:val="24"/>
          <w:szCs w:val="24"/>
          <w:shd w:val="clear" w:color="auto" w:fill="FFFFFF"/>
        </w:rPr>
        <w:t xml:space="preserve">Toyoshima T, Harada Y, Morikawa T, Shimizu T. Dapsone-induced Heinz-body </w:t>
      </w:r>
      <w:proofErr w:type="spellStart"/>
      <w:r w:rsidRPr="00216CB4">
        <w:rPr>
          <w:rFonts w:ascii="Times New Roman" w:hAnsi="Times New Roman" w:cs="Times New Roman"/>
          <w:sz w:val="24"/>
          <w:szCs w:val="24"/>
          <w:shd w:val="clear" w:color="auto" w:fill="FFFFFF"/>
        </w:rPr>
        <w:t>haemolyticanaemia</w:t>
      </w:r>
      <w:proofErr w:type="spellEnd"/>
      <w:r w:rsidRPr="00216CB4">
        <w:rPr>
          <w:rFonts w:ascii="Times New Roman" w:hAnsi="Times New Roman" w:cs="Times New Roman"/>
          <w:sz w:val="24"/>
          <w:szCs w:val="24"/>
          <w:shd w:val="clear" w:color="auto" w:fill="FFFFFF"/>
        </w:rPr>
        <w:t>. BMJ Case Reports. 2023 Oct 1;16(10</w:t>
      </w:r>
      <w:proofErr w:type="gramStart"/>
      <w:r w:rsidRPr="00216CB4">
        <w:rPr>
          <w:rFonts w:ascii="Times New Roman" w:hAnsi="Times New Roman" w:cs="Times New Roman"/>
          <w:sz w:val="24"/>
          <w:szCs w:val="24"/>
          <w:shd w:val="clear" w:color="auto" w:fill="FFFFFF"/>
        </w:rPr>
        <w:t>):e</w:t>
      </w:r>
      <w:proofErr w:type="gramEnd"/>
      <w:r w:rsidRPr="00216CB4">
        <w:rPr>
          <w:rFonts w:ascii="Times New Roman" w:hAnsi="Times New Roman" w:cs="Times New Roman"/>
          <w:sz w:val="24"/>
          <w:szCs w:val="24"/>
          <w:shd w:val="clear" w:color="auto" w:fill="FFFFFF"/>
        </w:rPr>
        <w:t xml:space="preserve">256775. </w:t>
      </w:r>
      <w:hyperlink r:id="rId10" w:history="1">
        <w:r w:rsidRPr="00216CB4">
          <w:rPr>
            <w:rStyle w:val="Hyperlink"/>
            <w:rFonts w:ascii="Times New Roman" w:hAnsi="Times New Roman" w:cs="Times New Roman"/>
            <w:sz w:val="24"/>
            <w:szCs w:val="24"/>
            <w:shd w:val="clear" w:color="auto" w:fill="FFFFFF"/>
          </w:rPr>
          <w:t>https://doi.org/10.1136/bcr-2023-256775</w:t>
        </w:r>
      </w:hyperlink>
      <w:bookmarkStart w:id="9" w:name="_Ref217173128"/>
      <w:bookmarkStart w:id="10" w:name="_Ref215789308"/>
      <w:bookmarkEnd w:id="8"/>
    </w:p>
    <w:p w:rsidR="009A6579" w:rsidRPr="00216CB4" w:rsidRDefault="009A6579" w:rsidP="009A6579">
      <w:pPr>
        <w:pStyle w:val="ListParagraph"/>
        <w:numPr>
          <w:ilvl w:val="0"/>
          <w:numId w:val="1"/>
        </w:numPr>
        <w:rPr>
          <w:rFonts w:ascii="Times New Roman" w:hAnsi="Times New Roman" w:cs="Times New Roman"/>
          <w:sz w:val="24"/>
          <w:szCs w:val="24"/>
        </w:rPr>
      </w:pPr>
      <w:bookmarkStart w:id="11" w:name="_Ref220504818"/>
      <w:r w:rsidRPr="00216CB4">
        <w:rPr>
          <w:rStyle w:val="vineelaChar"/>
          <w:szCs w:val="24"/>
        </w:rPr>
        <w:lastRenderedPageBreak/>
        <w:t xml:space="preserve">Shukla, A. K., </w:t>
      </w:r>
      <w:proofErr w:type="spellStart"/>
      <w:r w:rsidRPr="00216CB4">
        <w:rPr>
          <w:rStyle w:val="vineelaChar"/>
          <w:szCs w:val="24"/>
        </w:rPr>
        <w:t>Jhaj</w:t>
      </w:r>
      <w:proofErr w:type="spellEnd"/>
      <w:r w:rsidRPr="00216CB4">
        <w:rPr>
          <w:rStyle w:val="vineelaChar"/>
          <w:szCs w:val="24"/>
        </w:rPr>
        <w:t xml:space="preserve">, R., </w:t>
      </w:r>
      <w:proofErr w:type="spellStart"/>
      <w:r w:rsidRPr="00216CB4">
        <w:rPr>
          <w:rStyle w:val="vineelaChar"/>
          <w:szCs w:val="24"/>
        </w:rPr>
        <w:t>Misra</w:t>
      </w:r>
      <w:proofErr w:type="spellEnd"/>
      <w:r w:rsidRPr="00216CB4">
        <w:rPr>
          <w:rStyle w:val="vineelaChar"/>
          <w:szCs w:val="24"/>
        </w:rPr>
        <w:t xml:space="preserve">, S., Ahmed, S. N., Nanda, M., &amp; Chaudhary, D. (2021). Agreement between WHO-UMC causality scale and the Naranjo algorithm for causality assessment of adverse drug reactions. Journal of Family Medicine and Primary Care, 10(9), 3303-3308. </w:t>
      </w:r>
      <w:hyperlink r:id="rId11" w:history="1">
        <w:r w:rsidRPr="00216CB4">
          <w:rPr>
            <w:rStyle w:val="Hyperlink"/>
            <w:rFonts w:ascii="Times New Roman" w:hAnsi="Times New Roman" w:cs="Times New Roman"/>
            <w:sz w:val="24"/>
            <w:szCs w:val="24"/>
          </w:rPr>
          <w:t>https://doi.org/10.4103/jfmpc.jfmpc_831_21</w:t>
        </w:r>
      </w:hyperlink>
      <w:bookmarkEnd w:id="9"/>
      <w:bookmarkEnd w:id="11"/>
    </w:p>
    <w:p w:rsidR="00216CB4" w:rsidRPr="00216CB4" w:rsidRDefault="00216CB4" w:rsidP="00216CB4">
      <w:pPr>
        <w:pStyle w:val="ListParagraph"/>
        <w:numPr>
          <w:ilvl w:val="0"/>
          <w:numId w:val="1"/>
        </w:numPr>
        <w:rPr>
          <w:rFonts w:ascii="Times New Roman" w:hAnsi="Times New Roman" w:cs="Times New Roman"/>
          <w:sz w:val="24"/>
          <w:szCs w:val="24"/>
        </w:rPr>
      </w:pPr>
      <w:bookmarkStart w:id="12" w:name="_Ref220504828"/>
      <w:bookmarkEnd w:id="10"/>
      <w:r w:rsidRPr="00216CB4">
        <w:rPr>
          <w:rFonts w:ascii="Times New Roman" w:hAnsi="Times New Roman" w:cs="Times New Roman"/>
          <w:color w:val="222222"/>
          <w:sz w:val="24"/>
          <w:szCs w:val="24"/>
          <w:shd w:val="clear" w:color="auto" w:fill="FFFFFF"/>
        </w:rPr>
        <w:t xml:space="preserve">Lovell KK, Momin RI, Sangha HS, Feldman SR, Pichardo RO. Dapsone use in dermatology. American Journal of Clinical Dermatology. 2024 Sep;25(5):811-22. </w:t>
      </w:r>
      <w:hyperlink r:id="rId12" w:history="1">
        <w:r w:rsidRPr="00216CB4">
          <w:rPr>
            <w:rStyle w:val="Hyperlink"/>
            <w:rFonts w:ascii="Times New Roman" w:hAnsi="Times New Roman" w:cs="Times New Roman"/>
            <w:sz w:val="24"/>
            <w:szCs w:val="24"/>
            <w:shd w:val="clear" w:color="auto" w:fill="FFFFFF"/>
          </w:rPr>
          <w:t>https://doi.org/10.1007/s40257-024-00879-8</w:t>
        </w:r>
      </w:hyperlink>
      <w:bookmarkEnd w:id="12"/>
    </w:p>
    <w:p w:rsidR="00216CB4" w:rsidRPr="00216CB4" w:rsidRDefault="00216CB4" w:rsidP="00216CB4">
      <w:pPr>
        <w:pStyle w:val="ListParagraph"/>
        <w:numPr>
          <w:ilvl w:val="0"/>
          <w:numId w:val="1"/>
        </w:numPr>
        <w:rPr>
          <w:rFonts w:ascii="Times New Roman" w:hAnsi="Times New Roman" w:cs="Times New Roman"/>
          <w:sz w:val="24"/>
          <w:szCs w:val="24"/>
        </w:rPr>
      </w:pPr>
      <w:bookmarkStart w:id="13" w:name="_Ref220504834"/>
      <w:proofErr w:type="spellStart"/>
      <w:r w:rsidRPr="00216CB4">
        <w:rPr>
          <w:rFonts w:ascii="Times New Roman" w:hAnsi="Times New Roman" w:cs="Times New Roman"/>
          <w:sz w:val="24"/>
          <w:szCs w:val="24"/>
          <w:shd w:val="clear" w:color="auto" w:fill="FFFFFF"/>
        </w:rPr>
        <w:t>Karunarathna</w:t>
      </w:r>
      <w:proofErr w:type="spellEnd"/>
      <w:r w:rsidRPr="00216CB4">
        <w:rPr>
          <w:rFonts w:ascii="Times New Roman" w:hAnsi="Times New Roman" w:cs="Times New Roman"/>
          <w:sz w:val="24"/>
          <w:szCs w:val="24"/>
          <w:shd w:val="clear" w:color="auto" w:fill="FFFFFF"/>
        </w:rPr>
        <w:t xml:space="preserve"> I, </w:t>
      </w:r>
      <w:proofErr w:type="spellStart"/>
      <w:r w:rsidRPr="00216CB4">
        <w:rPr>
          <w:rFonts w:ascii="Times New Roman" w:hAnsi="Times New Roman" w:cs="Times New Roman"/>
          <w:sz w:val="24"/>
          <w:szCs w:val="24"/>
          <w:shd w:val="clear" w:color="auto" w:fill="FFFFFF"/>
        </w:rPr>
        <w:t>Gunawardana</w:t>
      </w:r>
      <w:proofErr w:type="spellEnd"/>
      <w:r w:rsidRPr="00216CB4">
        <w:rPr>
          <w:rFonts w:ascii="Times New Roman" w:hAnsi="Times New Roman" w:cs="Times New Roman"/>
          <w:sz w:val="24"/>
          <w:szCs w:val="24"/>
          <w:shd w:val="clear" w:color="auto" w:fill="FFFFFF"/>
        </w:rPr>
        <w:t xml:space="preserve"> K, </w:t>
      </w:r>
      <w:proofErr w:type="spellStart"/>
      <w:r w:rsidRPr="00216CB4">
        <w:rPr>
          <w:rFonts w:ascii="Times New Roman" w:hAnsi="Times New Roman" w:cs="Times New Roman"/>
          <w:sz w:val="24"/>
          <w:szCs w:val="24"/>
          <w:shd w:val="clear" w:color="auto" w:fill="FFFFFF"/>
        </w:rPr>
        <w:t>Aluthge</w:t>
      </w:r>
      <w:proofErr w:type="spellEnd"/>
      <w:r w:rsidRPr="00216CB4">
        <w:rPr>
          <w:rFonts w:ascii="Times New Roman" w:hAnsi="Times New Roman" w:cs="Times New Roman"/>
          <w:sz w:val="24"/>
          <w:szCs w:val="24"/>
          <w:shd w:val="clear" w:color="auto" w:fill="FFFFFF"/>
        </w:rPr>
        <w:t xml:space="preserve"> P, </w:t>
      </w:r>
      <w:proofErr w:type="spellStart"/>
      <w:r w:rsidRPr="00216CB4">
        <w:rPr>
          <w:rFonts w:ascii="Times New Roman" w:hAnsi="Times New Roman" w:cs="Times New Roman"/>
          <w:sz w:val="24"/>
          <w:szCs w:val="24"/>
          <w:shd w:val="clear" w:color="auto" w:fill="FFFFFF"/>
        </w:rPr>
        <w:t>Hapuarachchi</w:t>
      </w:r>
      <w:proofErr w:type="spellEnd"/>
      <w:r w:rsidRPr="00216CB4">
        <w:rPr>
          <w:rFonts w:ascii="Times New Roman" w:hAnsi="Times New Roman" w:cs="Times New Roman"/>
          <w:sz w:val="24"/>
          <w:szCs w:val="24"/>
          <w:shd w:val="clear" w:color="auto" w:fill="FFFFFF"/>
        </w:rPr>
        <w:t xml:space="preserve"> T, </w:t>
      </w:r>
      <w:proofErr w:type="spellStart"/>
      <w:r w:rsidRPr="00216CB4">
        <w:rPr>
          <w:rFonts w:ascii="Times New Roman" w:hAnsi="Times New Roman" w:cs="Times New Roman"/>
          <w:sz w:val="24"/>
          <w:szCs w:val="24"/>
          <w:shd w:val="clear" w:color="auto" w:fill="FFFFFF"/>
        </w:rPr>
        <w:t>Gunasena</w:t>
      </w:r>
      <w:proofErr w:type="spellEnd"/>
      <w:r w:rsidRPr="00216CB4">
        <w:rPr>
          <w:rFonts w:ascii="Times New Roman" w:hAnsi="Times New Roman" w:cs="Times New Roman"/>
          <w:sz w:val="24"/>
          <w:szCs w:val="24"/>
          <w:shd w:val="clear" w:color="auto" w:fill="FFFFFF"/>
        </w:rPr>
        <w:t xml:space="preserve"> P, </w:t>
      </w:r>
      <w:proofErr w:type="spellStart"/>
      <w:r w:rsidRPr="00216CB4">
        <w:rPr>
          <w:rFonts w:ascii="Times New Roman" w:hAnsi="Times New Roman" w:cs="Times New Roman"/>
          <w:sz w:val="24"/>
          <w:szCs w:val="24"/>
          <w:shd w:val="clear" w:color="auto" w:fill="FFFFFF"/>
        </w:rPr>
        <w:t>Ekanayake</w:t>
      </w:r>
      <w:proofErr w:type="spellEnd"/>
      <w:r w:rsidRPr="00216CB4">
        <w:rPr>
          <w:rFonts w:ascii="Times New Roman" w:hAnsi="Times New Roman" w:cs="Times New Roman"/>
          <w:sz w:val="24"/>
          <w:szCs w:val="24"/>
          <w:shd w:val="clear" w:color="auto" w:fill="FFFFFF"/>
        </w:rPr>
        <w:t xml:space="preserve"> U, </w:t>
      </w:r>
      <w:proofErr w:type="spellStart"/>
      <w:r w:rsidRPr="00216CB4">
        <w:rPr>
          <w:rFonts w:ascii="Times New Roman" w:hAnsi="Times New Roman" w:cs="Times New Roman"/>
          <w:sz w:val="24"/>
          <w:szCs w:val="24"/>
          <w:shd w:val="clear" w:color="auto" w:fill="FFFFFF"/>
        </w:rPr>
        <w:t>Rajapaksha</w:t>
      </w:r>
      <w:proofErr w:type="spellEnd"/>
      <w:r w:rsidRPr="00216CB4">
        <w:rPr>
          <w:rFonts w:ascii="Times New Roman" w:hAnsi="Times New Roman" w:cs="Times New Roman"/>
          <w:sz w:val="24"/>
          <w:szCs w:val="24"/>
          <w:shd w:val="clear" w:color="auto" w:fill="FFFFFF"/>
        </w:rPr>
        <w:t xml:space="preserve"> S, </w:t>
      </w:r>
      <w:proofErr w:type="spellStart"/>
      <w:r w:rsidRPr="00216CB4">
        <w:rPr>
          <w:rFonts w:ascii="Times New Roman" w:hAnsi="Times New Roman" w:cs="Times New Roman"/>
          <w:sz w:val="24"/>
          <w:szCs w:val="24"/>
          <w:shd w:val="clear" w:color="auto" w:fill="FFFFFF"/>
        </w:rPr>
        <w:t>Bandara</w:t>
      </w:r>
      <w:proofErr w:type="spellEnd"/>
      <w:r w:rsidRPr="00216CB4">
        <w:rPr>
          <w:rFonts w:ascii="Times New Roman" w:hAnsi="Times New Roman" w:cs="Times New Roman"/>
          <w:sz w:val="24"/>
          <w:szCs w:val="24"/>
          <w:shd w:val="clear" w:color="auto" w:fill="FFFFFF"/>
        </w:rPr>
        <w:t xml:space="preserve"> S, </w:t>
      </w:r>
      <w:proofErr w:type="spellStart"/>
      <w:r w:rsidRPr="00216CB4">
        <w:rPr>
          <w:rFonts w:ascii="Times New Roman" w:hAnsi="Times New Roman" w:cs="Times New Roman"/>
          <w:sz w:val="24"/>
          <w:szCs w:val="24"/>
          <w:shd w:val="clear" w:color="auto" w:fill="FFFFFF"/>
        </w:rPr>
        <w:t>Jayawardana</w:t>
      </w:r>
      <w:proofErr w:type="spellEnd"/>
      <w:r w:rsidRPr="00216CB4">
        <w:rPr>
          <w:rFonts w:ascii="Times New Roman" w:hAnsi="Times New Roman" w:cs="Times New Roman"/>
          <w:sz w:val="24"/>
          <w:szCs w:val="24"/>
          <w:shd w:val="clear" w:color="auto" w:fill="FFFFFF"/>
        </w:rPr>
        <w:t xml:space="preserve"> A, Kapila De Alvis S. Therapeutic Applications</w:t>
      </w:r>
      <w:r w:rsidRPr="00216CB4">
        <w:rPr>
          <w:rFonts w:ascii="Times New Roman" w:hAnsi="Times New Roman" w:cs="Times New Roman"/>
          <w:sz w:val="24"/>
          <w:shd w:val="clear" w:color="auto" w:fill="FFFFFF"/>
        </w:rPr>
        <w:t xml:space="preserve"> of Dapsone: Mechanisms, Risks, and Clinical Management.</w:t>
      </w:r>
      <w:bookmarkEnd w:id="13"/>
    </w:p>
    <w:p w:rsidR="00C20E6F" w:rsidRPr="008E2BF3" w:rsidRDefault="00C20E6F" w:rsidP="00216CB4">
      <w:pPr>
        <w:pStyle w:val="ListParagraph"/>
        <w:numPr>
          <w:ilvl w:val="0"/>
          <w:numId w:val="1"/>
        </w:numPr>
        <w:rPr>
          <w:rFonts w:ascii="Times New Roman" w:hAnsi="Times New Roman" w:cs="Times New Roman"/>
          <w:sz w:val="24"/>
          <w:szCs w:val="24"/>
        </w:rPr>
      </w:pPr>
      <w:bookmarkStart w:id="14" w:name="_Ref221046796"/>
      <w:r w:rsidRPr="00C20E6F">
        <w:rPr>
          <w:rFonts w:ascii="Times New Roman" w:hAnsi="Times New Roman" w:cs="Times New Roman"/>
          <w:sz w:val="24"/>
          <w:shd w:val="clear" w:color="auto" w:fill="FFFFFF"/>
        </w:rPr>
        <w:t xml:space="preserve">Grossman S, </w:t>
      </w:r>
      <w:proofErr w:type="spellStart"/>
      <w:r w:rsidRPr="00C20E6F">
        <w:rPr>
          <w:rFonts w:ascii="Times New Roman" w:hAnsi="Times New Roman" w:cs="Times New Roman"/>
          <w:sz w:val="24"/>
          <w:shd w:val="clear" w:color="auto" w:fill="FFFFFF"/>
        </w:rPr>
        <w:t>Budinsky</w:t>
      </w:r>
      <w:proofErr w:type="spellEnd"/>
      <w:r w:rsidRPr="00C20E6F">
        <w:rPr>
          <w:rFonts w:ascii="Times New Roman" w:hAnsi="Times New Roman" w:cs="Times New Roman"/>
          <w:sz w:val="24"/>
          <w:shd w:val="clear" w:color="auto" w:fill="FFFFFF"/>
        </w:rPr>
        <w:t xml:space="preserve"> R, </w:t>
      </w:r>
      <w:proofErr w:type="spellStart"/>
      <w:r w:rsidRPr="00C20E6F">
        <w:rPr>
          <w:rFonts w:ascii="Times New Roman" w:hAnsi="Times New Roman" w:cs="Times New Roman"/>
          <w:sz w:val="24"/>
          <w:shd w:val="clear" w:color="auto" w:fill="FFFFFF"/>
        </w:rPr>
        <w:t>Jollow</w:t>
      </w:r>
      <w:proofErr w:type="spellEnd"/>
      <w:r w:rsidRPr="00C20E6F">
        <w:rPr>
          <w:rFonts w:ascii="Times New Roman" w:hAnsi="Times New Roman" w:cs="Times New Roman"/>
          <w:sz w:val="24"/>
          <w:shd w:val="clear" w:color="auto" w:fill="FFFFFF"/>
        </w:rPr>
        <w:t xml:space="preserve"> D. Dapsone-induced hemolytic anemia: role of glucose-6-phosphate dehydrogenase in the hemolytic response of rat erythrocytes to N-</w:t>
      </w:r>
      <w:proofErr w:type="spellStart"/>
      <w:r w:rsidRPr="00C20E6F">
        <w:rPr>
          <w:rFonts w:ascii="Times New Roman" w:hAnsi="Times New Roman" w:cs="Times New Roman"/>
          <w:sz w:val="24"/>
          <w:shd w:val="clear" w:color="auto" w:fill="FFFFFF"/>
        </w:rPr>
        <w:t>hydroxydapsone</w:t>
      </w:r>
      <w:proofErr w:type="spellEnd"/>
      <w:r w:rsidRPr="00C20E6F">
        <w:rPr>
          <w:rFonts w:ascii="Times New Roman" w:hAnsi="Times New Roman" w:cs="Times New Roman"/>
          <w:sz w:val="24"/>
          <w:shd w:val="clear" w:color="auto" w:fill="FFFFFF"/>
        </w:rPr>
        <w:t xml:space="preserve">. J </w:t>
      </w:r>
      <w:proofErr w:type="spellStart"/>
      <w:r w:rsidRPr="00C20E6F">
        <w:rPr>
          <w:rFonts w:ascii="Times New Roman" w:hAnsi="Times New Roman" w:cs="Times New Roman"/>
          <w:sz w:val="24"/>
          <w:shd w:val="clear" w:color="auto" w:fill="FFFFFF"/>
        </w:rPr>
        <w:t>Pharmacol</w:t>
      </w:r>
      <w:proofErr w:type="spellEnd"/>
      <w:r w:rsidRPr="00C20E6F">
        <w:rPr>
          <w:rFonts w:ascii="Times New Roman" w:hAnsi="Times New Roman" w:cs="Times New Roman"/>
          <w:sz w:val="24"/>
          <w:shd w:val="clear" w:color="auto" w:fill="FFFFFF"/>
        </w:rPr>
        <w:t xml:space="preserve"> Exp </w:t>
      </w:r>
      <w:proofErr w:type="spellStart"/>
      <w:r w:rsidRPr="00C20E6F">
        <w:rPr>
          <w:rFonts w:ascii="Times New Roman" w:hAnsi="Times New Roman" w:cs="Times New Roman"/>
          <w:sz w:val="24"/>
          <w:shd w:val="clear" w:color="auto" w:fill="FFFFFF"/>
        </w:rPr>
        <w:t>Ther</w:t>
      </w:r>
      <w:proofErr w:type="spellEnd"/>
      <w:r w:rsidRPr="00C20E6F">
        <w:rPr>
          <w:rFonts w:ascii="Times New Roman" w:hAnsi="Times New Roman" w:cs="Times New Roman"/>
          <w:sz w:val="24"/>
          <w:shd w:val="clear" w:color="auto" w:fill="FFFFFF"/>
        </w:rPr>
        <w:t>. 1995 May;273(2):870-7.</w:t>
      </w:r>
      <w:r w:rsidRPr="00C20E6F">
        <w:rPr>
          <w:rFonts w:ascii="Segoe UI" w:hAnsi="Segoe UI" w:cs="Segoe UI"/>
          <w:color w:val="212121"/>
          <w:sz w:val="24"/>
          <w:shd w:val="clear" w:color="auto" w:fill="FFFFFF"/>
        </w:rPr>
        <w:t xml:space="preserve"> </w:t>
      </w:r>
      <w:hyperlink r:id="rId13" w:history="1">
        <w:r w:rsidRPr="00A1706E">
          <w:rPr>
            <w:rStyle w:val="Hyperlink"/>
            <w:sz w:val="27"/>
            <w:szCs w:val="27"/>
          </w:rPr>
          <w:t>https://pubmed.ncbi.nlm.nih.gov/7752092/</w:t>
        </w:r>
      </w:hyperlink>
      <w:bookmarkEnd w:id="14"/>
      <w:r>
        <w:rPr>
          <w:color w:val="05103E"/>
          <w:sz w:val="27"/>
          <w:szCs w:val="27"/>
        </w:rPr>
        <w:t xml:space="preserve"> </w:t>
      </w:r>
    </w:p>
    <w:p w:rsidR="008E2BF3" w:rsidRPr="00C20E6F" w:rsidRDefault="008E2BF3" w:rsidP="008E2BF3">
      <w:pPr>
        <w:pStyle w:val="ListParagraph"/>
        <w:numPr>
          <w:ilvl w:val="0"/>
          <w:numId w:val="1"/>
        </w:numPr>
        <w:rPr>
          <w:rFonts w:ascii="Times New Roman" w:hAnsi="Times New Roman" w:cs="Times New Roman"/>
          <w:sz w:val="24"/>
          <w:szCs w:val="24"/>
        </w:rPr>
      </w:pPr>
      <w:bookmarkStart w:id="15" w:name="_Ref221046811"/>
      <w:proofErr w:type="spellStart"/>
      <w:r w:rsidRPr="001F35C4">
        <w:rPr>
          <w:rFonts w:ascii="Times New Roman" w:hAnsi="Times New Roman" w:cs="Times New Roman"/>
          <w:color w:val="222222"/>
          <w:sz w:val="24"/>
          <w:szCs w:val="24"/>
          <w:shd w:val="clear" w:color="auto" w:fill="FFFFFF"/>
        </w:rPr>
        <w:t>Bartakke</w:t>
      </w:r>
      <w:proofErr w:type="spellEnd"/>
      <w:r w:rsidRPr="001F35C4">
        <w:rPr>
          <w:rFonts w:ascii="Times New Roman" w:hAnsi="Times New Roman" w:cs="Times New Roman"/>
          <w:color w:val="222222"/>
          <w:sz w:val="24"/>
          <w:szCs w:val="24"/>
          <w:shd w:val="clear" w:color="auto" w:fill="FFFFFF"/>
        </w:rPr>
        <w:t xml:space="preserve"> SP, </w:t>
      </w:r>
      <w:proofErr w:type="spellStart"/>
      <w:r w:rsidRPr="001F35C4">
        <w:rPr>
          <w:rFonts w:ascii="Times New Roman" w:hAnsi="Times New Roman" w:cs="Times New Roman"/>
          <w:color w:val="222222"/>
          <w:sz w:val="24"/>
          <w:szCs w:val="24"/>
          <w:shd w:val="clear" w:color="auto" w:fill="FFFFFF"/>
        </w:rPr>
        <w:t>Sampagar</w:t>
      </w:r>
      <w:proofErr w:type="spellEnd"/>
      <w:r w:rsidRPr="001F35C4">
        <w:rPr>
          <w:rFonts w:ascii="Times New Roman" w:hAnsi="Times New Roman" w:cs="Times New Roman"/>
          <w:color w:val="222222"/>
          <w:sz w:val="24"/>
          <w:szCs w:val="24"/>
          <w:shd w:val="clear" w:color="auto" w:fill="FFFFFF"/>
        </w:rPr>
        <w:t xml:space="preserve"> AA, Reddy NA, </w:t>
      </w:r>
      <w:proofErr w:type="spellStart"/>
      <w:r w:rsidRPr="001F35C4">
        <w:rPr>
          <w:rFonts w:ascii="Times New Roman" w:hAnsi="Times New Roman" w:cs="Times New Roman"/>
          <w:color w:val="222222"/>
          <w:sz w:val="24"/>
          <w:szCs w:val="24"/>
          <w:shd w:val="clear" w:color="auto" w:fill="FFFFFF"/>
        </w:rPr>
        <w:t>Kangle</w:t>
      </w:r>
      <w:proofErr w:type="spellEnd"/>
      <w:r w:rsidRPr="001F35C4">
        <w:rPr>
          <w:rFonts w:ascii="Times New Roman" w:hAnsi="Times New Roman" w:cs="Times New Roman"/>
          <w:color w:val="222222"/>
          <w:sz w:val="24"/>
          <w:szCs w:val="24"/>
          <w:shd w:val="clear" w:color="auto" w:fill="FFFFFF"/>
        </w:rPr>
        <w:t xml:space="preserve"> R. Dapsone Induced Agranulocytosis and Hemolytic Anemia in Immune Thrombocytopenic Purpura. The Indian Journal of Pediatrics. 2020 Oct;87(10):856-. </w:t>
      </w:r>
      <w:hyperlink r:id="rId14" w:history="1">
        <w:r w:rsidRPr="001F35C4">
          <w:rPr>
            <w:rStyle w:val="Hyperlink"/>
            <w:rFonts w:ascii="Times New Roman" w:hAnsi="Times New Roman" w:cs="Times New Roman"/>
            <w:sz w:val="24"/>
            <w:szCs w:val="24"/>
            <w:shd w:val="clear" w:color="auto" w:fill="FFFFFF"/>
          </w:rPr>
          <w:t>https://doi.org/10.1007/s12098-020-03226-x</w:t>
        </w:r>
      </w:hyperlink>
      <w:bookmarkEnd w:id="15"/>
    </w:p>
    <w:p w:rsidR="008E2BF3" w:rsidRPr="003C1BA1" w:rsidRDefault="003C1BA1" w:rsidP="00216CB4">
      <w:pPr>
        <w:pStyle w:val="ListParagraph"/>
        <w:numPr>
          <w:ilvl w:val="0"/>
          <w:numId w:val="1"/>
        </w:numPr>
        <w:rPr>
          <w:rFonts w:ascii="Times New Roman" w:hAnsi="Times New Roman" w:cs="Times New Roman"/>
          <w:sz w:val="24"/>
          <w:szCs w:val="24"/>
        </w:rPr>
      </w:pPr>
      <w:bookmarkStart w:id="16" w:name="_Ref221162309"/>
      <w:r w:rsidRPr="003C1BA1">
        <w:rPr>
          <w:rStyle w:val="vineelaChar"/>
        </w:rPr>
        <w:t xml:space="preserve">Lee SM, Geetha D. Dapsone induced hemolysis in a patient with ANCA associated glomerulonephritis and normal G6PD level and implications for clinical practice: case report and review of the literature. </w:t>
      </w:r>
      <w:proofErr w:type="spellStart"/>
      <w:r w:rsidRPr="003C1BA1">
        <w:rPr>
          <w:rStyle w:val="vineelaChar"/>
        </w:rPr>
        <w:t>Springerplus</w:t>
      </w:r>
      <w:proofErr w:type="spellEnd"/>
      <w:r w:rsidRPr="003C1BA1">
        <w:rPr>
          <w:rStyle w:val="vineelaChar"/>
        </w:rPr>
        <w:t>. 2015 Jan 23;4(1):29.</w:t>
      </w:r>
      <w:r>
        <w:rPr>
          <w:rFonts w:ascii="Arial" w:hAnsi="Arial" w:cs="Arial"/>
          <w:color w:val="222222"/>
          <w:sz w:val="20"/>
          <w:szCs w:val="20"/>
          <w:shd w:val="clear" w:color="auto" w:fill="FFFFFF"/>
        </w:rPr>
        <w:t xml:space="preserve"> </w:t>
      </w:r>
      <w:hyperlink r:id="rId15" w:history="1">
        <w:r w:rsidRPr="00350A36">
          <w:rPr>
            <w:rStyle w:val="Hyperlink"/>
            <w:rFonts w:ascii="Helvetica" w:hAnsi="Helvetica" w:cs="Helvetica"/>
            <w:shd w:val="clear" w:color="auto" w:fill="FFFFFF"/>
          </w:rPr>
          <w:t>https://doi.org/10.1186/s40064-015-0816-y</w:t>
        </w:r>
      </w:hyperlink>
      <w:bookmarkEnd w:id="16"/>
      <w:r>
        <w:rPr>
          <w:rFonts w:ascii="Helvetica" w:hAnsi="Helvetica" w:cs="Helvetica"/>
          <w:color w:val="222222"/>
          <w:shd w:val="clear" w:color="auto" w:fill="FFFFFF"/>
        </w:rPr>
        <w:t xml:space="preserve"> </w:t>
      </w:r>
    </w:p>
    <w:p w:rsidR="003C1BA1" w:rsidRPr="003C1BA1" w:rsidRDefault="003C1BA1" w:rsidP="00216CB4">
      <w:pPr>
        <w:pStyle w:val="ListParagraph"/>
        <w:numPr>
          <w:ilvl w:val="0"/>
          <w:numId w:val="1"/>
        </w:numPr>
        <w:rPr>
          <w:rFonts w:ascii="Times New Roman" w:hAnsi="Times New Roman" w:cs="Times New Roman"/>
          <w:sz w:val="24"/>
          <w:szCs w:val="24"/>
        </w:rPr>
      </w:pPr>
      <w:bookmarkStart w:id="17" w:name="_Ref221162314"/>
      <w:r w:rsidRPr="003C1BA1">
        <w:rPr>
          <w:rStyle w:val="vineelaChar"/>
        </w:rPr>
        <w:t xml:space="preserve">Khatri A, </w:t>
      </w:r>
      <w:proofErr w:type="spellStart"/>
      <w:r w:rsidRPr="003C1BA1">
        <w:rPr>
          <w:rStyle w:val="vineelaChar"/>
        </w:rPr>
        <w:t>Bhaskaran</w:t>
      </w:r>
      <w:proofErr w:type="spellEnd"/>
      <w:r w:rsidRPr="003C1BA1">
        <w:rPr>
          <w:rStyle w:val="vineelaChar"/>
        </w:rPr>
        <w:t xml:space="preserve"> MC. Dapsone-Associated Hemolytic Anemia in Renal Transplant Recipients </w:t>
      </w:r>
      <w:proofErr w:type="gramStart"/>
      <w:r w:rsidRPr="003C1BA1">
        <w:rPr>
          <w:rStyle w:val="vineelaChar"/>
        </w:rPr>
        <w:t>With</w:t>
      </w:r>
      <w:proofErr w:type="gramEnd"/>
      <w:r w:rsidRPr="003C1BA1">
        <w:rPr>
          <w:rStyle w:val="vineelaChar"/>
        </w:rPr>
        <w:t xml:space="preserve"> Normal Glucose-6-Phosphate-Dehydrogenase Levels. American Journal of Therapeutics. 2022 May 1;29(3</w:t>
      </w:r>
      <w:proofErr w:type="gramStart"/>
      <w:r w:rsidRPr="003C1BA1">
        <w:rPr>
          <w:rStyle w:val="vineelaChar"/>
        </w:rPr>
        <w:t>):e</w:t>
      </w:r>
      <w:proofErr w:type="gramEnd"/>
      <w:r w:rsidRPr="003C1BA1">
        <w:rPr>
          <w:rStyle w:val="vineelaChar"/>
        </w:rPr>
        <w:t>369-72.</w:t>
      </w:r>
      <w:r>
        <w:rPr>
          <w:rFonts w:ascii="Arial" w:hAnsi="Arial" w:cs="Arial"/>
          <w:color w:val="222222"/>
          <w:sz w:val="20"/>
          <w:szCs w:val="20"/>
          <w:shd w:val="clear" w:color="auto" w:fill="FFFFFF"/>
        </w:rPr>
        <w:t xml:space="preserve"> </w:t>
      </w:r>
      <w:hyperlink r:id="rId16" w:history="1">
        <w:r w:rsidRPr="00350A36">
          <w:rPr>
            <w:rStyle w:val="Hyperlink"/>
            <w:rFonts w:ascii="Arial" w:hAnsi="Arial" w:cs="Arial"/>
            <w:sz w:val="20"/>
            <w:szCs w:val="20"/>
            <w:shd w:val="clear" w:color="auto" w:fill="FFFFFF"/>
          </w:rPr>
          <w:t>https://doi.</w:t>
        </w:r>
        <w:r w:rsidRPr="00350A36">
          <w:rPr>
            <w:rStyle w:val="Hyperlink"/>
            <w:rFonts w:ascii="Arial" w:hAnsi="Arial" w:cs="Arial"/>
            <w:sz w:val="21"/>
            <w:szCs w:val="21"/>
            <w:shd w:val="clear" w:color="auto" w:fill="FFFFFF"/>
          </w:rPr>
          <w:t>10.1097/MJT.0000000000001252</w:t>
        </w:r>
      </w:hyperlink>
      <w:bookmarkEnd w:id="17"/>
      <w:r>
        <w:rPr>
          <w:rFonts w:ascii="Arial" w:hAnsi="Arial" w:cs="Arial"/>
          <w:color w:val="353535"/>
          <w:sz w:val="21"/>
          <w:szCs w:val="21"/>
          <w:shd w:val="clear" w:color="auto" w:fill="FFFFFF"/>
        </w:rPr>
        <w:t xml:space="preserve"> </w:t>
      </w:r>
    </w:p>
    <w:p w:rsidR="003C1BA1" w:rsidRPr="003C1BA1" w:rsidRDefault="003C1BA1" w:rsidP="00216CB4">
      <w:pPr>
        <w:pStyle w:val="ListParagraph"/>
        <w:numPr>
          <w:ilvl w:val="0"/>
          <w:numId w:val="1"/>
        </w:numPr>
        <w:rPr>
          <w:rFonts w:ascii="Times New Roman" w:hAnsi="Times New Roman" w:cs="Times New Roman"/>
          <w:sz w:val="24"/>
          <w:szCs w:val="24"/>
        </w:rPr>
      </w:pPr>
      <w:bookmarkStart w:id="18" w:name="_Ref221162294"/>
      <w:proofErr w:type="spellStart"/>
      <w:r w:rsidRPr="003C1BA1">
        <w:rPr>
          <w:rStyle w:val="vineelaChar"/>
        </w:rPr>
        <w:t>Ezhilarasan</w:t>
      </w:r>
      <w:proofErr w:type="spellEnd"/>
      <w:r w:rsidRPr="003C1BA1">
        <w:rPr>
          <w:rStyle w:val="vineelaChar"/>
        </w:rPr>
        <w:t xml:space="preserve"> D. Dapsone-induced hepatic complications: it’s time to think beyond methemoglobinemia. Drug and Chemical Toxicology. 2021 May 4;44(3):330-3.</w:t>
      </w:r>
      <w:r>
        <w:rPr>
          <w:rFonts w:ascii="Arial" w:hAnsi="Arial" w:cs="Arial"/>
          <w:color w:val="222222"/>
          <w:sz w:val="20"/>
          <w:szCs w:val="20"/>
          <w:shd w:val="clear" w:color="auto" w:fill="FFFFFF"/>
        </w:rPr>
        <w:t xml:space="preserve"> </w:t>
      </w:r>
      <w:hyperlink r:id="rId17" w:history="1">
        <w:r w:rsidRPr="00350A36">
          <w:rPr>
            <w:rStyle w:val="Hyperlink"/>
            <w:rFonts w:ascii="Arial" w:hAnsi="Arial" w:cs="Arial"/>
            <w:sz w:val="20"/>
            <w:szCs w:val="20"/>
            <w:shd w:val="clear" w:color="auto" w:fill="FFFFFF"/>
          </w:rPr>
          <w:t>https://doi.org/10.1080/01480545.2019.1679829</w:t>
        </w:r>
      </w:hyperlink>
      <w:bookmarkEnd w:id="18"/>
      <w:r>
        <w:rPr>
          <w:rFonts w:ascii="Arial" w:hAnsi="Arial" w:cs="Arial"/>
          <w:color w:val="222222"/>
          <w:sz w:val="20"/>
          <w:szCs w:val="20"/>
          <w:shd w:val="clear" w:color="auto" w:fill="FFFFFF"/>
        </w:rPr>
        <w:t xml:space="preserve"> </w:t>
      </w:r>
    </w:p>
    <w:p w:rsidR="003C1BA1" w:rsidRPr="003C1BA1" w:rsidRDefault="003C1BA1" w:rsidP="00216CB4">
      <w:pPr>
        <w:pStyle w:val="ListParagraph"/>
        <w:numPr>
          <w:ilvl w:val="0"/>
          <w:numId w:val="1"/>
        </w:numPr>
        <w:rPr>
          <w:rFonts w:ascii="Times New Roman" w:hAnsi="Times New Roman" w:cs="Times New Roman"/>
          <w:sz w:val="24"/>
          <w:szCs w:val="24"/>
        </w:rPr>
      </w:pPr>
      <w:bookmarkStart w:id="19" w:name="_Ref221162299"/>
      <w:r w:rsidRPr="003C1BA1">
        <w:rPr>
          <w:rStyle w:val="vineelaChar"/>
        </w:rPr>
        <w:t xml:space="preserve">Gallardo CA, Fan BE, Lim KG, </w:t>
      </w:r>
      <w:proofErr w:type="spellStart"/>
      <w:r w:rsidRPr="003C1BA1">
        <w:rPr>
          <w:rStyle w:val="vineelaChar"/>
        </w:rPr>
        <w:t>Kuperan</w:t>
      </w:r>
      <w:proofErr w:type="spellEnd"/>
      <w:r w:rsidRPr="003C1BA1">
        <w:rPr>
          <w:rStyle w:val="vineelaChar"/>
        </w:rPr>
        <w:t xml:space="preserve"> P. Chronic dapsone use causing methemoglobinemia with oxidative hemolysis and </w:t>
      </w:r>
      <w:proofErr w:type="spellStart"/>
      <w:r w:rsidRPr="003C1BA1">
        <w:rPr>
          <w:rStyle w:val="vineelaChar"/>
        </w:rPr>
        <w:t>dyserythropoiesis</w:t>
      </w:r>
      <w:proofErr w:type="spellEnd"/>
      <w:r w:rsidRPr="003C1BA1">
        <w:rPr>
          <w:rStyle w:val="vineelaChar"/>
        </w:rPr>
        <w:t>. American Journal of Hematology. 2021 Dec;96(12):1715-6.</w:t>
      </w:r>
      <w:r>
        <w:rPr>
          <w:rFonts w:ascii="Arial" w:hAnsi="Arial" w:cs="Arial"/>
          <w:color w:val="222222"/>
          <w:sz w:val="20"/>
          <w:szCs w:val="20"/>
          <w:shd w:val="clear" w:color="auto" w:fill="FFFFFF"/>
        </w:rPr>
        <w:t xml:space="preserve"> </w:t>
      </w:r>
      <w:hyperlink r:id="rId18" w:history="1">
        <w:r w:rsidRPr="00350A36">
          <w:rPr>
            <w:rStyle w:val="Hyperlink"/>
            <w:rFonts w:ascii="Arial" w:hAnsi="Arial" w:cs="Arial"/>
            <w:sz w:val="20"/>
            <w:szCs w:val="20"/>
            <w:shd w:val="clear" w:color="auto" w:fill="FFFFFF"/>
          </w:rPr>
          <w:t>https://doi.org/10.1002/ajh.26116</w:t>
        </w:r>
      </w:hyperlink>
      <w:bookmarkEnd w:id="19"/>
      <w:r>
        <w:rPr>
          <w:rFonts w:ascii="Arial" w:hAnsi="Arial" w:cs="Arial"/>
          <w:color w:val="222222"/>
          <w:sz w:val="20"/>
          <w:szCs w:val="20"/>
          <w:shd w:val="clear" w:color="auto" w:fill="FFFFFF"/>
        </w:rPr>
        <w:t xml:space="preserve"> </w:t>
      </w:r>
    </w:p>
    <w:p w:rsidR="003C1BA1" w:rsidRPr="003C1BA1" w:rsidRDefault="003C1BA1" w:rsidP="00216CB4">
      <w:pPr>
        <w:pStyle w:val="ListParagraph"/>
        <w:numPr>
          <w:ilvl w:val="0"/>
          <w:numId w:val="1"/>
        </w:numPr>
        <w:rPr>
          <w:rFonts w:ascii="Times New Roman" w:hAnsi="Times New Roman" w:cs="Times New Roman"/>
          <w:sz w:val="24"/>
          <w:szCs w:val="24"/>
        </w:rPr>
      </w:pPr>
      <w:bookmarkStart w:id="20" w:name="_Ref221162252"/>
      <w:proofErr w:type="spellStart"/>
      <w:r w:rsidRPr="003C1BA1">
        <w:rPr>
          <w:rStyle w:val="vineelaChar"/>
        </w:rPr>
        <w:t>Maquet</w:t>
      </w:r>
      <w:proofErr w:type="spellEnd"/>
      <w:r w:rsidRPr="003C1BA1">
        <w:rPr>
          <w:rStyle w:val="vineelaChar"/>
        </w:rPr>
        <w:t xml:space="preserve"> J, </w:t>
      </w:r>
      <w:proofErr w:type="spellStart"/>
      <w:r w:rsidRPr="003C1BA1">
        <w:rPr>
          <w:rStyle w:val="vineelaChar"/>
        </w:rPr>
        <w:t>Lafaurie</w:t>
      </w:r>
      <w:proofErr w:type="spellEnd"/>
      <w:r w:rsidRPr="003C1BA1">
        <w:rPr>
          <w:rStyle w:val="vineelaChar"/>
        </w:rPr>
        <w:t xml:space="preserve"> M, Michel M, </w:t>
      </w:r>
      <w:proofErr w:type="spellStart"/>
      <w:r w:rsidRPr="003C1BA1">
        <w:rPr>
          <w:rStyle w:val="vineelaChar"/>
        </w:rPr>
        <w:t>Lapeyre</w:t>
      </w:r>
      <w:proofErr w:type="spellEnd"/>
      <w:r w:rsidRPr="003C1BA1">
        <w:rPr>
          <w:rStyle w:val="vineelaChar"/>
        </w:rPr>
        <w:t xml:space="preserve">-Mestre M, </w:t>
      </w:r>
      <w:proofErr w:type="spellStart"/>
      <w:r w:rsidRPr="003C1BA1">
        <w:rPr>
          <w:rStyle w:val="vineelaChar"/>
        </w:rPr>
        <w:t>Moulis</w:t>
      </w:r>
      <w:proofErr w:type="spellEnd"/>
      <w:r w:rsidRPr="003C1BA1">
        <w:rPr>
          <w:rStyle w:val="vineelaChar"/>
        </w:rPr>
        <w:t xml:space="preserve"> G. Drug-induced immune hemolytic anemia: detection of new signals and risk assessment in a nationwide cohort study. Blood Advances. 2024 Feb 13;8(3):817-26.</w:t>
      </w:r>
      <w:r>
        <w:rPr>
          <w:rFonts w:ascii="Arial" w:hAnsi="Arial" w:cs="Arial"/>
          <w:color w:val="222222"/>
          <w:sz w:val="20"/>
          <w:szCs w:val="20"/>
          <w:shd w:val="clear" w:color="auto" w:fill="FFFFFF"/>
        </w:rPr>
        <w:t xml:space="preserve"> </w:t>
      </w:r>
      <w:hyperlink r:id="rId19" w:history="1">
        <w:r w:rsidRPr="00350A36">
          <w:rPr>
            <w:rStyle w:val="Hyperlink"/>
            <w:rFonts w:ascii="Arial" w:hAnsi="Arial" w:cs="Arial"/>
            <w:sz w:val="20"/>
            <w:szCs w:val="20"/>
            <w:shd w:val="clear" w:color="auto" w:fill="FFFFFF"/>
          </w:rPr>
          <w:t>https://doi.org/10.1182/bloodadvances.2023009801</w:t>
        </w:r>
      </w:hyperlink>
      <w:bookmarkEnd w:id="20"/>
      <w:r>
        <w:rPr>
          <w:rFonts w:ascii="Arial" w:hAnsi="Arial" w:cs="Arial"/>
          <w:color w:val="222222"/>
          <w:sz w:val="20"/>
          <w:szCs w:val="20"/>
          <w:shd w:val="clear" w:color="auto" w:fill="FFFFFF"/>
        </w:rPr>
        <w:t xml:space="preserve"> </w:t>
      </w:r>
    </w:p>
    <w:p w:rsidR="003C1BA1" w:rsidRPr="003C1BA1" w:rsidRDefault="003C1BA1" w:rsidP="00216CB4">
      <w:pPr>
        <w:pStyle w:val="ListParagraph"/>
        <w:numPr>
          <w:ilvl w:val="0"/>
          <w:numId w:val="1"/>
        </w:numPr>
        <w:rPr>
          <w:rFonts w:ascii="Times New Roman" w:hAnsi="Times New Roman" w:cs="Times New Roman"/>
          <w:sz w:val="28"/>
          <w:szCs w:val="24"/>
        </w:rPr>
      </w:pPr>
      <w:bookmarkStart w:id="21" w:name="_Ref221162286"/>
      <w:r w:rsidRPr="003C1BA1">
        <w:rPr>
          <w:rStyle w:val="vineelaChar"/>
        </w:rPr>
        <w:t>Cha YS, Kim H, Kim J, Kim OH, Kim HI, Cha K, Lee KH, Hwang SO. Incidence and patterns of hemolytic anemia in acute dapsone overdose. The American Journal of Emergency Medicine. 2016 Mar 1;34(3):366-9.</w:t>
      </w:r>
      <w:r>
        <w:rPr>
          <w:rFonts w:ascii="Arial" w:hAnsi="Arial" w:cs="Arial"/>
          <w:color w:val="222222"/>
          <w:sz w:val="20"/>
          <w:szCs w:val="20"/>
          <w:shd w:val="clear" w:color="auto" w:fill="FFFFFF"/>
        </w:rPr>
        <w:t xml:space="preserve"> </w:t>
      </w:r>
      <w:hyperlink r:id="rId20" w:history="1">
        <w:r w:rsidRPr="003C1BA1">
          <w:rPr>
            <w:rStyle w:val="Hyperlink"/>
            <w:rFonts w:ascii="Arial" w:hAnsi="Arial" w:cs="Arial"/>
            <w:szCs w:val="20"/>
            <w:shd w:val="clear" w:color="auto" w:fill="FFFFFF"/>
          </w:rPr>
          <w:t>https://doi.org/10.1016/j.ajem.2015.09.021</w:t>
        </w:r>
      </w:hyperlink>
      <w:bookmarkEnd w:id="21"/>
      <w:r w:rsidRPr="003C1BA1">
        <w:rPr>
          <w:rFonts w:ascii="Arial" w:hAnsi="Arial" w:cs="Arial"/>
          <w:color w:val="222222"/>
          <w:szCs w:val="20"/>
          <w:shd w:val="clear" w:color="auto" w:fill="FFFFFF"/>
        </w:rPr>
        <w:t xml:space="preserve"> </w:t>
      </w:r>
    </w:p>
    <w:sectPr w:rsidR="003C1BA1" w:rsidRPr="003C1BA1" w:rsidSect="009E068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E0C" w:rsidRDefault="00C34E0C" w:rsidP="00866409">
      <w:pPr>
        <w:spacing w:after="0" w:line="240" w:lineRule="auto"/>
      </w:pPr>
      <w:r>
        <w:separator/>
      </w:r>
    </w:p>
  </w:endnote>
  <w:endnote w:type="continuationSeparator" w:id="0">
    <w:p w:rsidR="00C34E0C" w:rsidRDefault="00C34E0C" w:rsidP="0086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866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86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866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E0C" w:rsidRDefault="00C34E0C" w:rsidP="00866409">
      <w:pPr>
        <w:spacing w:after="0" w:line="240" w:lineRule="auto"/>
      </w:pPr>
      <w:r>
        <w:separator/>
      </w:r>
    </w:p>
  </w:footnote>
  <w:footnote w:type="continuationSeparator" w:id="0">
    <w:p w:rsidR="00C34E0C" w:rsidRDefault="00C34E0C" w:rsidP="0086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C34E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C34E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409" w:rsidRDefault="00C34E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011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66892"/>
    <w:multiLevelType w:val="hybridMultilevel"/>
    <w:tmpl w:val="E62A5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A17E43"/>
    <w:multiLevelType w:val="hybridMultilevel"/>
    <w:tmpl w:val="5A0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C73"/>
    <w:rsid w:val="00010CAF"/>
    <w:rsid w:val="00073B3C"/>
    <w:rsid w:val="000762ED"/>
    <w:rsid w:val="000D2C73"/>
    <w:rsid w:val="000F3958"/>
    <w:rsid w:val="001021EE"/>
    <w:rsid w:val="00116859"/>
    <w:rsid w:val="00130F18"/>
    <w:rsid w:val="001715E8"/>
    <w:rsid w:val="00191A98"/>
    <w:rsid w:val="001B6840"/>
    <w:rsid w:val="001C13D0"/>
    <w:rsid w:val="001E4DA7"/>
    <w:rsid w:val="001F35C4"/>
    <w:rsid w:val="00202CD6"/>
    <w:rsid w:val="00216CB4"/>
    <w:rsid w:val="00234EED"/>
    <w:rsid w:val="002570E3"/>
    <w:rsid w:val="002E6F24"/>
    <w:rsid w:val="00311C6F"/>
    <w:rsid w:val="003246B6"/>
    <w:rsid w:val="003650F9"/>
    <w:rsid w:val="00373664"/>
    <w:rsid w:val="003A23DC"/>
    <w:rsid w:val="003C1BA1"/>
    <w:rsid w:val="003D7788"/>
    <w:rsid w:val="003E5CB0"/>
    <w:rsid w:val="003F3B9E"/>
    <w:rsid w:val="00425FAB"/>
    <w:rsid w:val="00442ADA"/>
    <w:rsid w:val="004444DA"/>
    <w:rsid w:val="00526DD4"/>
    <w:rsid w:val="00540856"/>
    <w:rsid w:val="006165B2"/>
    <w:rsid w:val="006703D7"/>
    <w:rsid w:val="007342B6"/>
    <w:rsid w:val="00740A45"/>
    <w:rsid w:val="00754759"/>
    <w:rsid w:val="00761BD5"/>
    <w:rsid w:val="00785ED6"/>
    <w:rsid w:val="007F4154"/>
    <w:rsid w:val="008037B0"/>
    <w:rsid w:val="008143E4"/>
    <w:rsid w:val="0084144C"/>
    <w:rsid w:val="00866409"/>
    <w:rsid w:val="00874492"/>
    <w:rsid w:val="008E2BF3"/>
    <w:rsid w:val="0090615E"/>
    <w:rsid w:val="00930A5A"/>
    <w:rsid w:val="009A6579"/>
    <w:rsid w:val="009A777B"/>
    <w:rsid w:val="009E0687"/>
    <w:rsid w:val="009E47BB"/>
    <w:rsid w:val="00A33954"/>
    <w:rsid w:val="00A63A91"/>
    <w:rsid w:val="00A92ED2"/>
    <w:rsid w:val="00AA0BFA"/>
    <w:rsid w:val="00B845EC"/>
    <w:rsid w:val="00BB13F0"/>
    <w:rsid w:val="00BE198A"/>
    <w:rsid w:val="00BE25C3"/>
    <w:rsid w:val="00BE318E"/>
    <w:rsid w:val="00C00404"/>
    <w:rsid w:val="00C10994"/>
    <w:rsid w:val="00C20505"/>
    <w:rsid w:val="00C20E6F"/>
    <w:rsid w:val="00C231D9"/>
    <w:rsid w:val="00C34E0C"/>
    <w:rsid w:val="00C40256"/>
    <w:rsid w:val="00C70652"/>
    <w:rsid w:val="00C711BA"/>
    <w:rsid w:val="00CB6766"/>
    <w:rsid w:val="00CF4773"/>
    <w:rsid w:val="00D105A7"/>
    <w:rsid w:val="00D13317"/>
    <w:rsid w:val="00D831A7"/>
    <w:rsid w:val="00DA34DF"/>
    <w:rsid w:val="00DC67A8"/>
    <w:rsid w:val="00DF18CA"/>
    <w:rsid w:val="00DF5AAF"/>
    <w:rsid w:val="00E03091"/>
    <w:rsid w:val="00E278B5"/>
    <w:rsid w:val="00E36F18"/>
    <w:rsid w:val="00EA4F77"/>
    <w:rsid w:val="00EB7DFB"/>
    <w:rsid w:val="00ED618C"/>
    <w:rsid w:val="00EE084B"/>
    <w:rsid w:val="00F12AB1"/>
    <w:rsid w:val="00F2711B"/>
    <w:rsid w:val="00F46E83"/>
    <w:rsid w:val="00F53982"/>
    <w:rsid w:val="00F95CDF"/>
    <w:rsid w:val="00FC33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4B125F-E0F2-4EB9-B382-6908520C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C73"/>
    <w:pPr>
      <w:spacing w:after="200" w:line="276" w:lineRule="auto"/>
    </w:pPr>
    <w:rPr>
      <w:kern w:val="0"/>
      <w:lang w:val="en-US"/>
    </w:rPr>
  </w:style>
  <w:style w:type="paragraph" w:styleId="Heading1">
    <w:name w:val="heading 1"/>
    <w:basedOn w:val="Normal"/>
    <w:next w:val="Normal"/>
    <w:link w:val="Heading1Char"/>
    <w:uiPriority w:val="9"/>
    <w:qFormat/>
    <w:rsid w:val="000D2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C73"/>
    <w:rPr>
      <w:rFonts w:eastAsiaTheme="majorEastAsia" w:cstheme="majorBidi"/>
      <w:color w:val="272727" w:themeColor="text1" w:themeTint="D8"/>
    </w:rPr>
  </w:style>
  <w:style w:type="paragraph" w:styleId="Title">
    <w:name w:val="Title"/>
    <w:basedOn w:val="Normal"/>
    <w:next w:val="Normal"/>
    <w:link w:val="TitleChar"/>
    <w:uiPriority w:val="10"/>
    <w:qFormat/>
    <w:rsid w:val="000D2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C73"/>
    <w:pPr>
      <w:spacing w:before="160"/>
      <w:jc w:val="center"/>
    </w:pPr>
    <w:rPr>
      <w:i/>
      <w:iCs/>
      <w:color w:val="404040" w:themeColor="text1" w:themeTint="BF"/>
    </w:rPr>
  </w:style>
  <w:style w:type="character" w:customStyle="1" w:styleId="QuoteChar">
    <w:name w:val="Quote Char"/>
    <w:basedOn w:val="DefaultParagraphFont"/>
    <w:link w:val="Quote"/>
    <w:uiPriority w:val="29"/>
    <w:rsid w:val="000D2C73"/>
    <w:rPr>
      <w:i/>
      <w:iCs/>
      <w:color w:val="404040" w:themeColor="text1" w:themeTint="BF"/>
    </w:rPr>
  </w:style>
  <w:style w:type="paragraph" w:styleId="ListParagraph">
    <w:name w:val="List Paragraph"/>
    <w:basedOn w:val="Normal"/>
    <w:uiPriority w:val="34"/>
    <w:qFormat/>
    <w:rsid w:val="000D2C73"/>
    <w:pPr>
      <w:ind w:left="720"/>
      <w:contextualSpacing/>
    </w:pPr>
  </w:style>
  <w:style w:type="character" w:styleId="IntenseEmphasis">
    <w:name w:val="Intense Emphasis"/>
    <w:basedOn w:val="DefaultParagraphFont"/>
    <w:uiPriority w:val="21"/>
    <w:qFormat/>
    <w:rsid w:val="000D2C73"/>
    <w:rPr>
      <w:i/>
      <w:iCs/>
      <w:color w:val="2F5496" w:themeColor="accent1" w:themeShade="BF"/>
    </w:rPr>
  </w:style>
  <w:style w:type="paragraph" w:styleId="IntenseQuote">
    <w:name w:val="Intense Quote"/>
    <w:basedOn w:val="Normal"/>
    <w:next w:val="Normal"/>
    <w:link w:val="IntenseQuoteChar"/>
    <w:uiPriority w:val="30"/>
    <w:qFormat/>
    <w:rsid w:val="000D2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C73"/>
    <w:rPr>
      <w:i/>
      <w:iCs/>
      <w:color w:val="2F5496" w:themeColor="accent1" w:themeShade="BF"/>
    </w:rPr>
  </w:style>
  <w:style w:type="character" w:styleId="IntenseReference">
    <w:name w:val="Intense Reference"/>
    <w:basedOn w:val="DefaultParagraphFont"/>
    <w:uiPriority w:val="32"/>
    <w:qFormat/>
    <w:rsid w:val="000D2C73"/>
    <w:rPr>
      <w:b/>
      <w:bCs/>
      <w:smallCaps/>
      <w:color w:val="2F5496" w:themeColor="accent1" w:themeShade="BF"/>
      <w:spacing w:val="5"/>
    </w:rPr>
  </w:style>
  <w:style w:type="character" w:styleId="Strong">
    <w:name w:val="Strong"/>
    <w:basedOn w:val="DefaultParagraphFont"/>
    <w:uiPriority w:val="22"/>
    <w:qFormat/>
    <w:rsid w:val="000D2C73"/>
    <w:rPr>
      <w:b/>
      <w:bCs/>
    </w:rPr>
  </w:style>
  <w:style w:type="paragraph" w:customStyle="1" w:styleId="vineela">
    <w:name w:val="vineela"/>
    <w:basedOn w:val="Normal"/>
    <w:link w:val="vineelaChar"/>
    <w:qFormat/>
    <w:rsid w:val="000D2C73"/>
    <w:pPr>
      <w:jc w:val="both"/>
    </w:pPr>
    <w:rPr>
      <w:rFonts w:ascii="Times New Roman" w:hAnsi="Times New Roman" w:cs="Times New Roman"/>
      <w:sz w:val="24"/>
      <w:szCs w:val="27"/>
      <w:shd w:val="clear" w:color="auto" w:fill="FFFFFF"/>
    </w:rPr>
  </w:style>
  <w:style w:type="character" w:customStyle="1" w:styleId="vineelaChar">
    <w:name w:val="vineela Char"/>
    <w:basedOn w:val="DefaultParagraphFont"/>
    <w:link w:val="vineela"/>
    <w:rsid w:val="000D2C73"/>
    <w:rPr>
      <w:rFonts w:ascii="Times New Roman" w:hAnsi="Times New Roman" w:cs="Times New Roman"/>
      <w:kern w:val="0"/>
      <w:sz w:val="24"/>
      <w:szCs w:val="27"/>
      <w:lang w:val="en-US"/>
    </w:rPr>
  </w:style>
  <w:style w:type="character" w:customStyle="1" w:styleId="diff-highlight">
    <w:name w:val="diff-highlight"/>
    <w:basedOn w:val="DefaultParagraphFont"/>
    <w:rsid w:val="000D2C73"/>
  </w:style>
  <w:style w:type="character" w:styleId="Emphasis">
    <w:name w:val="Emphasis"/>
    <w:basedOn w:val="DefaultParagraphFont"/>
    <w:uiPriority w:val="20"/>
    <w:qFormat/>
    <w:rsid w:val="000D2C73"/>
    <w:rPr>
      <w:i/>
      <w:iCs/>
    </w:rPr>
  </w:style>
  <w:style w:type="table" w:styleId="TableGrid">
    <w:name w:val="Table Grid"/>
    <w:basedOn w:val="TableNormal"/>
    <w:uiPriority w:val="59"/>
    <w:rsid w:val="000D2C73"/>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D2C73"/>
    <w:rPr>
      <w:color w:val="0563C1" w:themeColor="hyperlink"/>
      <w:u w:val="single"/>
    </w:rPr>
  </w:style>
  <w:style w:type="paragraph" w:styleId="NormalWeb">
    <w:name w:val="Normal (Web)"/>
    <w:basedOn w:val="Normal"/>
    <w:uiPriority w:val="99"/>
    <w:unhideWhenUsed/>
    <w:rsid w:val="001168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4F77"/>
    <w:rPr>
      <w:color w:val="605E5C"/>
      <w:shd w:val="clear" w:color="auto" w:fill="E1DFDD"/>
    </w:rPr>
  </w:style>
  <w:style w:type="paragraph" w:styleId="Header">
    <w:name w:val="header"/>
    <w:basedOn w:val="Normal"/>
    <w:link w:val="HeaderChar"/>
    <w:uiPriority w:val="99"/>
    <w:unhideWhenUsed/>
    <w:rsid w:val="0086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409"/>
    <w:rPr>
      <w:kern w:val="0"/>
      <w:lang w:val="en-US"/>
    </w:rPr>
  </w:style>
  <w:style w:type="paragraph" w:styleId="Footer">
    <w:name w:val="footer"/>
    <w:basedOn w:val="Normal"/>
    <w:link w:val="FooterChar"/>
    <w:uiPriority w:val="99"/>
    <w:unhideWhenUsed/>
    <w:rsid w:val="0086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409"/>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4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immu.2023.1267668" TargetMode="External"/><Relationship Id="rId13" Type="http://schemas.openxmlformats.org/officeDocument/2006/relationships/hyperlink" Target="https://pubmed.ncbi.nlm.nih.gov/7752092/" TargetMode="External"/><Relationship Id="rId18" Type="http://schemas.openxmlformats.org/officeDocument/2006/relationships/hyperlink" Target="https://doi.org/10.1002/ajh.2611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11/ced.14041" TargetMode="External"/><Relationship Id="rId12" Type="http://schemas.openxmlformats.org/officeDocument/2006/relationships/hyperlink" Target="https://doi.org/10.1007/s40257-024-00879-8" TargetMode="External"/><Relationship Id="rId17" Type="http://schemas.openxmlformats.org/officeDocument/2006/relationships/hyperlink" Target="https://doi.org/10.1080/01480545.2019.16798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10.1097/MJT.0000000000001252" TargetMode="External"/><Relationship Id="rId20" Type="http://schemas.openxmlformats.org/officeDocument/2006/relationships/hyperlink" Target="https://doi.org/10.1016/j.ajem.2015.09.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fmpc.jfmpc_831_2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86/s40064-015-0816-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36/bcr-2023-256775" TargetMode="External"/><Relationship Id="rId19" Type="http://schemas.openxmlformats.org/officeDocument/2006/relationships/hyperlink" Target="https://doi.org/10.1182/bloodadvances.2023009801" TargetMode="External"/><Relationship Id="rId4" Type="http://schemas.openxmlformats.org/officeDocument/2006/relationships/webSettings" Target="webSettings.xml"/><Relationship Id="rId9" Type="http://schemas.openxmlformats.org/officeDocument/2006/relationships/hyperlink" Target="https://doi.org/10.1016/j.idcr.2021.e01076" TargetMode="External"/><Relationship Id="rId14" Type="http://schemas.openxmlformats.org/officeDocument/2006/relationships/hyperlink" Target="https://doi.org/10.1007/s12098-020-03226-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7</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Kumar Jammu</dc:creator>
  <cp:keywords/>
  <dc:description/>
  <cp:lastModifiedBy>SDI 1158</cp:lastModifiedBy>
  <cp:revision>24</cp:revision>
  <dcterms:created xsi:type="dcterms:W3CDTF">2026-01-19T14:19:00Z</dcterms:created>
  <dcterms:modified xsi:type="dcterms:W3CDTF">2026-02-13T13:07:00Z</dcterms:modified>
</cp:coreProperties>
</file>