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2B649" w14:textId="61C44E3E" w:rsidR="009F4620" w:rsidRPr="009F4620" w:rsidRDefault="009F4620" w:rsidP="009F4620">
      <w:pPr>
        <w:spacing w:after="0" w:line="480" w:lineRule="auto"/>
        <w:rPr>
          <w:rFonts w:ascii="Arial" w:hAnsi="Arial" w:cs="Arial"/>
          <w:b/>
          <w:u w:val="single"/>
        </w:rPr>
      </w:pPr>
      <w:bookmarkStart w:id="0" w:name="_Hlk214375733"/>
      <w:r w:rsidRPr="009F4620">
        <w:rPr>
          <w:rFonts w:ascii="Arial" w:hAnsi="Arial" w:cs="Arial"/>
          <w:b/>
          <w:u w:val="single"/>
        </w:rPr>
        <w:t>Original Research Article</w:t>
      </w:r>
    </w:p>
    <w:bookmarkEnd w:id="0"/>
    <w:p w14:paraId="01DD2CCE" w14:textId="60FEAD95" w:rsidR="007319E8" w:rsidRPr="00710430" w:rsidRDefault="00710430" w:rsidP="00710430">
      <w:pPr>
        <w:spacing w:after="0" w:line="480" w:lineRule="auto"/>
        <w:jc w:val="center"/>
        <w:rPr>
          <w:rFonts w:ascii="Arial" w:hAnsi="Arial" w:cs="Arial"/>
          <w:bCs/>
          <w:sz w:val="28"/>
          <w:szCs w:val="28"/>
        </w:rPr>
      </w:pPr>
      <w:r w:rsidRPr="00710430">
        <w:rPr>
          <w:rFonts w:ascii="Arial" w:hAnsi="Arial" w:cs="Arial"/>
          <w:b/>
          <w:sz w:val="28"/>
          <w:szCs w:val="28"/>
        </w:rPr>
        <w:t xml:space="preserve">Development of Vegan Oat Milk Lassi Fortified with Ashwagandha and its Nutritional Profiling </w:t>
      </w:r>
    </w:p>
    <w:p w14:paraId="09C7820D" w14:textId="0EFC5889" w:rsidR="000F0C18" w:rsidRPr="004E2C55" w:rsidRDefault="000F0C18" w:rsidP="008B4DDC">
      <w:pPr>
        <w:spacing w:after="0" w:line="480" w:lineRule="auto"/>
        <w:jc w:val="both"/>
        <w:rPr>
          <w:rFonts w:ascii="Arial" w:hAnsi="Arial" w:cs="Arial"/>
          <w:b/>
        </w:rPr>
      </w:pPr>
      <w:r w:rsidRPr="004E2C55">
        <w:rPr>
          <w:rFonts w:ascii="Arial" w:hAnsi="Arial" w:cs="Arial"/>
          <w:b/>
        </w:rPr>
        <w:t>Abstract</w:t>
      </w:r>
    </w:p>
    <w:p w14:paraId="5221E505" w14:textId="72541926" w:rsidR="000F0C18" w:rsidRPr="004E2C55" w:rsidRDefault="000F0C18" w:rsidP="008B4DDC">
      <w:pPr>
        <w:spacing w:after="0" w:line="480" w:lineRule="auto"/>
        <w:jc w:val="both"/>
        <w:rPr>
          <w:rFonts w:ascii="Arial" w:eastAsia="Times New Roman" w:hAnsi="Arial" w:cs="Arial"/>
          <w:lang w:eastAsia="en-IN"/>
        </w:rPr>
      </w:pPr>
      <w:bookmarkStart w:id="1" w:name="_Hlk214375709"/>
      <w:r w:rsidRPr="004E2C55">
        <w:rPr>
          <w:rFonts w:ascii="Arial" w:eastAsia="Times New Roman" w:hAnsi="Arial" w:cs="Arial"/>
          <w:b/>
          <w:bCs/>
          <w:lang w:eastAsia="en-IN"/>
        </w:rPr>
        <w:t>Objective:</w:t>
      </w:r>
      <w:r w:rsidRPr="004E2C55">
        <w:rPr>
          <w:rFonts w:ascii="Arial" w:eastAsia="Times New Roman" w:hAnsi="Arial" w:cs="Arial"/>
          <w:lang w:eastAsia="en-IN"/>
        </w:rPr>
        <w:t xml:space="preserve"> To formulate a vegan lassi using oat milk base fortified with ashwagandha powder, sugar, cardamom, and saffron, to assess its physicochemical, microbiological, antioxidant, texture, </w:t>
      </w: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to identify the most acceptable formulation.</w:t>
      </w:r>
    </w:p>
    <w:p w14:paraId="795BC15C" w14:textId="74DB417E"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Methods:</w:t>
      </w:r>
      <w:r w:rsidRPr="004E2C55">
        <w:rPr>
          <w:rFonts w:ascii="Arial" w:eastAsia="Times New Roman" w:hAnsi="Arial" w:cs="Arial"/>
          <w:lang w:eastAsia="en-IN"/>
        </w:rPr>
        <w:t xml:space="preserve"> Three formulations (S1, S2, S3) differing in ashwagandha levels (0.2 g, 0.3 g, and 0.4 g per batch), with sugar fixed at 16 %, were prepared. Physicochemical analyses included moisture, ash, protein, fat, pH, titratable acidity, total sugars,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Functional analysis: antioxidant capacity (DPPH, total phenolic content). Microbiological safety: total viable count, lactic acid bacteria count, yeast &amp; </w:t>
      </w:r>
      <w:proofErr w:type="spellStart"/>
      <w:r w:rsidRPr="004E2C55">
        <w:rPr>
          <w:rFonts w:ascii="Arial" w:eastAsia="Times New Roman" w:hAnsi="Arial" w:cs="Arial"/>
          <w:lang w:eastAsia="en-IN"/>
        </w:rPr>
        <w:t>mold</w:t>
      </w:r>
      <w:proofErr w:type="spellEnd"/>
      <w:r w:rsidRPr="004E2C55">
        <w:rPr>
          <w:rFonts w:ascii="Arial" w:eastAsia="Times New Roman" w:hAnsi="Arial" w:cs="Arial"/>
          <w:lang w:eastAsia="en-IN"/>
        </w:rPr>
        <w:t xml:space="preserve">. Sensory evaluation (appearance, aroma, taste, texture, overall acceptability) was performed by 30 semi-trained </w:t>
      </w:r>
      <w:proofErr w:type="spellStart"/>
      <w:r w:rsidRPr="004E2C55">
        <w:rPr>
          <w:rFonts w:ascii="Arial" w:eastAsia="Times New Roman" w:hAnsi="Arial" w:cs="Arial"/>
          <w:lang w:eastAsia="en-IN"/>
        </w:rPr>
        <w:t>panelists</w:t>
      </w:r>
      <w:proofErr w:type="spellEnd"/>
      <w:r w:rsidRPr="004E2C55">
        <w:rPr>
          <w:rFonts w:ascii="Arial" w:eastAsia="Times New Roman" w:hAnsi="Arial" w:cs="Arial"/>
          <w:lang w:eastAsia="en-IN"/>
        </w:rPr>
        <w:t xml:space="preserve"> using 9-point hedonic scales. </w:t>
      </w:r>
    </w:p>
    <w:p w14:paraId="5015F0BD"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Results:</w:t>
      </w:r>
      <w:r w:rsidRPr="004E2C55">
        <w:rPr>
          <w:rFonts w:ascii="Arial" w:eastAsia="Times New Roman" w:hAnsi="Arial" w:cs="Arial"/>
          <w:lang w:eastAsia="en-IN"/>
        </w:rPr>
        <w:t xml:space="preserve"> The moisture contents were 33.1 ± 1.2 % (S1), 36.8 ± 1.5 % (S2), and 48.5 ± 2.0 % (S3). Ash increased with ashwagandha, being 3.0 ± 0.3 %, 7.5 ± 0.7 %, and 10.2 ± 0.9 % in S1-S3, respectively. Protein was approx. 8.4-8.6 % in all samples; fat decreased modestly (1.6 ± 0.1 % to 1.2 ± 0.1 %). Antioxidant activity and total phenolics increased significantly with higher ashwagandha. Microbiological counts were within acceptable limits for fermented non-dairy beverages. </w:t>
      </w: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xml:space="preserve"> and viscosity values varied: S3 was darker with higher viscosity but had lower sensory acceptability due to bitter taste. Sensory panel judged S1 best overall (mean score: 8.5 ± 0.3), followed by S2 (7.2 ± 0.5) and S3 (6.1 ± 0.7).</w:t>
      </w:r>
    </w:p>
    <w:p w14:paraId="74C1687C" w14:textId="70B6A720"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Conclusion:</w:t>
      </w:r>
      <w:r w:rsidRPr="004E2C55">
        <w:rPr>
          <w:rFonts w:ascii="Arial" w:eastAsia="Times New Roman" w:hAnsi="Arial" w:cs="Arial"/>
          <w:lang w:eastAsia="en-IN"/>
        </w:rPr>
        <w:t xml:space="preserve"> S1 (0.2 g ashwagandha) </w:t>
      </w:r>
      <w:r w:rsidR="00167ACE">
        <w:rPr>
          <w:rFonts w:ascii="Arial" w:eastAsia="Times New Roman" w:hAnsi="Arial" w:cs="Arial"/>
          <w:lang w:eastAsia="en-IN"/>
        </w:rPr>
        <w:t>was</w:t>
      </w:r>
      <w:r w:rsidRPr="004E2C55">
        <w:rPr>
          <w:rFonts w:ascii="Arial" w:eastAsia="Times New Roman" w:hAnsi="Arial" w:cs="Arial"/>
          <w:lang w:eastAsia="en-IN"/>
        </w:rPr>
        <w:t xml:space="preserve"> optimal for balancing sensory acceptability with good nutritional and functional properties. The developed oat milk lassi offers a promising dairy-free alternative for consumers intolerant to milk, with added health benefits. Further work needed on shelf-life stability and cost-analysis for commercialization.</w:t>
      </w:r>
    </w:p>
    <w:p w14:paraId="4AFF3A0A" w14:textId="77777777" w:rsidR="007446D6" w:rsidRPr="004E2C55" w:rsidRDefault="00976C97" w:rsidP="007446D6">
      <w:pPr>
        <w:spacing w:after="0" w:line="480" w:lineRule="auto"/>
        <w:jc w:val="center"/>
        <w:rPr>
          <w:rFonts w:ascii="Arial" w:hAnsi="Arial" w:cs="Arial"/>
        </w:rPr>
      </w:pPr>
      <w:r w:rsidRPr="004E2C55">
        <w:rPr>
          <w:rFonts w:ascii="Arial" w:eastAsia="Times New Roman" w:hAnsi="Arial" w:cs="Arial"/>
          <w:b/>
          <w:lang w:eastAsia="en-IN"/>
        </w:rPr>
        <w:t>Keywords:</w:t>
      </w:r>
      <w:r w:rsidR="007D31EE" w:rsidRPr="004E2C55">
        <w:rPr>
          <w:rFonts w:ascii="Arial" w:eastAsia="Times New Roman" w:hAnsi="Arial" w:cs="Arial"/>
          <w:lang w:eastAsia="en-IN"/>
        </w:rPr>
        <w:t xml:space="preserve"> </w:t>
      </w:r>
      <w:r w:rsidRPr="004E2C55">
        <w:rPr>
          <w:rFonts w:ascii="Arial" w:eastAsia="Times New Roman" w:hAnsi="Arial" w:cs="Arial"/>
          <w:lang w:eastAsia="en-IN"/>
        </w:rPr>
        <w:t xml:space="preserve">Nutrition </w:t>
      </w:r>
      <w:r w:rsidRPr="004E2C55">
        <w:rPr>
          <w:rFonts w:ascii="Arial" w:hAnsi="Arial" w:cs="Arial"/>
        </w:rPr>
        <w:t>Profiling,</w:t>
      </w:r>
      <w:r w:rsidRPr="004E2C55">
        <w:rPr>
          <w:rFonts w:ascii="Arial" w:hAnsi="Arial" w:cs="Arial"/>
          <w:b/>
        </w:rPr>
        <w:t xml:space="preserve"> </w:t>
      </w:r>
      <w:r w:rsidRPr="004E2C55">
        <w:rPr>
          <w:rFonts w:ascii="Arial" w:eastAsia="Times New Roman" w:hAnsi="Arial" w:cs="Arial"/>
          <w:lang w:eastAsia="en-IN"/>
        </w:rPr>
        <w:t>Sensory analysis, fortifications, Lassi</w:t>
      </w:r>
      <w:r w:rsidR="007446D6" w:rsidRPr="004E2C55">
        <w:rPr>
          <w:rFonts w:ascii="Arial" w:eastAsia="Times New Roman" w:hAnsi="Arial" w:cs="Arial"/>
          <w:lang w:eastAsia="en-IN"/>
        </w:rPr>
        <w:t xml:space="preserve">, </w:t>
      </w:r>
      <w:r w:rsidR="007446D6" w:rsidRPr="004E2C55">
        <w:rPr>
          <w:rFonts w:ascii="Arial" w:hAnsi="Arial" w:cs="Arial"/>
        </w:rPr>
        <w:t>Ashwagandha</w:t>
      </w:r>
    </w:p>
    <w:bookmarkEnd w:id="1"/>
    <w:p w14:paraId="3272DC08"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lastRenderedPageBreak/>
        <w:t>1. Introduction</w:t>
      </w:r>
    </w:p>
    <w:p w14:paraId="0F7BC206" w14:textId="62269B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The increasing global demand for plant-based milk alternatives is driven by health, environmental, and ethical considerations (</w:t>
      </w:r>
      <w:r w:rsidRPr="0052566C">
        <w:rPr>
          <w:rFonts w:ascii="Arial" w:eastAsia="Times New Roman" w:hAnsi="Arial" w:cs="Arial"/>
          <w:b/>
          <w:lang w:eastAsia="en-IN"/>
        </w:rPr>
        <w:t xml:space="preserve">McCarron </w:t>
      </w:r>
      <w:r w:rsidRPr="0052566C">
        <w:rPr>
          <w:rFonts w:ascii="Arial" w:eastAsia="Times New Roman" w:hAnsi="Arial" w:cs="Arial"/>
          <w:b/>
          <w:i/>
          <w:lang w:eastAsia="en-IN"/>
        </w:rPr>
        <w:t>et al.,</w:t>
      </w:r>
      <w:r w:rsidRPr="0052566C">
        <w:rPr>
          <w:rFonts w:ascii="Arial" w:eastAsia="Times New Roman" w:hAnsi="Arial" w:cs="Arial"/>
          <w:b/>
          <w:lang w:eastAsia="en-IN"/>
        </w:rPr>
        <w:t xml:space="preserve"> 2024</w:t>
      </w:r>
      <w:r w:rsidRPr="004E2C55">
        <w:rPr>
          <w:rFonts w:ascii="Arial" w:eastAsia="Times New Roman" w:hAnsi="Arial" w:cs="Arial"/>
          <w:lang w:eastAsia="en-IN"/>
        </w:rPr>
        <w:t xml:space="preserve">). Oat milk in particular is gaining attention due to its </w:t>
      </w:r>
      <w:proofErr w:type="spellStart"/>
      <w:r w:rsidRPr="004E2C55">
        <w:rPr>
          <w:rFonts w:ascii="Arial" w:eastAsia="Times New Roman" w:hAnsi="Arial" w:cs="Arial"/>
          <w:lang w:eastAsia="en-IN"/>
        </w:rPr>
        <w:t>favorable</w:t>
      </w:r>
      <w:proofErr w:type="spellEnd"/>
      <w:r w:rsidRPr="004E2C55">
        <w:rPr>
          <w:rFonts w:ascii="Arial" w:eastAsia="Times New Roman" w:hAnsi="Arial" w:cs="Arial"/>
          <w:lang w:eastAsia="en-IN"/>
        </w:rPr>
        <w:t xml:space="preserve"> nutritional profile, including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(especially β-glucan), moderate protein, and unsaturated fatty acids (</w:t>
      </w:r>
      <w:r w:rsidRPr="0052566C">
        <w:rPr>
          <w:rFonts w:ascii="Arial" w:eastAsia="Times New Roman" w:hAnsi="Arial" w:cs="Arial"/>
          <w:b/>
          <w:lang w:eastAsia="en-IN"/>
        </w:rPr>
        <w:t xml:space="preserve">Zhou </w:t>
      </w:r>
      <w:r w:rsidRPr="0052566C">
        <w:rPr>
          <w:rFonts w:ascii="Arial" w:eastAsia="Times New Roman" w:hAnsi="Arial" w:cs="Arial"/>
          <w:b/>
          <w:i/>
          <w:lang w:eastAsia="en-IN"/>
        </w:rPr>
        <w:t>et al.</w:t>
      </w:r>
      <w:r w:rsidRPr="0052566C">
        <w:rPr>
          <w:rFonts w:ascii="Arial" w:eastAsia="Times New Roman" w:hAnsi="Arial" w:cs="Arial"/>
          <w:b/>
          <w:lang w:eastAsia="en-IN"/>
        </w:rPr>
        <w:t>, 2023</w:t>
      </w:r>
      <w:r w:rsidRPr="004E2C55">
        <w:rPr>
          <w:rFonts w:ascii="Arial" w:eastAsia="Times New Roman" w:hAnsi="Arial" w:cs="Arial"/>
          <w:lang w:eastAsia="en-IN"/>
        </w:rPr>
        <w:t xml:space="preserve">). Fortification and fermentative techniques are often used to improve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and functional properties of plant milks </w:t>
      </w:r>
      <w:r w:rsidRPr="0052566C">
        <w:rPr>
          <w:rFonts w:ascii="Arial" w:eastAsia="Times New Roman" w:hAnsi="Arial" w:cs="Arial"/>
          <w:b/>
          <w:lang w:eastAsia="en-IN"/>
        </w:rPr>
        <w:t>(</w:t>
      </w:r>
      <w:proofErr w:type="spellStart"/>
      <w:r w:rsidRPr="0052566C">
        <w:rPr>
          <w:rFonts w:ascii="Arial" w:eastAsia="Times New Roman" w:hAnsi="Arial" w:cs="Arial"/>
          <w:b/>
          <w:lang w:eastAsia="en-IN"/>
        </w:rPr>
        <w:t>Tangyu</w:t>
      </w:r>
      <w:proofErr w:type="spellEnd"/>
      <w:r w:rsidRPr="0052566C">
        <w:rPr>
          <w:rFonts w:ascii="Arial" w:eastAsia="Times New Roman" w:hAnsi="Arial" w:cs="Arial"/>
          <w:b/>
          <w:lang w:eastAsia="en-IN"/>
        </w:rPr>
        <w:t xml:space="preserve"> </w:t>
      </w:r>
      <w:r w:rsidRPr="0052566C">
        <w:rPr>
          <w:rFonts w:ascii="Arial" w:eastAsia="Times New Roman" w:hAnsi="Arial" w:cs="Arial"/>
          <w:b/>
          <w:i/>
          <w:lang w:eastAsia="en-IN"/>
        </w:rPr>
        <w:t>et al.</w:t>
      </w:r>
      <w:r w:rsidRPr="0052566C">
        <w:rPr>
          <w:rFonts w:ascii="Arial" w:eastAsia="Times New Roman" w:hAnsi="Arial" w:cs="Arial"/>
          <w:b/>
          <w:lang w:eastAsia="en-IN"/>
        </w:rPr>
        <w:t>, 2023)</w:t>
      </w:r>
      <w:r w:rsidRPr="004E2C55">
        <w:rPr>
          <w:rFonts w:ascii="Arial" w:eastAsia="Times New Roman" w:hAnsi="Arial" w:cs="Arial"/>
          <w:lang w:eastAsia="en-IN"/>
        </w:rPr>
        <w:t>.</w:t>
      </w:r>
      <w:r w:rsidR="008E074A" w:rsidRPr="004E2C55">
        <w:rPr>
          <w:rFonts w:ascii="Arial" w:eastAsia="Times New Roman" w:hAnsi="Arial" w:cs="Arial"/>
          <w:lang w:eastAsia="en-IN"/>
        </w:rPr>
        <w:t xml:space="preserve"> </w:t>
      </w:r>
      <w:r w:rsidRPr="004E2C55">
        <w:rPr>
          <w:rFonts w:ascii="Arial" w:eastAsia="Times New Roman" w:hAnsi="Arial" w:cs="Arial"/>
          <w:lang w:eastAsia="en-IN"/>
        </w:rPr>
        <w:t>Ashwagandha (</w:t>
      </w:r>
      <w:proofErr w:type="spellStart"/>
      <w:r w:rsidRPr="004E2C55">
        <w:rPr>
          <w:rFonts w:ascii="Arial" w:eastAsia="Times New Roman" w:hAnsi="Arial" w:cs="Arial"/>
          <w:i/>
          <w:iCs/>
          <w:lang w:eastAsia="en-IN"/>
        </w:rPr>
        <w:t>Withania</w:t>
      </w:r>
      <w:proofErr w:type="spellEnd"/>
      <w:r w:rsidRPr="004E2C55">
        <w:rPr>
          <w:rFonts w:ascii="Arial" w:eastAsia="Times New Roman" w:hAnsi="Arial" w:cs="Arial"/>
          <w:i/>
          <w:iCs/>
          <w:lang w:eastAsia="en-IN"/>
        </w:rPr>
        <w:t xml:space="preserve"> </w:t>
      </w:r>
      <w:proofErr w:type="spellStart"/>
      <w:r w:rsidRPr="004E2C55">
        <w:rPr>
          <w:rFonts w:ascii="Arial" w:eastAsia="Times New Roman" w:hAnsi="Arial" w:cs="Arial"/>
          <w:i/>
          <w:iCs/>
          <w:lang w:eastAsia="en-IN"/>
        </w:rPr>
        <w:t>somnifera</w:t>
      </w:r>
      <w:proofErr w:type="spellEnd"/>
      <w:r w:rsidRPr="004E2C55">
        <w:rPr>
          <w:rFonts w:ascii="Arial" w:eastAsia="Times New Roman" w:hAnsi="Arial" w:cs="Arial"/>
          <w:lang w:eastAsia="en-IN"/>
        </w:rPr>
        <w:t xml:space="preserve">) is a medicinal herb well known for its </w:t>
      </w:r>
      <w:r w:rsidR="007446D6" w:rsidRPr="004E2C55">
        <w:rPr>
          <w:rFonts w:ascii="Arial" w:eastAsia="Times New Roman" w:hAnsi="Arial" w:cs="Arial"/>
          <w:lang w:eastAsia="en-IN"/>
        </w:rPr>
        <w:t>apoptogenic</w:t>
      </w:r>
      <w:r w:rsidRPr="004E2C55">
        <w:rPr>
          <w:rFonts w:ascii="Arial" w:eastAsia="Times New Roman" w:hAnsi="Arial" w:cs="Arial"/>
          <w:lang w:eastAsia="en-IN"/>
        </w:rPr>
        <w:t>, antioxidant and immune-modulating properties; its phytochemicals may impart additional health benefits.</w:t>
      </w:r>
    </w:p>
    <w:p w14:paraId="3699B811" w14:textId="578CA4D3"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Lassi is a traditional fermented dairy beverage commonly consumed in the Indian subcontinent; however, its vegan analogues remain underexplored. Thus, this study aims to develop a vegan oat milk lassi fortified with ashwagandha and evaluate its physicochemical, functional, microbial, and sensory properties to identify the optimal formulation.</w:t>
      </w:r>
    </w:p>
    <w:p w14:paraId="4237474E"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2. Materials and Methods</w:t>
      </w:r>
    </w:p>
    <w:p w14:paraId="5DB76116"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2.1 Materials</w:t>
      </w:r>
    </w:p>
    <w:p w14:paraId="7A406507" w14:textId="5809CA35" w:rsidR="008B4DDC" w:rsidRPr="004E2C55" w:rsidRDefault="000F0C18" w:rsidP="00943862">
      <w:pPr>
        <w:spacing w:after="0" w:line="480" w:lineRule="auto"/>
        <w:jc w:val="both"/>
        <w:rPr>
          <w:rFonts w:ascii="Arial" w:eastAsia="Times New Roman" w:hAnsi="Arial" w:cs="Arial"/>
          <w:lang w:eastAsia="en-IN"/>
        </w:rPr>
      </w:pPr>
      <w:r w:rsidRPr="004E2C55">
        <w:rPr>
          <w:rFonts w:ascii="Arial" w:eastAsia="Times New Roman" w:hAnsi="Arial" w:cs="Arial"/>
          <w:lang w:eastAsia="en-IN"/>
        </w:rPr>
        <w:t>Commercial oat milk (Only Earth brand) was used as base. Ashwagandha powder was procured locally and authenticated. Sugar, cardamom, saffron were food-grade. A vegan lactic acid bacterial culture (</w:t>
      </w:r>
      <w:r w:rsidRPr="004E2C55">
        <w:rPr>
          <w:rFonts w:ascii="Arial" w:eastAsia="Times New Roman" w:hAnsi="Arial" w:cs="Arial"/>
          <w:i/>
          <w:iCs/>
          <w:lang w:eastAsia="en-IN"/>
        </w:rPr>
        <w:t>Streptococcus thermophilus</w:t>
      </w:r>
      <w:r w:rsidRPr="004E2C55">
        <w:rPr>
          <w:rFonts w:ascii="Arial" w:eastAsia="Times New Roman" w:hAnsi="Arial" w:cs="Arial"/>
          <w:lang w:eastAsia="en-IN"/>
        </w:rPr>
        <w:t xml:space="preserve">, </w:t>
      </w:r>
      <w:r w:rsidRPr="004E2C55">
        <w:rPr>
          <w:rFonts w:ascii="Arial" w:eastAsia="Times New Roman" w:hAnsi="Arial" w:cs="Arial"/>
          <w:i/>
          <w:iCs/>
          <w:lang w:eastAsia="en-IN"/>
        </w:rPr>
        <w:t>Lactobacillus plantarum</w:t>
      </w:r>
      <w:r w:rsidRPr="004E2C55">
        <w:rPr>
          <w:rFonts w:ascii="Arial" w:eastAsia="Times New Roman" w:hAnsi="Arial" w:cs="Arial"/>
          <w:lang w:eastAsia="en-IN"/>
        </w:rPr>
        <w:t xml:space="preserve">) was purchased from </w:t>
      </w:r>
      <w:proofErr w:type="spellStart"/>
      <w:r w:rsidRPr="004E2C55">
        <w:rPr>
          <w:rFonts w:ascii="Arial" w:eastAsia="Times New Roman" w:hAnsi="Arial" w:cs="Arial"/>
          <w:lang w:eastAsia="en-IN"/>
        </w:rPr>
        <w:t>ULTx</w:t>
      </w:r>
      <w:proofErr w:type="spellEnd"/>
      <w:r w:rsidRPr="004E2C55">
        <w:rPr>
          <w:rFonts w:ascii="Arial" w:eastAsia="Times New Roman" w:hAnsi="Arial" w:cs="Arial"/>
          <w:lang w:eastAsia="en-IN"/>
        </w:rPr>
        <w:t>, used as starter (initial inoculum ~10</w:t>
      </w:r>
      <w:r w:rsidR="0052566C">
        <w:rPr>
          <w:rFonts w:ascii="Arial" w:eastAsia="Times New Roman" w:hAnsi="Arial" w:cs="Arial"/>
          <w:lang w:eastAsia="en-IN"/>
        </w:rPr>
        <w:t xml:space="preserve"> X </w:t>
      </w:r>
      <w:r w:rsidRPr="004E2C55">
        <w:rPr>
          <w:rFonts w:ascii="Arial" w:eastAsia="Times New Roman" w:hAnsi="Arial" w:cs="Arial"/>
          <w:lang w:eastAsia="en-IN"/>
        </w:rPr>
        <w:t>7 CFU/mL).</w:t>
      </w:r>
    </w:p>
    <w:p w14:paraId="2FF76AD3" w14:textId="699E556F"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2.2 Experimental Design</w:t>
      </w:r>
    </w:p>
    <w:p w14:paraId="02B01F07" w14:textId="5AAD1F2B"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Preliminary trials tested sugar (12 %, 15 %, 18 %) and ashwagandha (0.2 g, 0.3 g, 0.4 g) levels via sensory screening (n = 10). Based on those, sugar 16 % and three ashwagandha levels were selected. Formulations S1, S2</w:t>
      </w:r>
      <w:r w:rsidR="00DE6608" w:rsidRPr="004E2C55">
        <w:rPr>
          <w:rFonts w:ascii="Arial" w:eastAsia="Times New Roman" w:hAnsi="Arial" w:cs="Arial"/>
          <w:lang w:eastAsia="en-IN"/>
        </w:rPr>
        <w:t xml:space="preserve"> and </w:t>
      </w:r>
      <w:r w:rsidRPr="004E2C55">
        <w:rPr>
          <w:rFonts w:ascii="Arial" w:eastAsia="Times New Roman" w:hAnsi="Arial" w:cs="Arial"/>
          <w:lang w:eastAsia="en-IN"/>
        </w:rPr>
        <w:t xml:space="preserve">S3 were prepared </w:t>
      </w:r>
      <w:r w:rsidR="00775216" w:rsidRPr="004E2C55">
        <w:rPr>
          <w:rFonts w:ascii="Arial" w:eastAsia="Times New Roman" w:hAnsi="Arial" w:cs="Arial"/>
          <w:lang w:eastAsia="en-IN"/>
        </w:rPr>
        <w:t>in</w:t>
      </w:r>
      <w:r w:rsidRPr="004E2C55">
        <w:rPr>
          <w:rFonts w:ascii="Arial" w:eastAsia="Times New Roman" w:hAnsi="Arial" w:cs="Arial"/>
          <w:lang w:eastAsia="en-IN"/>
        </w:rPr>
        <w:t xml:space="preserve"> Table 1</w:t>
      </w:r>
      <w:r w:rsidR="00775216" w:rsidRPr="004E2C55">
        <w:rPr>
          <w:rFonts w:ascii="Arial" w:eastAsia="Times New Roman" w:hAnsi="Arial" w:cs="Arial"/>
          <w:lang w:eastAsia="en-IN"/>
        </w:rPr>
        <w:t>.</w:t>
      </w:r>
    </w:p>
    <w:p w14:paraId="2275E1DC" w14:textId="449A553C" w:rsidR="0009593F" w:rsidRPr="004E2C55" w:rsidRDefault="0009593F"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 xml:space="preserve">Table 1: Composition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p>
    <w:tbl>
      <w:tblPr>
        <w:tblStyle w:val="TableGrid"/>
        <w:tblW w:w="0" w:type="auto"/>
        <w:tblLook w:val="04A0" w:firstRow="1" w:lastRow="0" w:firstColumn="1" w:lastColumn="0" w:noHBand="0" w:noVBand="1"/>
      </w:tblPr>
      <w:tblGrid>
        <w:gridCol w:w="1461"/>
        <w:gridCol w:w="1441"/>
        <w:gridCol w:w="1708"/>
        <w:gridCol w:w="1450"/>
        <w:gridCol w:w="1494"/>
        <w:gridCol w:w="1462"/>
      </w:tblGrid>
      <w:tr w:rsidR="00775216" w:rsidRPr="004E2C55" w14:paraId="69E2C8AF" w14:textId="77777777" w:rsidTr="00775216">
        <w:tc>
          <w:tcPr>
            <w:tcW w:w="1467" w:type="dxa"/>
            <w:vAlign w:val="center"/>
          </w:tcPr>
          <w:p w14:paraId="13B4A513" w14:textId="72CA8FE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Sample</w:t>
            </w:r>
            <w:r w:rsidR="009316AD" w:rsidRPr="004E2C55">
              <w:rPr>
                <w:rFonts w:ascii="Arial" w:eastAsia="Times New Roman" w:hAnsi="Arial" w:cs="Arial"/>
                <w:b/>
                <w:bCs/>
                <w:lang w:eastAsia="en-IN"/>
              </w:rPr>
              <w:t>s</w:t>
            </w:r>
          </w:p>
        </w:tc>
        <w:tc>
          <w:tcPr>
            <w:tcW w:w="1453" w:type="dxa"/>
            <w:vAlign w:val="center"/>
          </w:tcPr>
          <w:p w14:paraId="142D97E8" w14:textId="75344DB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Oat milk curd (mL)</w:t>
            </w:r>
          </w:p>
        </w:tc>
        <w:tc>
          <w:tcPr>
            <w:tcW w:w="1670" w:type="dxa"/>
            <w:vAlign w:val="center"/>
          </w:tcPr>
          <w:p w14:paraId="34295621" w14:textId="72961A1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Ashwagandha (g)</w:t>
            </w:r>
          </w:p>
        </w:tc>
        <w:tc>
          <w:tcPr>
            <w:tcW w:w="1460" w:type="dxa"/>
            <w:vAlign w:val="center"/>
          </w:tcPr>
          <w:p w14:paraId="30DA0854" w14:textId="037375D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Sugar (%)</w:t>
            </w:r>
          </w:p>
        </w:tc>
        <w:tc>
          <w:tcPr>
            <w:tcW w:w="1496" w:type="dxa"/>
            <w:vAlign w:val="center"/>
          </w:tcPr>
          <w:p w14:paraId="377E5E46" w14:textId="7F7B92D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Cardamom (g)</w:t>
            </w:r>
          </w:p>
        </w:tc>
        <w:tc>
          <w:tcPr>
            <w:tcW w:w="1470" w:type="dxa"/>
            <w:vAlign w:val="center"/>
          </w:tcPr>
          <w:p w14:paraId="05F38284" w14:textId="42BD199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Saffron (mg)</w:t>
            </w:r>
          </w:p>
        </w:tc>
      </w:tr>
      <w:tr w:rsidR="00775216" w:rsidRPr="004E2C55" w14:paraId="2F429AAB" w14:textId="77777777" w:rsidTr="001C6EEB">
        <w:tc>
          <w:tcPr>
            <w:tcW w:w="1467" w:type="dxa"/>
            <w:vAlign w:val="center"/>
          </w:tcPr>
          <w:p w14:paraId="3C39CD66" w14:textId="1B4B648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S1</w:t>
            </w:r>
          </w:p>
        </w:tc>
        <w:tc>
          <w:tcPr>
            <w:tcW w:w="1453" w:type="dxa"/>
            <w:vAlign w:val="center"/>
          </w:tcPr>
          <w:p w14:paraId="10898425" w14:textId="47C7BB3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85.96</w:t>
            </w:r>
          </w:p>
        </w:tc>
        <w:tc>
          <w:tcPr>
            <w:tcW w:w="1670" w:type="dxa"/>
            <w:vAlign w:val="center"/>
          </w:tcPr>
          <w:p w14:paraId="069F3ADD" w14:textId="5467298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60" w:type="dxa"/>
            <w:vAlign w:val="center"/>
          </w:tcPr>
          <w:p w14:paraId="25A1E556" w14:textId="14B1822E"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w:t>
            </w:r>
          </w:p>
        </w:tc>
        <w:tc>
          <w:tcPr>
            <w:tcW w:w="1496" w:type="dxa"/>
            <w:vAlign w:val="center"/>
          </w:tcPr>
          <w:p w14:paraId="4EE7DECC" w14:textId="78DBD98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70" w:type="dxa"/>
            <w:vAlign w:val="center"/>
          </w:tcPr>
          <w:p w14:paraId="305B07AF" w14:textId="182B57D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r w:rsidR="00775216" w:rsidRPr="004E2C55" w14:paraId="4F3A1C05" w14:textId="77777777" w:rsidTr="001C6EEB">
        <w:tc>
          <w:tcPr>
            <w:tcW w:w="1467" w:type="dxa"/>
            <w:vAlign w:val="center"/>
          </w:tcPr>
          <w:p w14:paraId="293460A6" w14:textId="3D7D796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lastRenderedPageBreak/>
              <w:t>S2</w:t>
            </w:r>
          </w:p>
        </w:tc>
        <w:tc>
          <w:tcPr>
            <w:tcW w:w="1453" w:type="dxa"/>
            <w:vAlign w:val="center"/>
          </w:tcPr>
          <w:p w14:paraId="596C8191" w14:textId="11A7AD0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83.60</w:t>
            </w:r>
          </w:p>
        </w:tc>
        <w:tc>
          <w:tcPr>
            <w:tcW w:w="1670" w:type="dxa"/>
            <w:vAlign w:val="center"/>
          </w:tcPr>
          <w:p w14:paraId="32B37989" w14:textId="68A4BC8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0.3</w:t>
            </w:r>
          </w:p>
        </w:tc>
        <w:tc>
          <w:tcPr>
            <w:tcW w:w="1460" w:type="dxa"/>
            <w:vAlign w:val="center"/>
          </w:tcPr>
          <w:p w14:paraId="2A4A38CA" w14:textId="12E08319"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w:t>
            </w:r>
          </w:p>
        </w:tc>
        <w:tc>
          <w:tcPr>
            <w:tcW w:w="1496" w:type="dxa"/>
            <w:vAlign w:val="center"/>
          </w:tcPr>
          <w:p w14:paraId="7C7163D0" w14:textId="4A120E9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w:t>
            </w:r>
          </w:p>
        </w:tc>
        <w:tc>
          <w:tcPr>
            <w:tcW w:w="1470" w:type="dxa"/>
          </w:tcPr>
          <w:p w14:paraId="250F18E0" w14:textId="7009551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r w:rsidR="00775216" w:rsidRPr="004E2C55" w14:paraId="0702AFC1" w14:textId="77777777" w:rsidTr="001C6EEB">
        <w:tc>
          <w:tcPr>
            <w:tcW w:w="1467" w:type="dxa"/>
            <w:vAlign w:val="center"/>
          </w:tcPr>
          <w:p w14:paraId="0351D312" w14:textId="7F36A68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S3</w:t>
            </w:r>
          </w:p>
        </w:tc>
        <w:tc>
          <w:tcPr>
            <w:tcW w:w="1453" w:type="dxa"/>
            <w:vAlign w:val="center"/>
          </w:tcPr>
          <w:p w14:paraId="751B188D" w14:textId="6E9F458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83.50</w:t>
            </w:r>
          </w:p>
        </w:tc>
        <w:tc>
          <w:tcPr>
            <w:tcW w:w="1670" w:type="dxa"/>
            <w:vAlign w:val="center"/>
          </w:tcPr>
          <w:p w14:paraId="2B89D036" w14:textId="6F3B349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0.4</w:t>
            </w:r>
          </w:p>
        </w:tc>
        <w:tc>
          <w:tcPr>
            <w:tcW w:w="1460" w:type="dxa"/>
            <w:vAlign w:val="center"/>
          </w:tcPr>
          <w:p w14:paraId="61058341" w14:textId="4D5C8780"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w:t>
            </w:r>
          </w:p>
        </w:tc>
        <w:tc>
          <w:tcPr>
            <w:tcW w:w="1496" w:type="dxa"/>
            <w:vAlign w:val="center"/>
          </w:tcPr>
          <w:p w14:paraId="2B893413" w14:textId="71C717D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70" w:type="dxa"/>
          </w:tcPr>
          <w:p w14:paraId="499F801D" w14:textId="60CA204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bl>
    <w:p w14:paraId="3A1A9D21" w14:textId="5E0D9DC9" w:rsidR="00775216" w:rsidRPr="004E2C55" w:rsidRDefault="00775216" w:rsidP="008B4DDC">
      <w:pPr>
        <w:spacing w:after="0" w:line="480" w:lineRule="auto"/>
        <w:jc w:val="both"/>
        <w:rPr>
          <w:rFonts w:ascii="Arial" w:eastAsia="Times New Roman" w:hAnsi="Arial" w:cs="Arial"/>
          <w:lang w:eastAsia="en-IN"/>
        </w:rPr>
      </w:pPr>
    </w:p>
    <w:p w14:paraId="4B6B07DA" w14:textId="77777777" w:rsidR="00943862" w:rsidRPr="004E2C55" w:rsidRDefault="00943862" w:rsidP="008B4DDC">
      <w:pPr>
        <w:spacing w:after="0" w:line="480" w:lineRule="auto"/>
        <w:jc w:val="both"/>
        <w:rPr>
          <w:rFonts w:ascii="Arial" w:eastAsia="Times New Roman" w:hAnsi="Arial" w:cs="Arial"/>
          <w:vanish/>
          <w:lang w:eastAsia="en-IN"/>
        </w:rPr>
      </w:pPr>
    </w:p>
    <w:p w14:paraId="4D21B3B3" w14:textId="77777777" w:rsidR="00775216" w:rsidRPr="004E2C55" w:rsidRDefault="00775216" w:rsidP="008B4DDC">
      <w:pPr>
        <w:spacing w:after="0" w:line="480" w:lineRule="auto"/>
        <w:jc w:val="both"/>
        <w:rPr>
          <w:rFonts w:ascii="Arial" w:eastAsia="Times New Roman" w:hAnsi="Arial" w:cs="Arial"/>
          <w:vanish/>
          <w:lang w:eastAsia="en-IN"/>
        </w:rPr>
      </w:pPr>
    </w:p>
    <w:p w14:paraId="68A9DF77" w14:textId="77777777" w:rsidR="00775216" w:rsidRPr="004E2C55" w:rsidRDefault="00775216" w:rsidP="008B4DDC">
      <w:pPr>
        <w:spacing w:after="0" w:line="480" w:lineRule="auto"/>
        <w:jc w:val="both"/>
        <w:rPr>
          <w:rFonts w:ascii="Arial" w:eastAsia="Times New Roman" w:hAnsi="Arial" w:cs="Arial"/>
          <w:vanish/>
          <w:lang w:eastAsia="en-IN"/>
        </w:rPr>
      </w:pPr>
    </w:p>
    <w:p w14:paraId="784BB71A"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2.3 Preparation of Vegan Oat Milk Lassi</w:t>
      </w:r>
    </w:p>
    <w:p w14:paraId="0BBC69CB" w14:textId="4784770C"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Oat milk was inoculated with starter culture and incubated at 40 °C until pH 4.5 (approx. 8 h). After fermentation, mixtures were cooled and sugar, spices added. Samples homogenized and filled into sterilized containers</w:t>
      </w:r>
      <w:r w:rsidR="00C50214" w:rsidRPr="004E2C55">
        <w:rPr>
          <w:rFonts w:ascii="Arial" w:eastAsia="Times New Roman" w:hAnsi="Arial" w:cs="Arial"/>
          <w:lang w:eastAsia="en-IN"/>
        </w:rPr>
        <w:t xml:space="preserve"> (</w:t>
      </w:r>
      <w:r w:rsidR="00C50214" w:rsidRPr="0052566C">
        <w:rPr>
          <w:rFonts w:ascii="Arial" w:eastAsia="Times New Roman" w:hAnsi="Arial" w:cs="Arial"/>
          <w:b/>
          <w:lang w:eastAsia="en-IN"/>
        </w:rPr>
        <w:t>S</w:t>
      </w:r>
      <w:r w:rsidR="00C50214" w:rsidRPr="0052566C">
        <w:rPr>
          <w:rFonts w:ascii="Arial" w:hAnsi="Arial" w:cs="Arial"/>
          <w:b/>
        </w:rPr>
        <w:t xml:space="preserve">ayyad </w:t>
      </w:r>
      <w:r w:rsidR="00C50214" w:rsidRPr="0052566C">
        <w:rPr>
          <w:rFonts w:ascii="Arial" w:hAnsi="Arial" w:cs="Arial"/>
          <w:b/>
          <w:i/>
        </w:rPr>
        <w:t>et al</w:t>
      </w:r>
      <w:r w:rsidR="00C50214" w:rsidRPr="0052566C">
        <w:rPr>
          <w:rFonts w:ascii="Arial" w:hAnsi="Arial" w:cs="Arial"/>
          <w:b/>
        </w:rPr>
        <w:t>.,2022</w:t>
      </w:r>
      <w:r w:rsidR="00C50214" w:rsidRPr="004E2C55">
        <w:rPr>
          <w:rFonts w:ascii="Arial" w:eastAsia="Times New Roman" w:hAnsi="Arial" w:cs="Arial"/>
          <w:lang w:eastAsia="en-IN"/>
        </w:rPr>
        <w:t>)</w:t>
      </w:r>
      <w:r w:rsidRPr="004E2C55">
        <w:rPr>
          <w:rFonts w:ascii="Arial" w:eastAsia="Times New Roman" w:hAnsi="Arial" w:cs="Arial"/>
          <w:lang w:eastAsia="en-IN"/>
        </w:rPr>
        <w:t>.</w:t>
      </w:r>
    </w:p>
    <w:p w14:paraId="5AF91896" w14:textId="77777777" w:rsidR="00F017F3" w:rsidRPr="004E2C55" w:rsidRDefault="00F017F3" w:rsidP="008B4DDC">
      <w:pPr>
        <w:pStyle w:val="BodyText"/>
        <w:spacing w:line="480" w:lineRule="auto"/>
        <w:ind w:left="0"/>
        <w:jc w:val="left"/>
        <w:rPr>
          <w:rFonts w:ascii="Arial" w:hAnsi="Arial" w:cs="Arial"/>
          <w:sz w:val="22"/>
          <w:szCs w:val="22"/>
        </w:rPr>
      </w:pPr>
      <w:r w:rsidRPr="004E2C55">
        <w:rPr>
          <w:rFonts w:ascii="Arial" w:hAnsi="Arial" w:cs="Arial"/>
          <w:noProof/>
          <w:sz w:val="22"/>
          <w:szCs w:val="22"/>
        </w:rPr>
        <mc:AlternateContent>
          <mc:Choice Requires="wps">
            <w:drawing>
              <wp:anchor distT="0" distB="0" distL="0" distR="0" simplePos="0" relativeHeight="251659264" behindDoc="1" locked="0" layoutInCell="1" allowOverlap="1" wp14:anchorId="745C2BE6" wp14:editId="49EC2BA8">
                <wp:simplePos x="0" y="0"/>
                <wp:positionH relativeFrom="page">
                  <wp:posOffset>2529840</wp:posOffset>
                </wp:positionH>
                <wp:positionV relativeFrom="paragraph">
                  <wp:posOffset>137160</wp:posOffset>
                </wp:positionV>
                <wp:extent cx="2880360" cy="4526280"/>
                <wp:effectExtent l="0" t="0" r="15240" b="2667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4526280"/>
                        </a:xfrm>
                        <a:prstGeom prst="rect">
                          <a:avLst/>
                        </a:prstGeom>
                        <a:ln w="6096">
                          <a:solidFill>
                            <a:srgbClr val="000000"/>
                          </a:solidFill>
                          <a:prstDash val="solid"/>
                        </a:ln>
                      </wps:spPr>
                      <wps:txbx>
                        <w:txbxContent>
                          <w:p w14:paraId="66030477" w14:textId="77777777" w:rsidR="00F017F3" w:rsidRPr="00C50214" w:rsidRDefault="00F017F3" w:rsidP="00F017F3">
                            <w:pPr>
                              <w:pStyle w:val="BodyText"/>
                              <w:spacing w:before="9"/>
                              <w:ind w:left="0" w:right="130"/>
                              <w:jc w:val="center"/>
                              <w:rPr>
                                <w:sz w:val="20"/>
                              </w:rPr>
                            </w:pPr>
                            <w:r w:rsidRPr="00C50214">
                              <w:rPr>
                                <w:sz w:val="20"/>
                              </w:rPr>
                              <w:t>Receiving</w:t>
                            </w:r>
                            <w:r w:rsidRPr="00C50214">
                              <w:rPr>
                                <w:spacing w:val="-9"/>
                                <w:sz w:val="20"/>
                              </w:rPr>
                              <w:t xml:space="preserve"> </w:t>
                            </w:r>
                            <w:r w:rsidRPr="00C50214">
                              <w:rPr>
                                <w:sz w:val="20"/>
                              </w:rPr>
                              <w:t>of</w:t>
                            </w:r>
                            <w:r w:rsidRPr="00C50214">
                              <w:rPr>
                                <w:spacing w:val="-5"/>
                                <w:sz w:val="20"/>
                              </w:rPr>
                              <w:t xml:space="preserve"> </w:t>
                            </w:r>
                            <w:r w:rsidRPr="00C50214">
                              <w:rPr>
                                <w:sz w:val="20"/>
                              </w:rPr>
                              <w:t>oat</w:t>
                            </w:r>
                            <w:r w:rsidRPr="00C50214">
                              <w:rPr>
                                <w:spacing w:val="-1"/>
                                <w:sz w:val="20"/>
                              </w:rPr>
                              <w:t xml:space="preserve"> </w:t>
                            </w:r>
                            <w:r w:rsidRPr="00C50214">
                              <w:rPr>
                                <w:spacing w:val="-4"/>
                                <w:sz w:val="20"/>
                              </w:rPr>
                              <w:t>milk</w:t>
                            </w:r>
                          </w:p>
                          <w:p w14:paraId="1CCF3401"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540ADDFB" w14:textId="77777777" w:rsidR="00F017F3" w:rsidRPr="00C50214" w:rsidRDefault="00F017F3" w:rsidP="00F017F3">
                            <w:pPr>
                              <w:pStyle w:val="BodyText"/>
                              <w:spacing w:before="9"/>
                              <w:ind w:left="0" w:right="197"/>
                              <w:jc w:val="center"/>
                              <w:rPr>
                                <w:sz w:val="20"/>
                              </w:rPr>
                            </w:pPr>
                            <w:r w:rsidRPr="00C50214">
                              <w:rPr>
                                <w:sz w:val="20"/>
                              </w:rPr>
                              <w:t>Filtration</w:t>
                            </w:r>
                            <w:r w:rsidRPr="00C50214">
                              <w:rPr>
                                <w:spacing w:val="-3"/>
                                <w:sz w:val="20"/>
                              </w:rPr>
                              <w:t xml:space="preserve"> </w:t>
                            </w:r>
                            <w:r w:rsidRPr="00C50214">
                              <w:rPr>
                                <w:sz w:val="20"/>
                              </w:rPr>
                              <w:t>/</w:t>
                            </w:r>
                            <w:r w:rsidRPr="00C50214">
                              <w:rPr>
                                <w:spacing w:val="-5"/>
                                <w:sz w:val="20"/>
                              </w:rPr>
                              <w:t xml:space="preserve"> </w:t>
                            </w:r>
                            <w:r w:rsidRPr="00C50214">
                              <w:rPr>
                                <w:spacing w:val="-2"/>
                                <w:sz w:val="20"/>
                              </w:rPr>
                              <w:t>Clarification</w:t>
                            </w:r>
                          </w:p>
                          <w:p w14:paraId="3FF2DB4C"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62D3C8C6" w14:textId="77777777" w:rsidR="00F017F3" w:rsidRPr="00C50214" w:rsidRDefault="00F017F3" w:rsidP="00F017F3">
                            <w:pPr>
                              <w:pStyle w:val="BodyText"/>
                              <w:spacing w:before="14"/>
                              <w:ind w:left="60"/>
                              <w:jc w:val="center"/>
                              <w:rPr>
                                <w:sz w:val="20"/>
                              </w:rPr>
                            </w:pPr>
                            <w:r w:rsidRPr="00C50214">
                              <w:rPr>
                                <w:sz w:val="20"/>
                              </w:rPr>
                              <w:t>Pasteurization</w:t>
                            </w:r>
                            <w:r w:rsidRPr="00C50214">
                              <w:rPr>
                                <w:spacing w:val="-6"/>
                                <w:sz w:val="20"/>
                              </w:rPr>
                              <w:t xml:space="preserve"> </w:t>
                            </w:r>
                            <w:r w:rsidRPr="00C50214">
                              <w:rPr>
                                <w:sz w:val="20"/>
                              </w:rPr>
                              <w:t>(at</w:t>
                            </w:r>
                            <w:r w:rsidRPr="00C50214">
                              <w:rPr>
                                <w:spacing w:val="-2"/>
                                <w:sz w:val="20"/>
                              </w:rPr>
                              <w:t xml:space="preserve"> </w:t>
                            </w:r>
                            <w:r w:rsidRPr="00C50214">
                              <w:rPr>
                                <w:sz w:val="20"/>
                              </w:rPr>
                              <w:t>80-90°</w:t>
                            </w:r>
                            <w:r w:rsidRPr="00C50214">
                              <w:rPr>
                                <w:spacing w:val="-7"/>
                                <w:sz w:val="20"/>
                              </w:rPr>
                              <w:t xml:space="preserve"> </w:t>
                            </w:r>
                            <w:r w:rsidRPr="00C50214">
                              <w:rPr>
                                <w:sz w:val="20"/>
                              </w:rPr>
                              <w:t>C</w:t>
                            </w:r>
                            <w:r w:rsidRPr="00C50214">
                              <w:rPr>
                                <w:spacing w:val="-3"/>
                                <w:sz w:val="20"/>
                              </w:rPr>
                              <w:t xml:space="preserve"> </w:t>
                            </w:r>
                            <w:r w:rsidRPr="00C50214">
                              <w:rPr>
                                <w:spacing w:val="-5"/>
                                <w:sz w:val="20"/>
                              </w:rPr>
                              <w:t>for</w:t>
                            </w:r>
                          </w:p>
                          <w:p w14:paraId="71CA4FC9" w14:textId="77777777" w:rsidR="00F017F3" w:rsidRPr="00C50214" w:rsidRDefault="00F017F3" w:rsidP="00F017F3">
                            <w:pPr>
                              <w:pStyle w:val="BodyText"/>
                              <w:spacing w:before="14"/>
                              <w:ind w:left="295"/>
                              <w:jc w:val="center"/>
                              <w:rPr>
                                <w:sz w:val="20"/>
                              </w:rPr>
                            </w:pPr>
                            <w:r w:rsidRPr="00C50214">
                              <w:rPr>
                                <w:sz w:val="20"/>
                              </w:rPr>
                              <w:t>5-6</w:t>
                            </w:r>
                            <w:r w:rsidRPr="00C50214">
                              <w:rPr>
                                <w:spacing w:val="1"/>
                                <w:sz w:val="20"/>
                              </w:rPr>
                              <w:t xml:space="preserve"> </w:t>
                            </w:r>
                            <w:r w:rsidRPr="00C50214">
                              <w:rPr>
                                <w:spacing w:val="-2"/>
                                <w:sz w:val="20"/>
                              </w:rPr>
                              <w:t>minutes)</w:t>
                            </w:r>
                          </w:p>
                          <w:p w14:paraId="5916EFE9" w14:textId="77777777" w:rsidR="00C50214" w:rsidRDefault="00F017F3" w:rsidP="00C50214">
                            <w:pPr>
                              <w:pStyle w:val="BodyText"/>
                              <w:spacing w:before="14" w:line="256" w:lineRule="auto"/>
                              <w:ind w:left="1445" w:right="1142" w:firstLine="715"/>
                              <w:rPr>
                                <w:spacing w:val="40"/>
                                <w:sz w:val="20"/>
                              </w:rPr>
                            </w:pPr>
                            <w:r w:rsidRPr="00C50214">
                              <w:rPr>
                                <w:spacing w:val="-10"/>
                                <w:sz w:val="20"/>
                              </w:rPr>
                              <w:t>↓</w:t>
                            </w:r>
                            <w:r w:rsidRPr="00C50214">
                              <w:rPr>
                                <w:spacing w:val="40"/>
                                <w:sz w:val="20"/>
                              </w:rPr>
                              <w:t xml:space="preserve"> </w:t>
                            </w:r>
                          </w:p>
                          <w:p w14:paraId="7963B585" w14:textId="2A1A96C6" w:rsidR="00F017F3" w:rsidRPr="00C50214" w:rsidRDefault="00F017F3" w:rsidP="00F017F3">
                            <w:pPr>
                              <w:pStyle w:val="BodyText"/>
                              <w:spacing w:before="14" w:line="256" w:lineRule="auto"/>
                              <w:ind w:left="993" w:right="1142" w:firstLine="715"/>
                              <w:jc w:val="center"/>
                              <w:rPr>
                                <w:sz w:val="20"/>
                              </w:rPr>
                            </w:pPr>
                            <w:r w:rsidRPr="00C50214">
                              <w:rPr>
                                <w:sz w:val="20"/>
                              </w:rPr>
                              <w:t>Cooling</w:t>
                            </w:r>
                            <w:r w:rsidRPr="00C50214">
                              <w:rPr>
                                <w:spacing w:val="-12"/>
                                <w:sz w:val="20"/>
                              </w:rPr>
                              <w:t xml:space="preserve"> </w:t>
                            </w:r>
                            <w:r w:rsidRPr="00C50214">
                              <w:rPr>
                                <w:sz w:val="20"/>
                              </w:rPr>
                              <w:t>(40-45°</w:t>
                            </w:r>
                            <w:r w:rsidR="00C50214">
                              <w:rPr>
                                <w:spacing w:val="-11"/>
                                <w:sz w:val="20"/>
                              </w:rPr>
                              <w:t xml:space="preserve"> </w:t>
                            </w:r>
                            <w:r w:rsidRPr="00C50214">
                              <w:rPr>
                                <w:sz w:val="20"/>
                              </w:rPr>
                              <w:t>C)</w:t>
                            </w:r>
                          </w:p>
                          <w:p w14:paraId="0137B7EA" w14:textId="07BDE1A0" w:rsidR="00F017F3" w:rsidRPr="00C50214" w:rsidRDefault="00C50214" w:rsidP="00C50214">
                            <w:pPr>
                              <w:spacing w:line="201" w:lineRule="exact"/>
                              <w:ind w:left="1709"/>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51974494" w14:textId="77777777" w:rsidR="00F017F3" w:rsidRPr="00C50214" w:rsidRDefault="00F017F3" w:rsidP="00F017F3">
                            <w:pPr>
                              <w:pStyle w:val="BodyText"/>
                              <w:spacing w:before="14"/>
                              <w:ind w:left="19"/>
                              <w:jc w:val="center"/>
                              <w:rPr>
                                <w:sz w:val="20"/>
                              </w:rPr>
                            </w:pPr>
                            <w:r w:rsidRPr="00C50214">
                              <w:rPr>
                                <w:sz w:val="20"/>
                              </w:rPr>
                              <w:t>Addition</w:t>
                            </w:r>
                            <w:r w:rsidRPr="00C50214">
                              <w:rPr>
                                <w:spacing w:val="-5"/>
                                <w:sz w:val="20"/>
                              </w:rPr>
                              <w:t xml:space="preserve"> </w:t>
                            </w:r>
                            <w:r w:rsidRPr="00C50214">
                              <w:rPr>
                                <w:sz w:val="20"/>
                              </w:rPr>
                              <w:t>of</w:t>
                            </w:r>
                            <w:r w:rsidRPr="00C50214">
                              <w:rPr>
                                <w:spacing w:val="-7"/>
                                <w:sz w:val="20"/>
                              </w:rPr>
                              <w:t xml:space="preserve"> </w:t>
                            </w:r>
                            <w:r w:rsidRPr="00C50214">
                              <w:rPr>
                                <w:sz w:val="20"/>
                              </w:rPr>
                              <w:t>probiotics</w:t>
                            </w:r>
                            <w:r w:rsidRPr="00C50214">
                              <w:rPr>
                                <w:spacing w:val="-7"/>
                                <w:sz w:val="20"/>
                              </w:rPr>
                              <w:t xml:space="preserve"> </w:t>
                            </w:r>
                            <w:r w:rsidRPr="00C50214">
                              <w:rPr>
                                <w:sz w:val="20"/>
                              </w:rPr>
                              <w:t>starter</w:t>
                            </w:r>
                            <w:r w:rsidRPr="00C50214">
                              <w:rPr>
                                <w:spacing w:val="-3"/>
                                <w:sz w:val="20"/>
                              </w:rPr>
                              <w:t xml:space="preserve"> </w:t>
                            </w:r>
                            <w:r w:rsidRPr="00C50214">
                              <w:rPr>
                                <w:spacing w:val="-2"/>
                                <w:sz w:val="20"/>
                              </w:rPr>
                              <w:t>culture</w:t>
                            </w:r>
                          </w:p>
                          <w:p w14:paraId="332EC0ED" w14:textId="77777777" w:rsidR="00F017F3" w:rsidRPr="00C50214" w:rsidRDefault="00F017F3" w:rsidP="00F017F3">
                            <w:pPr>
                              <w:spacing w:before="13"/>
                              <w:ind w:right="26"/>
                              <w:jc w:val="center"/>
                              <w:rPr>
                                <w:rFonts w:ascii="Times New Roman" w:hAnsi="Times New Roman" w:cs="Times New Roman"/>
                                <w:sz w:val="20"/>
                              </w:rPr>
                            </w:pPr>
                            <w:r w:rsidRPr="00C50214">
                              <w:rPr>
                                <w:rFonts w:ascii="Times New Roman" w:hAnsi="Times New Roman" w:cs="Times New Roman"/>
                                <w:spacing w:val="-10"/>
                                <w:sz w:val="20"/>
                              </w:rPr>
                              <w:t>↓</w:t>
                            </w:r>
                          </w:p>
                          <w:p w14:paraId="23AC1D44" w14:textId="77777777" w:rsidR="00F017F3" w:rsidRPr="00C50214" w:rsidRDefault="00F017F3" w:rsidP="00F017F3">
                            <w:pPr>
                              <w:pStyle w:val="BodyText"/>
                              <w:spacing w:before="14"/>
                              <w:ind w:left="349" w:right="197"/>
                              <w:jc w:val="center"/>
                              <w:rPr>
                                <w:sz w:val="20"/>
                              </w:rPr>
                            </w:pPr>
                            <w:r w:rsidRPr="00C50214">
                              <w:rPr>
                                <w:sz w:val="20"/>
                              </w:rPr>
                              <w:t>Incubation</w:t>
                            </w:r>
                            <w:r w:rsidRPr="00C50214">
                              <w:rPr>
                                <w:spacing w:val="-6"/>
                                <w:sz w:val="20"/>
                              </w:rPr>
                              <w:t xml:space="preserve"> </w:t>
                            </w:r>
                            <w:r w:rsidRPr="00C50214">
                              <w:rPr>
                                <w:sz w:val="20"/>
                              </w:rPr>
                              <w:t>(at</w:t>
                            </w:r>
                            <w:r w:rsidRPr="00C50214">
                              <w:rPr>
                                <w:spacing w:val="1"/>
                                <w:sz w:val="20"/>
                              </w:rPr>
                              <w:t xml:space="preserve"> </w:t>
                            </w:r>
                            <w:r w:rsidRPr="00C50214">
                              <w:rPr>
                                <w:sz w:val="20"/>
                              </w:rPr>
                              <w:t>30-32°</w:t>
                            </w:r>
                            <w:r w:rsidRPr="00C50214">
                              <w:rPr>
                                <w:spacing w:val="-3"/>
                                <w:sz w:val="20"/>
                              </w:rPr>
                              <w:t xml:space="preserve"> </w:t>
                            </w:r>
                            <w:r w:rsidRPr="00C50214">
                              <w:rPr>
                                <w:sz w:val="20"/>
                              </w:rPr>
                              <w:t>C</w:t>
                            </w:r>
                            <w:r w:rsidRPr="00C50214">
                              <w:rPr>
                                <w:spacing w:val="-7"/>
                                <w:sz w:val="20"/>
                              </w:rPr>
                              <w:t xml:space="preserve"> </w:t>
                            </w:r>
                            <w:r w:rsidRPr="00C50214">
                              <w:rPr>
                                <w:sz w:val="20"/>
                              </w:rPr>
                              <w:t>for</w:t>
                            </w:r>
                            <w:r w:rsidRPr="00C50214">
                              <w:rPr>
                                <w:spacing w:val="1"/>
                                <w:sz w:val="20"/>
                              </w:rPr>
                              <w:t xml:space="preserve"> </w:t>
                            </w:r>
                            <w:r w:rsidRPr="00C50214">
                              <w:rPr>
                                <w:sz w:val="20"/>
                              </w:rPr>
                              <w:t>10-12</w:t>
                            </w:r>
                            <w:r w:rsidRPr="00C50214">
                              <w:rPr>
                                <w:spacing w:val="-5"/>
                                <w:sz w:val="20"/>
                              </w:rPr>
                              <w:t xml:space="preserve"> </w:t>
                            </w:r>
                            <w:r w:rsidRPr="00C50214">
                              <w:rPr>
                                <w:spacing w:val="-2"/>
                                <w:sz w:val="20"/>
                              </w:rPr>
                              <w:t>hours)</w:t>
                            </w:r>
                          </w:p>
                          <w:p w14:paraId="1CEB7307" w14:textId="5FFEB082" w:rsidR="00F017F3" w:rsidRPr="00C50214" w:rsidRDefault="00F017F3" w:rsidP="00F017F3">
                            <w:pPr>
                              <w:pStyle w:val="BodyText"/>
                              <w:spacing w:before="14" w:line="256" w:lineRule="auto"/>
                              <w:ind w:left="1623" w:right="1565" w:firstLine="11"/>
                              <w:jc w:val="center"/>
                              <w:rPr>
                                <w:sz w:val="20"/>
                              </w:rPr>
                            </w:pPr>
                            <w:r w:rsidRPr="00C50214">
                              <w:rPr>
                                <w:spacing w:val="-4"/>
                                <w:sz w:val="20"/>
                              </w:rPr>
                              <w:t xml:space="preserve"> Dahi</w:t>
                            </w:r>
                          </w:p>
                          <w:p w14:paraId="0FA8854C" w14:textId="77777777" w:rsidR="00F017F3" w:rsidRPr="00C50214" w:rsidRDefault="00F017F3" w:rsidP="00F017F3">
                            <w:pPr>
                              <w:spacing w:line="201"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4F0E7F76" w14:textId="77777777" w:rsidR="00F017F3" w:rsidRPr="00C50214" w:rsidRDefault="00F017F3" w:rsidP="00F017F3">
                            <w:pPr>
                              <w:pStyle w:val="BodyText"/>
                              <w:spacing w:before="14" w:line="256" w:lineRule="auto"/>
                              <w:ind w:left="568"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Ashwagandha</w:t>
                            </w:r>
                            <w:r w:rsidRPr="00C50214">
                              <w:rPr>
                                <w:spacing w:val="-11"/>
                                <w:sz w:val="20"/>
                              </w:rPr>
                              <w:t xml:space="preserve"> </w:t>
                            </w:r>
                            <w:r w:rsidRPr="00C50214">
                              <w:rPr>
                                <w:sz w:val="20"/>
                              </w:rPr>
                              <w:t>powder and sugar</w:t>
                            </w:r>
                          </w:p>
                          <w:p w14:paraId="7A3CBD50" w14:textId="77777777" w:rsidR="00F017F3" w:rsidRPr="00C50214" w:rsidRDefault="00F017F3" w:rsidP="00F017F3">
                            <w:pPr>
                              <w:spacing w:line="206"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0737920A" w14:textId="77777777" w:rsidR="00F017F3" w:rsidRPr="00C50214" w:rsidRDefault="00F017F3" w:rsidP="00F017F3">
                            <w:pPr>
                              <w:pStyle w:val="BodyText"/>
                              <w:spacing w:before="14" w:line="256" w:lineRule="auto"/>
                              <w:ind w:left="683"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cardamom</w:t>
                            </w:r>
                            <w:r w:rsidRPr="00C50214">
                              <w:rPr>
                                <w:spacing w:val="-11"/>
                                <w:sz w:val="20"/>
                              </w:rPr>
                              <w:t xml:space="preserve"> </w:t>
                            </w:r>
                            <w:r w:rsidRPr="00C50214">
                              <w:rPr>
                                <w:sz w:val="20"/>
                              </w:rPr>
                              <w:t>powder and churning</w:t>
                            </w:r>
                          </w:p>
                          <w:p w14:paraId="79EA335D" w14:textId="77777777" w:rsidR="00F017F3" w:rsidRPr="00C50214" w:rsidRDefault="00F017F3" w:rsidP="00F017F3">
                            <w:pPr>
                              <w:spacing w:line="201" w:lineRule="exact"/>
                              <w:ind w:left="351" w:right="197"/>
                              <w:jc w:val="center"/>
                              <w:rPr>
                                <w:rFonts w:ascii="Times New Roman" w:hAnsi="Times New Roman" w:cs="Times New Roman"/>
                                <w:sz w:val="20"/>
                              </w:rPr>
                            </w:pPr>
                            <w:r w:rsidRPr="00C50214">
                              <w:rPr>
                                <w:rFonts w:ascii="Times New Roman" w:hAnsi="Times New Roman" w:cs="Times New Roman"/>
                                <w:spacing w:val="-10"/>
                                <w:sz w:val="20"/>
                              </w:rPr>
                              <w:t>↓</w:t>
                            </w:r>
                          </w:p>
                          <w:p w14:paraId="28C17DA8" w14:textId="77777777" w:rsidR="00F017F3" w:rsidRPr="00C50214" w:rsidRDefault="00F017F3" w:rsidP="00F017F3">
                            <w:pPr>
                              <w:pStyle w:val="BodyText"/>
                              <w:spacing w:before="13"/>
                              <w:ind w:left="276"/>
                              <w:jc w:val="center"/>
                              <w:rPr>
                                <w:sz w:val="20"/>
                              </w:rPr>
                            </w:pPr>
                            <w:r w:rsidRPr="00C50214">
                              <w:rPr>
                                <w:sz w:val="20"/>
                              </w:rPr>
                              <w:t>Lassi</w:t>
                            </w:r>
                            <w:r w:rsidRPr="00C50214">
                              <w:rPr>
                                <w:spacing w:val="-2"/>
                                <w:sz w:val="20"/>
                              </w:rPr>
                              <w:t xml:space="preserve"> </w:t>
                            </w:r>
                            <w:r w:rsidRPr="00C50214">
                              <w:rPr>
                                <w:sz w:val="20"/>
                              </w:rPr>
                              <w:t>and</w:t>
                            </w:r>
                            <w:r w:rsidRPr="00C50214">
                              <w:rPr>
                                <w:spacing w:val="-4"/>
                                <w:sz w:val="20"/>
                              </w:rPr>
                              <w:t xml:space="preserve"> </w:t>
                            </w:r>
                            <w:r w:rsidRPr="00C50214">
                              <w:rPr>
                                <w:spacing w:val="-2"/>
                                <w:sz w:val="20"/>
                              </w:rPr>
                              <w:t>packaging</w:t>
                            </w:r>
                          </w:p>
                          <w:p w14:paraId="21FE6E13" w14:textId="53129017" w:rsidR="00F017F3" w:rsidRPr="00C50214" w:rsidRDefault="00C50214" w:rsidP="00C50214">
                            <w:pPr>
                              <w:spacing w:before="14"/>
                              <w:ind w:left="1690" w:firstLine="470"/>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38D192CA" w14:textId="77777777" w:rsidR="00F017F3" w:rsidRPr="00C50214" w:rsidRDefault="00F017F3" w:rsidP="00F017F3">
                            <w:pPr>
                              <w:pStyle w:val="BodyText"/>
                              <w:spacing w:before="14"/>
                              <w:ind w:left="291"/>
                              <w:jc w:val="center"/>
                              <w:rPr>
                                <w:sz w:val="20"/>
                              </w:rPr>
                            </w:pPr>
                            <w:r w:rsidRPr="00C50214">
                              <w:rPr>
                                <w:sz w:val="20"/>
                              </w:rPr>
                              <w:t>Cooling</w:t>
                            </w:r>
                            <w:r w:rsidRPr="00C50214">
                              <w:rPr>
                                <w:spacing w:val="-5"/>
                                <w:sz w:val="20"/>
                              </w:rPr>
                              <w:t xml:space="preserve"> </w:t>
                            </w:r>
                            <w:r w:rsidRPr="00C50214">
                              <w:rPr>
                                <w:sz w:val="20"/>
                              </w:rPr>
                              <w:t>and</w:t>
                            </w:r>
                            <w:r w:rsidRPr="00C50214">
                              <w:rPr>
                                <w:spacing w:val="-4"/>
                                <w:sz w:val="20"/>
                              </w:rPr>
                              <w:t xml:space="preserve"> </w:t>
                            </w:r>
                            <w:r w:rsidRPr="00C50214">
                              <w:rPr>
                                <w:sz w:val="20"/>
                              </w:rPr>
                              <w:t>Storage</w:t>
                            </w:r>
                            <w:r w:rsidRPr="00C50214">
                              <w:rPr>
                                <w:spacing w:val="-4"/>
                                <w:sz w:val="20"/>
                              </w:rPr>
                              <w:t xml:space="preserve"> </w:t>
                            </w:r>
                            <w:r w:rsidRPr="00C50214">
                              <w:rPr>
                                <w:sz w:val="20"/>
                              </w:rPr>
                              <w:t>(at</w:t>
                            </w:r>
                            <w:r w:rsidRPr="00C50214">
                              <w:rPr>
                                <w:spacing w:val="-2"/>
                                <w:sz w:val="20"/>
                              </w:rPr>
                              <w:t xml:space="preserve"> </w:t>
                            </w:r>
                            <w:r w:rsidRPr="00C50214">
                              <w:rPr>
                                <w:sz w:val="20"/>
                              </w:rPr>
                              <w:t>4-6°</w:t>
                            </w:r>
                            <w:r w:rsidRPr="00C50214">
                              <w:rPr>
                                <w:spacing w:val="-2"/>
                                <w:sz w:val="20"/>
                              </w:rPr>
                              <w:t xml:space="preserve"> </w:t>
                            </w:r>
                            <w:r w:rsidRPr="00C50214">
                              <w:rPr>
                                <w:spacing w:val="-5"/>
                                <w:sz w:val="20"/>
                              </w:rPr>
                              <w:t>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5C2BE6" id="_x0000_t202" coordsize="21600,21600" o:spt="202" path="m,l,21600r21600,l21600,xe">
                <v:stroke joinstyle="miter"/>
                <v:path gradientshapeok="t" o:connecttype="rect"/>
              </v:shapetype>
              <v:shape id="Textbox 4" o:spid="_x0000_s1026" type="#_x0000_t202" style="position:absolute;margin-left:199.2pt;margin-top:10.8pt;width:226.8pt;height:35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" filled="f" strokeweight=".48pt">
                <v:path arrowok="t"/>
                <v:textbox inset="0,0,0,0">
                  <w:txbxContent>
                    <w:p w14:paraId="66030477" w14:textId="77777777" w:rsidR="00F017F3" w:rsidRPr="00C50214" w:rsidRDefault="00F017F3" w:rsidP="00F017F3">
                      <w:pPr>
                        <w:pStyle w:val="BodyText"/>
                        <w:spacing w:before="9"/>
                        <w:ind w:left="0" w:right="130"/>
                        <w:jc w:val="center"/>
                        <w:rPr>
                          <w:sz w:val="20"/>
                        </w:rPr>
                      </w:pPr>
                      <w:r w:rsidRPr="00C50214">
                        <w:rPr>
                          <w:sz w:val="20"/>
                        </w:rPr>
                        <w:t>Receiving</w:t>
                      </w:r>
                      <w:r w:rsidRPr="00C50214">
                        <w:rPr>
                          <w:spacing w:val="-9"/>
                          <w:sz w:val="20"/>
                        </w:rPr>
                        <w:t xml:space="preserve"> </w:t>
                      </w:r>
                      <w:r w:rsidRPr="00C50214">
                        <w:rPr>
                          <w:sz w:val="20"/>
                        </w:rPr>
                        <w:t>of</w:t>
                      </w:r>
                      <w:r w:rsidRPr="00C50214">
                        <w:rPr>
                          <w:spacing w:val="-5"/>
                          <w:sz w:val="20"/>
                        </w:rPr>
                        <w:t xml:space="preserve"> </w:t>
                      </w:r>
                      <w:r w:rsidRPr="00C50214">
                        <w:rPr>
                          <w:sz w:val="20"/>
                        </w:rPr>
                        <w:t>oat</w:t>
                      </w:r>
                      <w:r w:rsidRPr="00C50214">
                        <w:rPr>
                          <w:spacing w:val="-1"/>
                          <w:sz w:val="20"/>
                        </w:rPr>
                        <w:t xml:space="preserve"> </w:t>
                      </w:r>
                      <w:r w:rsidRPr="00C50214">
                        <w:rPr>
                          <w:spacing w:val="-4"/>
                          <w:sz w:val="20"/>
                        </w:rPr>
                        <w:t>milk</w:t>
                      </w:r>
                    </w:p>
                    <w:p w14:paraId="1CCF3401"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540ADDFB" w14:textId="77777777" w:rsidR="00F017F3" w:rsidRPr="00C50214" w:rsidRDefault="00F017F3" w:rsidP="00F017F3">
                      <w:pPr>
                        <w:pStyle w:val="BodyText"/>
                        <w:spacing w:before="9"/>
                        <w:ind w:left="0" w:right="197"/>
                        <w:jc w:val="center"/>
                        <w:rPr>
                          <w:sz w:val="20"/>
                        </w:rPr>
                      </w:pPr>
                      <w:r w:rsidRPr="00C50214">
                        <w:rPr>
                          <w:sz w:val="20"/>
                        </w:rPr>
                        <w:t>Filtration</w:t>
                      </w:r>
                      <w:r w:rsidRPr="00C50214">
                        <w:rPr>
                          <w:spacing w:val="-3"/>
                          <w:sz w:val="20"/>
                        </w:rPr>
                        <w:t xml:space="preserve"> </w:t>
                      </w:r>
                      <w:r w:rsidRPr="00C50214">
                        <w:rPr>
                          <w:sz w:val="20"/>
                        </w:rPr>
                        <w:t>/</w:t>
                      </w:r>
                      <w:r w:rsidRPr="00C50214">
                        <w:rPr>
                          <w:spacing w:val="-5"/>
                          <w:sz w:val="20"/>
                        </w:rPr>
                        <w:t xml:space="preserve"> </w:t>
                      </w:r>
                      <w:r w:rsidRPr="00C50214">
                        <w:rPr>
                          <w:spacing w:val="-2"/>
                          <w:sz w:val="20"/>
                        </w:rPr>
                        <w:t>Clarification</w:t>
                      </w:r>
                    </w:p>
                    <w:p w14:paraId="3FF2DB4C"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62D3C8C6" w14:textId="77777777" w:rsidR="00F017F3" w:rsidRPr="00C50214" w:rsidRDefault="00F017F3" w:rsidP="00F017F3">
                      <w:pPr>
                        <w:pStyle w:val="BodyText"/>
                        <w:spacing w:before="14"/>
                        <w:ind w:left="60"/>
                        <w:jc w:val="center"/>
                        <w:rPr>
                          <w:sz w:val="20"/>
                        </w:rPr>
                      </w:pPr>
                      <w:r w:rsidRPr="00C50214">
                        <w:rPr>
                          <w:sz w:val="20"/>
                        </w:rPr>
                        <w:t>Pasteurization</w:t>
                      </w:r>
                      <w:r w:rsidRPr="00C50214">
                        <w:rPr>
                          <w:spacing w:val="-6"/>
                          <w:sz w:val="20"/>
                        </w:rPr>
                        <w:t xml:space="preserve"> </w:t>
                      </w:r>
                      <w:r w:rsidRPr="00C50214">
                        <w:rPr>
                          <w:sz w:val="20"/>
                        </w:rPr>
                        <w:t>(at</w:t>
                      </w:r>
                      <w:r w:rsidRPr="00C50214">
                        <w:rPr>
                          <w:spacing w:val="-2"/>
                          <w:sz w:val="20"/>
                        </w:rPr>
                        <w:t xml:space="preserve"> </w:t>
                      </w:r>
                      <w:r w:rsidRPr="00C50214">
                        <w:rPr>
                          <w:sz w:val="20"/>
                        </w:rPr>
                        <w:t>80-90°</w:t>
                      </w:r>
                      <w:r w:rsidRPr="00C50214">
                        <w:rPr>
                          <w:spacing w:val="-7"/>
                          <w:sz w:val="20"/>
                        </w:rPr>
                        <w:t xml:space="preserve"> </w:t>
                      </w:r>
                      <w:r w:rsidRPr="00C50214">
                        <w:rPr>
                          <w:sz w:val="20"/>
                        </w:rPr>
                        <w:t>C</w:t>
                      </w:r>
                      <w:r w:rsidRPr="00C50214">
                        <w:rPr>
                          <w:spacing w:val="-3"/>
                          <w:sz w:val="20"/>
                        </w:rPr>
                        <w:t xml:space="preserve"> </w:t>
                      </w:r>
                      <w:r w:rsidRPr="00C50214">
                        <w:rPr>
                          <w:spacing w:val="-5"/>
                          <w:sz w:val="20"/>
                        </w:rPr>
                        <w:t>for</w:t>
                      </w:r>
                    </w:p>
                    <w:p w14:paraId="71CA4FC9" w14:textId="77777777" w:rsidR="00F017F3" w:rsidRPr="00C50214" w:rsidRDefault="00F017F3" w:rsidP="00F017F3">
                      <w:pPr>
                        <w:pStyle w:val="BodyText"/>
                        <w:spacing w:before="14"/>
                        <w:ind w:left="295"/>
                        <w:jc w:val="center"/>
                        <w:rPr>
                          <w:sz w:val="20"/>
                        </w:rPr>
                      </w:pPr>
                      <w:r w:rsidRPr="00C50214">
                        <w:rPr>
                          <w:sz w:val="20"/>
                        </w:rPr>
                        <w:t>5-6</w:t>
                      </w:r>
                      <w:r w:rsidRPr="00C50214">
                        <w:rPr>
                          <w:spacing w:val="1"/>
                          <w:sz w:val="20"/>
                        </w:rPr>
                        <w:t xml:space="preserve"> </w:t>
                      </w:r>
                      <w:r w:rsidRPr="00C50214">
                        <w:rPr>
                          <w:spacing w:val="-2"/>
                          <w:sz w:val="20"/>
                        </w:rPr>
                        <w:t>minutes)</w:t>
                      </w:r>
                    </w:p>
                    <w:p w14:paraId="5916EFE9" w14:textId="77777777" w:rsidR="00C50214" w:rsidRDefault="00F017F3" w:rsidP="00C50214">
                      <w:pPr>
                        <w:pStyle w:val="BodyText"/>
                        <w:spacing w:before="14" w:line="256" w:lineRule="auto"/>
                        <w:ind w:left="1445" w:right="1142" w:firstLine="715"/>
                        <w:rPr>
                          <w:spacing w:val="40"/>
                          <w:sz w:val="20"/>
                        </w:rPr>
                      </w:pPr>
                      <w:r w:rsidRPr="00C50214">
                        <w:rPr>
                          <w:spacing w:val="-10"/>
                          <w:sz w:val="20"/>
                        </w:rPr>
                        <w:t>↓</w:t>
                      </w:r>
                      <w:r w:rsidRPr="00C50214">
                        <w:rPr>
                          <w:spacing w:val="40"/>
                          <w:sz w:val="20"/>
                        </w:rPr>
                        <w:t xml:space="preserve"> </w:t>
                      </w:r>
                    </w:p>
                    <w:p w14:paraId="7963B585" w14:textId="2A1A96C6" w:rsidR="00F017F3" w:rsidRPr="00C50214" w:rsidRDefault="00F017F3" w:rsidP="00F017F3">
                      <w:pPr>
                        <w:pStyle w:val="BodyText"/>
                        <w:spacing w:before="14" w:line="256" w:lineRule="auto"/>
                        <w:ind w:left="993" w:right="1142" w:firstLine="715"/>
                        <w:jc w:val="center"/>
                        <w:rPr>
                          <w:sz w:val="20"/>
                        </w:rPr>
                      </w:pPr>
                      <w:r w:rsidRPr="00C50214">
                        <w:rPr>
                          <w:sz w:val="20"/>
                        </w:rPr>
                        <w:t>Cooling</w:t>
                      </w:r>
                      <w:r w:rsidRPr="00C50214">
                        <w:rPr>
                          <w:spacing w:val="-12"/>
                          <w:sz w:val="20"/>
                        </w:rPr>
                        <w:t xml:space="preserve"> </w:t>
                      </w:r>
                      <w:r w:rsidRPr="00C50214">
                        <w:rPr>
                          <w:sz w:val="20"/>
                        </w:rPr>
                        <w:t>(40-45°</w:t>
                      </w:r>
                      <w:r w:rsidR="00C50214">
                        <w:rPr>
                          <w:spacing w:val="-11"/>
                          <w:sz w:val="20"/>
                        </w:rPr>
                        <w:t xml:space="preserve"> </w:t>
                      </w:r>
                      <w:r w:rsidRPr="00C50214">
                        <w:rPr>
                          <w:sz w:val="20"/>
                        </w:rPr>
                        <w:t>C)</w:t>
                      </w:r>
                    </w:p>
                    <w:p w14:paraId="0137B7EA" w14:textId="07BDE1A0" w:rsidR="00F017F3" w:rsidRPr="00C50214" w:rsidRDefault="00C50214" w:rsidP="00C50214">
                      <w:pPr>
                        <w:spacing w:line="201" w:lineRule="exact"/>
                        <w:ind w:left="1709"/>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51974494" w14:textId="77777777" w:rsidR="00F017F3" w:rsidRPr="00C50214" w:rsidRDefault="00F017F3" w:rsidP="00F017F3">
                      <w:pPr>
                        <w:pStyle w:val="BodyText"/>
                        <w:spacing w:before="14"/>
                        <w:ind w:left="19"/>
                        <w:jc w:val="center"/>
                        <w:rPr>
                          <w:sz w:val="20"/>
                        </w:rPr>
                      </w:pPr>
                      <w:r w:rsidRPr="00C50214">
                        <w:rPr>
                          <w:sz w:val="20"/>
                        </w:rPr>
                        <w:t>Addition</w:t>
                      </w:r>
                      <w:r w:rsidRPr="00C50214">
                        <w:rPr>
                          <w:spacing w:val="-5"/>
                          <w:sz w:val="20"/>
                        </w:rPr>
                        <w:t xml:space="preserve"> </w:t>
                      </w:r>
                      <w:r w:rsidRPr="00C50214">
                        <w:rPr>
                          <w:sz w:val="20"/>
                        </w:rPr>
                        <w:t>of</w:t>
                      </w:r>
                      <w:r w:rsidRPr="00C50214">
                        <w:rPr>
                          <w:spacing w:val="-7"/>
                          <w:sz w:val="20"/>
                        </w:rPr>
                        <w:t xml:space="preserve"> </w:t>
                      </w:r>
                      <w:r w:rsidRPr="00C50214">
                        <w:rPr>
                          <w:sz w:val="20"/>
                        </w:rPr>
                        <w:t>probiotics</w:t>
                      </w:r>
                      <w:r w:rsidRPr="00C50214">
                        <w:rPr>
                          <w:spacing w:val="-7"/>
                          <w:sz w:val="20"/>
                        </w:rPr>
                        <w:t xml:space="preserve"> </w:t>
                      </w:r>
                      <w:r w:rsidRPr="00C50214">
                        <w:rPr>
                          <w:sz w:val="20"/>
                        </w:rPr>
                        <w:t>starter</w:t>
                      </w:r>
                      <w:r w:rsidRPr="00C50214">
                        <w:rPr>
                          <w:spacing w:val="-3"/>
                          <w:sz w:val="20"/>
                        </w:rPr>
                        <w:t xml:space="preserve"> </w:t>
                      </w:r>
                      <w:r w:rsidRPr="00C50214">
                        <w:rPr>
                          <w:spacing w:val="-2"/>
                          <w:sz w:val="20"/>
                        </w:rPr>
                        <w:t>culture</w:t>
                      </w:r>
                    </w:p>
                    <w:p w14:paraId="332EC0ED" w14:textId="77777777" w:rsidR="00F017F3" w:rsidRPr="00C50214" w:rsidRDefault="00F017F3" w:rsidP="00F017F3">
                      <w:pPr>
                        <w:spacing w:before="13"/>
                        <w:ind w:right="26"/>
                        <w:jc w:val="center"/>
                        <w:rPr>
                          <w:rFonts w:ascii="Times New Roman" w:hAnsi="Times New Roman" w:cs="Times New Roman"/>
                          <w:sz w:val="20"/>
                        </w:rPr>
                      </w:pPr>
                      <w:r w:rsidRPr="00C50214">
                        <w:rPr>
                          <w:rFonts w:ascii="Times New Roman" w:hAnsi="Times New Roman" w:cs="Times New Roman"/>
                          <w:spacing w:val="-10"/>
                          <w:sz w:val="20"/>
                        </w:rPr>
                        <w:t>↓</w:t>
                      </w:r>
                    </w:p>
                    <w:p w14:paraId="23AC1D44" w14:textId="77777777" w:rsidR="00F017F3" w:rsidRPr="00C50214" w:rsidRDefault="00F017F3" w:rsidP="00F017F3">
                      <w:pPr>
                        <w:pStyle w:val="BodyText"/>
                        <w:spacing w:before="14"/>
                        <w:ind w:left="349" w:right="197"/>
                        <w:jc w:val="center"/>
                        <w:rPr>
                          <w:sz w:val="20"/>
                        </w:rPr>
                      </w:pPr>
                      <w:r w:rsidRPr="00C50214">
                        <w:rPr>
                          <w:sz w:val="20"/>
                        </w:rPr>
                        <w:t>Incubation</w:t>
                      </w:r>
                      <w:r w:rsidRPr="00C50214">
                        <w:rPr>
                          <w:spacing w:val="-6"/>
                          <w:sz w:val="20"/>
                        </w:rPr>
                        <w:t xml:space="preserve"> </w:t>
                      </w:r>
                      <w:r w:rsidRPr="00C50214">
                        <w:rPr>
                          <w:sz w:val="20"/>
                        </w:rPr>
                        <w:t>(at</w:t>
                      </w:r>
                      <w:r w:rsidRPr="00C50214">
                        <w:rPr>
                          <w:spacing w:val="1"/>
                          <w:sz w:val="20"/>
                        </w:rPr>
                        <w:t xml:space="preserve"> </w:t>
                      </w:r>
                      <w:r w:rsidRPr="00C50214">
                        <w:rPr>
                          <w:sz w:val="20"/>
                        </w:rPr>
                        <w:t>30-32°</w:t>
                      </w:r>
                      <w:r w:rsidRPr="00C50214">
                        <w:rPr>
                          <w:spacing w:val="-3"/>
                          <w:sz w:val="20"/>
                        </w:rPr>
                        <w:t xml:space="preserve"> </w:t>
                      </w:r>
                      <w:r w:rsidRPr="00C50214">
                        <w:rPr>
                          <w:sz w:val="20"/>
                        </w:rPr>
                        <w:t>C</w:t>
                      </w:r>
                      <w:r w:rsidRPr="00C50214">
                        <w:rPr>
                          <w:spacing w:val="-7"/>
                          <w:sz w:val="20"/>
                        </w:rPr>
                        <w:t xml:space="preserve"> </w:t>
                      </w:r>
                      <w:r w:rsidRPr="00C50214">
                        <w:rPr>
                          <w:sz w:val="20"/>
                        </w:rPr>
                        <w:t>for</w:t>
                      </w:r>
                      <w:r w:rsidRPr="00C50214">
                        <w:rPr>
                          <w:spacing w:val="1"/>
                          <w:sz w:val="20"/>
                        </w:rPr>
                        <w:t xml:space="preserve"> </w:t>
                      </w:r>
                      <w:r w:rsidRPr="00C50214">
                        <w:rPr>
                          <w:sz w:val="20"/>
                        </w:rPr>
                        <w:t>10-12</w:t>
                      </w:r>
                      <w:r w:rsidRPr="00C50214">
                        <w:rPr>
                          <w:spacing w:val="-5"/>
                          <w:sz w:val="20"/>
                        </w:rPr>
                        <w:t xml:space="preserve"> </w:t>
                      </w:r>
                      <w:r w:rsidRPr="00C50214">
                        <w:rPr>
                          <w:spacing w:val="-2"/>
                          <w:sz w:val="20"/>
                        </w:rPr>
                        <w:t>hours)</w:t>
                      </w:r>
                    </w:p>
                    <w:p w14:paraId="1CEB7307" w14:textId="5FFEB082" w:rsidR="00F017F3" w:rsidRPr="00C50214" w:rsidRDefault="00F017F3" w:rsidP="00F017F3">
                      <w:pPr>
                        <w:pStyle w:val="BodyText"/>
                        <w:spacing w:before="14" w:line="256" w:lineRule="auto"/>
                        <w:ind w:left="1623" w:right="1565" w:firstLine="11"/>
                        <w:jc w:val="center"/>
                        <w:rPr>
                          <w:sz w:val="20"/>
                        </w:rPr>
                      </w:pPr>
                      <w:r w:rsidRPr="00C50214">
                        <w:rPr>
                          <w:spacing w:val="-4"/>
                          <w:sz w:val="20"/>
                        </w:rPr>
                        <w:t xml:space="preserve"> Dahi</w:t>
                      </w:r>
                    </w:p>
                    <w:p w14:paraId="0FA8854C" w14:textId="77777777" w:rsidR="00F017F3" w:rsidRPr="00C50214" w:rsidRDefault="00F017F3" w:rsidP="00F017F3">
                      <w:pPr>
                        <w:spacing w:line="201"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4F0E7F76" w14:textId="77777777" w:rsidR="00F017F3" w:rsidRPr="00C50214" w:rsidRDefault="00F017F3" w:rsidP="00F017F3">
                      <w:pPr>
                        <w:pStyle w:val="BodyText"/>
                        <w:spacing w:before="14" w:line="256" w:lineRule="auto"/>
                        <w:ind w:left="568"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Ashwagandha</w:t>
                      </w:r>
                      <w:r w:rsidRPr="00C50214">
                        <w:rPr>
                          <w:spacing w:val="-11"/>
                          <w:sz w:val="20"/>
                        </w:rPr>
                        <w:t xml:space="preserve"> </w:t>
                      </w:r>
                      <w:r w:rsidRPr="00C50214">
                        <w:rPr>
                          <w:sz w:val="20"/>
                        </w:rPr>
                        <w:t>powder and sugar</w:t>
                      </w:r>
                    </w:p>
                    <w:p w14:paraId="7A3CBD50" w14:textId="77777777" w:rsidR="00F017F3" w:rsidRPr="00C50214" w:rsidRDefault="00F017F3" w:rsidP="00F017F3">
                      <w:pPr>
                        <w:spacing w:line="206"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0737920A" w14:textId="77777777" w:rsidR="00F017F3" w:rsidRPr="00C50214" w:rsidRDefault="00F017F3" w:rsidP="00F017F3">
                      <w:pPr>
                        <w:pStyle w:val="BodyText"/>
                        <w:spacing w:before="14" w:line="256" w:lineRule="auto"/>
                        <w:ind w:left="683"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cardamom</w:t>
                      </w:r>
                      <w:r w:rsidRPr="00C50214">
                        <w:rPr>
                          <w:spacing w:val="-11"/>
                          <w:sz w:val="20"/>
                        </w:rPr>
                        <w:t xml:space="preserve"> </w:t>
                      </w:r>
                      <w:r w:rsidRPr="00C50214">
                        <w:rPr>
                          <w:sz w:val="20"/>
                        </w:rPr>
                        <w:t>powder and churning</w:t>
                      </w:r>
                    </w:p>
                    <w:p w14:paraId="79EA335D" w14:textId="77777777" w:rsidR="00F017F3" w:rsidRPr="00C50214" w:rsidRDefault="00F017F3" w:rsidP="00F017F3">
                      <w:pPr>
                        <w:spacing w:line="201" w:lineRule="exact"/>
                        <w:ind w:left="351" w:right="197"/>
                        <w:jc w:val="center"/>
                        <w:rPr>
                          <w:rFonts w:ascii="Times New Roman" w:hAnsi="Times New Roman" w:cs="Times New Roman"/>
                          <w:sz w:val="20"/>
                        </w:rPr>
                      </w:pPr>
                      <w:r w:rsidRPr="00C50214">
                        <w:rPr>
                          <w:rFonts w:ascii="Times New Roman" w:hAnsi="Times New Roman" w:cs="Times New Roman"/>
                          <w:spacing w:val="-10"/>
                          <w:sz w:val="20"/>
                        </w:rPr>
                        <w:t>↓</w:t>
                      </w:r>
                    </w:p>
                    <w:p w14:paraId="28C17DA8" w14:textId="77777777" w:rsidR="00F017F3" w:rsidRPr="00C50214" w:rsidRDefault="00F017F3" w:rsidP="00F017F3">
                      <w:pPr>
                        <w:pStyle w:val="BodyText"/>
                        <w:spacing w:before="13"/>
                        <w:ind w:left="276"/>
                        <w:jc w:val="center"/>
                        <w:rPr>
                          <w:sz w:val="20"/>
                        </w:rPr>
                      </w:pPr>
                      <w:r w:rsidRPr="00C50214">
                        <w:rPr>
                          <w:sz w:val="20"/>
                        </w:rPr>
                        <w:t>Lassi</w:t>
                      </w:r>
                      <w:r w:rsidRPr="00C50214">
                        <w:rPr>
                          <w:spacing w:val="-2"/>
                          <w:sz w:val="20"/>
                        </w:rPr>
                        <w:t xml:space="preserve"> </w:t>
                      </w:r>
                      <w:r w:rsidRPr="00C50214">
                        <w:rPr>
                          <w:sz w:val="20"/>
                        </w:rPr>
                        <w:t>and</w:t>
                      </w:r>
                      <w:r w:rsidRPr="00C50214">
                        <w:rPr>
                          <w:spacing w:val="-4"/>
                          <w:sz w:val="20"/>
                        </w:rPr>
                        <w:t xml:space="preserve"> </w:t>
                      </w:r>
                      <w:r w:rsidRPr="00C50214">
                        <w:rPr>
                          <w:spacing w:val="-2"/>
                          <w:sz w:val="20"/>
                        </w:rPr>
                        <w:t>packaging</w:t>
                      </w:r>
                    </w:p>
                    <w:p w14:paraId="21FE6E13" w14:textId="53129017" w:rsidR="00F017F3" w:rsidRPr="00C50214" w:rsidRDefault="00C50214" w:rsidP="00C50214">
                      <w:pPr>
                        <w:spacing w:before="14"/>
                        <w:ind w:left="1690" w:firstLine="470"/>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38D192CA" w14:textId="77777777" w:rsidR="00F017F3" w:rsidRPr="00C50214" w:rsidRDefault="00F017F3" w:rsidP="00F017F3">
                      <w:pPr>
                        <w:pStyle w:val="BodyText"/>
                        <w:spacing w:before="14"/>
                        <w:ind w:left="291"/>
                        <w:jc w:val="center"/>
                        <w:rPr>
                          <w:sz w:val="20"/>
                        </w:rPr>
                      </w:pPr>
                      <w:r w:rsidRPr="00C50214">
                        <w:rPr>
                          <w:sz w:val="20"/>
                        </w:rPr>
                        <w:t>Cooling</w:t>
                      </w:r>
                      <w:r w:rsidRPr="00C50214">
                        <w:rPr>
                          <w:spacing w:val="-5"/>
                          <w:sz w:val="20"/>
                        </w:rPr>
                        <w:t xml:space="preserve"> </w:t>
                      </w:r>
                      <w:r w:rsidRPr="00C50214">
                        <w:rPr>
                          <w:sz w:val="20"/>
                        </w:rPr>
                        <w:t>and</w:t>
                      </w:r>
                      <w:r w:rsidRPr="00C50214">
                        <w:rPr>
                          <w:spacing w:val="-4"/>
                          <w:sz w:val="20"/>
                        </w:rPr>
                        <w:t xml:space="preserve"> </w:t>
                      </w:r>
                      <w:r w:rsidRPr="00C50214">
                        <w:rPr>
                          <w:sz w:val="20"/>
                        </w:rPr>
                        <w:t>Storage</w:t>
                      </w:r>
                      <w:r w:rsidRPr="00C50214">
                        <w:rPr>
                          <w:spacing w:val="-4"/>
                          <w:sz w:val="20"/>
                        </w:rPr>
                        <w:t xml:space="preserve"> </w:t>
                      </w:r>
                      <w:r w:rsidRPr="00C50214">
                        <w:rPr>
                          <w:sz w:val="20"/>
                        </w:rPr>
                        <w:t>(at</w:t>
                      </w:r>
                      <w:r w:rsidRPr="00C50214">
                        <w:rPr>
                          <w:spacing w:val="-2"/>
                          <w:sz w:val="20"/>
                        </w:rPr>
                        <w:t xml:space="preserve"> </w:t>
                      </w:r>
                      <w:r w:rsidRPr="00C50214">
                        <w:rPr>
                          <w:sz w:val="20"/>
                        </w:rPr>
                        <w:t>4-6°</w:t>
                      </w:r>
                      <w:r w:rsidRPr="00C50214">
                        <w:rPr>
                          <w:spacing w:val="-2"/>
                          <w:sz w:val="20"/>
                        </w:rPr>
                        <w:t xml:space="preserve"> </w:t>
                      </w:r>
                      <w:r w:rsidRPr="00C50214">
                        <w:rPr>
                          <w:spacing w:val="-5"/>
                          <w:sz w:val="20"/>
                        </w:rPr>
                        <w:t>C)</w:t>
                      </w:r>
                    </w:p>
                  </w:txbxContent>
                </v:textbox>
                <w10:wrap type="topAndBottom" anchorx="page"/>
              </v:shape>
            </w:pict>
          </mc:Fallback>
        </mc:AlternateContent>
      </w:r>
    </w:p>
    <w:p w14:paraId="4D0D8276" w14:textId="7E81DDE5" w:rsidR="00F017F3" w:rsidRPr="004E2C55" w:rsidRDefault="00C50214" w:rsidP="008B4DDC">
      <w:pPr>
        <w:pStyle w:val="Heading2"/>
        <w:spacing w:before="0" w:beforeAutospacing="0" w:after="0" w:afterAutospacing="0" w:line="480" w:lineRule="auto"/>
        <w:ind w:left="2160" w:firstLine="720"/>
        <w:rPr>
          <w:rFonts w:ascii="Arial" w:hAnsi="Arial" w:cs="Arial"/>
          <w:sz w:val="22"/>
          <w:szCs w:val="22"/>
        </w:rPr>
      </w:pPr>
      <w:r w:rsidRPr="004E2C55">
        <w:rPr>
          <w:rFonts w:ascii="Arial" w:hAnsi="Arial" w:cs="Arial"/>
          <w:spacing w:val="-2"/>
          <w:sz w:val="22"/>
          <w:szCs w:val="22"/>
        </w:rPr>
        <w:t>Fig 1: F</w:t>
      </w:r>
      <w:r w:rsidR="00F017F3" w:rsidRPr="004E2C55">
        <w:rPr>
          <w:rFonts w:ascii="Arial" w:hAnsi="Arial" w:cs="Arial"/>
          <w:spacing w:val="-2"/>
          <w:sz w:val="22"/>
          <w:szCs w:val="22"/>
        </w:rPr>
        <w:t>low</w:t>
      </w:r>
      <w:r w:rsidR="00F017F3" w:rsidRPr="004E2C55">
        <w:rPr>
          <w:rFonts w:ascii="Arial" w:hAnsi="Arial" w:cs="Arial"/>
          <w:spacing w:val="-9"/>
          <w:sz w:val="22"/>
          <w:szCs w:val="22"/>
        </w:rPr>
        <w:t xml:space="preserve"> </w:t>
      </w:r>
      <w:r w:rsidR="00F017F3" w:rsidRPr="004E2C55">
        <w:rPr>
          <w:rFonts w:ascii="Arial" w:hAnsi="Arial" w:cs="Arial"/>
          <w:spacing w:val="-2"/>
          <w:sz w:val="22"/>
          <w:szCs w:val="22"/>
        </w:rPr>
        <w:t>chart</w:t>
      </w:r>
      <w:r w:rsidR="00F017F3" w:rsidRPr="004E2C55">
        <w:rPr>
          <w:rFonts w:ascii="Arial" w:hAnsi="Arial" w:cs="Arial"/>
          <w:spacing w:val="-4"/>
          <w:sz w:val="22"/>
          <w:szCs w:val="22"/>
        </w:rPr>
        <w:t xml:space="preserve"> </w:t>
      </w:r>
      <w:r w:rsidR="00F017F3" w:rsidRPr="004E2C55">
        <w:rPr>
          <w:rFonts w:ascii="Arial" w:hAnsi="Arial" w:cs="Arial"/>
          <w:spacing w:val="-2"/>
          <w:sz w:val="22"/>
          <w:szCs w:val="22"/>
        </w:rPr>
        <w:t>for</w:t>
      </w:r>
      <w:r w:rsidR="00F017F3" w:rsidRPr="004E2C55">
        <w:rPr>
          <w:rFonts w:ascii="Arial" w:hAnsi="Arial" w:cs="Arial"/>
          <w:spacing w:val="-10"/>
          <w:sz w:val="22"/>
          <w:szCs w:val="22"/>
        </w:rPr>
        <w:t xml:space="preserve"> </w:t>
      </w:r>
      <w:r w:rsidR="00F017F3" w:rsidRPr="004E2C55">
        <w:rPr>
          <w:rFonts w:ascii="Arial" w:hAnsi="Arial" w:cs="Arial"/>
          <w:spacing w:val="-2"/>
          <w:sz w:val="22"/>
          <w:szCs w:val="22"/>
        </w:rPr>
        <w:t>preparation of</w:t>
      </w:r>
      <w:r w:rsidR="00F017F3" w:rsidRPr="004E2C55">
        <w:rPr>
          <w:rFonts w:ascii="Arial" w:hAnsi="Arial" w:cs="Arial"/>
          <w:spacing w:val="-9"/>
          <w:sz w:val="22"/>
          <w:szCs w:val="22"/>
        </w:rPr>
        <w:t xml:space="preserve"> </w:t>
      </w:r>
      <w:r w:rsidR="00F017F3" w:rsidRPr="004E2C55">
        <w:rPr>
          <w:rFonts w:ascii="Arial" w:hAnsi="Arial" w:cs="Arial"/>
          <w:spacing w:val="-2"/>
          <w:sz w:val="22"/>
          <w:szCs w:val="22"/>
        </w:rPr>
        <w:t>Vegan</w:t>
      </w:r>
      <w:r w:rsidR="00F017F3" w:rsidRPr="004E2C55">
        <w:rPr>
          <w:rFonts w:ascii="Arial" w:hAnsi="Arial" w:cs="Arial"/>
          <w:spacing w:val="-12"/>
          <w:sz w:val="22"/>
          <w:szCs w:val="22"/>
        </w:rPr>
        <w:t xml:space="preserve"> </w:t>
      </w:r>
      <w:r w:rsidR="00F017F3" w:rsidRPr="004E2C55">
        <w:rPr>
          <w:rFonts w:ascii="Arial" w:hAnsi="Arial" w:cs="Arial"/>
          <w:spacing w:val="-2"/>
          <w:sz w:val="22"/>
          <w:szCs w:val="22"/>
        </w:rPr>
        <w:t>Oat</w:t>
      </w:r>
      <w:r w:rsidR="00F017F3" w:rsidRPr="004E2C55">
        <w:rPr>
          <w:rFonts w:ascii="Arial" w:hAnsi="Arial" w:cs="Arial"/>
          <w:spacing w:val="-10"/>
          <w:sz w:val="22"/>
          <w:szCs w:val="22"/>
        </w:rPr>
        <w:t xml:space="preserve"> </w:t>
      </w:r>
      <w:r w:rsidR="00F017F3" w:rsidRPr="004E2C55">
        <w:rPr>
          <w:rFonts w:ascii="Arial" w:hAnsi="Arial" w:cs="Arial"/>
          <w:spacing w:val="-2"/>
          <w:sz w:val="22"/>
          <w:szCs w:val="22"/>
        </w:rPr>
        <w:t>Milk</w:t>
      </w:r>
      <w:r w:rsidR="00F017F3" w:rsidRPr="004E2C55">
        <w:rPr>
          <w:rFonts w:ascii="Arial" w:hAnsi="Arial" w:cs="Arial"/>
          <w:spacing w:val="-7"/>
          <w:sz w:val="22"/>
          <w:szCs w:val="22"/>
        </w:rPr>
        <w:t xml:space="preserve"> </w:t>
      </w:r>
      <w:r w:rsidR="00F017F3" w:rsidRPr="004E2C55">
        <w:rPr>
          <w:rFonts w:ascii="Arial" w:hAnsi="Arial" w:cs="Arial"/>
          <w:spacing w:val="-4"/>
          <w:sz w:val="22"/>
          <w:szCs w:val="22"/>
        </w:rPr>
        <w:t>Lassi</w:t>
      </w:r>
    </w:p>
    <w:p w14:paraId="56334246"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2.4 Physicochemical Analyses</w:t>
      </w:r>
    </w:p>
    <w:p w14:paraId="078253BF" w14:textId="5DBA75A9" w:rsidR="000F0C18" w:rsidRPr="0034101F"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Moisture, ash, fat, protein determined by AOAC</w:t>
      </w:r>
      <w:r w:rsidR="0034101F">
        <w:rPr>
          <w:rFonts w:ascii="Arial" w:eastAsia="Times New Roman" w:hAnsi="Arial" w:cs="Arial"/>
          <w:lang w:eastAsia="en-IN"/>
        </w:rPr>
        <w:t>, 2019</w:t>
      </w:r>
      <w:r w:rsidRPr="004E2C55">
        <w:rPr>
          <w:rFonts w:ascii="Arial" w:eastAsia="Times New Roman" w:hAnsi="Arial" w:cs="Arial"/>
          <w:lang w:eastAsia="en-IN"/>
        </w:rPr>
        <w:t xml:space="preserve"> methods. pH measured by pH meter; titratable acidity expressed as % lactic acid. Total and reducing sugars via DNS (or Somogyi–Nelson) methods.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via enzymatic-gravimetric method</w:t>
      </w:r>
      <w:r w:rsidR="008374F9">
        <w:rPr>
          <w:rFonts w:ascii="Arial" w:eastAsia="Times New Roman" w:hAnsi="Arial" w:cs="Arial"/>
          <w:lang w:eastAsia="en-IN"/>
        </w:rPr>
        <w:t xml:space="preserve"> </w:t>
      </w:r>
      <w:r w:rsidR="008374F9" w:rsidRPr="0034101F">
        <w:rPr>
          <w:rFonts w:ascii="Arial" w:eastAsia="Times New Roman" w:hAnsi="Arial" w:cs="Arial"/>
          <w:lang w:eastAsia="en-IN"/>
        </w:rPr>
        <w:t>(</w:t>
      </w:r>
      <w:r w:rsidR="0034101F" w:rsidRPr="000B3228">
        <w:rPr>
          <w:rFonts w:ascii="Arial" w:hAnsi="Arial" w:cs="Arial"/>
          <w:b/>
        </w:rPr>
        <w:t>AOAC, 2019</w:t>
      </w:r>
      <w:r w:rsidR="008374F9" w:rsidRPr="0034101F">
        <w:rPr>
          <w:rFonts w:ascii="Arial" w:eastAsia="Times New Roman" w:hAnsi="Arial" w:cs="Arial"/>
          <w:lang w:eastAsia="en-IN"/>
        </w:rPr>
        <w:t>)</w:t>
      </w:r>
    </w:p>
    <w:p w14:paraId="2DD37179" w14:textId="77777777" w:rsidR="000F0C18" w:rsidRPr="0034101F" w:rsidRDefault="000F0C18" w:rsidP="0034101F">
      <w:pPr>
        <w:spacing w:after="0" w:line="480" w:lineRule="auto"/>
        <w:jc w:val="both"/>
        <w:outlineLvl w:val="2"/>
        <w:rPr>
          <w:rFonts w:ascii="Arial" w:eastAsia="Times New Roman" w:hAnsi="Arial" w:cs="Arial"/>
          <w:b/>
          <w:bCs/>
          <w:lang w:eastAsia="en-IN"/>
        </w:rPr>
      </w:pPr>
      <w:r w:rsidRPr="0034101F">
        <w:rPr>
          <w:rFonts w:ascii="Arial" w:eastAsia="Times New Roman" w:hAnsi="Arial" w:cs="Arial"/>
          <w:b/>
          <w:bCs/>
          <w:lang w:eastAsia="en-IN"/>
        </w:rPr>
        <w:lastRenderedPageBreak/>
        <w:t>2.5 Functional Analyses</w:t>
      </w:r>
    </w:p>
    <w:p w14:paraId="31B03457" w14:textId="77777777" w:rsidR="0034101F" w:rsidRPr="0034101F" w:rsidRDefault="0034101F" w:rsidP="0034101F">
      <w:pPr>
        <w:pStyle w:val="NormalWeb"/>
        <w:spacing w:before="0" w:beforeAutospacing="0" w:after="0" w:afterAutospacing="0" w:line="480" w:lineRule="auto"/>
        <w:jc w:val="both"/>
        <w:rPr>
          <w:rFonts w:ascii="Arial" w:hAnsi="Arial" w:cs="Arial"/>
          <w:sz w:val="22"/>
          <w:szCs w:val="22"/>
        </w:rPr>
      </w:pPr>
      <w:r w:rsidRPr="0034101F">
        <w:rPr>
          <w:rFonts w:ascii="Arial" w:hAnsi="Arial" w:cs="Arial"/>
          <w:sz w:val="22"/>
          <w:szCs w:val="22"/>
        </w:rPr>
        <w:t xml:space="preserve">Total phenolic content (TPC) was determined using the </w:t>
      </w:r>
      <w:proofErr w:type="spellStart"/>
      <w:r w:rsidRPr="0034101F">
        <w:rPr>
          <w:rFonts w:ascii="Arial" w:hAnsi="Arial" w:cs="Arial"/>
          <w:sz w:val="22"/>
          <w:szCs w:val="22"/>
        </w:rPr>
        <w:t>Folin</w:t>
      </w:r>
      <w:proofErr w:type="spellEnd"/>
      <w:r w:rsidRPr="0034101F">
        <w:rPr>
          <w:rFonts w:ascii="Arial" w:hAnsi="Arial" w:cs="Arial"/>
          <w:sz w:val="22"/>
          <w:szCs w:val="22"/>
        </w:rPr>
        <w:t>–</w:t>
      </w:r>
      <w:proofErr w:type="spellStart"/>
      <w:r w:rsidRPr="0034101F">
        <w:rPr>
          <w:rFonts w:ascii="Arial" w:hAnsi="Arial" w:cs="Arial"/>
          <w:sz w:val="22"/>
          <w:szCs w:val="22"/>
        </w:rPr>
        <w:t>Ciocalteu</w:t>
      </w:r>
      <w:proofErr w:type="spellEnd"/>
      <w:r w:rsidRPr="0034101F">
        <w:rPr>
          <w:rFonts w:ascii="Arial" w:hAnsi="Arial" w:cs="Arial"/>
          <w:sz w:val="22"/>
          <w:szCs w:val="22"/>
        </w:rPr>
        <w:t xml:space="preserve"> colorimetric method as described by </w:t>
      </w:r>
      <w:r w:rsidRPr="000B3228">
        <w:rPr>
          <w:rFonts w:ascii="Arial" w:hAnsi="Arial" w:cs="Arial"/>
          <w:b/>
          <w:sz w:val="22"/>
          <w:szCs w:val="22"/>
        </w:rPr>
        <w:t>Singleton and Rossi (1965)</w:t>
      </w:r>
      <w:r w:rsidRPr="0034101F">
        <w:rPr>
          <w:rFonts w:ascii="Arial" w:hAnsi="Arial" w:cs="Arial"/>
          <w:sz w:val="22"/>
          <w:szCs w:val="22"/>
        </w:rPr>
        <w:t xml:space="preserve">. Briefly, appropriately diluted samples were reacted with </w:t>
      </w:r>
      <w:proofErr w:type="spellStart"/>
      <w:r w:rsidRPr="0034101F">
        <w:rPr>
          <w:rFonts w:ascii="Arial" w:hAnsi="Arial" w:cs="Arial"/>
          <w:sz w:val="22"/>
          <w:szCs w:val="22"/>
        </w:rPr>
        <w:t>Folin</w:t>
      </w:r>
      <w:proofErr w:type="spellEnd"/>
      <w:r w:rsidRPr="0034101F">
        <w:rPr>
          <w:rFonts w:ascii="Arial" w:hAnsi="Arial" w:cs="Arial"/>
          <w:sz w:val="22"/>
          <w:szCs w:val="22"/>
        </w:rPr>
        <w:t>–</w:t>
      </w:r>
      <w:proofErr w:type="spellStart"/>
      <w:r w:rsidRPr="0034101F">
        <w:rPr>
          <w:rFonts w:ascii="Arial" w:hAnsi="Arial" w:cs="Arial"/>
          <w:sz w:val="22"/>
          <w:szCs w:val="22"/>
        </w:rPr>
        <w:t>Ciocalteu</w:t>
      </w:r>
      <w:proofErr w:type="spellEnd"/>
      <w:r w:rsidRPr="0034101F">
        <w:rPr>
          <w:rFonts w:ascii="Arial" w:hAnsi="Arial" w:cs="Arial"/>
          <w:sz w:val="22"/>
          <w:szCs w:val="22"/>
        </w:rPr>
        <w:t xml:space="preserve"> reagent and sodium carbonate solution. After incubation, absorbance was measured at 765 nm using a UV–Vis spectrophotometer. Results were expressed as milligrams of gallic acid equivalents (mg GAE/100 g sample).</w:t>
      </w:r>
    </w:p>
    <w:p w14:paraId="4FD4B8AF" w14:textId="77777777" w:rsidR="0034101F" w:rsidRPr="0034101F" w:rsidRDefault="0034101F" w:rsidP="0034101F">
      <w:pPr>
        <w:pStyle w:val="NormalWeb"/>
        <w:spacing w:before="0" w:beforeAutospacing="0" w:after="0" w:afterAutospacing="0" w:line="480" w:lineRule="auto"/>
        <w:jc w:val="both"/>
        <w:rPr>
          <w:rFonts w:ascii="Arial" w:hAnsi="Arial" w:cs="Arial"/>
          <w:sz w:val="22"/>
          <w:szCs w:val="22"/>
        </w:rPr>
      </w:pPr>
      <w:r w:rsidRPr="0034101F">
        <w:rPr>
          <w:rFonts w:ascii="Arial" w:hAnsi="Arial" w:cs="Arial"/>
          <w:sz w:val="22"/>
          <w:szCs w:val="22"/>
        </w:rPr>
        <w:t xml:space="preserve">Antioxidant activity was evaluated using the DPPH (2,2-diphenyl-1-picrylhydrazyl) radical scavenging assay according to the method described by </w:t>
      </w:r>
      <w:r w:rsidRPr="000B3228">
        <w:rPr>
          <w:rFonts w:ascii="Arial" w:hAnsi="Arial" w:cs="Arial"/>
          <w:b/>
          <w:sz w:val="22"/>
          <w:szCs w:val="22"/>
        </w:rPr>
        <w:t>Brand-Williams et al. (1995)</w:t>
      </w:r>
      <w:r w:rsidRPr="0034101F">
        <w:rPr>
          <w:rFonts w:ascii="Arial" w:hAnsi="Arial" w:cs="Arial"/>
          <w:sz w:val="22"/>
          <w:szCs w:val="22"/>
        </w:rPr>
        <w:t>. The decrease in absorbance at 517 nm after incubation in the dark was recorded, and radical scavenging activity was expressed as percentage inhibition.</w:t>
      </w:r>
    </w:p>
    <w:p w14:paraId="6FEC10A3" w14:textId="2EBDEB91" w:rsidR="000F0C18" w:rsidRPr="0034101F" w:rsidRDefault="0034101F" w:rsidP="0034101F">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 xml:space="preserve"> </w:t>
      </w:r>
      <w:r w:rsidR="000F0C18" w:rsidRPr="0034101F">
        <w:rPr>
          <w:rFonts w:ascii="Arial" w:eastAsia="Times New Roman" w:hAnsi="Arial" w:cs="Arial"/>
          <w:b/>
          <w:bCs/>
          <w:lang w:eastAsia="en-IN"/>
        </w:rPr>
        <w:t>2.6 Microbiological Analyses</w:t>
      </w:r>
    </w:p>
    <w:p w14:paraId="41C30250" w14:textId="77777777" w:rsidR="0034101F" w:rsidRPr="0034101F" w:rsidRDefault="0034101F" w:rsidP="0034101F">
      <w:pPr>
        <w:pStyle w:val="NormalWeb"/>
        <w:spacing w:before="0" w:beforeAutospacing="0" w:after="0" w:afterAutospacing="0" w:line="480" w:lineRule="auto"/>
        <w:jc w:val="both"/>
        <w:rPr>
          <w:rFonts w:ascii="Arial" w:hAnsi="Arial" w:cs="Arial"/>
          <w:sz w:val="22"/>
          <w:szCs w:val="22"/>
        </w:rPr>
      </w:pPr>
      <w:r w:rsidRPr="0034101F">
        <w:rPr>
          <w:rFonts w:ascii="Arial" w:hAnsi="Arial" w:cs="Arial"/>
          <w:sz w:val="22"/>
          <w:szCs w:val="22"/>
        </w:rPr>
        <w:t>Microbiological quality was assessed using standard plate count techniques (</w:t>
      </w:r>
      <w:r w:rsidRPr="000B3228">
        <w:rPr>
          <w:rFonts w:ascii="Arial" w:hAnsi="Arial" w:cs="Arial"/>
          <w:b/>
          <w:sz w:val="22"/>
          <w:szCs w:val="22"/>
        </w:rPr>
        <w:t>APHA, 2015</w:t>
      </w:r>
      <w:r w:rsidRPr="0034101F">
        <w:rPr>
          <w:rFonts w:ascii="Arial" w:hAnsi="Arial" w:cs="Arial"/>
          <w:sz w:val="22"/>
          <w:szCs w:val="22"/>
        </w:rPr>
        <w:t xml:space="preserve">). Total viable count (TVC) was determined by pour plate method using Plate Count Agar after incubation at 37 °C for 48 h. Lactic acid bacteria (LAB) were enumerated on de Man, </w:t>
      </w:r>
      <w:proofErr w:type="spellStart"/>
      <w:r w:rsidRPr="0034101F">
        <w:rPr>
          <w:rFonts w:ascii="Arial" w:hAnsi="Arial" w:cs="Arial"/>
          <w:sz w:val="22"/>
          <w:szCs w:val="22"/>
        </w:rPr>
        <w:t>Rogosa</w:t>
      </w:r>
      <w:proofErr w:type="spellEnd"/>
      <w:r w:rsidRPr="0034101F">
        <w:rPr>
          <w:rFonts w:ascii="Arial" w:hAnsi="Arial" w:cs="Arial"/>
          <w:sz w:val="22"/>
          <w:szCs w:val="22"/>
        </w:rPr>
        <w:t xml:space="preserve">, and Sharpe (MRS) agar under anaerobic conditions at 37 °C for 48 h. Yeasts and </w:t>
      </w:r>
      <w:proofErr w:type="spellStart"/>
      <w:r w:rsidRPr="0034101F">
        <w:rPr>
          <w:rFonts w:ascii="Arial" w:hAnsi="Arial" w:cs="Arial"/>
          <w:sz w:val="22"/>
          <w:szCs w:val="22"/>
        </w:rPr>
        <w:t>molds</w:t>
      </w:r>
      <w:proofErr w:type="spellEnd"/>
      <w:r w:rsidRPr="0034101F">
        <w:rPr>
          <w:rFonts w:ascii="Arial" w:hAnsi="Arial" w:cs="Arial"/>
          <w:sz w:val="22"/>
          <w:szCs w:val="22"/>
        </w:rPr>
        <w:t xml:space="preserve"> were quantified using Potato Dextrose Agar (PDA) acidified with tartaric acid and incubated at 25 °C for 3–5 days.</w:t>
      </w:r>
    </w:p>
    <w:p w14:paraId="713C91DF" w14:textId="77777777" w:rsidR="0034101F" w:rsidRPr="0034101F" w:rsidRDefault="0034101F" w:rsidP="0034101F">
      <w:pPr>
        <w:pStyle w:val="NormalWeb"/>
        <w:spacing w:before="0" w:beforeAutospacing="0" w:after="0" w:afterAutospacing="0" w:line="480" w:lineRule="auto"/>
        <w:jc w:val="both"/>
        <w:rPr>
          <w:rFonts w:ascii="Arial" w:hAnsi="Arial" w:cs="Arial"/>
          <w:sz w:val="22"/>
          <w:szCs w:val="22"/>
        </w:rPr>
      </w:pPr>
      <w:r w:rsidRPr="0034101F">
        <w:rPr>
          <w:rFonts w:ascii="Arial" w:hAnsi="Arial" w:cs="Arial"/>
          <w:sz w:val="22"/>
          <w:szCs w:val="22"/>
        </w:rPr>
        <w:t xml:space="preserve">Pathogenic microorganisms, including </w:t>
      </w:r>
      <w:r w:rsidRPr="0034101F">
        <w:rPr>
          <w:rStyle w:val="Emphasis"/>
          <w:rFonts w:ascii="Arial" w:hAnsi="Arial" w:cs="Arial"/>
          <w:sz w:val="22"/>
          <w:szCs w:val="22"/>
        </w:rPr>
        <w:t>Escherichia coli</w:t>
      </w:r>
      <w:r w:rsidRPr="0034101F">
        <w:rPr>
          <w:rFonts w:ascii="Arial" w:hAnsi="Arial" w:cs="Arial"/>
          <w:sz w:val="22"/>
          <w:szCs w:val="22"/>
        </w:rPr>
        <w:t xml:space="preserve"> and </w:t>
      </w:r>
      <w:r w:rsidRPr="0034101F">
        <w:rPr>
          <w:rStyle w:val="Emphasis"/>
          <w:rFonts w:ascii="Arial" w:hAnsi="Arial" w:cs="Arial"/>
          <w:sz w:val="22"/>
          <w:szCs w:val="22"/>
        </w:rPr>
        <w:t>Salmonella</w:t>
      </w:r>
      <w:r w:rsidRPr="0034101F">
        <w:rPr>
          <w:rFonts w:ascii="Arial" w:hAnsi="Arial" w:cs="Arial"/>
          <w:sz w:val="22"/>
          <w:szCs w:val="22"/>
        </w:rPr>
        <w:t xml:space="preserve"> spp., were </w:t>
      </w:r>
      <w:proofErr w:type="spellStart"/>
      <w:r w:rsidRPr="0034101F">
        <w:rPr>
          <w:rFonts w:ascii="Arial" w:hAnsi="Arial" w:cs="Arial"/>
          <w:sz w:val="22"/>
          <w:szCs w:val="22"/>
        </w:rPr>
        <w:t>analyzed</w:t>
      </w:r>
      <w:proofErr w:type="spellEnd"/>
      <w:r w:rsidRPr="0034101F">
        <w:rPr>
          <w:rFonts w:ascii="Arial" w:hAnsi="Arial" w:cs="Arial"/>
          <w:sz w:val="22"/>
          <w:szCs w:val="22"/>
        </w:rPr>
        <w:t xml:space="preserve"> following standard microbiological procedures as outlined by </w:t>
      </w:r>
      <w:r w:rsidRPr="00BD75BA">
        <w:rPr>
          <w:rFonts w:ascii="Arial" w:hAnsi="Arial" w:cs="Arial"/>
          <w:b/>
          <w:sz w:val="22"/>
          <w:szCs w:val="22"/>
        </w:rPr>
        <w:t>APHA (2015)</w:t>
      </w:r>
      <w:r w:rsidRPr="0034101F">
        <w:rPr>
          <w:rFonts w:ascii="Arial" w:hAnsi="Arial" w:cs="Arial"/>
          <w:sz w:val="22"/>
          <w:szCs w:val="22"/>
        </w:rPr>
        <w:t>. Results were expressed as colony-forming units per gram (CFU/g).</w:t>
      </w:r>
    </w:p>
    <w:p w14:paraId="0B3A6D88" w14:textId="3BB51DE9" w:rsidR="000F0C18" w:rsidRPr="0023797E" w:rsidRDefault="0034101F" w:rsidP="0023797E">
      <w:pPr>
        <w:spacing w:after="0" w:line="480" w:lineRule="auto"/>
        <w:jc w:val="both"/>
        <w:outlineLvl w:val="2"/>
        <w:rPr>
          <w:rFonts w:ascii="Arial" w:eastAsia="Times New Roman" w:hAnsi="Arial" w:cs="Arial"/>
          <w:b/>
          <w:bCs/>
          <w:szCs w:val="24"/>
          <w:lang w:eastAsia="en-IN"/>
        </w:rPr>
      </w:pPr>
      <w:r w:rsidRPr="0023797E">
        <w:rPr>
          <w:rFonts w:ascii="Arial" w:eastAsia="Times New Roman" w:hAnsi="Arial" w:cs="Arial"/>
          <w:b/>
          <w:bCs/>
          <w:szCs w:val="24"/>
          <w:lang w:eastAsia="en-IN"/>
        </w:rPr>
        <w:t xml:space="preserve"> </w:t>
      </w:r>
      <w:r w:rsidR="000F0C18" w:rsidRPr="0023797E">
        <w:rPr>
          <w:rFonts w:ascii="Arial" w:eastAsia="Times New Roman" w:hAnsi="Arial" w:cs="Arial"/>
          <w:b/>
          <w:bCs/>
          <w:szCs w:val="24"/>
          <w:lang w:eastAsia="en-IN"/>
        </w:rPr>
        <w:t>2.</w:t>
      </w:r>
      <w:r w:rsidR="002F01FE" w:rsidRPr="0023797E">
        <w:rPr>
          <w:rFonts w:ascii="Arial" w:eastAsia="Times New Roman" w:hAnsi="Arial" w:cs="Arial"/>
          <w:b/>
          <w:bCs/>
          <w:szCs w:val="24"/>
          <w:lang w:eastAsia="en-IN"/>
        </w:rPr>
        <w:t>7</w:t>
      </w:r>
      <w:r w:rsidR="000F0C18" w:rsidRPr="0023797E">
        <w:rPr>
          <w:rFonts w:ascii="Arial" w:eastAsia="Times New Roman" w:hAnsi="Arial" w:cs="Arial"/>
          <w:b/>
          <w:bCs/>
          <w:szCs w:val="24"/>
          <w:lang w:eastAsia="en-IN"/>
        </w:rPr>
        <w:t xml:space="preserve"> Sensory Evaluation</w:t>
      </w:r>
    </w:p>
    <w:p w14:paraId="168D5F1C" w14:textId="77777777" w:rsidR="0023797E" w:rsidRPr="0023797E" w:rsidRDefault="0023797E" w:rsidP="0023797E">
      <w:pPr>
        <w:pStyle w:val="NormalWeb"/>
        <w:spacing w:before="0" w:beforeAutospacing="0" w:after="0" w:afterAutospacing="0" w:line="480" w:lineRule="auto"/>
        <w:jc w:val="both"/>
        <w:rPr>
          <w:rFonts w:ascii="Arial" w:hAnsi="Arial" w:cs="Arial"/>
          <w:sz w:val="22"/>
        </w:rPr>
      </w:pPr>
      <w:r w:rsidRPr="0023797E">
        <w:rPr>
          <w:rFonts w:ascii="Arial" w:hAnsi="Arial" w:cs="Arial"/>
          <w:sz w:val="22"/>
        </w:rPr>
        <w:t xml:space="preserve">Sensory evaluation was conducted using thirty semi-trained </w:t>
      </w:r>
      <w:proofErr w:type="spellStart"/>
      <w:r w:rsidRPr="0023797E">
        <w:rPr>
          <w:rFonts w:ascii="Arial" w:hAnsi="Arial" w:cs="Arial"/>
          <w:sz w:val="22"/>
        </w:rPr>
        <w:t>panelists</w:t>
      </w:r>
      <w:proofErr w:type="spellEnd"/>
      <w:r w:rsidRPr="0023797E">
        <w:rPr>
          <w:rFonts w:ascii="Arial" w:hAnsi="Arial" w:cs="Arial"/>
          <w:sz w:val="22"/>
        </w:rPr>
        <w:t xml:space="preserve"> selected from faculty members and postgraduate students familiar with dairy and plant-based beverages. The evaluation was performed using a 9-point hedonic scale ranging from 1 (“dislike extremely”) to 9 (“like extremely”), as described by Stone and </w:t>
      </w:r>
      <w:proofErr w:type="spellStart"/>
      <w:r w:rsidRPr="000B3228">
        <w:rPr>
          <w:rFonts w:ascii="Arial" w:hAnsi="Arial" w:cs="Arial"/>
          <w:b/>
          <w:sz w:val="22"/>
        </w:rPr>
        <w:t>Sidel</w:t>
      </w:r>
      <w:proofErr w:type="spellEnd"/>
      <w:r w:rsidRPr="000B3228">
        <w:rPr>
          <w:rFonts w:ascii="Arial" w:hAnsi="Arial" w:cs="Arial"/>
          <w:b/>
          <w:sz w:val="22"/>
        </w:rPr>
        <w:t xml:space="preserve"> (2004).</w:t>
      </w:r>
    </w:p>
    <w:p w14:paraId="488667C0" w14:textId="77777777" w:rsidR="0023797E" w:rsidRPr="0023797E" w:rsidRDefault="0023797E" w:rsidP="0023797E">
      <w:pPr>
        <w:pStyle w:val="NormalWeb"/>
        <w:spacing w:before="0" w:beforeAutospacing="0" w:after="0" w:afterAutospacing="0" w:line="480" w:lineRule="auto"/>
        <w:jc w:val="both"/>
        <w:rPr>
          <w:rFonts w:ascii="Arial" w:hAnsi="Arial" w:cs="Arial"/>
          <w:sz w:val="22"/>
        </w:rPr>
      </w:pPr>
      <w:r w:rsidRPr="0023797E">
        <w:rPr>
          <w:rFonts w:ascii="Arial" w:hAnsi="Arial" w:cs="Arial"/>
          <w:sz w:val="22"/>
        </w:rPr>
        <w:t xml:space="preserve">Samples were coded with random three-digit numbers and served at 8–10 °C in identical cups under controlled laboratory conditions. </w:t>
      </w:r>
      <w:proofErr w:type="spellStart"/>
      <w:r w:rsidRPr="0023797E">
        <w:rPr>
          <w:rFonts w:ascii="Arial" w:hAnsi="Arial" w:cs="Arial"/>
          <w:sz w:val="22"/>
        </w:rPr>
        <w:t>Panelists</w:t>
      </w:r>
      <w:proofErr w:type="spellEnd"/>
      <w:r w:rsidRPr="0023797E">
        <w:rPr>
          <w:rFonts w:ascii="Arial" w:hAnsi="Arial" w:cs="Arial"/>
          <w:sz w:val="22"/>
        </w:rPr>
        <w:t xml:space="preserve"> evaluated appearance, aroma, taste, texture, </w:t>
      </w:r>
      <w:r w:rsidRPr="0023797E">
        <w:rPr>
          <w:rFonts w:ascii="Arial" w:hAnsi="Arial" w:cs="Arial"/>
          <w:sz w:val="22"/>
        </w:rPr>
        <w:lastRenderedPageBreak/>
        <w:t>mouthfeel, and overall acceptability. Drinking water was provided for mouth rinsing between samples to minimize carryover effects.</w:t>
      </w:r>
    </w:p>
    <w:p w14:paraId="270D570F" w14:textId="6746FB87" w:rsidR="000F0C18" w:rsidRPr="004E2C55" w:rsidRDefault="0023797E" w:rsidP="0023797E">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 xml:space="preserve"> </w:t>
      </w:r>
      <w:r w:rsidR="000F0C18" w:rsidRPr="004E2C55">
        <w:rPr>
          <w:rFonts w:ascii="Arial" w:eastAsia="Times New Roman" w:hAnsi="Arial" w:cs="Arial"/>
          <w:b/>
          <w:bCs/>
          <w:lang w:eastAsia="en-IN"/>
        </w:rPr>
        <w:t>2.</w:t>
      </w:r>
      <w:r w:rsidR="002F01FE" w:rsidRPr="004E2C55">
        <w:rPr>
          <w:rFonts w:ascii="Arial" w:eastAsia="Times New Roman" w:hAnsi="Arial" w:cs="Arial"/>
          <w:b/>
          <w:bCs/>
          <w:lang w:eastAsia="en-IN"/>
        </w:rPr>
        <w:t>8</w:t>
      </w:r>
      <w:r w:rsidR="000F0C18" w:rsidRPr="004E2C55">
        <w:rPr>
          <w:rFonts w:ascii="Arial" w:eastAsia="Times New Roman" w:hAnsi="Arial" w:cs="Arial"/>
          <w:b/>
          <w:bCs/>
          <w:lang w:eastAsia="en-IN"/>
        </w:rPr>
        <w:t xml:space="preserve"> Statistical Analysis</w:t>
      </w:r>
    </w:p>
    <w:p w14:paraId="45D19857" w14:textId="67E70CD5"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Data are mean ± SD </w:t>
      </w:r>
      <w:r w:rsidR="0023797E">
        <w:rPr>
          <w:rFonts w:ascii="Arial" w:eastAsia="Times New Roman" w:hAnsi="Arial" w:cs="Arial"/>
          <w:lang w:eastAsia="en-IN"/>
        </w:rPr>
        <w:t xml:space="preserve">and </w:t>
      </w:r>
      <w:r w:rsidRPr="004E2C55">
        <w:rPr>
          <w:rFonts w:ascii="Arial" w:eastAsia="Times New Roman" w:hAnsi="Arial" w:cs="Arial"/>
          <w:lang w:eastAsia="en-IN"/>
        </w:rPr>
        <w:t xml:space="preserve">One-way ANOVA performed </w:t>
      </w:r>
      <w:r w:rsidR="0023797E">
        <w:rPr>
          <w:rFonts w:ascii="Arial" w:eastAsia="Times New Roman" w:hAnsi="Arial" w:cs="Arial"/>
          <w:lang w:eastAsia="en-IN"/>
        </w:rPr>
        <w:t xml:space="preserve">and </w:t>
      </w:r>
      <w:r w:rsidRPr="004E2C55">
        <w:rPr>
          <w:rFonts w:ascii="Arial" w:eastAsia="Times New Roman" w:hAnsi="Arial" w:cs="Arial"/>
          <w:lang w:eastAsia="en-IN"/>
        </w:rPr>
        <w:t>compared by Tukey’s post-hoc test; significance at p &lt; 0.05.</w:t>
      </w:r>
    </w:p>
    <w:p w14:paraId="423373C2"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3. Results</w:t>
      </w:r>
    </w:p>
    <w:p w14:paraId="4AECB56A"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3.1 Physicochemical Properties</w:t>
      </w:r>
    </w:p>
    <w:p w14:paraId="75F87879" w14:textId="7982BB70"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Moisture ranged from 33.1 ± 1.2 % (S1) to 48.5 ± 2.0 % (S3). Ash contents rose with ashwagandha levels: 3.0 ± 0.3 % (S1), 7.5 ± 0.7 % (S2), 10.2 ± 0.9 % (S3). Protein remained ~8.5 %. Fat decreased from 1.6 ± 0.1 % (S1) to 1.2 ± 0.1 % (S3). pH and titratable acidity varied modestly among samples; total sugars and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increased with ashwagandha (Table</w:t>
      </w:r>
      <w:r w:rsidR="00775216" w:rsidRPr="004E2C55">
        <w:rPr>
          <w:rFonts w:ascii="Arial" w:eastAsia="Times New Roman" w:hAnsi="Arial" w:cs="Arial"/>
          <w:lang w:eastAsia="en-IN"/>
        </w:rPr>
        <w:t xml:space="preserve"> 2</w:t>
      </w:r>
      <w:r w:rsidRPr="004E2C55">
        <w:rPr>
          <w:rFonts w:ascii="Arial" w:eastAsia="Times New Roman" w:hAnsi="Arial" w:cs="Arial"/>
          <w:lang w:eastAsia="en-IN"/>
        </w:rPr>
        <w:t>).</w:t>
      </w:r>
    </w:p>
    <w:p w14:paraId="275DA0BD" w14:textId="4058E8CE" w:rsidR="0009593F" w:rsidRPr="004E2C55" w:rsidRDefault="0009593F"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 xml:space="preserve">Table 2: Chemical analysis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r w:rsidR="00DE6608" w:rsidRPr="004E2C55">
        <w:rPr>
          <w:rFonts w:ascii="Arial" w:hAnsi="Arial" w:cs="Arial"/>
          <w:b/>
          <w:spacing w:val="-4"/>
        </w:rPr>
        <w:t xml:space="preserve"> of S1, S2 and S3 samples</w:t>
      </w:r>
    </w:p>
    <w:tbl>
      <w:tblPr>
        <w:tblStyle w:val="TableGridLight"/>
        <w:tblW w:w="0" w:type="auto"/>
        <w:tblLook w:val="04A0" w:firstRow="1" w:lastRow="0" w:firstColumn="1" w:lastColumn="0" w:noHBand="0" w:noVBand="1"/>
      </w:tblPr>
      <w:tblGrid>
        <w:gridCol w:w="1000"/>
        <w:gridCol w:w="1207"/>
        <w:gridCol w:w="746"/>
        <w:gridCol w:w="709"/>
        <w:gridCol w:w="1048"/>
        <w:gridCol w:w="709"/>
        <w:gridCol w:w="1428"/>
        <w:gridCol w:w="1022"/>
        <w:gridCol w:w="1147"/>
      </w:tblGrid>
      <w:tr w:rsidR="00775216" w:rsidRPr="004E2C55" w14:paraId="47298191" w14:textId="77777777" w:rsidTr="00330447">
        <w:tc>
          <w:tcPr>
            <w:tcW w:w="0" w:type="auto"/>
          </w:tcPr>
          <w:p w14:paraId="682BBCC6" w14:textId="107C9C16"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Sample</w:t>
            </w:r>
          </w:p>
        </w:tc>
        <w:tc>
          <w:tcPr>
            <w:tcW w:w="0" w:type="auto"/>
          </w:tcPr>
          <w:p w14:paraId="70F5EA45" w14:textId="177CA678"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Moisture (%)</w:t>
            </w:r>
          </w:p>
        </w:tc>
        <w:tc>
          <w:tcPr>
            <w:tcW w:w="0" w:type="auto"/>
          </w:tcPr>
          <w:p w14:paraId="252939F3" w14:textId="240B0CE6"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Ash (%)</w:t>
            </w:r>
          </w:p>
        </w:tc>
        <w:tc>
          <w:tcPr>
            <w:tcW w:w="0" w:type="auto"/>
          </w:tcPr>
          <w:p w14:paraId="39A0F3DF" w14:textId="56FAA9E4"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Fat (%)</w:t>
            </w:r>
          </w:p>
        </w:tc>
        <w:tc>
          <w:tcPr>
            <w:tcW w:w="0" w:type="auto"/>
          </w:tcPr>
          <w:p w14:paraId="6EB88E9F" w14:textId="69546B63"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Protein (%)</w:t>
            </w:r>
          </w:p>
        </w:tc>
        <w:tc>
          <w:tcPr>
            <w:tcW w:w="0" w:type="auto"/>
          </w:tcPr>
          <w:p w14:paraId="39445715" w14:textId="66A8B3D1"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pH</w:t>
            </w:r>
          </w:p>
        </w:tc>
        <w:tc>
          <w:tcPr>
            <w:tcW w:w="0" w:type="auto"/>
          </w:tcPr>
          <w:p w14:paraId="0DCD9B12" w14:textId="7107469E"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Titratable Acidity (%)</w:t>
            </w:r>
          </w:p>
        </w:tc>
        <w:tc>
          <w:tcPr>
            <w:tcW w:w="0" w:type="auto"/>
          </w:tcPr>
          <w:p w14:paraId="23C2BE3C" w14:textId="3F2D189B"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Total Sugar (%)</w:t>
            </w:r>
          </w:p>
        </w:tc>
        <w:tc>
          <w:tcPr>
            <w:tcW w:w="0" w:type="auto"/>
          </w:tcPr>
          <w:p w14:paraId="0108BC39" w14:textId="4015B9DE"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Dietary Fiber (%)</w:t>
            </w:r>
          </w:p>
        </w:tc>
      </w:tr>
      <w:tr w:rsidR="00775216" w:rsidRPr="004E2C55" w14:paraId="1333F07A" w14:textId="77777777" w:rsidTr="00330447">
        <w:tc>
          <w:tcPr>
            <w:tcW w:w="0" w:type="auto"/>
          </w:tcPr>
          <w:p w14:paraId="1E5C6D9F" w14:textId="28935F13"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S1</w:t>
            </w:r>
          </w:p>
        </w:tc>
        <w:tc>
          <w:tcPr>
            <w:tcW w:w="0" w:type="auto"/>
          </w:tcPr>
          <w:p w14:paraId="5AE638D0" w14:textId="447576A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33.1 ± 1.2*</w:t>
            </w:r>
          </w:p>
        </w:tc>
        <w:tc>
          <w:tcPr>
            <w:tcW w:w="0" w:type="auto"/>
          </w:tcPr>
          <w:p w14:paraId="4D1E6B6A" w14:textId="6954E823"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3.0 ± 0.3*</w:t>
            </w:r>
          </w:p>
        </w:tc>
        <w:tc>
          <w:tcPr>
            <w:tcW w:w="0" w:type="auto"/>
          </w:tcPr>
          <w:p w14:paraId="230B91E8" w14:textId="795A64E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 ± 0.1*</w:t>
            </w:r>
          </w:p>
        </w:tc>
        <w:tc>
          <w:tcPr>
            <w:tcW w:w="0" w:type="auto"/>
          </w:tcPr>
          <w:p w14:paraId="0DE9474D" w14:textId="1BDDB1C2"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0.2*</w:t>
            </w:r>
          </w:p>
        </w:tc>
        <w:tc>
          <w:tcPr>
            <w:tcW w:w="0" w:type="auto"/>
          </w:tcPr>
          <w:p w14:paraId="49611C87" w14:textId="22F9300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 ± 0.1*</w:t>
            </w:r>
          </w:p>
        </w:tc>
        <w:tc>
          <w:tcPr>
            <w:tcW w:w="0" w:type="auto"/>
          </w:tcPr>
          <w:p w14:paraId="2D9052CB" w14:textId="4CB43A22"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0.17 ± 0.01*</w:t>
            </w:r>
          </w:p>
        </w:tc>
        <w:tc>
          <w:tcPr>
            <w:tcW w:w="0" w:type="auto"/>
          </w:tcPr>
          <w:p w14:paraId="14C4F0DE" w14:textId="3927100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14.2 ± 0.5*</w:t>
            </w:r>
          </w:p>
        </w:tc>
        <w:tc>
          <w:tcPr>
            <w:tcW w:w="0" w:type="auto"/>
          </w:tcPr>
          <w:p w14:paraId="62593430" w14:textId="2A9EC90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1.8 ± 0.1*</w:t>
            </w:r>
          </w:p>
        </w:tc>
      </w:tr>
      <w:tr w:rsidR="00775216" w:rsidRPr="004E2C55" w14:paraId="52BAB442" w14:textId="77777777" w:rsidTr="00330447">
        <w:tc>
          <w:tcPr>
            <w:tcW w:w="0" w:type="auto"/>
          </w:tcPr>
          <w:p w14:paraId="4A9D4665" w14:textId="33F1A5D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S2</w:t>
            </w:r>
          </w:p>
        </w:tc>
        <w:tc>
          <w:tcPr>
            <w:tcW w:w="0" w:type="auto"/>
          </w:tcPr>
          <w:p w14:paraId="0EA274E0" w14:textId="587460C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36.8 ± 1.5</w:t>
            </w:r>
          </w:p>
        </w:tc>
        <w:tc>
          <w:tcPr>
            <w:tcW w:w="0" w:type="auto"/>
          </w:tcPr>
          <w:p w14:paraId="096A633C" w14:textId="03B0ADA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7.5 ± 0.7</w:t>
            </w:r>
          </w:p>
        </w:tc>
        <w:tc>
          <w:tcPr>
            <w:tcW w:w="0" w:type="auto"/>
          </w:tcPr>
          <w:p w14:paraId="516DAE91" w14:textId="2C0365FE"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 ± 0.1</w:t>
            </w:r>
          </w:p>
        </w:tc>
        <w:tc>
          <w:tcPr>
            <w:tcW w:w="0" w:type="auto"/>
          </w:tcPr>
          <w:p w14:paraId="77CECC3C" w14:textId="196C983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8.4 ± 0.2</w:t>
            </w:r>
          </w:p>
        </w:tc>
        <w:tc>
          <w:tcPr>
            <w:tcW w:w="0" w:type="auto"/>
          </w:tcPr>
          <w:p w14:paraId="537E18A6" w14:textId="76175E3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 ± 0.1</w:t>
            </w:r>
          </w:p>
        </w:tc>
        <w:tc>
          <w:tcPr>
            <w:tcW w:w="0" w:type="auto"/>
          </w:tcPr>
          <w:p w14:paraId="27848614" w14:textId="79879DE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0.21 ± 0.01</w:t>
            </w:r>
          </w:p>
        </w:tc>
        <w:tc>
          <w:tcPr>
            <w:tcW w:w="0" w:type="auto"/>
          </w:tcPr>
          <w:p w14:paraId="221864B7" w14:textId="62C1B36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14.5 ± 0.5</w:t>
            </w:r>
          </w:p>
        </w:tc>
        <w:tc>
          <w:tcPr>
            <w:tcW w:w="0" w:type="auto"/>
          </w:tcPr>
          <w:p w14:paraId="1CDC83D8" w14:textId="3C0C8CC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2.5 ± 0.1</w:t>
            </w:r>
          </w:p>
        </w:tc>
      </w:tr>
      <w:tr w:rsidR="00775216" w:rsidRPr="004E2C55" w14:paraId="2D513759" w14:textId="77777777" w:rsidTr="00330447">
        <w:tc>
          <w:tcPr>
            <w:tcW w:w="0" w:type="auto"/>
          </w:tcPr>
          <w:p w14:paraId="5FA22A0E" w14:textId="681B601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S3</w:t>
            </w:r>
          </w:p>
        </w:tc>
        <w:tc>
          <w:tcPr>
            <w:tcW w:w="0" w:type="auto"/>
          </w:tcPr>
          <w:p w14:paraId="6B34525F" w14:textId="7D42E1A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48.5 ± 2.0</w:t>
            </w:r>
          </w:p>
        </w:tc>
        <w:tc>
          <w:tcPr>
            <w:tcW w:w="0" w:type="auto"/>
          </w:tcPr>
          <w:p w14:paraId="5148E6F2" w14:textId="09D8529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10.2 ± 0.9</w:t>
            </w:r>
          </w:p>
        </w:tc>
        <w:tc>
          <w:tcPr>
            <w:tcW w:w="0" w:type="auto"/>
          </w:tcPr>
          <w:p w14:paraId="74D0A30F" w14:textId="4AE5FD5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1.2 ± 0.1</w:t>
            </w:r>
          </w:p>
        </w:tc>
        <w:tc>
          <w:tcPr>
            <w:tcW w:w="0" w:type="auto"/>
          </w:tcPr>
          <w:p w14:paraId="030C6BCA" w14:textId="7433F3A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8.6 ± 0.2</w:t>
            </w:r>
          </w:p>
        </w:tc>
        <w:tc>
          <w:tcPr>
            <w:tcW w:w="0" w:type="auto"/>
          </w:tcPr>
          <w:p w14:paraId="0E8FE93F" w14:textId="0818193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4.7 ± 0.1</w:t>
            </w:r>
          </w:p>
        </w:tc>
        <w:tc>
          <w:tcPr>
            <w:tcW w:w="0" w:type="auto"/>
          </w:tcPr>
          <w:p w14:paraId="41F3C698" w14:textId="1F8C96C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0.17 ± 0.01</w:t>
            </w:r>
          </w:p>
        </w:tc>
        <w:tc>
          <w:tcPr>
            <w:tcW w:w="0" w:type="auto"/>
          </w:tcPr>
          <w:p w14:paraId="4016823F" w14:textId="6F80CF1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14.7 ± 0.6</w:t>
            </w:r>
          </w:p>
        </w:tc>
        <w:tc>
          <w:tcPr>
            <w:tcW w:w="0" w:type="auto"/>
          </w:tcPr>
          <w:p w14:paraId="3A8F7A3D" w14:textId="3B95A92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3.0 ± 0.2</w:t>
            </w:r>
          </w:p>
        </w:tc>
      </w:tr>
    </w:tbl>
    <w:p w14:paraId="04B82903" w14:textId="6BF243BF" w:rsidR="00775216" w:rsidRPr="004E2C55" w:rsidRDefault="00775216" w:rsidP="008B4DDC">
      <w:pPr>
        <w:spacing w:after="0" w:line="480" w:lineRule="auto"/>
        <w:jc w:val="both"/>
        <w:rPr>
          <w:rFonts w:ascii="Arial" w:eastAsia="Times New Roman" w:hAnsi="Arial" w:cs="Arial"/>
          <w:lang w:eastAsia="en-IN"/>
        </w:rPr>
      </w:pPr>
      <w:r w:rsidRPr="004E2C55">
        <w:rPr>
          <w:rFonts w:ascii="Arial" w:hAnsi="Arial" w:cs="Arial"/>
        </w:rPr>
        <w:t>Means sharing same letter in same column are not significantly different (Tukey’s, p &gt; 0.05).</w:t>
      </w:r>
    </w:p>
    <w:p w14:paraId="5832B969" w14:textId="2F0D6833"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3.2 Functional Properties</w:t>
      </w:r>
      <w:r w:rsidR="00F017F3" w:rsidRPr="004E2C55">
        <w:rPr>
          <w:rFonts w:ascii="Arial" w:eastAsia="Times New Roman" w:hAnsi="Arial" w:cs="Arial"/>
          <w:b/>
          <w:bCs/>
          <w:lang w:eastAsia="en-IN"/>
        </w:rPr>
        <w:t xml:space="preserve"> and Microbiological Safety</w:t>
      </w:r>
    </w:p>
    <w:p w14:paraId="59B12E43" w14:textId="30C2939A"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T</w:t>
      </w:r>
      <w:r w:rsidR="009316AD" w:rsidRPr="004E2C55">
        <w:rPr>
          <w:rFonts w:ascii="Arial" w:eastAsia="Times New Roman" w:hAnsi="Arial" w:cs="Arial"/>
          <w:lang w:eastAsia="en-IN"/>
        </w:rPr>
        <w:t xml:space="preserve">otal </w:t>
      </w:r>
      <w:r w:rsidRPr="004E2C55">
        <w:rPr>
          <w:rFonts w:ascii="Arial" w:eastAsia="Times New Roman" w:hAnsi="Arial" w:cs="Arial"/>
          <w:lang w:eastAsia="en-IN"/>
        </w:rPr>
        <w:t>P</w:t>
      </w:r>
      <w:r w:rsidR="009316AD" w:rsidRPr="004E2C55">
        <w:rPr>
          <w:rFonts w:ascii="Arial" w:eastAsia="Times New Roman" w:hAnsi="Arial" w:cs="Arial"/>
          <w:lang w:eastAsia="en-IN"/>
        </w:rPr>
        <w:t xml:space="preserve">henolic </w:t>
      </w:r>
      <w:r w:rsidRPr="004E2C55">
        <w:rPr>
          <w:rFonts w:ascii="Arial" w:eastAsia="Times New Roman" w:hAnsi="Arial" w:cs="Arial"/>
          <w:lang w:eastAsia="en-IN"/>
        </w:rPr>
        <w:t>C</w:t>
      </w:r>
      <w:r w:rsidR="009316AD" w:rsidRPr="004E2C55">
        <w:rPr>
          <w:rFonts w:ascii="Arial" w:eastAsia="Times New Roman" w:hAnsi="Arial" w:cs="Arial"/>
          <w:lang w:eastAsia="en-IN"/>
        </w:rPr>
        <w:t>ontent</w:t>
      </w:r>
      <w:r w:rsidRPr="004E2C55">
        <w:rPr>
          <w:rFonts w:ascii="Arial" w:eastAsia="Times New Roman" w:hAnsi="Arial" w:cs="Arial"/>
          <w:lang w:eastAsia="en-IN"/>
        </w:rPr>
        <w:t xml:space="preserve"> increased from S1 to S3 (45.3 to 78.9 mg GAE/100 g). DPPH scavenging also rose (35 % to 62 %)</w:t>
      </w:r>
      <w:r w:rsidR="00F017F3" w:rsidRPr="004E2C55">
        <w:rPr>
          <w:rFonts w:ascii="Arial" w:eastAsia="Times New Roman" w:hAnsi="Arial" w:cs="Arial"/>
          <w:lang w:eastAsia="en-IN"/>
        </w:rPr>
        <w:t xml:space="preserve">. </w:t>
      </w:r>
      <w:r w:rsidRPr="004E2C55">
        <w:rPr>
          <w:rFonts w:ascii="Arial" w:eastAsia="Times New Roman" w:hAnsi="Arial" w:cs="Arial"/>
          <w:lang w:eastAsia="en-IN"/>
        </w:rPr>
        <w:t>Total viable counts ranged 3.5 ×10</w:t>
      </w:r>
      <w:r w:rsidRPr="004E2C55">
        <w:rPr>
          <w:rFonts w:ascii="Arial" w:eastAsia="Times New Roman" w:hAnsi="Arial" w:cs="Arial"/>
          <w:vertAlign w:val="superscript"/>
          <w:lang w:eastAsia="en-IN"/>
        </w:rPr>
        <w:t>5</w:t>
      </w:r>
      <w:r w:rsidRPr="004E2C55">
        <w:rPr>
          <w:rFonts w:ascii="Arial" w:eastAsia="Times New Roman" w:hAnsi="Arial" w:cs="Arial"/>
          <w:lang w:eastAsia="en-IN"/>
        </w:rPr>
        <w:t xml:space="preserve"> to 6.2 ×10</w:t>
      </w:r>
      <w:r w:rsidRPr="004E2C55">
        <w:rPr>
          <w:rFonts w:ascii="Arial" w:eastAsia="Times New Roman" w:hAnsi="Arial" w:cs="Arial"/>
          <w:vertAlign w:val="superscript"/>
          <w:lang w:eastAsia="en-IN"/>
        </w:rPr>
        <w:t>5</w:t>
      </w:r>
      <w:r w:rsidRPr="004E2C55">
        <w:rPr>
          <w:rFonts w:ascii="Arial" w:eastAsia="Times New Roman" w:hAnsi="Arial" w:cs="Arial"/>
          <w:lang w:eastAsia="en-IN"/>
        </w:rPr>
        <w:t xml:space="preserve"> CFU/mL; </w:t>
      </w:r>
      <w:r w:rsidRPr="004E2C55">
        <w:rPr>
          <w:rFonts w:ascii="Arial" w:eastAsia="Times New Roman" w:hAnsi="Arial" w:cs="Arial"/>
          <w:lang w:eastAsia="en-IN"/>
        </w:rPr>
        <w:lastRenderedPageBreak/>
        <w:t>lactic acid bacteria 1.2–1.8 ×10</w:t>
      </w:r>
      <w:r w:rsidRPr="004E2C55">
        <w:rPr>
          <w:rFonts w:ascii="Arial" w:eastAsia="Times New Roman" w:hAnsi="Arial" w:cs="Arial"/>
          <w:vertAlign w:val="superscript"/>
          <w:lang w:eastAsia="en-IN"/>
        </w:rPr>
        <w:t>6</w:t>
      </w:r>
      <w:r w:rsidRPr="004E2C55">
        <w:rPr>
          <w:rFonts w:ascii="Arial" w:eastAsia="Times New Roman" w:hAnsi="Arial" w:cs="Arial"/>
          <w:lang w:eastAsia="en-IN"/>
        </w:rPr>
        <w:t xml:space="preserve"> CFU/</w:t>
      </w:r>
      <w:proofErr w:type="spellStart"/>
      <w:r w:rsidRPr="004E2C55">
        <w:rPr>
          <w:rFonts w:ascii="Arial" w:eastAsia="Times New Roman" w:hAnsi="Arial" w:cs="Arial"/>
          <w:lang w:eastAsia="en-IN"/>
        </w:rPr>
        <w:t>mL.</w:t>
      </w:r>
      <w:proofErr w:type="spellEnd"/>
      <w:r w:rsidRPr="004E2C55">
        <w:rPr>
          <w:rFonts w:ascii="Arial" w:eastAsia="Times New Roman" w:hAnsi="Arial" w:cs="Arial"/>
          <w:lang w:eastAsia="en-IN"/>
        </w:rPr>
        <w:t xml:space="preserve"> Yeast &amp; </w:t>
      </w:r>
      <w:proofErr w:type="spellStart"/>
      <w:r w:rsidRPr="004E2C55">
        <w:rPr>
          <w:rFonts w:ascii="Arial" w:eastAsia="Times New Roman" w:hAnsi="Arial" w:cs="Arial"/>
          <w:lang w:eastAsia="en-IN"/>
        </w:rPr>
        <w:t>mold</w:t>
      </w:r>
      <w:proofErr w:type="spellEnd"/>
      <w:r w:rsidRPr="004E2C55">
        <w:rPr>
          <w:rFonts w:ascii="Arial" w:eastAsia="Times New Roman" w:hAnsi="Arial" w:cs="Arial"/>
          <w:lang w:eastAsia="en-IN"/>
        </w:rPr>
        <w:t xml:space="preserve"> &lt;10</w:t>
      </w:r>
      <w:r w:rsidRPr="004E2C55">
        <w:rPr>
          <w:rFonts w:ascii="Arial" w:eastAsia="Times New Roman" w:hAnsi="Arial" w:cs="Arial"/>
          <w:vertAlign w:val="superscript"/>
          <w:lang w:eastAsia="en-IN"/>
        </w:rPr>
        <w:t>2</w:t>
      </w:r>
      <w:r w:rsidRPr="004E2C55">
        <w:rPr>
          <w:rFonts w:ascii="Arial" w:eastAsia="Times New Roman" w:hAnsi="Arial" w:cs="Arial"/>
          <w:lang w:eastAsia="en-IN"/>
        </w:rPr>
        <w:t xml:space="preserve"> CFU/</w:t>
      </w:r>
      <w:proofErr w:type="spellStart"/>
      <w:r w:rsidRPr="004E2C55">
        <w:rPr>
          <w:rFonts w:ascii="Arial" w:eastAsia="Times New Roman" w:hAnsi="Arial" w:cs="Arial"/>
          <w:lang w:eastAsia="en-IN"/>
        </w:rPr>
        <w:t>mL.</w:t>
      </w:r>
      <w:proofErr w:type="spellEnd"/>
      <w:r w:rsidRPr="004E2C55">
        <w:rPr>
          <w:rFonts w:ascii="Arial" w:eastAsia="Times New Roman" w:hAnsi="Arial" w:cs="Arial"/>
          <w:lang w:eastAsia="en-IN"/>
        </w:rPr>
        <w:t xml:space="preserve"> No </w:t>
      </w:r>
      <w:r w:rsidRPr="004E2C55">
        <w:rPr>
          <w:rFonts w:ascii="Arial" w:eastAsia="Times New Roman" w:hAnsi="Arial" w:cs="Arial"/>
          <w:i/>
          <w:iCs/>
          <w:lang w:eastAsia="en-IN"/>
        </w:rPr>
        <w:t>E. coli</w:t>
      </w:r>
      <w:r w:rsidRPr="004E2C55">
        <w:rPr>
          <w:rFonts w:ascii="Arial" w:eastAsia="Times New Roman" w:hAnsi="Arial" w:cs="Arial"/>
          <w:lang w:eastAsia="en-IN"/>
        </w:rPr>
        <w:t xml:space="preserve"> or </w:t>
      </w:r>
      <w:r w:rsidRPr="004E2C55">
        <w:rPr>
          <w:rFonts w:ascii="Arial" w:eastAsia="Times New Roman" w:hAnsi="Arial" w:cs="Arial"/>
          <w:i/>
          <w:iCs/>
          <w:lang w:eastAsia="en-IN"/>
        </w:rPr>
        <w:t>Salmonella</w:t>
      </w:r>
      <w:r w:rsidRPr="004E2C55">
        <w:rPr>
          <w:rFonts w:ascii="Arial" w:eastAsia="Times New Roman" w:hAnsi="Arial" w:cs="Arial"/>
          <w:lang w:eastAsia="en-IN"/>
        </w:rPr>
        <w:t xml:space="preserve"> detected.</w:t>
      </w:r>
      <w:r w:rsidR="00F017F3" w:rsidRPr="004E2C55">
        <w:rPr>
          <w:rFonts w:ascii="Arial" w:eastAsia="Times New Roman" w:hAnsi="Arial" w:cs="Arial"/>
          <w:lang w:eastAsia="en-IN"/>
        </w:rPr>
        <w:t xml:space="preserve"> (Table 3).</w:t>
      </w:r>
    </w:p>
    <w:p w14:paraId="33A53C35" w14:textId="063B8053" w:rsidR="0009593F" w:rsidRPr="004E2C55" w:rsidRDefault="0009593F"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 xml:space="preserve">Table 3: Antioxidant profiling and microbial Count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p>
    <w:tbl>
      <w:tblPr>
        <w:tblStyle w:val="TableGridLight"/>
        <w:tblW w:w="0" w:type="auto"/>
        <w:tblLook w:val="04A0" w:firstRow="1" w:lastRow="0" w:firstColumn="1" w:lastColumn="0" w:noHBand="0" w:noVBand="1"/>
      </w:tblPr>
      <w:tblGrid>
        <w:gridCol w:w="999"/>
        <w:gridCol w:w="1257"/>
        <w:gridCol w:w="1523"/>
        <w:gridCol w:w="1281"/>
        <w:gridCol w:w="1287"/>
        <w:gridCol w:w="1260"/>
        <w:gridCol w:w="1409"/>
      </w:tblGrid>
      <w:tr w:rsidR="00F017F3" w:rsidRPr="004E2C55" w14:paraId="362EF72A" w14:textId="77777777" w:rsidTr="00330447">
        <w:tc>
          <w:tcPr>
            <w:tcW w:w="0" w:type="auto"/>
            <w:hideMark/>
          </w:tcPr>
          <w:p w14:paraId="2B904DBB"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Sample</w:t>
            </w:r>
          </w:p>
        </w:tc>
        <w:tc>
          <w:tcPr>
            <w:tcW w:w="0" w:type="auto"/>
            <w:hideMark/>
          </w:tcPr>
          <w:p w14:paraId="5A02CAFC"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Total Phenolic Content (mg GAE / 100 g)</w:t>
            </w:r>
          </w:p>
        </w:tc>
        <w:tc>
          <w:tcPr>
            <w:tcW w:w="0" w:type="auto"/>
            <w:hideMark/>
          </w:tcPr>
          <w:p w14:paraId="38320D66"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DPPH Radical Scavenging (%)</w:t>
            </w:r>
          </w:p>
        </w:tc>
        <w:tc>
          <w:tcPr>
            <w:tcW w:w="0" w:type="auto"/>
            <w:hideMark/>
          </w:tcPr>
          <w:p w14:paraId="7338D273"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Total Viable Count (CFU/mL)</w:t>
            </w:r>
          </w:p>
        </w:tc>
        <w:tc>
          <w:tcPr>
            <w:tcW w:w="0" w:type="auto"/>
            <w:hideMark/>
          </w:tcPr>
          <w:p w14:paraId="65EE8228"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Lactic Acid Bacteria (CFU/mL)</w:t>
            </w:r>
          </w:p>
        </w:tc>
        <w:tc>
          <w:tcPr>
            <w:tcW w:w="0" w:type="auto"/>
            <w:hideMark/>
          </w:tcPr>
          <w:p w14:paraId="0A042674"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Yeast &amp; Mold (CFU/mL)</w:t>
            </w:r>
          </w:p>
        </w:tc>
        <w:tc>
          <w:tcPr>
            <w:tcW w:w="0" w:type="auto"/>
            <w:hideMark/>
          </w:tcPr>
          <w:p w14:paraId="5C43F586"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E. coli / Salmonella</w:t>
            </w:r>
          </w:p>
        </w:tc>
      </w:tr>
      <w:tr w:rsidR="00F017F3" w:rsidRPr="004E2C55" w14:paraId="30E82E73" w14:textId="77777777" w:rsidTr="00330447">
        <w:tc>
          <w:tcPr>
            <w:tcW w:w="0" w:type="auto"/>
            <w:hideMark/>
          </w:tcPr>
          <w:p w14:paraId="42CCC5CC" w14:textId="77777777" w:rsidR="00F017F3" w:rsidRPr="004E2C55" w:rsidRDefault="00F017F3" w:rsidP="008B4DDC">
            <w:pPr>
              <w:spacing w:line="480" w:lineRule="auto"/>
              <w:rPr>
                <w:rFonts w:ascii="Arial" w:hAnsi="Arial" w:cs="Arial"/>
              </w:rPr>
            </w:pPr>
            <w:r w:rsidRPr="004E2C55">
              <w:rPr>
                <w:rStyle w:val="Strong"/>
                <w:rFonts w:ascii="Arial" w:hAnsi="Arial" w:cs="Arial"/>
              </w:rPr>
              <w:t>S1</w:t>
            </w:r>
          </w:p>
        </w:tc>
        <w:tc>
          <w:tcPr>
            <w:tcW w:w="0" w:type="auto"/>
            <w:hideMark/>
          </w:tcPr>
          <w:p w14:paraId="44CCFE26" w14:textId="77777777" w:rsidR="00F017F3" w:rsidRPr="004E2C55" w:rsidRDefault="00F017F3" w:rsidP="008B4DDC">
            <w:pPr>
              <w:spacing w:line="480" w:lineRule="auto"/>
              <w:rPr>
                <w:rFonts w:ascii="Arial" w:hAnsi="Arial" w:cs="Arial"/>
              </w:rPr>
            </w:pPr>
            <w:r w:rsidRPr="004E2C55">
              <w:rPr>
                <w:rFonts w:ascii="Arial" w:hAnsi="Arial" w:cs="Arial"/>
              </w:rPr>
              <w:t>45.3</w:t>
            </w:r>
          </w:p>
        </w:tc>
        <w:tc>
          <w:tcPr>
            <w:tcW w:w="0" w:type="auto"/>
            <w:hideMark/>
          </w:tcPr>
          <w:p w14:paraId="073EC5E2" w14:textId="77777777" w:rsidR="00F017F3" w:rsidRPr="004E2C55" w:rsidRDefault="00F017F3" w:rsidP="008B4DDC">
            <w:pPr>
              <w:spacing w:line="480" w:lineRule="auto"/>
              <w:rPr>
                <w:rFonts w:ascii="Arial" w:hAnsi="Arial" w:cs="Arial"/>
              </w:rPr>
            </w:pPr>
            <w:r w:rsidRPr="004E2C55">
              <w:rPr>
                <w:rFonts w:ascii="Arial" w:hAnsi="Arial" w:cs="Arial"/>
              </w:rPr>
              <w:t>35</w:t>
            </w:r>
          </w:p>
        </w:tc>
        <w:tc>
          <w:tcPr>
            <w:tcW w:w="0" w:type="auto"/>
            <w:hideMark/>
          </w:tcPr>
          <w:p w14:paraId="0E3A2CEC" w14:textId="77777777" w:rsidR="00F017F3" w:rsidRPr="004E2C55" w:rsidRDefault="00F017F3" w:rsidP="008B4DDC">
            <w:pPr>
              <w:spacing w:line="480" w:lineRule="auto"/>
              <w:rPr>
                <w:rFonts w:ascii="Arial" w:hAnsi="Arial" w:cs="Arial"/>
              </w:rPr>
            </w:pPr>
            <w:r w:rsidRPr="004E2C55">
              <w:rPr>
                <w:rFonts w:ascii="Arial" w:hAnsi="Arial" w:cs="Arial"/>
              </w:rPr>
              <w:t>3.5 × 10⁵</w:t>
            </w:r>
          </w:p>
        </w:tc>
        <w:tc>
          <w:tcPr>
            <w:tcW w:w="0" w:type="auto"/>
            <w:hideMark/>
          </w:tcPr>
          <w:p w14:paraId="68DA0797" w14:textId="77777777" w:rsidR="00F017F3" w:rsidRPr="004E2C55" w:rsidRDefault="00F017F3" w:rsidP="008B4DDC">
            <w:pPr>
              <w:spacing w:line="480" w:lineRule="auto"/>
              <w:rPr>
                <w:rFonts w:ascii="Arial" w:hAnsi="Arial" w:cs="Arial"/>
              </w:rPr>
            </w:pPr>
            <w:r w:rsidRPr="004E2C55">
              <w:rPr>
                <w:rFonts w:ascii="Arial" w:hAnsi="Arial" w:cs="Arial"/>
              </w:rPr>
              <w:t>1.2 × 10⁶</w:t>
            </w:r>
          </w:p>
        </w:tc>
        <w:tc>
          <w:tcPr>
            <w:tcW w:w="0" w:type="auto"/>
            <w:hideMark/>
          </w:tcPr>
          <w:p w14:paraId="0F620BFE"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3F72C479"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r w:rsidR="00F017F3" w:rsidRPr="004E2C55" w14:paraId="35809793" w14:textId="77777777" w:rsidTr="00330447">
        <w:tc>
          <w:tcPr>
            <w:tcW w:w="0" w:type="auto"/>
            <w:hideMark/>
          </w:tcPr>
          <w:p w14:paraId="564AB91C" w14:textId="77777777" w:rsidR="00F017F3" w:rsidRPr="004E2C55" w:rsidRDefault="00F017F3" w:rsidP="008B4DDC">
            <w:pPr>
              <w:spacing w:line="480" w:lineRule="auto"/>
              <w:rPr>
                <w:rFonts w:ascii="Arial" w:hAnsi="Arial" w:cs="Arial"/>
              </w:rPr>
            </w:pPr>
            <w:r w:rsidRPr="004E2C55">
              <w:rPr>
                <w:rStyle w:val="Strong"/>
                <w:rFonts w:ascii="Arial" w:hAnsi="Arial" w:cs="Arial"/>
              </w:rPr>
              <w:t>S2</w:t>
            </w:r>
          </w:p>
        </w:tc>
        <w:tc>
          <w:tcPr>
            <w:tcW w:w="0" w:type="auto"/>
            <w:hideMark/>
          </w:tcPr>
          <w:p w14:paraId="0BAC3E04" w14:textId="14E9DDD9" w:rsidR="00F017F3" w:rsidRPr="004E2C55" w:rsidRDefault="00F017F3" w:rsidP="008B4DDC">
            <w:pPr>
              <w:spacing w:line="480" w:lineRule="auto"/>
              <w:rPr>
                <w:rFonts w:ascii="Arial" w:hAnsi="Arial" w:cs="Arial"/>
              </w:rPr>
            </w:pPr>
            <w:r w:rsidRPr="004E2C55">
              <w:rPr>
                <w:rFonts w:ascii="Arial" w:hAnsi="Arial" w:cs="Arial"/>
              </w:rPr>
              <w:t>62.1</w:t>
            </w:r>
          </w:p>
        </w:tc>
        <w:tc>
          <w:tcPr>
            <w:tcW w:w="0" w:type="auto"/>
            <w:hideMark/>
          </w:tcPr>
          <w:p w14:paraId="69D3E6EF" w14:textId="64FDDACF" w:rsidR="00F017F3" w:rsidRPr="004E2C55" w:rsidRDefault="00F017F3" w:rsidP="008B4DDC">
            <w:pPr>
              <w:spacing w:line="480" w:lineRule="auto"/>
              <w:rPr>
                <w:rFonts w:ascii="Arial" w:hAnsi="Arial" w:cs="Arial"/>
              </w:rPr>
            </w:pPr>
            <w:r w:rsidRPr="004E2C55">
              <w:rPr>
                <w:rFonts w:ascii="Arial" w:hAnsi="Arial" w:cs="Arial"/>
              </w:rPr>
              <w:t>48.5</w:t>
            </w:r>
          </w:p>
        </w:tc>
        <w:tc>
          <w:tcPr>
            <w:tcW w:w="0" w:type="auto"/>
            <w:hideMark/>
          </w:tcPr>
          <w:p w14:paraId="014F439B" w14:textId="79C03454" w:rsidR="00F017F3" w:rsidRPr="004E2C55" w:rsidRDefault="00F017F3" w:rsidP="008B4DDC">
            <w:pPr>
              <w:spacing w:line="480" w:lineRule="auto"/>
              <w:rPr>
                <w:rFonts w:ascii="Arial" w:hAnsi="Arial" w:cs="Arial"/>
              </w:rPr>
            </w:pPr>
            <w:r w:rsidRPr="004E2C55">
              <w:rPr>
                <w:rFonts w:ascii="Arial" w:hAnsi="Arial" w:cs="Arial"/>
              </w:rPr>
              <w:t>4.8 × 10⁵*</w:t>
            </w:r>
          </w:p>
        </w:tc>
        <w:tc>
          <w:tcPr>
            <w:tcW w:w="0" w:type="auto"/>
            <w:hideMark/>
          </w:tcPr>
          <w:p w14:paraId="58E1508C" w14:textId="77777777" w:rsidR="00F017F3" w:rsidRPr="004E2C55" w:rsidRDefault="00F017F3" w:rsidP="008B4DDC">
            <w:pPr>
              <w:spacing w:line="480" w:lineRule="auto"/>
              <w:rPr>
                <w:rFonts w:ascii="Arial" w:hAnsi="Arial" w:cs="Arial"/>
              </w:rPr>
            </w:pPr>
            <w:r w:rsidRPr="004E2C55">
              <w:rPr>
                <w:rFonts w:ascii="Arial" w:hAnsi="Arial" w:cs="Arial"/>
              </w:rPr>
              <w:t>~1.5 × 10⁶*</w:t>
            </w:r>
          </w:p>
        </w:tc>
        <w:tc>
          <w:tcPr>
            <w:tcW w:w="0" w:type="auto"/>
            <w:hideMark/>
          </w:tcPr>
          <w:p w14:paraId="56DBF063"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4EA1EFFD"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r w:rsidR="00F017F3" w:rsidRPr="004E2C55" w14:paraId="47D97306" w14:textId="77777777" w:rsidTr="00330447">
        <w:tc>
          <w:tcPr>
            <w:tcW w:w="0" w:type="auto"/>
            <w:hideMark/>
          </w:tcPr>
          <w:p w14:paraId="2143B400" w14:textId="77777777" w:rsidR="00F017F3" w:rsidRPr="004E2C55" w:rsidRDefault="00F017F3" w:rsidP="008B4DDC">
            <w:pPr>
              <w:spacing w:line="480" w:lineRule="auto"/>
              <w:rPr>
                <w:rFonts w:ascii="Arial" w:hAnsi="Arial" w:cs="Arial"/>
              </w:rPr>
            </w:pPr>
            <w:r w:rsidRPr="004E2C55">
              <w:rPr>
                <w:rStyle w:val="Strong"/>
                <w:rFonts w:ascii="Arial" w:hAnsi="Arial" w:cs="Arial"/>
              </w:rPr>
              <w:t>S3</w:t>
            </w:r>
          </w:p>
        </w:tc>
        <w:tc>
          <w:tcPr>
            <w:tcW w:w="0" w:type="auto"/>
            <w:hideMark/>
          </w:tcPr>
          <w:p w14:paraId="3D5D366C" w14:textId="77777777" w:rsidR="00F017F3" w:rsidRPr="004E2C55" w:rsidRDefault="00F017F3" w:rsidP="008B4DDC">
            <w:pPr>
              <w:spacing w:line="480" w:lineRule="auto"/>
              <w:rPr>
                <w:rFonts w:ascii="Arial" w:hAnsi="Arial" w:cs="Arial"/>
              </w:rPr>
            </w:pPr>
            <w:r w:rsidRPr="004E2C55">
              <w:rPr>
                <w:rFonts w:ascii="Arial" w:hAnsi="Arial" w:cs="Arial"/>
              </w:rPr>
              <w:t>78.9</w:t>
            </w:r>
          </w:p>
        </w:tc>
        <w:tc>
          <w:tcPr>
            <w:tcW w:w="0" w:type="auto"/>
            <w:hideMark/>
          </w:tcPr>
          <w:p w14:paraId="3BFD9F95" w14:textId="77777777" w:rsidR="00F017F3" w:rsidRPr="004E2C55" w:rsidRDefault="00F017F3" w:rsidP="008B4DDC">
            <w:pPr>
              <w:spacing w:line="480" w:lineRule="auto"/>
              <w:rPr>
                <w:rFonts w:ascii="Arial" w:hAnsi="Arial" w:cs="Arial"/>
              </w:rPr>
            </w:pPr>
            <w:r w:rsidRPr="004E2C55">
              <w:rPr>
                <w:rFonts w:ascii="Arial" w:hAnsi="Arial" w:cs="Arial"/>
              </w:rPr>
              <w:t>62</w:t>
            </w:r>
          </w:p>
        </w:tc>
        <w:tc>
          <w:tcPr>
            <w:tcW w:w="0" w:type="auto"/>
            <w:hideMark/>
          </w:tcPr>
          <w:p w14:paraId="0BDFE283" w14:textId="77777777" w:rsidR="00F017F3" w:rsidRPr="004E2C55" w:rsidRDefault="00F017F3" w:rsidP="008B4DDC">
            <w:pPr>
              <w:spacing w:line="480" w:lineRule="auto"/>
              <w:rPr>
                <w:rFonts w:ascii="Arial" w:hAnsi="Arial" w:cs="Arial"/>
              </w:rPr>
            </w:pPr>
            <w:r w:rsidRPr="004E2C55">
              <w:rPr>
                <w:rFonts w:ascii="Arial" w:hAnsi="Arial" w:cs="Arial"/>
              </w:rPr>
              <w:t>6.2 × 10⁵</w:t>
            </w:r>
          </w:p>
        </w:tc>
        <w:tc>
          <w:tcPr>
            <w:tcW w:w="0" w:type="auto"/>
            <w:hideMark/>
          </w:tcPr>
          <w:p w14:paraId="270164BA" w14:textId="77777777" w:rsidR="00F017F3" w:rsidRPr="004E2C55" w:rsidRDefault="00F017F3" w:rsidP="008B4DDC">
            <w:pPr>
              <w:spacing w:line="480" w:lineRule="auto"/>
              <w:rPr>
                <w:rFonts w:ascii="Arial" w:hAnsi="Arial" w:cs="Arial"/>
              </w:rPr>
            </w:pPr>
            <w:r w:rsidRPr="004E2C55">
              <w:rPr>
                <w:rFonts w:ascii="Arial" w:hAnsi="Arial" w:cs="Arial"/>
              </w:rPr>
              <w:t>1.8 × 10⁶</w:t>
            </w:r>
          </w:p>
        </w:tc>
        <w:tc>
          <w:tcPr>
            <w:tcW w:w="0" w:type="auto"/>
            <w:hideMark/>
          </w:tcPr>
          <w:p w14:paraId="7B8202B1"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45AE394F"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bl>
    <w:p w14:paraId="0EB138C5" w14:textId="77777777" w:rsidR="00DE6608" w:rsidRPr="004E2C55" w:rsidRDefault="00DE6608" w:rsidP="008B4DDC">
      <w:pPr>
        <w:spacing w:after="0" w:line="480" w:lineRule="auto"/>
        <w:jc w:val="both"/>
        <w:rPr>
          <w:rFonts w:ascii="Arial" w:eastAsia="Times New Roman" w:hAnsi="Arial" w:cs="Arial"/>
          <w:lang w:eastAsia="en-IN"/>
        </w:rPr>
      </w:pPr>
    </w:p>
    <w:p w14:paraId="4B32B1A7" w14:textId="483AA14A"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w:t>
      </w:r>
      <w:r w:rsidR="004B6F04" w:rsidRPr="004E2C55">
        <w:rPr>
          <w:rFonts w:ascii="Arial" w:eastAsia="Times New Roman" w:hAnsi="Arial" w:cs="Arial"/>
          <w:b/>
          <w:bCs/>
          <w:lang w:eastAsia="en-IN"/>
        </w:rPr>
        <w:t>4</w:t>
      </w:r>
      <w:r w:rsidRPr="004E2C55">
        <w:rPr>
          <w:rFonts w:ascii="Arial" w:eastAsia="Times New Roman" w:hAnsi="Arial" w:cs="Arial"/>
          <w:b/>
          <w:bCs/>
          <w:lang w:eastAsia="en-IN"/>
        </w:rPr>
        <w:t xml:space="preserve"> Sensory Evaluation</w:t>
      </w:r>
    </w:p>
    <w:p w14:paraId="72D628A2" w14:textId="53DDA72B"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S1 scored highest in appearance (8.7 ± 0.4), aroma (8.6 ± 0.4), taste (8.5 ± 0.5), texture (8.4 ± 0.5), overall acceptability (8.5 ± 0.3). S2 and S3 were lower, with S3 penalized for bitterness and overly thick mouthfeel (Table</w:t>
      </w:r>
      <w:r w:rsidR="004B6F04" w:rsidRPr="004E2C55">
        <w:rPr>
          <w:rFonts w:ascii="Arial" w:eastAsia="Times New Roman" w:hAnsi="Arial" w:cs="Arial"/>
          <w:lang w:eastAsia="en-IN"/>
        </w:rPr>
        <w:t xml:space="preserve"> </w:t>
      </w:r>
      <w:r w:rsidR="00F017F3" w:rsidRPr="004E2C55">
        <w:rPr>
          <w:rFonts w:ascii="Arial" w:eastAsia="Times New Roman" w:hAnsi="Arial" w:cs="Arial"/>
          <w:lang w:eastAsia="en-IN"/>
        </w:rPr>
        <w:t>4</w:t>
      </w:r>
      <w:r w:rsidRPr="004E2C55">
        <w:rPr>
          <w:rFonts w:ascii="Arial" w:eastAsia="Times New Roman" w:hAnsi="Arial" w:cs="Arial"/>
          <w:lang w:eastAsia="en-IN"/>
        </w:rPr>
        <w:t>).</w:t>
      </w:r>
    </w:p>
    <w:p w14:paraId="1E578445" w14:textId="06AA527E" w:rsidR="004B6F04" w:rsidRPr="004E2C55" w:rsidRDefault="004B6F04"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Table</w:t>
      </w:r>
      <w:r w:rsidR="0009593F" w:rsidRPr="004E2C55">
        <w:rPr>
          <w:rFonts w:ascii="Arial" w:eastAsia="Times New Roman" w:hAnsi="Arial" w:cs="Arial"/>
          <w:b/>
          <w:lang w:eastAsia="en-IN"/>
        </w:rPr>
        <w:t xml:space="preserve"> </w:t>
      </w:r>
      <w:r w:rsidR="00167ACE">
        <w:rPr>
          <w:rFonts w:ascii="Arial" w:eastAsia="Times New Roman" w:hAnsi="Arial" w:cs="Arial"/>
          <w:b/>
          <w:lang w:eastAsia="en-IN"/>
        </w:rPr>
        <w:t>4</w:t>
      </w:r>
      <w:r w:rsidRPr="004E2C55">
        <w:rPr>
          <w:rFonts w:ascii="Arial" w:eastAsia="Times New Roman" w:hAnsi="Arial" w:cs="Arial"/>
          <w:b/>
          <w:lang w:eastAsia="en-IN"/>
        </w:rPr>
        <w:t>:</w:t>
      </w:r>
      <w:r w:rsidR="007446D6" w:rsidRPr="004E2C55">
        <w:rPr>
          <w:rFonts w:ascii="Arial" w:eastAsia="Times New Roman" w:hAnsi="Arial" w:cs="Arial"/>
          <w:b/>
          <w:lang w:eastAsia="en-IN"/>
        </w:rPr>
        <w:t xml:space="preserve"> Sensory analysis of </w:t>
      </w:r>
      <w:r w:rsidR="0009593F" w:rsidRPr="004E2C55">
        <w:rPr>
          <w:rFonts w:ascii="Arial" w:hAnsi="Arial" w:cs="Arial"/>
          <w:b/>
          <w:spacing w:val="-2"/>
        </w:rPr>
        <w:t>Vegan</w:t>
      </w:r>
      <w:r w:rsidR="0009593F" w:rsidRPr="004E2C55">
        <w:rPr>
          <w:rFonts w:ascii="Arial" w:hAnsi="Arial" w:cs="Arial"/>
          <w:b/>
          <w:spacing w:val="-12"/>
        </w:rPr>
        <w:t xml:space="preserve"> </w:t>
      </w:r>
      <w:r w:rsidR="0009593F" w:rsidRPr="004E2C55">
        <w:rPr>
          <w:rFonts w:ascii="Arial" w:hAnsi="Arial" w:cs="Arial"/>
          <w:b/>
          <w:spacing w:val="-2"/>
        </w:rPr>
        <w:t>Oat</w:t>
      </w:r>
      <w:r w:rsidR="0009593F" w:rsidRPr="004E2C55">
        <w:rPr>
          <w:rFonts w:ascii="Arial" w:hAnsi="Arial" w:cs="Arial"/>
          <w:b/>
          <w:spacing w:val="-10"/>
        </w:rPr>
        <w:t xml:space="preserve"> </w:t>
      </w:r>
      <w:r w:rsidR="0009593F" w:rsidRPr="004E2C55">
        <w:rPr>
          <w:rFonts w:ascii="Arial" w:hAnsi="Arial" w:cs="Arial"/>
          <w:b/>
          <w:spacing w:val="-2"/>
        </w:rPr>
        <w:t>Milk</w:t>
      </w:r>
      <w:r w:rsidR="0009593F" w:rsidRPr="004E2C55">
        <w:rPr>
          <w:rFonts w:ascii="Arial" w:hAnsi="Arial" w:cs="Arial"/>
          <w:b/>
          <w:spacing w:val="-7"/>
        </w:rPr>
        <w:t xml:space="preserve"> </w:t>
      </w:r>
      <w:r w:rsidR="0009593F" w:rsidRPr="004E2C55">
        <w:rPr>
          <w:rFonts w:ascii="Arial" w:hAnsi="Arial" w:cs="Arial"/>
          <w:b/>
          <w:spacing w:val="-4"/>
        </w:rPr>
        <w:t>Lassi (S1, S2 and S3 samples)</w:t>
      </w:r>
    </w:p>
    <w:tbl>
      <w:tblPr>
        <w:tblStyle w:val="TableGridLight"/>
        <w:tblW w:w="0" w:type="auto"/>
        <w:tblLook w:val="04A0" w:firstRow="1" w:lastRow="0" w:firstColumn="1" w:lastColumn="0" w:noHBand="0" w:noVBand="1"/>
      </w:tblPr>
      <w:tblGrid>
        <w:gridCol w:w="2254"/>
        <w:gridCol w:w="2254"/>
        <w:gridCol w:w="2254"/>
        <w:gridCol w:w="2254"/>
      </w:tblGrid>
      <w:tr w:rsidR="004B6F04" w:rsidRPr="004E2C55" w14:paraId="1A72651F" w14:textId="77777777" w:rsidTr="00330447">
        <w:tc>
          <w:tcPr>
            <w:tcW w:w="2254" w:type="dxa"/>
          </w:tcPr>
          <w:p w14:paraId="746517A1" w14:textId="718F1BAE"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Attribute</w:t>
            </w:r>
          </w:p>
        </w:tc>
        <w:tc>
          <w:tcPr>
            <w:tcW w:w="2254" w:type="dxa"/>
          </w:tcPr>
          <w:p w14:paraId="65487279" w14:textId="1A25CAD0"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S1</w:t>
            </w:r>
          </w:p>
        </w:tc>
        <w:tc>
          <w:tcPr>
            <w:tcW w:w="2254" w:type="dxa"/>
          </w:tcPr>
          <w:p w14:paraId="275C76E2" w14:textId="36E256E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S2</w:t>
            </w:r>
          </w:p>
        </w:tc>
        <w:tc>
          <w:tcPr>
            <w:tcW w:w="2254" w:type="dxa"/>
          </w:tcPr>
          <w:p w14:paraId="2149774C" w14:textId="242D488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S3</w:t>
            </w:r>
          </w:p>
        </w:tc>
      </w:tr>
      <w:tr w:rsidR="004B6F04" w:rsidRPr="004E2C55" w14:paraId="03E47D9D" w14:textId="77777777" w:rsidTr="00330447">
        <w:tc>
          <w:tcPr>
            <w:tcW w:w="2254" w:type="dxa"/>
          </w:tcPr>
          <w:p w14:paraId="319E06D1" w14:textId="222C50C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Appearance</w:t>
            </w:r>
          </w:p>
        </w:tc>
        <w:tc>
          <w:tcPr>
            <w:tcW w:w="2254" w:type="dxa"/>
          </w:tcPr>
          <w:p w14:paraId="16784E61" w14:textId="19242D4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8.7 ± 0.4</w:t>
            </w:r>
          </w:p>
        </w:tc>
        <w:tc>
          <w:tcPr>
            <w:tcW w:w="2254" w:type="dxa"/>
          </w:tcPr>
          <w:p w14:paraId="20639989" w14:textId="1BE9B2BE"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7.8 ± 0.6</w:t>
            </w:r>
          </w:p>
        </w:tc>
        <w:tc>
          <w:tcPr>
            <w:tcW w:w="2254" w:type="dxa"/>
          </w:tcPr>
          <w:p w14:paraId="2805DC63" w14:textId="6F7AF478"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6.9 ± 0.7</w:t>
            </w:r>
          </w:p>
        </w:tc>
      </w:tr>
      <w:tr w:rsidR="004B6F04" w:rsidRPr="004E2C55" w14:paraId="7200FB33" w14:textId="77777777" w:rsidTr="00330447">
        <w:tc>
          <w:tcPr>
            <w:tcW w:w="2254" w:type="dxa"/>
          </w:tcPr>
          <w:p w14:paraId="6FB393A0" w14:textId="6B4B8FA4"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Aroma</w:t>
            </w:r>
          </w:p>
        </w:tc>
        <w:tc>
          <w:tcPr>
            <w:tcW w:w="2254" w:type="dxa"/>
          </w:tcPr>
          <w:p w14:paraId="573345AD" w14:textId="4CD287C1"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8.6 ± 0.4</w:t>
            </w:r>
          </w:p>
        </w:tc>
        <w:tc>
          <w:tcPr>
            <w:tcW w:w="2254" w:type="dxa"/>
          </w:tcPr>
          <w:p w14:paraId="6504F50E" w14:textId="43AED6A6"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7.5 ± 0.8</w:t>
            </w:r>
          </w:p>
        </w:tc>
        <w:tc>
          <w:tcPr>
            <w:tcW w:w="2254" w:type="dxa"/>
          </w:tcPr>
          <w:p w14:paraId="0A3A19EB" w14:textId="256D687C"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6.5 ± 0.9</w:t>
            </w:r>
          </w:p>
        </w:tc>
      </w:tr>
      <w:tr w:rsidR="004B6F04" w:rsidRPr="004E2C55" w14:paraId="19E60712" w14:textId="77777777" w:rsidTr="00330447">
        <w:tc>
          <w:tcPr>
            <w:tcW w:w="2254" w:type="dxa"/>
          </w:tcPr>
          <w:p w14:paraId="2AB1C186" w14:textId="0418D02D"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Taste</w:t>
            </w:r>
          </w:p>
        </w:tc>
        <w:tc>
          <w:tcPr>
            <w:tcW w:w="2254" w:type="dxa"/>
          </w:tcPr>
          <w:p w14:paraId="0059FE09" w14:textId="46F6F503"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0.5</w:t>
            </w:r>
          </w:p>
        </w:tc>
        <w:tc>
          <w:tcPr>
            <w:tcW w:w="2254" w:type="dxa"/>
          </w:tcPr>
          <w:p w14:paraId="17735645" w14:textId="0B224371"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7.2 ± 0.7</w:t>
            </w:r>
          </w:p>
        </w:tc>
        <w:tc>
          <w:tcPr>
            <w:tcW w:w="2254" w:type="dxa"/>
          </w:tcPr>
          <w:p w14:paraId="3EC154FB" w14:textId="3C82073D"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5.9 ± 1.0</w:t>
            </w:r>
          </w:p>
        </w:tc>
      </w:tr>
      <w:tr w:rsidR="004B6F04" w:rsidRPr="004E2C55" w14:paraId="57907A9C" w14:textId="77777777" w:rsidTr="00330447">
        <w:tc>
          <w:tcPr>
            <w:tcW w:w="2254" w:type="dxa"/>
          </w:tcPr>
          <w:p w14:paraId="28A9FA15" w14:textId="4221DE3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Texture / Mouthfeel</w:t>
            </w:r>
          </w:p>
        </w:tc>
        <w:tc>
          <w:tcPr>
            <w:tcW w:w="2254" w:type="dxa"/>
          </w:tcPr>
          <w:p w14:paraId="1BEBC87B" w14:textId="2856BB80"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8.4 ± 0.5</w:t>
            </w:r>
          </w:p>
        </w:tc>
        <w:tc>
          <w:tcPr>
            <w:tcW w:w="2254" w:type="dxa"/>
          </w:tcPr>
          <w:p w14:paraId="3F76C9C9" w14:textId="2263D6F9"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7.0 ± 0.7</w:t>
            </w:r>
          </w:p>
        </w:tc>
        <w:tc>
          <w:tcPr>
            <w:tcW w:w="2254" w:type="dxa"/>
          </w:tcPr>
          <w:p w14:paraId="4B27F936" w14:textId="6B3ACE25"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6.2 ± 0.8</w:t>
            </w:r>
          </w:p>
        </w:tc>
      </w:tr>
      <w:tr w:rsidR="004B6F04" w:rsidRPr="004E2C55" w14:paraId="65430927" w14:textId="77777777" w:rsidTr="00330447">
        <w:tc>
          <w:tcPr>
            <w:tcW w:w="2254" w:type="dxa"/>
          </w:tcPr>
          <w:p w14:paraId="5CBCA563" w14:textId="04BD0B72"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Overall Acceptability</w:t>
            </w:r>
          </w:p>
        </w:tc>
        <w:tc>
          <w:tcPr>
            <w:tcW w:w="2254" w:type="dxa"/>
          </w:tcPr>
          <w:p w14:paraId="4C21A453" w14:textId="636CC424"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0.3</w:t>
            </w:r>
          </w:p>
        </w:tc>
        <w:tc>
          <w:tcPr>
            <w:tcW w:w="2254" w:type="dxa"/>
          </w:tcPr>
          <w:p w14:paraId="41A9EA6E" w14:textId="5EAD8DF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7.2 ± 0.5</w:t>
            </w:r>
          </w:p>
        </w:tc>
        <w:tc>
          <w:tcPr>
            <w:tcW w:w="2254" w:type="dxa"/>
          </w:tcPr>
          <w:p w14:paraId="2E93557B" w14:textId="432C245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6.1 ± 0.7</w:t>
            </w:r>
          </w:p>
        </w:tc>
      </w:tr>
    </w:tbl>
    <w:p w14:paraId="163BF8ED" w14:textId="77777777" w:rsidR="004B6F04" w:rsidRPr="004E2C55" w:rsidRDefault="004B6F04" w:rsidP="008B4DDC">
      <w:pPr>
        <w:pStyle w:val="NormalWeb"/>
        <w:spacing w:before="0" w:beforeAutospacing="0" w:after="0" w:afterAutospacing="0" w:line="480" w:lineRule="auto"/>
        <w:jc w:val="both"/>
        <w:rPr>
          <w:rFonts w:ascii="Arial" w:hAnsi="Arial" w:cs="Arial"/>
          <w:sz w:val="22"/>
          <w:szCs w:val="22"/>
        </w:rPr>
      </w:pPr>
      <w:r w:rsidRPr="004E2C55">
        <w:rPr>
          <w:rFonts w:ascii="Arial" w:hAnsi="Arial" w:cs="Arial"/>
          <w:sz w:val="22"/>
          <w:szCs w:val="22"/>
        </w:rPr>
        <w:lastRenderedPageBreak/>
        <w:t>S1 was judged significantly (p &lt; 0.05) more acceptable in taste, aroma, appearance and overall acceptability than S2 &amp; S3. S3 was least acceptable due to bitterness and thick texture.</w:t>
      </w:r>
    </w:p>
    <w:p w14:paraId="1DB45F21"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4. Discussion</w:t>
      </w:r>
    </w:p>
    <w:p w14:paraId="2BB231D5" w14:textId="692E9055" w:rsidR="000F0C18" w:rsidRPr="004E2C55" w:rsidRDefault="00D163E3" w:rsidP="008B4DDC">
      <w:pPr>
        <w:spacing w:after="0" w:line="480" w:lineRule="auto"/>
        <w:ind w:right="45"/>
        <w:jc w:val="both"/>
        <w:rPr>
          <w:rFonts w:ascii="Arial" w:eastAsia="Times New Roman" w:hAnsi="Arial" w:cs="Arial"/>
          <w:color w:val="222222"/>
          <w:shd w:val="clear" w:color="auto" w:fill="FFFFFF"/>
          <w:lang w:eastAsia="en-IN"/>
        </w:rPr>
      </w:pPr>
      <w:r w:rsidRPr="004E2C55">
        <w:rPr>
          <w:rFonts w:ascii="Arial" w:hAnsi="Arial" w:cs="Arial"/>
        </w:rPr>
        <w:t xml:space="preserve">The increasing consumer demand for plant-based dairy alternatives has stimulated research into the nutritional characterization of oat-derived beverages, including traditional dairy analogues and fermented products such as lassi. Oat-based beverages and derivatives have been extensively studied due to their potential health benefits, particularly regarding carbohydrate composition, β-glucan content, and functional dietary </w:t>
      </w:r>
      <w:proofErr w:type="spellStart"/>
      <w:r w:rsidRPr="004E2C55">
        <w:rPr>
          <w:rFonts w:ascii="Arial" w:hAnsi="Arial" w:cs="Arial"/>
        </w:rPr>
        <w:t>fiber</w:t>
      </w:r>
      <w:proofErr w:type="spellEnd"/>
      <w:r w:rsidRPr="004E2C55">
        <w:rPr>
          <w:rFonts w:ascii="Arial" w:hAnsi="Arial" w:cs="Arial"/>
        </w:rPr>
        <w:t xml:space="preserve"> (</w:t>
      </w:r>
      <w:r w:rsidRPr="0052566C">
        <w:rPr>
          <w:rFonts w:ascii="Arial" w:hAnsi="Arial" w:cs="Arial"/>
          <w:b/>
        </w:rPr>
        <w:t xml:space="preserve">Zhou </w:t>
      </w:r>
      <w:r w:rsidRPr="0052566C">
        <w:rPr>
          <w:rFonts w:ascii="Arial" w:hAnsi="Arial" w:cs="Arial"/>
          <w:b/>
          <w:i/>
        </w:rPr>
        <w:t>et al.</w:t>
      </w:r>
      <w:r w:rsidRPr="0052566C">
        <w:rPr>
          <w:rFonts w:ascii="Arial" w:hAnsi="Arial" w:cs="Arial"/>
          <w:b/>
        </w:rPr>
        <w:t>, 2023</w:t>
      </w:r>
      <w:r w:rsidRPr="004E2C55">
        <w:rPr>
          <w:rFonts w:ascii="Arial" w:hAnsi="Arial" w:cs="Arial"/>
        </w:rPr>
        <w:t xml:space="preserve">).  </w:t>
      </w:r>
      <w:r w:rsidR="001C6EEB" w:rsidRPr="004E2C55">
        <w:rPr>
          <w:rFonts w:ascii="Arial" w:hAnsi="Arial" w:cs="Arial"/>
        </w:rPr>
        <w:t xml:space="preserve">The present study indicates that increasing ashwagandha levels enhances functional properties (TPC, antioxidant activity) but also increases ash content, viscosity, and induces bitter taste, reducing sensory score. Similar trade-offs have been reported in studies fortifying oat milk with β-glucan or protein, where sensory acceptance dropped once functional additive levels exceeded a threshold. </w:t>
      </w:r>
      <w:r w:rsidR="0005230A" w:rsidRPr="004E2C55">
        <w:rPr>
          <w:rFonts w:ascii="Arial" w:eastAsia="Times New Roman" w:hAnsi="Arial" w:cs="Arial"/>
          <w:color w:val="222222"/>
          <w:shd w:val="clear" w:color="auto" w:fill="FFFFFF"/>
          <w:lang w:eastAsia="en-IN"/>
        </w:rPr>
        <w:t> </w:t>
      </w:r>
      <w:r w:rsidR="0005230A" w:rsidRPr="0052566C">
        <w:rPr>
          <w:rFonts w:ascii="Arial" w:eastAsia="Times New Roman" w:hAnsi="Arial" w:cs="Arial"/>
          <w:b/>
          <w:bCs/>
          <w:shd w:val="clear" w:color="auto" w:fill="FFFFFF"/>
          <w:lang w:eastAsia="en-IN"/>
        </w:rPr>
        <w:t xml:space="preserve">Christy </w:t>
      </w:r>
      <w:proofErr w:type="spellStart"/>
      <w:r w:rsidR="0005230A" w:rsidRPr="0052566C">
        <w:rPr>
          <w:rFonts w:ascii="Arial" w:eastAsia="Times New Roman" w:hAnsi="Arial" w:cs="Arial"/>
          <w:b/>
          <w:bCs/>
          <w:shd w:val="clear" w:color="auto" w:fill="FFFFFF"/>
          <w:lang w:eastAsia="en-IN"/>
        </w:rPr>
        <w:t>Alsado</w:t>
      </w:r>
      <w:proofErr w:type="spellEnd"/>
      <w:r w:rsidR="0005230A" w:rsidRPr="0052566C">
        <w:rPr>
          <w:rFonts w:ascii="Arial" w:eastAsia="Times New Roman" w:hAnsi="Arial" w:cs="Arial"/>
          <w:b/>
          <w:bCs/>
          <w:lang w:eastAsia="en-IN"/>
        </w:rPr>
        <w:t xml:space="preserve"> </w:t>
      </w:r>
      <w:r w:rsidR="0005230A" w:rsidRPr="0052566C">
        <w:rPr>
          <w:rFonts w:ascii="Arial" w:eastAsia="Times New Roman" w:hAnsi="Arial" w:cs="Arial"/>
          <w:b/>
          <w:bCs/>
          <w:i/>
          <w:lang w:eastAsia="en-IN"/>
        </w:rPr>
        <w:t>et al,</w:t>
      </w:r>
      <w:r w:rsidR="0005230A" w:rsidRPr="0052566C">
        <w:rPr>
          <w:rFonts w:ascii="Arial" w:eastAsia="Times New Roman" w:hAnsi="Arial" w:cs="Arial"/>
          <w:b/>
          <w:bCs/>
          <w:lang w:eastAsia="en-IN"/>
        </w:rPr>
        <w:t xml:space="preserve"> 2023</w:t>
      </w:r>
      <w:r w:rsidR="0005230A" w:rsidRPr="004E2C55">
        <w:rPr>
          <w:rFonts w:ascii="Arial" w:eastAsia="Times New Roman" w:hAnsi="Arial" w:cs="Arial"/>
          <w:b/>
          <w:bCs/>
          <w:color w:val="4F5671"/>
          <w:lang w:eastAsia="en-IN"/>
        </w:rPr>
        <w:t xml:space="preserve"> </w:t>
      </w:r>
      <w:r w:rsidR="001C6EEB" w:rsidRPr="004E2C55">
        <w:rPr>
          <w:rFonts w:ascii="Arial" w:hAnsi="Arial" w:cs="Arial"/>
        </w:rPr>
        <w:t>demonstrated that adding β-glucan increased perceived thickness but that high protein levels decreased acceptability</w:t>
      </w:r>
      <w:r w:rsidR="0005230A" w:rsidRPr="004E2C55">
        <w:rPr>
          <w:rFonts w:ascii="Arial" w:eastAsia="Times New Roman" w:hAnsi="Arial" w:cs="Arial"/>
          <w:b/>
          <w:bCs/>
          <w:color w:val="4F5671"/>
          <w:lang w:eastAsia="en-IN"/>
        </w:rPr>
        <w:t xml:space="preserve">. </w:t>
      </w:r>
      <w:r w:rsidR="000F0C18" w:rsidRPr="004E2C55">
        <w:rPr>
          <w:rFonts w:ascii="Arial" w:eastAsia="Times New Roman" w:hAnsi="Arial" w:cs="Arial"/>
          <w:lang w:eastAsia="en-IN"/>
        </w:rPr>
        <w:t>The trade-off between increased functional (antioxidant) benefits and sensory acceptability is evident: ashwagandha addition raised phenolic and antioxidant levels but also ash, viscosity and bitterness</w:t>
      </w:r>
      <w:r w:rsidR="004B6F04" w:rsidRPr="004E2C55">
        <w:rPr>
          <w:rFonts w:ascii="Arial" w:eastAsia="Times New Roman" w:hAnsi="Arial" w:cs="Arial"/>
          <w:lang w:eastAsia="en-IN"/>
        </w:rPr>
        <w:t xml:space="preserve"> which</w:t>
      </w:r>
      <w:r w:rsidR="000F0C18" w:rsidRPr="004E2C55">
        <w:rPr>
          <w:rFonts w:ascii="Arial" w:eastAsia="Times New Roman" w:hAnsi="Arial" w:cs="Arial"/>
          <w:lang w:eastAsia="en-IN"/>
        </w:rPr>
        <w:t xml:space="preserve"> reducing panel scores. </w:t>
      </w:r>
      <w:r w:rsidR="009B47BD" w:rsidRPr="004E2C55">
        <w:rPr>
          <w:rFonts w:ascii="Arial" w:hAnsi="Arial" w:cs="Arial"/>
        </w:rPr>
        <w:t>This is similar to what has been observed in fortified oat milks</w:t>
      </w:r>
      <w:r w:rsidR="00712F59" w:rsidRPr="004E2C55">
        <w:rPr>
          <w:rFonts w:ascii="Arial" w:hAnsi="Arial" w:cs="Arial"/>
        </w:rPr>
        <w:t xml:space="preserve"> </w:t>
      </w:r>
      <w:r w:rsidR="009B47BD" w:rsidRPr="004E2C55">
        <w:rPr>
          <w:rFonts w:ascii="Arial" w:hAnsi="Arial" w:cs="Arial"/>
        </w:rPr>
        <w:t xml:space="preserve">up to a point, fortification enhances appeal, but if too much is added like extra protein, aspects like </w:t>
      </w:r>
      <w:proofErr w:type="spellStart"/>
      <w:r w:rsidR="009B47BD" w:rsidRPr="004E2C55">
        <w:rPr>
          <w:rFonts w:ascii="Arial" w:hAnsi="Arial" w:cs="Arial"/>
        </w:rPr>
        <w:t>flavor</w:t>
      </w:r>
      <w:proofErr w:type="spellEnd"/>
      <w:r w:rsidR="009B47BD" w:rsidRPr="004E2C55">
        <w:rPr>
          <w:rFonts w:ascii="Arial" w:hAnsi="Arial" w:cs="Arial"/>
        </w:rPr>
        <w:t xml:space="preserve"> intensity, texture become excessive and overall liking drops</w:t>
      </w:r>
      <w:r w:rsidR="000F0C18" w:rsidRPr="004E2C55">
        <w:rPr>
          <w:rFonts w:ascii="Arial" w:eastAsia="Times New Roman" w:hAnsi="Arial" w:cs="Arial"/>
          <w:lang w:eastAsia="en-IN"/>
        </w:rPr>
        <w:t xml:space="preserve"> (</w:t>
      </w:r>
      <w:proofErr w:type="spellStart"/>
      <w:r w:rsidR="000F0C18" w:rsidRPr="0052566C">
        <w:rPr>
          <w:rFonts w:ascii="Arial" w:eastAsia="Times New Roman" w:hAnsi="Arial" w:cs="Arial"/>
          <w:b/>
          <w:lang w:eastAsia="en-IN"/>
        </w:rPr>
        <w:t>Babolanimogadam</w:t>
      </w:r>
      <w:proofErr w:type="spellEnd"/>
      <w:r w:rsidR="000F0C18" w:rsidRPr="0052566C">
        <w:rPr>
          <w:rFonts w:ascii="Arial" w:eastAsia="Times New Roman" w:hAnsi="Arial" w:cs="Arial"/>
          <w:b/>
          <w:lang w:eastAsia="en-IN"/>
        </w:rPr>
        <w:t xml:space="preserve"> </w:t>
      </w:r>
      <w:r w:rsidR="000F0C18" w:rsidRPr="0052566C">
        <w:rPr>
          <w:rFonts w:ascii="Arial" w:eastAsia="Times New Roman" w:hAnsi="Arial" w:cs="Arial"/>
          <w:b/>
          <w:i/>
          <w:lang w:eastAsia="en-IN"/>
        </w:rPr>
        <w:t>et al.,</w:t>
      </w:r>
      <w:r w:rsidR="000F0C18" w:rsidRPr="0052566C">
        <w:rPr>
          <w:rFonts w:ascii="Arial" w:eastAsia="Times New Roman" w:hAnsi="Arial" w:cs="Arial"/>
          <w:b/>
          <w:lang w:eastAsia="en-IN"/>
        </w:rPr>
        <w:t xml:space="preserve"> 2023</w:t>
      </w:r>
      <w:r w:rsidR="000F0C18" w:rsidRPr="004E2C55">
        <w:rPr>
          <w:rFonts w:ascii="Arial" w:eastAsia="Times New Roman" w:hAnsi="Arial" w:cs="Arial"/>
          <w:lang w:eastAsia="en-IN"/>
        </w:rPr>
        <w:t>).</w:t>
      </w:r>
    </w:p>
    <w:p w14:paraId="08855634" w14:textId="4F2B6578" w:rsidR="00DE6608" w:rsidRPr="004E2C55" w:rsidRDefault="00E45C4F" w:rsidP="008B4DDC">
      <w:pPr>
        <w:spacing w:after="0" w:line="480" w:lineRule="auto"/>
        <w:jc w:val="both"/>
        <w:rPr>
          <w:rFonts w:ascii="Arial" w:eastAsia="Times New Roman" w:hAnsi="Arial" w:cs="Arial"/>
          <w:lang w:eastAsia="en-IN"/>
        </w:rPr>
      </w:pPr>
      <w:r w:rsidRPr="004E2C55">
        <w:rPr>
          <w:rFonts w:ascii="Arial" w:hAnsi="Arial" w:cs="Arial"/>
        </w:rPr>
        <w:t xml:space="preserve">In the study </w:t>
      </w:r>
      <w:r w:rsidRPr="0052566C">
        <w:rPr>
          <w:rFonts w:ascii="Arial" w:hAnsi="Arial" w:cs="Arial"/>
          <w:b/>
        </w:rPr>
        <w:t xml:space="preserve">Vahini </w:t>
      </w:r>
      <w:r w:rsidRPr="0052566C">
        <w:rPr>
          <w:rFonts w:ascii="Arial" w:hAnsi="Arial" w:cs="Arial"/>
          <w:b/>
          <w:i/>
        </w:rPr>
        <w:t>et al</w:t>
      </w:r>
      <w:r w:rsidRPr="0052566C">
        <w:rPr>
          <w:rFonts w:ascii="Arial" w:hAnsi="Arial" w:cs="Arial"/>
          <w:b/>
        </w:rPr>
        <w:t>., 2025</w:t>
      </w:r>
      <w:r w:rsidRPr="004E2C55">
        <w:rPr>
          <w:rFonts w:ascii="Arial" w:hAnsi="Arial" w:cs="Arial"/>
        </w:rPr>
        <w:t xml:space="preserve"> t</w:t>
      </w:r>
      <w:r w:rsidR="00DE6608" w:rsidRPr="004E2C55">
        <w:rPr>
          <w:rFonts w:ascii="Arial" w:hAnsi="Arial" w:cs="Arial"/>
        </w:rPr>
        <w:t xml:space="preserve">he pH of the sesame-cow’s milk lassi was (4.32 ± 1.15), the pH value of the </w:t>
      </w:r>
      <w:r w:rsidRPr="004E2C55">
        <w:rPr>
          <w:rFonts w:ascii="Arial" w:hAnsi="Arial" w:cs="Arial"/>
        </w:rPr>
        <w:t xml:space="preserve">cow milk lassi </w:t>
      </w:r>
      <w:r w:rsidR="00DE6608" w:rsidRPr="004E2C55">
        <w:rPr>
          <w:rFonts w:ascii="Arial" w:hAnsi="Arial" w:cs="Arial"/>
        </w:rPr>
        <w:t>(4.25 ± 1.89</w:t>
      </w:r>
      <w:r w:rsidRPr="004E2C55">
        <w:rPr>
          <w:rFonts w:ascii="Arial" w:hAnsi="Arial" w:cs="Arial"/>
        </w:rPr>
        <w:t xml:space="preserve">) showed lesser than our values (4.8) in </w:t>
      </w:r>
      <w:r w:rsidRPr="004E2C55">
        <w:rPr>
          <w:rFonts w:ascii="Arial" w:hAnsi="Arial" w:cs="Arial"/>
          <w:spacing w:val="-2"/>
        </w:rPr>
        <w:t>Vegan</w:t>
      </w:r>
      <w:r w:rsidRPr="004E2C55">
        <w:rPr>
          <w:rFonts w:ascii="Arial" w:hAnsi="Arial" w:cs="Arial"/>
          <w:spacing w:val="-12"/>
        </w:rPr>
        <w:t xml:space="preserve"> </w:t>
      </w:r>
      <w:r w:rsidRPr="004E2C55">
        <w:rPr>
          <w:rFonts w:ascii="Arial" w:hAnsi="Arial" w:cs="Arial"/>
          <w:spacing w:val="-2"/>
        </w:rPr>
        <w:t>Oat</w:t>
      </w:r>
      <w:r w:rsidRPr="004E2C55">
        <w:rPr>
          <w:rFonts w:ascii="Arial" w:hAnsi="Arial" w:cs="Arial"/>
          <w:spacing w:val="-10"/>
        </w:rPr>
        <w:t xml:space="preserve"> </w:t>
      </w:r>
      <w:r w:rsidRPr="004E2C55">
        <w:rPr>
          <w:rFonts w:ascii="Arial" w:hAnsi="Arial" w:cs="Arial"/>
          <w:spacing w:val="-2"/>
        </w:rPr>
        <w:t>Milk</w:t>
      </w:r>
      <w:r w:rsidRPr="004E2C55">
        <w:rPr>
          <w:rFonts w:ascii="Arial" w:hAnsi="Arial" w:cs="Arial"/>
          <w:spacing w:val="-7"/>
        </w:rPr>
        <w:t xml:space="preserve"> </w:t>
      </w:r>
      <w:r w:rsidRPr="004E2C55">
        <w:rPr>
          <w:rFonts w:ascii="Arial" w:hAnsi="Arial" w:cs="Arial"/>
          <w:spacing w:val="-4"/>
        </w:rPr>
        <w:t xml:space="preserve">Lassi. </w:t>
      </w:r>
      <w:r w:rsidR="002A03C1" w:rsidRPr="004E2C55">
        <w:rPr>
          <w:rFonts w:ascii="Arial" w:hAnsi="Arial" w:cs="Arial"/>
        </w:rPr>
        <w:t>Moisture content in plant-based milk alternatives is generally high due to their predominantly aqueous composition, which is influenced by formulation and processing parameters. Oat drinks commonly exhibit moisture ranges above 85%, consistent with extensive panel studies of plant-based analogues (</w:t>
      </w:r>
      <w:proofErr w:type="spellStart"/>
      <w:r w:rsidR="002A03C1" w:rsidRPr="00167ACE">
        <w:rPr>
          <w:rFonts w:ascii="Arial" w:hAnsi="Arial" w:cs="Arial"/>
          <w:b/>
        </w:rPr>
        <w:t>Babolanimogadam</w:t>
      </w:r>
      <w:proofErr w:type="spellEnd"/>
      <w:r w:rsidR="002A03C1" w:rsidRPr="00167ACE">
        <w:rPr>
          <w:rFonts w:ascii="Arial" w:hAnsi="Arial" w:cs="Arial"/>
          <w:b/>
        </w:rPr>
        <w:t xml:space="preserve"> et al., 2023</w:t>
      </w:r>
      <w:r w:rsidR="002A03C1" w:rsidRPr="004E2C55">
        <w:rPr>
          <w:rFonts w:ascii="Arial" w:hAnsi="Arial" w:cs="Arial"/>
        </w:rPr>
        <w:t xml:space="preserve">). This high moisture is of cereal-based beverages and is vital for mouthfeel and sensory acceptability. </w:t>
      </w:r>
      <w:r w:rsidR="002A03C1" w:rsidRPr="004E2C55">
        <w:rPr>
          <w:rFonts w:ascii="Arial" w:hAnsi="Arial" w:cs="Arial"/>
        </w:rPr>
        <w:lastRenderedPageBreak/>
        <w:t>Comparatively, Present study oat milk lassi samples demonstrate similar hydration levels, reflecting substantial water binding and appropriate dilution prior to fermentation.</w:t>
      </w:r>
    </w:p>
    <w:p w14:paraId="6E2E7EBC" w14:textId="310EFD9E"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Fermentation by LAB influences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development and can mitigate off-flavours in plant milks (</w:t>
      </w:r>
      <w:proofErr w:type="spellStart"/>
      <w:r w:rsidRPr="0052566C">
        <w:rPr>
          <w:rFonts w:ascii="Arial" w:eastAsia="Times New Roman" w:hAnsi="Arial" w:cs="Arial"/>
          <w:b/>
          <w:lang w:eastAsia="en-IN"/>
        </w:rPr>
        <w:t>Tangyu</w:t>
      </w:r>
      <w:proofErr w:type="spellEnd"/>
      <w:r w:rsidRPr="0052566C">
        <w:rPr>
          <w:rFonts w:ascii="Arial" w:eastAsia="Times New Roman" w:hAnsi="Arial" w:cs="Arial"/>
          <w:b/>
          <w:lang w:eastAsia="en-IN"/>
        </w:rPr>
        <w:t xml:space="preserve"> </w:t>
      </w:r>
      <w:r w:rsidRPr="0052566C">
        <w:rPr>
          <w:rFonts w:ascii="Arial" w:eastAsia="Times New Roman" w:hAnsi="Arial" w:cs="Arial"/>
          <w:b/>
          <w:i/>
          <w:lang w:eastAsia="en-IN"/>
        </w:rPr>
        <w:t>et al.</w:t>
      </w:r>
      <w:r w:rsidRPr="0052566C">
        <w:rPr>
          <w:rFonts w:ascii="Arial" w:eastAsia="Times New Roman" w:hAnsi="Arial" w:cs="Arial"/>
          <w:b/>
          <w:lang w:eastAsia="en-IN"/>
        </w:rPr>
        <w:t xml:space="preserve"> 2023</w:t>
      </w:r>
      <w:r w:rsidRPr="004E2C55">
        <w:rPr>
          <w:rFonts w:ascii="Arial" w:eastAsia="Times New Roman" w:hAnsi="Arial" w:cs="Arial"/>
          <w:lang w:eastAsia="en-IN"/>
        </w:rPr>
        <w:t>). Indeed, effective strain selection (</w:t>
      </w:r>
      <w:r w:rsidRPr="004E2C55">
        <w:rPr>
          <w:rFonts w:ascii="Arial" w:eastAsia="Times New Roman" w:hAnsi="Arial" w:cs="Arial"/>
          <w:i/>
          <w:iCs/>
          <w:lang w:eastAsia="en-IN"/>
        </w:rPr>
        <w:t>S. thermophilus</w:t>
      </w:r>
      <w:r w:rsidRPr="004E2C55">
        <w:rPr>
          <w:rFonts w:ascii="Arial" w:eastAsia="Times New Roman" w:hAnsi="Arial" w:cs="Arial"/>
          <w:lang w:eastAsia="en-IN"/>
        </w:rPr>
        <w:t>) may help optimize aroma and acceptability.</w:t>
      </w:r>
    </w:p>
    <w:p w14:paraId="6A9D276B" w14:textId="3C2DB161"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The moisture rise in S3 suggests water retaining capacity of ashwagandha compounds; consistency in protein across formulations indicates that the added ashwagandha is lower in protein relative to oat milk, thus dilution effects are modest.</w:t>
      </w:r>
      <w:r w:rsidR="0009593F" w:rsidRPr="004E2C55">
        <w:rPr>
          <w:rFonts w:ascii="Arial" w:eastAsia="Times New Roman" w:hAnsi="Arial" w:cs="Arial"/>
          <w:lang w:eastAsia="en-IN"/>
        </w:rPr>
        <w:t xml:space="preserve"> </w:t>
      </w:r>
      <w:r w:rsidRPr="004E2C55">
        <w:rPr>
          <w:rFonts w:ascii="Arial" w:eastAsia="Times New Roman" w:hAnsi="Arial" w:cs="Arial"/>
          <w:lang w:eastAsia="en-IN"/>
        </w:rPr>
        <w:t>Microbiological safety parameters were within acceptable limits, aligning with other non-dairy fermented beverage studies.</w:t>
      </w:r>
    </w:p>
    <w:p w14:paraId="3FFAA1D7" w14:textId="15C8EB0D" w:rsidR="002A03C1" w:rsidRPr="004E2C55" w:rsidRDefault="002A03C1" w:rsidP="008B4DDC">
      <w:pPr>
        <w:spacing w:after="0" w:line="480" w:lineRule="auto"/>
        <w:jc w:val="both"/>
        <w:rPr>
          <w:rFonts w:ascii="Arial" w:hAnsi="Arial" w:cs="Arial"/>
        </w:rPr>
      </w:pPr>
      <w:r w:rsidRPr="004E2C55">
        <w:rPr>
          <w:rFonts w:ascii="Arial" w:hAnsi="Arial" w:cs="Arial"/>
        </w:rPr>
        <w:t xml:space="preserve">Ash content reflects mineral presence, which varies widely across plant milks depending on raw material and extraction efficiency. </w:t>
      </w:r>
      <w:r w:rsidR="00167ACE">
        <w:rPr>
          <w:rFonts w:ascii="Arial" w:hAnsi="Arial" w:cs="Arial"/>
        </w:rPr>
        <w:t>O</w:t>
      </w:r>
      <w:r w:rsidRPr="004E2C55">
        <w:rPr>
          <w:rFonts w:ascii="Arial" w:hAnsi="Arial" w:cs="Arial"/>
        </w:rPr>
        <w:t>at beverages have ash values that generally align with cereals due to inherent mineral content from the bran and endosperm (</w:t>
      </w:r>
      <w:r w:rsidRPr="00A75015">
        <w:rPr>
          <w:rFonts w:ascii="Arial" w:hAnsi="Arial" w:cs="Arial"/>
          <w:b/>
        </w:rPr>
        <w:t xml:space="preserve">Seifu </w:t>
      </w:r>
      <w:r w:rsidRPr="00A75015">
        <w:rPr>
          <w:rFonts w:ascii="Arial" w:hAnsi="Arial" w:cs="Arial"/>
          <w:b/>
          <w:i/>
        </w:rPr>
        <w:t>et al.,</w:t>
      </w:r>
      <w:r w:rsidRPr="00A75015">
        <w:rPr>
          <w:rFonts w:ascii="Arial" w:hAnsi="Arial" w:cs="Arial"/>
          <w:b/>
        </w:rPr>
        <w:t xml:space="preserve"> 2025</w:t>
      </w:r>
      <w:r w:rsidRPr="004E2C55">
        <w:rPr>
          <w:rFonts w:ascii="Arial" w:hAnsi="Arial" w:cs="Arial"/>
        </w:rPr>
        <w:t>).</w:t>
      </w:r>
      <w:r w:rsidRPr="004E2C55">
        <w:t xml:space="preserve"> </w:t>
      </w:r>
      <w:r w:rsidRPr="004E2C55">
        <w:rPr>
          <w:rFonts w:ascii="Arial" w:hAnsi="Arial" w:cs="Arial"/>
        </w:rPr>
        <w:t>The comparison shows that oat-based beverages can offer appreciable ash/minerals relative to some nut-based or legume blends, a finding that supports the potential for oat lassi to contribute micronutrients, especially if enriched or fermented to improve bioavailability.</w:t>
      </w:r>
    </w:p>
    <w:p w14:paraId="7575F07F" w14:textId="5DD67975" w:rsidR="002A03C1" w:rsidRPr="004E2C55" w:rsidRDefault="002A03C1" w:rsidP="008B4DDC">
      <w:pPr>
        <w:spacing w:after="0" w:line="480" w:lineRule="auto"/>
        <w:jc w:val="both"/>
        <w:rPr>
          <w:rFonts w:ascii="Arial" w:hAnsi="Arial" w:cs="Arial"/>
        </w:rPr>
      </w:pPr>
      <w:r w:rsidRPr="004E2C55">
        <w:rPr>
          <w:rFonts w:ascii="Arial" w:hAnsi="Arial" w:cs="Arial"/>
        </w:rPr>
        <w:t xml:space="preserve">Low fat and moderate protein contents are characteristic of oat drinks, as reported by </w:t>
      </w:r>
      <w:proofErr w:type="spellStart"/>
      <w:r w:rsidRPr="00A75015">
        <w:rPr>
          <w:rFonts w:ascii="Arial" w:hAnsi="Arial" w:cs="Arial"/>
          <w:b/>
        </w:rPr>
        <w:t>Babolanimogadam</w:t>
      </w:r>
      <w:proofErr w:type="spellEnd"/>
      <w:r w:rsidRPr="00A75015">
        <w:rPr>
          <w:rFonts w:ascii="Arial" w:hAnsi="Arial" w:cs="Arial"/>
          <w:b/>
        </w:rPr>
        <w:t xml:space="preserve"> </w:t>
      </w:r>
      <w:r w:rsidRPr="00A75015">
        <w:rPr>
          <w:rFonts w:ascii="Arial" w:hAnsi="Arial" w:cs="Arial"/>
          <w:b/>
          <w:i/>
        </w:rPr>
        <w:t xml:space="preserve">et al. </w:t>
      </w:r>
      <w:r w:rsidRPr="00A75015">
        <w:rPr>
          <w:rFonts w:ascii="Arial" w:hAnsi="Arial" w:cs="Arial"/>
          <w:b/>
        </w:rPr>
        <w:t>(2023)</w:t>
      </w:r>
      <w:r w:rsidRPr="004E2C55">
        <w:rPr>
          <w:rFonts w:ascii="Arial" w:hAnsi="Arial" w:cs="Arial"/>
        </w:rPr>
        <w:t>, who documented low lipid fractions (0.11–0.66%) and relatively modest protein levels (generally &lt;3.5%) in oat milks. These results are consistent with our formulations, where fat is low and protein remains within typical plant-based beverage ranges. However, oat proteins are known to be lower in essential amino acids compared with dairy proteins, which may affect nutritional scoring and perceived satiety (</w:t>
      </w:r>
      <w:r w:rsidRPr="00A75015">
        <w:rPr>
          <w:rFonts w:ascii="Arial" w:hAnsi="Arial" w:cs="Arial"/>
          <w:b/>
        </w:rPr>
        <w:t>Xie, 2023</w:t>
      </w:r>
      <w:r w:rsidRPr="004E2C55">
        <w:rPr>
          <w:rFonts w:ascii="Arial" w:hAnsi="Arial" w:cs="Arial"/>
        </w:rPr>
        <w:t>).</w:t>
      </w:r>
      <w:r w:rsidR="007134FF" w:rsidRPr="004E2C55">
        <w:rPr>
          <w:rFonts w:ascii="Arial" w:hAnsi="Arial" w:cs="Arial"/>
        </w:rPr>
        <w:t xml:space="preserve"> Notably, protein enrichment approaches (using hydrolysates or legume blends) have been proposed in recent studies to elevate oat beverage protein quality and functional properties (</w:t>
      </w:r>
      <w:r w:rsidR="007134FF" w:rsidRPr="00A75015">
        <w:rPr>
          <w:rFonts w:ascii="Arial" w:hAnsi="Arial" w:cs="Arial"/>
          <w:b/>
        </w:rPr>
        <w:t xml:space="preserve">Grosso </w:t>
      </w:r>
      <w:r w:rsidR="007134FF" w:rsidRPr="00A75015">
        <w:rPr>
          <w:rFonts w:ascii="Arial" w:hAnsi="Arial" w:cs="Arial"/>
          <w:b/>
          <w:i/>
        </w:rPr>
        <w:t>et al.,</w:t>
      </w:r>
      <w:r w:rsidR="007134FF" w:rsidRPr="00A75015">
        <w:rPr>
          <w:rFonts w:ascii="Arial" w:hAnsi="Arial" w:cs="Arial"/>
          <w:b/>
        </w:rPr>
        <w:t xml:space="preserve"> 2025</w:t>
      </w:r>
      <w:r w:rsidR="007134FF" w:rsidRPr="004E2C55">
        <w:rPr>
          <w:rFonts w:ascii="Arial" w:hAnsi="Arial" w:cs="Arial"/>
        </w:rPr>
        <w:t>). Such strategies may be relevant in optimizing oat lassi to meet dietary recommendations or improve texture and mouthfeel through fermentation.</w:t>
      </w:r>
    </w:p>
    <w:p w14:paraId="55953F15" w14:textId="1AF3EBA1" w:rsidR="007134FF" w:rsidRPr="004E2C55" w:rsidRDefault="007134FF" w:rsidP="008B4DDC">
      <w:pPr>
        <w:spacing w:after="0" w:line="480" w:lineRule="auto"/>
        <w:jc w:val="both"/>
        <w:rPr>
          <w:rFonts w:ascii="Arial" w:hAnsi="Arial" w:cs="Arial"/>
        </w:rPr>
      </w:pPr>
      <w:r w:rsidRPr="004E2C55">
        <w:rPr>
          <w:rFonts w:ascii="Arial" w:hAnsi="Arial" w:cs="Arial"/>
        </w:rPr>
        <w:t xml:space="preserve">The acidity profile of fermented oat beverages is strongly influenced by microbial activity. Although direct comparison with non-fermented oat milks is limited in literature, plant-based analogue studies show that pH values tend to be near neutral without fermentation, frequently </w:t>
      </w:r>
      <w:r w:rsidRPr="004E2C55">
        <w:rPr>
          <w:rFonts w:ascii="Arial" w:hAnsi="Arial" w:cs="Arial"/>
        </w:rPr>
        <w:lastRenderedPageBreak/>
        <w:t>in the range of 6.0–6.8 (</w:t>
      </w:r>
      <w:proofErr w:type="spellStart"/>
      <w:r w:rsidRPr="00E5005C">
        <w:rPr>
          <w:rFonts w:ascii="Arial" w:hAnsi="Arial" w:cs="Arial"/>
          <w:b/>
        </w:rPr>
        <w:t>Lohita</w:t>
      </w:r>
      <w:proofErr w:type="spellEnd"/>
      <w:r w:rsidRPr="00E5005C">
        <w:rPr>
          <w:rFonts w:ascii="Arial" w:hAnsi="Arial" w:cs="Arial"/>
          <w:b/>
        </w:rPr>
        <w:t xml:space="preserve"> &amp; </w:t>
      </w:r>
      <w:proofErr w:type="spellStart"/>
      <w:r w:rsidRPr="00E5005C">
        <w:rPr>
          <w:rFonts w:ascii="Arial" w:hAnsi="Arial" w:cs="Arial"/>
          <w:b/>
        </w:rPr>
        <w:t>Mupparapu</w:t>
      </w:r>
      <w:proofErr w:type="spellEnd"/>
      <w:r w:rsidRPr="00E5005C">
        <w:rPr>
          <w:rFonts w:ascii="Arial" w:hAnsi="Arial" w:cs="Arial"/>
          <w:b/>
        </w:rPr>
        <w:t>, 2025</w:t>
      </w:r>
      <w:r w:rsidRPr="004E2C55">
        <w:rPr>
          <w:rFonts w:ascii="Arial" w:hAnsi="Arial" w:cs="Arial"/>
        </w:rPr>
        <w:t>). In fermented oat lassi, acid production during lactic fermentation reduces pH and increases titratable acidity, contributing to microbial safety and sensory characteristics. The carbohydrate profiles of oat milks typically include soluble sugars and β-glucans, which serve as substrates during fermentation, thus influencing residual sugar and total sugar measurements post-fermentation.</w:t>
      </w:r>
    </w:p>
    <w:p w14:paraId="1AA348FF" w14:textId="70F8CE45" w:rsidR="007134FF" w:rsidRPr="004E2C55" w:rsidRDefault="007134FF" w:rsidP="008B4DDC">
      <w:pPr>
        <w:spacing w:after="0" w:line="480" w:lineRule="auto"/>
        <w:jc w:val="both"/>
        <w:rPr>
          <w:rFonts w:ascii="Arial" w:eastAsia="Times New Roman" w:hAnsi="Arial" w:cs="Arial"/>
          <w:lang w:eastAsia="en-IN"/>
        </w:rPr>
      </w:pPr>
      <w:r w:rsidRPr="004E2C55">
        <w:rPr>
          <w:rFonts w:ascii="Arial" w:hAnsi="Arial" w:cs="Arial"/>
        </w:rPr>
        <w:t xml:space="preserve">Dietary </w:t>
      </w:r>
      <w:proofErr w:type="spellStart"/>
      <w:r w:rsidRPr="004E2C55">
        <w:rPr>
          <w:rFonts w:ascii="Arial" w:hAnsi="Arial" w:cs="Arial"/>
        </w:rPr>
        <w:t>fiber</w:t>
      </w:r>
      <w:proofErr w:type="spellEnd"/>
      <w:r w:rsidRPr="004E2C55">
        <w:rPr>
          <w:rFonts w:ascii="Arial" w:hAnsi="Arial" w:cs="Arial"/>
        </w:rPr>
        <w:t xml:space="preserve">, especially β-glucan, is one of the distinguishing nutritional elements in oat products. </w:t>
      </w:r>
      <w:r w:rsidRPr="00661B62">
        <w:rPr>
          <w:rFonts w:ascii="Arial" w:hAnsi="Arial" w:cs="Arial"/>
          <w:b/>
        </w:rPr>
        <w:t xml:space="preserve">Zhou </w:t>
      </w:r>
      <w:r w:rsidRPr="00661B62">
        <w:rPr>
          <w:rFonts w:ascii="Arial" w:hAnsi="Arial" w:cs="Arial"/>
          <w:b/>
          <w:i/>
        </w:rPr>
        <w:t>et al.</w:t>
      </w:r>
      <w:r w:rsidRPr="00661B62">
        <w:rPr>
          <w:rFonts w:ascii="Arial" w:hAnsi="Arial" w:cs="Arial"/>
          <w:b/>
        </w:rPr>
        <w:t xml:space="preserve"> (2023)</w:t>
      </w:r>
      <w:r w:rsidRPr="004E2C55">
        <w:rPr>
          <w:rFonts w:ascii="Arial" w:hAnsi="Arial" w:cs="Arial"/>
        </w:rPr>
        <w:t xml:space="preserve"> identified significant β-glucan levels in oat milk formulations, which are associated with cholesterol-lowering effects and improved gut health. Fermented oat products like lassi can retain or even enhance the functional impacts of soluble </w:t>
      </w:r>
      <w:proofErr w:type="spellStart"/>
      <w:r w:rsidRPr="004E2C55">
        <w:rPr>
          <w:rFonts w:ascii="Arial" w:hAnsi="Arial" w:cs="Arial"/>
        </w:rPr>
        <w:t>fiber</w:t>
      </w:r>
      <w:proofErr w:type="spellEnd"/>
      <w:r w:rsidRPr="004E2C55">
        <w:rPr>
          <w:rFonts w:ascii="Arial" w:hAnsi="Arial" w:cs="Arial"/>
        </w:rPr>
        <w:t xml:space="preserve">. The presence of dietary </w:t>
      </w:r>
      <w:proofErr w:type="spellStart"/>
      <w:r w:rsidRPr="004E2C55">
        <w:rPr>
          <w:rFonts w:ascii="Arial" w:hAnsi="Arial" w:cs="Arial"/>
        </w:rPr>
        <w:t>fiber</w:t>
      </w:r>
      <w:proofErr w:type="spellEnd"/>
      <w:r w:rsidRPr="004E2C55">
        <w:rPr>
          <w:rFonts w:ascii="Arial" w:hAnsi="Arial" w:cs="Arial"/>
        </w:rPr>
        <w:t xml:space="preserve"> in oat lassi samples supports the potential health benefits associated with cereal-based fermented beverages.</w:t>
      </w:r>
    </w:p>
    <w:p w14:paraId="7B51C069" w14:textId="6B44DF0D" w:rsidR="00712F59" w:rsidRPr="004E2C55" w:rsidRDefault="00712F59" w:rsidP="008B4DDC">
      <w:pPr>
        <w:spacing w:after="0" w:line="480" w:lineRule="auto"/>
        <w:jc w:val="both"/>
        <w:rPr>
          <w:rFonts w:ascii="Arial" w:hAnsi="Arial" w:cs="Arial"/>
        </w:rPr>
      </w:pPr>
      <w:r w:rsidRPr="004E2C55">
        <w:rPr>
          <w:rFonts w:ascii="Arial" w:hAnsi="Arial" w:cs="Arial"/>
        </w:rPr>
        <w:t>Fermentation not only can enhance bioactive compounds such as phenolics but also modulates microbial populations, establishing a balance between beneficial lactic acid bacteria and spoilage organisms (</w:t>
      </w:r>
      <w:r w:rsidRPr="00661B62">
        <w:rPr>
          <w:rFonts w:ascii="Arial" w:hAnsi="Arial" w:cs="Arial"/>
          <w:b/>
        </w:rPr>
        <w:t xml:space="preserve">El-Sayed </w:t>
      </w:r>
      <w:r w:rsidRPr="00661B62">
        <w:rPr>
          <w:rFonts w:ascii="Arial" w:hAnsi="Arial" w:cs="Arial"/>
          <w:b/>
          <w:i/>
        </w:rPr>
        <w:t>et al.,</w:t>
      </w:r>
      <w:r w:rsidRPr="00661B62">
        <w:rPr>
          <w:rFonts w:ascii="Arial" w:hAnsi="Arial" w:cs="Arial"/>
          <w:b/>
        </w:rPr>
        <w:t xml:space="preserve"> 2021</w:t>
      </w:r>
      <w:r w:rsidRPr="004E2C55">
        <w:rPr>
          <w:rFonts w:ascii="Arial" w:hAnsi="Arial" w:cs="Arial"/>
        </w:rPr>
        <w:t>). Recent research has emphasized that the fermentation of cereal-based drinks, including oat-derived products, creates synergistic modifications in antioxidant activity due to metabolic transformations by starter cultures (</w:t>
      </w:r>
      <w:r w:rsidRPr="00661B62">
        <w:rPr>
          <w:rFonts w:ascii="Arial" w:hAnsi="Arial" w:cs="Arial"/>
          <w:b/>
        </w:rPr>
        <w:t xml:space="preserve">Ganesan </w:t>
      </w:r>
      <w:r w:rsidRPr="00661B62">
        <w:rPr>
          <w:rFonts w:ascii="Arial" w:hAnsi="Arial" w:cs="Arial"/>
          <w:b/>
          <w:i/>
        </w:rPr>
        <w:t>et al.,</w:t>
      </w:r>
      <w:r w:rsidRPr="00661B62">
        <w:rPr>
          <w:rFonts w:ascii="Arial" w:hAnsi="Arial" w:cs="Arial"/>
          <w:b/>
        </w:rPr>
        <w:t xml:space="preserve"> 2022</w:t>
      </w:r>
      <w:r w:rsidRPr="004E2C55">
        <w:rPr>
          <w:rFonts w:ascii="Arial" w:hAnsi="Arial" w:cs="Arial"/>
        </w:rPr>
        <w:t>).</w:t>
      </w:r>
    </w:p>
    <w:p w14:paraId="4C2DE60A" w14:textId="304C7E37" w:rsidR="00712F59" w:rsidRPr="004E2C55" w:rsidRDefault="00712F59" w:rsidP="008B4DDC">
      <w:pPr>
        <w:spacing w:after="0" w:line="480" w:lineRule="auto"/>
        <w:jc w:val="both"/>
        <w:rPr>
          <w:rFonts w:ascii="Arial" w:hAnsi="Arial" w:cs="Arial"/>
        </w:rPr>
      </w:pPr>
      <w:r w:rsidRPr="004E2C55">
        <w:rPr>
          <w:rFonts w:ascii="Arial" w:hAnsi="Arial" w:cs="Arial"/>
        </w:rPr>
        <w:t>Phenolic compounds and free radical scavenging activity are widely used indicators for antioxidant capacity in plant-based ferments. Fermentation has been reported to increase total phenolic content and DPPH radical scavenging activity by enhancing the release of bound phenolics through microbial enzymatic action (</w:t>
      </w:r>
      <w:r w:rsidRPr="00661B62">
        <w:rPr>
          <w:rFonts w:ascii="Arial" w:hAnsi="Arial" w:cs="Arial"/>
          <w:b/>
        </w:rPr>
        <w:t>Sathishkumar</w:t>
      </w:r>
      <w:r w:rsidRPr="00661B62">
        <w:rPr>
          <w:rFonts w:ascii="Arial" w:hAnsi="Arial" w:cs="Arial"/>
          <w:b/>
          <w:i/>
        </w:rPr>
        <w:t xml:space="preserve"> et al.</w:t>
      </w:r>
      <w:r w:rsidRPr="00661B62">
        <w:rPr>
          <w:rFonts w:ascii="Arial" w:hAnsi="Arial" w:cs="Arial"/>
          <w:b/>
        </w:rPr>
        <w:t>, 2023</w:t>
      </w:r>
      <w:r w:rsidRPr="004E2C55">
        <w:rPr>
          <w:rFonts w:ascii="Arial" w:hAnsi="Arial" w:cs="Arial"/>
        </w:rPr>
        <w:t>). In studies comparing fermented oat drinks with non-fermented counterparts, significant enhancements in antioxidant properties were documented, attributed to enzymatic breakdown of oat matrix components during fermentation (</w:t>
      </w:r>
      <w:r w:rsidRPr="00661B62">
        <w:rPr>
          <w:rFonts w:ascii="Arial" w:hAnsi="Arial" w:cs="Arial"/>
          <w:b/>
        </w:rPr>
        <w:t xml:space="preserve">Martinez </w:t>
      </w:r>
      <w:r w:rsidRPr="00661B62">
        <w:rPr>
          <w:rFonts w:ascii="Arial" w:hAnsi="Arial" w:cs="Arial"/>
          <w:b/>
          <w:i/>
        </w:rPr>
        <w:t>et al.,</w:t>
      </w:r>
      <w:r w:rsidRPr="00661B62">
        <w:rPr>
          <w:rFonts w:ascii="Arial" w:hAnsi="Arial" w:cs="Arial"/>
          <w:b/>
        </w:rPr>
        <w:t xml:space="preserve"> 2021</w:t>
      </w:r>
      <w:r w:rsidRPr="004E2C55">
        <w:rPr>
          <w:rFonts w:ascii="Arial" w:hAnsi="Arial" w:cs="Arial"/>
        </w:rPr>
        <w:t xml:space="preserve">). Furthermore, </w:t>
      </w:r>
      <w:r w:rsidRPr="00661B62">
        <w:rPr>
          <w:rFonts w:ascii="Arial" w:hAnsi="Arial" w:cs="Arial"/>
          <w:b/>
        </w:rPr>
        <w:t xml:space="preserve">Liu </w:t>
      </w:r>
      <w:r w:rsidRPr="00661B62">
        <w:rPr>
          <w:rFonts w:ascii="Arial" w:hAnsi="Arial" w:cs="Arial"/>
          <w:b/>
          <w:i/>
        </w:rPr>
        <w:t>et al.</w:t>
      </w:r>
      <w:r w:rsidRPr="00661B62">
        <w:rPr>
          <w:rFonts w:ascii="Arial" w:hAnsi="Arial" w:cs="Arial"/>
          <w:b/>
        </w:rPr>
        <w:t xml:space="preserve"> (2024)</w:t>
      </w:r>
      <w:r w:rsidRPr="004E2C55">
        <w:rPr>
          <w:rFonts w:ascii="Arial" w:hAnsi="Arial" w:cs="Arial"/>
        </w:rPr>
        <w:t xml:space="preserve"> observed that fermentation with specific lactic acid bacterial strains induces metabolic pathways that liberate bioactive peptides and phenolic derivatives, increasing radical scavenging efficiency. These findings corroborate the notion that controlled fermentation can transform oat substrates into beverages with improved antioxidant properties.</w:t>
      </w:r>
    </w:p>
    <w:p w14:paraId="0192CAF1" w14:textId="78645B34" w:rsidR="006E7013" w:rsidRPr="004E2C55" w:rsidRDefault="006E7013" w:rsidP="008B4DDC">
      <w:pPr>
        <w:spacing w:after="0" w:line="480" w:lineRule="auto"/>
        <w:jc w:val="both"/>
        <w:rPr>
          <w:rFonts w:ascii="Arial" w:eastAsia="Times New Roman" w:hAnsi="Arial" w:cs="Arial"/>
          <w:lang w:eastAsia="en-IN"/>
        </w:rPr>
      </w:pPr>
      <w:r w:rsidRPr="004E2C55">
        <w:rPr>
          <w:rFonts w:ascii="Arial" w:hAnsi="Arial" w:cs="Arial"/>
        </w:rPr>
        <w:lastRenderedPageBreak/>
        <w:t>Plant-based beverages often contain diverse phenolic constituents, including avenanthramides in oats, which are recognized for their antioxidant and anti-inflammatory properties (</w:t>
      </w:r>
      <w:r w:rsidRPr="00661B62">
        <w:rPr>
          <w:rFonts w:ascii="Arial" w:hAnsi="Arial" w:cs="Arial"/>
          <w:b/>
        </w:rPr>
        <w:t>Zhao &amp; Beta, 2020</w:t>
      </w:r>
      <w:r w:rsidRPr="004E2C55">
        <w:rPr>
          <w:rFonts w:ascii="Arial" w:hAnsi="Arial" w:cs="Arial"/>
        </w:rPr>
        <w:t>). Such compounds play a dual role: not only do they contribute directly to antioxidant capacity, but they also interact with microbial metabolites generated during fermentation, potentially amplifying functional benefits.</w:t>
      </w:r>
    </w:p>
    <w:p w14:paraId="3549B1D5" w14:textId="076F64FC" w:rsidR="002712DB" w:rsidRDefault="000F0C18" w:rsidP="008B4DDC">
      <w:pPr>
        <w:spacing w:after="0" w:line="480" w:lineRule="auto"/>
        <w:jc w:val="both"/>
        <w:rPr>
          <w:rFonts w:ascii="Arial" w:eastAsia="Times New Roman" w:hAnsi="Arial" w:cs="Arial"/>
          <w:lang w:eastAsia="en-IN"/>
        </w:rPr>
      </w:pP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xml:space="preserve"> and texture are critical: darker </w:t>
      </w: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xml:space="preserve"> and thicker consistency, though sometimes associated with richness, may hamper sensory appeal when bitterness is present. The panel’s preference for S1 aligns with findings that moderate texture and balanced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best drive acceptability in plant-based fermented drinks (</w:t>
      </w:r>
      <w:r w:rsidRPr="00661B62">
        <w:rPr>
          <w:rFonts w:ascii="Arial" w:eastAsia="Times New Roman" w:hAnsi="Arial" w:cs="Arial"/>
          <w:b/>
          <w:lang w:eastAsia="en-IN"/>
        </w:rPr>
        <w:t xml:space="preserve">McCarron </w:t>
      </w:r>
      <w:r w:rsidRPr="00661B62">
        <w:rPr>
          <w:rFonts w:ascii="Arial" w:eastAsia="Times New Roman" w:hAnsi="Arial" w:cs="Arial"/>
          <w:b/>
          <w:i/>
          <w:lang w:eastAsia="en-IN"/>
        </w:rPr>
        <w:t>et al.</w:t>
      </w:r>
      <w:r w:rsidRPr="00661B62">
        <w:rPr>
          <w:rFonts w:ascii="Arial" w:eastAsia="Times New Roman" w:hAnsi="Arial" w:cs="Arial"/>
          <w:b/>
          <w:lang w:eastAsia="en-IN"/>
        </w:rPr>
        <w:t>, 2024</w:t>
      </w:r>
      <w:r w:rsidRPr="004E2C55">
        <w:rPr>
          <w:rFonts w:ascii="Arial" w:eastAsia="Times New Roman" w:hAnsi="Arial" w:cs="Arial"/>
          <w:lang w:eastAsia="en-IN"/>
        </w:rPr>
        <w:t>).</w:t>
      </w:r>
      <w:r w:rsidR="0005230A" w:rsidRPr="004E2C55">
        <w:rPr>
          <w:rFonts w:ascii="Arial" w:eastAsia="Times New Roman" w:hAnsi="Arial" w:cs="Arial"/>
          <w:lang w:eastAsia="en-IN"/>
        </w:rPr>
        <w:t xml:space="preserve"> </w:t>
      </w:r>
      <w:r w:rsidR="00712F59" w:rsidRPr="004E2C55">
        <w:rPr>
          <w:rFonts w:ascii="Arial" w:hAnsi="Arial" w:cs="Arial"/>
        </w:rPr>
        <w:t>Plant-based milks often provide lower protein and variable micronutrient levels compared with dairy milk, and their nutritional equivalence largely depends on formulation and fortification (</w:t>
      </w:r>
      <w:r w:rsidR="00712F59" w:rsidRPr="00661B62">
        <w:rPr>
          <w:rFonts w:ascii="Arial" w:hAnsi="Arial" w:cs="Arial"/>
          <w:b/>
        </w:rPr>
        <w:t xml:space="preserve">Pieterse </w:t>
      </w:r>
      <w:r w:rsidR="00712F59" w:rsidRPr="00661B62">
        <w:rPr>
          <w:rFonts w:ascii="Arial" w:hAnsi="Arial" w:cs="Arial"/>
          <w:b/>
          <w:i/>
        </w:rPr>
        <w:t>et al.</w:t>
      </w:r>
      <w:r w:rsidR="00712F59" w:rsidRPr="00661B62">
        <w:rPr>
          <w:rFonts w:ascii="Arial" w:hAnsi="Arial" w:cs="Arial"/>
          <w:b/>
        </w:rPr>
        <w:t>, 2025</w:t>
      </w:r>
      <w:r w:rsidR="00712F59" w:rsidRPr="004E2C55">
        <w:rPr>
          <w:rFonts w:ascii="Arial" w:hAnsi="Arial" w:cs="Arial"/>
        </w:rPr>
        <w:t>).</w:t>
      </w:r>
      <w:r w:rsidR="00712F59" w:rsidRPr="004E2C55">
        <w:t xml:space="preserve"> </w:t>
      </w:r>
      <w:r w:rsidRPr="004E2C55">
        <w:rPr>
          <w:rFonts w:ascii="Arial" w:eastAsia="Times New Roman" w:hAnsi="Arial" w:cs="Arial"/>
          <w:lang w:eastAsia="en-IN"/>
        </w:rPr>
        <w:t>Thus, S1</w:t>
      </w:r>
      <w:r w:rsidR="0005230A" w:rsidRPr="004E2C55">
        <w:rPr>
          <w:rFonts w:ascii="Arial" w:eastAsia="Times New Roman" w:hAnsi="Arial" w:cs="Arial"/>
          <w:lang w:eastAsia="en-IN"/>
        </w:rPr>
        <w:t xml:space="preserve"> sample</w:t>
      </w:r>
      <w:r w:rsidRPr="004E2C55">
        <w:rPr>
          <w:rFonts w:ascii="Arial" w:eastAsia="Times New Roman" w:hAnsi="Arial" w:cs="Arial"/>
          <w:lang w:eastAsia="en-IN"/>
        </w:rPr>
        <w:t xml:space="preserve"> strikes an optimum balance. Future studies should examine shelf-life changes, micronutrient stability, consumer acceptance in larger cohorts</w:t>
      </w:r>
      <w:r w:rsidR="0005230A" w:rsidRPr="004E2C55">
        <w:rPr>
          <w:rFonts w:ascii="Arial" w:eastAsia="Times New Roman" w:hAnsi="Arial" w:cs="Arial"/>
          <w:lang w:eastAsia="en-IN"/>
        </w:rPr>
        <w:t xml:space="preserve"> </w:t>
      </w:r>
      <w:r w:rsidRPr="004E2C55">
        <w:rPr>
          <w:rFonts w:ascii="Arial" w:eastAsia="Times New Roman" w:hAnsi="Arial" w:cs="Arial"/>
          <w:lang w:eastAsia="en-IN"/>
        </w:rPr>
        <w:t xml:space="preserve">and cost </w:t>
      </w:r>
      <w:r w:rsidR="00712F59" w:rsidRPr="004E2C55">
        <w:rPr>
          <w:rFonts w:ascii="Arial" w:eastAsia="Times New Roman" w:hAnsi="Arial" w:cs="Arial"/>
          <w:lang w:eastAsia="en-IN"/>
        </w:rPr>
        <w:t>modelling</w:t>
      </w:r>
      <w:r w:rsidRPr="004E2C55">
        <w:rPr>
          <w:rFonts w:ascii="Arial" w:eastAsia="Times New Roman" w:hAnsi="Arial" w:cs="Arial"/>
          <w:lang w:eastAsia="en-IN"/>
        </w:rPr>
        <w:t>.</w:t>
      </w:r>
    </w:p>
    <w:p w14:paraId="5781D19D" w14:textId="77777777" w:rsidR="004D2EA4" w:rsidRPr="004E2C55" w:rsidRDefault="004D2EA4" w:rsidP="008B4DDC">
      <w:pPr>
        <w:spacing w:after="0" w:line="480" w:lineRule="auto"/>
        <w:jc w:val="both"/>
        <w:rPr>
          <w:rFonts w:ascii="Arial" w:eastAsia="Times New Roman" w:hAnsi="Arial" w:cs="Arial"/>
          <w:lang w:eastAsia="en-IN"/>
        </w:rPr>
      </w:pPr>
    </w:p>
    <w:p w14:paraId="6873564B"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5. Conclusion</w:t>
      </w:r>
    </w:p>
    <w:p w14:paraId="7DE772BD" w14:textId="0BE61E44" w:rsidR="002F01FE" w:rsidRDefault="002F01FE" w:rsidP="008B4DDC">
      <w:pPr>
        <w:pStyle w:val="NormalWeb"/>
        <w:spacing w:before="0" w:beforeAutospacing="0" w:after="0" w:afterAutospacing="0" w:line="480" w:lineRule="auto"/>
        <w:jc w:val="both"/>
        <w:rPr>
          <w:rFonts w:ascii="Arial" w:hAnsi="Arial" w:cs="Arial"/>
          <w:sz w:val="22"/>
          <w:szCs w:val="22"/>
        </w:rPr>
      </w:pPr>
      <w:r w:rsidRPr="004E2C55">
        <w:rPr>
          <w:rFonts w:ascii="Arial" w:hAnsi="Arial" w:cs="Arial"/>
          <w:sz w:val="22"/>
          <w:szCs w:val="22"/>
        </w:rPr>
        <w:t>The study developed a vegan oat milk lassi fortified with ashwagandha, sugar, cardamom, and saffron, and found that the formulation with 0.2 g ashwagandha (S1) provides the optimal balance of taste, appearance, aroma, texture, functional benefits, and safety. Higher levels of ashwagandha enhance antioxidant potential but negatively affect sensory attributes due to bitterness and higher viscosity. The product offers a promising alternative for consumers avoiding dairy, though future research is needed on shelf-life stability, micronutrient profiles, and cost feasibility for scaling.</w:t>
      </w:r>
    </w:p>
    <w:p w14:paraId="409E7E7F" w14:textId="77777777" w:rsidR="00C051D4" w:rsidRPr="00661B62" w:rsidRDefault="00C051D4" w:rsidP="00C051D4">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bookmarkStart w:id="2" w:name="_Hlk218867759"/>
      <w:bookmarkStart w:id="3" w:name="_Hlk219125673"/>
      <w:r w:rsidRPr="00661B62">
        <w:rPr>
          <w:rFonts w:ascii="Times New Roman" w:eastAsia="Times New Roman" w:hAnsi="Times New Roman" w:cs="Times New Roman"/>
          <w:bCs/>
          <w:sz w:val="24"/>
          <w:szCs w:val="24"/>
          <w:lang w:val="en-GB" w:eastAsia="en-IN"/>
        </w:rPr>
        <w:t>Disclaimer (Artificial intelligence)</w:t>
      </w:r>
    </w:p>
    <w:p w14:paraId="1B679219" w14:textId="77777777" w:rsidR="00C051D4" w:rsidRPr="00C051D4" w:rsidRDefault="00C051D4" w:rsidP="00C051D4">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661B62">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661B62">
        <w:rPr>
          <w:rFonts w:ascii="Times New Roman" w:eastAsia="Times New Roman" w:hAnsi="Times New Roman" w:cs="Times New Roman"/>
          <w:bCs/>
          <w:sz w:val="24"/>
          <w:szCs w:val="24"/>
          <w:lang w:val="en-GB" w:eastAsia="en-IN"/>
        </w:rPr>
        <w:t>ChatGPT</w:t>
      </w:r>
      <w:proofErr w:type="spellEnd"/>
      <w:r w:rsidRPr="00661B62">
        <w:rPr>
          <w:rFonts w:ascii="Times New Roman" w:eastAsia="Times New Roman" w:hAnsi="Times New Roman" w:cs="Times New Roman"/>
          <w:bCs/>
          <w:sz w:val="24"/>
          <w:szCs w:val="24"/>
          <w:lang w:val="en-GB" w:eastAsia="en-IN"/>
        </w:rPr>
        <w:t>, COPILOT, etc.) and text-to-image generators have been used during the writing or editing of this manuscript.</w:t>
      </w:r>
      <w:r w:rsidRPr="00C051D4">
        <w:rPr>
          <w:rFonts w:ascii="Times New Roman" w:eastAsia="Times New Roman" w:hAnsi="Times New Roman" w:cs="Times New Roman"/>
          <w:bCs/>
          <w:sz w:val="24"/>
          <w:szCs w:val="24"/>
          <w:lang w:val="en-GB" w:eastAsia="en-IN"/>
        </w:rPr>
        <w:t xml:space="preserve"> </w:t>
      </w:r>
    </w:p>
    <w:bookmarkEnd w:id="2"/>
    <w:bookmarkEnd w:id="3"/>
    <w:p w14:paraId="29A2D6DC" w14:textId="2A536B79" w:rsidR="004E2C55" w:rsidRDefault="004E2C55" w:rsidP="004E2C55">
      <w:pPr>
        <w:spacing w:after="0" w:line="480" w:lineRule="auto"/>
        <w:jc w:val="both"/>
        <w:rPr>
          <w:rFonts w:ascii="Arial" w:eastAsia="Times New Roman" w:hAnsi="Arial" w:cs="Arial"/>
          <w:lang w:eastAsia="en-IN"/>
        </w:rPr>
      </w:pPr>
    </w:p>
    <w:p w14:paraId="5D4EC8F6" w14:textId="77777777" w:rsidR="004D2EA4" w:rsidRPr="004E2C55" w:rsidRDefault="004D2EA4" w:rsidP="004E2C55">
      <w:pPr>
        <w:spacing w:after="0" w:line="480" w:lineRule="auto"/>
        <w:jc w:val="both"/>
        <w:rPr>
          <w:rFonts w:ascii="Arial" w:eastAsia="Times New Roman" w:hAnsi="Arial" w:cs="Arial"/>
          <w:lang w:eastAsia="en-IN"/>
        </w:rPr>
      </w:pPr>
    </w:p>
    <w:p w14:paraId="36F8A843"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lastRenderedPageBreak/>
        <w:t>References</w:t>
      </w:r>
    </w:p>
    <w:p w14:paraId="6D8520C3" w14:textId="77777777" w:rsidR="000B3228" w:rsidRPr="000B3228" w:rsidRDefault="000B3228" w:rsidP="000B3228">
      <w:pPr>
        <w:pStyle w:val="ListParagraph"/>
        <w:numPr>
          <w:ilvl w:val="0"/>
          <w:numId w:val="2"/>
        </w:numPr>
        <w:spacing w:after="0" w:line="480" w:lineRule="auto"/>
        <w:ind w:left="1077" w:hanging="357"/>
        <w:jc w:val="both"/>
        <w:rPr>
          <w:rFonts w:ascii="Times New Roman" w:eastAsia="Times New Roman" w:hAnsi="Times New Roman" w:cs="Times New Roman"/>
          <w:sz w:val="24"/>
          <w:szCs w:val="24"/>
          <w:lang w:eastAsia="en-IN"/>
        </w:rPr>
      </w:pPr>
      <w:r w:rsidRPr="000B3228">
        <w:rPr>
          <w:rFonts w:ascii="Times New Roman" w:eastAsia="Times New Roman" w:hAnsi="Times New Roman" w:cs="Times New Roman"/>
          <w:sz w:val="24"/>
          <w:szCs w:val="24"/>
          <w:lang w:eastAsia="en-IN"/>
        </w:rPr>
        <w:t xml:space="preserve">American Public Health Association (APHA). (2015). </w:t>
      </w:r>
      <w:r w:rsidRPr="000B3228">
        <w:rPr>
          <w:rFonts w:ascii="Times New Roman" w:eastAsia="Times New Roman" w:hAnsi="Times New Roman" w:cs="Times New Roman"/>
          <w:i/>
          <w:iCs/>
          <w:sz w:val="24"/>
          <w:szCs w:val="24"/>
          <w:lang w:eastAsia="en-IN"/>
        </w:rPr>
        <w:t>Compendium of methods for the microbiological examination of foods</w:t>
      </w:r>
      <w:r w:rsidRPr="000B3228">
        <w:rPr>
          <w:rFonts w:ascii="Times New Roman" w:eastAsia="Times New Roman" w:hAnsi="Times New Roman" w:cs="Times New Roman"/>
          <w:sz w:val="24"/>
          <w:szCs w:val="24"/>
          <w:lang w:eastAsia="en-IN"/>
        </w:rPr>
        <w:t xml:space="preserve"> (5th ed.). APHA Press.</w:t>
      </w:r>
    </w:p>
    <w:p w14:paraId="2746BEF8" w14:textId="77777777" w:rsidR="000B3228" w:rsidRPr="000B3228" w:rsidRDefault="000B3228" w:rsidP="000B3228">
      <w:pPr>
        <w:pStyle w:val="ListParagraph"/>
        <w:numPr>
          <w:ilvl w:val="0"/>
          <w:numId w:val="2"/>
        </w:numPr>
        <w:spacing w:after="0" w:line="480" w:lineRule="auto"/>
        <w:ind w:left="1077" w:hanging="357"/>
        <w:jc w:val="both"/>
        <w:rPr>
          <w:rFonts w:ascii="Times New Roman" w:eastAsia="Times New Roman" w:hAnsi="Times New Roman" w:cs="Times New Roman"/>
          <w:sz w:val="24"/>
          <w:szCs w:val="24"/>
          <w:lang w:eastAsia="en-IN"/>
        </w:rPr>
      </w:pPr>
      <w:r w:rsidRPr="000B3228">
        <w:rPr>
          <w:rFonts w:ascii="Times New Roman" w:eastAsia="Times New Roman" w:hAnsi="Times New Roman" w:cs="Times New Roman"/>
          <w:sz w:val="24"/>
          <w:szCs w:val="24"/>
          <w:lang w:eastAsia="en-IN"/>
        </w:rPr>
        <w:t xml:space="preserve">Association of Official Analytical Chemists (AOAC). (2019). </w:t>
      </w:r>
      <w:r w:rsidRPr="000B3228">
        <w:rPr>
          <w:rFonts w:ascii="Times New Roman" w:eastAsia="Times New Roman" w:hAnsi="Times New Roman" w:cs="Times New Roman"/>
          <w:i/>
          <w:iCs/>
          <w:sz w:val="24"/>
          <w:szCs w:val="24"/>
          <w:lang w:eastAsia="en-IN"/>
        </w:rPr>
        <w:t>Official methods of analysis</w:t>
      </w:r>
      <w:r w:rsidRPr="000B3228">
        <w:rPr>
          <w:rFonts w:ascii="Times New Roman" w:eastAsia="Times New Roman" w:hAnsi="Times New Roman" w:cs="Times New Roman"/>
          <w:sz w:val="24"/>
          <w:szCs w:val="24"/>
          <w:lang w:eastAsia="en-IN"/>
        </w:rPr>
        <w:t xml:space="preserve"> (21st ed.). AOAC International.</w:t>
      </w:r>
    </w:p>
    <w:p w14:paraId="6018F9BF"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proofErr w:type="spellStart"/>
      <w:r w:rsidRPr="004E2C55">
        <w:rPr>
          <w:rFonts w:ascii="Arial" w:eastAsia="Times New Roman" w:hAnsi="Arial" w:cs="Arial"/>
          <w:lang w:eastAsia="en-IN"/>
        </w:rPr>
        <w:t>Babolanimogadam</w:t>
      </w:r>
      <w:proofErr w:type="spellEnd"/>
      <w:r w:rsidRPr="004E2C55">
        <w:rPr>
          <w:rFonts w:ascii="Arial" w:eastAsia="Times New Roman" w:hAnsi="Arial" w:cs="Arial"/>
          <w:lang w:eastAsia="en-IN"/>
        </w:rPr>
        <w:t xml:space="preserve">, N., </w:t>
      </w:r>
      <w:hyperlink r:id="rId7" w:history="1">
        <w:r w:rsidRPr="004E2C55">
          <w:rPr>
            <w:rStyle w:val="Hyperlink"/>
            <w:rFonts w:ascii="Arial" w:hAnsi="Arial" w:cs="Arial"/>
            <w:color w:val="auto"/>
            <w:u w:val="none"/>
            <w:bdr w:val="none" w:sz="0" w:space="0" w:color="auto" w:frame="1"/>
            <w:shd w:val="clear" w:color="auto" w:fill="FFFFFF"/>
          </w:rPr>
          <w:t>Hassan Gandomi</w:t>
        </w:r>
      </w:hyperlink>
      <w:r w:rsidRPr="004E2C55">
        <w:rPr>
          <w:rFonts w:ascii="Arial" w:eastAsia="Times New Roman" w:hAnsi="Arial" w:cs="Arial"/>
          <w:lang w:eastAsia="en-IN"/>
        </w:rPr>
        <w:t xml:space="preserve">, </w:t>
      </w:r>
      <w:hyperlink r:id="rId8" w:history="1">
        <w:r w:rsidRPr="004E2C55">
          <w:rPr>
            <w:rStyle w:val="Hyperlink"/>
            <w:rFonts w:ascii="Arial" w:hAnsi="Arial" w:cs="Arial"/>
            <w:color w:val="auto"/>
            <w:u w:val="none"/>
            <w:bdr w:val="none" w:sz="0" w:space="0" w:color="auto" w:frame="1"/>
            <w:shd w:val="clear" w:color="auto" w:fill="FFFFFF"/>
          </w:rPr>
          <w:t xml:space="preserve"> Basti</w:t>
        </w:r>
      </w:hyperlink>
      <w:r w:rsidRPr="004E2C55">
        <w:rPr>
          <w:rStyle w:val="comma-separator"/>
          <w:rFonts w:ascii="Arial" w:hAnsi="Arial" w:cs="Arial"/>
          <w:bdr w:val="none" w:sz="0" w:space="0" w:color="auto" w:frame="1"/>
          <w:shd w:val="clear" w:color="auto" w:fill="FFFFFF"/>
        </w:rPr>
        <w:t>, A. A.,  </w:t>
      </w:r>
      <w:hyperlink r:id="rId9" w:history="1">
        <w:r w:rsidRPr="004E2C55">
          <w:rPr>
            <w:rStyle w:val="Hyperlink"/>
            <w:rFonts w:ascii="Arial" w:hAnsi="Arial" w:cs="Arial"/>
            <w:color w:val="auto"/>
            <w:u w:val="none"/>
            <w:bdr w:val="none" w:sz="0" w:space="0" w:color="auto" w:frame="1"/>
            <w:shd w:val="clear" w:color="auto" w:fill="FFFFFF"/>
          </w:rPr>
          <w:t>Mohammad J. Taherzadeh</w:t>
        </w:r>
      </w:hyperlink>
      <w:r w:rsidRPr="004E2C55">
        <w:rPr>
          <w:rFonts w:ascii="Arial" w:eastAsia="Times New Roman" w:hAnsi="Arial" w:cs="Arial"/>
          <w:lang w:eastAsia="en-IN"/>
        </w:rPr>
        <w:t xml:space="preserve">. (2023). Nutritional, functional, and sensorial properties of oat milk produced by single and combined acid, alkaline, α-amylase, and sprouting treatments. </w:t>
      </w:r>
      <w:r w:rsidRPr="004E2C55">
        <w:rPr>
          <w:rFonts w:ascii="Arial" w:eastAsia="Times New Roman" w:hAnsi="Arial" w:cs="Arial"/>
          <w:i/>
          <w:iCs/>
          <w:lang w:eastAsia="en-IN"/>
        </w:rPr>
        <w:t>Food Science &amp; Nutrition</w:t>
      </w:r>
      <w:r w:rsidRPr="004E2C55">
        <w:rPr>
          <w:rFonts w:ascii="Arial" w:eastAsia="Times New Roman" w:hAnsi="Arial" w:cs="Arial"/>
          <w:lang w:eastAsia="en-IN"/>
        </w:rPr>
        <w:t xml:space="preserve">. https://doi.org/10.1002/fsn3.3171 </w:t>
      </w:r>
    </w:p>
    <w:p w14:paraId="3932036E" w14:textId="77777777" w:rsidR="000B3228" w:rsidRPr="000B3228" w:rsidRDefault="000B3228" w:rsidP="000B3228">
      <w:pPr>
        <w:pStyle w:val="ListParagraph"/>
        <w:numPr>
          <w:ilvl w:val="0"/>
          <w:numId w:val="2"/>
        </w:numPr>
        <w:spacing w:after="0" w:line="480" w:lineRule="auto"/>
        <w:ind w:left="1077" w:hanging="357"/>
        <w:jc w:val="both"/>
        <w:rPr>
          <w:rFonts w:ascii="Times New Roman" w:eastAsia="Times New Roman" w:hAnsi="Times New Roman" w:cs="Times New Roman"/>
          <w:sz w:val="24"/>
          <w:szCs w:val="24"/>
          <w:lang w:eastAsia="en-IN"/>
        </w:rPr>
      </w:pPr>
      <w:r w:rsidRPr="000B3228">
        <w:rPr>
          <w:rFonts w:ascii="Times New Roman" w:eastAsia="Times New Roman" w:hAnsi="Times New Roman" w:cs="Times New Roman"/>
          <w:sz w:val="24"/>
          <w:szCs w:val="24"/>
          <w:lang w:eastAsia="en-IN"/>
        </w:rPr>
        <w:t xml:space="preserve">Brand-Williams, W., </w:t>
      </w:r>
      <w:proofErr w:type="spellStart"/>
      <w:r w:rsidRPr="000B3228">
        <w:rPr>
          <w:rFonts w:ascii="Times New Roman" w:eastAsia="Times New Roman" w:hAnsi="Times New Roman" w:cs="Times New Roman"/>
          <w:sz w:val="24"/>
          <w:szCs w:val="24"/>
          <w:lang w:eastAsia="en-IN"/>
        </w:rPr>
        <w:t>Cuvelier</w:t>
      </w:r>
      <w:proofErr w:type="spellEnd"/>
      <w:r w:rsidRPr="000B3228">
        <w:rPr>
          <w:rFonts w:ascii="Times New Roman" w:eastAsia="Times New Roman" w:hAnsi="Times New Roman" w:cs="Times New Roman"/>
          <w:sz w:val="24"/>
          <w:szCs w:val="24"/>
          <w:lang w:eastAsia="en-IN"/>
        </w:rPr>
        <w:t xml:space="preserve">, M. E., &amp; </w:t>
      </w:r>
      <w:proofErr w:type="spellStart"/>
      <w:r w:rsidRPr="000B3228">
        <w:rPr>
          <w:rFonts w:ascii="Times New Roman" w:eastAsia="Times New Roman" w:hAnsi="Times New Roman" w:cs="Times New Roman"/>
          <w:sz w:val="24"/>
          <w:szCs w:val="24"/>
          <w:lang w:eastAsia="en-IN"/>
        </w:rPr>
        <w:t>Berset</w:t>
      </w:r>
      <w:proofErr w:type="spellEnd"/>
      <w:r w:rsidRPr="000B3228">
        <w:rPr>
          <w:rFonts w:ascii="Times New Roman" w:eastAsia="Times New Roman" w:hAnsi="Times New Roman" w:cs="Times New Roman"/>
          <w:sz w:val="24"/>
          <w:szCs w:val="24"/>
          <w:lang w:eastAsia="en-IN"/>
        </w:rPr>
        <w:t xml:space="preserve">, C. (1995). Use of a free radical method to evaluate antioxidant activity. </w:t>
      </w:r>
      <w:r w:rsidRPr="000B3228">
        <w:rPr>
          <w:rFonts w:ascii="Times New Roman" w:eastAsia="Times New Roman" w:hAnsi="Times New Roman" w:cs="Times New Roman"/>
          <w:i/>
          <w:iCs/>
          <w:sz w:val="24"/>
          <w:szCs w:val="24"/>
          <w:lang w:eastAsia="en-IN"/>
        </w:rPr>
        <w:t>LWT – Food Science and Technology, 28</w:t>
      </w:r>
      <w:r w:rsidRPr="000B3228">
        <w:rPr>
          <w:rFonts w:ascii="Times New Roman" w:eastAsia="Times New Roman" w:hAnsi="Times New Roman" w:cs="Times New Roman"/>
          <w:sz w:val="24"/>
          <w:szCs w:val="24"/>
          <w:lang w:eastAsia="en-IN"/>
        </w:rPr>
        <w:t>(1), 25–30. https://doi.org/10.1016/S0023-6438(95)80008-5</w:t>
      </w:r>
    </w:p>
    <w:p w14:paraId="4EBA7424"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r w:rsidRPr="004E2C55">
        <w:rPr>
          <w:rFonts w:ascii="Arial" w:eastAsia="Times New Roman" w:hAnsi="Arial" w:cs="Arial"/>
          <w:lang w:eastAsia="en-IN"/>
        </w:rPr>
        <w:t xml:space="preserve">Christy A., Lopez-Aldana L., Chen </w:t>
      </w:r>
      <w:proofErr w:type="gramStart"/>
      <w:r w:rsidRPr="004E2C55">
        <w:rPr>
          <w:rFonts w:ascii="Arial" w:eastAsia="Times New Roman" w:hAnsi="Arial" w:cs="Arial"/>
          <w:lang w:eastAsia="en-IN"/>
        </w:rPr>
        <w:t>L.,</w:t>
      </w:r>
      <w:proofErr w:type="spellStart"/>
      <w:r w:rsidRPr="004E2C55">
        <w:rPr>
          <w:rFonts w:ascii="Arial" w:eastAsia="Times New Roman" w:hAnsi="Arial" w:cs="Arial"/>
          <w:lang w:eastAsia="en-IN"/>
        </w:rPr>
        <w:t>Wismer</w:t>
      </w:r>
      <w:proofErr w:type="spellEnd"/>
      <w:proofErr w:type="gramEnd"/>
      <w:r w:rsidRPr="004E2C55">
        <w:rPr>
          <w:rFonts w:ascii="Arial" w:eastAsia="Times New Roman" w:hAnsi="Arial" w:cs="Arial"/>
          <w:lang w:eastAsia="en-IN"/>
        </w:rPr>
        <w:t xml:space="preserve"> W., (2023), </w:t>
      </w:r>
      <w:r w:rsidRPr="004E2C55">
        <w:rPr>
          <w:rFonts w:ascii="Arial" w:hAnsi="Arial" w:cs="Arial"/>
        </w:rPr>
        <w:t xml:space="preserve">Consumer Perception and Sensory Drivers of Liking of Fortified Oat Milks, </w:t>
      </w:r>
      <w:r w:rsidRPr="00661B62">
        <w:rPr>
          <w:rFonts w:ascii="Arial" w:hAnsi="Arial" w:cs="Arial"/>
          <w:i/>
        </w:rPr>
        <w:t>Foods,</w:t>
      </w:r>
      <w:r w:rsidRPr="004E2C55">
        <w:rPr>
          <w:rFonts w:ascii="Arial" w:hAnsi="Arial" w:cs="Arial"/>
        </w:rPr>
        <w:t xml:space="preserve"> 12 (22), </w:t>
      </w:r>
      <w:r>
        <w:rPr>
          <w:rFonts w:ascii="Arial" w:hAnsi="Arial" w:cs="Arial"/>
        </w:rPr>
        <w:t xml:space="preserve">1-15. </w:t>
      </w:r>
    </w:p>
    <w:p w14:paraId="62067978"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r w:rsidRPr="004E2C55">
        <w:rPr>
          <w:rFonts w:ascii="Arial" w:hAnsi="Arial" w:cs="Arial"/>
        </w:rPr>
        <w:t xml:space="preserve">El-Sayed, M. M., Abdel-Rahman, R. F. A., &amp; Mohamed, M. A. (2021). Functional quality and antioxidant properties of fermented oat beverages. </w:t>
      </w:r>
      <w:r w:rsidRPr="004E2C55">
        <w:rPr>
          <w:rStyle w:val="Emphasis"/>
          <w:rFonts w:ascii="Arial" w:hAnsi="Arial" w:cs="Arial"/>
        </w:rPr>
        <w:t>Journal of Functional Foods, 78,</w:t>
      </w:r>
      <w:r w:rsidRPr="004E2C55">
        <w:rPr>
          <w:rFonts w:ascii="Arial" w:hAnsi="Arial" w:cs="Arial"/>
        </w:rPr>
        <w:t xml:space="preserve"> 104347. </w:t>
      </w:r>
    </w:p>
    <w:p w14:paraId="2D6EDC1E"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r w:rsidRPr="004E2C55">
        <w:rPr>
          <w:rFonts w:ascii="Arial" w:hAnsi="Arial" w:cs="Arial"/>
        </w:rPr>
        <w:t xml:space="preserve">Ganesan, V., Xu, B., &amp; Zhou, L. (2022). Probiotic potential and antioxidant properties of cereal based fermented milks: A review. </w:t>
      </w:r>
      <w:r w:rsidRPr="004E2C55">
        <w:rPr>
          <w:rStyle w:val="Emphasis"/>
          <w:rFonts w:ascii="Arial" w:hAnsi="Arial" w:cs="Arial"/>
        </w:rPr>
        <w:t>Critical Reviews in Food Science and Nutrition, 62</w:t>
      </w:r>
      <w:r w:rsidRPr="004E2C55">
        <w:rPr>
          <w:rFonts w:ascii="Arial" w:hAnsi="Arial" w:cs="Arial"/>
        </w:rPr>
        <w:t xml:space="preserve">(11), 2831–2845. </w:t>
      </w:r>
    </w:p>
    <w:p w14:paraId="10FF377A"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r w:rsidRPr="004E2C55">
        <w:rPr>
          <w:rFonts w:ascii="Arial" w:hAnsi="Arial" w:cs="Arial"/>
        </w:rPr>
        <w:t xml:space="preserve">Grosso, A. L., </w:t>
      </w:r>
      <w:proofErr w:type="spellStart"/>
      <w:r w:rsidRPr="004E2C55">
        <w:rPr>
          <w:rFonts w:ascii="Arial" w:hAnsi="Arial" w:cs="Arial"/>
        </w:rPr>
        <w:t>Cestonaro</w:t>
      </w:r>
      <w:proofErr w:type="spellEnd"/>
      <w:r w:rsidRPr="004E2C55">
        <w:rPr>
          <w:rFonts w:ascii="Arial" w:hAnsi="Arial" w:cs="Arial"/>
        </w:rPr>
        <w:t xml:space="preserve">, G., Scampicchio, M., Ferrentino, G., &amp; Costanzo, E. (2025). </w:t>
      </w:r>
      <w:r w:rsidRPr="004E2C55">
        <w:rPr>
          <w:rStyle w:val="Emphasis"/>
          <w:rFonts w:ascii="Arial" w:hAnsi="Arial" w:cs="Arial"/>
          <w:i w:val="0"/>
        </w:rPr>
        <w:t>Development of a protein-enriched oat beverage: Enhancing antioxidant activity, functional properties and stability with soy protein hydrolysates</w:t>
      </w:r>
      <w:r w:rsidRPr="004E2C55">
        <w:rPr>
          <w:rFonts w:ascii="Arial" w:hAnsi="Arial" w:cs="Arial"/>
          <w:i/>
        </w:rPr>
        <w:t>.</w:t>
      </w:r>
      <w:r w:rsidRPr="004E2C55">
        <w:rPr>
          <w:rFonts w:ascii="Arial" w:hAnsi="Arial" w:cs="Arial"/>
        </w:rPr>
        <w:t xml:space="preserve"> </w:t>
      </w:r>
      <w:r w:rsidRPr="004E2C55">
        <w:rPr>
          <w:rStyle w:val="Emphasis"/>
          <w:rFonts w:ascii="Arial" w:hAnsi="Arial" w:cs="Arial"/>
        </w:rPr>
        <w:t>LWT – Food Science and Technology, 222</w:t>
      </w:r>
      <w:r w:rsidRPr="004E2C55">
        <w:rPr>
          <w:rFonts w:ascii="Arial" w:hAnsi="Arial" w:cs="Arial"/>
        </w:rPr>
        <w:t xml:space="preserve">, 117644. </w:t>
      </w:r>
    </w:p>
    <w:p w14:paraId="2A000F39"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r w:rsidRPr="004E2C55">
        <w:rPr>
          <w:rFonts w:ascii="Arial" w:eastAsia="Times New Roman" w:hAnsi="Arial" w:cs="Arial"/>
          <w:lang w:eastAsia="en-IN"/>
        </w:rPr>
        <w:t xml:space="preserve">Lavelle, K., Mahony, J; </w:t>
      </w:r>
      <w:proofErr w:type="spellStart"/>
      <w:r w:rsidRPr="004E2C55">
        <w:rPr>
          <w:rFonts w:ascii="Arial" w:eastAsia="Times New Roman" w:hAnsi="Arial" w:cs="Arial"/>
          <w:lang w:eastAsia="en-IN"/>
        </w:rPr>
        <w:t>Sinderen</w:t>
      </w:r>
      <w:proofErr w:type="spellEnd"/>
      <w:r w:rsidRPr="004E2C55">
        <w:rPr>
          <w:rFonts w:ascii="Arial" w:eastAsia="Times New Roman" w:hAnsi="Arial" w:cs="Arial"/>
          <w:lang w:eastAsia="en-IN"/>
        </w:rPr>
        <w:t xml:space="preserve">, D V; (2025). Adaptation of bacterial starter cultures from dairy to plant systems. </w:t>
      </w:r>
      <w:r w:rsidRPr="004E2C55">
        <w:rPr>
          <w:rFonts w:ascii="Arial" w:eastAsia="Times New Roman" w:hAnsi="Arial" w:cs="Arial"/>
          <w:i/>
          <w:iCs/>
          <w:lang w:eastAsia="en-IN"/>
        </w:rPr>
        <w:t>Journal of Applied Microbiology.</w:t>
      </w:r>
      <w:r w:rsidRPr="004E2C55">
        <w:rPr>
          <w:rFonts w:ascii="Arial" w:eastAsia="Times New Roman" w:hAnsi="Arial" w:cs="Arial"/>
          <w:lang w:eastAsia="en-IN"/>
        </w:rPr>
        <w:t xml:space="preserve"> </w:t>
      </w:r>
      <w:r>
        <w:rPr>
          <w:rFonts w:ascii="Arial" w:eastAsia="Times New Roman" w:hAnsi="Arial" w:cs="Arial"/>
          <w:lang w:eastAsia="en-IN"/>
        </w:rPr>
        <w:t xml:space="preserve">441, 111304. </w:t>
      </w:r>
    </w:p>
    <w:p w14:paraId="5F54D79F"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r w:rsidRPr="004E2C55">
        <w:rPr>
          <w:rFonts w:ascii="Arial" w:hAnsi="Arial" w:cs="Arial"/>
        </w:rPr>
        <w:lastRenderedPageBreak/>
        <w:t xml:space="preserve">Liu, S., Chen, X., &amp; Zhou, R. (2024). Enhancement of antioxidant activity in fermented oat beverages through tailored starter culture selection. </w:t>
      </w:r>
      <w:r w:rsidRPr="004E2C55">
        <w:rPr>
          <w:rStyle w:val="Emphasis"/>
          <w:rFonts w:ascii="Arial" w:hAnsi="Arial" w:cs="Arial"/>
        </w:rPr>
        <w:t>Journal of Cereal Science, 118,</w:t>
      </w:r>
      <w:r w:rsidRPr="004E2C55">
        <w:rPr>
          <w:rFonts w:ascii="Arial" w:hAnsi="Arial" w:cs="Arial"/>
        </w:rPr>
        <w:t xml:space="preserve"> 103528. </w:t>
      </w:r>
    </w:p>
    <w:p w14:paraId="54E0C767"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proofErr w:type="spellStart"/>
      <w:r w:rsidRPr="004E2C55">
        <w:rPr>
          <w:rFonts w:ascii="Arial" w:hAnsi="Arial" w:cs="Arial"/>
        </w:rPr>
        <w:t>Lohita</w:t>
      </w:r>
      <w:proofErr w:type="spellEnd"/>
      <w:r w:rsidRPr="004E2C55">
        <w:rPr>
          <w:rFonts w:ascii="Arial" w:hAnsi="Arial" w:cs="Arial"/>
        </w:rPr>
        <w:t xml:space="preserve">, B., &amp; </w:t>
      </w:r>
      <w:proofErr w:type="spellStart"/>
      <w:r w:rsidRPr="004E2C55">
        <w:rPr>
          <w:rFonts w:ascii="Arial" w:hAnsi="Arial" w:cs="Arial"/>
        </w:rPr>
        <w:t>Mupparapu</w:t>
      </w:r>
      <w:proofErr w:type="spellEnd"/>
      <w:r w:rsidRPr="004E2C55">
        <w:rPr>
          <w:rFonts w:ascii="Arial" w:hAnsi="Arial" w:cs="Arial"/>
        </w:rPr>
        <w:t xml:space="preserve">, S. (2024). </w:t>
      </w:r>
      <w:r w:rsidRPr="004E2C55">
        <w:rPr>
          <w:rStyle w:val="Emphasis"/>
          <w:rFonts w:ascii="Arial" w:hAnsi="Arial" w:cs="Arial"/>
        </w:rPr>
        <w:t>Evaluating the viability of plant-based milk: A sustainable alternative to dairy</w:t>
      </w:r>
      <w:r w:rsidRPr="004E2C55">
        <w:rPr>
          <w:rFonts w:ascii="Arial" w:hAnsi="Arial" w:cs="Arial"/>
        </w:rPr>
        <w:t xml:space="preserve"> [Conference paper]. The 4th International Electronic Conference on Nutrients (Plant-Based Diets: Health and Well-Being), MDPI.</w:t>
      </w:r>
    </w:p>
    <w:p w14:paraId="4E4E8FB0"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r w:rsidRPr="004E2C55">
        <w:rPr>
          <w:rFonts w:ascii="Arial" w:hAnsi="Arial" w:cs="Arial"/>
        </w:rPr>
        <w:t xml:space="preserve">Martinez, A. M., Garcia, A. L., &amp; Cruz, A. S. (2021). Changes in phenolic profiles during oat milk fermentation. </w:t>
      </w:r>
      <w:r w:rsidRPr="004E2C55">
        <w:rPr>
          <w:rStyle w:val="Emphasis"/>
          <w:rFonts w:ascii="Arial" w:hAnsi="Arial" w:cs="Arial"/>
        </w:rPr>
        <w:t>Food Chemistry, 343,</w:t>
      </w:r>
      <w:r w:rsidRPr="004E2C55">
        <w:rPr>
          <w:rFonts w:ascii="Arial" w:hAnsi="Arial" w:cs="Arial"/>
        </w:rPr>
        <w:t xml:space="preserve"> 128462. </w:t>
      </w:r>
    </w:p>
    <w:p w14:paraId="36EB218A"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r w:rsidRPr="004E2C55">
        <w:rPr>
          <w:rFonts w:ascii="Arial" w:eastAsia="Times New Roman" w:hAnsi="Arial" w:cs="Arial"/>
          <w:lang w:eastAsia="en-IN"/>
        </w:rPr>
        <w:t xml:space="preserve">McCarron, R., Methvin, L; Grahl, S; Elliott, R., </w:t>
      </w:r>
      <w:proofErr w:type="spellStart"/>
      <w:r w:rsidRPr="004E2C55">
        <w:rPr>
          <w:rFonts w:ascii="Arial" w:eastAsia="Times New Roman" w:hAnsi="Arial" w:cs="Arial"/>
          <w:lang w:eastAsia="en-IN"/>
        </w:rPr>
        <w:t>Lignou</w:t>
      </w:r>
      <w:proofErr w:type="spellEnd"/>
      <w:r w:rsidRPr="004E2C55">
        <w:rPr>
          <w:rFonts w:ascii="Arial" w:eastAsia="Times New Roman" w:hAnsi="Arial" w:cs="Arial"/>
          <w:lang w:eastAsia="en-IN"/>
        </w:rPr>
        <w:t xml:space="preserve">, </w:t>
      </w:r>
      <w:proofErr w:type="gramStart"/>
      <w:r w:rsidRPr="004E2C55">
        <w:rPr>
          <w:rFonts w:ascii="Arial" w:eastAsia="Times New Roman" w:hAnsi="Arial" w:cs="Arial"/>
          <w:lang w:eastAsia="en-IN"/>
        </w:rPr>
        <w:t>S;  (</w:t>
      </w:r>
      <w:proofErr w:type="gramEnd"/>
      <w:r w:rsidRPr="004E2C55">
        <w:rPr>
          <w:rFonts w:ascii="Arial" w:eastAsia="Times New Roman" w:hAnsi="Arial" w:cs="Arial"/>
          <w:lang w:eastAsia="en-IN"/>
        </w:rPr>
        <w:t xml:space="preserve">2024). Oat-based milk alternatives: influence of physical and chemical properties on sensory profile. </w:t>
      </w:r>
      <w:r w:rsidRPr="004E2C55">
        <w:rPr>
          <w:rFonts w:ascii="Arial" w:eastAsia="Times New Roman" w:hAnsi="Arial" w:cs="Arial"/>
          <w:i/>
          <w:iCs/>
          <w:lang w:eastAsia="en-IN"/>
        </w:rPr>
        <w:t>Frontiers in Nutrition</w:t>
      </w:r>
      <w:r w:rsidRPr="004E2C55">
        <w:rPr>
          <w:rFonts w:ascii="Arial" w:eastAsia="Times New Roman" w:hAnsi="Arial" w:cs="Arial"/>
          <w:lang w:eastAsia="en-IN"/>
        </w:rPr>
        <w:t xml:space="preserve">. 441, </w:t>
      </w:r>
    </w:p>
    <w:p w14:paraId="7572735C" w14:textId="77777777" w:rsidR="000B3228" w:rsidRPr="000B3228" w:rsidRDefault="000B3228" w:rsidP="000B3228">
      <w:pPr>
        <w:pStyle w:val="ListParagraph"/>
        <w:numPr>
          <w:ilvl w:val="0"/>
          <w:numId w:val="2"/>
        </w:numPr>
        <w:spacing w:after="0" w:line="480" w:lineRule="auto"/>
        <w:ind w:left="1077" w:hanging="357"/>
        <w:jc w:val="both"/>
        <w:rPr>
          <w:rFonts w:ascii="Times New Roman" w:eastAsia="Times New Roman" w:hAnsi="Times New Roman" w:cs="Times New Roman"/>
          <w:sz w:val="24"/>
          <w:szCs w:val="24"/>
          <w:lang w:eastAsia="en-IN"/>
        </w:rPr>
      </w:pPr>
      <w:r w:rsidRPr="000B3228">
        <w:rPr>
          <w:rFonts w:ascii="Times New Roman" w:eastAsia="Times New Roman" w:hAnsi="Times New Roman" w:cs="Times New Roman"/>
          <w:sz w:val="24"/>
          <w:szCs w:val="24"/>
          <w:lang w:eastAsia="en-IN"/>
        </w:rPr>
        <w:t xml:space="preserve">Miller, G. L. (1959). Use of </w:t>
      </w:r>
      <w:proofErr w:type="spellStart"/>
      <w:r w:rsidRPr="000B3228">
        <w:rPr>
          <w:rFonts w:ascii="Times New Roman" w:eastAsia="Times New Roman" w:hAnsi="Times New Roman" w:cs="Times New Roman"/>
          <w:sz w:val="24"/>
          <w:szCs w:val="24"/>
          <w:lang w:eastAsia="en-IN"/>
        </w:rPr>
        <w:t>dinitrosalicylic</w:t>
      </w:r>
      <w:proofErr w:type="spellEnd"/>
      <w:r w:rsidRPr="000B3228">
        <w:rPr>
          <w:rFonts w:ascii="Times New Roman" w:eastAsia="Times New Roman" w:hAnsi="Times New Roman" w:cs="Times New Roman"/>
          <w:sz w:val="24"/>
          <w:szCs w:val="24"/>
          <w:lang w:eastAsia="en-IN"/>
        </w:rPr>
        <w:t xml:space="preserve"> acid reagent for determination of reducing sugar. </w:t>
      </w:r>
      <w:r w:rsidRPr="000B3228">
        <w:rPr>
          <w:rFonts w:ascii="Times New Roman" w:eastAsia="Times New Roman" w:hAnsi="Times New Roman" w:cs="Times New Roman"/>
          <w:i/>
          <w:iCs/>
          <w:sz w:val="24"/>
          <w:szCs w:val="24"/>
          <w:lang w:eastAsia="en-IN"/>
        </w:rPr>
        <w:t>Analytical Chemistry, 31</w:t>
      </w:r>
      <w:r w:rsidRPr="000B3228">
        <w:rPr>
          <w:rFonts w:ascii="Times New Roman" w:eastAsia="Times New Roman" w:hAnsi="Times New Roman" w:cs="Times New Roman"/>
          <w:sz w:val="24"/>
          <w:szCs w:val="24"/>
          <w:lang w:eastAsia="en-IN"/>
        </w:rPr>
        <w:t>(3), 426–428.</w:t>
      </w:r>
    </w:p>
    <w:p w14:paraId="42C09485" w14:textId="77777777" w:rsidR="000B3228" w:rsidRPr="000B3228" w:rsidRDefault="000B3228" w:rsidP="000B3228">
      <w:pPr>
        <w:pStyle w:val="ListParagraph"/>
        <w:numPr>
          <w:ilvl w:val="0"/>
          <w:numId w:val="2"/>
        </w:numPr>
        <w:spacing w:after="0" w:line="480" w:lineRule="auto"/>
        <w:ind w:left="1077" w:hanging="357"/>
        <w:jc w:val="both"/>
        <w:rPr>
          <w:rFonts w:ascii="Times New Roman" w:eastAsia="Times New Roman" w:hAnsi="Times New Roman" w:cs="Times New Roman"/>
          <w:sz w:val="24"/>
          <w:szCs w:val="24"/>
          <w:lang w:eastAsia="en-IN"/>
        </w:rPr>
      </w:pPr>
      <w:r w:rsidRPr="000B3228">
        <w:rPr>
          <w:rFonts w:ascii="Times New Roman" w:eastAsia="Times New Roman" w:hAnsi="Times New Roman" w:cs="Times New Roman"/>
          <w:sz w:val="24"/>
          <w:szCs w:val="24"/>
          <w:lang w:eastAsia="en-IN"/>
        </w:rPr>
        <w:t xml:space="preserve">Nelson, N. (1944). A photometric adaptation of the Somogyi method for the determination of glucose. </w:t>
      </w:r>
      <w:r w:rsidRPr="000B3228">
        <w:rPr>
          <w:rFonts w:ascii="Times New Roman" w:eastAsia="Times New Roman" w:hAnsi="Times New Roman" w:cs="Times New Roman"/>
          <w:i/>
          <w:iCs/>
          <w:sz w:val="24"/>
          <w:szCs w:val="24"/>
          <w:lang w:eastAsia="en-IN"/>
        </w:rPr>
        <w:t>Journal of Biological Chemistry, 153</w:t>
      </w:r>
      <w:r w:rsidRPr="000B3228">
        <w:rPr>
          <w:rFonts w:ascii="Times New Roman" w:eastAsia="Times New Roman" w:hAnsi="Times New Roman" w:cs="Times New Roman"/>
          <w:sz w:val="24"/>
          <w:szCs w:val="24"/>
          <w:lang w:eastAsia="en-IN"/>
        </w:rPr>
        <w:t>(2), 375–380.</w:t>
      </w:r>
    </w:p>
    <w:p w14:paraId="710E9525"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proofErr w:type="spellStart"/>
      <w:r w:rsidRPr="004E2C55">
        <w:rPr>
          <w:rFonts w:ascii="Arial" w:hAnsi="Arial" w:cs="Arial"/>
        </w:rPr>
        <w:t>Sathishkumar</w:t>
      </w:r>
      <w:proofErr w:type="spellEnd"/>
      <w:r w:rsidRPr="004E2C55">
        <w:rPr>
          <w:rFonts w:ascii="Arial" w:hAnsi="Arial" w:cs="Arial"/>
        </w:rPr>
        <w:t xml:space="preserve">, D., Rajendran, A. M., &amp; Bhattacharya, S. (2023). Impact of lactic acid fermentation on antioxidant properties and phenolic </w:t>
      </w:r>
      <w:proofErr w:type="spellStart"/>
      <w:r w:rsidRPr="004E2C55">
        <w:rPr>
          <w:rFonts w:ascii="Arial" w:hAnsi="Arial" w:cs="Arial"/>
        </w:rPr>
        <w:t>bioaccessibility</w:t>
      </w:r>
      <w:proofErr w:type="spellEnd"/>
      <w:r w:rsidRPr="004E2C55">
        <w:rPr>
          <w:rFonts w:ascii="Arial" w:hAnsi="Arial" w:cs="Arial"/>
        </w:rPr>
        <w:t xml:space="preserve"> in plant milks. </w:t>
      </w:r>
      <w:r w:rsidRPr="004E2C55">
        <w:rPr>
          <w:rStyle w:val="Emphasis"/>
          <w:rFonts w:ascii="Arial" w:hAnsi="Arial" w:cs="Arial"/>
        </w:rPr>
        <w:t>Journal of Food Processing and Preservation, 47</w:t>
      </w:r>
      <w:r w:rsidRPr="004E2C55">
        <w:rPr>
          <w:rFonts w:ascii="Arial" w:hAnsi="Arial" w:cs="Arial"/>
        </w:rPr>
        <w:t xml:space="preserve">(2), e16817. </w:t>
      </w:r>
    </w:p>
    <w:p w14:paraId="577C9CAF"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proofErr w:type="spellStart"/>
      <w:r w:rsidRPr="004E2C55">
        <w:rPr>
          <w:rFonts w:ascii="Arial" w:hAnsi="Arial" w:cs="Arial"/>
        </w:rPr>
        <w:t>Seifu</w:t>
      </w:r>
      <w:proofErr w:type="spellEnd"/>
      <w:r w:rsidRPr="004E2C55">
        <w:rPr>
          <w:rFonts w:ascii="Arial" w:hAnsi="Arial" w:cs="Arial"/>
        </w:rPr>
        <w:t xml:space="preserve">, Y., Birhanu, T., Abera, B., &amp; Duraisamy, R. (2025). </w:t>
      </w:r>
      <w:r w:rsidRPr="004E2C55">
        <w:rPr>
          <w:rStyle w:val="Emphasis"/>
          <w:rFonts w:ascii="Arial" w:hAnsi="Arial" w:cs="Arial"/>
          <w:i w:val="0"/>
        </w:rPr>
        <w:t>Peanut, oat, and chickpea composite plant-based milk alternatives: Formulation, optimization, and evaluation of nutritional, microbial, and shelf-life characteristics.</w:t>
      </w:r>
      <w:r w:rsidRPr="004E2C55">
        <w:rPr>
          <w:rFonts w:ascii="Arial" w:hAnsi="Arial" w:cs="Arial"/>
        </w:rPr>
        <w:t xml:space="preserve"> </w:t>
      </w:r>
      <w:r w:rsidRPr="004E2C55">
        <w:rPr>
          <w:rStyle w:val="Emphasis"/>
          <w:rFonts w:ascii="Arial" w:hAnsi="Arial" w:cs="Arial"/>
        </w:rPr>
        <w:t>African Journal of Food Science</w:t>
      </w:r>
      <w:r w:rsidRPr="004E2C55">
        <w:rPr>
          <w:rFonts w:ascii="Arial" w:hAnsi="Arial" w:cs="Arial"/>
        </w:rPr>
        <w:t xml:space="preserve">, 5(1), 101035. </w:t>
      </w:r>
    </w:p>
    <w:p w14:paraId="6293C34F" w14:textId="77777777" w:rsidR="000B3228" w:rsidRPr="000B3228" w:rsidRDefault="000B3228" w:rsidP="000B3228">
      <w:pPr>
        <w:pStyle w:val="ListParagraph"/>
        <w:numPr>
          <w:ilvl w:val="0"/>
          <w:numId w:val="2"/>
        </w:numPr>
        <w:spacing w:after="0" w:line="480" w:lineRule="auto"/>
        <w:ind w:left="1077" w:hanging="357"/>
        <w:jc w:val="both"/>
        <w:rPr>
          <w:rFonts w:ascii="Times New Roman" w:eastAsia="Times New Roman" w:hAnsi="Times New Roman" w:cs="Times New Roman"/>
          <w:sz w:val="24"/>
          <w:szCs w:val="24"/>
          <w:lang w:eastAsia="en-IN"/>
        </w:rPr>
      </w:pPr>
      <w:r w:rsidRPr="000B3228">
        <w:rPr>
          <w:rFonts w:ascii="Times New Roman" w:eastAsia="Times New Roman" w:hAnsi="Times New Roman" w:cs="Times New Roman"/>
          <w:sz w:val="24"/>
          <w:szCs w:val="24"/>
          <w:lang w:eastAsia="en-IN"/>
        </w:rPr>
        <w:t>Singleton, V. L., &amp; Rossi, J. A. (1965). Colorimetry of total phenolics with phosphomolybdic–</w:t>
      </w:r>
      <w:proofErr w:type="spellStart"/>
      <w:r w:rsidRPr="000B3228">
        <w:rPr>
          <w:rFonts w:ascii="Times New Roman" w:eastAsia="Times New Roman" w:hAnsi="Times New Roman" w:cs="Times New Roman"/>
          <w:sz w:val="24"/>
          <w:szCs w:val="24"/>
          <w:lang w:eastAsia="en-IN"/>
        </w:rPr>
        <w:t>phosphotungstic</w:t>
      </w:r>
      <w:proofErr w:type="spellEnd"/>
      <w:r w:rsidRPr="000B3228">
        <w:rPr>
          <w:rFonts w:ascii="Times New Roman" w:eastAsia="Times New Roman" w:hAnsi="Times New Roman" w:cs="Times New Roman"/>
          <w:sz w:val="24"/>
          <w:szCs w:val="24"/>
          <w:lang w:eastAsia="en-IN"/>
        </w:rPr>
        <w:t xml:space="preserve"> acid reagents. </w:t>
      </w:r>
      <w:r w:rsidRPr="000B3228">
        <w:rPr>
          <w:rFonts w:ascii="Times New Roman" w:eastAsia="Times New Roman" w:hAnsi="Times New Roman" w:cs="Times New Roman"/>
          <w:i/>
          <w:iCs/>
          <w:sz w:val="24"/>
          <w:szCs w:val="24"/>
          <w:lang w:eastAsia="en-IN"/>
        </w:rPr>
        <w:t xml:space="preserve">American Journal of </w:t>
      </w:r>
      <w:proofErr w:type="spellStart"/>
      <w:r w:rsidRPr="000B3228">
        <w:rPr>
          <w:rFonts w:ascii="Times New Roman" w:eastAsia="Times New Roman" w:hAnsi="Times New Roman" w:cs="Times New Roman"/>
          <w:i/>
          <w:iCs/>
          <w:sz w:val="24"/>
          <w:szCs w:val="24"/>
          <w:lang w:eastAsia="en-IN"/>
        </w:rPr>
        <w:t>Enology</w:t>
      </w:r>
      <w:proofErr w:type="spellEnd"/>
      <w:r w:rsidRPr="000B3228">
        <w:rPr>
          <w:rFonts w:ascii="Times New Roman" w:eastAsia="Times New Roman" w:hAnsi="Times New Roman" w:cs="Times New Roman"/>
          <w:i/>
          <w:iCs/>
          <w:sz w:val="24"/>
          <w:szCs w:val="24"/>
          <w:lang w:eastAsia="en-IN"/>
        </w:rPr>
        <w:t xml:space="preserve"> and Viticulture, 16</w:t>
      </w:r>
      <w:r w:rsidRPr="000B3228">
        <w:rPr>
          <w:rFonts w:ascii="Times New Roman" w:eastAsia="Times New Roman" w:hAnsi="Times New Roman" w:cs="Times New Roman"/>
          <w:sz w:val="24"/>
          <w:szCs w:val="24"/>
          <w:lang w:eastAsia="en-IN"/>
        </w:rPr>
        <w:t>(3), 144–158.</w:t>
      </w:r>
    </w:p>
    <w:p w14:paraId="59B89074" w14:textId="77777777" w:rsidR="000B3228" w:rsidRPr="000B3228" w:rsidRDefault="000B3228" w:rsidP="000B3228">
      <w:pPr>
        <w:pStyle w:val="ListParagraph"/>
        <w:numPr>
          <w:ilvl w:val="0"/>
          <w:numId w:val="2"/>
        </w:numPr>
        <w:spacing w:after="0" w:line="480" w:lineRule="auto"/>
        <w:ind w:left="1077" w:hanging="357"/>
        <w:jc w:val="both"/>
        <w:rPr>
          <w:rFonts w:ascii="Times New Roman" w:eastAsia="Times New Roman" w:hAnsi="Times New Roman" w:cs="Times New Roman"/>
          <w:sz w:val="24"/>
          <w:szCs w:val="24"/>
          <w:lang w:eastAsia="en-IN"/>
        </w:rPr>
      </w:pPr>
      <w:r w:rsidRPr="000B3228">
        <w:rPr>
          <w:rFonts w:ascii="Times New Roman" w:eastAsia="Times New Roman" w:hAnsi="Times New Roman" w:cs="Times New Roman"/>
          <w:sz w:val="24"/>
          <w:szCs w:val="24"/>
          <w:lang w:eastAsia="en-IN"/>
        </w:rPr>
        <w:t xml:space="preserve">Somogyi, M. (1952). Notes on sugar determination. </w:t>
      </w:r>
      <w:r w:rsidRPr="000B3228">
        <w:rPr>
          <w:rFonts w:ascii="Times New Roman" w:eastAsia="Times New Roman" w:hAnsi="Times New Roman" w:cs="Times New Roman"/>
          <w:i/>
          <w:iCs/>
          <w:sz w:val="24"/>
          <w:szCs w:val="24"/>
          <w:lang w:eastAsia="en-IN"/>
        </w:rPr>
        <w:t>Journal of Biological Chemistry, 195</w:t>
      </w:r>
      <w:r w:rsidRPr="000B3228">
        <w:rPr>
          <w:rFonts w:ascii="Times New Roman" w:eastAsia="Times New Roman" w:hAnsi="Times New Roman" w:cs="Times New Roman"/>
          <w:sz w:val="24"/>
          <w:szCs w:val="24"/>
          <w:lang w:eastAsia="en-IN"/>
        </w:rPr>
        <w:t>(1), 19–23.</w:t>
      </w:r>
    </w:p>
    <w:p w14:paraId="188A9B6B" w14:textId="77777777" w:rsidR="000B3228" w:rsidRPr="000B3228" w:rsidRDefault="000B3228" w:rsidP="000B3228">
      <w:pPr>
        <w:pStyle w:val="ListParagraph"/>
        <w:numPr>
          <w:ilvl w:val="0"/>
          <w:numId w:val="2"/>
        </w:numPr>
        <w:spacing w:after="0" w:line="480" w:lineRule="auto"/>
        <w:ind w:left="1077" w:hanging="357"/>
        <w:jc w:val="both"/>
        <w:rPr>
          <w:rFonts w:ascii="Times New Roman" w:eastAsia="Times New Roman" w:hAnsi="Times New Roman" w:cs="Times New Roman"/>
          <w:sz w:val="24"/>
          <w:szCs w:val="24"/>
          <w:lang w:eastAsia="en-IN"/>
        </w:rPr>
      </w:pPr>
      <w:r w:rsidRPr="000B3228">
        <w:rPr>
          <w:rFonts w:ascii="Times New Roman" w:eastAsia="Times New Roman" w:hAnsi="Times New Roman" w:cs="Times New Roman"/>
          <w:sz w:val="24"/>
          <w:szCs w:val="24"/>
          <w:lang w:eastAsia="en-IN"/>
        </w:rPr>
        <w:lastRenderedPageBreak/>
        <w:t xml:space="preserve">Stone, H., &amp; </w:t>
      </w:r>
      <w:proofErr w:type="spellStart"/>
      <w:r w:rsidRPr="000B3228">
        <w:rPr>
          <w:rFonts w:ascii="Times New Roman" w:eastAsia="Times New Roman" w:hAnsi="Times New Roman" w:cs="Times New Roman"/>
          <w:sz w:val="24"/>
          <w:szCs w:val="24"/>
          <w:lang w:eastAsia="en-IN"/>
        </w:rPr>
        <w:t>Sidel</w:t>
      </w:r>
      <w:proofErr w:type="spellEnd"/>
      <w:r w:rsidRPr="000B3228">
        <w:rPr>
          <w:rFonts w:ascii="Times New Roman" w:eastAsia="Times New Roman" w:hAnsi="Times New Roman" w:cs="Times New Roman"/>
          <w:sz w:val="24"/>
          <w:szCs w:val="24"/>
          <w:lang w:eastAsia="en-IN"/>
        </w:rPr>
        <w:t xml:space="preserve">, J. L. (2004). </w:t>
      </w:r>
      <w:r w:rsidRPr="000B3228">
        <w:rPr>
          <w:rFonts w:ascii="Times New Roman" w:eastAsia="Times New Roman" w:hAnsi="Times New Roman" w:cs="Times New Roman"/>
          <w:i/>
          <w:iCs/>
          <w:sz w:val="24"/>
          <w:szCs w:val="24"/>
          <w:lang w:eastAsia="en-IN"/>
        </w:rPr>
        <w:t>Sensory evaluation practices</w:t>
      </w:r>
      <w:r w:rsidRPr="000B3228">
        <w:rPr>
          <w:rFonts w:ascii="Times New Roman" w:eastAsia="Times New Roman" w:hAnsi="Times New Roman" w:cs="Times New Roman"/>
          <w:sz w:val="24"/>
          <w:szCs w:val="24"/>
          <w:lang w:eastAsia="en-IN"/>
        </w:rPr>
        <w:t xml:space="preserve"> (3rd ed.). Elsevier Academic Press.</w:t>
      </w:r>
    </w:p>
    <w:p w14:paraId="18791338"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proofErr w:type="spellStart"/>
      <w:r w:rsidRPr="004E2C55">
        <w:rPr>
          <w:rFonts w:ascii="Arial" w:eastAsia="Times New Roman" w:hAnsi="Arial" w:cs="Arial"/>
          <w:lang w:eastAsia="en-IN"/>
        </w:rPr>
        <w:t>Tangyu</w:t>
      </w:r>
      <w:proofErr w:type="spellEnd"/>
      <w:r w:rsidRPr="004E2C55">
        <w:rPr>
          <w:rFonts w:ascii="Arial" w:eastAsia="Times New Roman" w:hAnsi="Arial" w:cs="Arial"/>
          <w:lang w:eastAsia="en-IN"/>
        </w:rPr>
        <w:t xml:space="preserve">, M., Fritz, M., Tan, J. P., Ye, L., Bolten, C. J., </w:t>
      </w:r>
      <w:proofErr w:type="spellStart"/>
      <w:r w:rsidRPr="004E2C55">
        <w:rPr>
          <w:rFonts w:ascii="Arial" w:eastAsia="Times New Roman" w:hAnsi="Arial" w:cs="Arial"/>
          <w:lang w:eastAsia="en-IN"/>
        </w:rPr>
        <w:t>Bogicevic</w:t>
      </w:r>
      <w:proofErr w:type="spellEnd"/>
      <w:r w:rsidRPr="004E2C55">
        <w:rPr>
          <w:rFonts w:ascii="Arial" w:eastAsia="Times New Roman" w:hAnsi="Arial" w:cs="Arial"/>
          <w:lang w:eastAsia="en-IN"/>
        </w:rPr>
        <w:t xml:space="preserve">, B., Wittmann, C. (2023). Flavour by design: food-grade lactic acid bacteria improve the volatile aroma spectrum of oat milk, sunflower seed milk, pea milk, and faba milk. </w:t>
      </w:r>
      <w:r w:rsidRPr="004E2C55">
        <w:rPr>
          <w:rFonts w:ascii="Arial" w:eastAsia="Times New Roman" w:hAnsi="Arial" w:cs="Arial"/>
          <w:i/>
          <w:iCs/>
          <w:lang w:eastAsia="en-IN"/>
        </w:rPr>
        <w:t>Microbial Cell Factories</w:t>
      </w:r>
      <w:r w:rsidRPr="004E2C55">
        <w:rPr>
          <w:rFonts w:ascii="Arial" w:eastAsia="Times New Roman" w:hAnsi="Arial" w:cs="Arial"/>
          <w:lang w:eastAsia="en-IN"/>
        </w:rPr>
        <w:t xml:space="preserve">, 22, 133. </w:t>
      </w:r>
    </w:p>
    <w:p w14:paraId="77E2F96C"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proofErr w:type="spellStart"/>
      <w:r w:rsidRPr="004E2C55">
        <w:rPr>
          <w:rFonts w:ascii="Arial" w:hAnsi="Arial" w:cs="Arial"/>
        </w:rPr>
        <w:t>Vahini</w:t>
      </w:r>
      <w:proofErr w:type="spellEnd"/>
      <w:r w:rsidRPr="004E2C55">
        <w:rPr>
          <w:rFonts w:ascii="Arial" w:hAnsi="Arial" w:cs="Arial"/>
        </w:rPr>
        <w:t xml:space="preserve">, V. R., Farhana, A. H., and Roshini, P. (2025) Optimization and quality characterization of functional lassi prepared from blends of cow’s milk and sesame seed extract, </w:t>
      </w:r>
      <w:r w:rsidRPr="004E2C55">
        <w:rPr>
          <w:rFonts w:ascii="Arial" w:hAnsi="Arial" w:cs="Arial"/>
          <w:i/>
        </w:rPr>
        <w:t xml:space="preserve">International Journal of Home Science; </w:t>
      </w:r>
      <w:r w:rsidRPr="004E2C55">
        <w:rPr>
          <w:rFonts w:ascii="Arial" w:hAnsi="Arial" w:cs="Arial"/>
        </w:rPr>
        <w:t>11(3): 293-299</w:t>
      </w:r>
    </w:p>
    <w:p w14:paraId="59879945"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proofErr w:type="spellStart"/>
      <w:r w:rsidRPr="004E2C55">
        <w:rPr>
          <w:rFonts w:ascii="Arial" w:hAnsi="Arial" w:cs="Arial"/>
        </w:rPr>
        <w:t>Xie</w:t>
      </w:r>
      <w:proofErr w:type="spellEnd"/>
      <w:r w:rsidRPr="004E2C55">
        <w:rPr>
          <w:rFonts w:ascii="Arial" w:hAnsi="Arial" w:cs="Arial"/>
        </w:rPr>
        <w:t xml:space="preserve">, A.; Dong, Y.; Liu, Z.; Li, Z.; Shao, J.; Li, M.; Yue, X. (2023), A Review of Plant-Based Drinks Addressing Nutrients, </w:t>
      </w:r>
      <w:proofErr w:type="spellStart"/>
      <w:r w:rsidRPr="004E2C55">
        <w:rPr>
          <w:rFonts w:ascii="Arial" w:hAnsi="Arial" w:cs="Arial"/>
        </w:rPr>
        <w:t>Flavor</w:t>
      </w:r>
      <w:proofErr w:type="spellEnd"/>
      <w:r w:rsidRPr="004E2C55">
        <w:rPr>
          <w:rFonts w:ascii="Arial" w:hAnsi="Arial" w:cs="Arial"/>
        </w:rPr>
        <w:t xml:space="preserve">, and Processing Technologies. </w:t>
      </w:r>
      <w:r w:rsidRPr="004E2C55">
        <w:rPr>
          <w:rFonts w:ascii="Arial" w:hAnsi="Arial" w:cs="Arial"/>
          <w:i/>
        </w:rPr>
        <w:t>Foods</w:t>
      </w:r>
      <w:r w:rsidRPr="004E2C55">
        <w:rPr>
          <w:rFonts w:ascii="Arial" w:hAnsi="Arial" w:cs="Arial"/>
        </w:rPr>
        <w:t>, 12, 3952. https://doi.org/10.3390/ foods1221395</w:t>
      </w:r>
    </w:p>
    <w:p w14:paraId="420FE1C7" w14:textId="77777777" w:rsidR="000B3228" w:rsidRPr="004E2C55"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r w:rsidRPr="004E2C55">
        <w:rPr>
          <w:rFonts w:ascii="Arial" w:eastAsia="Times New Roman" w:hAnsi="Arial" w:cs="Arial"/>
          <w:lang w:eastAsia="en-IN"/>
        </w:rPr>
        <w:t>Yu, Y., Li, X.</w:t>
      </w:r>
      <w:proofErr w:type="gramStart"/>
      <w:r w:rsidRPr="004E2C55">
        <w:rPr>
          <w:rFonts w:ascii="Arial" w:eastAsia="Times New Roman" w:hAnsi="Arial" w:cs="Arial"/>
          <w:lang w:eastAsia="en-IN"/>
        </w:rPr>
        <w:t>,  Zhang</w:t>
      </w:r>
      <w:proofErr w:type="gramEnd"/>
      <w:r w:rsidRPr="004E2C55">
        <w:rPr>
          <w:rFonts w:ascii="Arial" w:eastAsia="Times New Roman" w:hAnsi="Arial" w:cs="Arial"/>
          <w:lang w:eastAsia="en-IN"/>
        </w:rPr>
        <w:t xml:space="preserve">, J;  Li, X., Wang, J; Sun, B; (2023). Oat milk analogue versus traditional milk: sensory and physicochemical properties. Food Chemistry, 19, </w:t>
      </w:r>
      <w:r w:rsidRPr="004E2C55">
        <w:rPr>
          <w:rFonts w:ascii="Arial" w:hAnsi="Arial" w:cs="Arial"/>
          <w:color w:val="1F1F1F"/>
        </w:rPr>
        <w:t xml:space="preserve">100859. </w:t>
      </w:r>
    </w:p>
    <w:p w14:paraId="765576D7" w14:textId="77777777" w:rsidR="000B3228" w:rsidRPr="000B3228" w:rsidRDefault="000B3228" w:rsidP="000B3228">
      <w:pPr>
        <w:pStyle w:val="ListParagraph"/>
        <w:numPr>
          <w:ilvl w:val="0"/>
          <w:numId w:val="2"/>
        </w:numPr>
        <w:spacing w:after="0" w:line="480" w:lineRule="auto"/>
        <w:ind w:left="1077" w:hanging="357"/>
        <w:jc w:val="both"/>
        <w:rPr>
          <w:rFonts w:ascii="Arial" w:eastAsia="Times New Roman" w:hAnsi="Arial" w:cs="Arial"/>
          <w:lang w:eastAsia="en-IN"/>
        </w:rPr>
      </w:pPr>
      <w:r w:rsidRPr="004E2C55">
        <w:rPr>
          <w:rFonts w:ascii="Arial" w:hAnsi="Arial" w:cs="Arial"/>
        </w:rPr>
        <w:t xml:space="preserve">Zhao, R., &amp; Beta, T. (2020). Phenolic acids and avenanthramides in oat varieties: Distribution and antioxidant activity. Journal of Agricultural and </w:t>
      </w:r>
      <w:r w:rsidRPr="004E2C55">
        <w:rPr>
          <w:rFonts w:ascii="Arial" w:hAnsi="Arial" w:cs="Arial"/>
          <w:i/>
        </w:rPr>
        <w:t>Food Chemistry,</w:t>
      </w:r>
      <w:r w:rsidRPr="004E2C55">
        <w:rPr>
          <w:rFonts w:ascii="Arial" w:hAnsi="Arial" w:cs="Arial"/>
        </w:rPr>
        <w:t xml:space="preserve"> 68(34), 9270–9280. </w:t>
      </w:r>
    </w:p>
    <w:p w14:paraId="3DE7AA37" w14:textId="6426DF33" w:rsidR="000F0C18" w:rsidRPr="000B3228" w:rsidRDefault="000B3228" w:rsidP="008B4DDC">
      <w:pPr>
        <w:pStyle w:val="ListParagraph"/>
        <w:numPr>
          <w:ilvl w:val="0"/>
          <w:numId w:val="2"/>
        </w:numPr>
        <w:spacing w:after="0" w:line="480" w:lineRule="auto"/>
        <w:ind w:left="1077" w:hanging="357"/>
        <w:jc w:val="both"/>
        <w:rPr>
          <w:rFonts w:ascii="Arial" w:eastAsia="Times New Roman" w:hAnsi="Arial" w:cs="Arial"/>
          <w:lang w:eastAsia="en-IN"/>
        </w:rPr>
      </w:pPr>
      <w:r w:rsidRPr="004E2C55">
        <w:rPr>
          <w:rFonts w:ascii="Arial" w:eastAsia="Times New Roman" w:hAnsi="Arial" w:cs="Arial"/>
          <w:lang w:eastAsia="en-IN"/>
        </w:rPr>
        <w:t xml:space="preserve">Zhou, S., Jia, Q., Cui, L., Dai, Y., Li, R., Tang, J., Lu, J. (2023). Physical–Chemical and Sensory Quality of Oat Milk Produced Using Different Cultivars. </w:t>
      </w:r>
      <w:r w:rsidRPr="004E2C55">
        <w:rPr>
          <w:rFonts w:ascii="Arial" w:eastAsia="Times New Roman" w:hAnsi="Arial" w:cs="Arial"/>
          <w:i/>
          <w:iCs/>
          <w:lang w:eastAsia="en-IN"/>
        </w:rPr>
        <w:t>Foods</w:t>
      </w:r>
      <w:r w:rsidRPr="004E2C55">
        <w:rPr>
          <w:rFonts w:ascii="Arial" w:eastAsia="Times New Roman" w:hAnsi="Arial" w:cs="Arial"/>
          <w:lang w:eastAsia="en-IN"/>
        </w:rPr>
        <w:t xml:space="preserve">, 12(6), </w:t>
      </w:r>
      <w:bookmarkStart w:id="4" w:name="_GoBack"/>
      <w:bookmarkEnd w:id="4"/>
      <w:r w:rsidRPr="004E2C55">
        <w:rPr>
          <w:rFonts w:ascii="Arial" w:eastAsia="Times New Roman" w:hAnsi="Arial" w:cs="Arial"/>
          <w:lang w:eastAsia="en-IN"/>
        </w:rPr>
        <w:t xml:space="preserve">1165. </w:t>
      </w:r>
    </w:p>
    <w:sectPr w:rsidR="000F0C18" w:rsidRPr="000B3228">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BBD52" w14:textId="77777777" w:rsidR="009F28FD" w:rsidRDefault="009F28FD" w:rsidP="00294E9D">
      <w:pPr>
        <w:spacing w:after="0" w:line="240" w:lineRule="auto"/>
      </w:pPr>
      <w:r>
        <w:separator/>
      </w:r>
    </w:p>
  </w:endnote>
  <w:endnote w:type="continuationSeparator" w:id="0">
    <w:p w14:paraId="3AA2FBBA" w14:textId="77777777" w:rsidR="009F28FD" w:rsidRDefault="009F28FD" w:rsidP="0029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023500"/>
      <w:docPartObj>
        <w:docPartGallery w:val="Page Numbers (Bottom of Page)"/>
        <w:docPartUnique/>
      </w:docPartObj>
    </w:sdtPr>
    <w:sdtEndPr>
      <w:rPr>
        <w:noProof/>
      </w:rPr>
    </w:sdtEndPr>
    <w:sdtContent>
      <w:p w14:paraId="61466F73" w14:textId="21ABF651" w:rsidR="004D2EA4" w:rsidRDefault="004D2E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0FE9C" w14:textId="77777777" w:rsidR="00294E9D" w:rsidRDefault="00294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A5072" w14:textId="77777777" w:rsidR="009F28FD" w:rsidRDefault="009F28FD" w:rsidP="00294E9D">
      <w:pPr>
        <w:spacing w:after="0" w:line="240" w:lineRule="auto"/>
      </w:pPr>
      <w:r>
        <w:separator/>
      </w:r>
    </w:p>
  </w:footnote>
  <w:footnote w:type="continuationSeparator" w:id="0">
    <w:p w14:paraId="24F43124" w14:textId="77777777" w:rsidR="009F28FD" w:rsidRDefault="009F28FD" w:rsidP="00294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C1BA9" w14:textId="5B11D15C" w:rsidR="00294E9D" w:rsidRDefault="00E343EB">
    <w:pPr>
      <w:pStyle w:val="Header"/>
    </w:pPr>
    <w:r>
      <w:rPr>
        <w:noProof/>
      </w:rPr>
      <w:pict w14:anchorId="6A22F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8B6F2" w14:textId="441CF13D" w:rsidR="00294E9D" w:rsidRDefault="00E343EB">
    <w:pPr>
      <w:pStyle w:val="Header"/>
    </w:pPr>
    <w:r>
      <w:rPr>
        <w:noProof/>
      </w:rPr>
      <w:pict w14:anchorId="687DF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90CF" w14:textId="0F7F34AC" w:rsidR="00294E9D" w:rsidRDefault="00E343EB">
    <w:pPr>
      <w:pStyle w:val="Header"/>
    </w:pPr>
    <w:r>
      <w:rPr>
        <w:noProof/>
      </w:rPr>
      <w:pict w14:anchorId="53376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7645"/>
    <w:multiLevelType w:val="multilevel"/>
    <w:tmpl w:val="F3FC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820C6"/>
    <w:multiLevelType w:val="hybridMultilevel"/>
    <w:tmpl w:val="82DA4B7E"/>
    <w:lvl w:ilvl="0" w:tplc="7A8E145A">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09"/>
    <w:rsid w:val="0005230A"/>
    <w:rsid w:val="0009593F"/>
    <w:rsid w:val="000B3228"/>
    <w:rsid w:val="000F0C18"/>
    <w:rsid w:val="00167ACE"/>
    <w:rsid w:val="001C6EEB"/>
    <w:rsid w:val="00221A1C"/>
    <w:rsid w:val="0023797E"/>
    <w:rsid w:val="002712DB"/>
    <w:rsid w:val="00294E9D"/>
    <w:rsid w:val="002A03C1"/>
    <w:rsid w:val="002B31A3"/>
    <w:rsid w:val="002D1E9D"/>
    <w:rsid w:val="002F01FE"/>
    <w:rsid w:val="00330447"/>
    <w:rsid w:val="00334F46"/>
    <w:rsid w:val="0034101F"/>
    <w:rsid w:val="003854AC"/>
    <w:rsid w:val="00415B99"/>
    <w:rsid w:val="00437020"/>
    <w:rsid w:val="00487A09"/>
    <w:rsid w:val="004B6F04"/>
    <w:rsid w:val="004D2EA4"/>
    <w:rsid w:val="004E2C55"/>
    <w:rsid w:val="0052566C"/>
    <w:rsid w:val="00550706"/>
    <w:rsid w:val="0061651B"/>
    <w:rsid w:val="006215BA"/>
    <w:rsid w:val="00661B62"/>
    <w:rsid w:val="006E7013"/>
    <w:rsid w:val="00710430"/>
    <w:rsid w:val="00712F59"/>
    <w:rsid w:val="007134FF"/>
    <w:rsid w:val="00727FBE"/>
    <w:rsid w:val="007319E8"/>
    <w:rsid w:val="007446D6"/>
    <w:rsid w:val="00775216"/>
    <w:rsid w:val="007D31EE"/>
    <w:rsid w:val="008374F9"/>
    <w:rsid w:val="008B4DDC"/>
    <w:rsid w:val="008E074A"/>
    <w:rsid w:val="009316AD"/>
    <w:rsid w:val="00943862"/>
    <w:rsid w:val="00976C97"/>
    <w:rsid w:val="009B47BD"/>
    <w:rsid w:val="009F28FD"/>
    <w:rsid w:val="009F4620"/>
    <w:rsid w:val="00A27FFC"/>
    <w:rsid w:val="00A75015"/>
    <w:rsid w:val="00B477E9"/>
    <w:rsid w:val="00BD3063"/>
    <w:rsid w:val="00BD75BA"/>
    <w:rsid w:val="00C051D4"/>
    <w:rsid w:val="00C50214"/>
    <w:rsid w:val="00C903C1"/>
    <w:rsid w:val="00D163E3"/>
    <w:rsid w:val="00D22746"/>
    <w:rsid w:val="00D30B08"/>
    <w:rsid w:val="00D641C8"/>
    <w:rsid w:val="00DA0126"/>
    <w:rsid w:val="00DE6608"/>
    <w:rsid w:val="00E21D59"/>
    <w:rsid w:val="00E343EB"/>
    <w:rsid w:val="00E45C4F"/>
    <w:rsid w:val="00E5005C"/>
    <w:rsid w:val="00F00606"/>
    <w:rsid w:val="00F017F3"/>
    <w:rsid w:val="00F045A7"/>
    <w:rsid w:val="00F825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5A9E0"/>
  <w15:chartTrackingRefBased/>
  <w15:docId w15:val="{CE132BED-3A72-461F-ABC8-4D440E08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7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F0C1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F0C1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0C1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F0C1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F0C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F0C18"/>
    <w:rPr>
      <w:b/>
      <w:bCs/>
    </w:rPr>
  </w:style>
  <w:style w:type="character" w:styleId="Emphasis">
    <w:name w:val="Emphasis"/>
    <w:basedOn w:val="DefaultParagraphFont"/>
    <w:uiPriority w:val="20"/>
    <w:qFormat/>
    <w:rsid w:val="000F0C18"/>
    <w:rPr>
      <w:i/>
      <w:iCs/>
    </w:rPr>
  </w:style>
  <w:style w:type="character" w:customStyle="1" w:styleId="ms-1">
    <w:name w:val="ms-1"/>
    <w:basedOn w:val="DefaultParagraphFont"/>
    <w:rsid w:val="000F0C18"/>
  </w:style>
  <w:style w:type="character" w:customStyle="1" w:styleId="max-w-15ch">
    <w:name w:val="max-w-[15ch]"/>
    <w:basedOn w:val="DefaultParagraphFont"/>
    <w:rsid w:val="000F0C18"/>
  </w:style>
  <w:style w:type="character" w:customStyle="1" w:styleId="-me-1">
    <w:name w:val="-me-1"/>
    <w:basedOn w:val="DefaultParagraphFont"/>
    <w:rsid w:val="000F0C18"/>
  </w:style>
  <w:style w:type="table" w:styleId="TableGrid">
    <w:name w:val="Table Grid"/>
    <w:basedOn w:val="TableNormal"/>
    <w:uiPriority w:val="39"/>
    <w:rsid w:val="00775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block">
    <w:name w:val="inlineblock"/>
    <w:basedOn w:val="DefaultParagraphFont"/>
    <w:rsid w:val="0005230A"/>
  </w:style>
  <w:style w:type="character" w:customStyle="1" w:styleId="Heading1Char">
    <w:name w:val="Heading 1 Char"/>
    <w:basedOn w:val="DefaultParagraphFont"/>
    <w:link w:val="Heading1"/>
    <w:uiPriority w:val="9"/>
    <w:rsid w:val="009B47B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B47BD"/>
    <w:rPr>
      <w:color w:val="0000FF"/>
      <w:u w:val="single"/>
    </w:rPr>
  </w:style>
  <w:style w:type="table" w:styleId="GridTable6Colorful">
    <w:name w:val="Grid Table 6 Colorful"/>
    <w:basedOn w:val="TableNormal"/>
    <w:uiPriority w:val="51"/>
    <w:rsid w:val="00F017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F017F3"/>
    <w:pPr>
      <w:widowControl w:val="0"/>
      <w:autoSpaceDE w:val="0"/>
      <w:autoSpaceDN w:val="0"/>
      <w:spacing w:after="0" w:line="240" w:lineRule="auto"/>
      <w:ind w:left="165"/>
      <w:jc w:val="both"/>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F017F3"/>
    <w:rPr>
      <w:rFonts w:ascii="Times New Roman" w:eastAsia="Times New Roman" w:hAnsi="Times New Roman" w:cs="Times New Roman"/>
      <w:sz w:val="18"/>
      <w:szCs w:val="18"/>
      <w:lang w:val="en-US"/>
    </w:rPr>
  </w:style>
  <w:style w:type="paragraph" w:styleId="ListParagraph">
    <w:name w:val="List Paragraph"/>
    <w:basedOn w:val="Normal"/>
    <w:uiPriority w:val="34"/>
    <w:qFormat/>
    <w:rsid w:val="00437020"/>
    <w:pPr>
      <w:ind w:left="720"/>
      <w:contextualSpacing/>
    </w:pPr>
  </w:style>
  <w:style w:type="character" w:customStyle="1" w:styleId="accordion-tabbedtab-mobile">
    <w:name w:val="accordion-tabbed__tab-mobile"/>
    <w:basedOn w:val="DefaultParagraphFont"/>
    <w:rsid w:val="00221A1C"/>
  </w:style>
  <w:style w:type="character" w:customStyle="1" w:styleId="comma-separator">
    <w:name w:val="comma-separator"/>
    <w:basedOn w:val="DefaultParagraphFont"/>
    <w:rsid w:val="00221A1C"/>
  </w:style>
  <w:style w:type="table" w:styleId="PlainTable5">
    <w:name w:val="Plain Table 5"/>
    <w:basedOn w:val="TableNormal"/>
    <w:uiPriority w:val="45"/>
    <w:rsid w:val="0033044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304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304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2F59"/>
    <w:rPr>
      <w:color w:val="605E5C"/>
      <w:shd w:val="clear" w:color="auto" w:fill="E1DFDD"/>
    </w:rPr>
  </w:style>
  <w:style w:type="paragraph" w:styleId="Header">
    <w:name w:val="header"/>
    <w:basedOn w:val="Normal"/>
    <w:link w:val="HeaderChar"/>
    <w:uiPriority w:val="99"/>
    <w:unhideWhenUsed/>
    <w:rsid w:val="00294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9D"/>
  </w:style>
  <w:style w:type="paragraph" w:styleId="Footer">
    <w:name w:val="footer"/>
    <w:basedOn w:val="Normal"/>
    <w:link w:val="FooterChar"/>
    <w:uiPriority w:val="99"/>
    <w:unhideWhenUsed/>
    <w:rsid w:val="00294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396">
      <w:bodyDiv w:val="1"/>
      <w:marLeft w:val="0"/>
      <w:marRight w:val="0"/>
      <w:marTop w:val="0"/>
      <w:marBottom w:val="0"/>
      <w:divBdr>
        <w:top w:val="none" w:sz="0" w:space="0" w:color="auto"/>
        <w:left w:val="none" w:sz="0" w:space="0" w:color="auto"/>
        <w:bottom w:val="none" w:sz="0" w:space="0" w:color="auto"/>
        <w:right w:val="none" w:sz="0" w:space="0" w:color="auto"/>
      </w:divBdr>
    </w:div>
    <w:div w:id="5059917">
      <w:bodyDiv w:val="1"/>
      <w:marLeft w:val="0"/>
      <w:marRight w:val="0"/>
      <w:marTop w:val="0"/>
      <w:marBottom w:val="0"/>
      <w:divBdr>
        <w:top w:val="none" w:sz="0" w:space="0" w:color="auto"/>
        <w:left w:val="none" w:sz="0" w:space="0" w:color="auto"/>
        <w:bottom w:val="none" w:sz="0" w:space="0" w:color="auto"/>
        <w:right w:val="none" w:sz="0" w:space="0" w:color="auto"/>
      </w:divBdr>
    </w:div>
    <w:div w:id="160388088">
      <w:bodyDiv w:val="1"/>
      <w:marLeft w:val="0"/>
      <w:marRight w:val="0"/>
      <w:marTop w:val="0"/>
      <w:marBottom w:val="0"/>
      <w:divBdr>
        <w:top w:val="none" w:sz="0" w:space="0" w:color="auto"/>
        <w:left w:val="none" w:sz="0" w:space="0" w:color="auto"/>
        <w:bottom w:val="none" w:sz="0" w:space="0" w:color="auto"/>
        <w:right w:val="none" w:sz="0" w:space="0" w:color="auto"/>
      </w:divBdr>
      <w:divsChild>
        <w:div w:id="2075732825">
          <w:marLeft w:val="0"/>
          <w:marRight w:val="0"/>
          <w:marTop w:val="0"/>
          <w:marBottom w:val="0"/>
          <w:divBdr>
            <w:top w:val="none" w:sz="0" w:space="0" w:color="auto"/>
            <w:left w:val="none" w:sz="0" w:space="0" w:color="auto"/>
            <w:bottom w:val="none" w:sz="0" w:space="0" w:color="auto"/>
            <w:right w:val="none" w:sz="0" w:space="0" w:color="auto"/>
          </w:divBdr>
        </w:div>
      </w:divsChild>
    </w:div>
    <w:div w:id="234123597">
      <w:bodyDiv w:val="1"/>
      <w:marLeft w:val="0"/>
      <w:marRight w:val="0"/>
      <w:marTop w:val="0"/>
      <w:marBottom w:val="0"/>
      <w:divBdr>
        <w:top w:val="none" w:sz="0" w:space="0" w:color="auto"/>
        <w:left w:val="none" w:sz="0" w:space="0" w:color="auto"/>
        <w:bottom w:val="none" w:sz="0" w:space="0" w:color="auto"/>
        <w:right w:val="none" w:sz="0" w:space="0" w:color="auto"/>
      </w:divBdr>
    </w:div>
    <w:div w:id="272633666">
      <w:bodyDiv w:val="1"/>
      <w:marLeft w:val="0"/>
      <w:marRight w:val="0"/>
      <w:marTop w:val="0"/>
      <w:marBottom w:val="0"/>
      <w:divBdr>
        <w:top w:val="none" w:sz="0" w:space="0" w:color="auto"/>
        <w:left w:val="none" w:sz="0" w:space="0" w:color="auto"/>
        <w:bottom w:val="none" w:sz="0" w:space="0" w:color="auto"/>
        <w:right w:val="none" w:sz="0" w:space="0" w:color="auto"/>
      </w:divBdr>
    </w:div>
    <w:div w:id="455875491">
      <w:bodyDiv w:val="1"/>
      <w:marLeft w:val="0"/>
      <w:marRight w:val="0"/>
      <w:marTop w:val="0"/>
      <w:marBottom w:val="0"/>
      <w:divBdr>
        <w:top w:val="none" w:sz="0" w:space="0" w:color="auto"/>
        <w:left w:val="none" w:sz="0" w:space="0" w:color="auto"/>
        <w:bottom w:val="none" w:sz="0" w:space="0" w:color="auto"/>
        <w:right w:val="none" w:sz="0" w:space="0" w:color="auto"/>
      </w:divBdr>
    </w:div>
    <w:div w:id="741874666">
      <w:bodyDiv w:val="1"/>
      <w:marLeft w:val="0"/>
      <w:marRight w:val="0"/>
      <w:marTop w:val="0"/>
      <w:marBottom w:val="0"/>
      <w:divBdr>
        <w:top w:val="none" w:sz="0" w:space="0" w:color="auto"/>
        <w:left w:val="none" w:sz="0" w:space="0" w:color="auto"/>
        <w:bottom w:val="none" w:sz="0" w:space="0" w:color="auto"/>
        <w:right w:val="none" w:sz="0" w:space="0" w:color="auto"/>
      </w:divBdr>
    </w:div>
    <w:div w:id="1218129570">
      <w:bodyDiv w:val="1"/>
      <w:marLeft w:val="0"/>
      <w:marRight w:val="0"/>
      <w:marTop w:val="0"/>
      <w:marBottom w:val="0"/>
      <w:divBdr>
        <w:top w:val="none" w:sz="0" w:space="0" w:color="auto"/>
        <w:left w:val="none" w:sz="0" w:space="0" w:color="auto"/>
        <w:bottom w:val="none" w:sz="0" w:space="0" w:color="auto"/>
        <w:right w:val="none" w:sz="0" w:space="0" w:color="auto"/>
      </w:divBdr>
    </w:div>
    <w:div w:id="1239098662">
      <w:bodyDiv w:val="1"/>
      <w:marLeft w:val="0"/>
      <w:marRight w:val="0"/>
      <w:marTop w:val="0"/>
      <w:marBottom w:val="0"/>
      <w:divBdr>
        <w:top w:val="none" w:sz="0" w:space="0" w:color="auto"/>
        <w:left w:val="none" w:sz="0" w:space="0" w:color="auto"/>
        <w:bottom w:val="none" w:sz="0" w:space="0" w:color="auto"/>
        <w:right w:val="none" w:sz="0" w:space="0" w:color="auto"/>
      </w:divBdr>
    </w:div>
    <w:div w:id="1379276572">
      <w:bodyDiv w:val="1"/>
      <w:marLeft w:val="0"/>
      <w:marRight w:val="0"/>
      <w:marTop w:val="0"/>
      <w:marBottom w:val="0"/>
      <w:divBdr>
        <w:top w:val="none" w:sz="0" w:space="0" w:color="auto"/>
        <w:left w:val="none" w:sz="0" w:space="0" w:color="auto"/>
        <w:bottom w:val="none" w:sz="0" w:space="0" w:color="auto"/>
        <w:right w:val="none" w:sz="0" w:space="0" w:color="auto"/>
      </w:divBdr>
    </w:div>
    <w:div w:id="1462722660">
      <w:bodyDiv w:val="1"/>
      <w:marLeft w:val="0"/>
      <w:marRight w:val="0"/>
      <w:marTop w:val="0"/>
      <w:marBottom w:val="0"/>
      <w:divBdr>
        <w:top w:val="none" w:sz="0" w:space="0" w:color="auto"/>
        <w:left w:val="none" w:sz="0" w:space="0" w:color="auto"/>
        <w:bottom w:val="none" w:sz="0" w:space="0" w:color="auto"/>
        <w:right w:val="none" w:sz="0" w:space="0" w:color="auto"/>
      </w:divBdr>
    </w:div>
    <w:div w:id="1759134530">
      <w:bodyDiv w:val="1"/>
      <w:marLeft w:val="0"/>
      <w:marRight w:val="0"/>
      <w:marTop w:val="0"/>
      <w:marBottom w:val="0"/>
      <w:divBdr>
        <w:top w:val="none" w:sz="0" w:space="0" w:color="auto"/>
        <w:left w:val="none" w:sz="0" w:space="0" w:color="auto"/>
        <w:bottom w:val="none" w:sz="0" w:space="0" w:color="auto"/>
        <w:right w:val="none" w:sz="0" w:space="0" w:color="auto"/>
      </w:divBdr>
    </w:div>
    <w:div w:id="1837382344">
      <w:bodyDiv w:val="1"/>
      <w:marLeft w:val="0"/>
      <w:marRight w:val="0"/>
      <w:marTop w:val="0"/>
      <w:marBottom w:val="0"/>
      <w:divBdr>
        <w:top w:val="none" w:sz="0" w:space="0" w:color="auto"/>
        <w:left w:val="none" w:sz="0" w:space="0" w:color="auto"/>
        <w:bottom w:val="none" w:sz="0" w:space="0" w:color="auto"/>
        <w:right w:val="none" w:sz="0" w:space="0" w:color="auto"/>
      </w:divBdr>
    </w:div>
    <w:div w:id="1839150694">
      <w:bodyDiv w:val="1"/>
      <w:marLeft w:val="0"/>
      <w:marRight w:val="0"/>
      <w:marTop w:val="0"/>
      <w:marBottom w:val="0"/>
      <w:divBdr>
        <w:top w:val="none" w:sz="0" w:space="0" w:color="auto"/>
        <w:left w:val="none" w:sz="0" w:space="0" w:color="auto"/>
        <w:bottom w:val="none" w:sz="0" w:space="0" w:color="auto"/>
        <w:right w:val="none" w:sz="0" w:space="0" w:color="auto"/>
      </w:divBdr>
    </w:div>
    <w:div w:id="18703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Akhondzadeh+Basti/Afsh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nlinelibrary.wiley.com/authored-by/Gandomi/Hassa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linelibrary.wiley.com/authored-by/Taherzadeh/Mohammad+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13</Pages>
  <Words>3521</Words>
  <Characters>20073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SSOU</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Bukya</dc:creator>
  <cp:keywords/>
  <dc:description/>
  <cp:lastModifiedBy>Anil Bukya</cp:lastModifiedBy>
  <cp:revision>4</cp:revision>
  <dcterms:created xsi:type="dcterms:W3CDTF">2025-09-25T03:27:00Z</dcterms:created>
  <dcterms:modified xsi:type="dcterms:W3CDTF">2026-02-14T11:59:00Z</dcterms:modified>
</cp:coreProperties>
</file>