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AB7E7" w14:textId="04EDC326" w:rsidR="00754C9A" w:rsidRDefault="0094673A" w:rsidP="00441B6F">
      <w:pPr>
        <w:pStyle w:val="Title"/>
        <w:spacing w:after="0"/>
        <w:jc w:val="both"/>
        <w:rPr>
          <w:rFonts w:ascii="Arial" w:hAnsi="Arial" w:cs="Arial"/>
        </w:rPr>
      </w:pPr>
      <w:r w:rsidRPr="0094673A">
        <w:rPr>
          <w:rFonts w:ascii="Arial" w:hAnsi="Arial" w:cs="Arial"/>
        </w:rPr>
        <w:t>Original Research Article</w:t>
      </w:r>
    </w:p>
    <w:p w14:paraId="6105472F" w14:textId="77777777" w:rsidR="0094673A" w:rsidRDefault="0094673A" w:rsidP="00441B6F">
      <w:pPr>
        <w:pStyle w:val="Title"/>
        <w:spacing w:after="0"/>
        <w:jc w:val="both"/>
        <w:rPr>
          <w:rFonts w:ascii="Arial" w:hAnsi="Arial" w:cs="Arial"/>
        </w:rPr>
      </w:pPr>
    </w:p>
    <w:p w14:paraId="28FDD529" w14:textId="3F93AD0D" w:rsidR="00163BC4" w:rsidRPr="00163BC4" w:rsidRDefault="0045530B" w:rsidP="00441B6F">
      <w:pPr>
        <w:pStyle w:val="Author"/>
        <w:spacing w:line="240" w:lineRule="auto"/>
        <w:rPr>
          <w:rFonts w:ascii="Arial" w:hAnsi="Arial" w:cs="Arial"/>
          <w:bCs/>
          <w:iCs/>
          <w:kern w:val="28"/>
          <w:sz w:val="36"/>
        </w:rPr>
      </w:pPr>
      <w:r w:rsidRPr="0045530B">
        <w:rPr>
          <w:rFonts w:ascii="Arial" w:hAnsi="Arial" w:cs="Arial"/>
          <w:bCs/>
          <w:iCs/>
          <w:kern w:val="28"/>
          <w:sz w:val="36"/>
        </w:rPr>
        <w:t>Effect of various Yoghurt blends on Indomethacin-induced Ulcerogenic Wistar rats</w:t>
      </w:r>
      <w:r w:rsidR="00231920">
        <w:rPr>
          <w:rFonts w:ascii="Arial" w:hAnsi="Arial" w:cs="Arial"/>
          <w:bCs/>
          <w:iCs/>
          <w:kern w:val="28"/>
          <w:sz w:val="36"/>
        </w:rPr>
        <w:t xml:space="preserve"> </w:t>
      </w:r>
    </w:p>
    <w:p w14:paraId="2CE7613C" w14:textId="77777777" w:rsidR="00A258C3" w:rsidRPr="00790ADA" w:rsidRDefault="00A258C3" w:rsidP="00441B6F">
      <w:pPr>
        <w:pStyle w:val="Author"/>
        <w:spacing w:line="240" w:lineRule="auto"/>
        <w:jc w:val="both"/>
        <w:rPr>
          <w:rFonts w:ascii="Arial" w:hAnsi="Arial" w:cs="Arial"/>
          <w:sz w:val="36"/>
        </w:rPr>
      </w:pPr>
    </w:p>
    <w:p w14:paraId="34F5F82E" w14:textId="77777777" w:rsidR="002C57D2" w:rsidRPr="00FB3A86" w:rsidRDefault="002C57D2" w:rsidP="00441B6F">
      <w:pPr>
        <w:pStyle w:val="Affiliation"/>
        <w:spacing w:after="0" w:line="240" w:lineRule="auto"/>
        <w:jc w:val="both"/>
        <w:rPr>
          <w:rFonts w:ascii="Arial" w:hAnsi="Arial" w:cs="Arial"/>
        </w:rPr>
      </w:pPr>
    </w:p>
    <w:p w14:paraId="5B3EDDD1" w14:textId="77777777" w:rsidR="00B01FCD" w:rsidRPr="00FB3A86" w:rsidRDefault="00E335B3" w:rsidP="00441B6F">
      <w:pPr>
        <w:pStyle w:val="Copyright"/>
        <w:spacing w:after="0" w:line="240" w:lineRule="auto"/>
        <w:jc w:val="both"/>
        <w:rPr>
          <w:rFonts w:ascii="Arial" w:hAnsi="Arial" w:cs="Arial"/>
        </w:rPr>
        <w:sectPr w:rsidR="00B01FCD" w:rsidRPr="00FB3A86" w:rsidSect="00313C1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ECD1602">
          <v:shapetype id="_x0000_t32" coordsize="21600,21600" o:spt="32" o:oned="t" path="m,l21600,21600e" filled="f">
            <v:path arrowok="t" fillok="f" o:connecttype="none"/>
            <o:lock v:ext="edit" shapetype="t"/>
          </v:shapetype>
          <v:shape id="_x0000_s137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5D0845A" w14:textId="79AC842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B7239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FD7ACAE" w14:textId="77777777" w:rsidTr="001E44FE">
        <w:tc>
          <w:tcPr>
            <w:tcW w:w="9576" w:type="dxa"/>
            <w:shd w:val="clear" w:color="auto" w:fill="F2F2F2"/>
          </w:tcPr>
          <w:p w14:paraId="7DFFD745" w14:textId="5E7E65D1" w:rsidR="00636EB2" w:rsidRDefault="0045530B" w:rsidP="00441B6F">
            <w:pPr>
              <w:pStyle w:val="Body"/>
              <w:spacing w:after="0"/>
              <w:rPr>
                <w:rFonts w:ascii="Arial" w:eastAsia="Calibri" w:hAnsi="Arial" w:cs="Arial"/>
                <w:szCs w:val="22"/>
              </w:rPr>
            </w:pPr>
            <w:r w:rsidRPr="0045530B">
              <w:rPr>
                <w:rFonts w:ascii="Arial" w:eastAsia="Calibri" w:hAnsi="Arial" w:cs="Arial"/>
                <w:szCs w:val="22"/>
              </w:rPr>
              <w:t xml:space="preserve">Peptic ulcer disease, characterized by gastric mucosal injury, is a global health concern. A major cause of this disease is non-steroidal anti-inflammatory drugs (NSAIDs) such as indomethacin. The present study evaluated the effects of Dairy-Based Yoghurt (DBY), Plant-Based Yoghurt (PBY), and a blend of Dairy/ Plant-Based (DPBY) yoghurt on indomethacin-induced gastric ulceration in adult Wistar rats using standard methods. A total of thirty (30) Wistar rats of both sexes were arbitrarily assigned to six groups (n=5). Group I (Normal Control), Group II (Negative Control; indomethacin only), Group III (Positive Control; Omeprazole 2.5 mg/kg </w:t>
            </w:r>
            <w:proofErr w:type="spellStart"/>
            <w:r w:rsidRPr="0045530B">
              <w:rPr>
                <w:rFonts w:ascii="Arial" w:eastAsia="Calibri" w:hAnsi="Arial" w:cs="Arial"/>
                <w:szCs w:val="22"/>
              </w:rPr>
              <w:t>bw</w:t>
            </w:r>
            <w:proofErr w:type="spellEnd"/>
            <w:r w:rsidRPr="0045530B">
              <w:rPr>
                <w:rFonts w:ascii="Arial" w:eastAsia="Calibri" w:hAnsi="Arial" w:cs="Arial"/>
                <w:szCs w:val="22"/>
              </w:rPr>
              <w:t xml:space="preserve">), Group IV (PBY 1.2 ml/kg/day), Group V (DPBY 1.2 ml/kg/day), and Group VI (DBY 0.8 ml/kg/day). All treatments were administered orally for 14 days. Afterwards, Groups 2–6 received indomethacin (30 mg/kg), and the experimental rats were sacrificed 4 h later. The stomach was carefully dissected out, scored for ulceration, and used for histological evaluation. Indomethacin produced severe mucosal damage. However, administration of omeprazole and the various yoghurt blends significantly (p &lt; 0.05) reduced ulcer scores, ulcer index, total acidity, and improved gastric </w:t>
            </w:r>
            <w:proofErr w:type="spellStart"/>
            <w:r w:rsidRPr="0045530B">
              <w:rPr>
                <w:rFonts w:ascii="Arial" w:eastAsia="Calibri" w:hAnsi="Arial" w:cs="Arial"/>
                <w:szCs w:val="22"/>
              </w:rPr>
              <w:t>pH.</w:t>
            </w:r>
            <w:proofErr w:type="spellEnd"/>
            <w:r w:rsidR="00D665AA">
              <w:rPr>
                <w:rFonts w:ascii="Arial" w:eastAsia="Calibri" w:hAnsi="Arial" w:cs="Arial"/>
                <w:szCs w:val="22"/>
              </w:rPr>
              <w:t xml:space="preserve"> </w:t>
            </w:r>
            <w:r w:rsidR="00D665AA" w:rsidRPr="00D665AA">
              <w:rPr>
                <w:rFonts w:ascii="Arial" w:hAnsi="Arial" w:cs="Arial"/>
                <w:highlight w:val="yellow"/>
              </w:rPr>
              <w:t>The comparable inhibition of PBY and omeprazole suggests that bioactive compounds and probiotics confer protection through antioxidant.</w:t>
            </w:r>
            <w:r w:rsidRPr="0045530B">
              <w:rPr>
                <w:rFonts w:ascii="Arial" w:eastAsia="Calibri" w:hAnsi="Arial" w:cs="Arial"/>
                <w:szCs w:val="22"/>
              </w:rPr>
              <w:t xml:space="preserve"> Histopathological analysis of the gastric tissue revealed severe mucosal distortion in the negative control, while omeprazole and yoghurt-treated rats showed near-normal mucosa with only mild epithelial changes. This study concludes that plant-based yoghurt (PBY) compared </w:t>
            </w:r>
            <w:proofErr w:type="spellStart"/>
            <w:r w:rsidRPr="0045530B">
              <w:rPr>
                <w:rFonts w:ascii="Arial" w:eastAsia="Calibri" w:hAnsi="Arial" w:cs="Arial"/>
                <w:szCs w:val="22"/>
              </w:rPr>
              <w:t>favourably</w:t>
            </w:r>
            <w:proofErr w:type="spellEnd"/>
            <w:r w:rsidRPr="0045530B">
              <w:rPr>
                <w:rFonts w:ascii="Arial" w:eastAsia="Calibri" w:hAnsi="Arial" w:cs="Arial"/>
                <w:szCs w:val="22"/>
              </w:rPr>
              <w:t xml:space="preserve"> with omeprazole, followed by DBY and DPBY blends, in exerting gastroprotective effects against indomethacin-induced ulcers, supporting their potential as a functional food in ulcer management.</w:t>
            </w:r>
          </w:p>
          <w:p w14:paraId="5AF26348" w14:textId="1F07BA05" w:rsidR="00505F06" w:rsidRPr="00BA1B01" w:rsidRDefault="00505F06" w:rsidP="00441B6F">
            <w:pPr>
              <w:pStyle w:val="Body"/>
              <w:spacing w:after="0"/>
              <w:rPr>
                <w:rFonts w:ascii="Arial" w:eastAsia="Calibri" w:hAnsi="Arial" w:cs="Arial"/>
                <w:szCs w:val="22"/>
              </w:rPr>
            </w:pPr>
          </w:p>
        </w:tc>
      </w:tr>
    </w:tbl>
    <w:p w14:paraId="30085BCA" w14:textId="77777777" w:rsidR="00636EB2" w:rsidRDefault="00636EB2" w:rsidP="00441B6F">
      <w:pPr>
        <w:pStyle w:val="Body"/>
        <w:spacing w:after="0"/>
        <w:rPr>
          <w:rFonts w:ascii="Arial" w:hAnsi="Arial" w:cs="Arial"/>
          <w:i/>
        </w:rPr>
      </w:pPr>
    </w:p>
    <w:p w14:paraId="4BB62049" w14:textId="5C007B48" w:rsidR="00A24E7E" w:rsidRDefault="00A24E7E" w:rsidP="00441B6F">
      <w:pPr>
        <w:pStyle w:val="Body"/>
        <w:spacing w:after="0"/>
        <w:rPr>
          <w:rFonts w:ascii="Arial" w:hAnsi="Arial" w:cs="Arial"/>
          <w:i/>
        </w:rPr>
      </w:pPr>
      <w:r>
        <w:rPr>
          <w:rFonts w:ascii="Arial" w:hAnsi="Arial" w:cs="Arial"/>
          <w:i/>
        </w:rPr>
        <w:t xml:space="preserve">Keywords: </w:t>
      </w:r>
      <w:r w:rsidR="00F616AD" w:rsidRPr="00F616AD">
        <w:rPr>
          <w:rFonts w:ascii="Arial" w:hAnsi="Arial" w:cs="Arial"/>
          <w:i/>
        </w:rPr>
        <w:t>Yoghurt blends, Indomethacin, Ulcer, Wistar rats</w:t>
      </w:r>
    </w:p>
    <w:p w14:paraId="18B53F16" w14:textId="77777777" w:rsidR="00505F06" w:rsidRPr="00A24E7E" w:rsidRDefault="00505F06" w:rsidP="00441B6F">
      <w:pPr>
        <w:pStyle w:val="Body"/>
        <w:spacing w:after="0"/>
        <w:rPr>
          <w:rFonts w:ascii="Arial" w:hAnsi="Arial" w:cs="Arial"/>
          <w:i/>
        </w:rPr>
      </w:pPr>
    </w:p>
    <w:p w14:paraId="7C41EB62" w14:textId="364FD0D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7EFF7E1" w14:textId="77777777" w:rsidR="00790ADA" w:rsidRPr="00FB3A86" w:rsidRDefault="00790ADA" w:rsidP="00441B6F">
      <w:pPr>
        <w:pStyle w:val="AbstHead"/>
        <w:spacing w:after="0"/>
        <w:jc w:val="both"/>
        <w:rPr>
          <w:rFonts w:ascii="Arial" w:hAnsi="Arial" w:cs="Arial"/>
        </w:rPr>
      </w:pPr>
    </w:p>
    <w:p w14:paraId="01CABB2B" w14:textId="77777777" w:rsidR="00F616AD" w:rsidRPr="00F616AD" w:rsidRDefault="00F616AD" w:rsidP="00F616AD">
      <w:pPr>
        <w:pStyle w:val="Body"/>
        <w:rPr>
          <w:rFonts w:ascii="Arial" w:hAnsi="Arial" w:cs="Arial"/>
        </w:rPr>
      </w:pPr>
      <w:r w:rsidRPr="00F616AD">
        <w:rPr>
          <w:rFonts w:ascii="Arial" w:hAnsi="Arial" w:cs="Arial"/>
        </w:rPr>
        <w:t xml:space="preserve">An ulcer is generally defined as a sore or breach in a bodily membrane that impairs the normal function of the affected organ (Kumar et al., 2018). A peptic ulcer is a mucosal breach in the gastrointestinal tract that extends through the muscularis mucosae, typically occurring in areas exposed to gastric acid and pepsin (Kim, 2025) These lesions most frequently develop in the stomach and proximal duodenum, and less commonly in the distal </w:t>
      </w:r>
      <w:proofErr w:type="spellStart"/>
      <w:r w:rsidRPr="00F616AD">
        <w:rPr>
          <w:rFonts w:ascii="Arial" w:hAnsi="Arial" w:cs="Arial"/>
        </w:rPr>
        <w:t>oesophagus</w:t>
      </w:r>
      <w:proofErr w:type="spellEnd"/>
      <w:r w:rsidRPr="00F616AD">
        <w:rPr>
          <w:rFonts w:ascii="Arial" w:hAnsi="Arial" w:cs="Arial"/>
        </w:rPr>
        <w:t xml:space="preserve"> or surgically created gastric pouches (Malik et al., 2023). Peptic ulcers result from the alteration of HCl and pepsin. Ulcer indices provide a quantitative measure of ulcer severity and serve as a reliable indicator of gastroprotective efficacy in experimental models (Saranya et al., 2011). Histopathological examination of the stomach provides qualitative and microscopic confirmation of alterations in gastric tissue (Atiq et al., 2023). Ulcer indices and histopathology are used together in experimental models to offer a comprehensive evaluation of gastric injury and healing.</w:t>
      </w:r>
    </w:p>
    <w:p w14:paraId="597B1BE3" w14:textId="77777777" w:rsidR="00F616AD" w:rsidRPr="00F616AD" w:rsidRDefault="00F616AD" w:rsidP="00F616AD">
      <w:pPr>
        <w:pStyle w:val="Body"/>
        <w:rPr>
          <w:rFonts w:ascii="Arial" w:hAnsi="Arial" w:cs="Arial"/>
        </w:rPr>
      </w:pPr>
      <w:r w:rsidRPr="00F616AD">
        <w:rPr>
          <w:rFonts w:ascii="Arial" w:hAnsi="Arial" w:cs="Arial"/>
        </w:rPr>
        <w:t xml:space="preserve">Indomethacin, although prescribed for its analgesic, anti-inflammatory, and antipyretic properties, inhibits prostaglandin production in the stomach and intestines as a side effect. Prostaglandins are responsible for maintaining the mucous lining of the gastrointestinal tract (Munjal &amp; Allam, 2020). </w:t>
      </w:r>
      <w:proofErr w:type="spellStart"/>
      <w:r w:rsidRPr="00F616AD">
        <w:rPr>
          <w:rFonts w:ascii="Arial" w:hAnsi="Arial" w:cs="Arial"/>
        </w:rPr>
        <w:t>Idomethacin</w:t>
      </w:r>
      <w:proofErr w:type="spellEnd"/>
      <w:r w:rsidRPr="00F616AD">
        <w:rPr>
          <w:rFonts w:ascii="Arial" w:hAnsi="Arial" w:cs="Arial"/>
        </w:rPr>
        <w:t xml:space="preserve">, therefore, like other non-selective COX inhibitors, can cause peptic ulcers (Drini, 2017). This side effect is leveraged in experimental pharmacology to induce gastric ulceration in experimental animals. Indomethacin is often a preferred choice when inducing ulcers in experimental animals </w:t>
      </w:r>
      <w:r w:rsidRPr="00F616AD">
        <w:rPr>
          <w:rFonts w:ascii="Arial" w:hAnsi="Arial" w:cs="Arial"/>
        </w:rPr>
        <w:lastRenderedPageBreak/>
        <w:t>because of its capacity to consistently produce gastrointestinal mucosal damage in a relatively short period of time (</w:t>
      </w:r>
      <w:proofErr w:type="spellStart"/>
      <w:r w:rsidRPr="00F616AD">
        <w:rPr>
          <w:rFonts w:ascii="Arial" w:hAnsi="Arial" w:cs="Arial"/>
        </w:rPr>
        <w:t>Danisman</w:t>
      </w:r>
      <w:proofErr w:type="spellEnd"/>
      <w:r w:rsidRPr="00F616AD">
        <w:rPr>
          <w:rFonts w:ascii="Arial" w:hAnsi="Arial" w:cs="Arial"/>
        </w:rPr>
        <w:t xml:space="preserve"> et al., 2023).</w:t>
      </w:r>
    </w:p>
    <w:p w14:paraId="5910282B" w14:textId="62E9C74E" w:rsidR="00790ADA" w:rsidRDefault="00F616AD" w:rsidP="00F616AD">
      <w:pPr>
        <w:pStyle w:val="Body"/>
        <w:spacing w:after="0"/>
        <w:rPr>
          <w:rFonts w:ascii="Arial" w:hAnsi="Arial" w:cs="Arial"/>
        </w:rPr>
      </w:pPr>
      <w:r w:rsidRPr="00F616AD">
        <w:rPr>
          <w:rFonts w:ascii="Arial" w:hAnsi="Arial" w:cs="Arial"/>
        </w:rPr>
        <w:t xml:space="preserve">Plant-based yoghurt is a non-dairy alternative to conventional yoghurt, made from milks derived from plant sources such as soy, almond, coconut, and </w:t>
      </w:r>
      <w:proofErr w:type="spellStart"/>
      <w:r w:rsidRPr="00F616AD">
        <w:rPr>
          <w:rFonts w:ascii="Arial" w:hAnsi="Arial" w:cs="Arial"/>
        </w:rPr>
        <w:t>tigernut</w:t>
      </w:r>
      <w:proofErr w:type="spellEnd"/>
      <w:r w:rsidRPr="00F616AD">
        <w:rPr>
          <w:rFonts w:ascii="Arial" w:hAnsi="Arial" w:cs="Arial"/>
        </w:rPr>
        <w:t>. Plant-based yoghurt is more than just a dairy alternative. Beyond its role as a substitute, it shows promising potential in protecting the stomach from mucosal damage and supporting overall digestive health. Plant-based yoghurts display unique benefits that arise from a combination of their rich nutritional profile, bioactive compounds produced during fermentation, the presence of healthy probiotics, and the unique properties of the plant ingredients (Ogundipe et al., 2021). The side effects associated with the use of omeprazole have necessitated the use of probiotics as an alternative in the treatment of drug-mediated ulcer in this study.</w:t>
      </w:r>
    </w:p>
    <w:p w14:paraId="50C301D1" w14:textId="77777777" w:rsidR="00F616AD" w:rsidRPr="00FB3A86" w:rsidRDefault="00F616AD" w:rsidP="00F616AD">
      <w:pPr>
        <w:pStyle w:val="Body"/>
        <w:spacing w:after="0"/>
        <w:rPr>
          <w:rFonts w:ascii="Arial" w:hAnsi="Arial" w:cs="Arial"/>
        </w:rPr>
      </w:pPr>
    </w:p>
    <w:p w14:paraId="5BE1CFB6" w14:textId="1A65729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84CED5E" w14:textId="77777777" w:rsidR="00790ADA" w:rsidRPr="00FB3A86" w:rsidRDefault="00790ADA" w:rsidP="00441B6F">
      <w:pPr>
        <w:pStyle w:val="Body"/>
        <w:spacing w:after="0"/>
        <w:rPr>
          <w:rFonts w:ascii="Arial" w:hAnsi="Arial" w:cs="Arial"/>
        </w:rPr>
      </w:pPr>
    </w:p>
    <w:p w14:paraId="0F6323CF" w14:textId="58D2CA0D" w:rsidR="00F616AD" w:rsidRDefault="00AA74E0" w:rsidP="00441B6F">
      <w:pPr>
        <w:pStyle w:val="Body"/>
        <w:spacing w:after="0"/>
        <w:rPr>
          <w:rFonts w:ascii="Arial" w:hAnsi="Arial" w:cs="Arial"/>
          <w:b/>
          <w:sz w:val="22"/>
        </w:rPr>
      </w:pPr>
      <w:r w:rsidRPr="00C30A0F">
        <w:rPr>
          <w:rFonts w:ascii="Arial" w:hAnsi="Arial" w:cs="Arial"/>
          <w:b/>
          <w:caps/>
          <w:sz w:val="22"/>
        </w:rPr>
        <w:t xml:space="preserve">2.1 </w:t>
      </w:r>
      <w:r w:rsidR="00F616AD" w:rsidRPr="00F616AD">
        <w:rPr>
          <w:rFonts w:ascii="Arial" w:hAnsi="Arial" w:cs="Arial"/>
          <w:b/>
          <w:sz w:val="22"/>
        </w:rPr>
        <w:t>Drugs and Reagents</w:t>
      </w:r>
    </w:p>
    <w:p w14:paraId="4C83CFBE" w14:textId="77777777" w:rsidR="00F616AD" w:rsidRDefault="00F616AD" w:rsidP="00441B6F">
      <w:pPr>
        <w:pStyle w:val="Body"/>
        <w:spacing w:after="0"/>
        <w:rPr>
          <w:rFonts w:ascii="Arial" w:hAnsi="Arial" w:cs="Arial"/>
          <w:b/>
          <w:sz w:val="22"/>
        </w:rPr>
      </w:pPr>
    </w:p>
    <w:p w14:paraId="0C327A68" w14:textId="02F0BAD9" w:rsidR="00505F06" w:rsidRDefault="00F616AD" w:rsidP="00441B6F">
      <w:pPr>
        <w:pStyle w:val="Body"/>
        <w:spacing w:after="0"/>
        <w:rPr>
          <w:rFonts w:ascii="Arial" w:hAnsi="Arial" w:cs="Arial"/>
        </w:rPr>
      </w:pPr>
      <w:r w:rsidRPr="00F616AD">
        <w:rPr>
          <w:rFonts w:ascii="Arial" w:hAnsi="Arial" w:cs="Arial"/>
        </w:rPr>
        <w:t>Indomethacin and Omeprazole were purchased from Med Chem Express in Port Harcourt, Rivers State, Nigeria. The yoghurt was formulated at the laboratory of the Department of Food Science and Technology, Rivers State University of Science and Technology, Port Harcourt, Rivers State, Nigeria.</w:t>
      </w:r>
    </w:p>
    <w:p w14:paraId="55143A48" w14:textId="77777777" w:rsidR="006268AC" w:rsidRDefault="006268AC" w:rsidP="00441B6F">
      <w:pPr>
        <w:pStyle w:val="Body"/>
        <w:spacing w:after="0"/>
        <w:rPr>
          <w:rFonts w:ascii="Arial" w:hAnsi="Arial" w:cs="Arial"/>
        </w:rPr>
      </w:pPr>
    </w:p>
    <w:p w14:paraId="56D4D539" w14:textId="5BE213E8" w:rsidR="006268AC" w:rsidRDefault="006268AC" w:rsidP="00441B6F">
      <w:pPr>
        <w:pStyle w:val="Body"/>
        <w:spacing w:after="0"/>
        <w:rPr>
          <w:rFonts w:ascii="Arial" w:hAnsi="Arial" w:cs="Arial"/>
          <w:b/>
          <w:sz w:val="22"/>
        </w:rPr>
      </w:pPr>
      <w:r>
        <w:rPr>
          <w:rFonts w:ascii="Arial" w:hAnsi="Arial" w:cs="Arial"/>
          <w:b/>
          <w:sz w:val="22"/>
        </w:rPr>
        <w:t xml:space="preserve">2.2 </w:t>
      </w:r>
      <w:r w:rsidRPr="006268AC">
        <w:rPr>
          <w:rFonts w:ascii="Arial" w:hAnsi="Arial" w:cs="Arial"/>
          <w:b/>
          <w:sz w:val="22"/>
        </w:rPr>
        <w:t>Sample Collection and Preparation</w:t>
      </w:r>
    </w:p>
    <w:p w14:paraId="011EB624" w14:textId="77777777" w:rsidR="006268AC" w:rsidRDefault="006268AC" w:rsidP="00441B6F">
      <w:pPr>
        <w:pStyle w:val="Body"/>
        <w:spacing w:after="0"/>
        <w:rPr>
          <w:rFonts w:ascii="Arial" w:hAnsi="Arial" w:cs="Arial"/>
          <w:b/>
          <w:sz w:val="22"/>
        </w:rPr>
      </w:pPr>
    </w:p>
    <w:p w14:paraId="04C0BA87" w14:textId="57D06D08" w:rsidR="006268AC" w:rsidRDefault="006268AC" w:rsidP="00441B6F">
      <w:pPr>
        <w:pStyle w:val="Body"/>
        <w:spacing w:after="0"/>
        <w:rPr>
          <w:rFonts w:ascii="Arial" w:hAnsi="Arial" w:cs="Arial"/>
        </w:rPr>
      </w:pPr>
      <w:r w:rsidRPr="006268AC">
        <w:rPr>
          <w:rFonts w:ascii="Arial" w:hAnsi="Arial" w:cs="Arial"/>
        </w:rPr>
        <w:t xml:space="preserve">The raw materials used included fresh pasteurized cow’s milk, fresh </w:t>
      </w:r>
      <w:proofErr w:type="spellStart"/>
      <w:r w:rsidRPr="006268AC">
        <w:rPr>
          <w:rFonts w:ascii="Arial" w:hAnsi="Arial" w:cs="Arial"/>
        </w:rPr>
        <w:t>tigernut</w:t>
      </w:r>
      <w:proofErr w:type="spellEnd"/>
      <w:r w:rsidRPr="006268AC">
        <w:rPr>
          <w:rFonts w:ascii="Arial" w:hAnsi="Arial" w:cs="Arial"/>
        </w:rPr>
        <w:t xml:space="preserve"> milk, fresh coconut milk, dried date fruit, yoghurt starter culture, and carboxy methyl cellulose (CMC) powder, which were purchased from Mile 3 market in Port Harcourt, Rivers State, Nigeria.</w:t>
      </w:r>
    </w:p>
    <w:p w14:paraId="6255AA0F" w14:textId="77777777" w:rsidR="00F616AD" w:rsidRDefault="00F616AD" w:rsidP="00441B6F">
      <w:pPr>
        <w:pStyle w:val="Body"/>
        <w:spacing w:after="0"/>
        <w:rPr>
          <w:rFonts w:ascii="Arial" w:hAnsi="Arial" w:cs="Arial"/>
        </w:rPr>
      </w:pPr>
    </w:p>
    <w:p w14:paraId="70E3F639" w14:textId="13C76735" w:rsidR="006268AC" w:rsidRDefault="006268AC" w:rsidP="00441B6F">
      <w:pPr>
        <w:pStyle w:val="Body"/>
        <w:spacing w:after="0"/>
        <w:rPr>
          <w:rFonts w:ascii="Arial" w:hAnsi="Arial" w:cs="Arial"/>
        </w:rPr>
      </w:pPr>
    </w:p>
    <w:p w14:paraId="4847EFFC" w14:textId="72B56549" w:rsidR="006268AC" w:rsidRDefault="006268AC" w:rsidP="00441B6F">
      <w:pPr>
        <w:pStyle w:val="Body"/>
        <w:spacing w:after="0"/>
        <w:rPr>
          <w:rFonts w:ascii="Arial" w:hAnsi="Arial" w:cs="Arial"/>
        </w:rPr>
      </w:pPr>
    </w:p>
    <w:p w14:paraId="040F1D98" w14:textId="77777777" w:rsidR="006268AC" w:rsidRDefault="006268AC" w:rsidP="00441B6F">
      <w:pPr>
        <w:pStyle w:val="Body"/>
        <w:spacing w:after="0"/>
        <w:rPr>
          <w:rFonts w:ascii="Arial" w:hAnsi="Arial" w:cs="Arial"/>
        </w:rPr>
      </w:pPr>
    </w:p>
    <w:p w14:paraId="3AAA47EA" w14:textId="77777777" w:rsidR="006268AC" w:rsidRDefault="006268AC" w:rsidP="00441B6F">
      <w:pPr>
        <w:pStyle w:val="Body"/>
        <w:spacing w:after="0"/>
        <w:rPr>
          <w:rFonts w:ascii="Arial" w:hAnsi="Arial" w:cs="Arial"/>
        </w:rPr>
      </w:pPr>
    </w:p>
    <w:p w14:paraId="73607B51" w14:textId="77777777" w:rsidR="006268AC" w:rsidRDefault="006268AC" w:rsidP="00441B6F">
      <w:pPr>
        <w:pStyle w:val="Body"/>
        <w:spacing w:after="0"/>
        <w:rPr>
          <w:rFonts w:ascii="Arial" w:hAnsi="Arial" w:cs="Arial"/>
        </w:rPr>
      </w:pPr>
    </w:p>
    <w:p w14:paraId="5740A5B9" w14:textId="77777777" w:rsidR="006268AC" w:rsidRDefault="006268AC" w:rsidP="00441B6F">
      <w:pPr>
        <w:pStyle w:val="Body"/>
        <w:spacing w:after="0"/>
        <w:rPr>
          <w:rFonts w:ascii="Arial" w:hAnsi="Arial" w:cs="Arial"/>
        </w:rPr>
      </w:pPr>
    </w:p>
    <w:p w14:paraId="4A49DC4F" w14:textId="77777777" w:rsidR="006268AC" w:rsidRDefault="006268AC" w:rsidP="00441B6F">
      <w:pPr>
        <w:pStyle w:val="Body"/>
        <w:spacing w:after="0"/>
        <w:rPr>
          <w:rFonts w:ascii="Arial" w:hAnsi="Arial" w:cs="Arial"/>
        </w:rPr>
      </w:pPr>
    </w:p>
    <w:p w14:paraId="4896F2AD" w14:textId="1818FF43" w:rsidR="006268AC" w:rsidRDefault="006268AC" w:rsidP="00441B6F">
      <w:pPr>
        <w:pStyle w:val="Body"/>
        <w:spacing w:after="0"/>
        <w:rPr>
          <w:rFonts w:ascii="Arial" w:hAnsi="Arial" w:cs="Arial"/>
        </w:rPr>
      </w:pPr>
    </w:p>
    <w:p w14:paraId="1CF1B71B" w14:textId="18022828" w:rsidR="006268AC" w:rsidRDefault="006268AC" w:rsidP="00441B6F">
      <w:pPr>
        <w:pStyle w:val="Body"/>
        <w:spacing w:after="0"/>
        <w:rPr>
          <w:rFonts w:ascii="Arial" w:hAnsi="Arial" w:cs="Arial"/>
        </w:rPr>
      </w:pPr>
    </w:p>
    <w:p w14:paraId="263C53BC" w14:textId="77777777" w:rsidR="006268AC" w:rsidRDefault="006268AC" w:rsidP="00441B6F">
      <w:pPr>
        <w:pStyle w:val="Body"/>
        <w:spacing w:after="0"/>
        <w:rPr>
          <w:rFonts w:ascii="Arial" w:hAnsi="Arial" w:cs="Arial"/>
        </w:rPr>
      </w:pPr>
    </w:p>
    <w:p w14:paraId="33C8AFDA" w14:textId="77777777" w:rsidR="006268AC" w:rsidRDefault="006268AC" w:rsidP="00441B6F">
      <w:pPr>
        <w:pStyle w:val="Body"/>
        <w:spacing w:after="0"/>
        <w:rPr>
          <w:rFonts w:ascii="Arial" w:hAnsi="Arial" w:cs="Arial"/>
        </w:rPr>
      </w:pPr>
    </w:p>
    <w:p w14:paraId="62E5E3C6" w14:textId="77777777" w:rsidR="006268AC" w:rsidRDefault="006268AC" w:rsidP="00441B6F">
      <w:pPr>
        <w:pStyle w:val="Body"/>
        <w:spacing w:after="0"/>
        <w:rPr>
          <w:rFonts w:ascii="Arial" w:hAnsi="Arial" w:cs="Arial"/>
        </w:rPr>
      </w:pPr>
    </w:p>
    <w:p w14:paraId="065C98A3" w14:textId="77777777" w:rsidR="006268AC" w:rsidRDefault="006268AC" w:rsidP="00441B6F">
      <w:pPr>
        <w:pStyle w:val="Body"/>
        <w:spacing w:after="0"/>
        <w:rPr>
          <w:rFonts w:ascii="Arial" w:hAnsi="Arial" w:cs="Arial"/>
        </w:rPr>
      </w:pPr>
    </w:p>
    <w:p w14:paraId="3E57C413" w14:textId="77777777" w:rsidR="006268AC" w:rsidRDefault="006268AC" w:rsidP="00441B6F">
      <w:pPr>
        <w:pStyle w:val="Body"/>
        <w:spacing w:after="0"/>
        <w:rPr>
          <w:rFonts w:ascii="Arial" w:hAnsi="Arial" w:cs="Arial"/>
        </w:rPr>
      </w:pPr>
    </w:p>
    <w:p w14:paraId="4329A908" w14:textId="77777777" w:rsidR="006268AC" w:rsidRDefault="006268AC" w:rsidP="00441B6F">
      <w:pPr>
        <w:pStyle w:val="Body"/>
        <w:spacing w:after="0"/>
        <w:rPr>
          <w:rFonts w:ascii="Arial" w:hAnsi="Arial" w:cs="Arial"/>
        </w:rPr>
      </w:pPr>
    </w:p>
    <w:p w14:paraId="3A94D231" w14:textId="77777777" w:rsidR="006268AC" w:rsidRDefault="006268AC" w:rsidP="00441B6F">
      <w:pPr>
        <w:pStyle w:val="Body"/>
        <w:spacing w:after="0"/>
        <w:rPr>
          <w:rFonts w:ascii="Arial" w:hAnsi="Arial" w:cs="Arial"/>
        </w:rPr>
      </w:pPr>
    </w:p>
    <w:p w14:paraId="4312A305" w14:textId="77777777" w:rsidR="006268AC" w:rsidRDefault="006268AC" w:rsidP="00441B6F">
      <w:pPr>
        <w:pStyle w:val="Body"/>
        <w:spacing w:after="0"/>
        <w:rPr>
          <w:rFonts w:ascii="Arial" w:hAnsi="Arial" w:cs="Arial"/>
        </w:rPr>
      </w:pPr>
    </w:p>
    <w:p w14:paraId="3A29310E" w14:textId="77777777" w:rsidR="006268AC" w:rsidRDefault="006268AC" w:rsidP="00441B6F">
      <w:pPr>
        <w:pStyle w:val="Body"/>
        <w:spacing w:after="0"/>
        <w:rPr>
          <w:rFonts w:ascii="Arial" w:hAnsi="Arial" w:cs="Arial"/>
        </w:rPr>
      </w:pPr>
    </w:p>
    <w:p w14:paraId="19CA6297" w14:textId="6814C60F" w:rsidR="006268AC" w:rsidRDefault="00E335B3" w:rsidP="00441B6F">
      <w:pPr>
        <w:pStyle w:val="Body"/>
        <w:spacing w:after="0"/>
        <w:rPr>
          <w:rFonts w:ascii="Arial" w:hAnsi="Arial" w:cs="Arial"/>
        </w:rPr>
      </w:pPr>
      <w:r>
        <w:rPr>
          <w:noProof/>
        </w:rPr>
        <w:pict w14:anchorId="4B21107C">
          <v:group id="Group 10" o:spid="_x0000_s1317" style="position:absolute;left:0;text-align:left;margin-left:24.7pt;margin-top:3pt;width:512.1pt;height:671.25pt;z-index:251659264;mso-position-horizontal-relative:margin;mso-width-relative:margin;mso-height-relative:margin" coordsize="62825,9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">
            <v:shape id="Straight Arrow Connector 2136853560" o:spid="_x0000_s1318" type="#_x0000_t32" style="position:absolute;left:32689;top:4617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" strokecolor="windowText" strokeweight="1pt">
              <v:stroke endarrow="block" joinstyle="miter"/>
            </v:shape>
            <v:group id="Group 9" o:spid="_x0000_s1319" style="position:absolute;width:62825;height:95237" coordsize="62825,9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">
              <v:rect id="Rectangle 1378846857" o:spid="_x0000_s1320" style="position:absolute;top:65532;width:1600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" fillcolor="window" strokecolor="windowText" strokeweight="1.5pt">
                <v:textbox style="mso-next-textbox:#Rectangle 1378846857">
                  <w:txbxContent>
                    <w:p w14:paraId="2FBE10AD" w14:textId="77777777" w:rsidR="006268AC" w:rsidRPr="00136835" w:rsidRDefault="006268AC" w:rsidP="006268AC">
                      <w:pPr>
                        <w:jc w:val="center"/>
                        <w:rPr>
                          <w:rFonts w:ascii="Times New Roman" w:hAnsi="Times New Roman"/>
                        </w:rPr>
                      </w:pPr>
                      <w:r w:rsidRPr="00136835">
                        <w:rPr>
                          <w:rFonts w:ascii="Times New Roman" w:hAnsi="Times New Roman"/>
                        </w:rPr>
                        <w:t>Plant- Based Yoghurt</w:t>
                      </w:r>
                    </w:p>
                  </w:txbxContent>
                </v:textbox>
              </v:rect>
              <v:group id="Group 8" o:spid="_x0000_s1321" style="position:absolute;left:3429;width:59396;height:95237" coordsize="59396,9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">
                <v:rect id="Rectangle 2008161875" o:spid="_x0000_s1322" style="position:absolute;left:19354;top:48615;width:19431;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" fillcolor="window" strokecolor="windowText" strokeweight="1.5pt">
                  <v:textbox style="mso-next-textbox:#Rectangle 2008161875">
                    <w:txbxContent>
                      <w:p w14:paraId="29928228" w14:textId="77777777" w:rsidR="006268AC" w:rsidRPr="00136835" w:rsidRDefault="006268AC" w:rsidP="006268AC">
                        <w:pPr>
                          <w:jc w:val="center"/>
                          <w:rPr>
                            <w:rFonts w:ascii="Times New Roman" w:hAnsi="Times New Roman"/>
                          </w:rPr>
                        </w:pPr>
                        <w:r w:rsidRPr="00136835">
                          <w:rPr>
                            <w:rFonts w:ascii="Times New Roman" w:hAnsi="Times New Roman"/>
                          </w:rPr>
                          <w:t>Sweetening with Date Paste</w:t>
                        </w:r>
                      </w:p>
                    </w:txbxContent>
                  </v:textbox>
                </v:rect>
                <v:rect id="Rectangle 1075261000" o:spid="_x0000_s1323" style="position:absolute;left:21336;top:54483;width:14890;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" fillcolor="window" strokecolor="windowText" strokeweight="1.5pt">
                  <v:textbox style="mso-next-textbox:#Rectangle 1075261000">
                    <w:txbxContent>
                      <w:p w14:paraId="7498130B" w14:textId="77777777" w:rsidR="006268AC" w:rsidRPr="00136835" w:rsidRDefault="006268AC" w:rsidP="006268AC">
                        <w:pPr>
                          <w:jc w:val="center"/>
                          <w:rPr>
                            <w:rFonts w:ascii="Times New Roman" w:hAnsi="Times New Roman"/>
                          </w:rPr>
                        </w:pPr>
                        <w:r w:rsidRPr="00136835">
                          <w:rPr>
                            <w:rFonts w:ascii="Times New Roman" w:hAnsi="Times New Roman"/>
                          </w:rPr>
                          <w:t xml:space="preserve">Incubation at </w:t>
                        </w:r>
                        <w:r w:rsidRPr="00136835">
                          <w:rPr>
                            <w:rFonts w:ascii="Times New Roman" w:hAnsi="Times New Roman"/>
                            <w:bCs/>
                          </w:rPr>
                          <w:t>45 °C</w:t>
                        </w:r>
                      </w:p>
                    </w:txbxContent>
                  </v:textbox>
                </v:rect>
                <v:rect id="Rectangle 1744946827" o:spid="_x0000_s1324" style="position:absolute;left:20116;top:60655;width:1600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" fillcolor="window" strokecolor="windowText" strokeweight="1.5pt">
                  <v:textbox style="mso-next-textbox:#Rectangle 1744946827">
                    <w:txbxContent>
                      <w:p w14:paraId="091F7706" w14:textId="77777777" w:rsidR="006268AC" w:rsidRPr="00136835" w:rsidRDefault="006268AC" w:rsidP="006268AC">
                        <w:pPr>
                          <w:jc w:val="center"/>
                          <w:rPr>
                            <w:rFonts w:ascii="Times New Roman" w:hAnsi="Times New Roman"/>
                          </w:rPr>
                        </w:pPr>
                        <w:r w:rsidRPr="00136835">
                          <w:rPr>
                            <w:rFonts w:ascii="Times New Roman" w:hAnsi="Times New Roman"/>
                          </w:rPr>
                          <w:t xml:space="preserve">Final Cooling to </w:t>
                        </w:r>
                        <w:r w:rsidRPr="00136835">
                          <w:rPr>
                            <w:rFonts w:ascii="Times New Roman" w:hAnsi="Times New Roman"/>
                            <w:bCs/>
                          </w:rPr>
                          <w:t>4 °C</w:t>
                        </w:r>
                      </w:p>
                    </w:txbxContent>
                  </v:textbox>
                </v:rect>
                <v:rect id="Rectangle 351686995" o:spid="_x0000_s1325" style="position:absolute;left:38252;top:65532;width:1760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" fillcolor="window" strokecolor="windowText" strokeweight="1pt">
                  <v:textbox style="mso-next-textbox:#Rectangle 351686995">
                    <w:txbxContent>
                      <w:p w14:paraId="1725D58F" w14:textId="77777777" w:rsidR="006268AC" w:rsidRPr="00136835" w:rsidRDefault="006268AC" w:rsidP="006268AC">
                        <w:pPr>
                          <w:jc w:val="center"/>
                          <w:rPr>
                            <w:rFonts w:ascii="Times New Roman" w:hAnsi="Times New Roman"/>
                          </w:rPr>
                        </w:pPr>
                        <w:r w:rsidRPr="00136835">
                          <w:rPr>
                            <w:rFonts w:ascii="Times New Roman" w:hAnsi="Times New Roman"/>
                          </w:rPr>
                          <w:t>Dairy Based Yoghurt</w:t>
                        </w:r>
                      </w:p>
                    </w:txbxContent>
                  </v:textbox>
                </v:rect>
                <v:group id="Group 6" o:spid="_x0000_s1326" style="position:absolute;width:59396;height:50328" coordsize="59396,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">
                  <v:shape id="Straight Arrow Connector 305444899" o:spid="_x0000_s1327" type="#_x0000_t32" style="position:absolute;left:13898;top:20439;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" strokecolor="windowText" strokeweight="1pt">
                    <v:stroke endarrow="block" joinstyle="miter"/>
                  </v:shape>
                  <v:group id="Group 5" o:spid="_x0000_s1328" style="position:absolute;width:59396;height:50328" coordsize="59396,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">
                    <v:rect id="Rectangle 1836067683" o:spid="_x0000_s1329" style="position:absolute;left:21799;top:19092;width:16034;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" fillcolor="window" strokecolor="windowText" strokeweight="1.5pt">
                      <v:textbox style="mso-next-textbox:#Rectangle 1836067683">
                        <w:txbxContent>
                          <w:p w14:paraId="217E8127" w14:textId="77777777" w:rsidR="006268AC" w:rsidRPr="00136835" w:rsidRDefault="006268AC" w:rsidP="006268AC">
                            <w:pPr>
                              <w:jc w:val="center"/>
                              <w:rPr>
                                <w:rFonts w:ascii="Times New Roman" w:hAnsi="Times New Roman"/>
                              </w:rPr>
                            </w:pPr>
                            <w:r w:rsidRPr="00136835">
                              <w:rPr>
                                <w:rFonts w:ascii="Times New Roman" w:hAnsi="Times New Roman"/>
                              </w:rPr>
                              <w:t>Blending (50:50 ratio)</w:t>
                            </w:r>
                          </w:p>
                        </w:txbxContent>
                      </v:textbox>
                    </v:rect>
                    <v:rect id="Rectangle 1975595137" o:spid="_x0000_s1330" style="position:absolute;left:23847;top:24944;width:11430;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" fillcolor="window" strokecolor="windowText" strokeweight="1.5pt">
                      <v:textbox style="mso-next-textbox:#Rectangle 1975595137">
                        <w:txbxContent>
                          <w:p w14:paraId="0D2D8379" w14:textId="77777777" w:rsidR="006268AC" w:rsidRPr="00136835" w:rsidRDefault="006268AC" w:rsidP="006268AC">
                            <w:pPr>
                              <w:jc w:val="center"/>
                              <w:rPr>
                                <w:rFonts w:ascii="Times New Roman" w:hAnsi="Times New Roman"/>
                              </w:rPr>
                            </w:pPr>
                            <w:r w:rsidRPr="00136835">
                              <w:rPr>
                                <w:rFonts w:ascii="Times New Roman" w:hAnsi="Times New Roman"/>
                              </w:rPr>
                              <w:t>Pasteurization</w:t>
                            </w:r>
                          </w:p>
                        </w:txbxContent>
                      </v:textbox>
                    </v:rect>
                    <v:rect id="Rectangle 1797146956" o:spid="_x0000_s1331" style="position:absolute;left:23042;top:31016;width:12573;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" fillcolor="window" strokecolor="windowText" strokeweight="1.5pt">
                      <v:textbox style="mso-next-textbox:#Rectangle 1797146956">
                        <w:txbxContent>
                          <w:p w14:paraId="26196551" w14:textId="77777777" w:rsidR="006268AC" w:rsidRPr="00136835" w:rsidRDefault="006268AC" w:rsidP="006268AC">
                            <w:pPr>
                              <w:jc w:val="center"/>
                              <w:rPr>
                                <w:rFonts w:ascii="Times New Roman" w:hAnsi="Times New Roman"/>
                              </w:rPr>
                            </w:pPr>
                            <w:r w:rsidRPr="00136835">
                              <w:rPr>
                                <w:rFonts w:ascii="Times New Roman" w:hAnsi="Times New Roman"/>
                              </w:rPr>
                              <w:t xml:space="preserve">Cooling to </w:t>
                            </w:r>
                            <w:r w:rsidRPr="00136835">
                              <w:rPr>
                                <w:rFonts w:ascii="Times New Roman" w:hAnsi="Times New Roman"/>
                                <w:bCs/>
                              </w:rPr>
                              <w:t>42 °C</w:t>
                            </w:r>
                          </w:p>
                        </w:txbxContent>
                      </v:textbox>
                    </v:rect>
                    <v:rect id="Rectangle 1067825360" o:spid="_x0000_s1332" style="position:absolute;left:17702;top:37088;width:22936;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" fillcolor="window" strokecolor="windowText" strokeweight="1.5pt">
                      <v:textbox style="mso-next-textbox:#Rectangle 1067825360">
                        <w:txbxContent>
                          <w:p w14:paraId="37509C48" w14:textId="77777777" w:rsidR="006268AC" w:rsidRPr="00136835" w:rsidRDefault="006268AC" w:rsidP="006268AC">
                            <w:pPr>
                              <w:jc w:val="center"/>
                              <w:rPr>
                                <w:rFonts w:ascii="Times New Roman" w:hAnsi="Times New Roman"/>
                              </w:rPr>
                            </w:pPr>
                            <w:r w:rsidRPr="00136835">
                              <w:rPr>
                                <w:rFonts w:ascii="Times New Roman" w:hAnsi="Times New Roman"/>
                              </w:rPr>
                              <w:t>Inoculation with Starter Culture</w:t>
                            </w:r>
                          </w:p>
                        </w:txbxContent>
                      </v:textbox>
                    </v:rect>
                    <v:rect id="Rectangle 1219571546" o:spid="_x0000_s1333" style="position:absolute;left:22457;top:42720;width:13748;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" fillcolor="window" strokecolor="windowText" strokeweight="1.5pt">
                      <v:textbox style="mso-next-textbox:#Rectangle 1219571546">
                        <w:txbxContent>
                          <w:p w14:paraId="2A88576A" w14:textId="77777777" w:rsidR="006268AC" w:rsidRPr="00136835" w:rsidRDefault="006268AC" w:rsidP="006268AC">
                            <w:pPr>
                              <w:jc w:val="center"/>
                              <w:rPr>
                                <w:rFonts w:ascii="Times New Roman" w:hAnsi="Times New Roman"/>
                              </w:rPr>
                            </w:pPr>
                            <w:r w:rsidRPr="00136835">
                              <w:rPr>
                                <w:rFonts w:ascii="Times New Roman" w:hAnsi="Times New Roman"/>
                              </w:rPr>
                              <w:t>Addition of CMC</w:t>
                            </w:r>
                          </w:p>
                        </w:txbxContent>
                      </v:textbox>
                    </v:rect>
                    <v:group id="Group 3" o:spid="_x0000_s1334" style="position:absolute;width:59396;height:16850" coordsize="59396,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">
                      <v:rect id="Rectangle 377122932" o:spid="_x0000_s1335" style="position:absolute;left:5705;top:13459;width:20536;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" fillcolor="window" strokecolor="windowText" strokeweight="1.5pt">
                        <v:textbox style="mso-next-textbox:#Rectangle 377122932">
                          <w:txbxContent>
                            <w:p w14:paraId="4B8E4E81" w14:textId="77777777" w:rsidR="006268AC" w:rsidRPr="00136835" w:rsidRDefault="006268AC" w:rsidP="006268AC">
                              <w:pPr>
                                <w:jc w:val="center"/>
                                <w:rPr>
                                  <w:rFonts w:ascii="Times New Roman" w:hAnsi="Times New Roman"/>
                                </w:rPr>
                              </w:pPr>
                              <w:r w:rsidRPr="00136835">
                                <w:rPr>
                                  <w:rFonts w:ascii="Times New Roman" w:hAnsi="Times New Roman"/>
                                </w:rPr>
                                <w:t>Preparation of Coconut Milk</w:t>
                              </w:r>
                            </w:p>
                          </w:txbxContent>
                        </v:textbox>
                      </v:rect>
                      <v:rect id="Rectangle 1806227476" o:spid="_x0000_s1336" style="position:absolute;top:6729;width:18288;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" fillcolor="window" strokecolor="windowText" strokeweight="1pt">
                        <v:textbox style="mso-next-textbox:#Rectangle 1806227476">
                          <w:txbxContent>
                            <w:p w14:paraId="2D669244" w14:textId="77777777" w:rsidR="006268AC" w:rsidRPr="00136835" w:rsidRDefault="006268AC" w:rsidP="006268AC">
                              <w:pPr>
                                <w:jc w:val="center"/>
                                <w:rPr>
                                  <w:rFonts w:ascii="Times New Roman" w:hAnsi="Times New Roman"/>
                                </w:rPr>
                              </w:pPr>
                              <w:r w:rsidRPr="00136835">
                                <w:rPr>
                                  <w:rFonts w:ascii="Times New Roman" w:hAnsi="Times New Roman"/>
                                </w:rPr>
                                <w:t>Preparation of Date Paste</w:t>
                              </w:r>
                            </w:p>
                          </w:txbxContent>
                        </v:textbox>
                      </v:rect>
                      <v:rect id="Rectangle 1666861451" o:spid="_x0000_s1337" style="position:absolute;left:41184;top:6729;width:18212;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" fillcolor="window" strokecolor="windowText" strokeweight="1pt">
                        <v:textbox style="mso-next-textbox:#Rectangle 1666861451">
                          <w:txbxContent>
                            <w:p w14:paraId="530607A7" w14:textId="77777777" w:rsidR="006268AC" w:rsidRPr="00136835" w:rsidRDefault="006268AC" w:rsidP="006268AC">
                              <w:pPr>
                                <w:jc w:val="center"/>
                                <w:rPr>
                                  <w:rFonts w:ascii="Times New Roman" w:hAnsi="Times New Roman"/>
                                </w:rPr>
                              </w:pPr>
                              <w:r w:rsidRPr="00136835">
                                <w:rPr>
                                  <w:rFonts w:ascii="Times New Roman" w:hAnsi="Times New Roman"/>
                                </w:rPr>
                                <w:t>Preparation of Dairy Milk</w:t>
                              </w:r>
                            </w:p>
                          </w:txbxContent>
                        </v:textbox>
                      </v:rect>
                      <v:rect id="Rectangle 617710147" o:spid="_x0000_s1338" style="position:absolute;left:29699;top:13459;width:20574;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" fillcolor="window" strokecolor="windowText" strokeweight="1pt">
                        <v:textbox style="mso-next-textbox:#Rectangle 617710147">
                          <w:txbxContent>
                            <w:p w14:paraId="2960806A" w14:textId="77777777" w:rsidR="006268AC" w:rsidRPr="00136835" w:rsidRDefault="006268AC" w:rsidP="006268AC">
                              <w:pPr>
                                <w:jc w:val="center"/>
                                <w:rPr>
                                  <w:rFonts w:ascii="Times New Roman" w:hAnsi="Times New Roman"/>
                                </w:rPr>
                              </w:pPr>
                              <w:r w:rsidRPr="00136835">
                                <w:rPr>
                                  <w:rFonts w:ascii="Times New Roman" w:hAnsi="Times New Roman"/>
                                </w:rPr>
                                <w:t xml:space="preserve">Preparation of </w:t>
                              </w:r>
                              <w:proofErr w:type="spellStart"/>
                              <w:r w:rsidRPr="00136835">
                                <w:rPr>
                                  <w:rFonts w:ascii="Times New Roman" w:hAnsi="Times New Roman"/>
                                </w:rPr>
                                <w:t>Tigernut</w:t>
                              </w:r>
                              <w:proofErr w:type="spellEnd"/>
                              <w:r w:rsidRPr="00136835">
                                <w:rPr>
                                  <w:rFonts w:ascii="Times New Roman" w:hAnsi="Times New Roman"/>
                                </w:rPr>
                                <w:t xml:space="preserve"> Milk</w:t>
                              </w:r>
                            </w:p>
                          </w:txbxContent>
                        </v:textbox>
                      </v:rect>
                      <v:oval id="Oval 91802873" o:spid="_x0000_s1339" style="position:absolute;left:17995;width:20536;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" fillcolor="window" strokecolor="windowText" strokeweight="1.5pt">
                        <v:stroke joinstyle="miter"/>
                        <v:textbox style="mso-next-textbox:#Oval 91802873">
                          <w:txbxContent>
                            <w:p w14:paraId="762B27D0" w14:textId="77777777" w:rsidR="006268AC" w:rsidRPr="00136835" w:rsidRDefault="006268AC" w:rsidP="006268AC">
                              <w:pPr>
                                <w:jc w:val="center"/>
                                <w:rPr>
                                  <w:rFonts w:ascii="Times New Roman" w:hAnsi="Times New Roman"/>
                                </w:rPr>
                              </w:pPr>
                              <w:r w:rsidRPr="00136835">
                                <w:rPr>
                                  <w:rFonts w:ascii="Times New Roman" w:hAnsi="Times New Roman"/>
                                </w:rPr>
                                <w:t>Materials Selection</w:t>
                              </w:r>
                            </w:p>
                          </w:txbxContent>
                        </v:textbox>
                      </v:oval>
                      <v:shape id="Straight Arrow Connector 593309051" o:spid="_x0000_s1340" type="#_x0000_t32" style="position:absolute;left:52773;top:2267;width:1;height:4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" strokecolor="windowText" strokeweight="1pt">
                        <v:stroke endarrow="block" joinstyle="miter"/>
                      </v:shape>
                      <v:line id="Straight Connector 1875154266" o:spid="_x0000_s1341" style="position:absolute;visibility:visible;mso-wrap-style:square" from="38477,2267" to="52773,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" strokecolor="windowText" strokeweight="1pt">
                        <v:stroke joinstyle="miter"/>
                      </v:line>
                      <v:shape id="Straight Arrow Connector 24041162" o:spid="_x0000_s1342" type="#_x0000_t32" style="position:absolute;left:3468;top:226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" strokecolor="windowText" strokeweight="1pt">
                        <v:stroke endarrow="block" joinstyle="miter"/>
                      </v:shape>
                      <v:line id="Straight Connector 1825395285" o:spid="_x0000_s1343" style="position:absolute;flip:x;visibility:visible;mso-wrap-style:square" from="3438,2267" to="18003,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" strokecolor="windowText" strokeweight="1pt">
                        <v:stroke joinstyle="miter"/>
                      </v:line>
                      <v:shape id="Straight Arrow Connector 698045059" o:spid="_x0000_s1344" type="#_x0000_t32" style="position:absolute;left:18303;top:4315;width:5251;height:9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" strokecolor="windowText" strokeweight="1pt">
                        <v:stroke endarrow="block" joinstyle="miter"/>
                      </v:shape>
                      <v:shape id="Straight Arrow Connector 1676178884" o:spid="_x0000_s1345" type="#_x0000_t32" style="position:absolute;left:31821;top:4315;width:5911;height:9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" strokecolor="windowText" strokeweight="1pt">
                        <v:stroke endarrow="block" joinstyle="miter"/>
                      </v:shape>
                    </v:group>
                    <v:line id="Straight Connector 1987680311" o:spid="_x0000_s1346" style="position:absolute;visibility:visible;mso-wrap-style:square" from="13898,16824" to="13898,2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" strokecolor="windowText" strokeweight="1pt">
                      <v:stroke joinstyle="miter"/>
                    </v:line>
                    <v:line id="Straight Connector 761927143" o:spid="_x0000_s1347" style="position:absolute;visibility:visible;mso-wrap-style:square" from="43452,16898" to="43452,2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" strokecolor="windowText" strokeweight="1pt">
                      <v:stroke joinstyle="miter"/>
                    </v:line>
                    <v:shape id="Straight Arrow Connector 1514610958" o:spid="_x0000_s1348" type="#_x0000_t32" style="position:absolute;left:37761;top:20439;width:56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" strokecolor="windowText" strokeweight="1pt">
                      <v:stroke endarrow="block" joinstyle="miter"/>
                    </v:shape>
                    <v:shape id="Straight Arrow Connector 1196017570" o:spid="_x0000_s1349" type="#_x0000_t32" style="position:absolute;left:29803;top:2253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" strokecolor="windowText" strokeweight="1pt">
                      <v:stroke endarrow="block" joinstyle="miter"/>
                    </v:shape>
                    <v:shape id="Straight Arrow Connector 705991710" o:spid="_x0000_s1350" type="#_x0000_t32" style="position:absolute;left:29583;top:2860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" strokecolor="windowText" strokeweight="1pt">
                      <v:stroke endarrow="block" joinstyle="miter"/>
                    </v:shape>
                    <v:shape id="Straight Arrow Connector 785555679" o:spid="_x0000_s1351" type="#_x0000_t32" style="position:absolute;left:29364;top:3474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" strokecolor="windowText" strokeweight="1pt">
                      <v:stroke endarrow="block" joinstyle="miter"/>
                    </v:shape>
                    <v:shape id="Straight Arrow Connector 1089824008" o:spid="_x0000_s1352" type="#_x0000_t32" style="position:absolute;left:29218;top:405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" strokecolor="windowText" strokeweight="1pt">
                      <v:stroke endarrow="block" joinstyle="miter"/>
                    </v:shape>
                    <v:line id="Straight Connector 265104222" o:spid="_x0000_s1353" style="position:absolute;visibility:visible;mso-wrap-style:square" from="3437,10093" to="3437,5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" strokecolor="windowText" strokeweight="1pt">
                      <v:stroke joinstyle="miter"/>
                    </v:line>
                    <v:line id="Straight Connector 1072241318" o:spid="_x0000_s1354" style="position:absolute;visibility:visible;mso-wrap-style:square" from="52596,10168" to="5259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" strokecolor="windowText" strokeweight="1pt">
                      <v:stroke joinstyle="miter"/>
                    </v:line>
                    <v:shape id="Straight Arrow Connector 106819419" o:spid="_x0000_s1355" type="#_x0000_t32" style="position:absolute;left:35420;top:26365;width:1717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" strokecolor="windowText" strokeweight="1pt">
                      <v:stroke endarrow="block" joinstyle="miter"/>
                    </v:shape>
                  </v:group>
                </v:group>
                <v:shape id="Straight Arrow Connector 1076103425" o:spid="_x0000_s1356" type="#_x0000_t32" style="position:absolute;left:28727;top:58293;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" strokecolor="windowText" strokeweight="1pt">
                  <v:stroke endarrow="block" joinstyle="miter"/>
                </v:shape>
                <v:shape id="Straight Arrow Connector 135425812" o:spid="_x0000_s1357" type="#_x0000_t32" style="position:absolute;left:29184;top:52197;width:0;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" strokecolor="windowText" strokeweight="1pt">
                  <v:stroke endarrow="block" joinstyle="miter"/>
                </v:shape>
                <v:line id="Straight Connector 1595104006" o:spid="_x0000_s1358" style="position:absolute;flip:x;visibility:visible;mso-wrap-style:square" from="3733,62255" to="19973,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" strokecolor="windowText" strokeweight="1pt">
                  <v:stroke joinstyle="miter"/>
                </v:line>
                <v:line id="Straight Connector 320197482" o:spid="_x0000_s1359" style="position:absolute;visibility:visible;mso-wrap-style:square" from="36118,62255" to="48964,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" strokecolor="windowText" strokeweight="1pt">
                  <v:stroke joinstyle="miter"/>
                </v:line>
                <v:shape id="Straight Arrow Connector 1155402613" o:spid="_x0000_s1360" type="#_x0000_t32" style="position:absolute;left:48844;top:62179;width:103;height:3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" strokecolor="windowText" strokeweight="1pt">
                  <v:stroke endarrow="block" joinstyle="miter"/>
                </v:shape>
                <v:line id="Straight Connector 747033085" o:spid="_x0000_s1361" style="position:absolute;visibility:visible;mso-wrap-style:square" from="48996,68884" to="48996,9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" strokecolor="windowText" strokeweight="1pt">
                  <v:stroke joinstyle="miter"/>
                </v:line>
                <v:rect id="Rectangle 1881209684" o:spid="_x0000_s1362" style="position:absolute;left:21717;top:76123;width:12763;height:69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" fillcolor="window" strokecolor="windowText" strokeweight="1.5pt">
                  <v:textbox style="mso-next-textbox:#Rectangle 1881209684">
                    <w:txbxContent>
                      <w:p w14:paraId="70A35770" w14:textId="77777777" w:rsidR="006268AC" w:rsidRPr="00136835" w:rsidRDefault="006268AC" w:rsidP="006268AC">
                        <w:pPr>
                          <w:rPr>
                            <w:rFonts w:ascii="Times New Roman" w:hAnsi="Times New Roman"/>
                          </w:rPr>
                        </w:pPr>
                        <w:r w:rsidRPr="00136835">
                          <w:rPr>
                            <w:rFonts w:ascii="Times New Roman" w:hAnsi="Times New Roman"/>
                          </w:rPr>
                          <w:t>Plant/Diary Based Yoghurt (50:50)</w:t>
                        </w:r>
                      </w:p>
                    </w:txbxContent>
                  </v:textbox>
                </v:rect>
                <v:line id="Straight Connector 50" o:spid="_x0000_s1363" style="position:absolute;flip:x;visibility:visible;mso-wrap-style:square" from="3581,68884" to="3581,9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" strokecolor="windowText" strokeweight="1pt">
                  <v:stroke joinstyle="miter"/>
                </v:line>
                <v:rect id="Rectangle 650720992" o:spid="_x0000_s1364" style="position:absolute;left:16383;top:90601;width:21336;height:46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" fillcolor="window" strokecolor="windowText" strokeweight="1.5pt">
                  <v:textbox style="mso-next-textbox:#Rectangle 650720992">
                    <w:txbxContent>
                      <w:p w14:paraId="455E4DB6" w14:textId="77777777" w:rsidR="006268AC" w:rsidRPr="00136835" w:rsidRDefault="006268AC" w:rsidP="006268AC">
                        <w:pPr>
                          <w:jc w:val="center"/>
                          <w:rPr>
                            <w:rFonts w:ascii="Times New Roman" w:hAnsi="Times New Roman"/>
                          </w:rPr>
                        </w:pPr>
                        <w:r w:rsidRPr="00136835">
                          <w:rPr>
                            <w:rFonts w:ascii="Times New Roman" w:hAnsi="Times New Roman"/>
                          </w:rPr>
                          <w:t>Packaging and Storage</w:t>
                        </w:r>
                      </w:p>
                    </w:txbxContent>
                  </v:textbox>
                </v:rect>
                <v:shape id="Straight Arrow Connector 54" o:spid="_x0000_s1365" type="#_x0000_t32" style="position:absolute;left:3657;top:92964;width:12637;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" strokecolor="windowText" strokeweight="1pt">
                  <v:stroke endarrow="block" joinstyle="miter"/>
                </v:shape>
                <v:shape id="Straight Arrow Connector 55" o:spid="_x0000_s1366" type="#_x0000_t32" style="position:absolute;left:37719;top:92583;width:11398;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" strokecolor="windowText" strokeweight="1pt">
                  <v:stroke endarrow="block" joinstyle="miter"/>
                </v:shape>
                <v:shape id="Straight Arrow Connector 57" o:spid="_x0000_s1367" type="#_x0000_t32" style="position:absolute;left:28003;top:64084;width:127;height:1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" strokecolor="windowText" strokeweight="1pt">
                  <v:stroke endarrow="block" joinstyle="miter"/>
                </v:shape>
                <v:shape id="Straight Arrow Connector 60" o:spid="_x0000_s1368" type="#_x0000_t32" style="position:absolute;left:7848;top:68961;width:13826;height:9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" strokecolor="windowText" strokeweight="1pt">
                  <v:stroke endarrow="block" joinstyle="miter"/>
                </v:shape>
                <v:shape id="Straight Arrow Connector 62" o:spid="_x0000_s1369" type="#_x0000_t32" style="position:absolute;left:34442;top:68961;width:12614;height:10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" strokecolor="windowText" strokeweight="1pt">
                  <v:stroke endarrow="block" joinstyle="miter"/>
                </v:shape>
                <v:rect id="Rectangle 63" o:spid="_x0000_s1370" style="position:absolute;left:14516;top:71323;width:5232;height:3024;rotation:270108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" fillcolor="window" strokecolor="windowText" strokeweight="1.5pt">
                  <v:textbox style="mso-next-textbox:#Rectangle 63">
                    <w:txbxContent>
                      <w:p w14:paraId="4DD819DB" w14:textId="77777777" w:rsidR="006268AC" w:rsidRPr="00136835" w:rsidRDefault="006268AC" w:rsidP="006268AC">
                        <w:pPr>
                          <w:jc w:val="center"/>
                        </w:pPr>
                        <w:r w:rsidRPr="00136835">
                          <w:t>50%</w:t>
                        </w:r>
                      </w:p>
                    </w:txbxContent>
                  </v:textbox>
                </v:rect>
                <v:rect id="Rectangle 63" o:spid="_x0000_s1371" style="position:absolute;left:36557;top:71039;width:5211;height:3090;rotation:-258394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" fillcolor="window" strokecolor="windowText" strokeweight="1.5pt">
                  <v:textbox>
                    <w:txbxContent>
                      <w:p w14:paraId="7664BF1F" w14:textId="77777777" w:rsidR="006268AC" w:rsidRPr="00136835" w:rsidRDefault="006268AC" w:rsidP="006268AC">
                        <w:pPr>
                          <w:jc w:val="center"/>
                        </w:pPr>
                        <w:r w:rsidRPr="00136835">
                          <w:t>50%</w:t>
                        </w:r>
                      </w:p>
                    </w:txbxContent>
                  </v:textbox>
                </v:rect>
                <v:shape id="Straight Arrow Connector 64" o:spid="_x0000_s1372" type="#_x0000_t32" style="position:absolute;left:27965;top:83210;width:63;height:7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" strokecolor="windowText" strokeweight="1pt">
                  <v:stroke endarrow="block" joinstyle="miter"/>
                </v:shape>
                <v:shape id="Straight Arrow Connector 2" o:spid="_x0000_s1373" type="#_x0000_t32" style="position:absolute;left:3733;top:62331;width:0;height:3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" strokecolor="windowText" strokeweight="1pt">
                  <v:stroke endarrow="block" joinstyle="miter"/>
                </v:shape>
                <v:shape id="Straight Arrow Connector 7" o:spid="_x0000_s1374" type="#_x0000_t32" style="position:absolute;left:3429;top:50368;width:15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" strokecolor="windowText" strokeweight="1pt">
                  <v:stroke endarrow="block" joinstyle="miter"/>
                </v:shape>
              </v:group>
            </v:group>
            <w10:wrap anchorx="margin"/>
          </v:group>
        </w:pict>
      </w:r>
    </w:p>
    <w:p w14:paraId="22CE16EF" w14:textId="77777777" w:rsidR="006268AC" w:rsidRDefault="006268AC" w:rsidP="00441B6F">
      <w:pPr>
        <w:pStyle w:val="Body"/>
        <w:spacing w:after="0"/>
        <w:rPr>
          <w:rFonts w:ascii="Arial" w:hAnsi="Arial" w:cs="Arial"/>
        </w:rPr>
      </w:pPr>
    </w:p>
    <w:p w14:paraId="0B4A3BA3" w14:textId="77777777" w:rsidR="006268AC" w:rsidRDefault="006268AC" w:rsidP="00441B6F">
      <w:pPr>
        <w:pStyle w:val="Body"/>
        <w:spacing w:after="0"/>
        <w:rPr>
          <w:rFonts w:ascii="Arial" w:hAnsi="Arial" w:cs="Arial"/>
        </w:rPr>
      </w:pPr>
    </w:p>
    <w:p w14:paraId="37EE3D62" w14:textId="77777777" w:rsidR="006268AC" w:rsidRDefault="006268AC" w:rsidP="00441B6F">
      <w:pPr>
        <w:pStyle w:val="Body"/>
        <w:spacing w:after="0"/>
        <w:rPr>
          <w:rFonts w:ascii="Arial" w:hAnsi="Arial" w:cs="Arial"/>
        </w:rPr>
      </w:pPr>
    </w:p>
    <w:p w14:paraId="51667929" w14:textId="77777777" w:rsidR="00136835" w:rsidRDefault="00136835" w:rsidP="00441B6F">
      <w:pPr>
        <w:pStyle w:val="Body"/>
        <w:spacing w:after="0"/>
        <w:rPr>
          <w:rFonts w:ascii="Arial" w:hAnsi="Arial" w:cs="Arial"/>
        </w:rPr>
      </w:pPr>
    </w:p>
    <w:p w14:paraId="42FE243F" w14:textId="77777777" w:rsidR="00136835" w:rsidRDefault="00136835" w:rsidP="00441B6F">
      <w:pPr>
        <w:pStyle w:val="Body"/>
        <w:spacing w:after="0"/>
        <w:rPr>
          <w:rFonts w:ascii="Arial" w:hAnsi="Arial" w:cs="Arial"/>
        </w:rPr>
      </w:pPr>
    </w:p>
    <w:p w14:paraId="7734A79B" w14:textId="77777777" w:rsidR="00136835" w:rsidRDefault="00136835" w:rsidP="00441B6F">
      <w:pPr>
        <w:pStyle w:val="Body"/>
        <w:spacing w:after="0"/>
        <w:rPr>
          <w:rFonts w:ascii="Arial" w:hAnsi="Arial" w:cs="Arial"/>
        </w:rPr>
      </w:pPr>
    </w:p>
    <w:p w14:paraId="3B234BAD" w14:textId="77777777" w:rsidR="00136835" w:rsidRDefault="00136835" w:rsidP="00441B6F">
      <w:pPr>
        <w:pStyle w:val="Body"/>
        <w:spacing w:after="0"/>
        <w:rPr>
          <w:rFonts w:ascii="Arial" w:hAnsi="Arial" w:cs="Arial"/>
        </w:rPr>
      </w:pPr>
    </w:p>
    <w:p w14:paraId="5778E71B" w14:textId="77777777" w:rsidR="00136835" w:rsidRDefault="00136835" w:rsidP="00441B6F">
      <w:pPr>
        <w:pStyle w:val="Body"/>
        <w:spacing w:after="0"/>
        <w:rPr>
          <w:rFonts w:ascii="Arial" w:hAnsi="Arial" w:cs="Arial"/>
        </w:rPr>
      </w:pPr>
    </w:p>
    <w:p w14:paraId="27F24DE7" w14:textId="77777777" w:rsidR="00136835" w:rsidRDefault="00136835" w:rsidP="00441B6F">
      <w:pPr>
        <w:pStyle w:val="Body"/>
        <w:spacing w:after="0"/>
        <w:rPr>
          <w:rFonts w:ascii="Arial" w:hAnsi="Arial" w:cs="Arial"/>
        </w:rPr>
      </w:pPr>
    </w:p>
    <w:p w14:paraId="0B7B9D75" w14:textId="77777777" w:rsidR="006268AC" w:rsidRDefault="006268AC" w:rsidP="00441B6F">
      <w:pPr>
        <w:pStyle w:val="Body"/>
        <w:spacing w:after="0"/>
        <w:rPr>
          <w:rFonts w:ascii="Arial" w:hAnsi="Arial" w:cs="Arial"/>
        </w:rPr>
      </w:pPr>
    </w:p>
    <w:p w14:paraId="275488D5" w14:textId="77777777" w:rsidR="006268AC" w:rsidRDefault="006268AC" w:rsidP="00441B6F">
      <w:pPr>
        <w:pStyle w:val="Body"/>
        <w:spacing w:after="0"/>
        <w:rPr>
          <w:rFonts w:ascii="Arial" w:hAnsi="Arial" w:cs="Arial"/>
        </w:rPr>
      </w:pPr>
    </w:p>
    <w:p w14:paraId="02D22ACA" w14:textId="77777777" w:rsidR="006268AC" w:rsidRDefault="006268AC" w:rsidP="00441B6F">
      <w:pPr>
        <w:pStyle w:val="Body"/>
        <w:spacing w:after="0"/>
        <w:rPr>
          <w:rFonts w:ascii="Arial" w:hAnsi="Arial" w:cs="Arial"/>
        </w:rPr>
      </w:pPr>
    </w:p>
    <w:p w14:paraId="1CEAA2AA" w14:textId="77777777" w:rsidR="006268AC" w:rsidRDefault="006268AC" w:rsidP="00441B6F">
      <w:pPr>
        <w:pStyle w:val="Body"/>
        <w:spacing w:after="0"/>
        <w:rPr>
          <w:rFonts w:ascii="Arial" w:hAnsi="Arial" w:cs="Arial"/>
        </w:rPr>
      </w:pPr>
    </w:p>
    <w:p w14:paraId="4724BF42" w14:textId="77777777" w:rsidR="006268AC" w:rsidRDefault="006268AC" w:rsidP="00441B6F">
      <w:pPr>
        <w:pStyle w:val="Body"/>
        <w:spacing w:after="0"/>
        <w:rPr>
          <w:rFonts w:ascii="Arial" w:hAnsi="Arial" w:cs="Arial"/>
        </w:rPr>
      </w:pPr>
    </w:p>
    <w:p w14:paraId="04FDF0AB" w14:textId="77777777" w:rsidR="006268AC" w:rsidRDefault="006268AC" w:rsidP="00441B6F">
      <w:pPr>
        <w:pStyle w:val="Body"/>
        <w:spacing w:after="0"/>
        <w:rPr>
          <w:rFonts w:ascii="Arial" w:hAnsi="Arial" w:cs="Arial"/>
        </w:rPr>
      </w:pPr>
    </w:p>
    <w:p w14:paraId="0B2A69F7" w14:textId="77777777" w:rsidR="006268AC" w:rsidRDefault="006268AC" w:rsidP="00441B6F">
      <w:pPr>
        <w:pStyle w:val="Body"/>
        <w:spacing w:after="0"/>
        <w:rPr>
          <w:rFonts w:ascii="Arial" w:hAnsi="Arial" w:cs="Arial"/>
        </w:rPr>
      </w:pPr>
    </w:p>
    <w:p w14:paraId="4009C316" w14:textId="77777777" w:rsidR="006268AC" w:rsidRDefault="006268AC" w:rsidP="00441B6F">
      <w:pPr>
        <w:pStyle w:val="Body"/>
        <w:spacing w:after="0"/>
        <w:rPr>
          <w:rFonts w:ascii="Arial" w:hAnsi="Arial" w:cs="Arial"/>
        </w:rPr>
      </w:pPr>
    </w:p>
    <w:p w14:paraId="632475AF" w14:textId="77777777" w:rsidR="006268AC" w:rsidRDefault="006268AC" w:rsidP="00441B6F">
      <w:pPr>
        <w:pStyle w:val="Body"/>
        <w:spacing w:after="0"/>
        <w:rPr>
          <w:rFonts w:ascii="Arial" w:hAnsi="Arial" w:cs="Arial"/>
        </w:rPr>
      </w:pPr>
    </w:p>
    <w:p w14:paraId="7B9F1D0E" w14:textId="77777777" w:rsidR="006268AC" w:rsidRDefault="006268AC" w:rsidP="00441B6F">
      <w:pPr>
        <w:pStyle w:val="Body"/>
        <w:spacing w:after="0"/>
        <w:rPr>
          <w:rFonts w:ascii="Arial" w:hAnsi="Arial" w:cs="Arial"/>
        </w:rPr>
      </w:pPr>
    </w:p>
    <w:p w14:paraId="390783E4" w14:textId="77777777" w:rsidR="006268AC" w:rsidRDefault="006268AC" w:rsidP="00441B6F">
      <w:pPr>
        <w:pStyle w:val="Body"/>
        <w:spacing w:after="0"/>
        <w:rPr>
          <w:rFonts w:ascii="Arial" w:hAnsi="Arial" w:cs="Arial"/>
        </w:rPr>
      </w:pPr>
    </w:p>
    <w:p w14:paraId="5EB9034D" w14:textId="77777777" w:rsidR="006268AC" w:rsidRDefault="006268AC" w:rsidP="00441B6F">
      <w:pPr>
        <w:pStyle w:val="Body"/>
        <w:spacing w:after="0"/>
        <w:rPr>
          <w:rFonts w:ascii="Arial" w:hAnsi="Arial" w:cs="Arial"/>
        </w:rPr>
      </w:pPr>
    </w:p>
    <w:p w14:paraId="320F1994" w14:textId="77777777" w:rsidR="006268AC" w:rsidRDefault="006268AC" w:rsidP="00441B6F">
      <w:pPr>
        <w:pStyle w:val="Body"/>
        <w:spacing w:after="0"/>
        <w:rPr>
          <w:rFonts w:ascii="Arial" w:hAnsi="Arial" w:cs="Arial"/>
        </w:rPr>
      </w:pPr>
    </w:p>
    <w:p w14:paraId="2461091D" w14:textId="77777777" w:rsidR="006268AC" w:rsidRDefault="006268AC" w:rsidP="006268AC">
      <w:pPr>
        <w:jc w:val="both"/>
        <w:rPr>
          <w:rFonts w:ascii="Arial" w:hAnsi="Arial" w:cs="Arial"/>
          <w:b/>
          <w:bCs/>
        </w:rPr>
      </w:pPr>
    </w:p>
    <w:p w14:paraId="6B5EECFC" w14:textId="77777777" w:rsidR="00136835" w:rsidRDefault="00136835" w:rsidP="006268AC">
      <w:pPr>
        <w:jc w:val="both"/>
        <w:rPr>
          <w:rFonts w:ascii="Arial" w:hAnsi="Arial" w:cs="Arial"/>
          <w:b/>
          <w:bCs/>
        </w:rPr>
      </w:pPr>
    </w:p>
    <w:p w14:paraId="603225BA" w14:textId="77777777" w:rsidR="00136835" w:rsidRDefault="00136835" w:rsidP="006268AC">
      <w:pPr>
        <w:jc w:val="both"/>
        <w:rPr>
          <w:rFonts w:ascii="Arial" w:hAnsi="Arial" w:cs="Arial"/>
          <w:b/>
          <w:bCs/>
        </w:rPr>
      </w:pPr>
    </w:p>
    <w:p w14:paraId="2C94E9BD" w14:textId="77777777" w:rsidR="00136835" w:rsidRDefault="00136835" w:rsidP="006268AC">
      <w:pPr>
        <w:jc w:val="both"/>
        <w:rPr>
          <w:rFonts w:ascii="Arial" w:hAnsi="Arial" w:cs="Arial"/>
          <w:b/>
          <w:bCs/>
        </w:rPr>
      </w:pPr>
    </w:p>
    <w:p w14:paraId="5A5AB520" w14:textId="77777777" w:rsidR="00136835" w:rsidRDefault="00136835" w:rsidP="006268AC">
      <w:pPr>
        <w:jc w:val="both"/>
        <w:rPr>
          <w:rFonts w:ascii="Arial" w:hAnsi="Arial" w:cs="Arial"/>
          <w:b/>
          <w:bCs/>
        </w:rPr>
      </w:pPr>
    </w:p>
    <w:p w14:paraId="05235AC8" w14:textId="77777777" w:rsidR="00136835" w:rsidRDefault="00136835" w:rsidP="006268AC">
      <w:pPr>
        <w:jc w:val="both"/>
        <w:rPr>
          <w:rFonts w:ascii="Arial" w:hAnsi="Arial" w:cs="Arial"/>
          <w:b/>
          <w:bCs/>
        </w:rPr>
      </w:pPr>
    </w:p>
    <w:p w14:paraId="36166AC1" w14:textId="77777777" w:rsidR="00136835" w:rsidRDefault="00136835" w:rsidP="006268AC">
      <w:pPr>
        <w:jc w:val="both"/>
        <w:rPr>
          <w:rFonts w:ascii="Arial" w:hAnsi="Arial" w:cs="Arial"/>
          <w:b/>
          <w:bCs/>
        </w:rPr>
      </w:pPr>
    </w:p>
    <w:p w14:paraId="1A942F21" w14:textId="77777777" w:rsidR="00136835" w:rsidRDefault="00136835" w:rsidP="006268AC">
      <w:pPr>
        <w:jc w:val="both"/>
        <w:rPr>
          <w:rFonts w:ascii="Arial" w:hAnsi="Arial" w:cs="Arial"/>
          <w:b/>
          <w:bCs/>
        </w:rPr>
      </w:pPr>
    </w:p>
    <w:p w14:paraId="11927EF4" w14:textId="77777777" w:rsidR="00136835" w:rsidRDefault="00136835" w:rsidP="006268AC">
      <w:pPr>
        <w:jc w:val="both"/>
        <w:rPr>
          <w:rFonts w:ascii="Arial" w:hAnsi="Arial" w:cs="Arial"/>
          <w:b/>
          <w:bCs/>
        </w:rPr>
      </w:pPr>
    </w:p>
    <w:p w14:paraId="3BDD9CE4" w14:textId="77777777" w:rsidR="00136835" w:rsidRDefault="00136835" w:rsidP="006268AC">
      <w:pPr>
        <w:jc w:val="both"/>
        <w:rPr>
          <w:rFonts w:ascii="Arial" w:hAnsi="Arial" w:cs="Arial"/>
          <w:b/>
          <w:bCs/>
        </w:rPr>
      </w:pPr>
    </w:p>
    <w:p w14:paraId="4EF5A87A" w14:textId="77777777" w:rsidR="00136835" w:rsidRDefault="00136835" w:rsidP="006268AC">
      <w:pPr>
        <w:jc w:val="both"/>
        <w:rPr>
          <w:rFonts w:ascii="Arial" w:hAnsi="Arial" w:cs="Arial"/>
          <w:b/>
          <w:bCs/>
        </w:rPr>
      </w:pPr>
    </w:p>
    <w:p w14:paraId="388C62D9" w14:textId="77777777" w:rsidR="00136835" w:rsidRDefault="00136835" w:rsidP="006268AC">
      <w:pPr>
        <w:jc w:val="both"/>
        <w:rPr>
          <w:rFonts w:ascii="Arial" w:hAnsi="Arial" w:cs="Arial"/>
          <w:b/>
          <w:bCs/>
        </w:rPr>
      </w:pPr>
    </w:p>
    <w:p w14:paraId="541BD6B8" w14:textId="77777777" w:rsidR="00136835" w:rsidRDefault="00136835" w:rsidP="006268AC">
      <w:pPr>
        <w:jc w:val="both"/>
        <w:rPr>
          <w:rFonts w:ascii="Arial" w:hAnsi="Arial" w:cs="Arial"/>
          <w:b/>
          <w:bCs/>
        </w:rPr>
      </w:pPr>
    </w:p>
    <w:p w14:paraId="1419A833" w14:textId="77777777" w:rsidR="00136835" w:rsidRDefault="00136835" w:rsidP="006268AC">
      <w:pPr>
        <w:jc w:val="both"/>
        <w:rPr>
          <w:rFonts w:ascii="Arial" w:hAnsi="Arial" w:cs="Arial"/>
          <w:b/>
          <w:bCs/>
        </w:rPr>
      </w:pPr>
    </w:p>
    <w:p w14:paraId="7FB2C87D" w14:textId="77777777" w:rsidR="00136835" w:rsidRDefault="00136835" w:rsidP="006268AC">
      <w:pPr>
        <w:jc w:val="both"/>
        <w:rPr>
          <w:rFonts w:ascii="Arial" w:hAnsi="Arial" w:cs="Arial"/>
          <w:b/>
          <w:bCs/>
        </w:rPr>
      </w:pPr>
    </w:p>
    <w:p w14:paraId="0A57E505" w14:textId="77777777" w:rsidR="00136835" w:rsidRDefault="00136835" w:rsidP="006268AC">
      <w:pPr>
        <w:jc w:val="both"/>
        <w:rPr>
          <w:rFonts w:ascii="Arial" w:hAnsi="Arial" w:cs="Arial"/>
          <w:b/>
          <w:bCs/>
        </w:rPr>
      </w:pPr>
    </w:p>
    <w:p w14:paraId="47C7D8B5" w14:textId="77777777" w:rsidR="00136835" w:rsidRDefault="00136835" w:rsidP="006268AC">
      <w:pPr>
        <w:jc w:val="both"/>
        <w:rPr>
          <w:rFonts w:ascii="Arial" w:hAnsi="Arial" w:cs="Arial"/>
          <w:b/>
          <w:bCs/>
        </w:rPr>
      </w:pPr>
    </w:p>
    <w:p w14:paraId="75059124" w14:textId="77777777" w:rsidR="00136835" w:rsidRDefault="00136835" w:rsidP="006268AC">
      <w:pPr>
        <w:jc w:val="both"/>
        <w:rPr>
          <w:rFonts w:ascii="Arial" w:hAnsi="Arial" w:cs="Arial"/>
          <w:b/>
          <w:bCs/>
        </w:rPr>
      </w:pPr>
    </w:p>
    <w:p w14:paraId="26104198" w14:textId="77777777" w:rsidR="00136835" w:rsidRDefault="00136835" w:rsidP="006268AC">
      <w:pPr>
        <w:jc w:val="both"/>
        <w:rPr>
          <w:rFonts w:ascii="Arial" w:hAnsi="Arial" w:cs="Arial"/>
          <w:b/>
          <w:bCs/>
        </w:rPr>
      </w:pPr>
    </w:p>
    <w:p w14:paraId="1B5ED549" w14:textId="77777777" w:rsidR="00136835" w:rsidRDefault="00136835" w:rsidP="006268AC">
      <w:pPr>
        <w:jc w:val="both"/>
        <w:rPr>
          <w:rFonts w:ascii="Arial" w:hAnsi="Arial" w:cs="Arial"/>
          <w:b/>
          <w:bCs/>
        </w:rPr>
      </w:pPr>
    </w:p>
    <w:p w14:paraId="63971AF1" w14:textId="77777777" w:rsidR="00136835" w:rsidRDefault="00136835" w:rsidP="006268AC">
      <w:pPr>
        <w:jc w:val="both"/>
        <w:rPr>
          <w:rFonts w:ascii="Arial" w:hAnsi="Arial" w:cs="Arial"/>
          <w:b/>
          <w:bCs/>
        </w:rPr>
      </w:pPr>
    </w:p>
    <w:p w14:paraId="624AB243" w14:textId="77777777" w:rsidR="00136835" w:rsidRDefault="00136835" w:rsidP="006268AC">
      <w:pPr>
        <w:jc w:val="both"/>
        <w:rPr>
          <w:rFonts w:ascii="Arial" w:hAnsi="Arial" w:cs="Arial"/>
          <w:b/>
          <w:bCs/>
        </w:rPr>
      </w:pPr>
    </w:p>
    <w:p w14:paraId="72A2383D" w14:textId="77777777" w:rsidR="00136835" w:rsidRDefault="00136835" w:rsidP="006268AC">
      <w:pPr>
        <w:jc w:val="both"/>
        <w:rPr>
          <w:rFonts w:ascii="Arial" w:hAnsi="Arial" w:cs="Arial"/>
          <w:b/>
          <w:bCs/>
        </w:rPr>
      </w:pPr>
    </w:p>
    <w:p w14:paraId="4764D6D8" w14:textId="77777777" w:rsidR="00136835" w:rsidRDefault="00136835" w:rsidP="006268AC">
      <w:pPr>
        <w:jc w:val="both"/>
        <w:rPr>
          <w:rFonts w:ascii="Arial" w:hAnsi="Arial" w:cs="Arial"/>
          <w:b/>
          <w:bCs/>
        </w:rPr>
      </w:pPr>
    </w:p>
    <w:p w14:paraId="7FE779FA" w14:textId="77777777" w:rsidR="00136835" w:rsidRDefault="00136835" w:rsidP="006268AC">
      <w:pPr>
        <w:jc w:val="both"/>
        <w:rPr>
          <w:rFonts w:ascii="Arial" w:hAnsi="Arial" w:cs="Arial"/>
          <w:b/>
          <w:bCs/>
        </w:rPr>
      </w:pPr>
    </w:p>
    <w:p w14:paraId="2FA3873D" w14:textId="77777777" w:rsidR="00136835" w:rsidRDefault="00136835" w:rsidP="006268AC">
      <w:pPr>
        <w:jc w:val="both"/>
        <w:rPr>
          <w:rFonts w:ascii="Arial" w:hAnsi="Arial" w:cs="Arial"/>
          <w:b/>
          <w:bCs/>
        </w:rPr>
      </w:pPr>
    </w:p>
    <w:p w14:paraId="11DF5E81" w14:textId="77777777" w:rsidR="00136835" w:rsidRDefault="00136835" w:rsidP="006268AC">
      <w:pPr>
        <w:jc w:val="both"/>
        <w:rPr>
          <w:rFonts w:ascii="Arial" w:hAnsi="Arial" w:cs="Arial"/>
          <w:b/>
          <w:bCs/>
        </w:rPr>
      </w:pPr>
    </w:p>
    <w:p w14:paraId="59DD15A3" w14:textId="77777777" w:rsidR="00136835" w:rsidRDefault="00136835" w:rsidP="006268AC">
      <w:pPr>
        <w:jc w:val="both"/>
        <w:rPr>
          <w:rFonts w:ascii="Arial" w:hAnsi="Arial" w:cs="Arial"/>
          <w:b/>
          <w:bCs/>
        </w:rPr>
      </w:pPr>
    </w:p>
    <w:p w14:paraId="0C9FEBC0" w14:textId="77777777" w:rsidR="00136835" w:rsidRDefault="00136835" w:rsidP="006268AC">
      <w:pPr>
        <w:jc w:val="both"/>
        <w:rPr>
          <w:rFonts w:ascii="Arial" w:hAnsi="Arial" w:cs="Arial"/>
          <w:b/>
          <w:bCs/>
        </w:rPr>
      </w:pPr>
    </w:p>
    <w:p w14:paraId="4EC571E5" w14:textId="77777777" w:rsidR="00136835" w:rsidRDefault="00136835" w:rsidP="006268AC">
      <w:pPr>
        <w:jc w:val="both"/>
        <w:rPr>
          <w:rFonts w:ascii="Arial" w:hAnsi="Arial" w:cs="Arial"/>
          <w:b/>
          <w:bCs/>
        </w:rPr>
      </w:pPr>
    </w:p>
    <w:p w14:paraId="74251E24" w14:textId="77777777" w:rsidR="00136835" w:rsidRDefault="00136835" w:rsidP="006268AC">
      <w:pPr>
        <w:jc w:val="both"/>
        <w:rPr>
          <w:rFonts w:ascii="Arial" w:hAnsi="Arial" w:cs="Arial"/>
          <w:b/>
          <w:bCs/>
        </w:rPr>
      </w:pPr>
    </w:p>
    <w:p w14:paraId="159F947B" w14:textId="77777777" w:rsidR="00136835" w:rsidRDefault="00136835" w:rsidP="006268AC">
      <w:pPr>
        <w:jc w:val="both"/>
        <w:rPr>
          <w:rFonts w:ascii="Arial" w:hAnsi="Arial" w:cs="Arial"/>
          <w:b/>
          <w:bCs/>
        </w:rPr>
      </w:pPr>
    </w:p>
    <w:p w14:paraId="1513FDA3" w14:textId="77777777" w:rsidR="00136835" w:rsidRDefault="00136835" w:rsidP="006268AC">
      <w:pPr>
        <w:jc w:val="both"/>
        <w:rPr>
          <w:rFonts w:ascii="Arial" w:hAnsi="Arial" w:cs="Arial"/>
          <w:b/>
          <w:bCs/>
        </w:rPr>
      </w:pPr>
    </w:p>
    <w:p w14:paraId="68C8CBBF" w14:textId="77777777" w:rsidR="00136835" w:rsidRDefault="00136835" w:rsidP="006268AC">
      <w:pPr>
        <w:jc w:val="both"/>
        <w:rPr>
          <w:rFonts w:ascii="Arial" w:hAnsi="Arial" w:cs="Arial"/>
          <w:b/>
          <w:bCs/>
        </w:rPr>
      </w:pPr>
    </w:p>
    <w:p w14:paraId="0C66B0CC" w14:textId="77777777" w:rsidR="00136835" w:rsidRDefault="00136835" w:rsidP="006268AC">
      <w:pPr>
        <w:jc w:val="both"/>
        <w:rPr>
          <w:rFonts w:ascii="Arial" w:hAnsi="Arial" w:cs="Arial"/>
          <w:b/>
          <w:bCs/>
        </w:rPr>
      </w:pPr>
    </w:p>
    <w:p w14:paraId="227034CB" w14:textId="77777777" w:rsidR="00136835" w:rsidRDefault="00136835" w:rsidP="006268AC">
      <w:pPr>
        <w:jc w:val="both"/>
        <w:rPr>
          <w:rFonts w:ascii="Arial" w:hAnsi="Arial" w:cs="Arial"/>
          <w:b/>
          <w:bCs/>
        </w:rPr>
      </w:pPr>
    </w:p>
    <w:p w14:paraId="37338696" w14:textId="77777777" w:rsidR="00136835" w:rsidRDefault="00136835" w:rsidP="006268AC">
      <w:pPr>
        <w:jc w:val="both"/>
        <w:rPr>
          <w:rFonts w:ascii="Arial" w:hAnsi="Arial" w:cs="Arial"/>
          <w:b/>
          <w:bCs/>
        </w:rPr>
      </w:pPr>
    </w:p>
    <w:p w14:paraId="0A12860B" w14:textId="6E0DD995" w:rsidR="006268AC" w:rsidRDefault="006268AC" w:rsidP="006268AC">
      <w:pPr>
        <w:jc w:val="both"/>
        <w:rPr>
          <w:rFonts w:ascii="Arial" w:hAnsi="Arial" w:cs="Arial"/>
        </w:rPr>
      </w:pPr>
      <w:r w:rsidRPr="009153FA">
        <w:rPr>
          <w:rFonts w:ascii="Arial" w:hAnsi="Arial" w:cs="Arial"/>
          <w:b/>
          <w:bCs/>
        </w:rPr>
        <w:t>Figure 1:</w:t>
      </w:r>
      <w:r w:rsidRPr="009153FA">
        <w:rPr>
          <w:rFonts w:ascii="Arial" w:hAnsi="Arial" w:cs="Arial"/>
        </w:rPr>
        <w:t xml:space="preserve"> Flow Chart for Yoghurt Preparation</w:t>
      </w:r>
    </w:p>
    <w:p w14:paraId="58D53721" w14:textId="77777777" w:rsidR="00136835" w:rsidRDefault="00136835" w:rsidP="006268AC">
      <w:pPr>
        <w:pStyle w:val="Body"/>
        <w:spacing w:after="0"/>
        <w:rPr>
          <w:rFonts w:ascii="Arial" w:hAnsi="Arial" w:cs="Arial"/>
          <w:b/>
          <w:sz w:val="22"/>
        </w:rPr>
      </w:pPr>
    </w:p>
    <w:p w14:paraId="6AD7CFFD" w14:textId="39930936" w:rsidR="006268AC" w:rsidRPr="006268AC" w:rsidRDefault="006268AC" w:rsidP="006268AC">
      <w:pPr>
        <w:pStyle w:val="Body"/>
        <w:spacing w:after="0"/>
        <w:rPr>
          <w:rFonts w:ascii="Arial" w:hAnsi="Arial" w:cs="Arial"/>
          <w:b/>
          <w:sz w:val="22"/>
        </w:rPr>
      </w:pPr>
      <w:r w:rsidRPr="006268AC">
        <w:rPr>
          <w:rFonts w:ascii="Arial" w:hAnsi="Arial" w:cs="Arial"/>
          <w:b/>
          <w:sz w:val="22"/>
        </w:rPr>
        <w:t>2.3 Experimental rats</w:t>
      </w:r>
    </w:p>
    <w:p w14:paraId="65D1EA83" w14:textId="77777777" w:rsidR="006268AC" w:rsidRDefault="006268AC" w:rsidP="006268AC">
      <w:pPr>
        <w:jc w:val="both"/>
        <w:rPr>
          <w:rFonts w:ascii="Arial" w:hAnsi="Arial" w:cs="Arial"/>
        </w:rPr>
      </w:pPr>
    </w:p>
    <w:p w14:paraId="74530ECC" w14:textId="3B2A933F" w:rsidR="006268AC" w:rsidRPr="006268AC" w:rsidRDefault="006268AC" w:rsidP="006268AC">
      <w:pPr>
        <w:jc w:val="both"/>
        <w:rPr>
          <w:rFonts w:ascii="Arial" w:hAnsi="Arial" w:cs="Arial"/>
        </w:rPr>
      </w:pPr>
      <w:r w:rsidRPr="006268AC">
        <w:rPr>
          <w:rFonts w:ascii="Arial" w:hAnsi="Arial" w:cs="Arial"/>
        </w:rPr>
        <w:t xml:space="preserve">A total of 30 adult Wistar rats were used for the study. The rats were randomly assigned to experimental groups to minimize bias and ensure homogeneity in baseline characteristics. Each group consisted of 5 rats, weighing between 150 and 200 g. The rats were obtained from the Animal House of Basic Medical Sciences, University of Port Harcourt, Nigeria. They were housed in well-ventilated cages under standard laboratory conditions (12-hour light/dark cycle, temperature 22 ± 2 °C, relative humidity 50–60%). The animals were allowed to acclimatize for two weeks before the commencement of the experiment. During this period of </w:t>
      </w:r>
      <w:proofErr w:type="spellStart"/>
      <w:r w:rsidRPr="006268AC">
        <w:rPr>
          <w:rFonts w:ascii="Arial" w:hAnsi="Arial" w:cs="Arial"/>
        </w:rPr>
        <w:t>acclimatisation</w:t>
      </w:r>
      <w:proofErr w:type="spellEnd"/>
      <w:r w:rsidRPr="006268AC">
        <w:rPr>
          <w:rFonts w:ascii="Arial" w:hAnsi="Arial" w:cs="Arial"/>
        </w:rPr>
        <w:t xml:space="preserve">, they were fed with grower mash (Top Feed Ltd.) and provided water ad libitum. </w:t>
      </w:r>
    </w:p>
    <w:p w14:paraId="5F838B2B" w14:textId="77777777" w:rsidR="006268AC" w:rsidRDefault="006268AC" w:rsidP="006268AC">
      <w:pPr>
        <w:pStyle w:val="Body"/>
        <w:spacing w:after="0"/>
        <w:rPr>
          <w:rFonts w:ascii="Arial" w:hAnsi="Arial" w:cs="Arial"/>
          <w:b/>
          <w:sz w:val="22"/>
        </w:rPr>
      </w:pPr>
    </w:p>
    <w:p w14:paraId="316BABE9" w14:textId="1CE6DB9B" w:rsidR="006268AC" w:rsidRPr="006268AC" w:rsidRDefault="006268AC" w:rsidP="006268AC">
      <w:pPr>
        <w:pStyle w:val="Body"/>
        <w:spacing w:after="0"/>
        <w:rPr>
          <w:rFonts w:ascii="Arial" w:hAnsi="Arial" w:cs="Arial"/>
          <w:b/>
          <w:sz w:val="22"/>
        </w:rPr>
      </w:pPr>
      <w:r w:rsidRPr="006268AC">
        <w:rPr>
          <w:rFonts w:ascii="Arial" w:hAnsi="Arial" w:cs="Arial"/>
          <w:b/>
          <w:sz w:val="22"/>
        </w:rPr>
        <w:t>2.4 Experimental design</w:t>
      </w:r>
    </w:p>
    <w:p w14:paraId="1568A4B5" w14:textId="77777777" w:rsidR="006268AC" w:rsidRDefault="006268AC" w:rsidP="006268AC">
      <w:pPr>
        <w:jc w:val="both"/>
        <w:rPr>
          <w:rFonts w:ascii="Arial" w:hAnsi="Arial" w:cs="Arial"/>
        </w:rPr>
      </w:pPr>
    </w:p>
    <w:p w14:paraId="0AAED09B" w14:textId="170E29DC" w:rsidR="006268AC" w:rsidRPr="006268AC" w:rsidRDefault="006268AC" w:rsidP="006268AC">
      <w:pPr>
        <w:jc w:val="both"/>
        <w:rPr>
          <w:rFonts w:ascii="Arial" w:hAnsi="Arial" w:cs="Arial"/>
        </w:rPr>
      </w:pPr>
      <w:r w:rsidRPr="006268AC">
        <w:rPr>
          <w:rFonts w:ascii="Arial" w:hAnsi="Arial" w:cs="Arial"/>
        </w:rPr>
        <w:t>A total of 30 adult Wistar rats were used for this study according to the method of Bhattacharya et al. (2007) &amp; Ajayi et al. (2024). The rats were assigned to 6 groups of 5 rats each and pre-treated as stated below:</w:t>
      </w:r>
    </w:p>
    <w:p w14:paraId="6F857E4E" w14:textId="77777777" w:rsidR="006268AC" w:rsidRPr="006268AC" w:rsidRDefault="006268AC" w:rsidP="006268AC">
      <w:pPr>
        <w:jc w:val="both"/>
        <w:rPr>
          <w:rFonts w:ascii="Arial" w:hAnsi="Arial" w:cs="Arial"/>
        </w:rPr>
      </w:pPr>
      <w:r w:rsidRPr="006268AC">
        <w:rPr>
          <w:rFonts w:ascii="Arial" w:hAnsi="Arial" w:cs="Arial"/>
        </w:rPr>
        <w:t>Group 1. (Normal Control n=5): pretreated with distilled water for 14 days.</w:t>
      </w:r>
    </w:p>
    <w:p w14:paraId="6F4B78C9" w14:textId="77777777" w:rsidR="006268AC" w:rsidRPr="006268AC" w:rsidRDefault="006268AC" w:rsidP="006268AC">
      <w:pPr>
        <w:jc w:val="both"/>
        <w:rPr>
          <w:rFonts w:ascii="Arial" w:hAnsi="Arial" w:cs="Arial"/>
        </w:rPr>
      </w:pPr>
      <w:r w:rsidRPr="006268AC">
        <w:rPr>
          <w:rFonts w:ascii="Arial" w:hAnsi="Arial" w:cs="Arial"/>
        </w:rPr>
        <w:lastRenderedPageBreak/>
        <w:t xml:space="preserve">Group 2. (Negative Control, n = 5): pretreated with distilled water for 14 days and thereafter administered a single dose of indomethacin (30 mg/kg) </w:t>
      </w:r>
    </w:p>
    <w:p w14:paraId="3D659A00" w14:textId="77777777" w:rsidR="006268AC" w:rsidRPr="006268AC" w:rsidRDefault="006268AC" w:rsidP="006268AC">
      <w:pPr>
        <w:jc w:val="both"/>
        <w:rPr>
          <w:rFonts w:ascii="Arial" w:hAnsi="Arial" w:cs="Arial"/>
        </w:rPr>
      </w:pPr>
      <w:r w:rsidRPr="006268AC">
        <w:rPr>
          <w:rFonts w:ascii="Arial" w:hAnsi="Arial" w:cs="Arial"/>
        </w:rPr>
        <w:t xml:space="preserve">Group 3. (Standard Control, n = 5): pretreated with omeprazole (2.5 mg/kg) for 14 days and thereafter administered a single dose of indomethacin (30 mg/kg) </w:t>
      </w:r>
    </w:p>
    <w:p w14:paraId="7DD1C9E3" w14:textId="77777777" w:rsidR="006268AC" w:rsidRPr="006268AC" w:rsidRDefault="006268AC" w:rsidP="006268AC">
      <w:pPr>
        <w:jc w:val="both"/>
        <w:rPr>
          <w:rFonts w:ascii="Arial" w:hAnsi="Arial" w:cs="Arial"/>
        </w:rPr>
      </w:pPr>
      <w:r w:rsidRPr="006268AC">
        <w:rPr>
          <w:rFonts w:ascii="Arial" w:hAnsi="Arial" w:cs="Arial"/>
        </w:rPr>
        <w:t>Group 4. (Plant-Based Yoghurt, n = 5): pretreated with plant-based yoghurt (1.2 mL/day) for 14 days and thereafter administered with a single dose of indomethacin (30 mg/kg).</w:t>
      </w:r>
    </w:p>
    <w:p w14:paraId="743B0C23" w14:textId="77777777" w:rsidR="006268AC" w:rsidRPr="006268AC" w:rsidRDefault="006268AC" w:rsidP="006268AC">
      <w:pPr>
        <w:jc w:val="both"/>
        <w:rPr>
          <w:rFonts w:ascii="Arial" w:hAnsi="Arial" w:cs="Arial"/>
        </w:rPr>
      </w:pPr>
      <w:r w:rsidRPr="006268AC">
        <w:rPr>
          <w:rFonts w:ascii="Arial" w:hAnsi="Arial" w:cs="Arial"/>
        </w:rPr>
        <w:t>Group 5. (Plant-Based/Dairy Yoghurt Blend, n = 5): pretreated with plant-based/dairy yoghurt blend (1.2 mL/day) for 14 days and thereafter administered with a single dose of indomethacin (30 mg/kg).</w:t>
      </w:r>
    </w:p>
    <w:p w14:paraId="184D9287" w14:textId="77777777" w:rsidR="006268AC" w:rsidRPr="006268AC" w:rsidRDefault="006268AC" w:rsidP="006268AC">
      <w:pPr>
        <w:jc w:val="both"/>
        <w:rPr>
          <w:rFonts w:ascii="Arial" w:hAnsi="Arial" w:cs="Arial"/>
        </w:rPr>
      </w:pPr>
      <w:r w:rsidRPr="006268AC">
        <w:rPr>
          <w:rFonts w:ascii="Arial" w:hAnsi="Arial" w:cs="Arial"/>
        </w:rPr>
        <w:t>Group 6. (Dairy Yoghurt, n = 5): pretreated with dairy yoghurt (0.8 mL/day) for 14 days and thereafter administered a single dose of indomethacin (30 mg/kg).</w:t>
      </w:r>
    </w:p>
    <w:p w14:paraId="2051CF57" w14:textId="77777777" w:rsidR="006268AC" w:rsidRDefault="006268AC" w:rsidP="006268AC">
      <w:pPr>
        <w:pStyle w:val="Body"/>
        <w:spacing w:after="0"/>
        <w:rPr>
          <w:rFonts w:ascii="Arial" w:hAnsi="Arial" w:cs="Arial"/>
          <w:b/>
          <w:sz w:val="22"/>
        </w:rPr>
      </w:pPr>
    </w:p>
    <w:p w14:paraId="72FB0999" w14:textId="3339E12C" w:rsidR="006268AC" w:rsidRPr="006268AC" w:rsidRDefault="006268AC" w:rsidP="006268AC">
      <w:pPr>
        <w:pStyle w:val="Body"/>
        <w:spacing w:after="0"/>
        <w:rPr>
          <w:rFonts w:ascii="Arial" w:hAnsi="Arial" w:cs="Arial"/>
          <w:b/>
          <w:sz w:val="22"/>
        </w:rPr>
      </w:pPr>
      <w:r w:rsidRPr="006268AC">
        <w:rPr>
          <w:rFonts w:ascii="Arial" w:hAnsi="Arial" w:cs="Arial"/>
          <w:b/>
          <w:sz w:val="22"/>
        </w:rPr>
        <w:t>2.5 Ulcer induction</w:t>
      </w:r>
    </w:p>
    <w:p w14:paraId="0131F141" w14:textId="77777777" w:rsidR="006268AC" w:rsidRDefault="006268AC" w:rsidP="006268AC">
      <w:pPr>
        <w:jc w:val="both"/>
        <w:rPr>
          <w:rFonts w:ascii="Arial" w:hAnsi="Arial" w:cs="Arial"/>
        </w:rPr>
      </w:pPr>
    </w:p>
    <w:p w14:paraId="084BB550" w14:textId="1EAA2AA0" w:rsidR="006268AC" w:rsidRDefault="006268AC" w:rsidP="006268AC">
      <w:pPr>
        <w:jc w:val="both"/>
        <w:rPr>
          <w:rFonts w:ascii="Arial" w:hAnsi="Arial" w:cs="Arial"/>
        </w:rPr>
      </w:pPr>
      <w:r w:rsidRPr="006268AC">
        <w:rPr>
          <w:rFonts w:ascii="Arial" w:hAnsi="Arial" w:cs="Arial"/>
        </w:rPr>
        <w:t xml:space="preserve">On day 14, all groups except the normal control (Group I) received a single oral dose of indomethacin (30 mg/kg body weight) by gavage to induce gastric ulceration according to the procedure described by Bhattacharya et al. (2007). Before ulcer induction, animals were fasted for 24 hours with free access to water to ensure emptying of stomach contents and to enhance susceptibility to ulcerogenic agents. Indomethacin was freshly prepared on the day of the experiment by suspending the required dose in 0.5% carboxymethyl cellulose (CMC) </w:t>
      </w:r>
    </w:p>
    <w:p w14:paraId="23AC3A81" w14:textId="70124771" w:rsidR="006268AC" w:rsidRPr="006268AC" w:rsidRDefault="006268AC" w:rsidP="006268AC">
      <w:pPr>
        <w:jc w:val="both"/>
        <w:rPr>
          <w:rFonts w:ascii="Arial" w:hAnsi="Arial" w:cs="Arial"/>
        </w:rPr>
      </w:pPr>
      <w:r w:rsidRPr="006268AC">
        <w:rPr>
          <w:rFonts w:ascii="Arial" w:hAnsi="Arial" w:cs="Arial"/>
        </w:rPr>
        <w:t xml:space="preserve">solution, which served as a vehicle. </w:t>
      </w:r>
    </w:p>
    <w:p w14:paraId="732D7B3B" w14:textId="77777777" w:rsidR="006268AC" w:rsidRDefault="006268AC" w:rsidP="006268AC">
      <w:pPr>
        <w:pStyle w:val="Body"/>
        <w:spacing w:after="0"/>
        <w:rPr>
          <w:rFonts w:ascii="Arial" w:hAnsi="Arial" w:cs="Arial"/>
          <w:b/>
          <w:sz w:val="22"/>
        </w:rPr>
      </w:pPr>
    </w:p>
    <w:p w14:paraId="214D2D86" w14:textId="4E0A10A5" w:rsidR="006268AC" w:rsidRPr="006268AC" w:rsidRDefault="006268AC" w:rsidP="006268AC">
      <w:pPr>
        <w:pStyle w:val="Body"/>
        <w:spacing w:after="0"/>
        <w:rPr>
          <w:rFonts w:ascii="Arial" w:hAnsi="Arial" w:cs="Arial"/>
          <w:b/>
          <w:sz w:val="22"/>
        </w:rPr>
      </w:pPr>
      <w:r w:rsidRPr="006268AC">
        <w:rPr>
          <w:rFonts w:ascii="Arial" w:hAnsi="Arial" w:cs="Arial"/>
          <w:b/>
          <w:sz w:val="22"/>
        </w:rPr>
        <w:t>2.6 Stomach sample collection</w:t>
      </w:r>
    </w:p>
    <w:p w14:paraId="5709431E" w14:textId="77777777" w:rsidR="006268AC" w:rsidRDefault="006268AC" w:rsidP="006268AC">
      <w:pPr>
        <w:jc w:val="both"/>
        <w:rPr>
          <w:rFonts w:ascii="Arial" w:hAnsi="Arial" w:cs="Arial"/>
        </w:rPr>
      </w:pPr>
    </w:p>
    <w:p w14:paraId="28D82C2C" w14:textId="0173EAF4" w:rsidR="006268AC" w:rsidRPr="006268AC" w:rsidRDefault="006268AC" w:rsidP="006268AC">
      <w:pPr>
        <w:jc w:val="both"/>
        <w:rPr>
          <w:rFonts w:ascii="Arial" w:hAnsi="Arial" w:cs="Arial"/>
        </w:rPr>
      </w:pPr>
      <w:r w:rsidRPr="006268AC">
        <w:rPr>
          <w:rFonts w:ascii="Arial" w:hAnsi="Arial" w:cs="Arial"/>
        </w:rPr>
        <w:t>At the end of the experimental period, the animals were sacrificed. The stomachs were carefully excised, opened along the greater curvature, and rinsed gently with normal saline to remove gastric contents. Gastric juice was collected into clean centrifuge tubes for the determination of pH and total acidity. The stomach tissues were inspected for visible lesions, which were scored for ulcer index and subsequently fixed in 10% buffered formalin for histopathological examination.</w:t>
      </w:r>
    </w:p>
    <w:p w14:paraId="2ECCFB45" w14:textId="77777777" w:rsidR="006268AC" w:rsidRDefault="006268AC" w:rsidP="006268AC">
      <w:pPr>
        <w:pStyle w:val="Body"/>
        <w:spacing w:after="0"/>
        <w:rPr>
          <w:rFonts w:ascii="Arial" w:hAnsi="Arial" w:cs="Arial"/>
          <w:b/>
          <w:sz w:val="22"/>
        </w:rPr>
      </w:pPr>
    </w:p>
    <w:p w14:paraId="64E1FA23" w14:textId="77777777" w:rsidR="006268AC" w:rsidRDefault="006268AC" w:rsidP="006268AC">
      <w:pPr>
        <w:pStyle w:val="Body"/>
        <w:spacing w:after="0"/>
        <w:rPr>
          <w:rFonts w:ascii="Arial" w:hAnsi="Arial" w:cs="Arial"/>
          <w:b/>
          <w:sz w:val="22"/>
        </w:rPr>
      </w:pPr>
    </w:p>
    <w:p w14:paraId="55A9FAC8" w14:textId="77777777" w:rsidR="006268AC" w:rsidRDefault="006268AC" w:rsidP="006268AC">
      <w:pPr>
        <w:pStyle w:val="Body"/>
        <w:spacing w:after="0"/>
        <w:rPr>
          <w:rFonts w:ascii="Arial" w:hAnsi="Arial" w:cs="Arial"/>
          <w:b/>
          <w:sz w:val="22"/>
        </w:rPr>
      </w:pPr>
    </w:p>
    <w:p w14:paraId="08235A32" w14:textId="4A5262ED" w:rsidR="006268AC" w:rsidRPr="006268AC" w:rsidRDefault="006268AC" w:rsidP="006268AC">
      <w:pPr>
        <w:pStyle w:val="Body"/>
        <w:spacing w:after="0"/>
        <w:rPr>
          <w:rFonts w:ascii="Arial" w:hAnsi="Arial" w:cs="Arial"/>
          <w:b/>
          <w:sz w:val="22"/>
        </w:rPr>
      </w:pPr>
      <w:r w:rsidRPr="006268AC">
        <w:rPr>
          <w:rFonts w:ascii="Arial" w:hAnsi="Arial" w:cs="Arial"/>
          <w:b/>
          <w:sz w:val="22"/>
        </w:rPr>
        <w:t>2.7 Gastric pH</w:t>
      </w:r>
    </w:p>
    <w:p w14:paraId="44373E7A" w14:textId="77777777" w:rsidR="006268AC" w:rsidRDefault="006268AC" w:rsidP="006268AC">
      <w:pPr>
        <w:jc w:val="both"/>
        <w:rPr>
          <w:rFonts w:ascii="Arial" w:hAnsi="Arial" w:cs="Arial"/>
        </w:rPr>
      </w:pPr>
    </w:p>
    <w:p w14:paraId="7E81C337" w14:textId="6D3B91D3" w:rsidR="006268AC" w:rsidRPr="006268AC" w:rsidRDefault="006268AC" w:rsidP="006268AC">
      <w:pPr>
        <w:jc w:val="both"/>
        <w:rPr>
          <w:rFonts w:ascii="Arial" w:hAnsi="Arial" w:cs="Arial"/>
        </w:rPr>
      </w:pPr>
      <w:r w:rsidRPr="006268AC">
        <w:rPr>
          <w:rFonts w:ascii="Arial" w:hAnsi="Arial" w:cs="Arial"/>
        </w:rPr>
        <w:t>Gastric pH refers to the level of acidity within the stomach, measured as the concentration of hydrogen ions in gastric juice. The pH of the gastric juice was determined immediately after collection to prevent alterations due to prolonged exposure. An aliquot of the supernatant (approximately 1 mL) was placed in a clean beaker, and the pH was measured using a digital pH meter (previously calibrated with standard buffer solutions at pH 4.0 and 7.0). The readings were taken in triplicate for each sample, and the mean value was recorded to ensure accuracy (Armstrong, 2004).</w:t>
      </w:r>
    </w:p>
    <w:p w14:paraId="03FAE7E3" w14:textId="77777777" w:rsidR="006268AC" w:rsidRDefault="006268AC" w:rsidP="006268AC">
      <w:pPr>
        <w:pStyle w:val="Body"/>
        <w:spacing w:after="0"/>
        <w:rPr>
          <w:rFonts w:ascii="Arial" w:hAnsi="Arial" w:cs="Arial"/>
          <w:b/>
          <w:sz w:val="22"/>
        </w:rPr>
      </w:pPr>
    </w:p>
    <w:p w14:paraId="15172F31" w14:textId="00D4EFA9" w:rsidR="006268AC" w:rsidRDefault="006268AC" w:rsidP="006268AC">
      <w:pPr>
        <w:pStyle w:val="Body"/>
        <w:spacing w:after="0"/>
        <w:rPr>
          <w:rFonts w:ascii="Arial" w:hAnsi="Arial" w:cs="Arial"/>
          <w:b/>
          <w:sz w:val="22"/>
        </w:rPr>
      </w:pPr>
      <w:r>
        <w:rPr>
          <w:rFonts w:ascii="Arial" w:hAnsi="Arial" w:cs="Arial"/>
          <w:b/>
          <w:sz w:val="22"/>
        </w:rPr>
        <w:t>2.8 T</w:t>
      </w:r>
      <w:r w:rsidRPr="006268AC">
        <w:rPr>
          <w:rFonts w:ascii="Arial" w:hAnsi="Arial" w:cs="Arial"/>
          <w:b/>
          <w:sz w:val="22"/>
        </w:rPr>
        <w:t>otal acidity</w:t>
      </w:r>
    </w:p>
    <w:p w14:paraId="5A1BF08B" w14:textId="77777777" w:rsidR="006268AC" w:rsidRPr="006268AC" w:rsidRDefault="006268AC" w:rsidP="006268AC">
      <w:pPr>
        <w:pStyle w:val="Body"/>
        <w:spacing w:after="0"/>
        <w:rPr>
          <w:rFonts w:ascii="Arial" w:hAnsi="Arial" w:cs="Arial"/>
        </w:rPr>
      </w:pPr>
    </w:p>
    <w:p w14:paraId="357A2399" w14:textId="77777777" w:rsidR="006268AC" w:rsidRPr="006268AC" w:rsidRDefault="006268AC" w:rsidP="006268AC">
      <w:pPr>
        <w:jc w:val="both"/>
        <w:rPr>
          <w:rFonts w:ascii="Arial" w:hAnsi="Arial" w:cs="Arial"/>
        </w:rPr>
      </w:pPr>
      <w:r w:rsidRPr="006268AC">
        <w:rPr>
          <w:rFonts w:ascii="Arial" w:hAnsi="Arial" w:cs="Arial"/>
        </w:rPr>
        <w:t xml:space="preserve">In ulcer research, total acidity refers to the overall concentration of acidic components present in the gastric juice (Lu et al., 2010)  The total acidity of the gastric juice was determined by the titrimetric method. Exactly 1 mL of the gastric juice was measured and diluted with 9 mL of distilled water in a conical flask. Two to three drops of </w:t>
      </w:r>
      <w:proofErr w:type="spellStart"/>
      <w:r w:rsidRPr="006268AC">
        <w:rPr>
          <w:rFonts w:ascii="Arial" w:hAnsi="Arial" w:cs="Arial"/>
        </w:rPr>
        <w:t>Topfer’s</w:t>
      </w:r>
      <w:proofErr w:type="spellEnd"/>
      <w:r w:rsidRPr="006268AC">
        <w:rPr>
          <w:rFonts w:ascii="Arial" w:hAnsi="Arial" w:cs="Arial"/>
        </w:rPr>
        <w:t xml:space="preserve"> reagent (0.5% </w:t>
      </w:r>
      <w:proofErr w:type="spellStart"/>
      <w:r w:rsidRPr="006268AC">
        <w:rPr>
          <w:rFonts w:ascii="Arial" w:hAnsi="Arial" w:cs="Arial"/>
        </w:rPr>
        <w:t>dimethylaminoazobenzene</w:t>
      </w:r>
      <w:proofErr w:type="spellEnd"/>
      <w:r w:rsidRPr="006268AC">
        <w:rPr>
          <w:rFonts w:ascii="Arial" w:hAnsi="Arial" w:cs="Arial"/>
        </w:rPr>
        <w:t xml:space="preserve"> in ethanol) were added as an indicator, giving the solution an orange </w:t>
      </w:r>
      <w:proofErr w:type="spellStart"/>
      <w:r w:rsidRPr="006268AC">
        <w:rPr>
          <w:rFonts w:ascii="Arial" w:hAnsi="Arial" w:cs="Arial"/>
        </w:rPr>
        <w:t>colour</w:t>
      </w:r>
      <w:proofErr w:type="spellEnd"/>
      <w:r w:rsidRPr="006268AC">
        <w:rPr>
          <w:rFonts w:ascii="Arial" w:hAnsi="Arial" w:cs="Arial"/>
        </w:rPr>
        <w:t xml:space="preserve">. The mixture was titrated against 0.01 N sodium hydroxide (NaOH) until the solution turned yellow, indicating the neutralization of free hydrochloric acid. Subsequently, phenolphthalein indicator (0.5% in ethanol) was added, and titration was continued until a persistent pale pink </w:t>
      </w:r>
      <w:proofErr w:type="spellStart"/>
      <w:r w:rsidRPr="006268AC">
        <w:rPr>
          <w:rFonts w:ascii="Arial" w:hAnsi="Arial" w:cs="Arial"/>
        </w:rPr>
        <w:t>colour</w:t>
      </w:r>
      <w:proofErr w:type="spellEnd"/>
      <w:r w:rsidRPr="006268AC">
        <w:rPr>
          <w:rFonts w:ascii="Arial" w:hAnsi="Arial" w:cs="Arial"/>
        </w:rPr>
        <w:t xml:space="preserve"> appeared, signifying neutralization of combined acids. The total volume of NaOH used was recorded, and the total acidity was calculated using the formula:</w:t>
      </w:r>
    </w:p>
    <w:p w14:paraId="29B47249" w14:textId="77777777" w:rsidR="006268AC" w:rsidRDefault="006268AC" w:rsidP="006268AC">
      <w:pPr>
        <w:jc w:val="both"/>
        <w:rPr>
          <w:rFonts w:ascii="Arial" w:hAnsi="Arial" w:cs="Arial"/>
        </w:rPr>
      </w:pPr>
      <w:r w:rsidRPr="006268AC">
        <w:rPr>
          <w:rFonts w:ascii="Arial" w:hAnsi="Arial" w:cs="Arial"/>
        </w:rPr>
        <w:t>Total Acidity (</w:t>
      </w:r>
      <w:proofErr w:type="spellStart"/>
      <w:r w:rsidRPr="006268AC">
        <w:rPr>
          <w:rFonts w:ascii="Arial" w:hAnsi="Arial" w:cs="Arial"/>
        </w:rPr>
        <w:t>mEq</w:t>
      </w:r>
      <w:proofErr w:type="spellEnd"/>
      <w:r w:rsidRPr="006268AC">
        <w:rPr>
          <w:rFonts w:ascii="Arial" w:hAnsi="Arial" w:cs="Arial"/>
        </w:rPr>
        <w:t>/L)  =  (Volume of NaOH (ml)  ×Normality of NaOH ×1000)/(Volume of gastric juice sample (ml))</w:t>
      </w:r>
    </w:p>
    <w:p w14:paraId="524A41C2" w14:textId="77777777" w:rsidR="006268AC" w:rsidRPr="006268AC" w:rsidRDefault="006268AC" w:rsidP="006268AC">
      <w:pPr>
        <w:jc w:val="both"/>
        <w:rPr>
          <w:rFonts w:ascii="Arial" w:hAnsi="Arial" w:cs="Arial"/>
        </w:rPr>
      </w:pPr>
    </w:p>
    <w:p w14:paraId="0A911BDC" w14:textId="3618BFCB" w:rsidR="006268AC" w:rsidRDefault="006268AC" w:rsidP="006268AC">
      <w:pPr>
        <w:pStyle w:val="Body"/>
        <w:spacing w:after="0"/>
        <w:rPr>
          <w:rFonts w:ascii="Arial" w:hAnsi="Arial" w:cs="Arial"/>
          <w:b/>
          <w:sz w:val="22"/>
        </w:rPr>
      </w:pPr>
      <w:r>
        <w:rPr>
          <w:rFonts w:ascii="Arial" w:hAnsi="Arial" w:cs="Arial"/>
          <w:b/>
          <w:sz w:val="22"/>
        </w:rPr>
        <w:t>2.9 U</w:t>
      </w:r>
      <w:r w:rsidRPr="006268AC">
        <w:rPr>
          <w:rFonts w:ascii="Arial" w:hAnsi="Arial" w:cs="Arial"/>
          <w:b/>
          <w:sz w:val="22"/>
        </w:rPr>
        <w:t>lcer score</w:t>
      </w:r>
    </w:p>
    <w:p w14:paraId="69694D30" w14:textId="77777777" w:rsidR="006268AC" w:rsidRPr="006268AC" w:rsidRDefault="006268AC" w:rsidP="006268AC">
      <w:pPr>
        <w:pStyle w:val="Body"/>
        <w:spacing w:after="0"/>
        <w:rPr>
          <w:rFonts w:ascii="Arial" w:hAnsi="Arial" w:cs="Arial"/>
        </w:rPr>
      </w:pPr>
    </w:p>
    <w:p w14:paraId="7BE68961" w14:textId="77777777" w:rsidR="006268AC" w:rsidRPr="006268AC" w:rsidRDefault="006268AC" w:rsidP="006268AC">
      <w:pPr>
        <w:jc w:val="both"/>
        <w:rPr>
          <w:rFonts w:ascii="Arial" w:hAnsi="Arial" w:cs="Arial"/>
        </w:rPr>
      </w:pPr>
      <w:r w:rsidRPr="006268AC">
        <w:rPr>
          <w:rFonts w:ascii="Arial" w:hAnsi="Arial" w:cs="Arial"/>
        </w:rPr>
        <w:t>Ulcer score refers to the numerical grading assigned to gastric lesions based on their number, size, and severity. It is one of the most direct parameters used to assess the extent of mucosal damage in experimental models. By providing a systematic way to classify lesions, the ulcer score allows researchers to quantify injury in a consistent and reproducible manner.</w:t>
      </w:r>
    </w:p>
    <w:p w14:paraId="563152DC" w14:textId="77777777" w:rsidR="006268AC" w:rsidRPr="006268AC" w:rsidRDefault="006268AC" w:rsidP="006268AC">
      <w:pPr>
        <w:jc w:val="both"/>
        <w:rPr>
          <w:rFonts w:ascii="Arial" w:hAnsi="Arial" w:cs="Arial"/>
        </w:rPr>
      </w:pPr>
      <w:r w:rsidRPr="006268AC">
        <w:rPr>
          <w:rFonts w:ascii="Arial" w:hAnsi="Arial" w:cs="Arial"/>
        </w:rPr>
        <w:t>The scoring scale used is outlined as follows:</w:t>
      </w:r>
    </w:p>
    <w:p w14:paraId="3D44AF3E" w14:textId="77777777" w:rsidR="006268AC" w:rsidRPr="006268AC" w:rsidRDefault="006268AC" w:rsidP="006268AC">
      <w:pPr>
        <w:jc w:val="both"/>
        <w:rPr>
          <w:rFonts w:ascii="Arial" w:hAnsi="Arial" w:cs="Arial"/>
        </w:rPr>
      </w:pPr>
      <w:r w:rsidRPr="006268AC">
        <w:rPr>
          <w:rFonts w:ascii="Arial" w:hAnsi="Arial" w:cs="Arial"/>
        </w:rPr>
        <w:t>0 = Normal stomach, no visible lesions</w:t>
      </w:r>
    </w:p>
    <w:p w14:paraId="0F03B7E4" w14:textId="77777777" w:rsidR="006268AC" w:rsidRPr="006268AC" w:rsidRDefault="006268AC" w:rsidP="006268AC">
      <w:pPr>
        <w:jc w:val="both"/>
        <w:rPr>
          <w:rFonts w:ascii="Arial" w:hAnsi="Arial" w:cs="Arial"/>
        </w:rPr>
      </w:pPr>
      <w:r w:rsidRPr="006268AC">
        <w:rPr>
          <w:rFonts w:ascii="Arial" w:hAnsi="Arial" w:cs="Arial"/>
        </w:rPr>
        <w:t xml:space="preserve">0.5 = Redness or slight mucosal </w:t>
      </w:r>
      <w:proofErr w:type="spellStart"/>
      <w:r w:rsidRPr="006268AC">
        <w:rPr>
          <w:rFonts w:ascii="Arial" w:hAnsi="Arial" w:cs="Arial"/>
        </w:rPr>
        <w:t>discolouration</w:t>
      </w:r>
      <w:proofErr w:type="spellEnd"/>
    </w:p>
    <w:p w14:paraId="1CB25B8E" w14:textId="77777777" w:rsidR="006268AC" w:rsidRPr="006268AC" w:rsidRDefault="006268AC" w:rsidP="006268AC">
      <w:pPr>
        <w:jc w:val="both"/>
        <w:rPr>
          <w:rFonts w:ascii="Arial" w:hAnsi="Arial" w:cs="Arial"/>
        </w:rPr>
      </w:pPr>
      <w:r w:rsidRPr="006268AC">
        <w:rPr>
          <w:rFonts w:ascii="Arial" w:hAnsi="Arial" w:cs="Arial"/>
        </w:rPr>
        <w:lastRenderedPageBreak/>
        <w:tab/>
        <w:t xml:space="preserve">= Small petechial </w:t>
      </w:r>
      <w:proofErr w:type="spellStart"/>
      <w:r w:rsidRPr="006268AC">
        <w:rPr>
          <w:rFonts w:ascii="Arial" w:hAnsi="Arial" w:cs="Arial"/>
        </w:rPr>
        <w:t>haemorrhages</w:t>
      </w:r>
      <w:proofErr w:type="spellEnd"/>
    </w:p>
    <w:p w14:paraId="016F1322" w14:textId="77777777" w:rsidR="006268AC" w:rsidRPr="006268AC" w:rsidRDefault="006268AC" w:rsidP="006268AC">
      <w:pPr>
        <w:jc w:val="both"/>
        <w:rPr>
          <w:rFonts w:ascii="Arial" w:hAnsi="Arial" w:cs="Arial"/>
        </w:rPr>
      </w:pPr>
      <w:r w:rsidRPr="006268AC">
        <w:rPr>
          <w:rFonts w:ascii="Arial" w:hAnsi="Arial" w:cs="Arial"/>
        </w:rPr>
        <w:t xml:space="preserve">2= </w:t>
      </w:r>
      <w:proofErr w:type="spellStart"/>
      <w:r w:rsidRPr="006268AC">
        <w:rPr>
          <w:rFonts w:ascii="Arial" w:hAnsi="Arial" w:cs="Arial"/>
        </w:rPr>
        <w:t>Haemorrhagic</w:t>
      </w:r>
      <w:proofErr w:type="spellEnd"/>
      <w:r w:rsidRPr="006268AC">
        <w:rPr>
          <w:rFonts w:ascii="Arial" w:hAnsi="Arial" w:cs="Arial"/>
        </w:rPr>
        <w:t xml:space="preserve"> streaks or linear lesions &lt; 4 mm</w:t>
      </w:r>
    </w:p>
    <w:p w14:paraId="1D3DA9D7" w14:textId="77777777" w:rsidR="006268AC" w:rsidRPr="006268AC" w:rsidRDefault="006268AC" w:rsidP="006268AC">
      <w:pPr>
        <w:jc w:val="both"/>
        <w:rPr>
          <w:rFonts w:ascii="Arial" w:hAnsi="Arial" w:cs="Arial"/>
        </w:rPr>
      </w:pPr>
      <w:r w:rsidRPr="006268AC">
        <w:rPr>
          <w:rFonts w:ascii="Arial" w:hAnsi="Arial" w:cs="Arial"/>
        </w:rPr>
        <w:t>3= Lesions &gt; 4 mm without perforation</w:t>
      </w:r>
    </w:p>
    <w:p w14:paraId="61A95035" w14:textId="77777777" w:rsidR="006268AC" w:rsidRPr="006268AC" w:rsidRDefault="006268AC" w:rsidP="006268AC">
      <w:pPr>
        <w:jc w:val="both"/>
        <w:rPr>
          <w:rFonts w:ascii="Arial" w:hAnsi="Arial" w:cs="Arial"/>
        </w:rPr>
      </w:pPr>
      <w:r w:rsidRPr="006268AC">
        <w:rPr>
          <w:rFonts w:ascii="Arial" w:hAnsi="Arial" w:cs="Arial"/>
        </w:rPr>
        <w:t>4= Deep ulcers with perforation</w:t>
      </w:r>
    </w:p>
    <w:p w14:paraId="3776E1F3" w14:textId="77777777" w:rsidR="006268AC" w:rsidRDefault="006268AC" w:rsidP="006268AC">
      <w:pPr>
        <w:jc w:val="both"/>
        <w:rPr>
          <w:rFonts w:ascii="Arial" w:hAnsi="Arial" w:cs="Arial"/>
        </w:rPr>
      </w:pPr>
      <w:r w:rsidRPr="006268AC">
        <w:rPr>
          <w:rFonts w:ascii="Arial" w:hAnsi="Arial" w:cs="Arial"/>
        </w:rPr>
        <w:t>An elevated ulcer score indicates more severe mucosal damage and is typically associated with increased vulnerability of the stomach lining to acid and other injurious agents (Ahmed et al., 2022).</w:t>
      </w:r>
    </w:p>
    <w:p w14:paraId="6B9B175C" w14:textId="77777777" w:rsidR="006268AC" w:rsidRPr="006268AC" w:rsidRDefault="006268AC" w:rsidP="006268AC">
      <w:pPr>
        <w:jc w:val="both"/>
        <w:rPr>
          <w:rFonts w:ascii="Arial" w:hAnsi="Arial" w:cs="Arial"/>
        </w:rPr>
      </w:pPr>
    </w:p>
    <w:p w14:paraId="66C6FD98" w14:textId="3DDB9D2B" w:rsidR="006268AC" w:rsidRDefault="006268AC" w:rsidP="006268AC">
      <w:pPr>
        <w:pStyle w:val="Body"/>
        <w:spacing w:after="0"/>
        <w:rPr>
          <w:rFonts w:ascii="Arial" w:hAnsi="Arial" w:cs="Arial"/>
          <w:b/>
          <w:sz w:val="22"/>
        </w:rPr>
      </w:pPr>
      <w:r w:rsidRPr="006268AC">
        <w:rPr>
          <w:rFonts w:ascii="Arial" w:hAnsi="Arial" w:cs="Arial"/>
          <w:b/>
          <w:sz w:val="22"/>
        </w:rPr>
        <w:t>2.10</w:t>
      </w:r>
      <w:r>
        <w:rPr>
          <w:rFonts w:ascii="Arial" w:hAnsi="Arial" w:cs="Arial"/>
          <w:b/>
          <w:sz w:val="22"/>
        </w:rPr>
        <w:t xml:space="preserve"> </w:t>
      </w:r>
      <w:r w:rsidRPr="006268AC">
        <w:rPr>
          <w:rFonts w:ascii="Arial" w:hAnsi="Arial" w:cs="Arial"/>
          <w:b/>
          <w:sz w:val="22"/>
        </w:rPr>
        <w:t>Ulcer index</w:t>
      </w:r>
    </w:p>
    <w:p w14:paraId="048E9C63" w14:textId="77777777" w:rsidR="006268AC" w:rsidRPr="006268AC" w:rsidRDefault="006268AC" w:rsidP="006268AC">
      <w:pPr>
        <w:pStyle w:val="Body"/>
        <w:spacing w:after="0"/>
        <w:rPr>
          <w:rFonts w:ascii="Arial" w:hAnsi="Arial" w:cs="Arial"/>
          <w:b/>
          <w:sz w:val="22"/>
        </w:rPr>
      </w:pPr>
    </w:p>
    <w:p w14:paraId="7AFB93A5" w14:textId="77777777" w:rsidR="006268AC" w:rsidRPr="006268AC" w:rsidRDefault="006268AC" w:rsidP="006268AC">
      <w:pPr>
        <w:jc w:val="both"/>
        <w:rPr>
          <w:rFonts w:ascii="Arial" w:hAnsi="Arial" w:cs="Arial"/>
        </w:rPr>
      </w:pPr>
      <w:r w:rsidRPr="006268AC">
        <w:rPr>
          <w:rFonts w:ascii="Arial" w:hAnsi="Arial" w:cs="Arial"/>
        </w:rPr>
        <w:t>While the ulcer score is a qualitative grading system, an ulcer index is a quantitative metric used to quantify the severity of gastric mucosal damage. It is calculated based on the number, size, and depth of lesions observed in the stomach (Ahmed et al., 2022). The ulcer index provides a standardized way to compare the extent of ulceration across different experimental groups.</w:t>
      </w:r>
    </w:p>
    <w:p w14:paraId="205C2292" w14:textId="77777777" w:rsidR="006268AC" w:rsidRPr="006268AC" w:rsidRDefault="006268AC" w:rsidP="006268AC">
      <w:pPr>
        <w:jc w:val="both"/>
        <w:rPr>
          <w:rFonts w:ascii="Arial" w:hAnsi="Arial" w:cs="Arial"/>
        </w:rPr>
      </w:pPr>
      <w:r w:rsidRPr="006268AC">
        <w:rPr>
          <w:rFonts w:ascii="Arial" w:hAnsi="Arial" w:cs="Arial"/>
        </w:rPr>
        <w:t>A commonly used formula is:</w:t>
      </w:r>
    </w:p>
    <w:p w14:paraId="09A6F7CF" w14:textId="331E380D" w:rsidR="006268AC" w:rsidRPr="006268AC" w:rsidRDefault="006268AC" w:rsidP="006268AC">
      <w:pPr>
        <w:jc w:val="both"/>
        <w:rPr>
          <w:rFonts w:ascii="Arial" w:hAnsi="Arial" w:cs="Arial"/>
        </w:rPr>
      </w:pPr>
      <w:r w:rsidRPr="006268AC">
        <w:rPr>
          <w:rFonts w:ascii="Arial" w:hAnsi="Arial" w:cs="Arial"/>
        </w:rPr>
        <w:t>"U.I. =</w:t>
      </w:r>
      <w:r w:rsidR="007216C9">
        <w:rPr>
          <w:rFonts w:ascii="Arial" w:hAnsi="Arial" w:cs="Arial"/>
        </w:rPr>
        <w:t xml:space="preserve"> </w:t>
      </w:r>
      <w:r w:rsidRPr="006268AC">
        <w:rPr>
          <w:rFonts w:ascii="Arial" w:hAnsi="Arial" w:cs="Arial"/>
        </w:rPr>
        <w:t>[Ulcerated area/total stomach area] × 100</w:t>
      </w:r>
    </w:p>
    <w:p w14:paraId="657D7F96" w14:textId="77777777" w:rsidR="006268AC" w:rsidRDefault="006268AC" w:rsidP="006268AC">
      <w:pPr>
        <w:jc w:val="both"/>
        <w:rPr>
          <w:rFonts w:ascii="Arial" w:hAnsi="Arial" w:cs="Arial"/>
        </w:rPr>
      </w:pPr>
      <w:r w:rsidRPr="006268AC">
        <w:rPr>
          <w:rFonts w:ascii="Arial" w:hAnsi="Arial" w:cs="Arial"/>
        </w:rPr>
        <w:t>2.11.Percentage ulcer inhibition</w:t>
      </w:r>
    </w:p>
    <w:p w14:paraId="6D0C7F50" w14:textId="77777777" w:rsidR="007216C9" w:rsidRPr="006268AC" w:rsidRDefault="007216C9" w:rsidP="006268AC">
      <w:pPr>
        <w:jc w:val="both"/>
        <w:rPr>
          <w:rFonts w:ascii="Arial" w:hAnsi="Arial" w:cs="Arial"/>
        </w:rPr>
      </w:pPr>
    </w:p>
    <w:p w14:paraId="1A9490F6" w14:textId="77777777" w:rsidR="006268AC" w:rsidRPr="006268AC" w:rsidRDefault="006268AC" w:rsidP="006268AC">
      <w:pPr>
        <w:jc w:val="both"/>
        <w:rPr>
          <w:rFonts w:ascii="Arial" w:hAnsi="Arial" w:cs="Arial"/>
        </w:rPr>
      </w:pPr>
      <w:r w:rsidRPr="006268AC">
        <w:rPr>
          <w:rFonts w:ascii="Arial" w:hAnsi="Arial" w:cs="Arial"/>
        </w:rPr>
        <w:t xml:space="preserve">This is a calculated parameter that quantifies how effectively a treatment reduces gastric ulcer formation. It compares the extent of ulceration in treated animals against untreated controls, with higher percentages indicating stronger protective effects (Sabiu et al., 2015). </w:t>
      </w:r>
    </w:p>
    <w:p w14:paraId="5089DD52" w14:textId="77777777" w:rsidR="006268AC" w:rsidRPr="006268AC" w:rsidRDefault="006268AC" w:rsidP="006268AC">
      <w:pPr>
        <w:jc w:val="both"/>
        <w:rPr>
          <w:rFonts w:ascii="Arial" w:hAnsi="Arial" w:cs="Arial"/>
        </w:rPr>
      </w:pPr>
      <w:r w:rsidRPr="006268AC">
        <w:rPr>
          <w:rFonts w:ascii="Arial" w:hAnsi="Arial" w:cs="Arial"/>
        </w:rPr>
        <w:t>The percentage ulcer inhibition in treated groups relative to the ulcer control group was calculated as:</w:t>
      </w:r>
    </w:p>
    <w:p w14:paraId="53FC7638" w14:textId="77777777" w:rsidR="006268AC" w:rsidRDefault="006268AC" w:rsidP="006268AC">
      <w:pPr>
        <w:jc w:val="both"/>
        <w:rPr>
          <w:rFonts w:ascii="Arial" w:hAnsi="Arial" w:cs="Arial"/>
        </w:rPr>
      </w:pPr>
      <w:r w:rsidRPr="006268AC">
        <w:rPr>
          <w:rFonts w:ascii="Arial" w:hAnsi="Arial" w:cs="Arial"/>
        </w:rPr>
        <w:t>Percentage Inhibition (%)=((</w:t>
      </w:r>
      <w:proofErr w:type="spellStart"/>
      <w:r w:rsidRPr="006268AC">
        <w:rPr>
          <w:rFonts w:ascii="Arial" w:hAnsi="Arial" w:cs="Arial"/>
        </w:rPr>
        <w:t>UI_control</w:t>
      </w:r>
      <w:proofErr w:type="spellEnd"/>
      <w:r w:rsidRPr="006268AC">
        <w:rPr>
          <w:rFonts w:ascii="Arial" w:hAnsi="Arial" w:cs="Arial"/>
        </w:rPr>
        <w:t xml:space="preserve">- </w:t>
      </w:r>
      <w:proofErr w:type="spellStart"/>
      <w:r w:rsidRPr="006268AC">
        <w:rPr>
          <w:rFonts w:ascii="Arial" w:hAnsi="Arial" w:cs="Arial"/>
        </w:rPr>
        <w:t>UI_treated</w:t>
      </w:r>
      <w:proofErr w:type="spellEnd"/>
      <w:r w:rsidRPr="006268AC">
        <w:rPr>
          <w:rFonts w:ascii="Arial" w:hAnsi="Arial" w:cs="Arial"/>
        </w:rPr>
        <w:t xml:space="preserve"> ))/</w:t>
      </w:r>
      <w:proofErr w:type="spellStart"/>
      <w:r w:rsidRPr="006268AC">
        <w:rPr>
          <w:rFonts w:ascii="Arial" w:hAnsi="Arial" w:cs="Arial"/>
        </w:rPr>
        <w:t>UI_control</w:t>
      </w:r>
      <w:proofErr w:type="spellEnd"/>
      <w:r w:rsidRPr="006268AC">
        <w:rPr>
          <w:rFonts w:ascii="Arial" w:hAnsi="Arial" w:cs="Arial"/>
        </w:rPr>
        <w:t xml:space="preserve">   ×100</w:t>
      </w:r>
    </w:p>
    <w:p w14:paraId="3CC9CCA5" w14:textId="77777777" w:rsidR="006268AC" w:rsidRPr="006268AC" w:rsidRDefault="006268AC" w:rsidP="006268AC">
      <w:pPr>
        <w:jc w:val="both"/>
        <w:rPr>
          <w:rFonts w:ascii="Arial" w:hAnsi="Arial" w:cs="Arial"/>
        </w:rPr>
      </w:pPr>
    </w:p>
    <w:p w14:paraId="17501D9C" w14:textId="77777777" w:rsidR="006268AC" w:rsidRDefault="006268AC" w:rsidP="006268AC">
      <w:pPr>
        <w:pStyle w:val="Body"/>
        <w:spacing w:after="0"/>
        <w:rPr>
          <w:rFonts w:ascii="Arial" w:hAnsi="Arial" w:cs="Arial"/>
          <w:b/>
          <w:sz w:val="22"/>
        </w:rPr>
      </w:pPr>
      <w:r w:rsidRPr="006268AC">
        <w:rPr>
          <w:rFonts w:ascii="Arial" w:hAnsi="Arial" w:cs="Arial"/>
          <w:b/>
          <w:sz w:val="22"/>
        </w:rPr>
        <w:t>2.12.Histopathological Examination of Gastric Tissue</w:t>
      </w:r>
    </w:p>
    <w:p w14:paraId="48D087D7" w14:textId="77777777" w:rsidR="006268AC" w:rsidRPr="006268AC" w:rsidRDefault="006268AC" w:rsidP="006268AC">
      <w:pPr>
        <w:pStyle w:val="Body"/>
        <w:spacing w:after="0"/>
        <w:rPr>
          <w:rFonts w:ascii="Arial" w:hAnsi="Arial" w:cs="Arial"/>
        </w:rPr>
      </w:pPr>
    </w:p>
    <w:p w14:paraId="778CA649" w14:textId="77777777" w:rsidR="006268AC" w:rsidRDefault="006268AC" w:rsidP="006268AC">
      <w:pPr>
        <w:jc w:val="both"/>
        <w:rPr>
          <w:rFonts w:ascii="Arial" w:hAnsi="Arial" w:cs="Arial"/>
        </w:rPr>
      </w:pPr>
      <w:r w:rsidRPr="006268AC">
        <w:rPr>
          <w:rFonts w:ascii="Arial" w:hAnsi="Arial" w:cs="Arial"/>
        </w:rPr>
        <w:t xml:space="preserve">Following the collection of gastric juice, the excised stomach tissues from each experimental group were rinsed gently with ice-cold saline to remove any gastric contents and blood clots. The tissues were then fixed in 10% neutral buffered formalin for a minimum of 24 hours to preserve cellular and structural integrity. After fixation, the tissues were processed through a graded alcohol series for dehydration, cleared in xylene, and embedded in paraffin wax. Thin sections of approximately 5 </w:t>
      </w:r>
      <w:proofErr w:type="spellStart"/>
      <w:r w:rsidRPr="006268AC">
        <w:rPr>
          <w:rFonts w:ascii="Arial" w:hAnsi="Arial" w:cs="Arial"/>
        </w:rPr>
        <w:t>μm</w:t>
      </w:r>
      <w:proofErr w:type="spellEnd"/>
      <w:r w:rsidRPr="006268AC">
        <w:rPr>
          <w:rFonts w:ascii="Arial" w:hAnsi="Arial" w:cs="Arial"/>
        </w:rPr>
        <w:t xml:space="preserve"> thickness were cut using a microtome and mounted on glass slides. The sections were subsequently stained with </w:t>
      </w:r>
      <w:proofErr w:type="spellStart"/>
      <w:r w:rsidRPr="006268AC">
        <w:rPr>
          <w:rFonts w:ascii="Arial" w:hAnsi="Arial" w:cs="Arial"/>
        </w:rPr>
        <w:t>haematoxylin</w:t>
      </w:r>
      <w:proofErr w:type="spellEnd"/>
      <w:r w:rsidRPr="006268AC">
        <w:rPr>
          <w:rFonts w:ascii="Arial" w:hAnsi="Arial" w:cs="Arial"/>
        </w:rPr>
        <w:t xml:space="preserve"> and eosin (H&amp;E) following standard histological protocols to visualize gastric mucosal architecture, epithelial integrity, glandular arrangement, and inflammatory infiltration. The stained slides were examined under a light microscope (×40 magnification) by an experienced histopathologist who was blinded to the treatment groups. Microscopic images were captured for documentation, and representative photomicrographs were selected. The degree of mucosal injury, necrosis, </w:t>
      </w:r>
      <w:proofErr w:type="spellStart"/>
      <w:r w:rsidRPr="006268AC">
        <w:rPr>
          <w:rFonts w:ascii="Arial" w:hAnsi="Arial" w:cs="Arial"/>
        </w:rPr>
        <w:t>oedema</w:t>
      </w:r>
      <w:proofErr w:type="spellEnd"/>
      <w:r w:rsidRPr="006268AC">
        <w:rPr>
          <w:rFonts w:ascii="Arial" w:hAnsi="Arial" w:cs="Arial"/>
        </w:rPr>
        <w:t xml:space="preserve">, </w:t>
      </w:r>
      <w:proofErr w:type="spellStart"/>
      <w:r w:rsidRPr="006268AC">
        <w:rPr>
          <w:rFonts w:ascii="Arial" w:hAnsi="Arial" w:cs="Arial"/>
        </w:rPr>
        <w:t>haemorrhage</w:t>
      </w:r>
      <w:proofErr w:type="spellEnd"/>
      <w:r w:rsidRPr="006268AC">
        <w:rPr>
          <w:rFonts w:ascii="Arial" w:hAnsi="Arial" w:cs="Arial"/>
        </w:rPr>
        <w:t xml:space="preserve">, and ulceration was assessed and compared across experimental groups, providing qualitative and supportive evidence for the gastroprotective effects of the plant-based yoghurt samples. This procedure was done by modifying the procedure described by </w:t>
      </w:r>
      <w:proofErr w:type="spellStart"/>
      <w:r w:rsidRPr="006268AC">
        <w:rPr>
          <w:rFonts w:ascii="Arial" w:hAnsi="Arial" w:cs="Arial"/>
        </w:rPr>
        <w:t>Yulizal</w:t>
      </w:r>
      <w:proofErr w:type="spellEnd"/>
      <w:r w:rsidRPr="006268AC">
        <w:rPr>
          <w:rFonts w:ascii="Arial" w:hAnsi="Arial" w:cs="Arial"/>
        </w:rPr>
        <w:t xml:space="preserve"> et al. (2021).</w:t>
      </w:r>
    </w:p>
    <w:p w14:paraId="73BB9EC5" w14:textId="77777777" w:rsidR="006268AC" w:rsidRPr="006268AC" w:rsidRDefault="006268AC" w:rsidP="006268AC">
      <w:pPr>
        <w:jc w:val="both"/>
        <w:rPr>
          <w:rFonts w:ascii="Arial" w:hAnsi="Arial" w:cs="Arial"/>
        </w:rPr>
      </w:pPr>
    </w:p>
    <w:p w14:paraId="69D43CB2" w14:textId="627565A2" w:rsidR="006268AC" w:rsidRDefault="006268AC" w:rsidP="006268AC">
      <w:pPr>
        <w:pStyle w:val="Body"/>
        <w:spacing w:after="0"/>
        <w:rPr>
          <w:rFonts w:ascii="Arial" w:hAnsi="Arial" w:cs="Arial"/>
          <w:b/>
          <w:sz w:val="22"/>
        </w:rPr>
      </w:pPr>
      <w:r w:rsidRPr="006268AC">
        <w:rPr>
          <w:rFonts w:ascii="Arial" w:hAnsi="Arial" w:cs="Arial"/>
          <w:b/>
          <w:sz w:val="22"/>
        </w:rPr>
        <w:t>2.13</w:t>
      </w:r>
      <w:r>
        <w:rPr>
          <w:rFonts w:ascii="Arial" w:hAnsi="Arial" w:cs="Arial"/>
          <w:b/>
          <w:sz w:val="22"/>
        </w:rPr>
        <w:t xml:space="preserve"> S</w:t>
      </w:r>
      <w:r w:rsidRPr="006268AC">
        <w:rPr>
          <w:rFonts w:ascii="Arial" w:hAnsi="Arial" w:cs="Arial"/>
          <w:b/>
          <w:sz w:val="22"/>
        </w:rPr>
        <w:t>tatistical analysis</w:t>
      </w:r>
    </w:p>
    <w:p w14:paraId="07A11529" w14:textId="77777777" w:rsidR="006268AC" w:rsidRPr="006268AC" w:rsidRDefault="006268AC" w:rsidP="006268AC">
      <w:pPr>
        <w:pStyle w:val="Body"/>
        <w:spacing w:after="0"/>
        <w:rPr>
          <w:rFonts w:ascii="Arial" w:hAnsi="Arial" w:cs="Arial"/>
          <w:b/>
          <w:sz w:val="22"/>
        </w:rPr>
      </w:pPr>
    </w:p>
    <w:p w14:paraId="33844469" w14:textId="0E297460" w:rsidR="006268AC" w:rsidRPr="009153FA" w:rsidRDefault="006268AC" w:rsidP="006268AC">
      <w:pPr>
        <w:jc w:val="both"/>
        <w:rPr>
          <w:rFonts w:ascii="Arial" w:hAnsi="Arial" w:cs="Arial"/>
        </w:rPr>
      </w:pPr>
      <w:r w:rsidRPr="006268AC">
        <w:rPr>
          <w:rFonts w:ascii="Arial" w:hAnsi="Arial" w:cs="Arial"/>
        </w:rPr>
        <w:t>All data were expressed as mean ± standard error of the mean (SEM). Statistical analyses were performed using SPSS version 25.0. Differences between treatment groups were assessed using one-way analysis of variance (ANOVA) followed by both Tukey’s post hoc test and Duncan’s multiple range tests for multiple comparisons. A p-value &lt; 0.05 was considered statistically significant.</w:t>
      </w:r>
    </w:p>
    <w:p w14:paraId="6152F1EA" w14:textId="77777777" w:rsidR="00790ADA" w:rsidRPr="00FB3A86" w:rsidRDefault="00790ADA" w:rsidP="00441B6F">
      <w:pPr>
        <w:pStyle w:val="Body"/>
        <w:spacing w:after="0"/>
        <w:rPr>
          <w:rFonts w:ascii="Arial" w:hAnsi="Arial" w:cs="Arial"/>
        </w:rPr>
      </w:pPr>
    </w:p>
    <w:p w14:paraId="4617966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1F25CBE" w14:textId="77777777" w:rsidR="00790ADA" w:rsidRPr="00FB3A86" w:rsidRDefault="00790ADA" w:rsidP="00441B6F">
      <w:pPr>
        <w:pStyle w:val="Head1"/>
        <w:spacing w:after="0"/>
        <w:jc w:val="both"/>
        <w:rPr>
          <w:rFonts w:ascii="Arial" w:hAnsi="Arial" w:cs="Arial"/>
        </w:rPr>
      </w:pPr>
    </w:p>
    <w:p w14:paraId="3FBEED91" w14:textId="1D6617B1" w:rsidR="00790ADA" w:rsidRDefault="007F0D70" w:rsidP="00441B6F">
      <w:pPr>
        <w:pStyle w:val="Body"/>
        <w:spacing w:after="0"/>
        <w:rPr>
          <w:rFonts w:ascii="Arial" w:hAnsi="Arial" w:cs="Arial"/>
        </w:rPr>
      </w:pPr>
      <w:r w:rsidRPr="007F0D70">
        <w:rPr>
          <w:rFonts w:ascii="Arial" w:hAnsi="Arial" w:cs="Arial"/>
        </w:rPr>
        <w:t>This study evaluated the gastroprotective efficacy of a coconut–</w:t>
      </w:r>
      <w:proofErr w:type="spellStart"/>
      <w:r w:rsidRPr="007F0D70">
        <w:rPr>
          <w:rFonts w:ascii="Arial" w:hAnsi="Arial" w:cs="Arial"/>
        </w:rPr>
        <w:t>tigernut</w:t>
      </w:r>
      <w:proofErr w:type="spellEnd"/>
      <w:r w:rsidRPr="007F0D70">
        <w:rPr>
          <w:rFonts w:ascii="Arial" w:hAnsi="Arial" w:cs="Arial"/>
        </w:rPr>
        <w:t xml:space="preserve"> plant-based yoghurt against indomethacin-induced gastric ulceration in Wistar rats. It compared its effects with dairy yoghurt, a plant–dairy yoghurt blend, and omeprazole (the reference drug). Ulcer indices, gastric parameters, and histopathological features were used to assess mucosal protection.</w:t>
      </w:r>
    </w:p>
    <w:p w14:paraId="545F5EA2" w14:textId="77777777" w:rsidR="00863BD3" w:rsidRPr="00FB3A86" w:rsidRDefault="00863BD3" w:rsidP="00441B6F">
      <w:pPr>
        <w:pStyle w:val="Body"/>
        <w:spacing w:after="0"/>
        <w:rPr>
          <w:rFonts w:ascii="Arial" w:hAnsi="Arial" w:cs="Arial"/>
        </w:rPr>
      </w:pPr>
    </w:p>
    <w:p w14:paraId="23666D7E" w14:textId="77777777" w:rsidR="007F0D70"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7F0D70" w:rsidRPr="007F0D70">
        <w:rPr>
          <w:rFonts w:ascii="Arial" w:hAnsi="Arial" w:cs="Arial"/>
          <w:b/>
          <w:sz w:val="22"/>
        </w:rPr>
        <w:t xml:space="preserve">Effect on gastric pH </w:t>
      </w:r>
    </w:p>
    <w:p w14:paraId="485DD7BD" w14:textId="77777777" w:rsidR="007F0D70" w:rsidRDefault="007F0D70" w:rsidP="00441B6F">
      <w:pPr>
        <w:pStyle w:val="Body"/>
        <w:spacing w:after="0"/>
        <w:rPr>
          <w:rFonts w:ascii="Arial" w:hAnsi="Arial" w:cs="Arial"/>
          <w:b/>
          <w:sz w:val="22"/>
        </w:rPr>
      </w:pPr>
    </w:p>
    <w:p w14:paraId="547E2D08" w14:textId="40BA543E" w:rsidR="007F0D70" w:rsidRDefault="007F0D70" w:rsidP="00441B6F">
      <w:pPr>
        <w:pStyle w:val="Body"/>
        <w:spacing w:after="0"/>
        <w:rPr>
          <w:rFonts w:ascii="Arial" w:hAnsi="Arial" w:cs="Arial"/>
        </w:rPr>
      </w:pPr>
      <w:r w:rsidRPr="007F0D70">
        <w:rPr>
          <w:rFonts w:ascii="Arial" w:hAnsi="Arial" w:cs="Arial"/>
        </w:rPr>
        <w:t xml:space="preserve">The mean gastric pH values across the experimental groups are presented in Fig. 1. The normal control group recorded a mean gastric pH of 3.79 ± 0.52, while the negative control group showed an elevated mean value of 4.72 ± 2.18. The positive control group (omeprazole-treated) exhibited a reduced gastric pH of 3.18 ± 0.57, consistent with the standard drug's acid-suppressive effect. Among the yoghurt-treated groups, the PBY group exhibited a mean gastric pH of 4.21 ± 1.13, the DPBY group exhibited a mean gastric pH of 3.22 ± 1.18, while the DBY group had a mean pH value of 2.94 ± </w:t>
      </w:r>
      <w:r w:rsidRPr="007F0D70">
        <w:rPr>
          <w:rFonts w:ascii="Arial" w:hAnsi="Arial" w:cs="Arial"/>
        </w:rPr>
        <w:lastRenderedPageBreak/>
        <w:t>0.48. Indomethacin (30 mg/kg) successfully decreased gastric pH in the negative control group, indicating acid hypersecretion and mucosal irritation, a confirmation of NSAID-induced ulcers (Suleyman et al., 2010; Zaki &amp; Mohamed, 2014). Pretreatment with yoghurt formulations increased gastric pH, suggesting buffering and acid-neutralizing activity. The PBY group recorded the highest pH, exceeding omeprazole and DBY, likely due to the presence of bioactive phytochemicals, such as alkaloids, saponins, and flavonoids. These phytochemicals regulate acid secretion and enhance mucosal stability (Yasin et al., 2020)</w:t>
      </w:r>
      <w:r w:rsidR="00C30A0F" w:rsidRPr="00FB3A86">
        <w:rPr>
          <w:rFonts w:ascii="Arial" w:hAnsi="Arial" w:cs="Arial"/>
        </w:rPr>
        <w:t>.</w:t>
      </w:r>
    </w:p>
    <w:p w14:paraId="2ECB1F01" w14:textId="77777777" w:rsidR="007F0D70" w:rsidRDefault="007F0D70" w:rsidP="00441B6F">
      <w:pPr>
        <w:pStyle w:val="Body"/>
        <w:spacing w:after="0"/>
        <w:rPr>
          <w:rFonts w:ascii="Arial" w:hAnsi="Arial" w:cs="Arial"/>
        </w:rPr>
      </w:pPr>
    </w:p>
    <w:p w14:paraId="46E511C9" w14:textId="735038AF" w:rsidR="00913E57" w:rsidRPr="00913E57" w:rsidRDefault="00913E57" w:rsidP="00913E57">
      <w:pPr>
        <w:pStyle w:val="Body"/>
        <w:spacing w:after="0"/>
        <w:rPr>
          <w:rFonts w:ascii="Arial" w:hAnsi="Arial" w:cs="Arial"/>
          <w:b/>
          <w:caps/>
          <w:sz w:val="22"/>
        </w:rPr>
      </w:pPr>
      <w:r w:rsidRPr="00913E57">
        <w:rPr>
          <w:rFonts w:ascii="Arial" w:hAnsi="Arial" w:cs="Arial"/>
          <w:b/>
          <w:caps/>
          <w:sz w:val="22"/>
        </w:rPr>
        <w:t>3.2</w:t>
      </w:r>
      <w:r w:rsidRPr="00913E57">
        <w:rPr>
          <w:rFonts w:ascii="Arial" w:hAnsi="Arial" w:cs="Arial"/>
          <w:b/>
          <w:sz w:val="22"/>
        </w:rPr>
        <w:t xml:space="preserve"> </w:t>
      </w:r>
      <w:r>
        <w:rPr>
          <w:rFonts w:ascii="Arial" w:hAnsi="Arial" w:cs="Arial"/>
          <w:b/>
          <w:sz w:val="22"/>
        </w:rPr>
        <w:t>E</w:t>
      </w:r>
      <w:r w:rsidRPr="00913E57">
        <w:rPr>
          <w:rFonts w:ascii="Arial" w:hAnsi="Arial" w:cs="Arial"/>
          <w:b/>
          <w:sz w:val="22"/>
        </w:rPr>
        <w:t>ffect on total acidity</w:t>
      </w:r>
    </w:p>
    <w:p w14:paraId="06282E06" w14:textId="77777777" w:rsidR="00913E57" w:rsidRDefault="00913E57" w:rsidP="00913E57">
      <w:pPr>
        <w:pStyle w:val="Body"/>
        <w:spacing w:after="0"/>
        <w:rPr>
          <w:rFonts w:ascii="Arial" w:hAnsi="Arial" w:cs="Arial"/>
        </w:rPr>
      </w:pPr>
    </w:p>
    <w:p w14:paraId="2699D1D8" w14:textId="1B668410" w:rsidR="00913E57" w:rsidRPr="00913E57" w:rsidRDefault="00913E57" w:rsidP="00913E57">
      <w:pPr>
        <w:pStyle w:val="Body"/>
        <w:spacing w:after="0"/>
        <w:rPr>
          <w:rFonts w:ascii="Arial" w:hAnsi="Arial" w:cs="Arial"/>
        </w:rPr>
      </w:pPr>
      <w:r w:rsidRPr="00913E57">
        <w:rPr>
          <w:rFonts w:ascii="Arial" w:hAnsi="Arial" w:cs="Arial"/>
        </w:rPr>
        <w:t xml:space="preserve">The normal control group recorded a total acidity of 50.00 ± 8.66 </w:t>
      </w:r>
      <w:proofErr w:type="spellStart"/>
      <w:r w:rsidRPr="00913E57">
        <w:rPr>
          <w:rFonts w:ascii="Arial" w:hAnsi="Arial" w:cs="Arial"/>
        </w:rPr>
        <w:t>mEq</w:t>
      </w:r>
      <w:proofErr w:type="spellEnd"/>
      <w:r w:rsidRPr="00913E57">
        <w:rPr>
          <w:rFonts w:ascii="Arial" w:hAnsi="Arial" w:cs="Arial"/>
        </w:rPr>
        <w:t xml:space="preserve">/L. In contrast, the negative control group showed a total acidity of 26.67 ± 20.21 </w:t>
      </w:r>
      <w:proofErr w:type="spellStart"/>
      <w:r w:rsidRPr="00913E57">
        <w:rPr>
          <w:rFonts w:ascii="Arial" w:hAnsi="Arial" w:cs="Arial"/>
        </w:rPr>
        <w:t>mEq</w:t>
      </w:r>
      <w:proofErr w:type="spellEnd"/>
      <w:r w:rsidRPr="00913E57">
        <w:rPr>
          <w:rFonts w:ascii="Arial" w:hAnsi="Arial" w:cs="Arial"/>
        </w:rPr>
        <w:t xml:space="preserve">/L. The positive control group (omeprazole-treated) showed a further reduction in acidity (20.00 ± 8.66 </w:t>
      </w:r>
      <w:proofErr w:type="spellStart"/>
      <w:r w:rsidRPr="00913E57">
        <w:rPr>
          <w:rFonts w:ascii="Arial" w:hAnsi="Arial" w:cs="Arial"/>
        </w:rPr>
        <w:t>mEq</w:t>
      </w:r>
      <w:proofErr w:type="spellEnd"/>
      <w:r w:rsidRPr="00913E57">
        <w:rPr>
          <w:rFonts w:ascii="Arial" w:hAnsi="Arial" w:cs="Arial"/>
        </w:rPr>
        <w:t xml:space="preserve">/L), consistent with the standard drug's acid-suppressive properties. Among the yoghurt-treated groups, the PBY group demonstrated an acidity of 13.33 ± 2.89 </w:t>
      </w:r>
      <w:proofErr w:type="spellStart"/>
      <w:r w:rsidRPr="00913E57">
        <w:rPr>
          <w:rFonts w:ascii="Arial" w:hAnsi="Arial" w:cs="Arial"/>
        </w:rPr>
        <w:t>mEq</w:t>
      </w:r>
      <w:proofErr w:type="spellEnd"/>
      <w:r w:rsidRPr="00913E57">
        <w:rPr>
          <w:rFonts w:ascii="Arial" w:hAnsi="Arial" w:cs="Arial"/>
        </w:rPr>
        <w:t xml:space="preserve">/L, the DPBY group demonstrated an acidity of 25.00 ± 21.80 </w:t>
      </w:r>
      <w:proofErr w:type="spellStart"/>
      <w:r w:rsidRPr="00913E57">
        <w:rPr>
          <w:rFonts w:ascii="Arial" w:hAnsi="Arial" w:cs="Arial"/>
        </w:rPr>
        <w:t>mEq</w:t>
      </w:r>
      <w:proofErr w:type="spellEnd"/>
      <w:r w:rsidRPr="00913E57">
        <w:rPr>
          <w:rFonts w:ascii="Arial" w:hAnsi="Arial" w:cs="Arial"/>
        </w:rPr>
        <w:t xml:space="preserve">/L, while the DBY group demonstrated an acidity of 25.00 ± 5.00 </w:t>
      </w:r>
      <w:proofErr w:type="spellStart"/>
      <w:r w:rsidRPr="00913E57">
        <w:rPr>
          <w:rFonts w:ascii="Arial" w:hAnsi="Arial" w:cs="Arial"/>
        </w:rPr>
        <w:t>mEq</w:t>
      </w:r>
      <w:proofErr w:type="spellEnd"/>
      <w:r w:rsidRPr="00913E57">
        <w:rPr>
          <w:rFonts w:ascii="Arial" w:hAnsi="Arial" w:cs="Arial"/>
        </w:rPr>
        <w:t xml:space="preserve">/L (Fig. 2). Total acidity was highest in the negative control and lowest in the PBY group. This effect may result from the buffering capacity of coconut milk and the prebiotic influence of </w:t>
      </w:r>
      <w:proofErr w:type="spellStart"/>
      <w:r w:rsidRPr="00913E57">
        <w:rPr>
          <w:rFonts w:ascii="Arial" w:hAnsi="Arial" w:cs="Arial"/>
        </w:rPr>
        <w:t>tigernut</w:t>
      </w:r>
      <w:proofErr w:type="spellEnd"/>
      <w:r w:rsidRPr="00913E57">
        <w:rPr>
          <w:rFonts w:ascii="Arial" w:hAnsi="Arial" w:cs="Arial"/>
        </w:rPr>
        <w:t xml:space="preserve"> on gut microbiota (</w:t>
      </w:r>
      <w:proofErr w:type="spellStart"/>
      <w:r w:rsidRPr="00913E57">
        <w:rPr>
          <w:rFonts w:ascii="Arial" w:hAnsi="Arial" w:cs="Arial"/>
        </w:rPr>
        <w:t>Ajeigbe</w:t>
      </w:r>
      <w:proofErr w:type="spellEnd"/>
      <w:r w:rsidRPr="00913E57">
        <w:rPr>
          <w:rFonts w:ascii="Arial" w:hAnsi="Arial" w:cs="Arial"/>
        </w:rPr>
        <w:t xml:space="preserve"> et al., 2017).</w:t>
      </w:r>
    </w:p>
    <w:p w14:paraId="2F11A9A5" w14:textId="77777777" w:rsidR="00913E57" w:rsidRDefault="00913E57" w:rsidP="00913E57">
      <w:pPr>
        <w:pStyle w:val="Body"/>
        <w:spacing w:after="0"/>
        <w:rPr>
          <w:rFonts w:ascii="Arial" w:hAnsi="Arial" w:cs="Arial"/>
        </w:rPr>
      </w:pPr>
    </w:p>
    <w:p w14:paraId="76140CA7" w14:textId="5DF9DC40" w:rsidR="00913E57" w:rsidRPr="00913E57" w:rsidRDefault="00913E57" w:rsidP="00913E57">
      <w:pPr>
        <w:pStyle w:val="Body"/>
        <w:spacing w:after="0"/>
        <w:rPr>
          <w:rFonts w:ascii="Arial" w:hAnsi="Arial" w:cs="Arial"/>
          <w:b/>
          <w:sz w:val="22"/>
        </w:rPr>
      </w:pPr>
      <w:r w:rsidRPr="00913E57">
        <w:rPr>
          <w:rFonts w:ascii="Arial" w:hAnsi="Arial" w:cs="Arial"/>
          <w:b/>
          <w:sz w:val="22"/>
        </w:rPr>
        <w:t>3.3 Effect on ulcer score</w:t>
      </w:r>
    </w:p>
    <w:p w14:paraId="69B456ED" w14:textId="77777777" w:rsidR="00913E57" w:rsidRDefault="00913E57" w:rsidP="00913E57">
      <w:pPr>
        <w:pStyle w:val="Body"/>
        <w:spacing w:after="0"/>
        <w:rPr>
          <w:rFonts w:ascii="Arial" w:hAnsi="Arial" w:cs="Arial"/>
        </w:rPr>
      </w:pPr>
    </w:p>
    <w:p w14:paraId="60155192" w14:textId="77777777" w:rsidR="00913E57" w:rsidRDefault="00913E57" w:rsidP="00913E57">
      <w:pPr>
        <w:pStyle w:val="Body"/>
        <w:spacing w:after="0"/>
        <w:rPr>
          <w:rFonts w:ascii="Arial" w:hAnsi="Arial" w:cs="Arial"/>
        </w:rPr>
      </w:pPr>
      <w:r w:rsidRPr="00913E57">
        <w:rPr>
          <w:rFonts w:ascii="Arial" w:hAnsi="Arial" w:cs="Arial"/>
        </w:rPr>
        <w:t xml:space="preserve">The ulcer scores for the different experimental groups are presented in Fig. 3. The normal control and DBY groups showed no ulceration (0.00 ± 0.00), reflecting intact gastric mucosa. The negative control group had the highest mean ulcer score (1.67 ± 0.29), confirming the ulcerogenic effect of indomethacin administration. Treatment with omeprazole reduced the ulcer score to 0.67 ± 0.58. Similarly, the PBY group showed a comparable reduction (0.67 ± 0.29), while the DPBY group had a mean ulcer score of 1.00 ± 1.00. The ulcer score, which reflects visible mucosal damage, was highest in the negative control (1.67 ± 0.29) and lowest in the DBY group, indicating full gastric protection in the DBY group. Both PBY and omeprazole groups showed lower scores, suggesting substantial mucosal </w:t>
      </w:r>
      <w:proofErr w:type="spellStart"/>
      <w:r w:rsidRPr="00913E57">
        <w:rPr>
          <w:rFonts w:ascii="Arial" w:hAnsi="Arial" w:cs="Arial"/>
        </w:rPr>
        <w:t>defence</w:t>
      </w:r>
      <w:proofErr w:type="spellEnd"/>
      <w:r w:rsidRPr="00913E57">
        <w:rPr>
          <w:rFonts w:ascii="Arial" w:hAnsi="Arial" w:cs="Arial"/>
        </w:rPr>
        <w:t xml:space="preserve">, while DPBY showed moderate protection. This aligns with reports that probiotic-fermented foods promote mucosal regeneration through antioxidant and anti-inflammatory mechanisms (Latif </w:t>
      </w:r>
    </w:p>
    <w:p w14:paraId="7A3663EB" w14:textId="571F1FD7" w:rsidR="00913E57" w:rsidRPr="00913E57" w:rsidRDefault="00913E57" w:rsidP="00913E57">
      <w:pPr>
        <w:pStyle w:val="Body"/>
        <w:spacing w:after="0"/>
        <w:rPr>
          <w:rFonts w:ascii="Arial" w:hAnsi="Arial" w:cs="Arial"/>
        </w:rPr>
      </w:pPr>
      <w:r w:rsidRPr="00913E57">
        <w:rPr>
          <w:rFonts w:ascii="Arial" w:hAnsi="Arial" w:cs="Arial"/>
        </w:rPr>
        <w:t>et al., 2023).</w:t>
      </w:r>
    </w:p>
    <w:p w14:paraId="31141819" w14:textId="77777777" w:rsidR="00913E57" w:rsidRDefault="00913E57" w:rsidP="00913E57">
      <w:pPr>
        <w:pStyle w:val="Body"/>
        <w:spacing w:after="0"/>
        <w:rPr>
          <w:rFonts w:ascii="Arial" w:hAnsi="Arial" w:cs="Arial"/>
          <w:b/>
          <w:caps/>
          <w:sz w:val="22"/>
        </w:rPr>
      </w:pPr>
    </w:p>
    <w:p w14:paraId="13A414F3" w14:textId="47C11806" w:rsidR="00913E57" w:rsidRPr="00913E57" w:rsidRDefault="00913E57" w:rsidP="00913E57">
      <w:pPr>
        <w:pStyle w:val="Body"/>
        <w:spacing w:after="0"/>
        <w:rPr>
          <w:rFonts w:ascii="Arial" w:hAnsi="Arial" w:cs="Arial"/>
          <w:b/>
          <w:caps/>
          <w:sz w:val="22"/>
        </w:rPr>
      </w:pPr>
      <w:r w:rsidRPr="00913E57">
        <w:rPr>
          <w:rFonts w:ascii="Arial" w:hAnsi="Arial" w:cs="Arial"/>
          <w:b/>
          <w:caps/>
          <w:sz w:val="22"/>
        </w:rPr>
        <w:t xml:space="preserve">3.4. </w:t>
      </w:r>
      <w:r w:rsidRPr="00913E57">
        <w:rPr>
          <w:rFonts w:ascii="Arial" w:hAnsi="Arial" w:cs="Arial"/>
          <w:b/>
          <w:sz w:val="22"/>
        </w:rPr>
        <w:t>Effect on ulcer index</w:t>
      </w:r>
    </w:p>
    <w:p w14:paraId="6DDE8682" w14:textId="77777777" w:rsidR="00913E57" w:rsidRDefault="00913E57" w:rsidP="00913E57">
      <w:pPr>
        <w:pStyle w:val="Body"/>
        <w:spacing w:after="0"/>
        <w:rPr>
          <w:rFonts w:ascii="Arial" w:hAnsi="Arial" w:cs="Arial"/>
        </w:rPr>
      </w:pPr>
    </w:p>
    <w:p w14:paraId="18C47B62" w14:textId="2606CC76" w:rsidR="00913E57" w:rsidRDefault="00913E57" w:rsidP="00913E57">
      <w:pPr>
        <w:pStyle w:val="Body"/>
        <w:spacing w:after="0"/>
        <w:rPr>
          <w:rFonts w:ascii="Arial" w:hAnsi="Arial" w:cs="Arial"/>
        </w:rPr>
      </w:pPr>
      <w:r w:rsidRPr="00913E57">
        <w:rPr>
          <w:rFonts w:ascii="Arial" w:hAnsi="Arial" w:cs="Arial"/>
        </w:rPr>
        <w:t>The ulcer index values across the experimental groups are presented in Fig.4. The normal control and DBY groups recorded no ulceration (0.00 ± 0.00), confirming intact gastric mucosa. In contrast, the negative control group exhibited the highest ulcer index (31.72 ± 10.27), highlighting the ulcerogenic effect of indomethacin. Treatment with omeprazole significantly reduced the ulcer index to 10.29 ± 12.50. The PBY group recorded an ulcer index of 10.58 ± 2.61, while the DPBY group recorded an ulcer index of 13.12 ± 14.24.</w:t>
      </w:r>
    </w:p>
    <w:p w14:paraId="04B74666" w14:textId="77777777" w:rsidR="00913E57" w:rsidRPr="00913E57" w:rsidRDefault="00913E57" w:rsidP="00913E57">
      <w:pPr>
        <w:pStyle w:val="Body"/>
        <w:spacing w:after="0"/>
        <w:rPr>
          <w:rFonts w:ascii="Arial" w:hAnsi="Arial" w:cs="Arial"/>
        </w:rPr>
      </w:pPr>
    </w:p>
    <w:p w14:paraId="44BE0E8E" w14:textId="236FFD52" w:rsidR="00913E57" w:rsidRDefault="00913E57" w:rsidP="00913E57">
      <w:pPr>
        <w:pStyle w:val="Body"/>
        <w:spacing w:after="0"/>
        <w:rPr>
          <w:rFonts w:ascii="Arial" w:hAnsi="Arial" w:cs="Arial"/>
          <w:b/>
          <w:sz w:val="22"/>
        </w:rPr>
      </w:pPr>
      <w:r w:rsidRPr="00913E57">
        <w:rPr>
          <w:rFonts w:ascii="Arial" w:hAnsi="Arial" w:cs="Arial"/>
          <w:b/>
          <w:sz w:val="22"/>
        </w:rPr>
        <w:t>3.5 Effect on the percentage of ulcer inhibition</w:t>
      </w:r>
    </w:p>
    <w:p w14:paraId="2380F462" w14:textId="77777777" w:rsidR="00913E57" w:rsidRPr="00913E57" w:rsidRDefault="00913E57" w:rsidP="00913E57">
      <w:pPr>
        <w:pStyle w:val="Body"/>
        <w:spacing w:after="0"/>
        <w:rPr>
          <w:rFonts w:ascii="Arial" w:hAnsi="Arial" w:cs="Arial"/>
          <w:b/>
          <w:caps/>
          <w:sz w:val="22"/>
        </w:rPr>
      </w:pPr>
    </w:p>
    <w:p w14:paraId="4A414104" w14:textId="0EA472AF" w:rsidR="00913E57" w:rsidRPr="00913E57" w:rsidRDefault="00913E57" w:rsidP="00913E57">
      <w:pPr>
        <w:pStyle w:val="Body"/>
        <w:spacing w:after="0"/>
        <w:rPr>
          <w:rFonts w:ascii="Arial" w:hAnsi="Arial" w:cs="Arial"/>
        </w:rPr>
      </w:pPr>
      <w:r w:rsidRPr="00913E57">
        <w:rPr>
          <w:rFonts w:ascii="Arial" w:hAnsi="Arial" w:cs="Arial"/>
        </w:rPr>
        <w:t>The percentage ulcer inhibition values for the experimental groups are shown in Fig. 5. By design, the normal control and DBY groups exhibited complete ulcer protection (100% inhibition), consistent with their absence of gastric lesions. The negative control group, as expected, showed 0% inhibition, reflecting the severe mucosal damage induced by indomethacin. Treatment with omeprazole resulted in 67.56 ± 39.41% inhibition, indicating partial but notable gastroprotection. Interestingly, the PBY group showed a very similar protective effect (66.64 ± 8.24% inhibition), suggesting that its anti-ulcer efficacy was comparable to that of the standard drug, while the DPBY group showed a percentage ulcer inhibition of 58.63 ± 44.88%. Percentage ulcer inhibition was highest in DBY (100%), followed by omeprazole (67.56%) and PBY (66.64%). The Activities of Lactobacillus bulgaricus and Streptococcus thermophilus, which enhance mucin secretion and inhibit inflammation, may have contributed to the strong inhibition noticed in DBY (Fernandez et al., 2018). The comparable inhibition of PBY and omeprazole suggests that bioactive compounds and probiotics confer protection through antioxidant and cytoprotective pathways rather than acid suppression (Indira et al., 2019). Ulcer index values supported these findings. DBY showed complete protection, while PBY, DPBY, and omeprazole demonstrated similar reductions.</w:t>
      </w:r>
    </w:p>
    <w:p w14:paraId="4AAFDA83" w14:textId="77777777" w:rsidR="007216C9" w:rsidRDefault="00C30A0F" w:rsidP="00441B6F">
      <w:pPr>
        <w:pStyle w:val="Body"/>
        <w:spacing w:after="0"/>
        <w:rPr>
          <w:rFonts w:ascii="Arial" w:hAnsi="Arial" w:cs="Arial"/>
        </w:rPr>
      </w:pPr>
      <w:r w:rsidRPr="00FB3A86">
        <w:rPr>
          <w:rFonts w:ascii="Arial" w:hAnsi="Arial" w:cs="Arial"/>
        </w:rPr>
        <w:t xml:space="preserve"> </w:t>
      </w:r>
    </w:p>
    <w:p w14:paraId="2CB6721E" w14:textId="77777777" w:rsidR="007216C9" w:rsidRDefault="007216C9" w:rsidP="00441B6F">
      <w:pPr>
        <w:pStyle w:val="Body"/>
        <w:spacing w:after="0"/>
        <w:rPr>
          <w:rFonts w:ascii="Arial" w:hAnsi="Arial" w:cs="Arial"/>
        </w:rPr>
      </w:pPr>
    </w:p>
    <w:p w14:paraId="73DBFD5D" w14:textId="78749CF6" w:rsidR="007216C9" w:rsidRDefault="007216C9" w:rsidP="00441B6F">
      <w:pPr>
        <w:pStyle w:val="Body"/>
        <w:spacing w:after="0"/>
        <w:rPr>
          <w:rFonts w:ascii="Arial" w:hAnsi="Arial" w:cs="Arial"/>
        </w:rPr>
      </w:pPr>
      <w:r w:rsidRPr="009153FA">
        <w:rPr>
          <w:rFonts w:ascii="Arial" w:hAnsi="Arial" w:cs="Arial"/>
          <w:b/>
          <w:bCs/>
          <w:noProof/>
        </w:rPr>
        <w:lastRenderedPageBreak/>
        <w:drawing>
          <wp:inline distT="0" distB="0" distL="0" distR="0" wp14:anchorId="4807181D" wp14:editId="5334FDDB">
            <wp:extent cx="4511615" cy="2363638"/>
            <wp:effectExtent l="0" t="0" r="381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C7E1AD" w14:textId="1FAE4053" w:rsidR="007216C9" w:rsidRDefault="007216C9" w:rsidP="007216C9">
      <w:pPr>
        <w:jc w:val="both"/>
        <w:rPr>
          <w:rFonts w:ascii="Arial" w:hAnsi="Arial" w:cs="Arial"/>
          <w:bCs/>
        </w:rPr>
      </w:pPr>
      <w:r w:rsidRPr="009153FA">
        <w:rPr>
          <w:rFonts w:ascii="Arial" w:hAnsi="Arial" w:cs="Arial"/>
          <w:b/>
          <w:bCs/>
        </w:rPr>
        <w:t xml:space="preserve">Fig. </w:t>
      </w:r>
      <w:r w:rsidR="00AB28F2">
        <w:rPr>
          <w:rFonts w:ascii="Arial" w:hAnsi="Arial" w:cs="Arial"/>
          <w:b/>
          <w:bCs/>
        </w:rPr>
        <w:t>2</w:t>
      </w:r>
      <w:r w:rsidRPr="009153FA">
        <w:rPr>
          <w:rFonts w:ascii="Arial" w:hAnsi="Arial" w:cs="Arial"/>
          <w:b/>
          <w:bCs/>
        </w:rPr>
        <w:t xml:space="preserve">. </w:t>
      </w:r>
      <w:r w:rsidRPr="009153FA">
        <w:rPr>
          <w:rFonts w:ascii="Arial" w:hAnsi="Arial" w:cs="Arial"/>
          <w:bCs/>
        </w:rPr>
        <w:t>Effect of yoghurt on gastric Ph</w:t>
      </w:r>
    </w:p>
    <w:p w14:paraId="5F0E628E" w14:textId="77777777" w:rsidR="007216C9" w:rsidRDefault="007216C9" w:rsidP="007216C9">
      <w:pPr>
        <w:jc w:val="both"/>
        <w:rPr>
          <w:rFonts w:ascii="Arial" w:hAnsi="Arial" w:cs="Arial"/>
          <w:bCs/>
        </w:rPr>
      </w:pPr>
    </w:p>
    <w:p w14:paraId="41E4E8C9" w14:textId="22499275" w:rsidR="007216C9" w:rsidRPr="007216C9" w:rsidRDefault="007216C9" w:rsidP="007216C9">
      <w:pPr>
        <w:jc w:val="both"/>
        <w:rPr>
          <w:rFonts w:ascii="Arial" w:hAnsi="Arial" w:cs="Arial"/>
          <w:bCs/>
        </w:rPr>
      </w:pPr>
      <w:r w:rsidRPr="009153FA">
        <w:rPr>
          <w:rFonts w:ascii="Arial" w:hAnsi="Arial" w:cs="Arial"/>
          <w:b/>
          <w:bCs/>
          <w:noProof/>
        </w:rPr>
        <w:drawing>
          <wp:inline distT="0" distB="0" distL="0" distR="0" wp14:anchorId="7B846526" wp14:editId="21294A0F">
            <wp:extent cx="4986068" cy="2165230"/>
            <wp:effectExtent l="0" t="0" r="508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01EA48" w14:textId="4D1D13D3" w:rsidR="007216C9" w:rsidRPr="009153FA" w:rsidRDefault="007216C9" w:rsidP="007216C9">
      <w:pPr>
        <w:jc w:val="both"/>
        <w:rPr>
          <w:rFonts w:ascii="Arial" w:hAnsi="Arial" w:cs="Arial"/>
          <w:bCs/>
        </w:rPr>
      </w:pPr>
      <w:r w:rsidRPr="009153FA">
        <w:rPr>
          <w:rFonts w:ascii="Arial" w:hAnsi="Arial" w:cs="Arial"/>
          <w:b/>
          <w:bCs/>
        </w:rPr>
        <w:t>Fig.</w:t>
      </w:r>
      <w:r w:rsidR="00AB28F2">
        <w:rPr>
          <w:rFonts w:ascii="Arial" w:hAnsi="Arial" w:cs="Arial"/>
          <w:b/>
          <w:bCs/>
        </w:rPr>
        <w:t>3</w:t>
      </w:r>
      <w:r w:rsidRPr="009153FA">
        <w:rPr>
          <w:rFonts w:ascii="Arial" w:hAnsi="Arial" w:cs="Arial"/>
          <w:b/>
          <w:bCs/>
        </w:rPr>
        <w:t xml:space="preserve">. </w:t>
      </w:r>
      <w:r w:rsidRPr="009153FA">
        <w:rPr>
          <w:rFonts w:ascii="Arial" w:hAnsi="Arial" w:cs="Arial"/>
          <w:bCs/>
        </w:rPr>
        <w:t>Effect of yoghurt on total acidity</w:t>
      </w:r>
    </w:p>
    <w:p w14:paraId="69BE45DD" w14:textId="1F2B4A23" w:rsidR="00C30A0F" w:rsidRDefault="00C30A0F" w:rsidP="00441B6F">
      <w:pPr>
        <w:pStyle w:val="Body"/>
        <w:spacing w:after="0"/>
        <w:rPr>
          <w:rFonts w:ascii="Arial" w:hAnsi="Arial" w:cs="Arial"/>
        </w:rPr>
      </w:pPr>
      <w:r w:rsidRPr="00FB3A86">
        <w:rPr>
          <w:rFonts w:ascii="Arial" w:hAnsi="Arial" w:cs="Arial"/>
        </w:rPr>
        <w:t xml:space="preserve"> </w:t>
      </w:r>
    </w:p>
    <w:p w14:paraId="709D5364" w14:textId="53E202D9" w:rsidR="007216C9" w:rsidRDefault="007216C9" w:rsidP="00441B6F">
      <w:pPr>
        <w:pStyle w:val="Body"/>
        <w:spacing w:after="0"/>
        <w:rPr>
          <w:rFonts w:ascii="Arial" w:hAnsi="Arial" w:cs="Arial"/>
        </w:rPr>
      </w:pPr>
    </w:p>
    <w:p w14:paraId="3438B79F" w14:textId="77777777" w:rsidR="007216C9" w:rsidRDefault="007216C9" w:rsidP="00441B6F">
      <w:pPr>
        <w:pStyle w:val="Body"/>
        <w:spacing w:after="0"/>
        <w:rPr>
          <w:rFonts w:ascii="Arial" w:hAnsi="Arial" w:cs="Arial"/>
        </w:rPr>
      </w:pPr>
    </w:p>
    <w:p w14:paraId="3F31A75D" w14:textId="721F6352" w:rsidR="007216C9" w:rsidRDefault="007216C9" w:rsidP="00441B6F">
      <w:pPr>
        <w:pStyle w:val="Body"/>
        <w:spacing w:after="0"/>
        <w:rPr>
          <w:rFonts w:ascii="Arial" w:hAnsi="Arial" w:cs="Arial"/>
        </w:rPr>
      </w:pPr>
      <w:r w:rsidRPr="009153FA">
        <w:rPr>
          <w:rFonts w:ascii="Arial" w:hAnsi="Arial" w:cs="Arial"/>
          <w:b/>
          <w:bCs/>
          <w:noProof/>
        </w:rPr>
        <w:drawing>
          <wp:inline distT="0" distB="0" distL="0" distR="0" wp14:anchorId="39323BAC" wp14:editId="57280B20">
            <wp:extent cx="4822166" cy="2303145"/>
            <wp:effectExtent l="0" t="0" r="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31D8C9" w14:textId="62B71684" w:rsidR="007216C9" w:rsidRDefault="007216C9" w:rsidP="00441B6F">
      <w:pPr>
        <w:pStyle w:val="Body"/>
        <w:spacing w:after="0"/>
        <w:rPr>
          <w:rFonts w:ascii="Arial" w:hAnsi="Arial" w:cs="Arial"/>
        </w:rPr>
      </w:pPr>
      <w:r w:rsidRPr="009153FA">
        <w:rPr>
          <w:rFonts w:ascii="Arial" w:hAnsi="Arial" w:cs="Arial"/>
          <w:b/>
          <w:bCs/>
        </w:rPr>
        <w:t xml:space="preserve">Fig. </w:t>
      </w:r>
      <w:r w:rsidR="00AB28F2">
        <w:rPr>
          <w:rFonts w:ascii="Arial" w:hAnsi="Arial" w:cs="Arial"/>
          <w:b/>
          <w:bCs/>
        </w:rPr>
        <w:t>4</w:t>
      </w:r>
      <w:r w:rsidRPr="009153FA">
        <w:rPr>
          <w:rFonts w:ascii="Arial" w:hAnsi="Arial" w:cs="Arial"/>
          <w:b/>
          <w:bCs/>
        </w:rPr>
        <w:t xml:space="preserve">. </w:t>
      </w:r>
      <w:r w:rsidRPr="009153FA">
        <w:rPr>
          <w:rFonts w:ascii="Arial" w:hAnsi="Arial" w:cs="Arial"/>
          <w:bCs/>
        </w:rPr>
        <w:t>Effect of yoghurt on ulcer score</w:t>
      </w:r>
    </w:p>
    <w:p w14:paraId="4B58074F" w14:textId="77777777" w:rsidR="007216C9" w:rsidRDefault="007216C9" w:rsidP="00441B6F">
      <w:pPr>
        <w:pStyle w:val="Body"/>
        <w:spacing w:after="0"/>
        <w:rPr>
          <w:rFonts w:ascii="Arial" w:hAnsi="Arial" w:cs="Arial"/>
        </w:rPr>
      </w:pPr>
    </w:p>
    <w:p w14:paraId="5F5682E5" w14:textId="6AE06AFA" w:rsidR="00E053D0" w:rsidRDefault="00913E57" w:rsidP="00441B6F">
      <w:pPr>
        <w:pStyle w:val="Body"/>
        <w:spacing w:after="0"/>
        <w:rPr>
          <w:rFonts w:ascii="Arial" w:hAnsi="Arial" w:cs="Arial"/>
          <w:b/>
          <w:u w:val="single"/>
        </w:rPr>
      </w:pPr>
      <w:r w:rsidRPr="009153FA">
        <w:rPr>
          <w:rFonts w:ascii="Arial" w:hAnsi="Arial" w:cs="Arial"/>
          <w:b/>
          <w:bCs/>
          <w:noProof/>
        </w:rPr>
        <w:lastRenderedPageBreak/>
        <w:drawing>
          <wp:inline distT="0" distB="0" distL="0" distR="0" wp14:anchorId="3E74F773" wp14:editId="2845CFB8">
            <wp:extent cx="4917057" cy="219110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D882ED" w14:textId="3E25C10A" w:rsidR="007216C9" w:rsidRPr="009153FA" w:rsidRDefault="007216C9" w:rsidP="007216C9">
      <w:pPr>
        <w:jc w:val="both"/>
        <w:rPr>
          <w:rFonts w:ascii="Arial" w:hAnsi="Arial" w:cs="Arial"/>
          <w:bCs/>
        </w:rPr>
      </w:pPr>
      <w:r w:rsidRPr="009153FA">
        <w:rPr>
          <w:rFonts w:ascii="Arial" w:hAnsi="Arial" w:cs="Arial"/>
          <w:b/>
          <w:bCs/>
        </w:rPr>
        <w:t xml:space="preserve">Fig. </w:t>
      </w:r>
      <w:r w:rsidR="00AB28F2">
        <w:rPr>
          <w:rFonts w:ascii="Arial" w:hAnsi="Arial" w:cs="Arial"/>
          <w:b/>
          <w:bCs/>
        </w:rPr>
        <w:t>5</w:t>
      </w:r>
      <w:r w:rsidRPr="009153FA">
        <w:rPr>
          <w:rFonts w:ascii="Arial" w:hAnsi="Arial" w:cs="Arial"/>
          <w:b/>
          <w:bCs/>
        </w:rPr>
        <w:t xml:space="preserve">. </w:t>
      </w:r>
      <w:r w:rsidRPr="009153FA">
        <w:rPr>
          <w:rFonts w:ascii="Arial" w:hAnsi="Arial" w:cs="Arial"/>
          <w:bCs/>
        </w:rPr>
        <w:t>Effect of yoghurt on ulcer index</w:t>
      </w:r>
    </w:p>
    <w:p w14:paraId="61136DC9" w14:textId="77777777" w:rsidR="00913E57" w:rsidRDefault="00913E57" w:rsidP="00441B6F">
      <w:pPr>
        <w:pStyle w:val="Body"/>
        <w:spacing w:after="0"/>
        <w:rPr>
          <w:rFonts w:ascii="Arial" w:hAnsi="Arial" w:cs="Arial"/>
          <w:b/>
          <w:u w:val="single"/>
        </w:rPr>
      </w:pPr>
    </w:p>
    <w:p w14:paraId="78277215" w14:textId="4517CCB4" w:rsidR="00913E57" w:rsidRDefault="007216C9" w:rsidP="00441B6F">
      <w:pPr>
        <w:pStyle w:val="Body"/>
        <w:spacing w:after="0"/>
        <w:rPr>
          <w:rFonts w:ascii="Arial" w:hAnsi="Arial" w:cs="Arial"/>
          <w:b/>
          <w:u w:val="single"/>
        </w:rPr>
      </w:pPr>
      <w:r w:rsidRPr="009153FA">
        <w:rPr>
          <w:rFonts w:ascii="Arial" w:hAnsi="Arial" w:cs="Arial"/>
          <w:b/>
          <w:bCs/>
          <w:noProof/>
        </w:rPr>
        <w:drawing>
          <wp:inline distT="0" distB="0" distL="0" distR="0" wp14:anchorId="3D14F1A1" wp14:editId="591A1A69">
            <wp:extent cx="5212080" cy="2154739"/>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E87DD6" w14:textId="59579F39" w:rsidR="00790ADA" w:rsidRDefault="007216C9" w:rsidP="00AB28F2">
      <w:pPr>
        <w:jc w:val="both"/>
        <w:rPr>
          <w:rFonts w:ascii="Arial" w:hAnsi="Arial" w:cs="Arial"/>
          <w:bCs/>
        </w:rPr>
      </w:pPr>
      <w:r w:rsidRPr="009153FA">
        <w:rPr>
          <w:rFonts w:ascii="Arial" w:hAnsi="Arial" w:cs="Arial"/>
          <w:b/>
          <w:bCs/>
        </w:rPr>
        <w:t xml:space="preserve">Fig. </w:t>
      </w:r>
      <w:r w:rsidR="00AB28F2">
        <w:rPr>
          <w:rFonts w:ascii="Arial" w:hAnsi="Arial" w:cs="Arial"/>
          <w:b/>
          <w:bCs/>
        </w:rPr>
        <w:t>6</w:t>
      </w:r>
      <w:r w:rsidRPr="009153FA">
        <w:rPr>
          <w:rFonts w:ascii="Arial" w:hAnsi="Arial" w:cs="Arial"/>
          <w:b/>
          <w:bCs/>
        </w:rPr>
        <w:t xml:space="preserve">. </w:t>
      </w:r>
      <w:r w:rsidRPr="009153FA">
        <w:rPr>
          <w:rFonts w:ascii="Arial" w:hAnsi="Arial" w:cs="Arial"/>
          <w:bCs/>
        </w:rPr>
        <w:t>Effect of yoghurt on percentage ulcer inhibition</w:t>
      </w:r>
    </w:p>
    <w:p w14:paraId="291385DF" w14:textId="77777777" w:rsidR="00AB28F2" w:rsidRDefault="00AB28F2" w:rsidP="00AB28F2">
      <w:pPr>
        <w:jc w:val="both"/>
        <w:rPr>
          <w:rFonts w:ascii="Arial" w:hAnsi="Arial" w:cs="Arial"/>
          <w:bCs/>
        </w:rPr>
      </w:pPr>
    </w:p>
    <w:p w14:paraId="14764F67" w14:textId="77777777" w:rsidR="00AB28F2" w:rsidRDefault="00AB28F2" w:rsidP="00AB28F2">
      <w:pPr>
        <w:jc w:val="both"/>
        <w:rPr>
          <w:rFonts w:ascii="Arial" w:hAnsi="Arial" w:cs="Arial"/>
          <w:bCs/>
        </w:rPr>
      </w:pPr>
    </w:p>
    <w:p w14:paraId="4A1F59E1" w14:textId="77777777" w:rsidR="00AB28F2" w:rsidRDefault="00AB28F2" w:rsidP="00AB28F2">
      <w:pPr>
        <w:jc w:val="both"/>
        <w:rPr>
          <w:rFonts w:ascii="Arial" w:hAnsi="Arial" w:cs="Arial"/>
          <w:bCs/>
        </w:rPr>
      </w:pPr>
    </w:p>
    <w:p w14:paraId="4E37B868" w14:textId="77777777" w:rsidR="00AB28F2" w:rsidRPr="00AB28F2" w:rsidRDefault="00AB28F2" w:rsidP="00AB28F2">
      <w:pPr>
        <w:pStyle w:val="Body"/>
        <w:spacing w:after="0"/>
        <w:rPr>
          <w:rFonts w:ascii="Arial" w:hAnsi="Arial" w:cs="Arial"/>
          <w:b/>
          <w:sz w:val="22"/>
        </w:rPr>
      </w:pPr>
      <w:r w:rsidRPr="00AB28F2">
        <w:rPr>
          <w:rFonts w:ascii="Arial" w:hAnsi="Arial" w:cs="Arial"/>
          <w:b/>
          <w:sz w:val="22"/>
        </w:rPr>
        <w:t>3.6. Effect of yoghurt on histopathological observations</w:t>
      </w:r>
    </w:p>
    <w:p w14:paraId="6114CA75" w14:textId="77777777" w:rsidR="00AB28F2" w:rsidRDefault="00AB28F2" w:rsidP="00AB28F2">
      <w:pPr>
        <w:jc w:val="both"/>
        <w:rPr>
          <w:rFonts w:ascii="Arial" w:hAnsi="Arial" w:cs="Arial"/>
          <w:bCs/>
        </w:rPr>
      </w:pPr>
    </w:p>
    <w:p w14:paraId="4AAA52DC" w14:textId="1F1A0A92" w:rsidR="00AB28F2" w:rsidRPr="00AB28F2" w:rsidRDefault="00AB28F2" w:rsidP="00AB28F2">
      <w:pPr>
        <w:jc w:val="both"/>
        <w:rPr>
          <w:rFonts w:ascii="Arial" w:hAnsi="Arial" w:cs="Arial"/>
          <w:bCs/>
        </w:rPr>
      </w:pPr>
      <w:r w:rsidRPr="00AB28F2">
        <w:rPr>
          <w:rFonts w:ascii="Arial" w:hAnsi="Arial" w:cs="Arial"/>
          <w:bCs/>
        </w:rPr>
        <w:t xml:space="preserve">Histopathological examination of the gastric tissue revealed a well-preserved architecture with intact gastric pits, parietal cells, muscularis mucosa, and submucosa in the normal control group. The negative control group showed severe mucosal injury, while the yoghurt and omeprazole-treated groups exhibited minimal mucosal inflammation. Among the yoghurt-treated groups, the DBY group exhibited the most similar mucosa to the normal control group (Fig. </w:t>
      </w:r>
      <w:r w:rsidR="006B1BFA">
        <w:rPr>
          <w:rFonts w:ascii="Arial" w:hAnsi="Arial" w:cs="Arial"/>
          <w:bCs/>
        </w:rPr>
        <w:t>7</w:t>
      </w:r>
      <w:r w:rsidRPr="00AB28F2">
        <w:rPr>
          <w:rFonts w:ascii="Arial" w:hAnsi="Arial" w:cs="Arial"/>
          <w:bCs/>
        </w:rPr>
        <w:t xml:space="preserve">a-f). Histological observation of the negative control showed epithelial necrosis and mucosal erosion, while the yoghurt-treated groups displayed progressive healing. PBY group showed signs of glandular repair and re-epithelialization. The DBY group showed normal mucosa with minimal inflammation, and DPBY showed mild recovery. These findings confirm that yoghurt formulations, especially plant-based and dairy, ameliorate indomethacin-induced mucosal injury through antioxidant </w:t>
      </w:r>
      <w:proofErr w:type="spellStart"/>
      <w:r w:rsidRPr="00AB28F2">
        <w:rPr>
          <w:rFonts w:ascii="Arial" w:hAnsi="Arial" w:cs="Arial"/>
          <w:bCs/>
        </w:rPr>
        <w:t>defence</w:t>
      </w:r>
      <w:proofErr w:type="spellEnd"/>
      <w:r w:rsidRPr="00AB28F2">
        <w:rPr>
          <w:rFonts w:ascii="Arial" w:hAnsi="Arial" w:cs="Arial"/>
          <w:bCs/>
        </w:rPr>
        <w:t xml:space="preserve"> and epithelial repair (Ajayi et al., 2024).</w:t>
      </w:r>
    </w:p>
    <w:p w14:paraId="03399D0A" w14:textId="77777777" w:rsidR="00AB28F2" w:rsidRPr="00AB28F2" w:rsidRDefault="00AB28F2" w:rsidP="00AB28F2">
      <w:pPr>
        <w:jc w:val="both"/>
        <w:rPr>
          <w:rFonts w:ascii="Arial" w:hAnsi="Arial" w:cs="Arial"/>
          <w:bCs/>
        </w:rPr>
      </w:pPr>
      <w:r w:rsidRPr="00AB28F2">
        <w:rPr>
          <w:rFonts w:ascii="Arial" w:hAnsi="Arial" w:cs="Arial"/>
          <w:bCs/>
        </w:rPr>
        <w:t xml:space="preserve">The maximum protection of DBY may be as a result of attributes such as its optimal environment for probiotic viability, high protein buffering capacity, and casein-derived peptides that reinforce mucosal </w:t>
      </w:r>
      <w:proofErr w:type="spellStart"/>
      <w:r w:rsidRPr="00AB28F2">
        <w:rPr>
          <w:rFonts w:ascii="Arial" w:hAnsi="Arial" w:cs="Arial"/>
          <w:bCs/>
        </w:rPr>
        <w:t>defence</w:t>
      </w:r>
      <w:proofErr w:type="spellEnd"/>
      <w:r w:rsidRPr="00AB28F2">
        <w:rPr>
          <w:rFonts w:ascii="Arial" w:hAnsi="Arial" w:cs="Arial"/>
          <w:bCs/>
        </w:rPr>
        <w:t xml:space="preserve"> (Nielsen et al., 2019). Nevertheless, the strong performance of PBY indicates that probiotic-fermented plant formulations can achieve gastroprotection through antioxidant enhancement and mucosal regeneration (</w:t>
      </w:r>
      <w:proofErr w:type="spellStart"/>
      <w:r w:rsidRPr="00AB28F2">
        <w:rPr>
          <w:rFonts w:ascii="Arial" w:hAnsi="Arial" w:cs="Arial"/>
          <w:bCs/>
        </w:rPr>
        <w:t>Cherrada</w:t>
      </w:r>
      <w:proofErr w:type="spellEnd"/>
      <w:r w:rsidRPr="00AB28F2">
        <w:rPr>
          <w:rFonts w:ascii="Arial" w:hAnsi="Arial" w:cs="Arial"/>
          <w:bCs/>
        </w:rPr>
        <w:t xml:space="preserve"> et al., 2024; Gohari et al., 2021).</w:t>
      </w:r>
    </w:p>
    <w:p w14:paraId="544A3750" w14:textId="77777777" w:rsidR="00AB28F2" w:rsidRPr="00AB28F2" w:rsidRDefault="00AB28F2" w:rsidP="00AB28F2">
      <w:pPr>
        <w:jc w:val="both"/>
        <w:rPr>
          <w:rFonts w:ascii="Arial" w:hAnsi="Arial" w:cs="Arial"/>
          <w:bCs/>
        </w:rPr>
      </w:pPr>
    </w:p>
    <w:p w14:paraId="3E38D820" w14:textId="13CEEAA8" w:rsidR="00AB28F2" w:rsidRPr="00AB28F2" w:rsidRDefault="00AB28F2" w:rsidP="00AB28F2">
      <w:pPr>
        <w:jc w:val="both"/>
        <w:rPr>
          <w:rFonts w:ascii="Arial" w:hAnsi="Arial" w:cs="Arial"/>
          <w:bCs/>
        </w:rPr>
      </w:pPr>
      <w:r w:rsidRPr="009153FA">
        <w:rPr>
          <w:rFonts w:ascii="Arial" w:hAnsi="Arial" w:cs="Arial"/>
          <w:noProof/>
        </w:rPr>
        <w:lastRenderedPageBreak/>
        <w:drawing>
          <wp:inline distT="0" distB="0" distL="0" distR="0" wp14:anchorId="61DCA297" wp14:editId="685672AA">
            <wp:extent cx="2682292" cy="213904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7941" cy="2167472"/>
                    </a:xfrm>
                    <a:prstGeom prst="rect">
                      <a:avLst/>
                    </a:prstGeom>
                  </pic:spPr>
                </pic:pic>
              </a:graphicData>
            </a:graphic>
          </wp:inline>
        </w:drawing>
      </w:r>
      <w:r w:rsidRPr="00AB28F2">
        <w:rPr>
          <w:rFonts w:ascii="Arial" w:hAnsi="Arial" w:cs="Arial"/>
          <w:bCs/>
        </w:rPr>
        <w:t xml:space="preserve"> </w:t>
      </w:r>
    </w:p>
    <w:p w14:paraId="25C808DC" w14:textId="3747CBEA" w:rsidR="00AB28F2" w:rsidRPr="00AB28F2" w:rsidRDefault="00AB28F2" w:rsidP="00AB28F2">
      <w:pPr>
        <w:jc w:val="both"/>
        <w:rPr>
          <w:rFonts w:ascii="Arial" w:hAnsi="Arial" w:cs="Arial"/>
          <w:bCs/>
        </w:rPr>
      </w:pPr>
      <w:r w:rsidRPr="00AB28F2">
        <w:rPr>
          <w:rFonts w:ascii="Arial" w:hAnsi="Arial" w:cs="Arial"/>
          <w:bCs/>
        </w:rPr>
        <w:t xml:space="preserve">Fig. </w:t>
      </w:r>
      <w:r w:rsidR="006B1BFA">
        <w:rPr>
          <w:rFonts w:ascii="Arial" w:hAnsi="Arial" w:cs="Arial"/>
          <w:bCs/>
        </w:rPr>
        <w:t>7</w:t>
      </w:r>
      <w:r w:rsidRPr="00AB28F2">
        <w:rPr>
          <w:rFonts w:ascii="Arial" w:hAnsi="Arial" w:cs="Arial"/>
          <w:bCs/>
        </w:rPr>
        <w:t>a. Photomicrograph (H&amp;E X400) of the stomach for the normal control. Intact mucosa and submucosa.</w:t>
      </w:r>
    </w:p>
    <w:p w14:paraId="0608B379" w14:textId="77777777" w:rsidR="00AB28F2" w:rsidRDefault="00AB28F2" w:rsidP="00AB28F2">
      <w:pPr>
        <w:jc w:val="both"/>
        <w:rPr>
          <w:rFonts w:ascii="Arial" w:hAnsi="Arial" w:cs="Arial"/>
          <w:bCs/>
        </w:rPr>
      </w:pPr>
    </w:p>
    <w:p w14:paraId="1917D068" w14:textId="77777777" w:rsidR="00AB28F2" w:rsidRDefault="00AB28F2" w:rsidP="00AB28F2">
      <w:pPr>
        <w:jc w:val="both"/>
        <w:rPr>
          <w:rFonts w:ascii="Arial" w:hAnsi="Arial" w:cs="Arial"/>
          <w:bCs/>
        </w:rPr>
      </w:pPr>
      <w:r w:rsidRPr="009153FA">
        <w:rPr>
          <w:rFonts w:ascii="Arial" w:hAnsi="Arial" w:cs="Arial"/>
          <w:noProof/>
        </w:rPr>
        <w:drawing>
          <wp:inline distT="0" distB="0" distL="0" distR="0" wp14:anchorId="354F9FC7" wp14:editId="2E9EEB5A">
            <wp:extent cx="2185060" cy="17470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5648" cy="1771539"/>
                    </a:xfrm>
                    <a:prstGeom prst="rect">
                      <a:avLst/>
                    </a:prstGeom>
                  </pic:spPr>
                </pic:pic>
              </a:graphicData>
            </a:graphic>
          </wp:inline>
        </w:drawing>
      </w:r>
    </w:p>
    <w:p w14:paraId="3C359F2A" w14:textId="73B750B6" w:rsidR="00AB28F2" w:rsidRPr="00AB28F2" w:rsidRDefault="00AB28F2" w:rsidP="00AB28F2">
      <w:pPr>
        <w:jc w:val="both"/>
        <w:rPr>
          <w:rFonts w:ascii="Arial" w:hAnsi="Arial" w:cs="Arial"/>
          <w:bCs/>
        </w:rPr>
      </w:pPr>
      <w:r w:rsidRPr="00AB28F2">
        <w:rPr>
          <w:rFonts w:ascii="Arial" w:hAnsi="Arial" w:cs="Arial"/>
          <w:bCs/>
        </w:rPr>
        <w:t xml:space="preserve">Fig. </w:t>
      </w:r>
      <w:r w:rsidR="006B1BFA">
        <w:rPr>
          <w:rFonts w:ascii="Arial" w:hAnsi="Arial" w:cs="Arial"/>
          <w:bCs/>
        </w:rPr>
        <w:t>7</w:t>
      </w:r>
      <w:r w:rsidRPr="00AB28F2">
        <w:rPr>
          <w:rFonts w:ascii="Arial" w:hAnsi="Arial" w:cs="Arial"/>
          <w:bCs/>
        </w:rPr>
        <w:t>b. Photomicrograph (H&amp;E X400) of the stomach for the negative control. Severe mucosal injury is characterized by vacuolation of the deep mucosa, loss of parietal cells, and distortion of normal architecture.</w:t>
      </w:r>
    </w:p>
    <w:p w14:paraId="454AC0E7" w14:textId="53C3FBC7" w:rsidR="00AB28F2" w:rsidRPr="00AB28F2" w:rsidRDefault="00AB28F2" w:rsidP="00AB28F2">
      <w:pPr>
        <w:jc w:val="both"/>
        <w:rPr>
          <w:rFonts w:ascii="Arial" w:hAnsi="Arial" w:cs="Arial"/>
          <w:bCs/>
        </w:rPr>
      </w:pPr>
      <w:r w:rsidRPr="009153FA">
        <w:rPr>
          <w:rFonts w:ascii="Arial" w:hAnsi="Arial" w:cs="Arial"/>
          <w:noProof/>
        </w:rPr>
        <w:drawing>
          <wp:inline distT="0" distB="0" distL="0" distR="0" wp14:anchorId="209EE15A" wp14:editId="0A380E4B">
            <wp:extent cx="2449902" cy="197144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960" cy="1994020"/>
                    </a:xfrm>
                    <a:prstGeom prst="rect">
                      <a:avLst/>
                    </a:prstGeom>
                  </pic:spPr>
                </pic:pic>
              </a:graphicData>
            </a:graphic>
          </wp:inline>
        </w:drawing>
      </w:r>
      <w:r w:rsidRPr="00AB28F2">
        <w:rPr>
          <w:rFonts w:ascii="Arial" w:hAnsi="Arial" w:cs="Arial"/>
          <w:bCs/>
        </w:rPr>
        <w:t xml:space="preserve"> </w:t>
      </w:r>
    </w:p>
    <w:p w14:paraId="5FD72E77" w14:textId="51D7B3A9" w:rsidR="00AB28F2" w:rsidRPr="00AB28F2" w:rsidRDefault="00AB28F2" w:rsidP="00AB28F2">
      <w:pPr>
        <w:jc w:val="both"/>
        <w:rPr>
          <w:rFonts w:ascii="Arial" w:hAnsi="Arial" w:cs="Arial"/>
          <w:bCs/>
        </w:rPr>
      </w:pPr>
      <w:r w:rsidRPr="00AB28F2">
        <w:rPr>
          <w:rFonts w:ascii="Arial" w:hAnsi="Arial" w:cs="Arial"/>
          <w:bCs/>
        </w:rPr>
        <w:t xml:space="preserve">Fig. </w:t>
      </w:r>
      <w:r w:rsidR="006B1BFA">
        <w:rPr>
          <w:rFonts w:ascii="Arial" w:hAnsi="Arial" w:cs="Arial"/>
          <w:bCs/>
        </w:rPr>
        <w:t>7</w:t>
      </w:r>
      <w:r w:rsidRPr="00AB28F2">
        <w:rPr>
          <w:rFonts w:ascii="Arial" w:hAnsi="Arial" w:cs="Arial"/>
          <w:bCs/>
        </w:rPr>
        <w:t>c. Photomicrograph (H&amp;E X400) of the stomach for the positive control. Mild vacuolation of the mucosa with reduced parietal cells, corresponding to mild atrophic gastritis.</w:t>
      </w:r>
    </w:p>
    <w:p w14:paraId="5D1E6F2F" w14:textId="77777777" w:rsidR="00AB28F2" w:rsidRDefault="00AB28F2" w:rsidP="00AB28F2">
      <w:pPr>
        <w:jc w:val="both"/>
        <w:rPr>
          <w:rFonts w:ascii="Arial" w:hAnsi="Arial" w:cs="Arial"/>
          <w:bCs/>
        </w:rPr>
      </w:pPr>
      <w:r w:rsidRPr="00AB28F2">
        <w:rPr>
          <w:rFonts w:ascii="Arial" w:hAnsi="Arial" w:cs="Arial"/>
          <w:bCs/>
        </w:rPr>
        <w:t xml:space="preserve"> </w:t>
      </w:r>
    </w:p>
    <w:p w14:paraId="69BC76BE" w14:textId="7826BDCC" w:rsidR="00AB28F2" w:rsidRPr="00AB28F2" w:rsidRDefault="00AB28F2" w:rsidP="00AB28F2">
      <w:pPr>
        <w:jc w:val="both"/>
        <w:rPr>
          <w:rFonts w:ascii="Arial" w:hAnsi="Arial" w:cs="Arial"/>
          <w:bCs/>
        </w:rPr>
      </w:pPr>
      <w:r w:rsidRPr="009153FA">
        <w:rPr>
          <w:rFonts w:ascii="Arial" w:hAnsi="Arial" w:cs="Arial"/>
          <w:noProof/>
        </w:rPr>
        <w:lastRenderedPageBreak/>
        <w:drawing>
          <wp:inline distT="0" distB="0" distL="0" distR="0" wp14:anchorId="014C2450" wp14:editId="6119C570">
            <wp:extent cx="2493034" cy="1993312"/>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1154" cy="2015796"/>
                    </a:xfrm>
                    <a:prstGeom prst="rect">
                      <a:avLst/>
                    </a:prstGeom>
                  </pic:spPr>
                </pic:pic>
              </a:graphicData>
            </a:graphic>
          </wp:inline>
        </w:drawing>
      </w:r>
    </w:p>
    <w:p w14:paraId="739C43C0" w14:textId="30641C23" w:rsidR="00AB28F2" w:rsidRPr="00AB28F2" w:rsidRDefault="00AB28F2" w:rsidP="00AB28F2">
      <w:pPr>
        <w:jc w:val="both"/>
        <w:rPr>
          <w:rFonts w:ascii="Arial" w:hAnsi="Arial" w:cs="Arial"/>
          <w:bCs/>
        </w:rPr>
      </w:pPr>
      <w:r w:rsidRPr="00AB28F2">
        <w:rPr>
          <w:rFonts w:ascii="Arial" w:hAnsi="Arial" w:cs="Arial"/>
          <w:bCs/>
        </w:rPr>
        <w:t xml:space="preserve">Fig. </w:t>
      </w:r>
      <w:r w:rsidR="006B1BFA">
        <w:rPr>
          <w:rFonts w:ascii="Arial" w:hAnsi="Arial" w:cs="Arial"/>
          <w:bCs/>
        </w:rPr>
        <w:t>7</w:t>
      </w:r>
      <w:r w:rsidRPr="00AB28F2">
        <w:rPr>
          <w:rFonts w:ascii="Arial" w:hAnsi="Arial" w:cs="Arial"/>
          <w:bCs/>
        </w:rPr>
        <w:t>d. Photomicrograph (H&amp;E X400) of the stomach for the PBY. Multifocal enlargement and disruption of mucosal glands and epithelial cells, suggesting partial distortion of the mucosal wall.</w:t>
      </w:r>
    </w:p>
    <w:p w14:paraId="4CE0093F" w14:textId="77777777" w:rsidR="00AB28F2" w:rsidRPr="00AB28F2" w:rsidRDefault="00AB28F2" w:rsidP="00AB28F2">
      <w:pPr>
        <w:jc w:val="both"/>
        <w:rPr>
          <w:rFonts w:ascii="Arial" w:hAnsi="Arial" w:cs="Arial"/>
          <w:bCs/>
        </w:rPr>
      </w:pPr>
    </w:p>
    <w:p w14:paraId="49CF9053" w14:textId="16A0BC6C" w:rsidR="00AB28F2" w:rsidRPr="00AB28F2" w:rsidRDefault="00AB28F2" w:rsidP="00AB28F2">
      <w:pPr>
        <w:jc w:val="both"/>
        <w:rPr>
          <w:rFonts w:ascii="Arial" w:hAnsi="Arial" w:cs="Arial"/>
          <w:bCs/>
        </w:rPr>
      </w:pPr>
      <w:r w:rsidRPr="009153FA">
        <w:rPr>
          <w:rFonts w:ascii="Arial" w:hAnsi="Arial" w:cs="Arial"/>
          <w:noProof/>
        </w:rPr>
        <w:drawing>
          <wp:inline distT="0" distB="0" distL="0" distR="0" wp14:anchorId="2F692E30" wp14:editId="711DAEB1">
            <wp:extent cx="2669837" cy="21387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9579" cy="2154581"/>
                    </a:xfrm>
                    <a:prstGeom prst="rect">
                      <a:avLst/>
                    </a:prstGeom>
                  </pic:spPr>
                </pic:pic>
              </a:graphicData>
            </a:graphic>
          </wp:inline>
        </w:drawing>
      </w:r>
      <w:r w:rsidRPr="00AB28F2">
        <w:rPr>
          <w:rFonts w:ascii="Arial" w:hAnsi="Arial" w:cs="Arial"/>
          <w:bCs/>
        </w:rPr>
        <w:t xml:space="preserve"> </w:t>
      </w:r>
    </w:p>
    <w:p w14:paraId="3AE0A335" w14:textId="66DC232F" w:rsidR="00AB28F2" w:rsidRPr="00AB28F2" w:rsidRDefault="00AB28F2" w:rsidP="00AB28F2">
      <w:pPr>
        <w:jc w:val="both"/>
        <w:rPr>
          <w:rFonts w:ascii="Arial" w:hAnsi="Arial" w:cs="Arial"/>
          <w:bCs/>
        </w:rPr>
      </w:pPr>
      <w:r w:rsidRPr="00AB28F2">
        <w:rPr>
          <w:rFonts w:ascii="Arial" w:hAnsi="Arial" w:cs="Arial"/>
          <w:bCs/>
        </w:rPr>
        <w:t xml:space="preserve">Fig. </w:t>
      </w:r>
      <w:r w:rsidR="006B1BFA">
        <w:rPr>
          <w:rFonts w:ascii="Arial" w:hAnsi="Arial" w:cs="Arial"/>
          <w:bCs/>
        </w:rPr>
        <w:t>7</w:t>
      </w:r>
      <w:r w:rsidRPr="00AB28F2">
        <w:rPr>
          <w:rFonts w:ascii="Arial" w:hAnsi="Arial" w:cs="Arial"/>
          <w:bCs/>
        </w:rPr>
        <w:t>e. Photomicrograph (H&amp;E X400) of the stomach for the DPBY. Mild distortion of the stomach mucosa.</w:t>
      </w:r>
    </w:p>
    <w:p w14:paraId="648D86D9" w14:textId="77777777" w:rsidR="00AB28F2" w:rsidRDefault="00AB28F2" w:rsidP="00AB28F2">
      <w:pPr>
        <w:jc w:val="both"/>
        <w:rPr>
          <w:rFonts w:ascii="Arial" w:hAnsi="Arial" w:cs="Arial"/>
          <w:bCs/>
        </w:rPr>
      </w:pPr>
    </w:p>
    <w:p w14:paraId="5FFE7139" w14:textId="77777777" w:rsidR="00AB28F2" w:rsidRDefault="00AB28F2" w:rsidP="00AB28F2">
      <w:pPr>
        <w:jc w:val="both"/>
        <w:rPr>
          <w:rFonts w:ascii="Arial" w:hAnsi="Arial" w:cs="Arial"/>
          <w:bCs/>
        </w:rPr>
      </w:pPr>
    </w:p>
    <w:p w14:paraId="25859E73" w14:textId="1AECC4B9" w:rsidR="00AB28F2" w:rsidRDefault="00AB28F2" w:rsidP="00AB28F2">
      <w:pPr>
        <w:jc w:val="both"/>
        <w:rPr>
          <w:rFonts w:ascii="Arial" w:hAnsi="Arial" w:cs="Arial"/>
          <w:bCs/>
        </w:rPr>
      </w:pPr>
      <w:r w:rsidRPr="009153FA">
        <w:rPr>
          <w:rFonts w:ascii="Arial" w:hAnsi="Arial" w:cs="Arial"/>
          <w:noProof/>
        </w:rPr>
        <w:drawing>
          <wp:anchor distT="0" distB="0" distL="114300" distR="114300" simplePos="0" relativeHeight="251661312" behindDoc="0" locked="0" layoutInCell="1" allowOverlap="1" wp14:anchorId="0843A7A8" wp14:editId="26837F38">
            <wp:simplePos x="0" y="0"/>
            <wp:positionH relativeFrom="column">
              <wp:posOffset>0</wp:posOffset>
            </wp:positionH>
            <wp:positionV relativeFrom="paragraph">
              <wp:posOffset>141605</wp:posOffset>
            </wp:positionV>
            <wp:extent cx="2666201" cy="2138767"/>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66201" cy="2138767"/>
                    </a:xfrm>
                    <a:prstGeom prst="rect">
                      <a:avLst/>
                    </a:prstGeom>
                  </pic:spPr>
                </pic:pic>
              </a:graphicData>
            </a:graphic>
          </wp:anchor>
        </w:drawing>
      </w:r>
    </w:p>
    <w:p w14:paraId="6466EBA1" w14:textId="77777777" w:rsidR="00AB28F2" w:rsidRDefault="00AB28F2" w:rsidP="00AB28F2">
      <w:pPr>
        <w:jc w:val="both"/>
        <w:rPr>
          <w:rFonts w:ascii="Arial" w:hAnsi="Arial" w:cs="Arial"/>
          <w:bCs/>
        </w:rPr>
      </w:pPr>
    </w:p>
    <w:p w14:paraId="1AA3F52C" w14:textId="77777777" w:rsidR="00AB28F2" w:rsidRDefault="00AB28F2" w:rsidP="00AB28F2">
      <w:pPr>
        <w:jc w:val="both"/>
        <w:rPr>
          <w:rFonts w:ascii="Arial" w:hAnsi="Arial" w:cs="Arial"/>
          <w:bCs/>
        </w:rPr>
      </w:pPr>
    </w:p>
    <w:p w14:paraId="11C206D1" w14:textId="77777777" w:rsidR="00AB28F2" w:rsidRDefault="00AB28F2" w:rsidP="00AB28F2">
      <w:pPr>
        <w:jc w:val="both"/>
        <w:rPr>
          <w:rFonts w:ascii="Arial" w:hAnsi="Arial" w:cs="Arial"/>
          <w:bCs/>
        </w:rPr>
      </w:pPr>
    </w:p>
    <w:p w14:paraId="584CFE83" w14:textId="77777777" w:rsidR="00AB28F2" w:rsidRDefault="00AB28F2" w:rsidP="00AB28F2">
      <w:pPr>
        <w:jc w:val="both"/>
        <w:rPr>
          <w:rFonts w:ascii="Arial" w:hAnsi="Arial" w:cs="Arial"/>
          <w:bCs/>
        </w:rPr>
      </w:pPr>
    </w:p>
    <w:p w14:paraId="77675C25" w14:textId="77777777" w:rsidR="00AB28F2" w:rsidRDefault="00AB28F2" w:rsidP="00AB28F2">
      <w:pPr>
        <w:jc w:val="both"/>
        <w:rPr>
          <w:rFonts w:ascii="Arial" w:hAnsi="Arial" w:cs="Arial"/>
          <w:bCs/>
        </w:rPr>
      </w:pPr>
    </w:p>
    <w:p w14:paraId="4857D302" w14:textId="77777777" w:rsidR="00AB28F2" w:rsidRPr="00AB28F2" w:rsidRDefault="00AB28F2" w:rsidP="00AB28F2">
      <w:pPr>
        <w:jc w:val="both"/>
        <w:rPr>
          <w:rFonts w:ascii="Arial" w:hAnsi="Arial" w:cs="Arial"/>
          <w:bCs/>
        </w:rPr>
      </w:pPr>
    </w:p>
    <w:p w14:paraId="26A38ADB" w14:textId="77777777" w:rsidR="00AB28F2" w:rsidRDefault="00AB28F2" w:rsidP="00AB28F2">
      <w:pPr>
        <w:jc w:val="both"/>
        <w:rPr>
          <w:rFonts w:ascii="Arial" w:hAnsi="Arial" w:cs="Arial"/>
          <w:bCs/>
        </w:rPr>
      </w:pPr>
    </w:p>
    <w:p w14:paraId="1B626D55" w14:textId="77777777" w:rsidR="00AB28F2" w:rsidRDefault="00AB28F2" w:rsidP="00AB28F2">
      <w:pPr>
        <w:jc w:val="both"/>
        <w:rPr>
          <w:rFonts w:ascii="Arial" w:hAnsi="Arial" w:cs="Arial"/>
          <w:bCs/>
        </w:rPr>
      </w:pPr>
    </w:p>
    <w:p w14:paraId="1DDC653E" w14:textId="77777777" w:rsidR="00AB28F2" w:rsidRDefault="00AB28F2" w:rsidP="00AB28F2">
      <w:pPr>
        <w:jc w:val="both"/>
        <w:rPr>
          <w:rFonts w:ascii="Arial" w:hAnsi="Arial" w:cs="Arial"/>
          <w:bCs/>
        </w:rPr>
      </w:pPr>
    </w:p>
    <w:p w14:paraId="1D04C1FE" w14:textId="77777777" w:rsidR="00AB28F2" w:rsidRDefault="00AB28F2" w:rsidP="00AB28F2">
      <w:pPr>
        <w:jc w:val="both"/>
        <w:rPr>
          <w:rFonts w:ascii="Arial" w:hAnsi="Arial" w:cs="Arial"/>
          <w:bCs/>
        </w:rPr>
      </w:pPr>
    </w:p>
    <w:p w14:paraId="791C9C99" w14:textId="77777777" w:rsidR="00AB28F2" w:rsidRDefault="00AB28F2" w:rsidP="00AB28F2">
      <w:pPr>
        <w:jc w:val="both"/>
        <w:rPr>
          <w:rFonts w:ascii="Arial" w:hAnsi="Arial" w:cs="Arial"/>
          <w:bCs/>
        </w:rPr>
      </w:pPr>
    </w:p>
    <w:p w14:paraId="09AA22DC" w14:textId="77777777" w:rsidR="00AB28F2" w:rsidRDefault="00AB28F2" w:rsidP="00AB28F2">
      <w:pPr>
        <w:jc w:val="both"/>
        <w:rPr>
          <w:rFonts w:ascii="Arial" w:hAnsi="Arial" w:cs="Arial"/>
          <w:bCs/>
        </w:rPr>
      </w:pPr>
    </w:p>
    <w:p w14:paraId="577724BC" w14:textId="77777777" w:rsidR="00AB28F2" w:rsidRDefault="00AB28F2" w:rsidP="00AB28F2">
      <w:pPr>
        <w:jc w:val="both"/>
        <w:rPr>
          <w:rFonts w:ascii="Arial" w:hAnsi="Arial" w:cs="Arial"/>
          <w:bCs/>
        </w:rPr>
      </w:pPr>
    </w:p>
    <w:p w14:paraId="79E45CEC" w14:textId="77777777" w:rsidR="00AB28F2" w:rsidRDefault="00AB28F2" w:rsidP="00AB28F2">
      <w:pPr>
        <w:jc w:val="both"/>
        <w:rPr>
          <w:rFonts w:ascii="Arial" w:hAnsi="Arial" w:cs="Arial"/>
          <w:bCs/>
        </w:rPr>
      </w:pPr>
    </w:p>
    <w:p w14:paraId="5525416C" w14:textId="77777777" w:rsidR="00AB28F2" w:rsidRDefault="00AB28F2" w:rsidP="00AB28F2">
      <w:pPr>
        <w:jc w:val="both"/>
        <w:rPr>
          <w:rFonts w:ascii="Arial" w:hAnsi="Arial" w:cs="Arial"/>
          <w:bCs/>
        </w:rPr>
      </w:pPr>
    </w:p>
    <w:p w14:paraId="5ABDFE61" w14:textId="4F70DDD2" w:rsidR="00AB28F2" w:rsidRDefault="00AB28F2" w:rsidP="00AB28F2">
      <w:pPr>
        <w:jc w:val="both"/>
        <w:rPr>
          <w:rFonts w:ascii="Arial" w:hAnsi="Arial" w:cs="Arial"/>
          <w:bCs/>
        </w:rPr>
      </w:pPr>
      <w:r w:rsidRPr="00AB28F2">
        <w:rPr>
          <w:rFonts w:ascii="Arial" w:hAnsi="Arial" w:cs="Arial"/>
          <w:bCs/>
        </w:rPr>
        <w:t xml:space="preserve">Fig. </w:t>
      </w:r>
      <w:r w:rsidR="006B1BFA">
        <w:rPr>
          <w:rFonts w:ascii="Arial" w:hAnsi="Arial" w:cs="Arial"/>
          <w:bCs/>
        </w:rPr>
        <w:t>7</w:t>
      </w:r>
      <w:r w:rsidRPr="00AB28F2">
        <w:rPr>
          <w:rFonts w:ascii="Arial" w:hAnsi="Arial" w:cs="Arial"/>
          <w:bCs/>
        </w:rPr>
        <w:t>f. Photomicrograph (H&amp;E X400) of the stomach for the DBY. Exhibited minimal mucosal inflammation, with chief and parietal cells largely preserved and intact muscularis mucosa and submucosa.</w:t>
      </w:r>
    </w:p>
    <w:p w14:paraId="5128D33A" w14:textId="77777777" w:rsidR="00AB28F2" w:rsidRPr="00AB28F2" w:rsidRDefault="00AB28F2" w:rsidP="00AB28F2">
      <w:pPr>
        <w:jc w:val="both"/>
        <w:rPr>
          <w:rFonts w:ascii="Arial" w:hAnsi="Arial" w:cs="Arial"/>
          <w:bCs/>
        </w:rPr>
      </w:pPr>
    </w:p>
    <w:p w14:paraId="3630363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29D7E2D" w14:textId="77777777" w:rsidR="00790ADA" w:rsidRPr="00FB3A86" w:rsidRDefault="00790ADA" w:rsidP="00441B6F">
      <w:pPr>
        <w:pStyle w:val="ConcHead"/>
        <w:spacing w:after="0"/>
        <w:jc w:val="both"/>
        <w:rPr>
          <w:rFonts w:ascii="Arial" w:hAnsi="Arial" w:cs="Arial"/>
        </w:rPr>
      </w:pPr>
    </w:p>
    <w:p w14:paraId="22476864" w14:textId="71294A7D" w:rsidR="00790ADA" w:rsidRDefault="00AB28F2" w:rsidP="00441B6F">
      <w:pPr>
        <w:pStyle w:val="Body"/>
        <w:spacing w:after="0"/>
        <w:rPr>
          <w:rFonts w:ascii="Arial" w:hAnsi="Arial" w:cs="Arial"/>
        </w:rPr>
      </w:pPr>
      <w:r w:rsidRPr="00AB28F2">
        <w:rPr>
          <w:rFonts w:ascii="Arial" w:hAnsi="Arial" w:cs="Arial"/>
        </w:rPr>
        <w:t>In conclusion, this study examined the effect of plant-based yoghurt prepared from a coconut-</w:t>
      </w:r>
      <w:proofErr w:type="spellStart"/>
      <w:r w:rsidRPr="00AB28F2">
        <w:rPr>
          <w:rFonts w:ascii="Arial" w:hAnsi="Arial" w:cs="Arial"/>
        </w:rPr>
        <w:t>tigernut</w:t>
      </w:r>
      <w:proofErr w:type="spellEnd"/>
      <w:r w:rsidRPr="00AB28F2">
        <w:rPr>
          <w:rFonts w:ascii="Arial" w:hAnsi="Arial" w:cs="Arial"/>
        </w:rPr>
        <w:t xml:space="preserve"> blend on indomethacin-induced gastric ulceration in Wistar rats, comparing these effects with those of dairy and dairy/plant-based yoghurt blends. This work demonstrated that plant-based yoghurt exhibits a gastroprotective effect and represents a promising dietary substitute to conventional anti-ulcer drugs.</w:t>
      </w:r>
    </w:p>
    <w:p w14:paraId="238F6D73" w14:textId="6B5FA4E9" w:rsidR="00AB28F2" w:rsidRDefault="00AB28F2" w:rsidP="00441B6F">
      <w:pPr>
        <w:pStyle w:val="Body"/>
        <w:spacing w:after="0"/>
        <w:rPr>
          <w:rFonts w:ascii="Arial" w:hAnsi="Arial" w:cs="Arial"/>
        </w:rPr>
      </w:pPr>
    </w:p>
    <w:p w14:paraId="0224EAB4" w14:textId="77777777" w:rsidR="00F14275" w:rsidRPr="00EE03BA" w:rsidRDefault="00F14275" w:rsidP="00441B6F">
      <w:pPr>
        <w:pStyle w:val="Body"/>
        <w:spacing w:after="0"/>
        <w:rPr>
          <w:rFonts w:ascii="Arial" w:hAnsi="Arial" w:cs="Arial"/>
          <w:b/>
        </w:rPr>
      </w:pPr>
      <w:r w:rsidRPr="00EE03BA">
        <w:rPr>
          <w:rFonts w:ascii="Arial" w:hAnsi="Arial" w:cs="Arial"/>
          <w:b/>
        </w:rPr>
        <w:lastRenderedPageBreak/>
        <w:t>Ethical Approval</w:t>
      </w:r>
    </w:p>
    <w:p w14:paraId="4F46745B" w14:textId="19EBB253" w:rsidR="005E3FAE" w:rsidRDefault="005E3FAE" w:rsidP="00441B6F">
      <w:pPr>
        <w:pStyle w:val="Body"/>
        <w:spacing w:after="0"/>
        <w:rPr>
          <w:rFonts w:ascii="Arial" w:hAnsi="Arial" w:cs="Arial"/>
        </w:rPr>
      </w:pPr>
      <w:r w:rsidRPr="005E3FAE">
        <w:rPr>
          <w:rFonts w:ascii="Arial" w:hAnsi="Arial" w:cs="Arial"/>
        </w:rPr>
        <w:t>All rats were handled ethically (Approval no. UPH/CEREMAD/REC/MM104/003) in the course of this research.</w:t>
      </w:r>
    </w:p>
    <w:p w14:paraId="4E4AEE05" w14:textId="77777777" w:rsidR="005E3FAE" w:rsidRPr="00FB3A86" w:rsidRDefault="005E3FAE" w:rsidP="00441B6F">
      <w:pPr>
        <w:pStyle w:val="Body"/>
        <w:spacing w:after="0"/>
        <w:rPr>
          <w:rFonts w:ascii="Arial" w:hAnsi="Arial" w:cs="Arial"/>
        </w:rPr>
      </w:pPr>
      <w:bookmarkStart w:id="0" w:name="_GoBack"/>
      <w:bookmarkEnd w:id="0"/>
    </w:p>
    <w:p w14:paraId="6B3EAB1E" w14:textId="77777777" w:rsidR="005B2638" w:rsidRPr="005B2638" w:rsidRDefault="005B2638" w:rsidP="005B2638">
      <w:pPr>
        <w:keepNext/>
        <w:keepLines/>
        <w:spacing w:before="120" w:after="120" w:line="360" w:lineRule="auto"/>
        <w:jc w:val="both"/>
        <w:outlineLvl w:val="1"/>
        <w:rPr>
          <w:rFonts w:ascii="Times New Roman" w:hAnsi="Times New Roman"/>
          <w:bCs/>
          <w:sz w:val="24"/>
          <w:szCs w:val="24"/>
          <w:highlight w:val="yellow"/>
          <w:lang w:val="en-GB" w:eastAsia="en-IN"/>
        </w:rPr>
      </w:pPr>
      <w:bookmarkStart w:id="1" w:name="_Hlk218867759"/>
      <w:bookmarkStart w:id="2" w:name="_Hlk219125673"/>
      <w:r w:rsidRPr="005B2638">
        <w:rPr>
          <w:rFonts w:ascii="Times New Roman" w:hAnsi="Times New Roman"/>
          <w:bCs/>
          <w:sz w:val="24"/>
          <w:szCs w:val="24"/>
          <w:highlight w:val="yellow"/>
          <w:lang w:val="en-GB" w:eastAsia="en-IN"/>
        </w:rPr>
        <w:t>Disclaimer (Artificial intelligence)</w:t>
      </w:r>
    </w:p>
    <w:p w14:paraId="31A32203" w14:textId="31D7646D" w:rsidR="00315186" w:rsidRPr="00260000" w:rsidRDefault="005B2638" w:rsidP="00260000">
      <w:pPr>
        <w:keepNext/>
        <w:keepLines/>
        <w:spacing w:before="120" w:after="120" w:line="360" w:lineRule="auto"/>
        <w:jc w:val="both"/>
        <w:outlineLvl w:val="1"/>
        <w:rPr>
          <w:rFonts w:ascii="Times New Roman" w:hAnsi="Times New Roman"/>
          <w:bCs/>
          <w:sz w:val="24"/>
          <w:szCs w:val="24"/>
          <w:lang w:val="en-GB" w:eastAsia="en-IN"/>
        </w:rPr>
      </w:pPr>
      <w:r w:rsidRPr="005B2638">
        <w:rPr>
          <w:rFonts w:ascii="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5B2638">
        <w:rPr>
          <w:rFonts w:ascii="Times New Roman" w:hAnsi="Times New Roman"/>
          <w:bCs/>
          <w:sz w:val="24"/>
          <w:szCs w:val="24"/>
          <w:lang w:val="en-GB" w:eastAsia="en-IN"/>
        </w:rPr>
        <w:t xml:space="preserve"> </w:t>
      </w:r>
      <w:bookmarkEnd w:id="1"/>
      <w:bookmarkEnd w:id="2"/>
    </w:p>
    <w:p w14:paraId="5A5C9CE3" w14:textId="77777777" w:rsidR="00315186" w:rsidRPr="00315186" w:rsidRDefault="00315186" w:rsidP="00441B6F"/>
    <w:p w14:paraId="2DFB9B77" w14:textId="77777777" w:rsidR="00315186" w:rsidRPr="00315186" w:rsidRDefault="00315186" w:rsidP="00441B6F"/>
    <w:p w14:paraId="480B9039" w14:textId="463D1A1D" w:rsidR="00B4249D" w:rsidRDefault="00B4249D" w:rsidP="00441B6F">
      <w:pPr>
        <w:pStyle w:val="ReferHead"/>
        <w:spacing w:after="0"/>
        <w:jc w:val="both"/>
        <w:rPr>
          <w:rFonts w:ascii="Arial" w:hAnsi="Arial" w:cs="Arial"/>
          <w:bCs/>
        </w:rPr>
      </w:pPr>
    </w:p>
    <w:p w14:paraId="311FA1E7" w14:textId="77777777" w:rsidR="00313C1C" w:rsidRDefault="00313C1C" w:rsidP="00441B6F">
      <w:pPr>
        <w:pStyle w:val="ReferHead"/>
        <w:spacing w:after="0"/>
        <w:jc w:val="both"/>
        <w:rPr>
          <w:rFonts w:ascii="Arial" w:hAnsi="Arial" w:cs="Arial"/>
          <w:bCs/>
        </w:rPr>
      </w:pPr>
    </w:p>
    <w:p w14:paraId="64E9AB40" w14:textId="77566271" w:rsidR="00B01FCD" w:rsidRDefault="00B01FCD" w:rsidP="00441B6F">
      <w:pPr>
        <w:pStyle w:val="ReferHead"/>
        <w:spacing w:after="0"/>
        <w:jc w:val="both"/>
        <w:rPr>
          <w:rFonts w:ascii="Arial" w:hAnsi="Arial" w:cs="Arial"/>
        </w:rPr>
      </w:pPr>
      <w:r w:rsidRPr="00FB3A86">
        <w:rPr>
          <w:rFonts w:ascii="Arial" w:hAnsi="Arial" w:cs="Arial"/>
        </w:rPr>
        <w:t>References</w:t>
      </w:r>
    </w:p>
    <w:p w14:paraId="735B94E2" w14:textId="77777777" w:rsidR="00790ADA" w:rsidRPr="00FB3A86" w:rsidRDefault="00790ADA" w:rsidP="00441B6F">
      <w:pPr>
        <w:pStyle w:val="ReferHead"/>
        <w:spacing w:after="0"/>
        <w:jc w:val="both"/>
        <w:rPr>
          <w:rFonts w:ascii="Arial" w:hAnsi="Arial" w:cs="Arial"/>
        </w:rPr>
      </w:pPr>
    </w:p>
    <w:p w14:paraId="6069902A" w14:textId="77777777" w:rsidR="00B4249D" w:rsidRDefault="00B4249D" w:rsidP="00B4249D">
      <w:pPr>
        <w:pStyle w:val="Body"/>
      </w:pPr>
      <w:r>
        <w:t xml:space="preserve">Ahmed, O., Nedi, T., &amp; Yimer, E. M. (2022). Evaluation of anti-gastric ulcer activity of aqueous and 80% methanol leaf extracts of </w:t>
      </w:r>
      <w:proofErr w:type="spellStart"/>
      <w:r>
        <w:t>Urtica</w:t>
      </w:r>
      <w:proofErr w:type="spellEnd"/>
      <w:r>
        <w:t xml:space="preserve"> </w:t>
      </w:r>
      <w:proofErr w:type="spellStart"/>
      <w:r>
        <w:t>simensis</w:t>
      </w:r>
      <w:proofErr w:type="spellEnd"/>
      <w:r>
        <w:t xml:space="preserve"> in rats. Metabolism Open, 14, 100172. https://doi.org/10.1016/j.metop.2022.100172</w:t>
      </w:r>
    </w:p>
    <w:p w14:paraId="4CCC9803" w14:textId="77777777" w:rsidR="00B4249D" w:rsidRDefault="00B4249D" w:rsidP="00B4249D">
      <w:pPr>
        <w:pStyle w:val="Body"/>
      </w:pPr>
      <w:r>
        <w:t xml:space="preserve">Ajayi, O. V., </w:t>
      </w:r>
      <w:proofErr w:type="spellStart"/>
      <w:r>
        <w:t>Omolaso</w:t>
      </w:r>
      <w:proofErr w:type="spellEnd"/>
      <w:r>
        <w:t xml:space="preserve">, B. O., </w:t>
      </w:r>
      <w:proofErr w:type="spellStart"/>
      <w:r>
        <w:t>Omayone</w:t>
      </w:r>
      <w:proofErr w:type="spellEnd"/>
      <w:r>
        <w:t xml:space="preserve">, T. P., Adeniran, A. G., Adu, A. O., &amp; Olorunfemi, O. E. (2024). Anti-inflammatory and anti-oxidative effect of </w:t>
      </w:r>
      <w:proofErr w:type="spellStart"/>
      <w:r>
        <w:t>pasterurised</w:t>
      </w:r>
      <w:proofErr w:type="spellEnd"/>
      <w:r>
        <w:t xml:space="preserve"> yoghurt in indomethacin-induced gastric ulceration in male Wistar rats. </w:t>
      </w:r>
      <w:proofErr w:type="spellStart"/>
      <w:r>
        <w:t>Heliyon</w:t>
      </w:r>
      <w:proofErr w:type="spellEnd"/>
      <w:r>
        <w:t>, 10(24), e40770. https://doi.org/10.1016/j.heliyon.2024.e40770</w:t>
      </w:r>
    </w:p>
    <w:p w14:paraId="5FF0957D" w14:textId="77777777" w:rsidR="00B4249D" w:rsidRDefault="00B4249D" w:rsidP="00B4249D">
      <w:pPr>
        <w:pStyle w:val="Body"/>
      </w:pPr>
      <w:proofErr w:type="spellStart"/>
      <w:r>
        <w:t>Ajeigbe</w:t>
      </w:r>
      <w:proofErr w:type="spellEnd"/>
      <w:r>
        <w:t xml:space="preserve">, K. O., </w:t>
      </w:r>
      <w:proofErr w:type="spellStart"/>
      <w:r>
        <w:t>Owonikoko</w:t>
      </w:r>
      <w:proofErr w:type="spellEnd"/>
      <w:r>
        <w:t xml:space="preserve">, W. M., Egbe, V., </w:t>
      </w:r>
      <w:proofErr w:type="spellStart"/>
      <w:r>
        <w:t>Iquere</w:t>
      </w:r>
      <w:proofErr w:type="spellEnd"/>
      <w:r>
        <w:t>, I., &amp; Adeleye, G. (2017). Gastroprotective and mucosa homeostatic activities of coconut milk and water on experimentally induced gastropathies in male Wistar rats. Tissue &amp; cell, 49(5), 528–536. https://doi.org/10.1016/j.tice.2017.06.004</w:t>
      </w:r>
    </w:p>
    <w:p w14:paraId="2BA3B38E" w14:textId="77777777" w:rsidR="00B4249D" w:rsidRDefault="00B4249D" w:rsidP="00B4249D">
      <w:pPr>
        <w:pStyle w:val="Body"/>
      </w:pPr>
      <w:r>
        <w:t>Armstrong D. (2004). Review article: gastric pH -- the most relevant predictor of benefit in reflux disease?. Alimentary pharmacology &amp; therapeutics, 20 Suppl 5, 19–39. https://doi.org/10.1111/j.1365-2036.2004.02140.x</w:t>
      </w:r>
    </w:p>
    <w:p w14:paraId="422C0B94" w14:textId="77777777" w:rsidR="00B4249D" w:rsidRDefault="00B4249D" w:rsidP="00B4249D">
      <w:pPr>
        <w:pStyle w:val="Body"/>
      </w:pPr>
      <w:r>
        <w:t xml:space="preserve">Atiq, A., Hashim, M. M. A., Khan, F. W., Bashir, A., Zafar, A., Jamil, A., &amp; Chughtai, A. S. (2023). Morphological Spectrum of Gastritis in Endoscopic Biopsies and Its Association </w:t>
      </w:r>
      <w:proofErr w:type="gramStart"/>
      <w:r>
        <w:t>With</w:t>
      </w:r>
      <w:proofErr w:type="gramEnd"/>
      <w:r>
        <w:t xml:space="preserve"> Helicobacter pylori Infection. Cureus, 15(8), e43084. https://doi.org/10.7759/cureus.43084</w:t>
      </w:r>
    </w:p>
    <w:p w14:paraId="2EC50110" w14:textId="77777777" w:rsidR="00B4249D" w:rsidRDefault="00B4249D" w:rsidP="00B4249D">
      <w:pPr>
        <w:pStyle w:val="Body"/>
      </w:pPr>
      <w:r>
        <w:t>Bhattacharya, S., Chaudhuri, S. R., Chattopadhyay, S., &amp; Bandyopadhyay, S. K. (2007). Healing Properties of Some Indian Medicinal Plants against Indomethacin-Induced Gastric Ulceration of Rats. Journal of clinical biochemistry and nutrition, 41(2), 106–114. https://doi.org/10.3164/jcbn.2007015</w:t>
      </w:r>
    </w:p>
    <w:p w14:paraId="56C6838D" w14:textId="77777777" w:rsidR="00B4249D" w:rsidRDefault="00B4249D" w:rsidP="00B4249D">
      <w:pPr>
        <w:pStyle w:val="Body"/>
      </w:pPr>
      <w:proofErr w:type="spellStart"/>
      <w:r>
        <w:t>Cherrada</w:t>
      </w:r>
      <w:proofErr w:type="spellEnd"/>
      <w:r>
        <w:t xml:space="preserve">, N., </w:t>
      </w:r>
      <w:proofErr w:type="spellStart"/>
      <w:r>
        <w:t>Chemsa</w:t>
      </w:r>
      <w:proofErr w:type="spellEnd"/>
      <w:r>
        <w:t xml:space="preserve">, A. E., </w:t>
      </w:r>
      <w:proofErr w:type="spellStart"/>
      <w:r>
        <w:t>Gheraissa</w:t>
      </w:r>
      <w:proofErr w:type="spellEnd"/>
      <w:r>
        <w:t xml:space="preserve">, N., Laib, I., </w:t>
      </w:r>
      <w:proofErr w:type="spellStart"/>
      <w:r>
        <w:t>Gueboudji</w:t>
      </w:r>
      <w:proofErr w:type="spellEnd"/>
      <w:r>
        <w:t>, Z., El-</w:t>
      </w:r>
      <w:proofErr w:type="spellStart"/>
      <w:r>
        <w:t>Shazly</w:t>
      </w:r>
      <w:proofErr w:type="spellEnd"/>
      <w:r>
        <w:t xml:space="preserve">, M., </w:t>
      </w:r>
      <w:proofErr w:type="spellStart"/>
      <w:r>
        <w:t>Zaater</w:t>
      </w:r>
      <w:proofErr w:type="spellEnd"/>
      <w:r>
        <w:t xml:space="preserve">, A., Abid, A., </w:t>
      </w:r>
      <w:proofErr w:type="spellStart"/>
      <w:r>
        <w:t>Sweilam</w:t>
      </w:r>
      <w:proofErr w:type="spellEnd"/>
      <w:r>
        <w:t xml:space="preserve">, S. H., Emran, T. B., Nani, S., Benamor, B., </w:t>
      </w:r>
      <w:proofErr w:type="spellStart"/>
      <w:r>
        <w:t>Ghemam</w:t>
      </w:r>
      <w:proofErr w:type="spellEnd"/>
      <w:r>
        <w:t xml:space="preserve"> Amara, D., </w:t>
      </w:r>
      <w:proofErr w:type="spellStart"/>
      <w:r>
        <w:t>Atoki</w:t>
      </w:r>
      <w:proofErr w:type="spellEnd"/>
      <w:r>
        <w:t>, A. V., &amp; Messaoudi, M. (2024). Gastroprotective Efficacy of North African Medicinal Plants: A Review on Their Therapeutic Potential for Peptic Ulcers. Food science &amp; nutrition, 12(11), 8793–8824. https://doi.org/10.1002/fsn3.4536</w:t>
      </w:r>
    </w:p>
    <w:p w14:paraId="18B18FAB" w14:textId="77777777" w:rsidR="00B4249D" w:rsidRDefault="00B4249D" w:rsidP="00B4249D">
      <w:pPr>
        <w:pStyle w:val="Body"/>
      </w:pPr>
      <w:proofErr w:type="spellStart"/>
      <w:r>
        <w:t>Danisman</w:t>
      </w:r>
      <w:proofErr w:type="spellEnd"/>
      <w:r>
        <w:t xml:space="preserve">, B., Cicek, B., Yildirim, S., Bolat, I., Kantar, D., </w:t>
      </w:r>
      <w:proofErr w:type="spellStart"/>
      <w:r>
        <w:t>Golokhvast</w:t>
      </w:r>
      <w:proofErr w:type="spellEnd"/>
      <w:r>
        <w:t xml:space="preserve">, K. S., </w:t>
      </w:r>
      <w:proofErr w:type="spellStart"/>
      <w:r>
        <w:t>Nikitovic</w:t>
      </w:r>
      <w:proofErr w:type="spellEnd"/>
      <w:r>
        <w:t xml:space="preserve">, D., </w:t>
      </w:r>
      <w:proofErr w:type="spellStart"/>
      <w:r>
        <w:t>Tsatsakis</w:t>
      </w:r>
      <w:proofErr w:type="spellEnd"/>
      <w:r>
        <w:t xml:space="preserve">, A., &amp; </w:t>
      </w:r>
      <w:proofErr w:type="spellStart"/>
      <w:r>
        <w:t>Taghizadehghalehjoughi</w:t>
      </w:r>
      <w:proofErr w:type="spellEnd"/>
      <w:r>
        <w:t xml:space="preserve">, A. (2023). </w:t>
      </w:r>
      <w:proofErr w:type="spellStart"/>
      <w:r>
        <w:t>Carnosic</w:t>
      </w:r>
      <w:proofErr w:type="spellEnd"/>
      <w:r>
        <w:t xml:space="preserve"> Acid Ameliorates Indomethacin-Induced Gastric Ulceration in Rats by Alleviating Oxidative Stress and Inflammation. Biomedicines, 11(3), 829. https://doi.org/10.3390/biomedicines11030829</w:t>
      </w:r>
    </w:p>
    <w:p w14:paraId="6EE1459F" w14:textId="77777777" w:rsidR="00B4249D" w:rsidRDefault="00B4249D" w:rsidP="00B4249D">
      <w:pPr>
        <w:pStyle w:val="Body"/>
      </w:pPr>
      <w:r>
        <w:t>Drini M. (2017). Peptic ulcer disease and non-steroidal anti-inflammatory drugs. Australian prescriber, 40(3), 91–93. https://doi.org/10.18773/austprescr.2017.037</w:t>
      </w:r>
    </w:p>
    <w:p w14:paraId="5338CEEF" w14:textId="77777777" w:rsidR="00B4249D" w:rsidRDefault="00B4249D" w:rsidP="00B4249D">
      <w:pPr>
        <w:pStyle w:val="Body"/>
      </w:pPr>
      <w:r>
        <w:t xml:space="preserve">Fernandez, N., Wrzosek, L., Radziwill-Bienkowska, J. M., </w:t>
      </w:r>
      <w:proofErr w:type="spellStart"/>
      <w:r>
        <w:t>Ringot-Destrez</w:t>
      </w:r>
      <w:proofErr w:type="spellEnd"/>
      <w:r>
        <w:t xml:space="preserve">, B., </w:t>
      </w:r>
      <w:proofErr w:type="spellStart"/>
      <w:r>
        <w:t>Duviau</w:t>
      </w:r>
      <w:proofErr w:type="spellEnd"/>
      <w:r>
        <w:t xml:space="preserve">, M. P., </w:t>
      </w:r>
      <w:proofErr w:type="spellStart"/>
      <w:r>
        <w:t>Noordine</w:t>
      </w:r>
      <w:proofErr w:type="spellEnd"/>
      <w:r>
        <w:t xml:space="preserve">, M. L., </w:t>
      </w:r>
      <w:proofErr w:type="spellStart"/>
      <w:r>
        <w:t>Laroute</w:t>
      </w:r>
      <w:proofErr w:type="spellEnd"/>
      <w:r>
        <w:t xml:space="preserve">, V., Robert, V., Cherbuy, C., Daveran-Mingot, M. L., </w:t>
      </w:r>
      <w:proofErr w:type="spellStart"/>
      <w:r>
        <w:t>Cocaign</w:t>
      </w:r>
      <w:proofErr w:type="spellEnd"/>
      <w:r>
        <w:t>-Bousquet, M., Léonard, R., Robbe-Masselot, C., Rul, F., Ogier-Denis, E., Thomas, M., &amp; Mercier-Bonin, M. (2018). Characterization of Mucus-Related Properties of Streptococcus thermophilus: From Adhesion to Induction. Frontiers in physiology, 9, 980. https://doi.org/10.3389/fphys.2018.00980</w:t>
      </w:r>
    </w:p>
    <w:p w14:paraId="45678F80" w14:textId="77777777" w:rsidR="00B4249D" w:rsidRDefault="00B4249D" w:rsidP="00B4249D">
      <w:pPr>
        <w:pStyle w:val="Body"/>
      </w:pPr>
      <w:r>
        <w:t xml:space="preserve">Gohari, S. T., Mahmoud, M. H., &amp; Mahdy, S. M. (2021). Antioxidant and Anti-ulcer Activities of Fermented Soybean (Natto) and Moringa oleifera Leaves in Male Albino Rats. Egyptian Journal of Nutrition, 36(3), 129-189. </w:t>
      </w:r>
      <w:proofErr w:type="spellStart"/>
      <w:r>
        <w:t>doi</w:t>
      </w:r>
      <w:proofErr w:type="spellEnd"/>
      <w:r>
        <w:t>: 10.21608/</w:t>
      </w:r>
      <w:proofErr w:type="spellStart"/>
      <w:r>
        <w:t>enj</w:t>
      </w:r>
      <w:proofErr w:type="spellEnd"/>
      <w:r>
        <w:t xml:space="preserve"> 2021.209923</w:t>
      </w:r>
    </w:p>
    <w:p w14:paraId="30F8F1D3" w14:textId="77777777" w:rsidR="00B4249D" w:rsidRDefault="00B4249D" w:rsidP="00B4249D">
      <w:pPr>
        <w:pStyle w:val="Body"/>
      </w:pPr>
      <w:r>
        <w:lastRenderedPageBreak/>
        <w:t xml:space="preserve">Indira, M., </w:t>
      </w:r>
      <w:proofErr w:type="spellStart"/>
      <w:r>
        <w:t>Venkateswarulu</w:t>
      </w:r>
      <w:proofErr w:type="spellEnd"/>
      <w:r>
        <w:t xml:space="preserve">, T. C., Abraham Peele, K., Nazneen Bobby, M., &amp; </w:t>
      </w:r>
      <w:proofErr w:type="spellStart"/>
      <w:r>
        <w:t>Krupanidhi</w:t>
      </w:r>
      <w:proofErr w:type="spellEnd"/>
      <w:r>
        <w:t>, S. (2019). Bioactive molecules of probiotic bacteria and their mechanism of action: a review. 3 Biotech, 9(8), 306. https://doi.org/10.1007/s13205-019-1841-2</w:t>
      </w:r>
    </w:p>
    <w:p w14:paraId="5961FAB3" w14:textId="77777777" w:rsidR="00B4249D" w:rsidRDefault="00B4249D" w:rsidP="00B4249D">
      <w:pPr>
        <w:pStyle w:val="Body"/>
      </w:pPr>
      <w:r>
        <w:t>Kim S. H. (2025). Peptic Ulcer Disease. The Korean journal of helicobacter and upper gastrointestinal research, 25(1), 13–16. https://doi.org/10.7704/kjhugr.2024.0075</w:t>
      </w:r>
    </w:p>
    <w:p w14:paraId="1EDB9712" w14:textId="77777777" w:rsidR="00B4249D" w:rsidRDefault="00B4249D" w:rsidP="00B4249D">
      <w:pPr>
        <w:pStyle w:val="Body"/>
      </w:pPr>
      <w:r>
        <w:t>Kumar, V., Abbas, A. K., &amp; Aster, J. C. (2018). Robbins Basic Pathology (10th ed.). Philadelphia, Pennsylvania, Elsevier.</w:t>
      </w:r>
    </w:p>
    <w:p w14:paraId="693F528C" w14:textId="77777777" w:rsidR="00B4249D" w:rsidRDefault="00B4249D" w:rsidP="00B4249D">
      <w:pPr>
        <w:pStyle w:val="Body"/>
      </w:pPr>
      <w:r>
        <w:t xml:space="preserve">Latif, A., Shehzad, A., Niazi, S., Zahid, A., Ashraf, W., Iqbal, M. W., Rehman, A., Riaz, T., Aadil, R. M., Khan, I. M., Özogul, F., Rocha, J. M., </w:t>
      </w:r>
      <w:proofErr w:type="spellStart"/>
      <w:r>
        <w:t>Esatbeyoglu</w:t>
      </w:r>
      <w:proofErr w:type="spellEnd"/>
      <w:r>
        <w:t>, T., &amp; Korma, S. A. (2023). Probiotics: mechanism of action, health benefits and their application in food industries. Frontiers in microbiology, 14, 1216674. https://doi.org/10.3389/fmicb.2023.1216674</w:t>
      </w:r>
    </w:p>
    <w:p w14:paraId="3D4EA9DD" w14:textId="77777777" w:rsidR="00B4249D" w:rsidRDefault="00B4249D" w:rsidP="00B4249D">
      <w:pPr>
        <w:pStyle w:val="Body"/>
      </w:pPr>
      <w:r>
        <w:t>Lu, P. J., Hsu, P. I., Chen, C. H., Hsiao, M., Chang, W. C., Tseng, H. H., Lin, K. H., Chuah, S. K., &amp; Chen, H. C. (2010). Gastric juice acidity in upper gastrointestinal diseases. World journal of gastroenterology, 16(43), 5496–5501. https://doi.org/10.3748/wjg.v16.i43.5496</w:t>
      </w:r>
    </w:p>
    <w:p w14:paraId="0DD7576F" w14:textId="77777777" w:rsidR="00B4249D" w:rsidRDefault="00B4249D" w:rsidP="00B4249D">
      <w:pPr>
        <w:pStyle w:val="Body"/>
      </w:pPr>
      <w:r>
        <w:t xml:space="preserve">Malik, T. F., Singh, K., &amp; </w:t>
      </w:r>
      <w:proofErr w:type="spellStart"/>
      <w:r>
        <w:t>Gnanapandithan</w:t>
      </w:r>
      <w:proofErr w:type="spellEnd"/>
      <w:r>
        <w:t xml:space="preserve">, K. (2023). Peptic Ulcer Disease. National Library of Medicine; </w:t>
      </w:r>
      <w:proofErr w:type="spellStart"/>
      <w:r>
        <w:t>StatPearls</w:t>
      </w:r>
      <w:proofErr w:type="spellEnd"/>
      <w:r>
        <w:t xml:space="preserve"> Publishing. https://www.ncbi.nlm.nih.gov/books/NBK534792/</w:t>
      </w:r>
    </w:p>
    <w:p w14:paraId="1941F021" w14:textId="77777777" w:rsidR="00B4249D" w:rsidRDefault="00B4249D" w:rsidP="00B4249D">
      <w:pPr>
        <w:pStyle w:val="Body"/>
      </w:pPr>
      <w:r>
        <w:t xml:space="preserve">Munjal, A., &amp; Allam, A. E. (2020). Indomethacin. PubMed; </w:t>
      </w:r>
      <w:proofErr w:type="spellStart"/>
      <w:r>
        <w:t>StatPearls</w:t>
      </w:r>
      <w:proofErr w:type="spellEnd"/>
      <w:r>
        <w:t xml:space="preserve"> Publishing. https://www.ncbi.nlm.nih.gov/books/NBK555936</w:t>
      </w:r>
    </w:p>
    <w:p w14:paraId="11A5DB50" w14:textId="77777777" w:rsidR="00B4249D" w:rsidRDefault="00B4249D" w:rsidP="00B4249D">
      <w:pPr>
        <w:pStyle w:val="Body"/>
      </w:pPr>
      <w:r>
        <w:t>Nielsen, S. D., Purup, S., &amp; Larsen, L. B. (2019). Effect of Casein Hydrolysates on Intestinal Cell Migration and Their Peptide Profiles by LC-ESI/MS/MS. Foods (Basel, Switzerland), 8(3), 91. https://doi.org/10.3390/foods8030091</w:t>
      </w:r>
    </w:p>
    <w:p w14:paraId="22DB3DD1" w14:textId="77777777" w:rsidR="00B4249D" w:rsidRDefault="00B4249D" w:rsidP="00B4249D">
      <w:pPr>
        <w:pStyle w:val="Body"/>
      </w:pPr>
      <w:r>
        <w:t xml:space="preserve">Ogundipe, O. O., </w:t>
      </w:r>
      <w:proofErr w:type="spellStart"/>
      <w:r>
        <w:t>Fasogbon</w:t>
      </w:r>
      <w:proofErr w:type="spellEnd"/>
      <w:r>
        <w:t xml:space="preserve">, B. M., Ogundipe, F. O., </w:t>
      </w:r>
      <w:proofErr w:type="spellStart"/>
      <w:r>
        <w:t>Oredope</w:t>
      </w:r>
      <w:proofErr w:type="spellEnd"/>
      <w:r>
        <w:t xml:space="preserve">, O., &amp; </w:t>
      </w:r>
      <w:proofErr w:type="spellStart"/>
      <w:r>
        <w:t>Amaezenanbu</w:t>
      </w:r>
      <w:proofErr w:type="spellEnd"/>
      <w:r>
        <w:t>, R. U. (2021). Nutritional composition of non</w:t>
      </w:r>
      <w:r>
        <w:rPr>
          <w:rFonts w:ascii="Cambria Math" w:hAnsi="Cambria Math" w:cs="Cambria Math"/>
        </w:rPr>
        <w:t>‐</w:t>
      </w:r>
      <w:r>
        <w:t xml:space="preserve">dairy yoghurt from sprouted </w:t>
      </w:r>
      <w:proofErr w:type="spellStart"/>
      <w:r>
        <w:t>tigernut</w:t>
      </w:r>
      <w:proofErr w:type="spellEnd"/>
      <w:r>
        <w:t xml:space="preserve"> tubers. Journal of Food Processing and Preservation, 45(11). https://doi.org/10.1111/jfpp.15884</w:t>
      </w:r>
    </w:p>
    <w:p w14:paraId="4FDF45C7" w14:textId="77777777" w:rsidR="00B4249D" w:rsidRDefault="00B4249D" w:rsidP="00B4249D">
      <w:pPr>
        <w:pStyle w:val="Body"/>
      </w:pPr>
      <w:r>
        <w:t xml:space="preserve">Sabiu, S., Garuba, T., Sunmonu, T., Ajani, E., </w:t>
      </w:r>
      <w:proofErr w:type="spellStart"/>
      <w:r>
        <w:t>Sulyman</w:t>
      </w:r>
      <w:proofErr w:type="spellEnd"/>
      <w:r>
        <w:t xml:space="preserve">, A., </w:t>
      </w:r>
      <w:proofErr w:type="spellStart"/>
      <w:r>
        <w:t>Nurain</w:t>
      </w:r>
      <w:proofErr w:type="spellEnd"/>
      <w:r>
        <w:t xml:space="preserve">, I., &amp; Balogun, A. (2015). Indomethacin-induced gastric ulceration in rats: Protective roles of </w:t>
      </w:r>
      <w:proofErr w:type="spellStart"/>
      <w:r>
        <w:t>Spondias</w:t>
      </w:r>
      <w:proofErr w:type="spellEnd"/>
      <w:r>
        <w:t xml:space="preserve"> </w:t>
      </w:r>
      <w:proofErr w:type="spellStart"/>
      <w:r>
        <w:t>mombin</w:t>
      </w:r>
      <w:proofErr w:type="spellEnd"/>
      <w:r>
        <w:t xml:space="preserve"> and </w:t>
      </w:r>
      <w:proofErr w:type="spellStart"/>
      <w:r>
        <w:t>Ficus</w:t>
      </w:r>
      <w:proofErr w:type="spellEnd"/>
      <w:r>
        <w:t xml:space="preserve"> </w:t>
      </w:r>
      <w:proofErr w:type="spellStart"/>
      <w:r>
        <w:t>exasperata</w:t>
      </w:r>
      <w:proofErr w:type="spellEnd"/>
      <w:r>
        <w:t>. Toxicology Reports, 2, 261–267. https://doi.org/10.1016/j.toxrep.2015.01.002</w:t>
      </w:r>
    </w:p>
    <w:p w14:paraId="4384CEBE" w14:textId="77777777" w:rsidR="00B4249D" w:rsidRDefault="00B4249D" w:rsidP="00B4249D">
      <w:pPr>
        <w:pStyle w:val="Body"/>
      </w:pPr>
      <w:r>
        <w:t xml:space="preserve">Saranya, P., Geetha, A., &amp; </w:t>
      </w:r>
      <w:proofErr w:type="spellStart"/>
      <w:r>
        <w:t>Selvamathy</w:t>
      </w:r>
      <w:proofErr w:type="spellEnd"/>
      <w:r>
        <w:t>, S. M. (2011). A biochemical study on the gastroprotective effect of andrographolide in rats induced with gastric ulcer. Indian journal of pharmaceutical sciences, 73(5), 550–557. https://doi.org/10.4103/0250-474X.99012</w:t>
      </w:r>
    </w:p>
    <w:p w14:paraId="58FC14A1" w14:textId="77777777" w:rsidR="00B4249D" w:rsidRDefault="00B4249D" w:rsidP="00B4249D">
      <w:pPr>
        <w:pStyle w:val="Body"/>
      </w:pPr>
      <w:r>
        <w:t xml:space="preserve">Suleyman, H., Albayrak, A., Bilici, M., </w:t>
      </w:r>
      <w:proofErr w:type="spellStart"/>
      <w:r>
        <w:t>Cadirci</w:t>
      </w:r>
      <w:proofErr w:type="spellEnd"/>
      <w:r>
        <w:t xml:space="preserve">, E., &amp; </w:t>
      </w:r>
      <w:proofErr w:type="spellStart"/>
      <w:r>
        <w:t>Halici</w:t>
      </w:r>
      <w:proofErr w:type="spellEnd"/>
      <w:r>
        <w:t>, Z. (2010). Different mechanisms in the formation and prevention of indomethacin-induced gastric ulcers. Inflammation, 33(4), 224–234. https://doi.org/10.1007/s10753-009-9176-5</w:t>
      </w:r>
    </w:p>
    <w:p w14:paraId="59B05AE0" w14:textId="77777777" w:rsidR="00B4249D" w:rsidRDefault="00B4249D" w:rsidP="00B4249D">
      <w:pPr>
        <w:pStyle w:val="Body"/>
      </w:pPr>
      <w:r>
        <w:t xml:space="preserve">Yasin, H., Tariq, F., Sameen, A., Ahmad, N., Manzoor, M. F., Yasin, M., Tariq, T., Iqbal, M. W., Ishfaq, B., Mahmood, S., &amp; </w:t>
      </w:r>
      <w:proofErr w:type="spellStart"/>
      <w:r>
        <w:t>Siddeeg</w:t>
      </w:r>
      <w:proofErr w:type="spellEnd"/>
      <w:r>
        <w:t>, A. (2020). Ethanolic extract of okra has a potential gastroprotective effect on acute gastric lesions in Sprague Dawley rats. Food science &amp; nutrition, 8(12), 6691–6698. https://doi.org/10.1002/fsn3.1963</w:t>
      </w:r>
    </w:p>
    <w:p w14:paraId="5D9B1CEA" w14:textId="77777777" w:rsidR="00B4249D" w:rsidRDefault="00B4249D" w:rsidP="00B4249D">
      <w:pPr>
        <w:pStyle w:val="Body"/>
      </w:pPr>
      <w:proofErr w:type="spellStart"/>
      <w:r>
        <w:t>Yulizal</w:t>
      </w:r>
      <w:proofErr w:type="spellEnd"/>
      <w:r>
        <w:t xml:space="preserve">, O. K., </w:t>
      </w:r>
      <w:proofErr w:type="spellStart"/>
      <w:r>
        <w:t>Tarigan</w:t>
      </w:r>
      <w:proofErr w:type="spellEnd"/>
      <w:r>
        <w:t xml:space="preserve">, S. B., </w:t>
      </w:r>
      <w:proofErr w:type="spellStart"/>
      <w:r>
        <w:t>Isnainul</w:t>
      </w:r>
      <w:proofErr w:type="spellEnd"/>
      <w:r>
        <w:t>, O. K., &amp; Muttaqin, Z. (2021). Gastric histopathological features after the administration of omeprazole, amoxicillin, and clarithromycin in a Helicobacter pylori rat model. Journal of advanced veterinary and animal research, 8(1), 158–163. https://doi.org/10.5455/javar.2021.h498</w:t>
      </w:r>
    </w:p>
    <w:p w14:paraId="73A77EC5" w14:textId="22B1192C" w:rsidR="00441B6F" w:rsidRDefault="00B4249D" w:rsidP="00B4249D">
      <w:pPr>
        <w:pStyle w:val="Body"/>
        <w:spacing w:after="0"/>
        <w:jc w:val="left"/>
        <w:rPr>
          <w:rFonts w:ascii="Arial" w:hAnsi="Arial" w:cs="Arial"/>
        </w:rPr>
      </w:pPr>
      <w:r>
        <w:t>Zaki, S. M. &amp; Mohammed, E. A. (2014). Experimental study: Effect of glucocorticoids on indomethacin-induced gastric ulcer in the adult male albino rat – histological, morphometric and electron microscopy study. Archives of Medical Science, 10(2), 381–388. https://doi.org/10.5114/aoms.2012.28807</w:t>
      </w:r>
    </w:p>
    <w:p w14:paraId="11C8E17F" w14:textId="77777777" w:rsidR="00B01FCD" w:rsidRPr="00FB3A86" w:rsidRDefault="00B01FCD" w:rsidP="00441B6F">
      <w:pPr>
        <w:pStyle w:val="Appendix"/>
        <w:spacing w:after="0"/>
        <w:jc w:val="both"/>
        <w:rPr>
          <w:rFonts w:ascii="Arial" w:hAnsi="Arial" w:cs="Arial"/>
          <w:b w:val="0"/>
        </w:rPr>
      </w:pPr>
    </w:p>
    <w:sectPr w:rsidR="00B01FCD" w:rsidRPr="00FB3A86" w:rsidSect="00313C1C">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4252D" w14:textId="77777777" w:rsidR="00E335B3" w:rsidRDefault="00E335B3" w:rsidP="00C37E61">
      <w:r>
        <w:separator/>
      </w:r>
    </w:p>
  </w:endnote>
  <w:endnote w:type="continuationSeparator" w:id="0">
    <w:p w14:paraId="5720862F" w14:textId="77777777" w:rsidR="00E335B3" w:rsidRDefault="00E335B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88579" w14:textId="77777777" w:rsidR="00313C1C" w:rsidRDefault="00313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5D02" w14:textId="77777777" w:rsidR="00313C1C" w:rsidRDefault="00313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B162" w14:textId="77777777" w:rsidR="009E048A" w:rsidRDefault="009E048A">
    <w:pPr>
      <w:pStyle w:val="Footer"/>
      <w:rPr>
        <w:rFonts w:ascii="Arial" w:hAnsi="Arial" w:cs="Arial"/>
        <w:sz w:val="16"/>
      </w:rPr>
    </w:pPr>
  </w:p>
  <w:p w14:paraId="6716ED1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59197AA" w14:textId="77777777" w:rsidR="009E048A" w:rsidRDefault="009E048A">
    <w:pPr>
      <w:pStyle w:val="Footer"/>
      <w:rPr>
        <w:rFonts w:ascii="Arial" w:hAnsi="Arial" w:cs="Arial"/>
        <w:sz w:val="16"/>
      </w:rPr>
    </w:pPr>
  </w:p>
  <w:p w14:paraId="6D74439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1C9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D3E12" w14:textId="77777777" w:rsidR="00E335B3" w:rsidRDefault="00E335B3" w:rsidP="00C37E61">
      <w:r>
        <w:separator/>
      </w:r>
    </w:p>
  </w:footnote>
  <w:footnote w:type="continuationSeparator" w:id="0">
    <w:p w14:paraId="2B85614A" w14:textId="77777777" w:rsidR="00E335B3" w:rsidRDefault="00E335B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05DE5" w14:textId="7121ED8B" w:rsidR="00313C1C" w:rsidRDefault="00E335B3">
    <w:pPr>
      <w:pStyle w:val="Header"/>
    </w:pPr>
    <w:r>
      <w:rPr>
        <w:noProof/>
      </w:rPr>
      <w:pict w14:anchorId="0F920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B5086" w14:textId="74C9A551" w:rsidR="00313C1C" w:rsidRDefault="00E335B3">
    <w:pPr>
      <w:pStyle w:val="Header"/>
    </w:pPr>
    <w:r>
      <w:rPr>
        <w:noProof/>
      </w:rPr>
      <w:pict w14:anchorId="4104E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1F60" w14:textId="513770EB" w:rsidR="00296529" w:rsidRPr="00296529" w:rsidRDefault="00E335B3" w:rsidP="00296529">
    <w:pPr>
      <w:ind w:left="2160"/>
      <w:jc w:val="center"/>
      <w:rPr>
        <w:rFonts w:ascii="Times New Roman" w:eastAsia="Calibri" w:hAnsi="Times New Roman"/>
        <w:i/>
        <w:sz w:val="18"/>
        <w:szCs w:val="22"/>
      </w:rPr>
    </w:pPr>
    <w:r>
      <w:rPr>
        <w:noProof/>
      </w:rPr>
      <w:pict w14:anchorId="72055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3872D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99F76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B4C9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9DCF4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2680A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21A18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F9AD" w14:textId="4895616D" w:rsidR="00313C1C" w:rsidRDefault="00E335B3">
    <w:pPr>
      <w:pStyle w:val="Header"/>
    </w:pPr>
    <w:r>
      <w:rPr>
        <w:noProof/>
      </w:rPr>
      <w:pict w14:anchorId="6D17E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0805F" w14:textId="40BB5056" w:rsidR="00313C1C" w:rsidRDefault="00E335B3">
    <w:pPr>
      <w:pStyle w:val="Header"/>
    </w:pPr>
    <w:r>
      <w:rPr>
        <w:noProof/>
      </w:rPr>
      <w:pict w14:anchorId="2CFB5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9FDC" w14:textId="0035C490" w:rsidR="00313C1C" w:rsidRDefault="00E335B3">
    <w:pPr>
      <w:pStyle w:val="Header"/>
    </w:pPr>
    <w:r>
      <w:rPr>
        <w:noProof/>
      </w:rPr>
      <w:pict w14:anchorId="002E0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EysbAwNjM3MjA3NrBQ0lEKTi0uzszPAykwqgUA8H4NeCwAAAA="/>
  </w:docVars>
  <w:rsids>
    <w:rsidRoot w:val="00AA6219"/>
    <w:rsid w:val="00000F8F"/>
    <w:rsid w:val="00030174"/>
    <w:rsid w:val="0004579C"/>
    <w:rsid w:val="00090DA3"/>
    <w:rsid w:val="000A47FA"/>
    <w:rsid w:val="000A65D3"/>
    <w:rsid w:val="000B1E33"/>
    <w:rsid w:val="000D2DF0"/>
    <w:rsid w:val="000D689F"/>
    <w:rsid w:val="000E7B7B"/>
    <w:rsid w:val="000E7D62"/>
    <w:rsid w:val="00103357"/>
    <w:rsid w:val="00123C9F"/>
    <w:rsid w:val="00126190"/>
    <w:rsid w:val="00130F17"/>
    <w:rsid w:val="001320BF"/>
    <w:rsid w:val="00136835"/>
    <w:rsid w:val="00163BC4"/>
    <w:rsid w:val="00191062"/>
    <w:rsid w:val="00192B72"/>
    <w:rsid w:val="001A29D8"/>
    <w:rsid w:val="001A5CAA"/>
    <w:rsid w:val="001B0427"/>
    <w:rsid w:val="001C4D21"/>
    <w:rsid w:val="001C787D"/>
    <w:rsid w:val="001D3A51"/>
    <w:rsid w:val="001E10D2"/>
    <w:rsid w:val="001E25B4"/>
    <w:rsid w:val="001E44FE"/>
    <w:rsid w:val="00200595"/>
    <w:rsid w:val="00204835"/>
    <w:rsid w:val="00231920"/>
    <w:rsid w:val="0023195C"/>
    <w:rsid w:val="00233EBC"/>
    <w:rsid w:val="0024282C"/>
    <w:rsid w:val="002460DC"/>
    <w:rsid w:val="00250985"/>
    <w:rsid w:val="002556F6"/>
    <w:rsid w:val="00260000"/>
    <w:rsid w:val="00283105"/>
    <w:rsid w:val="00284C4C"/>
    <w:rsid w:val="00287E68"/>
    <w:rsid w:val="00296529"/>
    <w:rsid w:val="002B27FB"/>
    <w:rsid w:val="002B685A"/>
    <w:rsid w:val="002C57D2"/>
    <w:rsid w:val="002E0D56"/>
    <w:rsid w:val="00313C1C"/>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3E59"/>
    <w:rsid w:val="00446221"/>
    <w:rsid w:val="00450E62"/>
    <w:rsid w:val="004539DB"/>
    <w:rsid w:val="0045530B"/>
    <w:rsid w:val="00471A80"/>
    <w:rsid w:val="00496664"/>
    <w:rsid w:val="004D039C"/>
    <w:rsid w:val="004D305E"/>
    <w:rsid w:val="004D4277"/>
    <w:rsid w:val="00502516"/>
    <w:rsid w:val="00505F06"/>
    <w:rsid w:val="00506828"/>
    <w:rsid w:val="0053056E"/>
    <w:rsid w:val="00554FDA"/>
    <w:rsid w:val="005841BA"/>
    <w:rsid w:val="005B2638"/>
    <w:rsid w:val="005C784C"/>
    <w:rsid w:val="005D17F6"/>
    <w:rsid w:val="005E3FAE"/>
    <w:rsid w:val="005E5539"/>
    <w:rsid w:val="00602BF5"/>
    <w:rsid w:val="00617FDD"/>
    <w:rsid w:val="006268AC"/>
    <w:rsid w:val="00633614"/>
    <w:rsid w:val="00633F68"/>
    <w:rsid w:val="00636EB2"/>
    <w:rsid w:val="006375B8"/>
    <w:rsid w:val="0066510A"/>
    <w:rsid w:val="00673F9F"/>
    <w:rsid w:val="00674ABB"/>
    <w:rsid w:val="00686953"/>
    <w:rsid w:val="00687DEA"/>
    <w:rsid w:val="00687E67"/>
    <w:rsid w:val="006967F7"/>
    <w:rsid w:val="006A250C"/>
    <w:rsid w:val="006B1BFA"/>
    <w:rsid w:val="006B21D3"/>
    <w:rsid w:val="006B57D0"/>
    <w:rsid w:val="006D30FF"/>
    <w:rsid w:val="006D6940"/>
    <w:rsid w:val="006E323B"/>
    <w:rsid w:val="006F11EC"/>
    <w:rsid w:val="0070082C"/>
    <w:rsid w:val="007216C9"/>
    <w:rsid w:val="007369E6"/>
    <w:rsid w:val="00746E59"/>
    <w:rsid w:val="00754C9A"/>
    <w:rsid w:val="0075599A"/>
    <w:rsid w:val="00761D52"/>
    <w:rsid w:val="0077749E"/>
    <w:rsid w:val="00790ADA"/>
    <w:rsid w:val="007C6F9B"/>
    <w:rsid w:val="007D2288"/>
    <w:rsid w:val="007E088F"/>
    <w:rsid w:val="007F0D70"/>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E7FB6"/>
    <w:rsid w:val="008F69D6"/>
    <w:rsid w:val="00902823"/>
    <w:rsid w:val="00913E57"/>
    <w:rsid w:val="00915CA6"/>
    <w:rsid w:val="00927834"/>
    <w:rsid w:val="0094673A"/>
    <w:rsid w:val="009500A6"/>
    <w:rsid w:val="00957C18"/>
    <w:rsid w:val="009659BA"/>
    <w:rsid w:val="00973CB4"/>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28F2"/>
    <w:rsid w:val="00AB703F"/>
    <w:rsid w:val="00AC6BB8"/>
    <w:rsid w:val="00AE008F"/>
    <w:rsid w:val="00B01FCD"/>
    <w:rsid w:val="00B1776C"/>
    <w:rsid w:val="00B4249D"/>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623D"/>
    <w:rsid w:val="00C70F1B"/>
    <w:rsid w:val="00C71A47"/>
    <w:rsid w:val="00C7464C"/>
    <w:rsid w:val="00C85588"/>
    <w:rsid w:val="00C91033"/>
    <w:rsid w:val="00CA4D18"/>
    <w:rsid w:val="00CD320E"/>
    <w:rsid w:val="00CD6755"/>
    <w:rsid w:val="00CD6856"/>
    <w:rsid w:val="00CE0089"/>
    <w:rsid w:val="00CE793C"/>
    <w:rsid w:val="00CF193C"/>
    <w:rsid w:val="00CF43E5"/>
    <w:rsid w:val="00D173F1"/>
    <w:rsid w:val="00D23DC2"/>
    <w:rsid w:val="00D665AA"/>
    <w:rsid w:val="00D74CB0"/>
    <w:rsid w:val="00D8295D"/>
    <w:rsid w:val="00DC2A65"/>
    <w:rsid w:val="00DE15F0"/>
    <w:rsid w:val="00DE5663"/>
    <w:rsid w:val="00DE78AA"/>
    <w:rsid w:val="00E053D0"/>
    <w:rsid w:val="00E15994"/>
    <w:rsid w:val="00E3114E"/>
    <w:rsid w:val="00E31A70"/>
    <w:rsid w:val="00E335B3"/>
    <w:rsid w:val="00E35B02"/>
    <w:rsid w:val="00E45E46"/>
    <w:rsid w:val="00E66496"/>
    <w:rsid w:val="00E66B35"/>
    <w:rsid w:val="00E66E10"/>
    <w:rsid w:val="00E769F6"/>
    <w:rsid w:val="00E8407C"/>
    <w:rsid w:val="00E84F3C"/>
    <w:rsid w:val="00EA012C"/>
    <w:rsid w:val="00EA50F4"/>
    <w:rsid w:val="00EC6A55"/>
    <w:rsid w:val="00ED0288"/>
    <w:rsid w:val="00EE03BA"/>
    <w:rsid w:val="00EE52CB"/>
    <w:rsid w:val="00EF581D"/>
    <w:rsid w:val="00EF7FD8"/>
    <w:rsid w:val="00F06F59"/>
    <w:rsid w:val="00F14275"/>
    <w:rsid w:val="00F17988"/>
    <w:rsid w:val="00F469F0"/>
    <w:rsid w:val="00F53273"/>
    <w:rsid w:val="00F616AD"/>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Straight Arrow Connector 1076103425"/>
        <o:r id="V:Rule2" type="connector" idref="#Straight Connector 1595104006"/>
        <o:r id="V:Rule3" type="connector" idref="#Straight Arrow Connector 2136853560"/>
        <o:r id="V:Rule4" type="connector" idref="#Straight Arrow Connector 135425812"/>
        <o:r id="V:Rule5" type="connector" idref="#Straight Arrow Connector 1676178884"/>
        <o:r id="V:Rule6" type="connector" idref="#Straight Connector 320197482"/>
        <o:r id="V:Rule7" type="connector" idref="#Straight Arrow Connector 698045059"/>
        <o:r id="V:Rule8" type="connector" idref="#Straight Connector 1987680311"/>
        <o:r id="V:Rule9" type="connector" idref="#Straight Connector 265104222"/>
        <o:r id="V:Rule10" type="connector" idref="#Straight Arrow Connector 1089824008"/>
        <o:r id="V:Rule11" type="connector" idref="#Straight Arrow Connector 785555679"/>
        <o:r id="V:Rule12" type="connector" idref="#Straight Arrow Connector 305444899"/>
        <o:r id="V:Rule13" type="connector" idref="#Straight Arrow Connector 106819419"/>
        <o:r id="V:Rule14" type="connector" idref="#Straight Connector 1825395285"/>
        <o:r id="V:Rule15" type="connector" idref="#Straight Connector 50"/>
        <o:r id="V:Rule16" type="connector" idref="#Straight Arrow Connector 705991710"/>
        <o:r id="V:Rule17" type="connector" idref="#Straight Arrow Connector 2"/>
        <o:r id="V:Rule18" type="connector" idref="#Straight Arrow Connector 55"/>
        <o:r id="V:Rule19" type="connector" idref="#Straight Arrow Connector 57"/>
        <o:r id="V:Rule20" type="connector" idref="#Straight Arrow Connector 60"/>
        <o:r id="V:Rule21" type="connector" idref="#Straight Arrow Connector 62"/>
        <o:r id="V:Rule22" type="connector" idref="#Straight Arrow Connector 64"/>
        <o:r id="V:Rule23" type="connector" idref="#Straight Arrow Connector 24041162"/>
        <o:r id="V:Rule24" type="connector" idref="#Straight Arrow Connector 1155402613"/>
        <o:r id="V:Rule25" type="connector" idref="#Straight Connector 747033085"/>
        <o:r id="V:Rule26" type="connector" idref="#Straight Arrow Connector 7"/>
        <o:r id="V:Rule27" type="connector" idref="#Straight Connector 1072241318"/>
        <o:r id="V:Rule28" type="connector" idref="#Straight Arrow Connector 54"/>
        <o:r id="V:Rule29" type="connector" idref="#Straight Arrow Connector 1514610958"/>
        <o:r id="V:Rule30" type="connector" idref="#Straight Arrow Connector 593309051"/>
        <o:r id="V:Rule31" type="connector" idref="#Straight Connector 1875154266"/>
        <o:r id="V:Rule32" type="connector" idref="#_x0000_s1375"/>
        <o:r id="V:Rule33" type="connector" idref="#Straight Connector 761927143"/>
        <o:r id="V:Rule34" type="connector" idref="#Straight Arrow Connector 1196017570"/>
      </o:rules>
    </o:shapelayout>
  </w:shapeDefaults>
  <w:decimalSymbol w:val="."/>
  <w:listSeparator w:val=","/>
  <w14:docId w14:val="513E2AB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Gastric pH</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0.52</c:v>
                  </c:pt>
                  <c:pt idx="1">
                    <c:v>2.19</c:v>
                  </c:pt>
                  <c:pt idx="2">
                    <c:v>0.56999999999999995</c:v>
                  </c:pt>
                  <c:pt idx="3">
                    <c:v>1.1299999999999999</c:v>
                  </c:pt>
                  <c:pt idx="4">
                    <c:v>1.18</c:v>
                  </c:pt>
                  <c:pt idx="5">
                    <c:v>0.48</c:v>
                  </c:pt>
                </c:numCache>
              </c:numRef>
            </c:plus>
            <c:minus>
              <c:numRef>
                <c:f>Sheet1!$F$2:$F$7</c:f>
                <c:numCache>
                  <c:formatCode>General</c:formatCode>
                  <c:ptCount val="6"/>
                  <c:pt idx="0">
                    <c:v>0.52</c:v>
                  </c:pt>
                  <c:pt idx="1">
                    <c:v>2.19</c:v>
                  </c:pt>
                  <c:pt idx="2">
                    <c:v>0.56999999999999995</c:v>
                  </c:pt>
                  <c:pt idx="3">
                    <c:v>1.1299999999999999</c:v>
                  </c:pt>
                  <c:pt idx="4">
                    <c:v>1.18</c:v>
                  </c:pt>
                  <c:pt idx="5">
                    <c:v>0.48</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c:v>
                </c:pt>
                <c:pt idx="3">
                  <c:v>Plant-Based Yoghurt</c:v>
                </c:pt>
                <c:pt idx="4">
                  <c:v>Plant/Dairy Blend</c:v>
                </c:pt>
                <c:pt idx="5">
                  <c:v>Dairy Yoghurt</c:v>
                </c:pt>
              </c:strCache>
            </c:strRef>
          </c:cat>
          <c:val>
            <c:numRef>
              <c:f>Sheet1!$B$2:$B$7</c:f>
              <c:numCache>
                <c:formatCode>General</c:formatCode>
                <c:ptCount val="6"/>
                <c:pt idx="0">
                  <c:v>3.79</c:v>
                </c:pt>
                <c:pt idx="1">
                  <c:v>4.72</c:v>
                </c:pt>
                <c:pt idx="2">
                  <c:v>3.18</c:v>
                </c:pt>
                <c:pt idx="3">
                  <c:v>4.21</c:v>
                </c:pt>
                <c:pt idx="4">
                  <c:v>3.22</c:v>
                </c:pt>
                <c:pt idx="5">
                  <c:v>2.94</c:v>
                </c:pt>
              </c:numCache>
            </c:numRef>
          </c:val>
          <c:extLst>
            <c:ext xmlns:c16="http://schemas.microsoft.com/office/drawing/2014/chart" uri="{C3380CC4-5D6E-409C-BE32-E72D297353CC}">
              <c16:uniqueId val="{00000000-005D-4E41-A36E-4B2AC7440C76}"/>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Gastric pH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Total Acidity</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8.66</c:v>
                  </c:pt>
                  <c:pt idx="1">
                    <c:v>20.21</c:v>
                  </c:pt>
                  <c:pt idx="2">
                    <c:v>8.66</c:v>
                  </c:pt>
                  <c:pt idx="3">
                    <c:v>2.89</c:v>
                  </c:pt>
                  <c:pt idx="4">
                    <c:v>21.8</c:v>
                  </c:pt>
                  <c:pt idx="5">
                    <c:v>5</c:v>
                  </c:pt>
                </c:numCache>
              </c:numRef>
            </c:plus>
            <c:minus>
              <c:numRef>
                <c:f>Sheet1!$F$2:$F$7</c:f>
                <c:numCache>
                  <c:formatCode>General</c:formatCode>
                  <c:ptCount val="6"/>
                  <c:pt idx="0">
                    <c:v>8.66</c:v>
                  </c:pt>
                  <c:pt idx="1">
                    <c:v>20.21</c:v>
                  </c:pt>
                  <c:pt idx="2">
                    <c:v>8.66</c:v>
                  </c:pt>
                  <c:pt idx="3">
                    <c:v>2.89</c:v>
                  </c:pt>
                  <c:pt idx="4">
                    <c:v>21.8</c:v>
                  </c:pt>
                  <c:pt idx="5">
                    <c:v>5</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50</c:v>
                </c:pt>
                <c:pt idx="1">
                  <c:v>26.67</c:v>
                </c:pt>
                <c:pt idx="2">
                  <c:v>20</c:v>
                </c:pt>
                <c:pt idx="3">
                  <c:v>13.33</c:v>
                </c:pt>
                <c:pt idx="4">
                  <c:v>25</c:v>
                </c:pt>
                <c:pt idx="5">
                  <c:v>25</c:v>
                </c:pt>
              </c:numCache>
            </c:numRef>
          </c:val>
          <c:extLst>
            <c:ext xmlns:c16="http://schemas.microsoft.com/office/drawing/2014/chart" uri="{C3380CC4-5D6E-409C-BE32-E72D297353CC}">
              <c16:uniqueId val="{00000000-5863-49A9-B0C8-744507FB0804}"/>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Total Acidity (mEq/L, </a:t>
                </a:r>
                <a:r>
                  <a:rPr lang="en-US"/>
                  <a:t>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Ulcer Score</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c:v>
                  </c:pt>
                  <c:pt idx="1">
                    <c:v>0.28999999999999998</c:v>
                  </c:pt>
                  <c:pt idx="2">
                    <c:v>0.57999999999999996</c:v>
                  </c:pt>
                  <c:pt idx="3">
                    <c:v>0.28999999999999998</c:v>
                  </c:pt>
                  <c:pt idx="4">
                    <c:v>1</c:v>
                  </c:pt>
                  <c:pt idx="5">
                    <c:v>0</c:v>
                  </c:pt>
                </c:numCache>
              </c:numRef>
            </c:plus>
            <c:minus>
              <c:numRef>
                <c:f>Sheet1!$F$2:$F$7</c:f>
                <c:numCache>
                  <c:formatCode>General</c:formatCode>
                  <c:ptCount val="6"/>
                  <c:pt idx="0">
                    <c:v>0</c:v>
                  </c:pt>
                  <c:pt idx="1">
                    <c:v>0.28999999999999998</c:v>
                  </c:pt>
                  <c:pt idx="2">
                    <c:v>0.57999999999999996</c:v>
                  </c:pt>
                  <c:pt idx="3">
                    <c:v>0.28999999999999998</c:v>
                  </c:pt>
                  <c:pt idx="4">
                    <c:v>1</c:v>
                  </c:pt>
                  <c:pt idx="5">
                    <c:v>0</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0</c:v>
                </c:pt>
                <c:pt idx="1">
                  <c:v>1.67</c:v>
                </c:pt>
                <c:pt idx="2">
                  <c:v>0.67</c:v>
                </c:pt>
                <c:pt idx="3">
                  <c:v>0.67</c:v>
                </c:pt>
                <c:pt idx="4">
                  <c:v>1</c:v>
                </c:pt>
                <c:pt idx="5">
                  <c:v>0</c:v>
                </c:pt>
              </c:numCache>
            </c:numRef>
          </c:val>
          <c:extLst>
            <c:ext xmlns:c16="http://schemas.microsoft.com/office/drawing/2014/chart" uri="{C3380CC4-5D6E-409C-BE32-E72D297353CC}">
              <c16:uniqueId val="{00000000-91A1-4CED-B673-929F93EC3D1A}"/>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Ulcer Score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Ulcer Index</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c:v>
                  </c:pt>
                  <c:pt idx="1">
                    <c:v>10.27</c:v>
                  </c:pt>
                  <c:pt idx="2">
                    <c:v>12.5</c:v>
                  </c:pt>
                  <c:pt idx="3">
                    <c:v>2.61</c:v>
                  </c:pt>
                  <c:pt idx="4">
                    <c:v>14.24</c:v>
                  </c:pt>
                  <c:pt idx="5">
                    <c:v>0</c:v>
                  </c:pt>
                </c:numCache>
              </c:numRef>
            </c:plus>
            <c:minus>
              <c:numRef>
                <c:f>Sheet1!$F$2:$F$7</c:f>
                <c:numCache>
                  <c:formatCode>General</c:formatCode>
                  <c:ptCount val="6"/>
                  <c:pt idx="0">
                    <c:v>0</c:v>
                  </c:pt>
                  <c:pt idx="1">
                    <c:v>10.27</c:v>
                  </c:pt>
                  <c:pt idx="2">
                    <c:v>12.5</c:v>
                  </c:pt>
                  <c:pt idx="3">
                    <c:v>2.61</c:v>
                  </c:pt>
                  <c:pt idx="4">
                    <c:v>14.24</c:v>
                  </c:pt>
                  <c:pt idx="5">
                    <c:v>0</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0</c:v>
                </c:pt>
                <c:pt idx="1">
                  <c:v>31.72</c:v>
                </c:pt>
                <c:pt idx="2">
                  <c:v>10.29</c:v>
                </c:pt>
                <c:pt idx="3">
                  <c:v>10.58</c:v>
                </c:pt>
                <c:pt idx="4">
                  <c:v>13.12</c:v>
                </c:pt>
                <c:pt idx="5">
                  <c:v>0</c:v>
                </c:pt>
              </c:numCache>
            </c:numRef>
          </c:val>
          <c:extLst>
            <c:ext xmlns:c16="http://schemas.microsoft.com/office/drawing/2014/chart" uri="{C3380CC4-5D6E-409C-BE32-E72D297353CC}">
              <c16:uniqueId val="{00000000-6EC2-43E1-B9C6-BD2814C8B258}"/>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Ulcer Index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Percentage Ulcer Inhibition</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c:v>
                  </c:pt>
                  <c:pt idx="1">
                    <c:v>0</c:v>
                  </c:pt>
                  <c:pt idx="2">
                    <c:v>39.409999999999997</c:v>
                  </c:pt>
                  <c:pt idx="3">
                    <c:v>8.24</c:v>
                  </c:pt>
                  <c:pt idx="4">
                    <c:v>44.88</c:v>
                  </c:pt>
                  <c:pt idx="5">
                    <c:v>0</c:v>
                  </c:pt>
                </c:numCache>
              </c:numRef>
            </c:plus>
            <c:minus>
              <c:numRef>
                <c:f>Sheet1!$F$2:$F$7</c:f>
                <c:numCache>
                  <c:formatCode>General</c:formatCode>
                  <c:ptCount val="6"/>
                  <c:pt idx="0">
                    <c:v>0</c:v>
                  </c:pt>
                  <c:pt idx="1">
                    <c:v>0</c:v>
                  </c:pt>
                  <c:pt idx="2">
                    <c:v>39.409999999999997</c:v>
                  </c:pt>
                  <c:pt idx="3">
                    <c:v>8.24</c:v>
                  </c:pt>
                  <c:pt idx="4">
                    <c:v>44.88</c:v>
                  </c:pt>
                  <c:pt idx="5">
                    <c:v>0</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100</c:v>
                </c:pt>
                <c:pt idx="1">
                  <c:v>0</c:v>
                </c:pt>
                <c:pt idx="2">
                  <c:v>67.56</c:v>
                </c:pt>
                <c:pt idx="3">
                  <c:v>66.64</c:v>
                </c:pt>
                <c:pt idx="4">
                  <c:v>58.63</c:v>
                </c:pt>
                <c:pt idx="5">
                  <c:v>100</c:v>
                </c:pt>
              </c:numCache>
            </c:numRef>
          </c:val>
          <c:extLst>
            <c:ext xmlns:c16="http://schemas.microsoft.com/office/drawing/2014/chart" uri="{C3380CC4-5D6E-409C-BE32-E72D297353CC}">
              <c16:uniqueId val="{00000000-FEF1-4A47-AC28-F366A3CCB38B}"/>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 </a:t>
                </a:r>
                <a:r>
                  <a:rPr lang="en-US"/>
                  <a:t>Ulcer Inhibition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70443-40DB-4421-BBAB-EAA6282E4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12</Pages>
  <Words>4453</Words>
  <Characters>25387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29781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6</cp:revision>
  <cp:lastPrinted>1999-07-06T11:00:00Z</cp:lastPrinted>
  <dcterms:created xsi:type="dcterms:W3CDTF">2026-02-06T01:18:00Z</dcterms:created>
  <dcterms:modified xsi:type="dcterms:W3CDTF">2026-02-11T07:34:00Z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479ed8a2-a6bc-418e-bdcc-945a1395d2bb</vt:lpwstr>
  </property>
</Properties>
</file>