
<file path=[Content_Types].xml><?xml version="1.0" encoding="utf-8"?>
<Types xmlns="http://schemas.openxmlformats.org/package/2006/content-types">
  <Default Extension="xml" ContentType="application/xml"/>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CE5241">
      <w:pPr>
        <w:tabs>
          <w:tab w:val="left" w:pos="2700"/>
        </w:tabs>
        <w:spacing w:after="0"/>
        <w:ind w:left="-450" w:right="-601"/>
        <w:rPr>
          <w:rFonts w:ascii="Times New Roman" w:hAnsi="Times New Roman" w:cs="Times New Roman"/>
          <w:b/>
          <w:bCs/>
          <w:sz w:val="28"/>
          <w:szCs w:val="28"/>
        </w:rPr>
      </w:pPr>
      <w:r>
        <w:rPr>
          <w:rFonts w:ascii="Times New Roman" w:hAnsi="Times New Roman" w:cs="Times New Roman"/>
          <w:b/>
          <w:bCs/>
          <w:sz w:val="28"/>
          <w:szCs w:val="28"/>
        </w:rPr>
        <w:t>Design, development and performance evaluation of a semi-automatic paddy drum seeder with motor-assisted seed metering for direct-seeded rice cultivation</w:t>
      </w:r>
    </w:p>
    <w:p w14:paraId="69272745">
      <w:pPr>
        <w:tabs>
          <w:tab w:val="left" w:pos="2700"/>
        </w:tabs>
        <w:spacing w:after="0"/>
        <w:ind w:left="-450" w:right="-601"/>
        <w:rPr>
          <w:rFonts w:ascii="Times New Roman" w:hAnsi="Times New Roman" w:cs="Times New Roman"/>
          <w:b/>
          <w:bCs/>
          <w:sz w:val="28"/>
          <w:szCs w:val="28"/>
        </w:rPr>
      </w:pPr>
    </w:p>
    <w:p w14:paraId="73624B82">
      <w:pPr>
        <w:tabs>
          <w:tab w:val="left" w:pos="2700"/>
        </w:tabs>
        <w:spacing w:line="360" w:lineRule="auto"/>
        <w:ind w:left="-450" w:right="-601"/>
        <w:jc w:val="both"/>
        <w:rPr>
          <w:rFonts w:ascii="Times New Roman" w:hAnsi="Times New Roman" w:cs="Times New Roman"/>
          <w:b/>
          <w:bCs/>
          <w:sz w:val="24"/>
          <w:szCs w:val="24"/>
          <w:lang w:val="en-US"/>
        </w:rPr>
      </w:pPr>
    </w:p>
    <w:p w14:paraId="3F3647E0">
      <w:pPr>
        <w:tabs>
          <w:tab w:val="left" w:pos="2700"/>
        </w:tabs>
        <w:spacing w:line="360" w:lineRule="auto"/>
        <w:ind w:left="-450" w:right="-601"/>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Abstract</w:t>
      </w:r>
    </w:p>
    <w:p w14:paraId="78B6E497">
      <w:pPr>
        <w:tabs>
          <w:tab w:val="left" w:pos="2700"/>
        </w:tabs>
        <w:spacing w:line="360" w:lineRule="auto"/>
        <w:ind w:left="-450" w:right="-601"/>
        <w:jc w:val="both"/>
        <w:rPr>
          <w:rFonts w:ascii="Times New Roman" w:hAnsi="Times New Roman" w:cs="Times New Roman"/>
          <w:b w:val="0"/>
          <w:bCs w:val="0"/>
          <w:sz w:val="24"/>
          <w:szCs w:val="24"/>
          <w:lang w:val="en-US"/>
        </w:rPr>
      </w:pPr>
      <w:r>
        <w:rPr>
          <w:rFonts w:ascii="Times New Roman" w:hAnsi="Times New Roman" w:cs="Times New Roman"/>
          <w:b w:val="0"/>
          <w:bCs w:val="0"/>
          <w:sz w:val="24"/>
          <w:szCs w:val="24"/>
          <w:lang w:val="en-US"/>
        </w:rPr>
        <w:t xml:space="preserve">A semi-automatic paddy drum seeder with motor-assisted seed metering was designed, developed, and evaluated to improve seeding precision and operational efficiency in direct-seeded rice cultivation. The present work was carried out during </w:t>
      </w:r>
      <w:r>
        <w:rPr>
          <w:rFonts w:hint="default" w:ascii="Times New Roman" w:hAnsi="Times New Roman" w:cs="Times New Roman"/>
          <w:b w:val="0"/>
          <w:bCs w:val="0"/>
          <w:sz w:val="24"/>
          <w:szCs w:val="24"/>
          <w:lang w:val="en-US"/>
        </w:rPr>
        <w:t>(2024-25)</w:t>
      </w:r>
      <w:r>
        <w:rPr>
          <w:rFonts w:ascii="Times New Roman" w:hAnsi="Times New Roman" w:cs="Times New Roman"/>
          <w:b w:val="0"/>
          <w:bCs w:val="0"/>
          <w:sz w:val="24"/>
          <w:szCs w:val="24"/>
          <w:lang w:val="en-US"/>
        </w:rPr>
        <w:t xml:space="preserve"> at M.S. Swaminathan Vayal Kudam, Department of Agricultural Engineering, Paavai Engineering College, Namakkal, Tamil Nadu, India, under puddled field conditions using pre-germinated rice seeds. The developed system integrates a low-power DC motor to drive the seed drum, thereby decoupling seed metering from operator walking speed while maintaining manual forward movement.</w:t>
      </w:r>
    </w:p>
    <w:p w14:paraId="20F248A8">
      <w:pPr>
        <w:tabs>
          <w:tab w:val="left" w:pos="2700"/>
        </w:tabs>
        <w:spacing w:line="360" w:lineRule="auto"/>
        <w:ind w:left="-450" w:right="-601"/>
        <w:jc w:val="both"/>
        <w:rPr>
          <w:rFonts w:ascii="Times New Roman" w:hAnsi="Times New Roman" w:cs="Times New Roman"/>
          <w:b w:val="0"/>
          <w:bCs w:val="0"/>
          <w:sz w:val="24"/>
          <w:szCs w:val="24"/>
          <w:lang w:val="en-US"/>
        </w:rPr>
      </w:pPr>
      <w:r>
        <w:rPr>
          <w:rFonts w:ascii="Times New Roman" w:hAnsi="Times New Roman" w:cs="Times New Roman"/>
          <w:b w:val="0"/>
          <w:bCs w:val="0"/>
          <w:sz w:val="24"/>
          <w:szCs w:val="24"/>
          <w:lang w:val="en-US"/>
        </w:rPr>
        <w:t>Field performance of the semi-automatic drum seeder was quantitatively compared with conventional manual broadcasting through replicated field trials. The developed seeder achieved a significantly lower seed rate (55 ± 4.2 kg ha⁻¹) compared to manual broadcasting (110 ± 8.6 kg ha⁻¹), resulting in a reduction of approximately 50%. The time required for sowing decreased from 5.5 ± 0.7 h ha⁻¹ to 2.5 ± 0.4 h ha⁻¹, and labour requirement was reduced from 8.0 ± 0.6 h ha⁻¹ to 4.0 ± 0.3 h ha⁻¹. Effective field capacity increased from 0.18 ± 0.03 ha h⁻¹ to 0.40 ± 0.05 ha h⁻¹, while field efficiency improved significantly from 36.9 ± 2.8% to 86.1 ± 3.5%. Statistical analysis using Student’s t-test confirmed significant differences between sowing methods (p &lt; 0.05), and one-way ANOVA indicated consistent performance across replications.</w:t>
      </w:r>
    </w:p>
    <w:p w14:paraId="50A52984">
      <w:pPr>
        <w:tabs>
          <w:tab w:val="left" w:pos="2700"/>
        </w:tabs>
        <w:spacing w:line="360" w:lineRule="auto"/>
        <w:ind w:left="-450" w:right="-601"/>
        <w:jc w:val="both"/>
        <w:rPr>
          <w:rFonts w:ascii="Times New Roman" w:hAnsi="Times New Roman" w:cs="Times New Roman"/>
          <w:b w:val="0"/>
          <w:bCs w:val="0"/>
          <w:sz w:val="24"/>
          <w:szCs w:val="24"/>
          <w:lang w:val="en-US"/>
        </w:rPr>
      </w:pPr>
      <w:r>
        <w:rPr>
          <w:rFonts w:ascii="Times New Roman" w:hAnsi="Times New Roman" w:cs="Times New Roman"/>
          <w:b w:val="0"/>
          <w:bCs w:val="0"/>
          <w:sz w:val="24"/>
          <w:szCs w:val="24"/>
          <w:lang w:val="en-US"/>
        </w:rPr>
        <w:t xml:space="preserve">The developed semi-automatic paddy drum seeder was fabricated at a prototype cost of approximately Rs. </w:t>
      </w:r>
      <w:r>
        <w:rPr>
          <w:rFonts w:hint="default" w:ascii="Times New Roman" w:hAnsi="Times New Roman" w:cs="Times New Roman"/>
          <w:b w:val="0"/>
          <w:bCs w:val="0"/>
          <w:sz w:val="24"/>
          <w:szCs w:val="24"/>
          <w:lang w:val="en-US"/>
        </w:rPr>
        <w:t>7</w:t>
      </w:r>
      <w:r>
        <w:rPr>
          <w:rFonts w:ascii="Times New Roman" w:hAnsi="Times New Roman" w:cs="Times New Roman"/>
          <w:b w:val="0"/>
          <w:bCs w:val="0"/>
          <w:sz w:val="24"/>
          <w:szCs w:val="24"/>
          <w:lang w:val="en-US"/>
        </w:rPr>
        <w:t>,500 making it an economically viable option for smallholder use. The results confirm that motor-assisted seed metering enhances uniformity, reduces input use, and improves field efficiency without increasing system complexity. Overall, the developed seeder provides a low-cost, energy-efficient, and scalable mechanization solution that supports sustainable rice production for small and marginal farmers.</w:t>
      </w:r>
    </w:p>
    <w:p w14:paraId="2BA161BD">
      <w:pPr>
        <w:tabs>
          <w:tab w:val="left" w:pos="2700"/>
        </w:tabs>
        <w:spacing w:line="360" w:lineRule="auto"/>
        <w:ind w:left="-450" w:right="-601"/>
        <w:jc w:val="both"/>
        <w:rPr>
          <w:rFonts w:ascii="Times New Roman" w:hAnsi="Times New Roman" w:cs="Times New Roman"/>
          <w:sz w:val="24"/>
          <w:szCs w:val="24"/>
        </w:rPr>
      </w:pPr>
    </w:p>
    <w:p w14:paraId="33E19DCC">
      <w:pPr>
        <w:tabs>
          <w:tab w:val="left" w:pos="2700"/>
        </w:tabs>
        <w:spacing w:line="360" w:lineRule="auto"/>
        <w:ind w:left="-450" w:right="-601"/>
        <w:jc w:val="both"/>
        <w:rPr>
          <w:rFonts w:ascii="Times New Roman" w:hAnsi="Times New Roman" w:cs="Times New Roman"/>
          <w:sz w:val="24"/>
          <w:szCs w:val="24"/>
          <w:lang w:val="en-US"/>
        </w:rPr>
      </w:pPr>
      <w:r>
        <w:rPr>
          <w:rFonts w:ascii="Times New Roman" w:hAnsi="Times New Roman" w:cs="Times New Roman"/>
          <w:b/>
          <w:bCs/>
          <w:sz w:val="24"/>
          <w:szCs w:val="24"/>
          <w:lang w:val="en-US"/>
        </w:rPr>
        <w:t xml:space="preserve">Keywords: </w:t>
      </w:r>
      <w:r>
        <w:rPr>
          <w:rFonts w:ascii="Times New Roman" w:hAnsi="Times New Roman" w:cs="Times New Roman"/>
          <w:sz w:val="24"/>
          <w:szCs w:val="24"/>
        </w:rPr>
        <w:t>Paddy drum seeder; direct-seeded rice; seed rate; field efficiency; labour saving; agricultural mechanization.</w:t>
      </w:r>
    </w:p>
    <w:p w14:paraId="58A4BF8E">
      <w:pPr>
        <w:tabs>
          <w:tab w:val="left" w:pos="2700"/>
        </w:tabs>
        <w:spacing w:line="360" w:lineRule="auto"/>
        <w:ind w:left="-450" w:right="-601"/>
        <w:rPr>
          <w:rFonts w:ascii="Times New Roman" w:hAnsi="Times New Roman" w:cs="Times New Roman"/>
          <w:b/>
          <w:bCs/>
          <w:sz w:val="24"/>
          <w:szCs w:val="24"/>
          <w:lang w:val="en-US"/>
        </w:rPr>
      </w:pPr>
      <w:r>
        <w:rPr>
          <w:rFonts w:ascii="Times New Roman" w:hAnsi="Times New Roman" w:cs="Times New Roman"/>
          <w:b/>
          <w:bCs/>
          <w:sz w:val="24"/>
          <w:szCs w:val="24"/>
          <w:lang w:val="en-US"/>
        </w:rPr>
        <w:t>1. Introduction</w:t>
      </w:r>
    </w:p>
    <w:p w14:paraId="435580AE">
      <w:pPr>
        <w:tabs>
          <w:tab w:val="left" w:pos="2700"/>
        </w:tabs>
        <w:spacing w:line="360" w:lineRule="auto"/>
        <w:ind w:left="-450" w:right="-601"/>
        <w:jc w:val="both"/>
        <w:rPr>
          <w:rFonts w:ascii="Times New Roman" w:hAnsi="Times New Roman" w:cs="Times New Roman"/>
          <w:sz w:val="24"/>
          <w:szCs w:val="24"/>
        </w:rPr>
      </w:pPr>
      <w:r>
        <w:rPr>
          <w:rFonts w:ascii="Times New Roman" w:hAnsi="Times New Roman" w:cs="Times New Roman"/>
          <w:sz w:val="24"/>
          <w:szCs w:val="24"/>
        </w:rPr>
        <w:t>Rice (</w:t>
      </w:r>
      <w:r>
        <w:rPr>
          <w:rFonts w:ascii="Times New Roman" w:hAnsi="Times New Roman" w:cs="Times New Roman"/>
          <w:i/>
          <w:iCs/>
          <w:sz w:val="24"/>
          <w:szCs w:val="24"/>
        </w:rPr>
        <w:t>Oryza sativa</w:t>
      </w:r>
      <w:r>
        <w:rPr>
          <w:rFonts w:ascii="Times New Roman" w:hAnsi="Times New Roman" w:cs="Times New Roman"/>
          <w:sz w:val="24"/>
          <w:szCs w:val="24"/>
        </w:rPr>
        <w:t xml:space="preserve"> L.) is one of the most widely cultivated cereals globally and a staple for billions of people, accounting for a significant portion of caloric intake in Asia and Africa. Traditional rice production through transplanting is labour-intensive, time-consuming, and involves high input and water requirements, making it less sustainable under increasing labour shortages and resource constraints (Liu, 2025; Singh et al., 2014; Zhang et al., 2025). Direct-seeded rice (DSR), which involves sowing seeds directly into the field, has emerged as a promising alternative because it eliminates the need for nursery raising and transplanting, thereby reducing labour and water requirements while improving crop establishment flexibility (Nguyen-Van-Hung et al., 2024; Devi 2023). Mechanization of DSR can further enhance operational efficiency, reduce input costs, and support sustainable crop production systems.</w:t>
      </w:r>
    </w:p>
    <w:p w14:paraId="423661BC">
      <w:pPr>
        <w:tabs>
          <w:tab w:val="left" w:pos="2700"/>
        </w:tabs>
        <w:spacing w:line="360" w:lineRule="auto"/>
        <w:ind w:left="-450" w:right="-601"/>
        <w:jc w:val="both"/>
        <w:rPr>
          <w:rFonts w:ascii="Times New Roman" w:hAnsi="Times New Roman" w:cs="Times New Roman"/>
          <w:sz w:val="24"/>
          <w:szCs w:val="24"/>
        </w:rPr>
      </w:pPr>
      <w:r>
        <w:rPr>
          <w:rFonts w:ascii="Times New Roman" w:hAnsi="Times New Roman" w:cs="Times New Roman"/>
          <w:sz w:val="24"/>
          <w:szCs w:val="24"/>
        </w:rPr>
        <w:t>Among mechanized options for rice seeding, drum seeders have been widely adopted due to their simplicity, low cost, and ability to provide row sowing of pre-germinated seeds, which improves geometry and facilitates better early crop growth compared to broadcasting (Singh et al., 2014; Al Mamun et al., 2024). Drum seeders also reduce labour and time requirements relative to manual methods and enable more precise seed placement compared with hand broadcasting, which often results in uneven stands and higher seed rates (Nguyen-Van-Hung et al., 2024). However, conventional manually operated drum seeders still depend on operator walking speed and uneven seed meter performance, resulting in inconsistent seed rate and spacing (Kaur et al., 2017</w:t>
      </w:r>
      <w:r>
        <w:t xml:space="preserve">; </w:t>
      </w:r>
      <w:r>
        <w:rPr>
          <w:rFonts w:ascii="Times New Roman" w:hAnsi="Times New Roman" w:cs="Times New Roman"/>
          <w:sz w:val="24"/>
          <w:szCs w:val="24"/>
        </w:rPr>
        <w:t>Singh et al., 2014; Sadhukhan, et al., 2021) and limiting their effectiveness in achieving precision seeding.</w:t>
      </w:r>
    </w:p>
    <w:p w14:paraId="3B5050EC">
      <w:pPr>
        <w:tabs>
          <w:tab w:val="left" w:pos="2700"/>
        </w:tabs>
        <w:spacing w:line="360" w:lineRule="auto"/>
        <w:ind w:left="-450" w:right="-601"/>
        <w:jc w:val="both"/>
        <w:rPr>
          <w:rFonts w:ascii="Times New Roman" w:hAnsi="Times New Roman" w:cs="Times New Roman"/>
          <w:sz w:val="24"/>
          <w:szCs w:val="24"/>
        </w:rPr>
      </w:pPr>
      <w:r>
        <w:rPr>
          <w:rFonts w:ascii="Times New Roman" w:hAnsi="Times New Roman" w:cs="Times New Roman"/>
          <w:sz w:val="24"/>
          <w:szCs w:val="24"/>
        </w:rPr>
        <w:t>Research on drum seeder performance has reported variations in seed rate, field efficiency, and crop yield associated with machine design and operating conditions (Sudharani et al 2019; Zhang et al., 2025). Efforts to improve seed metering, such as modifying slot geometry, integrating agitators (Didarul Islam, 2006), and applying additive manufacturing techniques for complex components (Nguyen-Van-Hung et al., 2024), highlight ongoing attempts to enhance seeder functionality. Meanwhile, mechanized direct seeding methods have also been shown to reduce seed rate, operational costs, and carbon footprint compared with broadcast systems (Nguyen-Van-Hung et al., 2024; Sreenivasulu et al., 2026).</w:t>
      </w:r>
    </w:p>
    <w:p w14:paraId="133D4F98">
      <w:pPr>
        <w:tabs>
          <w:tab w:val="left" w:pos="2700"/>
        </w:tabs>
        <w:spacing w:line="360" w:lineRule="auto"/>
        <w:ind w:left="-450" w:right="-601"/>
        <w:jc w:val="both"/>
        <w:rPr>
          <w:rFonts w:ascii="Times New Roman" w:hAnsi="Times New Roman" w:cs="Times New Roman"/>
          <w:sz w:val="24"/>
          <w:szCs w:val="24"/>
        </w:rPr>
      </w:pPr>
      <w:r>
        <w:rPr>
          <w:rFonts w:ascii="Times New Roman" w:hAnsi="Times New Roman" w:cs="Times New Roman"/>
          <w:sz w:val="24"/>
          <w:szCs w:val="24"/>
        </w:rPr>
        <w:t>Despite these advancements, there is still a need for practical, low-cost, and technically robust seeding systems that can deliver consistent seed placement and higher field efficiency under varying field conditions, particularly for small and marginal farmers. This research addresses this gap by designing, developing, and evaluating a semi-automatic paddy drum seeder with motor-assisted seed metering and comparing its performance with conventional manual broadcasting under puddled field conditions.</w:t>
      </w:r>
    </w:p>
    <w:p w14:paraId="3223363D">
      <w:pPr>
        <w:tabs>
          <w:tab w:val="left" w:pos="2700"/>
        </w:tabs>
        <w:spacing w:line="360" w:lineRule="auto"/>
        <w:ind w:left="-450" w:right="-601"/>
        <w:rPr>
          <w:rFonts w:ascii="Times New Roman" w:hAnsi="Times New Roman" w:cs="Times New Roman"/>
          <w:b/>
          <w:bCs/>
          <w:sz w:val="24"/>
          <w:szCs w:val="24"/>
          <w:lang w:val="en-US"/>
        </w:rPr>
      </w:pPr>
      <w:r>
        <w:rPr>
          <w:rFonts w:ascii="Times New Roman" w:hAnsi="Times New Roman" w:cs="Times New Roman"/>
          <w:b/>
          <w:bCs/>
          <w:sz w:val="24"/>
          <w:szCs w:val="24"/>
          <w:lang w:val="en-US"/>
        </w:rPr>
        <w:t>2. Materials and Methods</w:t>
      </w:r>
    </w:p>
    <w:p w14:paraId="0BE48899">
      <w:pPr>
        <w:tabs>
          <w:tab w:val="left" w:pos="2700"/>
        </w:tabs>
        <w:spacing w:line="360" w:lineRule="auto"/>
        <w:ind w:left="-450" w:right="-601"/>
        <w:rPr>
          <w:rFonts w:ascii="Times New Roman" w:hAnsi="Times New Roman" w:cs="Times New Roman"/>
          <w:b/>
          <w:bCs/>
          <w:sz w:val="24"/>
          <w:szCs w:val="24"/>
        </w:rPr>
      </w:pPr>
      <w:r>
        <w:rPr>
          <w:rFonts w:ascii="Times New Roman" w:hAnsi="Times New Roman" w:cs="Times New Roman"/>
          <w:b/>
          <w:bCs/>
          <w:sz w:val="24"/>
          <w:szCs w:val="24"/>
        </w:rPr>
        <w:t>2.1 Design Considerations</w:t>
      </w:r>
    </w:p>
    <w:p w14:paraId="5958FF2B">
      <w:pPr>
        <w:tabs>
          <w:tab w:val="left" w:pos="2700"/>
        </w:tabs>
        <w:spacing w:line="360" w:lineRule="auto"/>
        <w:ind w:left="-450" w:right="-601"/>
        <w:jc w:val="both"/>
        <w:rPr>
          <w:rFonts w:ascii="Times New Roman" w:hAnsi="Times New Roman" w:cs="Times New Roman"/>
          <w:sz w:val="24"/>
          <w:szCs w:val="24"/>
        </w:rPr>
      </w:pPr>
      <w:r>
        <w:rPr>
          <w:rFonts w:ascii="Times New Roman" w:hAnsi="Times New Roman" w:cs="Times New Roman"/>
          <w:sz w:val="24"/>
          <w:szCs w:val="24"/>
        </w:rPr>
        <w:t>The semi-automatic paddy drum seeder was designed to achieve uniform seed metering independent of operator walking speed, while maintaining simplicity, low cost, and suitability for small and marginal farmers. The primary design objectives were to (i) reduce seed rate variability, (ii) improve field efficiency, (iii) minimize labour requirement, and (iv) ensure ease of operation under puddled field conditions typical of wet direct-seeded rice cultivation.</w:t>
      </w:r>
    </w:p>
    <w:p w14:paraId="4641E731">
      <w:pPr>
        <w:tabs>
          <w:tab w:val="left" w:pos="2700"/>
        </w:tabs>
        <w:spacing w:line="360" w:lineRule="auto"/>
        <w:ind w:left="-450" w:right="-601"/>
        <w:jc w:val="both"/>
        <w:rPr>
          <w:rFonts w:ascii="Times New Roman" w:hAnsi="Times New Roman" w:cs="Times New Roman"/>
          <w:sz w:val="24"/>
          <w:szCs w:val="24"/>
        </w:rPr>
      </w:pPr>
      <w:r>
        <w:rPr>
          <w:rFonts w:ascii="Times New Roman" w:hAnsi="Times New Roman" w:cs="Times New Roman"/>
          <w:sz w:val="24"/>
          <w:szCs w:val="24"/>
        </w:rPr>
        <w:t>Motor-assisted seed metering was adopted to decouple drum rotation from ground wheel motion, thereby overcoming the limitations of manually operated drum seeders, where variations in forward speed directly influence seed discharge rate.</w:t>
      </w:r>
    </w:p>
    <w:p w14:paraId="694F2315">
      <w:pPr>
        <w:tabs>
          <w:tab w:val="left" w:pos="2700"/>
        </w:tabs>
        <w:spacing w:line="360" w:lineRule="auto"/>
        <w:ind w:left="-450" w:right="-601"/>
        <w:jc w:val="both"/>
        <w:rPr>
          <w:rFonts w:ascii="Times New Roman" w:hAnsi="Times New Roman" w:cs="Times New Roman"/>
          <w:b/>
          <w:bCs/>
          <w:sz w:val="24"/>
          <w:szCs w:val="24"/>
        </w:rPr>
      </w:pPr>
      <w:r>
        <w:rPr>
          <w:lang w:val="en-US" w:eastAsia="en-US"/>
        </w:rPr>
        <w:drawing>
          <wp:anchor distT="0" distB="0" distL="114300" distR="114300" simplePos="0" relativeHeight="251660288" behindDoc="0" locked="0" layoutInCell="1" allowOverlap="1">
            <wp:simplePos x="0" y="0"/>
            <wp:positionH relativeFrom="column">
              <wp:posOffset>152400</wp:posOffset>
            </wp:positionH>
            <wp:positionV relativeFrom="paragraph">
              <wp:posOffset>431800</wp:posOffset>
            </wp:positionV>
            <wp:extent cx="4874260" cy="2860675"/>
            <wp:effectExtent l="0" t="0" r="0" b="0"/>
            <wp:wrapTopAndBottom/>
            <wp:docPr id="7637619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761947"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b="11976"/>
                    <a:stretch>
                      <a:fillRect/>
                    </a:stretch>
                  </pic:blipFill>
                  <pic:spPr>
                    <a:xfrm>
                      <a:off x="0" y="0"/>
                      <a:ext cx="4874260" cy="2860675"/>
                    </a:xfrm>
                    <a:prstGeom prst="rect">
                      <a:avLst/>
                    </a:prstGeom>
                    <a:noFill/>
                    <a:ln>
                      <a:noFill/>
                    </a:ln>
                  </pic:spPr>
                </pic:pic>
              </a:graphicData>
            </a:graphic>
          </wp:anchor>
        </w:drawing>
      </w:r>
      <w:r>
        <w:rPr>
          <w:rFonts w:ascii="Times New Roman" w:hAnsi="Times New Roman" w:cs="Times New Roman"/>
          <w:b/>
          <w:bCs/>
          <w:sz w:val="24"/>
          <w:szCs w:val="24"/>
        </w:rPr>
        <w:t xml:space="preserve">           Figure 1. Design configuration of the semi-automatic paddy drum seeder </w:t>
      </w:r>
    </w:p>
    <w:p w14:paraId="1C01C621">
      <w:pPr>
        <w:tabs>
          <w:tab w:val="left" w:pos="2700"/>
        </w:tabs>
        <w:spacing w:line="360" w:lineRule="auto"/>
        <w:ind w:left="-450" w:right="-601"/>
        <w:rPr>
          <w:rFonts w:ascii="Times New Roman" w:hAnsi="Times New Roman" w:cs="Times New Roman"/>
          <w:b/>
          <w:bCs/>
          <w:sz w:val="24"/>
          <w:szCs w:val="24"/>
        </w:rPr>
      </w:pPr>
      <w:r>
        <w:rPr>
          <w:rFonts w:ascii="Times New Roman" w:hAnsi="Times New Roman" w:cs="Times New Roman"/>
          <w:b/>
          <w:bCs/>
          <w:sz w:val="24"/>
          <w:szCs w:val="24"/>
        </w:rPr>
        <w:t>2.2 Description of the Semi-Automatic Paddy Drum Seeder</w:t>
      </w:r>
    </w:p>
    <w:p w14:paraId="0F31E006">
      <w:pPr>
        <w:tabs>
          <w:tab w:val="left" w:pos="2700"/>
        </w:tabs>
        <w:spacing w:line="360" w:lineRule="auto"/>
        <w:ind w:left="-450" w:right="-601"/>
        <w:jc w:val="both"/>
        <w:rPr>
          <w:rFonts w:ascii="Times New Roman" w:hAnsi="Times New Roman" w:cs="Times New Roman"/>
          <w:sz w:val="24"/>
          <w:szCs w:val="24"/>
        </w:rPr>
      </w:pPr>
      <w:r>
        <w:rPr>
          <w:rFonts w:ascii="Times New Roman" w:hAnsi="Times New Roman" w:cs="Times New Roman"/>
          <w:sz w:val="24"/>
          <w:szCs w:val="24"/>
        </w:rPr>
        <w:t>The semi-automatic paddy drum seeder was designed with careful consideration of material selection, power requirement, energy efficiency, and operator comfort to ensure suitability for small and marginal farmers. A PVC seed drum was selected in place of conventional steel or iron drums due to its lightweight nature, resistance to corrosion under puddled and high-moisture field conditions, and lower fabrication cost. The smoother surface of PVC facilitates uniform flow of pre-germinated seeds with minimal clogging and reduced seed damage, while also allowing easy drilling and modification of perforations for precise seed rate control. Seed drum rotation was achieved using a low-power 12 V DC motor, selected to provide consistent seed metering independent of operator walking speed, with the cost of the motor being approximately Rs. 1,500, contributing minimally to the overall prototype cost. The motor was powered by a 12 V rechargeable battery, which provided a continuous operating duration of about 4–5 hours on a single charge, sufficient to complete sowing operations without frequent recharging. The developed seeder was configured as a walking-type implement, wherein the operator walks behind the machine to guide its forward movement. A seating-type configuration was not adopted to maintain simplicity, reduce overall weight and cost, and ensure better maneuverability under puddled field conditions. This walking-type design also enables easier turning at field ends and improved control in small and irregularly shaped fields, thereby enhancing operational convenience and field efficiency.</w:t>
      </w:r>
    </w:p>
    <w:p w14:paraId="6EF90652">
      <w:pPr>
        <w:tabs>
          <w:tab w:val="left" w:pos="2700"/>
        </w:tabs>
        <w:spacing w:line="360" w:lineRule="auto"/>
        <w:ind w:left="-450" w:right="-601"/>
        <w:jc w:val="both"/>
        <w:rPr>
          <w:rFonts w:ascii="Times New Roman" w:hAnsi="Times New Roman" w:cs="Times New Roman"/>
          <w:b/>
          <w:bCs/>
          <w:sz w:val="24"/>
          <w:szCs w:val="24"/>
        </w:rPr>
      </w:pPr>
      <w:r>
        <w:rPr>
          <w:rFonts w:ascii="Times New Roman" w:hAnsi="Times New Roman" w:cs="Times New Roman"/>
          <w:b/>
          <w:bCs/>
          <w:sz w:val="24"/>
          <w:szCs w:val="24"/>
        </w:rPr>
        <w:t>Table 1. Technical specifications of the developed semi-automatic paddy drum seeder</w:t>
      </w:r>
    </w:p>
    <w:tbl>
      <w:tblPr>
        <w:tblStyle w:val="19"/>
        <w:tblW w:w="9489" w:type="dxa"/>
        <w:tblInd w:w="-45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3252"/>
        <w:gridCol w:w="6237"/>
      </w:tblGrid>
      <w:tr w14:paraId="34883A3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52" w:type="dxa"/>
            <w:vAlign w:val="center"/>
          </w:tcPr>
          <w:p w14:paraId="627462C9">
            <w:pPr>
              <w:tabs>
                <w:tab w:val="left" w:pos="2700"/>
              </w:tabs>
              <w:spacing w:after="0" w:line="360" w:lineRule="auto"/>
              <w:ind w:right="-601"/>
              <w:jc w:val="both"/>
              <w:rPr>
                <w:rFonts w:ascii="Times New Roman" w:hAnsi="Times New Roman" w:cs="Times New Roman"/>
                <w:sz w:val="24"/>
                <w:szCs w:val="24"/>
              </w:rPr>
            </w:pPr>
            <w:r>
              <w:rPr>
                <w:rFonts w:ascii="Times New Roman" w:hAnsi="Times New Roman" w:cs="Times New Roman"/>
                <w:b/>
                <w:bCs/>
                <w:sz w:val="24"/>
                <w:szCs w:val="24"/>
              </w:rPr>
              <w:t>Parameter</w:t>
            </w:r>
          </w:p>
        </w:tc>
        <w:tc>
          <w:tcPr>
            <w:tcW w:w="6237" w:type="dxa"/>
            <w:vAlign w:val="center"/>
          </w:tcPr>
          <w:p w14:paraId="25FEA18C">
            <w:pPr>
              <w:tabs>
                <w:tab w:val="left" w:pos="2700"/>
              </w:tabs>
              <w:spacing w:after="0" w:line="360" w:lineRule="auto"/>
              <w:ind w:right="-601"/>
              <w:jc w:val="both"/>
              <w:rPr>
                <w:rFonts w:ascii="Times New Roman" w:hAnsi="Times New Roman" w:cs="Times New Roman"/>
                <w:sz w:val="24"/>
                <w:szCs w:val="24"/>
              </w:rPr>
            </w:pPr>
            <w:r>
              <w:rPr>
                <w:rFonts w:ascii="Times New Roman" w:hAnsi="Times New Roman" w:cs="Times New Roman"/>
                <w:b/>
                <w:bCs/>
                <w:sz w:val="24"/>
                <w:szCs w:val="24"/>
              </w:rPr>
              <w:t>Specification</w:t>
            </w:r>
          </w:p>
        </w:tc>
      </w:tr>
      <w:tr w14:paraId="0EE59CA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52" w:type="dxa"/>
            <w:vAlign w:val="center"/>
          </w:tcPr>
          <w:p w14:paraId="692F5A2D">
            <w:pPr>
              <w:tabs>
                <w:tab w:val="left" w:pos="2700"/>
              </w:tabs>
              <w:spacing w:after="0" w:line="360" w:lineRule="auto"/>
              <w:ind w:right="-601"/>
              <w:jc w:val="both"/>
              <w:rPr>
                <w:rFonts w:ascii="Times New Roman" w:hAnsi="Times New Roman" w:cs="Times New Roman"/>
                <w:sz w:val="24"/>
                <w:szCs w:val="24"/>
              </w:rPr>
            </w:pPr>
            <w:r>
              <w:rPr>
                <w:rFonts w:ascii="Times New Roman" w:hAnsi="Times New Roman" w:cs="Times New Roman"/>
                <w:sz w:val="24"/>
                <w:szCs w:val="24"/>
              </w:rPr>
              <w:t>Type of machine</w:t>
            </w:r>
          </w:p>
        </w:tc>
        <w:tc>
          <w:tcPr>
            <w:tcW w:w="6237" w:type="dxa"/>
            <w:vAlign w:val="center"/>
          </w:tcPr>
          <w:p w14:paraId="58A361A3">
            <w:pPr>
              <w:tabs>
                <w:tab w:val="left" w:pos="2700"/>
              </w:tabs>
              <w:spacing w:after="0" w:line="360" w:lineRule="auto"/>
              <w:ind w:right="-601"/>
              <w:jc w:val="both"/>
              <w:rPr>
                <w:rFonts w:ascii="Times New Roman" w:hAnsi="Times New Roman" w:cs="Times New Roman"/>
                <w:sz w:val="24"/>
                <w:szCs w:val="24"/>
              </w:rPr>
            </w:pPr>
            <w:r>
              <w:rPr>
                <w:rFonts w:ascii="Times New Roman" w:hAnsi="Times New Roman" w:cs="Times New Roman"/>
                <w:sz w:val="24"/>
                <w:szCs w:val="24"/>
              </w:rPr>
              <w:t>Semi-automatic paddy drum seeder</w:t>
            </w:r>
          </w:p>
        </w:tc>
      </w:tr>
      <w:tr w14:paraId="2924826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52" w:type="dxa"/>
            <w:vAlign w:val="center"/>
          </w:tcPr>
          <w:p w14:paraId="19B6B457">
            <w:pPr>
              <w:tabs>
                <w:tab w:val="left" w:pos="2700"/>
              </w:tabs>
              <w:spacing w:after="0" w:line="360" w:lineRule="auto"/>
              <w:ind w:right="-601"/>
              <w:jc w:val="both"/>
              <w:rPr>
                <w:rFonts w:ascii="Times New Roman" w:hAnsi="Times New Roman" w:cs="Times New Roman"/>
                <w:sz w:val="24"/>
                <w:szCs w:val="24"/>
              </w:rPr>
            </w:pPr>
            <w:r>
              <w:rPr>
                <w:rFonts w:ascii="Times New Roman" w:hAnsi="Times New Roman" w:cs="Times New Roman"/>
                <w:sz w:val="24"/>
                <w:szCs w:val="24"/>
              </w:rPr>
              <w:t>Frame material</w:t>
            </w:r>
          </w:p>
        </w:tc>
        <w:tc>
          <w:tcPr>
            <w:tcW w:w="6237" w:type="dxa"/>
            <w:vAlign w:val="center"/>
          </w:tcPr>
          <w:p w14:paraId="11313E02">
            <w:pPr>
              <w:tabs>
                <w:tab w:val="left" w:pos="2700"/>
              </w:tabs>
              <w:spacing w:after="0" w:line="360" w:lineRule="auto"/>
              <w:ind w:right="-601"/>
              <w:jc w:val="both"/>
              <w:rPr>
                <w:rFonts w:ascii="Times New Roman" w:hAnsi="Times New Roman" w:cs="Times New Roman"/>
                <w:sz w:val="24"/>
                <w:szCs w:val="24"/>
              </w:rPr>
            </w:pPr>
            <w:r>
              <w:rPr>
                <w:rFonts w:ascii="Times New Roman" w:hAnsi="Times New Roman" w:cs="Times New Roman"/>
                <w:sz w:val="24"/>
                <w:szCs w:val="24"/>
              </w:rPr>
              <w:t>Mild steel</w:t>
            </w:r>
          </w:p>
        </w:tc>
      </w:tr>
      <w:tr w14:paraId="1164806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52" w:type="dxa"/>
            <w:vAlign w:val="center"/>
          </w:tcPr>
          <w:p w14:paraId="78AAB128">
            <w:pPr>
              <w:tabs>
                <w:tab w:val="left" w:pos="2700"/>
              </w:tabs>
              <w:spacing w:after="0" w:line="360" w:lineRule="auto"/>
              <w:ind w:right="-601"/>
              <w:jc w:val="both"/>
              <w:rPr>
                <w:rFonts w:ascii="Times New Roman" w:hAnsi="Times New Roman" w:cs="Times New Roman"/>
                <w:sz w:val="24"/>
                <w:szCs w:val="24"/>
              </w:rPr>
            </w:pPr>
            <w:r>
              <w:rPr>
                <w:rFonts w:ascii="Times New Roman" w:hAnsi="Times New Roman" w:cs="Times New Roman"/>
                <w:sz w:val="24"/>
                <w:szCs w:val="24"/>
              </w:rPr>
              <w:t>Seed metering mechanism</w:t>
            </w:r>
          </w:p>
        </w:tc>
        <w:tc>
          <w:tcPr>
            <w:tcW w:w="6237" w:type="dxa"/>
            <w:vAlign w:val="center"/>
          </w:tcPr>
          <w:p w14:paraId="475B3747">
            <w:pPr>
              <w:tabs>
                <w:tab w:val="left" w:pos="2700"/>
              </w:tabs>
              <w:spacing w:after="0" w:line="360" w:lineRule="auto"/>
              <w:ind w:right="-601"/>
              <w:jc w:val="both"/>
              <w:rPr>
                <w:rFonts w:ascii="Times New Roman" w:hAnsi="Times New Roman" w:cs="Times New Roman"/>
                <w:sz w:val="24"/>
                <w:szCs w:val="24"/>
              </w:rPr>
            </w:pPr>
            <w:r>
              <w:rPr>
                <w:rFonts w:ascii="Times New Roman" w:hAnsi="Times New Roman" w:cs="Times New Roman"/>
                <w:sz w:val="24"/>
                <w:szCs w:val="24"/>
              </w:rPr>
              <w:t>Perforated PVC drum</w:t>
            </w:r>
          </w:p>
        </w:tc>
      </w:tr>
      <w:tr w14:paraId="07E8BBD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52" w:type="dxa"/>
            <w:vAlign w:val="center"/>
          </w:tcPr>
          <w:p w14:paraId="579FA313">
            <w:pPr>
              <w:tabs>
                <w:tab w:val="left" w:pos="2700"/>
              </w:tabs>
              <w:spacing w:after="0" w:line="360" w:lineRule="auto"/>
              <w:ind w:right="-601"/>
              <w:jc w:val="both"/>
              <w:rPr>
                <w:rFonts w:ascii="Times New Roman" w:hAnsi="Times New Roman" w:cs="Times New Roman"/>
                <w:sz w:val="24"/>
                <w:szCs w:val="24"/>
              </w:rPr>
            </w:pPr>
            <w:r>
              <w:rPr>
                <w:rFonts w:ascii="Times New Roman" w:hAnsi="Times New Roman" w:cs="Times New Roman"/>
                <w:sz w:val="24"/>
                <w:szCs w:val="24"/>
              </w:rPr>
              <w:t>Number of seed drums</w:t>
            </w:r>
          </w:p>
        </w:tc>
        <w:tc>
          <w:tcPr>
            <w:tcW w:w="6237" w:type="dxa"/>
            <w:vAlign w:val="center"/>
          </w:tcPr>
          <w:p w14:paraId="223FE2B3">
            <w:pPr>
              <w:tabs>
                <w:tab w:val="left" w:pos="2700"/>
              </w:tabs>
              <w:spacing w:after="0" w:line="360" w:lineRule="auto"/>
              <w:ind w:right="-601"/>
              <w:jc w:val="both"/>
              <w:rPr>
                <w:rFonts w:ascii="Times New Roman" w:hAnsi="Times New Roman" w:cs="Times New Roman"/>
                <w:sz w:val="24"/>
                <w:szCs w:val="24"/>
              </w:rPr>
            </w:pPr>
            <w:r>
              <w:rPr>
                <w:rFonts w:ascii="Times New Roman" w:hAnsi="Times New Roman" w:cs="Times New Roman"/>
                <w:sz w:val="24"/>
                <w:szCs w:val="24"/>
              </w:rPr>
              <w:t>One</w:t>
            </w:r>
          </w:p>
        </w:tc>
      </w:tr>
      <w:tr w14:paraId="453E802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52" w:type="dxa"/>
            <w:vAlign w:val="center"/>
          </w:tcPr>
          <w:p w14:paraId="067B7756">
            <w:pPr>
              <w:tabs>
                <w:tab w:val="left" w:pos="2700"/>
              </w:tabs>
              <w:spacing w:after="0" w:line="360" w:lineRule="auto"/>
              <w:ind w:right="-601"/>
              <w:jc w:val="both"/>
              <w:rPr>
                <w:rFonts w:ascii="Times New Roman" w:hAnsi="Times New Roman" w:cs="Times New Roman"/>
                <w:sz w:val="24"/>
                <w:szCs w:val="24"/>
              </w:rPr>
            </w:pPr>
            <w:r>
              <w:rPr>
                <w:rFonts w:ascii="Times New Roman" w:hAnsi="Times New Roman" w:cs="Times New Roman"/>
                <w:sz w:val="24"/>
                <w:szCs w:val="24"/>
              </w:rPr>
              <w:t>Drum drive system</w:t>
            </w:r>
          </w:p>
        </w:tc>
        <w:tc>
          <w:tcPr>
            <w:tcW w:w="6237" w:type="dxa"/>
            <w:vAlign w:val="center"/>
          </w:tcPr>
          <w:p w14:paraId="499DC940">
            <w:pPr>
              <w:tabs>
                <w:tab w:val="left" w:pos="2700"/>
              </w:tabs>
              <w:spacing w:after="0" w:line="360" w:lineRule="auto"/>
              <w:ind w:right="-601"/>
              <w:jc w:val="both"/>
              <w:rPr>
                <w:rFonts w:ascii="Times New Roman" w:hAnsi="Times New Roman" w:cs="Times New Roman"/>
                <w:sz w:val="24"/>
                <w:szCs w:val="24"/>
              </w:rPr>
            </w:pPr>
            <w:r>
              <w:rPr>
                <w:rFonts w:ascii="Times New Roman" w:hAnsi="Times New Roman" w:cs="Times New Roman"/>
                <w:sz w:val="24"/>
                <w:szCs w:val="24"/>
              </w:rPr>
              <w:t>DC motor (12 v) with chain and sprocket</w:t>
            </w:r>
          </w:p>
        </w:tc>
      </w:tr>
      <w:tr w14:paraId="1F8E7D3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52" w:type="dxa"/>
            <w:vAlign w:val="center"/>
          </w:tcPr>
          <w:p w14:paraId="09C650B4">
            <w:pPr>
              <w:tabs>
                <w:tab w:val="left" w:pos="2700"/>
              </w:tabs>
              <w:spacing w:after="0" w:line="360" w:lineRule="auto"/>
              <w:ind w:right="-601"/>
              <w:jc w:val="both"/>
              <w:rPr>
                <w:rFonts w:ascii="Times New Roman" w:hAnsi="Times New Roman" w:cs="Times New Roman"/>
                <w:sz w:val="24"/>
                <w:szCs w:val="24"/>
              </w:rPr>
            </w:pPr>
            <w:r>
              <w:rPr>
                <w:rFonts w:ascii="Times New Roman" w:hAnsi="Times New Roman" w:cs="Times New Roman"/>
                <w:sz w:val="24"/>
                <w:szCs w:val="24"/>
              </w:rPr>
              <w:t>Power source</w:t>
            </w:r>
          </w:p>
        </w:tc>
        <w:tc>
          <w:tcPr>
            <w:tcW w:w="6237" w:type="dxa"/>
            <w:vAlign w:val="center"/>
          </w:tcPr>
          <w:p w14:paraId="1812AD49">
            <w:pPr>
              <w:tabs>
                <w:tab w:val="left" w:pos="2700"/>
              </w:tabs>
              <w:spacing w:after="0" w:line="360" w:lineRule="auto"/>
              <w:ind w:right="-601"/>
              <w:jc w:val="both"/>
              <w:rPr>
                <w:rFonts w:ascii="Times New Roman" w:hAnsi="Times New Roman" w:cs="Times New Roman"/>
                <w:sz w:val="24"/>
                <w:szCs w:val="24"/>
              </w:rPr>
            </w:pPr>
            <w:r>
              <w:rPr>
                <w:rFonts w:ascii="Times New Roman" w:hAnsi="Times New Roman" w:cs="Times New Roman"/>
                <w:sz w:val="24"/>
                <w:szCs w:val="24"/>
              </w:rPr>
              <w:t>Rechargeable battery (12 v)</w:t>
            </w:r>
          </w:p>
        </w:tc>
      </w:tr>
      <w:tr w14:paraId="49AED53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52" w:type="dxa"/>
            <w:vAlign w:val="center"/>
          </w:tcPr>
          <w:p w14:paraId="3866B3EC">
            <w:pPr>
              <w:tabs>
                <w:tab w:val="left" w:pos="2700"/>
              </w:tabs>
              <w:spacing w:after="0" w:line="360" w:lineRule="auto"/>
              <w:ind w:right="-601"/>
              <w:jc w:val="both"/>
              <w:rPr>
                <w:rFonts w:ascii="Times New Roman" w:hAnsi="Times New Roman" w:cs="Times New Roman"/>
                <w:sz w:val="24"/>
                <w:szCs w:val="24"/>
              </w:rPr>
            </w:pPr>
            <w:r>
              <w:rPr>
                <w:rFonts w:ascii="Times New Roman" w:hAnsi="Times New Roman" w:cs="Times New Roman"/>
                <w:sz w:val="24"/>
                <w:szCs w:val="24"/>
              </w:rPr>
              <w:t>Mode of operation</w:t>
            </w:r>
          </w:p>
        </w:tc>
        <w:tc>
          <w:tcPr>
            <w:tcW w:w="6237" w:type="dxa"/>
            <w:vAlign w:val="center"/>
          </w:tcPr>
          <w:p w14:paraId="571131C2">
            <w:pPr>
              <w:tabs>
                <w:tab w:val="left" w:pos="2700"/>
              </w:tabs>
              <w:spacing w:after="0" w:line="360" w:lineRule="auto"/>
              <w:ind w:right="-601"/>
              <w:jc w:val="both"/>
              <w:rPr>
                <w:rFonts w:ascii="Times New Roman" w:hAnsi="Times New Roman" w:cs="Times New Roman"/>
                <w:sz w:val="24"/>
                <w:szCs w:val="24"/>
              </w:rPr>
            </w:pPr>
            <w:r>
              <w:rPr>
                <w:rFonts w:ascii="Times New Roman" w:hAnsi="Times New Roman" w:cs="Times New Roman"/>
                <w:sz w:val="24"/>
                <w:szCs w:val="24"/>
              </w:rPr>
              <w:t>Manual forward movement with motor-assisted seed metering</w:t>
            </w:r>
          </w:p>
        </w:tc>
      </w:tr>
      <w:tr w14:paraId="1C05AD9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52" w:type="dxa"/>
            <w:vAlign w:val="center"/>
          </w:tcPr>
          <w:p w14:paraId="533579FD">
            <w:pPr>
              <w:tabs>
                <w:tab w:val="left" w:pos="2700"/>
              </w:tabs>
              <w:spacing w:after="0" w:line="360" w:lineRule="auto"/>
              <w:ind w:right="-601"/>
              <w:jc w:val="both"/>
              <w:rPr>
                <w:rFonts w:ascii="Times New Roman" w:hAnsi="Times New Roman" w:cs="Times New Roman"/>
                <w:sz w:val="24"/>
                <w:szCs w:val="24"/>
              </w:rPr>
            </w:pPr>
            <w:r>
              <w:rPr>
                <w:rFonts w:ascii="Times New Roman" w:hAnsi="Times New Roman" w:cs="Times New Roman"/>
                <w:sz w:val="24"/>
                <w:szCs w:val="24"/>
              </w:rPr>
              <w:t>Suitable crop</w:t>
            </w:r>
          </w:p>
        </w:tc>
        <w:tc>
          <w:tcPr>
            <w:tcW w:w="6237" w:type="dxa"/>
            <w:vAlign w:val="center"/>
          </w:tcPr>
          <w:p w14:paraId="4595B9CC">
            <w:pPr>
              <w:tabs>
                <w:tab w:val="left" w:pos="2700"/>
              </w:tabs>
              <w:spacing w:after="0" w:line="360" w:lineRule="auto"/>
              <w:ind w:right="-601"/>
              <w:jc w:val="both"/>
              <w:rPr>
                <w:rFonts w:ascii="Times New Roman" w:hAnsi="Times New Roman" w:cs="Times New Roman"/>
                <w:sz w:val="24"/>
                <w:szCs w:val="24"/>
              </w:rPr>
            </w:pPr>
            <w:r>
              <w:rPr>
                <w:rFonts w:ascii="Times New Roman" w:hAnsi="Times New Roman" w:cs="Times New Roman"/>
                <w:sz w:val="24"/>
                <w:szCs w:val="24"/>
              </w:rPr>
              <w:t>Paddy (pre-germinated seeds)</w:t>
            </w:r>
          </w:p>
        </w:tc>
      </w:tr>
      <w:tr w14:paraId="01B12A9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52" w:type="dxa"/>
            <w:vAlign w:val="center"/>
          </w:tcPr>
          <w:p w14:paraId="20E22618">
            <w:pPr>
              <w:tabs>
                <w:tab w:val="left" w:pos="2700"/>
              </w:tabs>
              <w:spacing w:after="0" w:line="360" w:lineRule="auto"/>
              <w:ind w:right="-601"/>
              <w:jc w:val="both"/>
              <w:rPr>
                <w:rFonts w:ascii="Times New Roman" w:hAnsi="Times New Roman" w:cs="Times New Roman"/>
                <w:sz w:val="24"/>
                <w:szCs w:val="24"/>
              </w:rPr>
            </w:pPr>
            <w:r>
              <w:rPr>
                <w:rFonts w:ascii="Times New Roman" w:hAnsi="Times New Roman" w:cs="Times New Roman"/>
                <w:sz w:val="24"/>
                <w:szCs w:val="24"/>
              </w:rPr>
              <w:t>Field condition</w:t>
            </w:r>
          </w:p>
        </w:tc>
        <w:tc>
          <w:tcPr>
            <w:tcW w:w="6237" w:type="dxa"/>
            <w:vAlign w:val="center"/>
          </w:tcPr>
          <w:p w14:paraId="1EDC3A31">
            <w:pPr>
              <w:tabs>
                <w:tab w:val="left" w:pos="2700"/>
              </w:tabs>
              <w:spacing w:after="0" w:line="360" w:lineRule="auto"/>
              <w:ind w:right="-601"/>
              <w:jc w:val="both"/>
              <w:rPr>
                <w:rFonts w:ascii="Times New Roman" w:hAnsi="Times New Roman" w:cs="Times New Roman"/>
                <w:sz w:val="24"/>
                <w:szCs w:val="24"/>
              </w:rPr>
            </w:pPr>
            <w:r>
              <w:rPr>
                <w:rFonts w:ascii="Times New Roman" w:hAnsi="Times New Roman" w:cs="Times New Roman"/>
                <w:sz w:val="24"/>
                <w:szCs w:val="24"/>
              </w:rPr>
              <w:t>Puddled wetland</w:t>
            </w:r>
          </w:p>
        </w:tc>
      </w:tr>
      <w:tr w14:paraId="7E17211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52" w:type="dxa"/>
            <w:vAlign w:val="center"/>
          </w:tcPr>
          <w:p w14:paraId="04BCA773">
            <w:pPr>
              <w:tabs>
                <w:tab w:val="left" w:pos="2700"/>
              </w:tabs>
              <w:spacing w:after="0" w:line="360" w:lineRule="auto"/>
              <w:ind w:right="-601"/>
              <w:jc w:val="both"/>
              <w:rPr>
                <w:rFonts w:ascii="Times New Roman" w:hAnsi="Times New Roman" w:cs="Times New Roman"/>
                <w:sz w:val="24"/>
                <w:szCs w:val="24"/>
              </w:rPr>
            </w:pPr>
            <w:r>
              <w:rPr>
                <w:rFonts w:ascii="Times New Roman" w:hAnsi="Times New Roman" w:cs="Times New Roman"/>
                <w:sz w:val="24"/>
                <w:szCs w:val="24"/>
              </w:rPr>
              <w:t>Operator requirement</w:t>
            </w:r>
          </w:p>
        </w:tc>
        <w:tc>
          <w:tcPr>
            <w:tcW w:w="6237" w:type="dxa"/>
            <w:vAlign w:val="center"/>
          </w:tcPr>
          <w:p w14:paraId="54709529">
            <w:pPr>
              <w:tabs>
                <w:tab w:val="left" w:pos="2700"/>
              </w:tabs>
              <w:spacing w:after="0" w:line="360" w:lineRule="auto"/>
              <w:ind w:right="-601"/>
              <w:jc w:val="both"/>
              <w:rPr>
                <w:rFonts w:ascii="Times New Roman" w:hAnsi="Times New Roman" w:cs="Times New Roman"/>
                <w:sz w:val="24"/>
                <w:szCs w:val="24"/>
              </w:rPr>
            </w:pPr>
            <w:r>
              <w:rPr>
                <w:rFonts w:ascii="Times New Roman" w:hAnsi="Times New Roman" w:cs="Times New Roman"/>
                <w:sz w:val="24"/>
                <w:szCs w:val="24"/>
              </w:rPr>
              <w:t>Single operator</w:t>
            </w:r>
          </w:p>
        </w:tc>
      </w:tr>
    </w:tbl>
    <w:p w14:paraId="585CA2A1">
      <w:pPr>
        <w:tabs>
          <w:tab w:val="left" w:pos="2700"/>
        </w:tabs>
        <w:spacing w:line="360" w:lineRule="auto"/>
        <w:ind w:left="-450" w:right="-601"/>
        <w:jc w:val="both"/>
        <w:rPr>
          <w:rFonts w:ascii="Times New Roman" w:hAnsi="Times New Roman" w:cs="Times New Roman"/>
          <w:sz w:val="24"/>
          <w:szCs w:val="24"/>
        </w:rPr>
      </w:pPr>
    </w:p>
    <w:p w14:paraId="74D7D453">
      <w:pPr>
        <w:tabs>
          <w:tab w:val="left" w:pos="2700"/>
        </w:tabs>
        <w:spacing w:line="360" w:lineRule="auto"/>
        <w:ind w:left="-450" w:right="-601"/>
        <w:jc w:val="both"/>
        <w:rPr>
          <w:rFonts w:ascii="Times New Roman" w:hAnsi="Times New Roman" w:cs="Times New Roman"/>
          <w:b/>
          <w:bCs/>
          <w:sz w:val="24"/>
          <w:szCs w:val="24"/>
        </w:rPr>
      </w:pPr>
      <w:r>
        <w:rPr>
          <w:rFonts w:ascii="Times New Roman" w:hAnsi="Times New Roman" w:cs="Times New Roman"/>
          <w:b/>
          <w:bCs/>
          <w:sz w:val="24"/>
          <w:szCs w:val="24"/>
        </w:rPr>
        <w:t>2.3 Seed Metering Mechanism</w:t>
      </w:r>
    </w:p>
    <w:p w14:paraId="79B846F9">
      <w:pPr>
        <w:tabs>
          <w:tab w:val="left" w:pos="2700"/>
        </w:tabs>
        <w:spacing w:line="360" w:lineRule="auto"/>
        <w:ind w:left="-450" w:right="-601"/>
        <w:jc w:val="both"/>
        <w:rPr>
          <w:rFonts w:ascii="Times New Roman" w:hAnsi="Times New Roman" w:cs="Times New Roman"/>
          <w:sz w:val="24"/>
          <w:szCs w:val="24"/>
        </w:rPr>
      </w:pPr>
      <w:r>
        <w:rPr>
          <w:rFonts w:ascii="Times New Roman" w:hAnsi="Times New Roman" w:cs="Times New Roman"/>
          <w:sz w:val="24"/>
          <w:szCs w:val="24"/>
        </w:rPr>
        <w:t>Pre-germinated paddy seeds were metered through uniformly spaced perforations on the surface of the drum. The drum rotation speed was selected based on preliminary trials to achieve the desired seed rate for direct-seeded rice. The motor-assisted rotation enabled consistent seed flow, reduced seed clumping, and minimized seed loss during operation.</w:t>
      </w:r>
    </w:p>
    <w:p w14:paraId="698ABEA9">
      <w:pPr>
        <w:tabs>
          <w:tab w:val="left" w:pos="2700"/>
        </w:tabs>
        <w:spacing w:line="360" w:lineRule="auto"/>
        <w:ind w:left="-450" w:right="-601"/>
        <w:rPr>
          <w:rFonts w:ascii="Times New Roman" w:hAnsi="Times New Roman" w:cs="Times New Roman"/>
          <w:b/>
          <w:bCs/>
          <w:sz w:val="24"/>
          <w:szCs w:val="24"/>
        </w:rPr>
      </w:pPr>
      <w:r>
        <w:rPr>
          <w:rFonts w:ascii="Times New Roman" w:hAnsi="Times New Roman" w:cs="Times New Roman"/>
          <w:b/>
          <w:bCs/>
          <w:sz w:val="24"/>
          <w:szCs w:val="24"/>
        </w:rPr>
        <w:t>2.4 Field Experimental Conditions</w:t>
      </w:r>
    </w:p>
    <w:p w14:paraId="771FB4B3">
      <w:pPr>
        <w:tabs>
          <w:tab w:val="left" w:pos="2700"/>
        </w:tabs>
        <w:spacing w:line="360" w:lineRule="auto"/>
        <w:ind w:left="-450" w:right="-601"/>
        <w:jc w:val="both"/>
        <w:rPr>
          <w:rFonts w:ascii="Times New Roman" w:hAnsi="Times New Roman" w:cs="Times New Roman" w:eastAsiaTheme="minorEastAsia"/>
          <w:sz w:val="24"/>
          <w:szCs w:val="24"/>
          <w:lang w:val="en-IN" w:eastAsia="en-IN" w:bidi="ar-SA"/>
        </w:rPr>
      </w:pPr>
      <w:r>
        <w:rPr>
          <w:rFonts w:ascii="Times New Roman" w:hAnsi="Times New Roman" w:cs="Times New Roman" w:eastAsiaTheme="minorEastAsia"/>
          <w:sz w:val="24"/>
          <w:szCs w:val="24"/>
          <w:lang w:val="en-IN" w:eastAsia="en-IN" w:bidi="ar-SA"/>
        </w:rPr>
        <w:t xml:space="preserve">The present research was conducted at M.S. Swaminathan Vayal </w:t>
      </w:r>
      <w:r>
        <w:rPr>
          <w:rFonts w:hint="default" w:ascii="Times New Roman" w:hAnsi="Times New Roman" w:cs="Times New Roman"/>
          <w:sz w:val="24"/>
          <w:szCs w:val="24"/>
          <w:lang w:val="en-US" w:eastAsia="en-IN" w:bidi="ar-SA"/>
        </w:rPr>
        <w:t>K</w:t>
      </w:r>
      <w:r>
        <w:rPr>
          <w:rFonts w:ascii="Times New Roman" w:hAnsi="Times New Roman" w:cs="Times New Roman" w:eastAsiaTheme="minorEastAsia"/>
          <w:sz w:val="24"/>
          <w:szCs w:val="24"/>
          <w:lang w:val="en-IN" w:eastAsia="en-IN" w:bidi="ar-SA"/>
        </w:rPr>
        <w:t xml:space="preserve">udam, Department of Agricultural Engineering, Paavai Engineering College, Namakkal, Tamil Nadu, India, during </w:t>
      </w:r>
      <w:r>
        <w:rPr>
          <w:rFonts w:hint="default" w:ascii="Times New Roman" w:hAnsi="Times New Roman" w:cs="Times New Roman"/>
          <w:sz w:val="24"/>
          <w:szCs w:val="24"/>
          <w:lang w:val="en-US" w:eastAsia="en-IN" w:bidi="ar-SA"/>
        </w:rPr>
        <w:t>2024-25</w:t>
      </w:r>
      <w:r>
        <w:rPr>
          <w:rFonts w:ascii="Times New Roman" w:hAnsi="Times New Roman" w:cs="Times New Roman" w:eastAsiaTheme="minorEastAsia"/>
          <w:sz w:val="24"/>
          <w:szCs w:val="24"/>
          <w:lang w:val="en-IN" w:eastAsia="en-IN" w:bidi="ar-SA"/>
        </w:rPr>
        <w:t>. The experimental site is located in the north-western agro-climatic zone of Tamil Nadu, at an approximate latitude of 11.22° N and longitude of 78.17° E, with an average elevation of about 300 m above mean sea level.</w:t>
      </w:r>
    </w:p>
    <w:p w14:paraId="0678EA4B">
      <w:pPr>
        <w:tabs>
          <w:tab w:val="left" w:pos="2700"/>
        </w:tabs>
        <w:spacing w:line="360" w:lineRule="auto"/>
        <w:ind w:left="-450" w:right="-601"/>
        <w:jc w:val="both"/>
        <w:rPr>
          <w:rFonts w:ascii="Times New Roman" w:hAnsi="Times New Roman" w:cs="Times New Roman" w:eastAsiaTheme="minorEastAsia"/>
          <w:sz w:val="24"/>
          <w:szCs w:val="24"/>
          <w:lang w:val="en-IN" w:eastAsia="en-IN" w:bidi="ar-SA"/>
        </w:rPr>
      </w:pPr>
      <w:r>
        <w:rPr>
          <w:rFonts w:ascii="Times New Roman" w:hAnsi="Times New Roman" w:cs="Times New Roman" w:eastAsiaTheme="minorEastAsia"/>
          <w:sz w:val="24"/>
          <w:szCs w:val="24"/>
          <w:lang w:val="en-IN" w:eastAsia="en-IN" w:bidi="ar-SA"/>
        </w:rPr>
        <w:t>Field evaluation trials were carried out on a puddled wetland rice field covering a total experimental area of 0.4 ha. The experimental field was divided into uniform sub-plots of size 20 m × 10 m (0.02 ha each) to facilitate replicated evaluation of the semi-automatic paddy drum seeder and conventional manual broadcasting under comparable field conditions.</w:t>
      </w:r>
    </w:p>
    <w:p w14:paraId="1446896C">
      <w:pPr>
        <w:tabs>
          <w:tab w:val="left" w:pos="2700"/>
        </w:tabs>
        <w:spacing w:line="360" w:lineRule="auto"/>
        <w:ind w:left="-450" w:right="-601"/>
        <w:jc w:val="both"/>
        <w:rPr>
          <w:rFonts w:ascii="Times New Roman" w:hAnsi="Times New Roman" w:cs="Times New Roman" w:eastAsiaTheme="minorEastAsia"/>
          <w:sz w:val="24"/>
          <w:szCs w:val="24"/>
          <w:lang w:val="en-IN" w:eastAsia="en-IN" w:bidi="ar-SA"/>
        </w:rPr>
      </w:pPr>
      <w:r>
        <w:rPr>
          <w:rFonts w:ascii="Times New Roman" w:hAnsi="Times New Roman" w:cs="Times New Roman" w:eastAsiaTheme="minorEastAsia"/>
          <w:sz w:val="24"/>
          <w:szCs w:val="24"/>
          <w:lang w:val="en-IN" w:eastAsia="en-IN" w:bidi="ar-SA"/>
        </w:rPr>
        <w:t>The soil of the experimental site was clay loam in texture, typical of wetland rice ecosystems. Prior to sowing, the field was prepared through standard puddling operations to achieve uniform soil moisture and surface conditions. Pre-germinated rice seeds were used uniformly for all treatments to ensure consistency across experimental plots.</w:t>
      </w:r>
    </w:p>
    <w:p w14:paraId="36005144">
      <w:pPr>
        <w:tabs>
          <w:tab w:val="left" w:pos="2700"/>
        </w:tabs>
        <w:spacing w:line="360" w:lineRule="auto"/>
        <w:ind w:left="-450" w:right="-601"/>
        <w:jc w:val="both"/>
        <w:rPr>
          <w:rFonts w:ascii="Times New Roman" w:hAnsi="Times New Roman" w:cs="Times New Roman" w:eastAsiaTheme="minorEastAsia"/>
          <w:sz w:val="24"/>
          <w:szCs w:val="24"/>
          <w:lang w:val="en-IN" w:eastAsia="en-IN" w:bidi="ar-SA"/>
        </w:rPr>
      </w:pPr>
      <w:r>
        <w:rPr>
          <w:rFonts w:ascii="Times New Roman" w:hAnsi="Times New Roman" w:cs="Times New Roman" w:eastAsiaTheme="minorEastAsia"/>
          <w:sz w:val="24"/>
          <w:szCs w:val="24"/>
          <w:lang w:val="en-IN" w:eastAsia="en-IN" w:bidi="ar-SA"/>
        </w:rPr>
        <w:t>All field operations and performance evaluations were conducted under similar environmental and soil conditions to minimize experimental variability and to enable reliable comparison between sowing methods.</w:t>
      </w:r>
    </w:p>
    <w:p w14:paraId="1ADD86F8">
      <w:pPr>
        <w:tabs>
          <w:tab w:val="left" w:pos="2700"/>
        </w:tabs>
        <w:spacing w:line="360" w:lineRule="auto"/>
        <w:ind w:left="-450" w:right="-601"/>
        <w:rPr>
          <w:rFonts w:ascii="Times New Roman" w:hAnsi="Times New Roman" w:cs="Times New Roman"/>
          <w:b/>
          <w:bCs/>
          <w:sz w:val="24"/>
          <w:szCs w:val="24"/>
        </w:rPr>
      </w:pPr>
      <w:r>
        <w:rPr>
          <w:rFonts w:ascii="Times New Roman" w:hAnsi="Times New Roman" w:cs="Times New Roman"/>
          <w:b/>
          <w:bCs/>
          <w:sz w:val="24"/>
          <w:szCs w:val="24"/>
        </w:rPr>
        <w:t>2.5 Performance Parameters</w:t>
      </w:r>
    </w:p>
    <w:p w14:paraId="3F8FAA84">
      <w:pPr>
        <w:tabs>
          <w:tab w:val="left" w:pos="2700"/>
        </w:tabs>
        <w:spacing w:line="360" w:lineRule="auto"/>
        <w:ind w:left="-450" w:right="-601"/>
        <w:rPr>
          <w:rFonts w:ascii="Times New Roman" w:hAnsi="Times New Roman" w:cs="Times New Roman"/>
          <w:sz w:val="24"/>
          <w:szCs w:val="24"/>
        </w:rPr>
      </w:pPr>
      <w:r>
        <w:rPr>
          <w:rFonts w:ascii="Times New Roman" w:hAnsi="Times New Roman" w:cs="Times New Roman"/>
          <w:sz w:val="24"/>
          <w:szCs w:val="24"/>
        </w:rPr>
        <w:t>The performance of the developed seeder was evaluated based on the following parameters:</w:t>
      </w:r>
    </w:p>
    <w:p w14:paraId="058D5C4E">
      <w:pPr>
        <w:numPr>
          <w:ilvl w:val="0"/>
          <w:numId w:val="1"/>
        </w:numPr>
        <w:tabs>
          <w:tab w:val="left" w:pos="2700"/>
        </w:tabs>
        <w:spacing w:line="360" w:lineRule="auto"/>
        <w:ind w:right="-601"/>
        <w:rPr>
          <w:rFonts w:ascii="Times New Roman" w:hAnsi="Times New Roman" w:cs="Times New Roman"/>
          <w:sz w:val="24"/>
          <w:szCs w:val="24"/>
        </w:rPr>
      </w:pPr>
      <w:r>
        <w:rPr>
          <w:rFonts w:ascii="Times New Roman" w:hAnsi="Times New Roman" w:cs="Times New Roman"/>
          <w:sz w:val="24"/>
          <w:szCs w:val="24"/>
        </w:rPr>
        <w:t>Seed rate (kg ha⁻¹)</w:t>
      </w:r>
    </w:p>
    <w:p w14:paraId="1B1AC15A">
      <w:pPr>
        <w:numPr>
          <w:ilvl w:val="0"/>
          <w:numId w:val="1"/>
        </w:numPr>
        <w:tabs>
          <w:tab w:val="left" w:pos="2700"/>
        </w:tabs>
        <w:spacing w:line="360" w:lineRule="auto"/>
        <w:ind w:right="-601"/>
        <w:rPr>
          <w:rFonts w:ascii="Times New Roman" w:hAnsi="Times New Roman" w:cs="Times New Roman"/>
          <w:sz w:val="24"/>
          <w:szCs w:val="24"/>
        </w:rPr>
      </w:pPr>
      <w:r>
        <w:rPr>
          <w:rFonts w:ascii="Times New Roman" w:hAnsi="Times New Roman" w:cs="Times New Roman"/>
          <w:sz w:val="24"/>
          <w:szCs w:val="24"/>
        </w:rPr>
        <w:t>Time required for sowing (h ha⁻¹)</w:t>
      </w:r>
    </w:p>
    <w:p w14:paraId="6C786931">
      <w:pPr>
        <w:numPr>
          <w:ilvl w:val="0"/>
          <w:numId w:val="1"/>
        </w:numPr>
        <w:tabs>
          <w:tab w:val="left" w:pos="2700"/>
        </w:tabs>
        <w:spacing w:line="360" w:lineRule="auto"/>
        <w:ind w:right="-601"/>
        <w:rPr>
          <w:rFonts w:ascii="Times New Roman" w:hAnsi="Times New Roman" w:cs="Times New Roman"/>
          <w:sz w:val="24"/>
          <w:szCs w:val="24"/>
        </w:rPr>
      </w:pPr>
      <w:r>
        <w:rPr>
          <w:rFonts w:ascii="Times New Roman" w:hAnsi="Times New Roman" w:cs="Times New Roman"/>
          <w:sz w:val="24"/>
          <w:szCs w:val="24"/>
        </w:rPr>
        <w:t>Labour requirement (h ha⁻¹)</w:t>
      </w:r>
    </w:p>
    <w:p w14:paraId="62687249">
      <w:pPr>
        <w:numPr>
          <w:ilvl w:val="0"/>
          <w:numId w:val="1"/>
        </w:numPr>
        <w:tabs>
          <w:tab w:val="left" w:pos="2700"/>
        </w:tabs>
        <w:spacing w:line="360" w:lineRule="auto"/>
        <w:ind w:right="-601"/>
        <w:rPr>
          <w:rFonts w:ascii="Times New Roman" w:hAnsi="Times New Roman" w:cs="Times New Roman"/>
          <w:sz w:val="24"/>
          <w:szCs w:val="24"/>
        </w:rPr>
      </w:pPr>
      <w:r>
        <w:rPr>
          <w:rFonts w:ascii="Times New Roman" w:hAnsi="Times New Roman" w:cs="Times New Roman"/>
          <w:sz w:val="24"/>
          <w:szCs w:val="24"/>
        </w:rPr>
        <w:t>Effective field capacity (ha h⁻¹)</w:t>
      </w:r>
    </w:p>
    <w:p w14:paraId="5BF55387">
      <w:pPr>
        <w:numPr>
          <w:ilvl w:val="0"/>
          <w:numId w:val="1"/>
        </w:numPr>
        <w:tabs>
          <w:tab w:val="left" w:pos="2700"/>
        </w:tabs>
        <w:spacing w:line="360" w:lineRule="auto"/>
        <w:ind w:right="-601"/>
        <w:rPr>
          <w:rFonts w:ascii="Times New Roman" w:hAnsi="Times New Roman" w:cs="Times New Roman"/>
          <w:sz w:val="24"/>
          <w:szCs w:val="24"/>
        </w:rPr>
      </w:pPr>
      <w:r>
        <w:rPr>
          <w:rFonts w:ascii="Times New Roman" w:hAnsi="Times New Roman" w:cs="Times New Roman"/>
          <w:sz w:val="24"/>
          <w:szCs w:val="24"/>
        </w:rPr>
        <w:t>Field efficiency (%)</w:t>
      </w:r>
    </w:p>
    <w:p w14:paraId="6D92494B">
      <w:pPr>
        <w:tabs>
          <w:tab w:val="left" w:pos="2700"/>
        </w:tabs>
        <w:spacing w:line="360" w:lineRule="auto"/>
        <w:ind w:left="-450" w:right="-601"/>
        <w:jc w:val="both"/>
        <w:rPr>
          <w:rFonts w:ascii="Times New Roman" w:hAnsi="Times New Roman" w:cs="Times New Roman"/>
          <w:sz w:val="24"/>
          <w:szCs w:val="24"/>
        </w:rPr>
      </w:pPr>
      <w:r>
        <w:rPr>
          <w:rFonts w:ascii="Times New Roman" w:hAnsi="Times New Roman" w:cs="Times New Roman"/>
          <w:sz w:val="24"/>
          <w:szCs w:val="24"/>
        </w:rPr>
        <w:t xml:space="preserve">These parameters were selected to </w:t>
      </w:r>
      <w:r>
        <w:rPr>
          <w:rFonts w:hint="default" w:ascii="Times New Roman" w:hAnsi="Times New Roman" w:cs="Times New Roman"/>
          <w:sz w:val="24"/>
          <w:szCs w:val="24"/>
          <w:lang w:val="en-US"/>
        </w:rPr>
        <w:t>observe</w:t>
      </w:r>
      <w:r>
        <w:rPr>
          <w:rFonts w:ascii="Times New Roman" w:hAnsi="Times New Roman" w:cs="Times New Roman"/>
          <w:sz w:val="24"/>
          <w:szCs w:val="24"/>
        </w:rPr>
        <w:t xml:space="preserve"> both operational efficiency and labour-saving potential of the developed machine.</w:t>
      </w:r>
    </w:p>
    <w:p w14:paraId="2012A7A0">
      <w:pPr>
        <w:tabs>
          <w:tab w:val="left" w:pos="2700"/>
        </w:tabs>
        <w:spacing w:line="360" w:lineRule="auto"/>
        <w:ind w:left="-450" w:right="-601"/>
        <w:rPr>
          <w:rFonts w:ascii="Times New Roman" w:hAnsi="Times New Roman" w:cs="Times New Roman"/>
          <w:b/>
          <w:bCs/>
          <w:sz w:val="24"/>
          <w:szCs w:val="24"/>
        </w:rPr>
      </w:pPr>
      <w:r>
        <w:rPr>
          <w:rFonts w:ascii="Times New Roman" w:hAnsi="Times New Roman" w:cs="Times New Roman"/>
          <w:b/>
          <w:bCs/>
          <w:sz w:val="24"/>
          <w:szCs w:val="24"/>
        </w:rPr>
        <w:t>2.6 Performance Evaluation Equations</w:t>
      </w:r>
    </w:p>
    <w:p w14:paraId="06B575D4">
      <w:pPr>
        <w:tabs>
          <w:tab w:val="left" w:pos="2700"/>
        </w:tabs>
        <w:spacing w:line="360" w:lineRule="auto"/>
        <w:ind w:left="-450" w:right="-601"/>
        <w:jc w:val="both"/>
        <w:rPr>
          <w:rFonts w:ascii="Times New Roman" w:hAnsi="Times New Roman" w:cs="Times New Roman"/>
          <w:sz w:val="24"/>
          <w:szCs w:val="24"/>
          <w:lang w:val="en-US"/>
        </w:rPr>
      </w:pPr>
      <w:r>
        <w:rPr>
          <w:rFonts w:ascii="Times New Roman" w:hAnsi="Times New Roman" w:cs="Times New Roman"/>
          <w:sz w:val="24"/>
          <w:szCs w:val="24"/>
        </w:rPr>
        <w:t>T</w:t>
      </w:r>
      <w:r>
        <w:rPr>
          <w:rFonts w:ascii="Times New Roman" w:hAnsi="Times New Roman" w:cs="Times New Roman"/>
          <w:sz w:val="24"/>
          <w:szCs w:val="24"/>
          <w:lang w:val="en-US"/>
        </w:rPr>
        <w:t>he performance of the semi-automatic paddy drum seeder and the conventional manual broadcasting method was evaluated using standard agricultural engineering performance indices. All parameters were calculated on a per-hectare basis to enable direct comparison between sowing methods.</w:t>
      </w:r>
    </w:p>
    <w:p w14:paraId="7A75EB2D">
      <w:pPr>
        <w:tabs>
          <w:tab w:val="left" w:pos="2700"/>
        </w:tabs>
        <w:spacing w:line="360" w:lineRule="auto"/>
        <w:ind w:left="-450" w:right="-601"/>
        <w:rPr>
          <w:rFonts w:ascii="Times New Roman" w:hAnsi="Times New Roman" w:cs="Times New Roman"/>
          <w:b/>
          <w:bCs/>
          <w:sz w:val="24"/>
          <w:szCs w:val="24"/>
        </w:rPr>
      </w:pPr>
      <w:r>
        <w:rPr>
          <w:rFonts w:ascii="Times New Roman" w:hAnsi="Times New Roman" w:cs="Times New Roman"/>
          <w:b/>
          <w:bCs/>
          <w:sz w:val="24"/>
          <w:szCs w:val="24"/>
        </w:rPr>
        <w:t>2.6.1 Seed Rate</w:t>
      </w:r>
    </w:p>
    <w:p w14:paraId="18CC2126">
      <w:pPr>
        <w:tabs>
          <w:tab w:val="left" w:pos="2700"/>
        </w:tabs>
        <w:spacing w:line="360" w:lineRule="auto"/>
        <w:ind w:left="-450" w:right="-601"/>
        <w:jc w:val="both"/>
        <w:rPr>
          <w:rFonts w:hint="default" w:ascii="Times New Roman" w:hAnsi="Times New Roman" w:cs="Times New Roman"/>
          <w:sz w:val="24"/>
          <w:szCs w:val="24"/>
          <w:lang w:val="en-US"/>
        </w:rPr>
      </w:pPr>
      <w:r>
        <w:rPr>
          <w:rFonts w:ascii="Times New Roman" w:hAnsi="Times New Roman" w:cs="Times New Roman"/>
          <w:sz w:val="24"/>
          <w:szCs w:val="24"/>
        </w:rPr>
        <w:t>Seed rate was determined as the total quantity of seed used to sow a known area and expressed on a hectare basis using Eq. (1):</w:t>
      </w:r>
      <w:r>
        <w:rPr>
          <w:rFonts w:hint="default" w:ascii="Times New Roman" w:hAnsi="Times New Roman" w:cs="Times New Roman"/>
          <w:sz w:val="24"/>
          <w:szCs w:val="24"/>
          <w:lang w:val="en-US"/>
        </w:rPr>
        <w:t xml:space="preserve"> </w:t>
      </w:r>
      <w:r>
        <w:rPr>
          <w:rFonts w:ascii="Times New Roman" w:hAnsi="Times New Roman" w:cs="Times New Roman"/>
          <w:sz w:val="24"/>
          <w:szCs w:val="24"/>
        </w:rPr>
        <w:t>Kepner et al. (2018)</w:t>
      </w:r>
    </w:p>
    <w:p w14:paraId="6A2075C2">
      <w:pPr>
        <w:tabs>
          <w:tab w:val="left" w:pos="2700"/>
        </w:tabs>
        <w:spacing w:line="360" w:lineRule="auto"/>
        <w:ind w:left="-450" w:right="-601"/>
        <w:rPr>
          <w:rFonts w:ascii="Times New Roman" w:hAnsi="Times New Roman" w:cs="Times New Roman"/>
          <w:sz w:val="24"/>
          <w:szCs w:val="24"/>
        </w:rPr>
      </w:pPr>
      <m:oMathPara>
        <m:oMath>
          <m:m>
            <m:mPr>
              <m:mcs>
                <m:mc>
                  <m:mcPr>
                    <m:count m:val="4"/>
                    <m:mcJc m:val="center"/>
                  </m:mcPr>
                </m:mc>
              </m:mcs>
              <m:plcHide m:val="1"/>
              <m:ctrlPr>
                <w:rPr>
                  <w:rFonts w:ascii="Cambria Math" w:hAnsi="Cambria Math" w:cs="Times New Roman"/>
                  <w:sz w:val="24"/>
                  <w:szCs w:val="24"/>
                </w:rPr>
              </m:ctrlPr>
            </m:mPr>
            <m:mr>
              <m:e>
                <m:ctrlPr>
                  <w:rPr>
                    <w:rFonts w:ascii="Cambria Math" w:hAnsi="Cambria Math" w:cs="Times New Roman"/>
                    <w:sz w:val="24"/>
                    <w:szCs w:val="24"/>
                  </w:rPr>
                </m:ctrlPr>
              </m:e>
              <m:e>
                <m:sSup>
                  <m:sSupPr>
                    <m:ctrlPr>
                      <w:rPr>
                        <w:rFonts w:ascii="Cambria Math" w:hAnsi="Cambria Math" w:cs="Times New Roman"/>
                        <w:sz w:val="24"/>
                        <w:szCs w:val="24"/>
                      </w:rPr>
                    </m:ctrlPr>
                  </m:sSupPr>
                  <m:e>
                    <m:r>
                      <m:rPr>
                        <m:nor/>
                        <m:sty m:val="p"/>
                      </m:rPr>
                      <w:rPr>
                        <w:rFonts w:ascii="Times New Roman" w:hAnsi="Times New Roman" w:cs="Times New Roman"/>
                        <w:b w:val="0"/>
                        <w:i w:val="0"/>
                        <w:sz w:val="24"/>
                        <w:szCs w:val="24"/>
                      </w:rPr>
                      <m:t>Seed rate (kg ha</m:t>
                    </m:r>
                    <m:ctrlPr>
                      <w:rPr>
                        <w:rFonts w:ascii="Cambria Math" w:hAnsi="Cambria Math" w:cs="Times New Roman"/>
                        <w:sz w:val="24"/>
                        <w:szCs w:val="24"/>
                      </w:rPr>
                    </m:ctrlPr>
                  </m:e>
                  <m:sup>
                    <m:r>
                      <m:rPr/>
                      <w:rPr>
                        <w:rFonts w:ascii="Cambria Math" w:hAnsi="Cambria Math" w:cs="Times New Roman"/>
                        <w:sz w:val="24"/>
                        <w:szCs w:val="24"/>
                      </w:rPr>
                      <m:t>−1</m:t>
                    </m:r>
                    <m:ctrlPr>
                      <w:rPr>
                        <w:rFonts w:ascii="Cambria Math" w:hAnsi="Cambria Math" w:cs="Times New Roman"/>
                        <w:sz w:val="24"/>
                        <w:szCs w:val="24"/>
                      </w:rPr>
                    </m:ctrlPr>
                  </m:sup>
                </m:sSup>
                <m:r>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w:rPr>
                            <w:rFonts w:ascii="Cambria Math" w:hAnsi="Cambria Math" w:cs="Times New Roman"/>
                            <w:sz w:val="24"/>
                            <w:szCs w:val="24"/>
                          </w:rPr>
                          <m:t>W</m:t>
                        </m:r>
                        <m:ctrlPr>
                          <w:rPr>
                            <w:rFonts w:ascii="Cambria Math" w:hAnsi="Cambria Math" w:cs="Times New Roman"/>
                            <w:sz w:val="24"/>
                            <w:szCs w:val="24"/>
                          </w:rPr>
                        </m:ctrlPr>
                      </m:e>
                      <m:sub>
                        <m:r>
                          <m:rPr/>
                          <w:rPr>
                            <w:rFonts w:ascii="Cambria Math" w:hAnsi="Cambria Math" w:cs="Times New Roman"/>
                            <w:sz w:val="24"/>
                            <w:szCs w:val="24"/>
                          </w:rPr>
                          <m:t>s</m:t>
                        </m:r>
                        <m:ctrlPr>
                          <w:rPr>
                            <w:rFonts w:ascii="Cambria Math" w:hAnsi="Cambria Math" w:cs="Times New Roman"/>
                            <w:sz w:val="24"/>
                            <w:szCs w:val="24"/>
                          </w:rPr>
                        </m:ctrlPr>
                      </m:sub>
                    </m:sSub>
                    <m:ctrlPr>
                      <w:rPr>
                        <w:rFonts w:ascii="Cambria Math" w:hAnsi="Cambria Math" w:cs="Times New Roman"/>
                        <w:sz w:val="24"/>
                        <w:szCs w:val="24"/>
                      </w:rPr>
                    </m:ctrlPr>
                  </m:num>
                  <m:den>
                    <m:r>
                      <m:rPr/>
                      <w:rPr>
                        <w:rFonts w:ascii="Cambria Math" w:hAnsi="Cambria Math" w:cs="Times New Roman"/>
                        <w:sz w:val="24"/>
                        <w:szCs w:val="24"/>
                      </w:rPr>
                      <m:t>A</m:t>
                    </m:r>
                    <m:ctrlPr>
                      <w:rPr>
                        <w:rFonts w:ascii="Cambria Math" w:hAnsi="Cambria Math" w:cs="Times New Roman"/>
                        <w:sz w:val="24"/>
                        <w:szCs w:val="24"/>
                      </w:rPr>
                    </m:ctrlPr>
                  </m:den>
                </m:f>
                <m:r>
                  <m:rPr/>
                  <w:rPr>
                    <w:rFonts w:ascii="Cambria Math" w:hAnsi="Cambria Math" w:cs="Times New Roman"/>
                    <w:sz w:val="24"/>
                    <w:szCs w:val="24"/>
                  </w:rPr>
                  <m:t>×</m:t>
                </m:r>
                <m:r>
                  <m:rPr>
                    <m:sty m:val="p"/>
                  </m:rPr>
                  <w:rPr>
                    <w:rFonts w:ascii="Cambria Math" w:hAnsi="Cambria Math" w:cs="Times New Roman"/>
                    <w:sz w:val="24"/>
                    <w:szCs w:val="24"/>
                  </w:rPr>
                  <m:t>10,000</m:t>
                </m:r>
                <m:ctrlPr>
                  <w:rPr>
                    <w:rFonts w:ascii="Cambria Math" w:hAnsi="Cambria Math" w:cs="Times New Roman"/>
                    <w:sz w:val="24"/>
                    <w:szCs w:val="24"/>
                  </w:rPr>
                </m:ctrlPr>
              </m:e>
              <m:e>
                <m:ctrlPr>
                  <w:rPr>
                    <w:rFonts w:ascii="Cambria Math" w:hAnsi="Cambria Math" w:cs="Times New Roman"/>
                    <w:sz w:val="24"/>
                    <w:szCs w:val="24"/>
                  </w:rPr>
                </m:ctrlPr>
              </m:e>
              <m:e>
                <m:r>
                  <m:rPr>
                    <m:nor/>
                    <m:sty m:val="p"/>
                  </m:rPr>
                  <w:rPr>
                    <w:rFonts w:ascii="Times New Roman" w:hAnsi="Times New Roman" w:cs="Times New Roman"/>
                    <w:b w:val="0"/>
                    <w:i w:val="0"/>
                    <w:sz w:val="24"/>
                    <w:szCs w:val="24"/>
                  </w:rPr>
                  <m:t>(1)</m:t>
                </m:r>
                <m:ctrlPr>
                  <w:rPr>
                    <w:rFonts w:ascii="Cambria Math" w:hAnsi="Cambria Math" w:cs="Times New Roman"/>
                    <w:sz w:val="24"/>
                    <w:szCs w:val="24"/>
                  </w:rPr>
                </m:ctrlPr>
              </m:e>
            </m:mr>
          </m:m>
        </m:oMath>
      </m:oMathPara>
    </w:p>
    <w:p w14:paraId="7A529433">
      <w:pPr>
        <w:tabs>
          <w:tab w:val="left" w:pos="2700"/>
        </w:tabs>
        <w:spacing w:line="360" w:lineRule="auto"/>
        <w:ind w:left="-450" w:right="-601"/>
        <w:rPr>
          <w:rFonts w:ascii="Times New Roman" w:hAnsi="Times New Roman" w:cs="Times New Roman"/>
          <w:sz w:val="24"/>
          <w:szCs w:val="24"/>
        </w:rPr>
      </w:pPr>
      <w:r>
        <w:rPr>
          <w:rFonts w:ascii="Times New Roman" w:hAnsi="Times New Roman" w:cs="Times New Roman"/>
          <w:sz w:val="24"/>
          <w:szCs w:val="24"/>
        </w:rPr>
        <w:t>where</w:t>
      </w:r>
      <w:r>
        <w:rPr>
          <w:rFonts w:ascii="Times New Roman" w:hAnsi="Times New Roman" w:cs="Times New Roman"/>
          <w:sz w:val="24"/>
          <w:szCs w:val="24"/>
        </w:rPr>
        <w:br w:type="textWrapping"/>
      </w:r>
      <m:oMath>
        <m:sSub>
          <m:sSubPr>
            <m:ctrlPr>
              <w:rPr>
                <w:rFonts w:ascii="Cambria Math" w:hAnsi="Cambria Math" w:cs="Times New Roman"/>
                <w:sz w:val="24"/>
                <w:szCs w:val="24"/>
              </w:rPr>
            </m:ctrlPr>
          </m:sSubPr>
          <m:e>
            <m:r>
              <m:rPr/>
              <w:rPr>
                <w:rFonts w:ascii="Cambria Math" w:hAnsi="Cambria Math" w:cs="Times New Roman"/>
                <w:sz w:val="24"/>
                <w:szCs w:val="24"/>
              </w:rPr>
              <m:t>W</m:t>
            </m:r>
            <m:ctrlPr>
              <w:rPr>
                <w:rFonts w:ascii="Cambria Math" w:hAnsi="Cambria Math" w:cs="Times New Roman"/>
                <w:sz w:val="24"/>
                <w:szCs w:val="24"/>
              </w:rPr>
            </m:ctrlPr>
          </m:e>
          <m:sub>
            <m:r>
              <m:rPr/>
              <w:rPr>
                <w:rFonts w:ascii="Cambria Math" w:hAnsi="Cambria Math" w:cs="Times New Roman"/>
                <w:sz w:val="24"/>
                <w:szCs w:val="24"/>
              </w:rPr>
              <m:t>s</m:t>
            </m:r>
            <m:ctrlPr>
              <w:rPr>
                <w:rFonts w:ascii="Cambria Math" w:hAnsi="Cambria Math" w:cs="Times New Roman"/>
                <w:sz w:val="24"/>
                <w:szCs w:val="24"/>
              </w:rPr>
            </m:ctrlPr>
          </m:sub>
        </m:sSub>
      </m:oMath>
      <w:r>
        <w:rPr>
          <w:rFonts w:ascii="Times New Roman" w:hAnsi="Times New Roman" w:cs="Times New Roman"/>
          <w:sz w:val="24"/>
          <w:szCs w:val="24"/>
        </w:rPr>
        <w:t>= weight of seed used for sowing (kg)</w:t>
      </w:r>
      <w:r>
        <w:rPr>
          <w:rFonts w:ascii="Times New Roman" w:hAnsi="Times New Roman" w:cs="Times New Roman"/>
          <w:sz w:val="24"/>
          <w:szCs w:val="24"/>
        </w:rPr>
        <w:br w:type="textWrapping"/>
      </w:r>
      <m:oMath>
        <m:r>
          <m:rPr/>
          <w:rPr>
            <w:rFonts w:ascii="Cambria Math" w:hAnsi="Cambria Math" w:cs="Times New Roman"/>
            <w:sz w:val="24"/>
            <w:szCs w:val="24"/>
          </w:rPr>
          <m:t>A</m:t>
        </m:r>
      </m:oMath>
      <w:r>
        <w:rPr>
          <w:rFonts w:ascii="Times New Roman" w:hAnsi="Times New Roman" w:cs="Times New Roman"/>
          <w:sz w:val="24"/>
          <w:szCs w:val="24"/>
        </w:rPr>
        <w:t>= area covered during sowing (m²)</w:t>
      </w:r>
    </w:p>
    <w:p w14:paraId="4D0C6AFA">
      <w:pPr>
        <w:tabs>
          <w:tab w:val="left" w:pos="2700"/>
        </w:tabs>
        <w:spacing w:line="360" w:lineRule="auto"/>
        <w:ind w:left="-450" w:right="-601"/>
        <w:rPr>
          <w:rFonts w:ascii="Times New Roman" w:hAnsi="Times New Roman" w:cs="Times New Roman"/>
          <w:b/>
          <w:bCs/>
          <w:sz w:val="24"/>
          <w:szCs w:val="24"/>
        </w:rPr>
      </w:pPr>
      <w:r>
        <w:rPr>
          <w:rFonts w:ascii="Times New Roman" w:hAnsi="Times New Roman" w:cs="Times New Roman"/>
          <w:b/>
          <w:bCs/>
          <w:sz w:val="24"/>
          <w:szCs w:val="24"/>
        </w:rPr>
        <w:t>2.6.2 Effective Field Capacity</w:t>
      </w:r>
    </w:p>
    <w:p w14:paraId="7070DBCC">
      <w:pPr>
        <w:tabs>
          <w:tab w:val="left" w:pos="2700"/>
        </w:tabs>
        <w:spacing w:line="360" w:lineRule="auto"/>
        <w:ind w:left="-450" w:right="-601"/>
        <w:jc w:val="both"/>
        <w:rPr>
          <w:rFonts w:hint="default" w:ascii="Times New Roman" w:hAnsi="Times New Roman" w:cs="Times New Roman"/>
          <w:sz w:val="24"/>
          <w:szCs w:val="24"/>
          <w:lang w:val="en-US"/>
        </w:rPr>
      </w:pPr>
      <w:r>
        <w:rPr>
          <w:rFonts w:ascii="Times New Roman" w:hAnsi="Times New Roman" w:cs="Times New Roman"/>
          <w:sz w:val="24"/>
          <w:szCs w:val="24"/>
        </w:rPr>
        <w:t>Effective field capacity represents the actual area covered by the machine per unit time under field conditions, accounting for turning, overlap, and minor stoppages. It was calculated using Eq. (2):</w:t>
      </w:r>
      <w:r>
        <w:rPr>
          <w:rFonts w:hint="default" w:ascii="Times New Roman" w:hAnsi="Times New Roman" w:cs="Times New Roman"/>
          <w:sz w:val="24"/>
          <w:szCs w:val="24"/>
          <w:lang w:val="en-US"/>
        </w:rPr>
        <w:t xml:space="preserve"> </w:t>
      </w:r>
      <w:r>
        <w:rPr>
          <w:rFonts w:ascii="Times New Roman" w:hAnsi="Times New Roman" w:cs="Times New Roman"/>
          <w:sz w:val="24"/>
          <w:szCs w:val="24"/>
        </w:rPr>
        <w:t>Hunt (2001) and Srivastava et al. (2006)</w:t>
      </w:r>
    </w:p>
    <w:p w14:paraId="34AD1F4A">
      <w:pPr>
        <w:tabs>
          <w:tab w:val="left" w:pos="2700"/>
        </w:tabs>
        <w:spacing w:line="360" w:lineRule="auto"/>
        <w:ind w:left="-450" w:right="-601"/>
        <w:rPr>
          <w:rFonts w:ascii="Times New Roman" w:hAnsi="Times New Roman" w:cs="Times New Roman"/>
          <w:sz w:val="24"/>
          <w:szCs w:val="24"/>
        </w:rPr>
      </w:pPr>
      <m:oMathPara>
        <m:oMath>
          <m:m>
            <m:mPr>
              <m:mcs>
                <m:mc>
                  <m:mcPr>
                    <m:count m:val="4"/>
                    <m:mcJc m:val="center"/>
                  </m:mcPr>
                </m:mc>
              </m:mcs>
              <m:plcHide m:val="1"/>
              <m:ctrlPr>
                <w:rPr>
                  <w:rFonts w:ascii="Cambria Math" w:hAnsi="Cambria Math" w:cs="Times New Roman"/>
                  <w:sz w:val="24"/>
                  <w:szCs w:val="24"/>
                </w:rPr>
              </m:ctrlPr>
            </m:mPr>
            <m:mr>
              <m:e>
                <m:ctrlPr>
                  <w:rPr>
                    <w:rFonts w:ascii="Cambria Math" w:hAnsi="Cambria Math" w:cs="Times New Roman"/>
                    <w:sz w:val="24"/>
                    <w:szCs w:val="24"/>
                  </w:rPr>
                </m:ctrlPr>
              </m:e>
              <m:e>
                <m:sSup>
                  <m:sSupPr>
                    <m:ctrlPr>
                      <w:rPr>
                        <w:rFonts w:ascii="Cambria Math" w:hAnsi="Cambria Math" w:cs="Times New Roman"/>
                        <w:sz w:val="24"/>
                        <w:szCs w:val="24"/>
                      </w:rPr>
                    </m:ctrlPr>
                  </m:sSupPr>
                  <m:e>
                    <m:r>
                      <m:rPr>
                        <m:nor/>
                        <m:sty m:val="p"/>
                      </m:rPr>
                      <w:rPr>
                        <w:rFonts w:ascii="Times New Roman" w:hAnsi="Times New Roman" w:cs="Times New Roman"/>
                        <w:b w:val="0"/>
                        <w:i w:val="0"/>
                        <w:sz w:val="24"/>
                        <w:szCs w:val="24"/>
                      </w:rPr>
                      <m:t>Effective field capacity (ha h</m:t>
                    </m:r>
                    <m:ctrlPr>
                      <w:rPr>
                        <w:rFonts w:ascii="Cambria Math" w:hAnsi="Cambria Math" w:cs="Times New Roman"/>
                        <w:sz w:val="24"/>
                        <w:szCs w:val="24"/>
                      </w:rPr>
                    </m:ctrlPr>
                  </m:e>
                  <m:sup>
                    <m:r>
                      <m:rPr/>
                      <w:rPr>
                        <w:rFonts w:ascii="Cambria Math" w:hAnsi="Cambria Math" w:cs="Times New Roman"/>
                        <w:sz w:val="24"/>
                        <w:szCs w:val="24"/>
                      </w:rPr>
                      <m:t>−1</m:t>
                    </m:r>
                    <m:ctrlPr>
                      <w:rPr>
                        <w:rFonts w:ascii="Cambria Math" w:hAnsi="Cambria Math" w:cs="Times New Roman"/>
                        <w:sz w:val="24"/>
                        <w:szCs w:val="24"/>
                      </w:rPr>
                    </m:ctrlPr>
                  </m:sup>
                </m:sSup>
                <m:r>
                  <m:rPr/>
                  <w:rPr>
                    <w:rFonts w:ascii="Cambria Math" w:hAnsi="Cambria Math" w:cs="Times New Roman"/>
                    <w:sz w:val="24"/>
                    <w:szCs w:val="24"/>
                  </w:rPr>
                  <m:t>)=</m:t>
                </m:r>
                <m:f>
                  <m:fPr>
                    <m:ctrlPr>
                      <w:rPr>
                        <w:rFonts w:ascii="Cambria Math" w:hAnsi="Cambria Math" w:cs="Times New Roman"/>
                        <w:sz w:val="24"/>
                        <w:szCs w:val="24"/>
                      </w:rPr>
                    </m:ctrlPr>
                  </m:fPr>
                  <m:num>
                    <m:r>
                      <m:rPr/>
                      <w:rPr>
                        <w:rFonts w:ascii="Cambria Math" w:hAnsi="Cambria Math" w:cs="Times New Roman"/>
                        <w:sz w:val="24"/>
                        <w:szCs w:val="24"/>
                      </w:rPr>
                      <m:t>A</m:t>
                    </m:r>
                    <m:ctrlPr>
                      <w:rPr>
                        <w:rFonts w:ascii="Cambria Math" w:hAnsi="Cambria Math" w:cs="Times New Roman"/>
                        <w:sz w:val="24"/>
                        <w:szCs w:val="24"/>
                      </w:rPr>
                    </m:ctrlPr>
                  </m:num>
                  <m:den>
                    <m:r>
                      <m:rPr/>
                      <w:rPr>
                        <w:rFonts w:ascii="Cambria Math" w:hAnsi="Cambria Math" w:cs="Times New Roman"/>
                        <w:sz w:val="24"/>
                        <w:szCs w:val="24"/>
                      </w:rPr>
                      <m:t>T×</m:t>
                    </m:r>
                    <m:r>
                      <m:rPr>
                        <m:sty m:val="p"/>
                      </m:rPr>
                      <w:rPr>
                        <w:rFonts w:ascii="Cambria Math" w:hAnsi="Cambria Math" w:cs="Times New Roman"/>
                        <w:sz w:val="24"/>
                        <w:szCs w:val="24"/>
                      </w:rPr>
                      <m:t>10,000</m:t>
                    </m:r>
                    <m:ctrlPr>
                      <w:rPr>
                        <w:rFonts w:ascii="Cambria Math" w:hAnsi="Cambria Math" w:cs="Times New Roman"/>
                        <w:sz w:val="24"/>
                        <w:szCs w:val="24"/>
                      </w:rPr>
                    </m:ctrlPr>
                  </m:den>
                </m:f>
                <m:ctrlPr>
                  <w:rPr>
                    <w:rFonts w:ascii="Cambria Math" w:hAnsi="Cambria Math" w:cs="Times New Roman"/>
                    <w:sz w:val="24"/>
                    <w:szCs w:val="24"/>
                  </w:rPr>
                </m:ctrlPr>
              </m:e>
              <m:e>
                <m:ctrlPr>
                  <w:rPr>
                    <w:rFonts w:ascii="Cambria Math" w:hAnsi="Cambria Math" w:cs="Times New Roman"/>
                    <w:sz w:val="24"/>
                    <w:szCs w:val="24"/>
                  </w:rPr>
                </m:ctrlPr>
              </m:e>
              <m:e>
                <m:r>
                  <m:rPr>
                    <m:nor/>
                    <m:sty m:val="p"/>
                  </m:rPr>
                  <w:rPr>
                    <w:rFonts w:ascii="Times New Roman" w:hAnsi="Times New Roman" w:cs="Times New Roman"/>
                    <w:b w:val="0"/>
                    <w:i w:val="0"/>
                    <w:sz w:val="24"/>
                    <w:szCs w:val="24"/>
                  </w:rPr>
                  <m:t>(2)</m:t>
                </m:r>
                <m:ctrlPr>
                  <w:rPr>
                    <w:rFonts w:ascii="Cambria Math" w:hAnsi="Cambria Math" w:cs="Times New Roman"/>
                    <w:sz w:val="24"/>
                    <w:szCs w:val="24"/>
                  </w:rPr>
                </m:ctrlPr>
              </m:e>
            </m:mr>
          </m:m>
        </m:oMath>
      </m:oMathPara>
    </w:p>
    <w:p w14:paraId="70962F39">
      <w:pPr>
        <w:tabs>
          <w:tab w:val="left" w:pos="2700"/>
        </w:tabs>
        <w:spacing w:line="360" w:lineRule="auto"/>
        <w:ind w:left="-450" w:right="-601"/>
        <w:rPr>
          <w:rFonts w:ascii="Times New Roman" w:hAnsi="Times New Roman" w:cs="Times New Roman"/>
          <w:sz w:val="24"/>
          <w:szCs w:val="24"/>
        </w:rPr>
      </w:pPr>
      <w:r>
        <w:rPr>
          <w:rFonts w:ascii="Times New Roman" w:hAnsi="Times New Roman" w:cs="Times New Roman"/>
          <w:sz w:val="24"/>
          <w:szCs w:val="24"/>
        </w:rPr>
        <w:t>where</w:t>
      </w:r>
      <w:r>
        <w:rPr>
          <w:rFonts w:ascii="Times New Roman" w:hAnsi="Times New Roman" w:cs="Times New Roman"/>
          <w:sz w:val="24"/>
          <w:szCs w:val="24"/>
        </w:rPr>
        <w:br w:type="textWrapping"/>
      </w:r>
      <m:oMath>
        <m:r>
          <m:rPr/>
          <w:rPr>
            <w:rFonts w:ascii="Cambria Math" w:hAnsi="Cambria Math" w:cs="Times New Roman"/>
            <w:sz w:val="24"/>
            <w:szCs w:val="24"/>
          </w:rPr>
          <m:t>A</m:t>
        </m:r>
      </m:oMath>
      <w:r>
        <w:rPr>
          <w:rFonts w:ascii="Times New Roman" w:hAnsi="Times New Roman" w:cs="Times New Roman"/>
          <w:sz w:val="24"/>
          <w:szCs w:val="24"/>
        </w:rPr>
        <w:t>= effective area covered (m²)</w:t>
      </w:r>
      <w:r>
        <w:rPr>
          <w:rFonts w:ascii="Times New Roman" w:hAnsi="Times New Roman" w:cs="Times New Roman"/>
          <w:sz w:val="24"/>
          <w:szCs w:val="24"/>
        </w:rPr>
        <w:br w:type="textWrapping"/>
      </w:r>
      <m:oMath>
        <m:r>
          <m:rPr/>
          <w:rPr>
            <w:rFonts w:ascii="Cambria Math" w:hAnsi="Cambria Math" w:cs="Times New Roman"/>
            <w:sz w:val="24"/>
            <w:szCs w:val="24"/>
          </w:rPr>
          <m:t>T</m:t>
        </m:r>
      </m:oMath>
      <w:r>
        <w:rPr>
          <w:rFonts w:ascii="Times New Roman" w:hAnsi="Times New Roman" w:cs="Times New Roman"/>
          <w:sz w:val="24"/>
          <w:szCs w:val="24"/>
        </w:rPr>
        <w:t>= total time required for sowing (h)</w:t>
      </w:r>
    </w:p>
    <w:p w14:paraId="4C9E99A3">
      <w:pPr>
        <w:tabs>
          <w:tab w:val="left" w:pos="2700"/>
        </w:tabs>
        <w:spacing w:line="360" w:lineRule="auto"/>
        <w:ind w:left="-450" w:right="-601"/>
        <w:rPr>
          <w:rFonts w:ascii="Times New Roman" w:hAnsi="Times New Roman" w:cs="Times New Roman"/>
          <w:b/>
          <w:bCs/>
          <w:sz w:val="24"/>
          <w:szCs w:val="24"/>
        </w:rPr>
      </w:pPr>
      <w:r>
        <w:rPr>
          <w:rFonts w:ascii="Times New Roman" w:hAnsi="Times New Roman" w:cs="Times New Roman"/>
          <w:b/>
          <w:bCs/>
          <w:sz w:val="24"/>
          <w:szCs w:val="24"/>
        </w:rPr>
        <w:t>2.6.3 Theoretical Field Capacity</w:t>
      </w:r>
    </w:p>
    <w:p w14:paraId="7B78ECD6">
      <w:pPr>
        <w:tabs>
          <w:tab w:val="left" w:pos="2700"/>
        </w:tabs>
        <w:spacing w:line="360" w:lineRule="auto"/>
        <w:ind w:left="-450" w:right="-601"/>
        <w:jc w:val="both"/>
        <w:rPr>
          <w:rFonts w:hint="default" w:ascii="Times New Roman" w:hAnsi="Times New Roman" w:cs="Times New Roman"/>
          <w:sz w:val="24"/>
          <w:szCs w:val="24"/>
          <w:lang w:val="en-US"/>
        </w:rPr>
      </w:pPr>
      <w:r>
        <w:rPr>
          <w:rFonts w:ascii="Times New Roman" w:hAnsi="Times New Roman" w:cs="Times New Roman"/>
          <w:sz w:val="24"/>
          <w:szCs w:val="24"/>
        </w:rPr>
        <w:t>Theoretical field capacity was estimated based on the rated working width of the seeder and the forward speed of operation, assuming ideal field conditions without losses, using Eq. (3):</w:t>
      </w:r>
      <w:r>
        <w:rPr>
          <w:rFonts w:hint="default" w:ascii="Times New Roman" w:hAnsi="Times New Roman" w:cs="Times New Roman"/>
          <w:sz w:val="24"/>
          <w:szCs w:val="24"/>
          <w:lang w:val="en-US"/>
        </w:rPr>
        <w:t xml:space="preserve"> </w:t>
      </w:r>
      <w:r>
        <w:rPr>
          <w:rFonts w:ascii="Times New Roman" w:hAnsi="Times New Roman" w:cs="Times New Roman"/>
          <w:sz w:val="24"/>
          <w:szCs w:val="24"/>
        </w:rPr>
        <w:t>Hunt (2001) and Srivastava et al. (2006)</w:t>
      </w:r>
      <w:r>
        <w:rPr>
          <w:rFonts w:hint="default" w:ascii="Times New Roman" w:hAnsi="Times New Roman" w:cs="Times New Roman"/>
          <w:sz w:val="24"/>
          <w:szCs w:val="24"/>
          <w:lang w:val="en-US"/>
        </w:rPr>
        <w:t>.</w:t>
      </w:r>
    </w:p>
    <w:p w14:paraId="6922B9C9">
      <w:pPr>
        <w:tabs>
          <w:tab w:val="left" w:pos="2700"/>
        </w:tabs>
        <w:spacing w:line="360" w:lineRule="auto"/>
        <w:ind w:left="-450" w:right="-601"/>
        <w:rPr>
          <w:rFonts w:ascii="Times New Roman" w:hAnsi="Times New Roman" w:cs="Times New Roman"/>
          <w:sz w:val="24"/>
          <w:szCs w:val="24"/>
        </w:rPr>
      </w:pPr>
      <m:oMathPara>
        <m:oMath>
          <m:m>
            <m:mPr>
              <m:mcs>
                <m:mc>
                  <m:mcPr>
                    <m:count m:val="4"/>
                    <m:mcJc m:val="center"/>
                  </m:mcPr>
                </m:mc>
              </m:mcs>
              <m:plcHide m:val="1"/>
              <m:ctrlPr>
                <w:rPr>
                  <w:rFonts w:ascii="Cambria Math" w:hAnsi="Cambria Math" w:cs="Times New Roman"/>
                  <w:sz w:val="24"/>
                  <w:szCs w:val="24"/>
                </w:rPr>
              </m:ctrlPr>
            </m:mPr>
            <m:mr>
              <m:e>
                <m:ctrlPr>
                  <w:rPr>
                    <w:rFonts w:ascii="Cambria Math" w:hAnsi="Cambria Math" w:cs="Times New Roman"/>
                    <w:sz w:val="24"/>
                    <w:szCs w:val="24"/>
                  </w:rPr>
                </m:ctrlPr>
              </m:e>
              <m:e>
                <m:sSup>
                  <m:sSupPr>
                    <m:ctrlPr>
                      <w:rPr>
                        <w:rFonts w:ascii="Cambria Math" w:hAnsi="Cambria Math" w:cs="Times New Roman"/>
                        <w:sz w:val="24"/>
                        <w:szCs w:val="24"/>
                      </w:rPr>
                    </m:ctrlPr>
                  </m:sSupPr>
                  <m:e>
                    <m:r>
                      <m:rPr>
                        <m:nor/>
                        <m:sty m:val="p"/>
                      </m:rPr>
                      <w:rPr>
                        <w:rFonts w:ascii="Times New Roman" w:hAnsi="Times New Roman" w:cs="Times New Roman"/>
                        <w:b w:val="0"/>
                        <w:i w:val="0"/>
                        <w:sz w:val="24"/>
                        <w:szCs w:val="24"/>
                      </w:rPr>
                      <m:t>Theoretical field capacity (ha h</m:t>
                    </m:r>
                    <m:ctrlPr>
                      <w:rPr>
                        <w:rFonts w:ascii="Cambria Math" w:hAnsi="Cambria Math" w:cs="Times New Roman"/>
                        <w:sz w:val="24"/>
                        <w:szCs w:val="24"/>
                      </w:rPr>
                    </m:ctrlPr>
                  </m:e>
                  <m:sup>
                    <m:r>
                      <m:rPr/>
                      <w:rPr>
                        <w:rFonts w:ascii="Cambria Math" w:hAnsi="Cambria Math" w:cs="Times New Roman"/>
                        <w:sz w:val="24"/>
                        <w:szCs w:val="24"/>
                      </w:rPr>
                      <m:t>−1</m:t>
                    </m:r>
                    <m:ctrlPr>
                      <w:rPr>
                        <w:rFonts w:ascii="Cambria Math" w:hAnsi="Cambria Math" w:cs="Times New Roman"/>
                        <w:sz w:val="24"/>
                        <w:szCs w:val="24"/>
                      </w:rPr>
                    </m:ctrlPr>
                  </m:sup>
                </m:sSup>
                <m:r>
                  <m:rPr/>
                  <w:rPr>
                    <w:rFonts w:ascii="Cambria Math" w:hAnsi="Cambria Math" w:cs="Times New Roman"/>
                    <w:sz w:val="24"/>
                    <w:szCs w:val="24"/>
                  </w:rPr>
                  <m:t>)=</m:t>
                </m:r>
                <m:f>
                  <m:fPr>
                    <m:ctrlPr>
                      <w:rPr>
                        <w:rFonts w:ascii="Cambria Math" w:hAnsi="Cambria Math" w:cs="Times New Roman"/>
                        <w:sz w:val="24"/>
                        <w:szCs w:val="24"/>
                      </w:rPr>
                    </m:ctrlPr>
                  </m:fPr>
                  <m:num>
                    <m:r>
                      <m:rPr/>
                      <w:rPr>
                        <w:rFonts w:ascii="Cambria Math" w:hAnsi="Cambria Math" w:cs="Times New Roman"/>
                        <w:sz w:val="24"/>
                        <w:szCs w:val="24"/>
                      </w:rPr>
                      <m:t>W×S</m:t>
                    </m:r>
                    <m:ctrlPr>
                      <w:rPr>
                        <w:rFonts w:ascii="Cambria Math" w:hAnsi="Cambria Math" w:cs="Times New Roman"/>
                        <w:sz w:val="24"/>
                        <w:szCs w:val="24"/>
                      </w:rPr>
                    </m:ctrlPr>
                  </m:num>
                  <m:den>
                    <m:r>
                      <m:rPr/>
                      <w:rPr>
                        <w:rFonts w:ascii="Cambria Math" w:hAnsi="Cambria Math" w:cs="Times New Roman"/>
                        <w:sz w:val="24"/>
                        <w:szCs w:val="24"/>
                      </w:rPr>
                      <m:t>10</m:t>
                    </m:r>
                    <m:ctrlPr>
                      <w:rPr>
                        <w:rFonts w:ascii="Cambria Math" w:hAnsi="Cambria Math" w:cs="Times New Roman"/>
                        <w:sz w:val="24"/>
                        <w:szCs w:val="24"/>
                      </w:rPr>
                    </m:ctrlPr>
                  </m:den>
                </m:f>
                <m:ctrlPr>
                  <w:rPr>
                    <w:rFonts w:ascii="Cambria Math" w:hAnsi="Cambria Math" w:cs="Times New Roman"/>
                    <w:sz w:val="24"/>
                    <w:szCs w:val="24"/>
                  </w:rPr>
                </m:ctrlPr>
              </m:e>
              <m:e>
                <m:ctrlPr>
                  <w:rPr>
                    <w:rFonts w:ascii="Cambria Math" w:hAnsi="Cambria Math" w:cs="Times New Roman"/>
                    <w:sz w:val="24"/>
                    <w:szCs w:val="24"/>
                  </w:rPr>
                </m:ctrlPr>
              </m:e>
              <m:e>
                <m:r>
                  <m:rPr>
                    <m:nor/>
                    <m:sty m:val="p"/>
                  </m:rPr>
                  <w:rPr>
                    <w:rFonts w:ascii="Times New Roman" w:hAnsi="Times New Roman" w:cs="Times New Roman"/>
                    <w:b w:val="0"/>
                    <w:i w:val="0"/>
                    <w:sz w:val="24"/>
                    <w:szCs w:val="24"/>
                  </w:rPr>
                  <m:t>(3)</m:t>
                </m:r>
                <m:ctrlPr>
                  <w:rPr>
                    <w:rFonts w:ascii="Cambria Math" w:hAnsi="Cambria Math" w:cs="Times New Roman"/>
                    <w:sz w:val="24"/>
                    <w:szCs w:val="24"/>
                  </w:rPr>
                </m:ctrlPr>
              </m:e>
            </m:mr>
          </m:m>
        </m:oMath>
      </m:oMathPara>
    </w:p>
    <w:p w14:paraId="743E5186">
      <w:pPr>
        <w:tabs>
          <w:tab w:val="left" w:pos="2700"/>
        </w:tabs>
        <w:spacing w:line="360" w:lineRule="auto"/>
        <w:ind w:left="-450" w:right="-601"/>
        <w:rPr>
          <w:rFonts w:ascii="Times New Roman" w:hAnsi="Times New Roman" w:cs="Times New Roman"/>
          <w:sz w:val="24"/>
          <w:szCs w:val="24"/>
        </w:rPr>
      </w:pPr>
      <w:r>
        <w:rPr>
          <w:rFonts w:ascii="Times New Roman" w:hAnsi="Times New Roman" w:cs="Times New Roman"/>
          <w:sz w:val="24"/>
          <w:szCs w:val="24"/>
        </w:rPr>
        <w:t>where</w:t>
      </w:r>
      <w:r>
        <w:rPr>
          <w:rFonts w:ascii="Times New Roman" w:hAnsi="Times New Roman" w:cs="Times New Roman"/>
          <w:sz w:val="24"/>
          <w:szCs w:val="24"/>
        </w:rPr>
        <w:br w:type="textWrapping"/>
      </w:r>
      <m:oMath>
        <m:r>
          <m:rPr/>
          <w:rPr>
            <w:rFonts w:ascii="Cambria Math" w:hAnsi="Cambria Math" w:cs="Times New Roman"/>
            <w:sz w:val="24"/>
            <w:szCs w:val="24"/>
          </w:rPr>
          <m:t>W</m:t>
        </m:r>
      </m:oMath>
      <w:r>
        <w:rPr>
          <w:rFonts w:ascii="Times New Roman" w:hAnsi="Times New Roman" w:cs="Times New Roman"/>
          <w:sz w:val="24"/>
          <w:szCs w:val="24"/>
        </w:rPr>
        <w:t>= effective working width of the seeder (m)</w:t>
      </w:r>
      <w:r>
        <w:rPr>
          <w:rFonts w:ascii="Times New Roman" w:hAnsi="Times New Roman" w:cs="Times New Roman"/>
          <w:sz w:val="24"/>
          <w:szCs w:val="24"/>
        </w:rPr>
        <w:br w:type="textWrapping"/>
      </w:r>
      <m:oMath>
        <m:r>
          <m:rPr/>
          <w:rPr>
            <w:rFonts w:ascii="Cambria Math" w:hAnsi="Cambria Math" w:cs="Times New Roman"/>
            <w:sz w:val="24"/>
            <w:szCs w:val="24"/>
          </w:rPr>
          <m:t>S</m:t>
        </m:r>
      </m:oMath>
      <w:r>
        <w:rPr>
          <w:rFonts w:ascii="Times New Roman" w:hAnsi="Times New Roman" w:cs="Times New Roman"/>
          <w:sz w:val="24"/>
          <w:szCs w:val="24"/>
        </w:rPr>
        <w:t>= forward speed of operation (km h⁻¹)</w:t>
      </w:r>
    </w:p>
    <w:p w14:paraId="15CA650A">
      <w:pPr>
        <w:tabs>
          <w:tab w:val="left" w:pos="2700"/>
        </w:tabs>
        <w:spacing w:line="360" w:lineRule="auto"/>
        <w:ind w:left="-450" w:right="-601"/>
        <w:rPr>
          <w:rFonts w:ascii="Times New Roman" w:hAnsi="Times New Roman" w:cs="Times New Roman"/>
          <w:b/>
          <w:bCs/>
          <w:sz w:val="24"/>
          <w:szCs w:val="24"/>
        </w:rPr>
      </w:pPr>
      <w:r>
        <w:rPr>
          <w:rFonts w:ascii="Times New Roman" w:hAnsi="Times New Roman" w:cs="Times New Roman"/>
          <w:b/>
          <w:bCs/>
          <w:sz w:val="24"/>
          <w:szCs w:val="24"/>
        </w:rPr>
        <w:t>2.6.4 Field Efficiency</w:t>
      </w:r>
    </w:p>
    <w:p w14:paraId="1092DEB8">
      <w:pPr>
        <w:tabs>
          <w:tab w:val="left" w:pos="2700"/>
        </w:tabs>
        <w:spacing w:line="360" w:lineRule="auto"/>
        <w:ind w:left="-450" w:right="-601"/>
        <w:jc w:val="both"/>
        <w:rPr>
          <w:rFonts w:hint="default" w:ascii="Times New Roman" w:hAnsi="Times New Roman" w:cs="Times New Roman"/>
          <w:sz w:val="24"/>
          <w:szCs w:val="24"/>
          <w:lang w:val="en-US"/>
        </w:rPr>
      </w:pPr>
      <w:r>
        <w:rPr>
          <w:rFonts w:ascii="Times New Roman" w:hAnsi="Times New Roman" w:cs="Times New Roman"/>
          <w:sz w:val="24"/>
          <w:szCs w:val="24"/>
        </w:rPr>
        <w:t>Field efficiency indicates the effectiveness of machine utilization under actual field conditions and was calculated as the ratio of effective field capacity to theoretical field capacity using Eq. (4):</w:t>
      </w:r>
      <w:r>
        <w:rPr>
          <w:rFonts w:hint="default" w:ascii="Times New Roman" w:hAnsi="Times New Roman" w:cs="Times New Roman"/>
          <w:sz w:val="24"/>
          <w:szCs w:val="24"/>
          <w:lang w:val="en-US"/>
        </w:rPr>
        <w:t xml:space="preserve"> </w:t>
      </w:r>
      <w:r>
        <w:rPr>
          <w:rFonts w:ascii="Times New Roman" w:hAnsi="Times New Roman" w:cs="Times New Roman"/>
          <w:sz w:val="24"/>
          <w:szCs w:val="24"/>
        </w:rPr>
        <w:t>Srivastava et al. (2006)</w:t>
      </w:r>
      <w:r>
        <w:rPr>
          <w:rFonts w:hint="default" w:ascii="Times New Roman" w:hAnsi="Times New Roman" w:cs="Times New Roman"/>
          <w:sz w:val="24"/>
          <w:szCs w:val="24"/>
          <w:lang w:val="en-US"/>
        </w:rPr>
        <w:t>.</w:t>
      </w:r>
    </w:p>
    <w:p w14:paraId="6D76E127">
      <w:pPr>
        <w:tabs>
          <w:tab w:val="left" w:pos="2700"/>
        </w:tabs>
        <w:spacing w:line="360" w:lineRule="auto"/>
        <w:ind w:left="-450" w:right="-601"/>
        <w:rPr>
          <w:rFonts w:ascii="Times New Roman" w:hAnsi="Times New Roman" w:cs="Times New Roman"/>
          <w:sz w:val="24"/>
          <w:szCs w:val="24"/>
        </w:rPr>
      </w:pPr>
      <m:oMathPara>
        <m:oMath>
          <m:m>
            <m:mPr>
              <m:mcs>
                <m:mc>
                  <m:mcPr>
                    <m:count m:val="4"/>
                    <m:mcJc m:val="center"/>
                  </m:mcPr>
                </m:mc>
              </m:mcs>
              <m:plcHide m:val="1"/>
              <m:ctrlPr>
                <w:rPr>
                  <w:rFonts w:ascii="Cambria Math" w:hAnsi="Cambria Math" w:cs="Times New Roman"/>
                  <w:sz w:val="24"/>
                  <w:szCs w:val="24"/>
                </w:rPr>
              </m:ctrlPr>
            </m:mPr>
            <m:mr>
              <m:e>
                <m:ctrlPr>
                  <w:rPr>
                    <w:rFonts w:ascii="Cambria Math" w:hAnsi="Cambria Math" w:cs="Times New Roman"/>
                    <w:sz w:val="24"/>
                    <w:szCs w:val="24"/>
                  </w:rPr>
                </m:ctrlPr>
              </m:e>
              <m:e>
                <m:r>
                  <m:rPr>
                    <m:nor/>
                    <m:sty m:val="p"/>
                  </m:rPr>
                  <w:rPr>
                    <w:rFonts w:ascii="Times New Roman" w:hAnsi="Times New Roman" w:cs="Times New Roman"/>
                    <w:b w:val="0"/>
                    <w:i w:val="0"/>
                    <w:sz w:val="24"/>
                    <w:szCs w:val="24"/>
                  </w:rPr>
                  <m:t>Field efficiency (%)</m:t>
                </m:r>
                <m:r>
                  <m:rPr/>
                  <w:rPr>
                    <w:rFonts w:ascii="Cambria Math" w:hAnsi="Cambria Math" w:cs="Times New Roman"/>
                    <w:sz w:val="24"/>
                    <w:szCs w:val="24"/>
                  </w:rPr>
                  <m:t>=</m:t>
                </m:r>
                <m:f>
                  <m:fPr>
                    <m:ctrlPr>
                      <w:rPr>
                        <w:rFonts w:ascii="Cambria Math" w:hAnsi="Cambria Math" w:cs="Times New Roman"/>
                        <w:sz w:val="24"/>
                        <w:szCs w:val="24"/>
                      </w:rPr>
                    </m:ctrlPr>
                  </m:fPr>
                  <m:num>
                    <m:r>
                      <m:rPr>
                        <m:nor/>
                        <m:sty m:val="p"/>
                      </m:rPr>
                      <w:rPr>
                        <w:rFonts w:ascii="Times New Roman" w:hAnsi="Times New Roman" w:cs="Times New Roman"/>
                        <w:b w:val="0"/>
                        <w:i w:val="0"/>
                        <w:sz w:val="24"/>
                        <w:szCs w:val="24"/>
                      </w:rPr>
                      <m:t>Effective field capacity</m:t>
                    </m:r>
                    <m:ctrlPr>
                      <w:rPr>
                        <w:rFonts w:ascii="Cambria Math" w:hAnsi="Cambria Math" w:cs="Times New Roman"/>
                        <w:sz w:val="24"/>
                        <w:szCs w:val="24"/>
                      </w:rPr>
                    </m:ctrlPr>
                  </m:num>
                  <m:den>
                    <m:r>
                      <m:rPr>
                        <m:nor/>
                        <m:sty m:val="p"/>
                      </m:rPr>
                      <w:rPr>
                        <w:rFonts w:ascii="Times New Roman" w:hAnsi="Times New Roman" w:cs="Times New Roman"/>
                        <w:b w:val="0"/>
                        <w:i w:val="0"/>
                        <w:sz w:val="24"/>
                        <w:szCs w:val="24"/>
                      </w:rPr>
                      <m:t>Theoretical field capacity</m:t>
                    </m:r>
                    <m:ctrlPr>
                      <w:rPr>
                        <w:rFonts w:ascii="Cambria Math" w:hAnsi="Cambria Math" w:cs="Times New Roman"/>
                        <w:sz w:val="24"/>
                        <w:szCs w:val="24"/>
                      </w:rPr>
                    </m:ctrlPr>
                  </m:den>
                </m:f>
                <m:r>
                  <m:rPr/>
                  <w:rPr>
                    <w:rFonts w:ascii="Cambria Math" w:hAnsi="Cambria Math" w:cs="Times New Roman"/>
                    <w:sz w:val="24"/>
                    <w:szCs w:val="24"/>
                  </w:rPr>
                  <m:t>×100</m:t>
                </m:r>
                <m:ctrlPr>
                  <w:rPr>
                    <w:rFonts w:ascii="Cambria Math" w:hAnsi="Cambria Math" w:cs="Times New Roman"/>
                    <w:sz w:val="24"/>
                    <w:szCs w:val="24"/>
                  </w:rPr>
                </m:ctrlPr>
              </m:e>
              <m:e>
                <m:ctrlPr>
                  <w:rPr>
                    <w:rFonts w:ascii="Cambria Math" w:hAnsi="Cambria Math" w:cs="Times New Roman"/>
                    <w:sz w:val="24"/>
                    <w:szCs w:val="24"/>
                  </w:rPr>
                </m:ctrlPr>
              </m:e>
              <m:e>
                <m:r>
                  <m:rPr>
                    <m:nor/>
                    <m:sty m:val="p"/>
                  </m:rPr>
                  <w:rPr>
                    <w:rFonts w:ascii="Times New Roman" w:hAnsi="Times New Roman" w:cs="Times New Roman"/>
                    <w:b w:val="0"/>
                    <w:i w:val="0"/>
                    <w:sz w:val="24"/>
                    <w:szCs w:val="24"/>
                  </w:rPr>
                  <m:t>(4)</m:t>
                </m:r>
                <m:ctrlPr>
                  <w:rPr>
                    <w:rFonts w:ascii="Cambria Math" w:hAnsi="Cambria Math" w:cs="Times New Roman"/>
                    <w:sz w:val="24"/>
                    <w:szCs w:val="24"/>
                  </w:rPr>
                </m:ctrlPr>
              </m:e>
            </m:mr>
          </m:m>
        </m:oMath>
      </m:oMathPara>
    </w:p>
    <w:p w14:paraId="04A88ABC">
      <w:pPr>
        <w:tabs>
          <w:tab w:val="left" w:pos="2700"/>
        </w:tabs>
        <w:spacing w:line="360" w:lineRule="auto"/>
        <w:ind w:left="-450" w:right="-601"/>
        <w:rPr>
          <w:rFonts w:ascii="Times New Roman" w:hAnsi="Times New Roman" w:cs="Times New Roman"/>
          <w:b/>
          <w:bCs/>
          <w:sz w:val="24"/>
          <w:szCs w:val="24"/>
        </w:rPr>
      </w:pPr>
      <w:r>
        <w:rPr>
          <w:rFonts w:ascii="Times New Roman" w:hAnsi="Times New Roman" w:cs="Times New Roman"/>
          <w:b/>
          <w:bCs/>
          <w:sz w:val="24"/>
          <w:szCs w:val="24"/>
        </w:rPr>
        <w:t>2.6.5 Labour Requirement</w:t>
      </w:r>
    </w:p>
    <w:p w14:paraId="50DF019F">
      <w:pPr>
        <w:tabs>
          <w:tab w:val="left" w:pos="2700"/>
        </w:tabs>
        <w:spacing w:line="360" w:lineRule="auto"/>
        <w:ind w:left="-450" w:right="-601"/>
        <w:jc w:val="both"/>
        <w:rPr>
          <w:rFonts w:hint="default" w:ascii="Times New Roman" w:hAnsi="Times New Roman" w:cs="Times New Roman"/>
          <w:sz w:val="24"/>
          <w:szCs w:val="24"/>
          <w:lang w:val="en-US"/>
        </w:rPr>
      </w:pPr>
      <w:r>
        <w:rPr>
          <w:rFonts w:ascii="Times New Roman" w:hAnsi="Times New Roman" w:cs="Times New Roman"/>
          <w:sz w:val="24"/>
          <w:szCs w:val="24"/>
        </w:rPr>
        <w:t>Labour requirement was expressed as the total labour hours required to complete sowing of one hectare and was calculated using Eq. (5):</w:t>
      </w:r>
      <w:r>
        <w:rPr>
          <w:rFonts w:hint="default" w:ascii="Times New Roman" w:hAnsi="Times New Roman" w:cs="Times New Roman"/>
          <w:sz w:val="24"/>
          <w:szCs w:val="24"/>
          <w:lang w:val="en-US"/>
        </w:rPr>
        <w:t xml:space="preserve"> </w:t>
      </w:r>
      <w:r>
        <w:rPr>
          <w:rFonts w:ascii="Times New Roman" w:hAnsi="Times New Roman" w:cs="Times New Roman"/>
          <w:b w:val="0"/>
          <w:bCs w:val="0"/>
          <w:sz w:val="24"/>
          <w:szCs w:val="24"/>
        </w:rPr>
        <w:t>Hunt (2001)</w:t>
      </w:r>
      <w:r>
        <w:rPr>
          <w:rFonts w:hint="default" w:ascii="Times New Roman" w:hAnsi="Times New Roman" w:cs="Times New Roman"/>
          <w:b w:val="0"/>
          <w:bCs w:val="0"/>
          <w:sz w:val="24"/>
          <w:szCs w:val="24"/>
          <w:lang w:val="en-US"/>
        </w:rPr>
        <w:t>.</w:t>
      </w:r>
    </w:p>
    <w:p w14:paraId="164E1ADD">
      <w:pPr>
        <w:tabs>
          <w:tab w:val="left" w:pos="2700"/>
        </w:tabs>
        <w:spacing w:line="360" w:lineRule="auto"/>
        <w:ind w:left="-450" w:right="-601"/>
        <w:rPr>
          <w:rFonts w:ascii="Times New Roman" w:hAnsi="Times New Roman" w:cs="Times New Roman"/>
          <w:sz w:val="24"/>
          <w:szCs w:val="24"/>
        </w:rPr>
      </w:pPr>
      <m:oMathPara>
        <m:oMath>
          <m:m>
            <m:mPr>
              <m:mcs>
                <m:mc>
                  <m:mcPr>
                    <m:count m:val="4"/>
                    <m:mcJc m:val="center"/>
                  </m:mcPr>
                </m:mc>
              </m:mcs>
              <m:plcHide m:val="1"/>
              <m:ctrlPr>
                <w:rPr>
                  <w:rFonts w:ascii="Cambria Math" w:hAnsi="Cambria Math" w:cs="Times New Roman"/>
                  <w:sz w:val="24"/>
                  <w:szCs w:val="24"/>
                </w:rPr>
              </m:ctrlPr>
            </m:mPr>
            <m:mr>
              <m:e>
                <m:ctrlPr>
                  <w:rPr>
                    <w:rFonts w:ascii="Cambria Math" w:hAnsi="Cambria Math" w:cs="Times New Roman"/>
                    <w:sz w:val="24"/>
                    <w:szCs w:val="24"/>
                  </w:rPr>
                </m:ctrlPr>
              </m:e>
              <m:e>
                <m:sSup>
                  <m:sSupPr>
                    <m:ctrlPr>
                      <w:rPr>
                        <w:rFonts w:ascii="Cambria Math" w:hAnsi="Cambria Math" w:cs="Times New Roman"/>
                        <w:sz w:val="24"/>
                        <w:szCs w:val="24"/>
                      </w:rPr>
                    </m:ctrlPr>
                  </m:sSupPr>
                  <m:e>
                    <m:r>
                      <m:rPr>
                        <m:nor/>
                        <m:sty m:val="p"/>
                      </m:rPr>
                      <w:rPr>
                        <w:rFonts w:ascii="Times New Roman" w:hAnsi="Times New Roman" w:cs="Times New Roman"/>
                        <w:b w:val="0"/>
                        <w:i w:val="0"/>
                        <w:sz w:val="24"/>
                        <w:szCs w:val="24"/>
                      </w:rPr>
                      <m:t>Labour requirement (h ha</m:t>
                    </m:r>
                    <m:ctrlPr>
                      <w:rPr>
                        <w:rFonts w:ascii="Cambria Math" w:hAnsi="Cambria Math" w:cs="Times New Roman"/>
                        <w:sz w:val="24"/>
                        <w:szCs w:val="24"/>
                      </w:rPr>
                    </m:ctrlPr>
                  </m:e>
                  <m:sup>
                    <m:r>
                      <m:rPr/>
                      <w:rPr>
                        <w:rFonts w:ascii="Cambria Math" w:hAnsi="Cambria Math" w:cs="Times New Roman"/>
                        <w:sz w:val="24"/>
                        <w:szCs w:val="24"/>
                      </w:rPr>
                      <m:t>−1</m:t>
                    </m:r>
                    <m:ctrlPr>
                      <w:rPr>
                        <w:rFonts w:ascii="Cambria Math" w:hAnsi="Cambria Math" w:cs="Times New Roman"/>
                        <w:sz w:val="24"/>
                        <w:szCs w:val="24"/>
                      </w:rPr>
                    </m:ctrlPr>
                  </m:sup>
                </m:sSup>
                <m:r>
                  <m:rPr/>
                  <w:rPr>
                    <w:rFonts w:ascii="Cambria Math" w:hAnsi="Cambria Math" w:cs="Times New Roman"/>
                    <w:sz w:val="24"/>
                    <w:szCs w:val="24"/>
                  </w:rPr>
                  <m:t>)=</m:t>
                </m:r>
                <m:f>
                  <m:fPr>
                    <m:ctrlPr>
                      <w:rPr>
                        <w:rFonts w:ascii="Cambria Math" w:hAnsi="Cambria Math" w:cs="Times New Roman"/>
                        <w:sz w:val="24"/>
                        <w:szCs w:val="24"/>
                      </w:rPr>
                    </m:ctrlPr>
                  </m:fPr>
                  <m:num>
                    <m:r>
                      <m:rPr/>
                      <w:rPr>
                        <w:rFonts w:ascii="Cambria Math" w:hAnsi="Cambria Math" w:cs="Times New Roman"/>
                        <w:sz w:val="24"/>
                        <w:szCs w:val="24"/>
                      </w:rPr>
                      <m:t>N×T</m:t>
                    </m:r>
                    <m:ctrlPr>
                      <w:rPr>
                        <w:rFonts w:ascii="Cambria Math" w:hAnsi="Cambria Math" w:cs="Times New Roman"/>
                        <w:sz w:val="24"/>
                        <w:szCs w:val="24"/>
                      </w:rPr>
                    </m:ctrlPr>
                  </m:num>
                  <m:den>
                    <m:r>
                      <m:rPr/>
                      <w:rPr>
                        <w:rFonts w:ascii="Cambria Math" w:hAnsi="Cambria Math" w:cs="Times New Roman"/>
                        <w:sz w:val="24"/>
                        <w:szCs w:val="24"/>
                      </w:rPr>
                      <m:t>A</m:t>
                    </m:r>
                    <m:ctrlPr>
                      <w:rPr>
                        <w:rFonts w:ascii="Cambria Math" w:hAnsi="Cambria Math" w:cs="Times New Roman"/>
                        <w:sz w:val="24"/>
                        <w:szCs w:val="24"/>
                      </w:rPr>
                    </m:ctrlPr>
                  </m:den>
                </m:f>
                <m:ctrlPr>
                  <w:rPr>
                    <w:rFonts w:ascii="Cambria Math" w:hAnsi="Cambria Math" w:cs="Times New Roman"/>
                    <w:sz w:val="24"/>
                    <w:szCs w:val="24"/>
                  </w:rPr>
                </m:ctrlPr>
              </m:e>
              <m:e>
                <m:ctrlPr>
                  <w:rPr>
                    <w:rFonts w:ascii="Cambria Math" w:hAnsi="Cambria Math" w:cs="Times New Roman"/>
                    <w:sz w:val="24"/>
                    <w:szCs w:val="24"/>
                  </w:rPr>
                </m:ctrlPr>
              </m:e>
              <m:e>
                <m:r>
                  <m:rPr>
                    <m:nor/>
                    <m:sty m:val="p"/>
                  </m:rPr>
                  <w:rPr>
                    <w:rFonts w:ascii="Times New Roman" w:hAnsi="Times New Roman" w:cs="Times New Roman"/>
                    <w:b w:val="0"/>
                    <w:i w:val="0"/>
                    <w:sz w:val="24"/>
                    <w:szCs w:val="24"/>
                  </w:rPr>
                  <m:t>(5)</m:t>
                </m:r>
                <m:ctrlPr>
                  <w:rPr>
                    <w:rFonts w:ascii="Cambria Math" w:hAnsi="Cambria Math" w:cs="Times New Roman"/>
                    <w:sz w:val="24"/>
                    <w:szCs w:val="24"/>
                  </w:rPr>
                </m:ctrlPr>
              </m:e>
            </m:mr>
          </m:m>
        </m:oMath>
      </m:oMathPara>
    </w:p>
    <w:p w14:paraId="4D694B8E">
      <w:pPr>
        <w:tabs>
          <w:tab w:val="left" w:pos="2700"/>
        </w:tabs>
        <w:spacing w:line="360" w:lineRule="auto"/>
        <w:ind w:left="-450" w:right="-601"/>
        <w:rPr>
          <w:rFonts w:ascii="Times New Roman" w:hAnsi="Times New Roman" w:cs="Times New Roman"/>
          <w:sz w:val="24"/>
          <w:szCs w:val="24"/>
        </w:rPr>
      </w:pPr>
      <w:r>
        <w:rPr>
          <w:rFonts w:ascii="Times New Roman" w:hAnsi="Times New Roman" w:cs="Times New Roman"/>
          <w:sz w:val="24"/>
          <w:szCs w:val="24"/>
        </w:rPr>
        <w:t>where</w:t>
      </w:r>
      <w:r>
        <w:rPr>
          <w:rFonts w:ascii="Times New Roman" w:hAnsi="Times New Roman" w:cs="Times New Roman"/>
          <w:sz w:val="24"/>
          <w:szCs w:val="24"/>
        </w:rPr>
        <w:br w:type="textWrapping"/>
      </w:r>
      <m:oMath>
        <m:r>
          <m:rPr/>
          <w:rPr>
            <w:rFonts w:ascii="Cambria Math" w:hAnsi="Cambria Math" w:cs="Times New Roman"/>
            <w:sz w:val="24"/>
            <w:szCs w:val="24"/>
          </w:rPr>
          <m:t>N</m:t>
        </m:r>
      </m:oMath>
      <w:r>
        <w:rPr>
          <w:rFonts w:ascii="Times New Roman" w:hAnsi="Times New Roman" w:cs="Times New Roman"/>
          <w:sz w:val="24"/>
          <w:szCs w:val="24"/>
        </w:rPr>
        <w:t>= number of labourers involved in the operation</w:t>
      </w:r>
      <w:r>
        <w:rPr>
          <w:rFonts w:ascii="Times New Roman" w:hAnsi="Times New Roman" w:cs="Times New Roman"/>
          <w:sz w:val="24"/>
          <w:szCs w:val="24"/>
        </w:rPr>
        <w:br w:type="textWrapping"/>
      </w:r>
      <m:oMath>
        <m:r>
          <m:rPr/>
          <w:rPr>
            <w:rFonts w:ascii="Cambria Math" w:hAnsi="Cambria Math" w:cs="Times New Roman"/>
            <w:sz w:val="24"/>
            <w:szCs w:val="24"/>
          </w:rPr>
          <m:t>T</m:t>
        </m:r>
      </m:oMath>
      <w:r>
        <w:rPr>
          <w:rFonts w:ascii="Times New Roman" w:hAnsi="Times New Roman" w:cs="Times New Roman"/>
          <w:sz w:val="24"/>
          <w:szCs w:val="24"/>
        </w:rPr>
        <w:t>= total time required for sowing (h)</w:t>
      </w:r>
      <w:r>
        <w:rPr>
          <w:rFonts w:ascii="Times New Roman" w:hAnsi="Times New Roman" w:cs="Times New Roman"/>
          <w:sz w:val="24"/>
          <w:szCs w:val="24"/>
        </w:rPr>
        <w:br w:type="textWrapping"/>
      </w:r>
      <m:oMath>
        <m:r>
          <m:rPr/>
          <w:rPr>
            <w:rFonts w:ascii="Cambria Math" w:hAnsi="Cambria Math" w:cs="Times New Roman"/>
            <w:sz w:val="24"/>
            <w:szCs w:val="24"/>
          </w:rPr>
          <m:t>A</m:t>
        </m:r>
      </m:oMath>
      <w:r>
        <w:rPr>
          <w:rFonts w:ascii="Times New Roman" w:hAnsi="Times New Roman" w:cs="Times New Roman"/>
          <w:sz w:val="24"/>
          <w:szCs w:val="24"/>
        </w:rPr>
        <w:t>= area covered (ha)</w:t>
      </w:r>
    </w:p>
    <w:p w14:paraId="5B84540F">
      <w:pPr>
        <w:tabs>
          <w:tab w:val="left" w:pos="2700"/>
        </w:tabs>
        <w:spacing w:line="360" w:lineRule="auto"/>
        <w:ind w:left="-450" w:right="-601"/>
        <w:rPr>
          <w:rFonts w:ascii="Times New Roman" w:hAnsi="Times New Roman" w:cs="Times New Roman"/>
          <w:b/>
          <w:bCs/>
          <w:sz w:val="24"/>
          <w:szCs w:val="24"/>
        </w:rPr>
      </w:pPr>
      <w:r>
        <w:rPr>
          <w:rFonts w:ascii="Times New Roman" w:hAnsi="Times New Roman" w:cs="Times New Roman"/>
          <w:b/>
          <w:bCs/>
          <w:sz w:val="24"/>
          <w:szCs w:val="24"/>
        </w:rPr>
        <w:t>2.6.6 Data Processing</w:t>
      </w:r>
    </w:p>
    <w:p w14:paraId="7E99BC9B">
      <w:pPr>
        <w:tabs>
          <w:tab w:val="left" w:pos="2700"/>
        </w:tabs>
        <w:spacing w:line="360" w:lineRule="auto"/>
        <w:ind w:left="-450" w:right="-601"/>
        <w:jc w:val="both"/>
        <w:rPr>
          <w:rFonts w:ascii="Times New Roman" w:hAnsi="Times New Roman" w:cs="Times New Roman"/>
          <w:sz w:val="24"/>
          <w:szCs w:val="24"/>
        </w:rPr>
      </w:pPr>
      <w:r>
        <w:rPr>
          <w:rFonts w:ascii="Times New Roman" w:hAnsi="Times New Roman" w:cs="Times New Roman"/>
          <w:sz w:val="24"/>
          <w:szCs w:val="24"/>
        </w:rPr>
        <w:t>All measured and derived performance parameters were averaged across replications and expressed as mean ± standard deviation (SD). These values were subsequently used for statistical comparison between the semi-automatic drum seeder and manual broadcasting.</w:t>
      </w:r>
    </w:p>
    <w:p w14:paraId="6AE57B7F">
      <w:pPr>
        <w:tabs>
          <w:tab w:val="left" w:pos="2700"/>
        </w:tabs>
        <w:spacing w:line="360" w:lineRule="auto"/>
        <w:ind w:left="-450" w:right="-601"/>
        <w:rPr>
          <w:rFonts w:ascii="Times New Roman" w:hAnsi="Times New Roman" w:cs="Times New Roman"/>
          <w:b/>
          <w:bCs/>
          <w:sz w:val="24"/>
          <w:szCs w:val="24"/>
        </w:rPr>
      </w:pPr>
      <w:r>
        <w:rPr>
          <w:rFonts w:ascii="Times New Roman" w:hAnsi="Times New Roman" w:cs="Times New Roman"/>
          <w:b/>
          <w:bCs/>
          <w:sz w:val="24"/>
          <w:szCs w:val="24"/>
        </w:rPr>
        <w:t>2.7 Experimental Design and Statistical Analysis</w:t>
      </w:r>
    </w:p>
    <w:p w14:paraId="00BF9447">
      <w:pPr>
        <w:tabs>
          <w:tab w:val="left" w:pos="2700"/>
        </w:tabs>
        <w:spacing w:line="360" w:lineRule="auto"/>
        <w:ind w:left="-450" w:right="-601"/>
        <w:jc w:val="both"/>
        <w:rPr>
          <w:rFonts w:ascii="Times New Roman" w:hAnsi="Times New Roman" w:cs="Times New Roman"/>
          <w:sz w:val="24"/>
          <w:szCs w:val="24"/>
        </w:rPr>
      </w:pPr>
      <w:r>
        <w:rPr>
          <w:rFonts w:ascii="Times New Roman" w:hAnsi="Times New Roman" w:cs="Times New Roman"/>
          <w:sz w:val="24"/>
          <w:szCs w:val="24"/>
        </w:rPr>
        <w:t>The experiment was laid out using a completely randomized design with multiple replications for each sowing method. Mean values and standard deviations were calculated for all performance parameters.</w:t>
      </w:r>
    </w:p>
    <w:p w14:paraId="50A812E0">
      <w:pPr>
        <w:tabs>
          <w:tab w:val="left" w:pos="2700"/>
        </w:tabs>
        <w:spacing w:line="360" w:lineRule="auto"/>
        <w:ind w:left="-450" w:right="-601"/>
        <w:jc w:val="both"/>
        <w:rPr>
          <w:rFonts w:ascii="Times New Roman" w:hAnsi="Times New Roman" w:cs="Times New Roman"/>
          <w:sz w:val="24"/>
          <w:szCs w:val="24"/>
        </w:rPr>
      </w:pPr>
      <w:r>
        <w:rPr>
          <w:rFonts w:ascii="Times New Roman" w:hAnsi="Times New Roman" w:cs="Times New Roman"/>
          <w:sz w:val="24"/>
          <w:szCs w:val="24"/>
        </w:rPr>
        <w:t xml:space="preserve">Statistical significance between the semi-automatic drum seeder and manual broadcasting was evaluated using Student’s </w:t>
      </w:r>
      <w:r>
        <w:rPr>
          <w:rFonts w:ascii="Times New Roman" w:hAnsi="Times New Roman" w:cs="Times New Roman"/>
          <w:i/>
          <w:iCs/>
          <w:sz w:val="24"/>
          <w:szCs w:val="24"/>
        </w:rPr>
        <w:t>t</w:t>
      </w:r>
      <w:r>
        <w:rPr>
          <w:rFonts w:ascii="Times New Roman" w:hAnsi="Times New Roman" w:cs="Times New Roman"/>
          <w:sz w:val="24"/>
          <w:szCs w:val="24"/>
        </w:rPr>
        <w:t>-test at a 5% level of significance (</w:t>
      </w:r>
      <w:r>
        <w:rPr>
          <w:rFonts w:ascii="Times New Roman" w:hAnsi="Times New Roman" w:cs="Times New Roman"/>
          <w:i/>
          <w:iCs/>
          <w:sz w:val="24"/>
          <w:szCs w:val="24"/>
        </w:rPr>
        <w:t>p</w:t>
      </w:r>
      <w:r>
        <w:rPr>
          <w:rFonts w:ascii="Times New Roman" w:hAnsi="Times New Roman" w:cs="Times New Roman"/>
          <w:sz w:val="24"/>
          <w:szCs w:val="24"/>
        </w:rPr>
        <w:t xml:space="preserve"> &lt; 0.05). One-way analysis of variance (ANOVA) was employed to assess variability among replications and to confirm consistency of machine performance across field trials. All statistical analyses were performed using standard statistical software.</w:t>
      </w:r>
    </w:p>
    <w:p w14:paraId="5AE90639">
      <w:pPr>
        <w:tabs>
          <w:tab w:val="left" w:pos="2700"/>
        </w:tabs>
        <w:spacing w:line="360" w:lineRule="auto"/>
        <w:ind w:left="-450" w:right="-601"/>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3. Results and Discussion</w:t>
      </w:r>
    </w:p>
    <w:p w14:paraId="38A09EC3">
      <w:pPr>
        <w:tabs>
          <w:tab w:val="left" w:pos="2700"/>
        </w:tabs>
        <w:spacing w:line="360" w:lineRule="auto"/>
        <w:ind w:left="-450" w:right="-601"/>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3.1 Seed Rate</w:t>
      </w:r>
    </w:p>
    <w:p w14:paraId="04F76174">
      <w:pPr>
        <w:tabs>
          <w:tab w:val="left" w:pos="2700"/>
        </w:tabs>
        <w:spacing w:line="360" w:lineRule="auto"/>
        <w:ind w:left="-450" w:right="-601"/>
        <w:jc w:val="both"/>
        <w:rPr>
          <w:rFonts w:ascii="Times New Roman" w:hAnsi="Times New Roman" w:cs="Times New Roman"/>
          <w:sz w:val="24"/>
          <w:szCs w:val="24"/>
          <w:lang w:val="en-US"/>
        </w:rPr>
      </w:pPr>
      <w:r>
        <w:rPr>
          <w:rFonts w:ascii="Times New Roman" w:hAnsi="Times New Roman" w:cs="Times New Roman"/>
          <w:sz w:val="24"/>
          <w:szCs w:val="24"/>
          <w:lang w:val="en-US"/>
        </w:rPr>
        <w:t>Seed rate is a critical parameter influencing crop establishment, input cost, and yield potential in direct-seeded rice systems. The semi-automatic paddy drum seeder recorded a significantly lower seed rate of 55 ± 4.2 kg ha⁻¹ compared to 110 ± 8.6 kg ha⁻¹ for conventional manual broadcasting (Table 1). Statistical analysis using Student’s t-test indicated that the difference was significant at p &lt; 0.01.</w:t>
      </w:r>
    </w:p>
    <w:p w14:paraId="216264FA">
      <w:pPr>
        <w:tabs>
          <w:tab w:val="left" w:pos="2700"/>
        </w:tabs>
        <w:spacing w:line="360" w:lineRule="auto"/>
        <w:ind w:left="-450" w:right="-601"/>
        <w:jc w:val="both"/>
        <w:rPr>
          <w:rFonts w:ascii="Times New Roman" w:hAnsi="Times New Roman" w:cs="Times New Roman"/>
          <w:sz w:val="24"/>
          <w:szCs w:val="24"/>
          <w:lang w:val="en-US"/>
        </w:rPr>
      </w:pPr>
      <w:r>
        <w:rPr>
          <w:rFonts w:ascii="Times New Roman" w:hAnsi="Times New Roman" w:cs="Times New Roman"/>
          <w:sz w:val="24"/>
          <w:szCs w:val="24"/>
          <w:lang w:val="en-US"/>
        </w:rPr>
        <w:t>The reduction in seed rate can be attributed to the motor-assisted seed metering mechanism, which ensured uniform drum rotation independent of operator walking speed. In manual broadcasting, excessive seed usage is common due to uneven hand distribution and overlapping, leading to higher variability, as reflected by the larger standard deviation. Similar reductions in seed rate with mechanized direct seeding have been reported by Singh et al. (2014) and Rahman et al. (2019), who emphasized the role of controlled seed placement in improving resource-use efficiency.</w:t>
      </w:r>
    </w:p>
    <w:p w14:paraId="56C88962">
      <w:pPr>
        <w:tabs>
          <w:tab w:val="left" w:pos="2700"/>
        </w:tabs>
        <w:spacing w:line="360" w:lineRule="auto"/>
        <w:ind w:left="-450" w:right="-601"/>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3.2 Time Required for Sowing</w:t>
      </w:r>
    </w:p>
    <w:p w14:paraId="664B6824">
      <w:pPr>
        <w:tabs>
          <w:tab w:val="left" w:pos="2700"/>
        </w:tabs>
        <w:spacing w:line="360" w:lineRule="auto"/>
        <w:ind w:left="-450" w:right="-601"/>
        <w:jc w:val="both"/>
        <w:rPr>
          <w:rFonts w:ascii="Times New Roman" w:hAnsi="Times New Roman" w:cs="Times New Roman"/>
          <w:sz w:val="24"/>
          <w:szCs w:val="24"/>
          <w:lang w:val="en-US"/>
        </w:rPr>
      </w:pPr>
      <w:r>
        <w:rPr>
          <w:rFonts w:ascii="Times New Roman" w:hAnsi="Times New Roman" w:cs="Times New Roman"/>
          <w:sz w:val="24"/>
          <w:szCs w:val="24"/>
          <w:lang w:val="en-US"/>
        </w:rPr>
        <w:t>The time required to complete sowing of one hectare using the semi-automatic drum seeder was 2.5 ± 0.4 h ha⁻¹, which was significantly lower than the 5.5 ± 0.7 h ha⁻¹ recorded for manual broadcasting. The observed reduction of more than 50% was statistically significant (p &lt; 0.05).</w:t>
      </w:r>
    </w:p>
    <w:p w14:paraId="75E70A5C">
      <w:pPr>
        <w:tabs>
          <w:tab w:val="left" w:pos="2700"/>
        </w:tabs>
        <w:spacing w:line="360" w:lineRule="auto"/>
        <w:ind w:left="-450" w:right="-601"/>
        <w:jc w:val="both"/>
        <w:rPr>
          <w:rFonts w:ascii="Times New Roman" w:hAnsi="Times New Roman" w:cs="Times New Roman"/>
          <w:sz w:val="24"/>
          <w:szCs w:val="24"/>
          <w:lang w:val="en-US"/>
        </w:rPr>
      </w:pPr>
      <w:r>
        <w:rPr>
          <w:rFonts w:ascii="Times New Roman" w:hAnsi="Times New Roman" w:cs="Times New Roman"/>
          <w:sz w:val="24"/>
          <w:szCs w:val="24"/>
          <w:lang w:val="en-US"/>
        </w:rPr>
        <w:t>This improvement is mainly due to continuous and uniform seed discharge, which minimized stoppages and re-sowing operations. Manual broadcasting typically involves frequent interruptions to ensure coverage, thereby increasing operational time. Comparable reductions in sowing time using drum seeders over manual methods have been reported by Baruah (2009) and Sudharani et al. (2019).</w:t>
      </w:r>
    </w:p>
    <w:p w14:paraId="79DE6237">
      <w:pPr>
        <w:tabs>
          <w:tab w:val="left" w:pos="2700"/>
        </w:tabs>
        <w:spacing w:line="360" w:lineRule="auto"/>
        <w:ind w:left="-450" w:right="-601"/>
        <w:jc w:val="both"/>
        <w:rPr>
          <w:rFonts w:ascii="Times New Roman" w:hAnsi="Times New Roman" w:cs="Times New Roman"/>
          <w:sz w:val="24"/>
          <w:szCs w:val="24"/>
          <w:lang w:val="en-US"/>
        </w:rPr>
      </w:pPr>
    </w:p>
    <w:p w14:paraId="3B857118">
      <w:pPr>
        <w:tabs>
          <w:tab w:val="left" w:pos="2700"/>
        </w:tabs>
        <w:spacing w:line="360" w:lineRule="auto"/>
        <w:ind w:left="-450" w:right="-601"/>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3.3 Labour Requirement</w:t>
      </w:r>
    </w:p>
    <w:p w14:paraId="0950815C">
      <w:pPr>
        <w:tabs>
          <w:tab w:val="left" w:pos="2700"/>
        </w:tabs>
        <w:spacing w:line="360" w:lineRule="auto"/>
        <w:ind w:left="-450" w:right="-601"/>
        <w:jc w:val="both"/>
        <w:rPr>
          <w:rFonts w:ascii="Times New Roman" w:hAnsi="Times New Roman" w:cs="Times New Roman"/>
          <w:sz w:val="24"/>
          <w:szCs w:val="24"/>
          <w:lang w:val="en-US"/>
        </w:rPr>
      </w:pPr>
      <w:r>
        <w:rPr>
          <w:rFonts w:ascii="Times New Roman" w:hAnsi="Times New Roman" w:cs="Times New Roman"/>
          <w:sz w:val="24"/>
          <w:szCs w:val="24"/>
          <w:lang w:val="en-US"/>
        </w:rPr>
        <w:t>Labour requirement decreased significantly from 8.0 ± 0.6 h ha⁻¹ under manual broadcasting to 4.0 ± 0.3 h ha⁻¹ with the semi-automatic drum seeder. The difference was statistically significant at p &lt; 0.05.</w:t>
      </w:r>
    </w:p>
    <w:p w14:paraId="549DC009">
      <w:pPr>
        <w:tabs>
          <w:tab w:val="left" w:pos="2700"/>
        </w:tabs>
        <w:spacing w:line="360" w:lineRule="auto"/>
        <w:ind w:left="-450" w:right="-601"/>
        <w:jc w:val="both"/>
        <w:rPr>
          <w:rFonts w:ascii="Times New Roman" w:hAnsi="Times New Roman" w:cs="Times New Roman"/>
          <w:sz w:val="24"/>
          <w:szCs w:val="24"/>
          <w:lang w:val="en-US"/>
        </w:rPr>
      </w:pPr>
      <w:r>
        <w:rPr>
          <w:rFonts w:ascii="Times New Roman" w:hAnsi="Times New Roman" w:cs="Times New Roman"/>
          <w:sz w:val="24"/>
          <w:szCs w:val="24"/>
          <w:lang w:val="en-US"/>
        </w:rPr>
        <w:t>Labour savings achieved through mechanized direct seeding are particularly important in regions facing acute labour shortages and rising wage rates. The present results are consistent with findings reported by Al Mamun et al. (2024), who highlighted labour efficiency as a key driver for adoption of drum seeders in smallholder rice systems.</w:t>
      </w:r>
    </w:p>
    <w:p w14:paraId="42DD011F">
      <w:pPr>
        <w:tabs>
          <w:tab w:val="left" w:pos="2700"/>
        </w:tabs>
        <w:spacing w:line="360" w:lineRule="auto"/>
        <w:ind w:left="-450" w:right="-601"/>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3.4 Effective Field Capacity</w:t>
      </w:r>
    </w:p>
    <w:p w14:paraId="3380D2A9">
      <w:pPr>
        <w:tabs>
          <w:tab w:val="left" w:pos="2700"/>
        </w:tabs>
        <w:spacing w:line="360" w:lineRule="auto"/>
        <w:ind w:left="-450" w:right="-601"/>
        <w:jc w:val="both"/>
        <w:rPr>
          <w:rFonts w:ascii="Times New Roman" w:hAnsi="Times New Roman" w:cs="Times New Roman"/>
          <w:sz w:val="24"/>
          <w:szCs w:val="24"/>
          <w:lang w:val="en-US"/>
        </w:rPr>
      </w:pPr>
      <w:r>
        <w:rPr>
          <w:rFonts w:ascii="Times New Roman" w:hAnsi="Times New Roman" w:cs="Times New Roman"/>
          <w:sz w:val="24"/>
          <w:szCs w:val="24"/>
          <w:lang w:val="en-US"/>
        </w:rPr>
        <w:t>The effective field capacity of the semi-automatic drum seeder was 0.40 ± 0.05 ha h⁻¹, which was more than double that of manual broadcasting (0.18 ± 0.03 ha h⁻¹). The difference was statistically significant (p &lt; 0.01).</w:t>
      </w:r>
    </w:p>
    <w:p w14:paraId="701E7369">
      <w:pPr>
        <w:tabs>
          <w:tab w:val="left" w:pos="2700"/>
        </w:tabs>
        <w:spacing w:line="360" w:lineRule="auto"/>
        <w:ind w:left="-450" w:right="-601"/>
        <w:jc w:val="both"/>
        <w:rPr>
          <w:rFonts w:ascii="Times New Roman" w:hAnsi="Times New Roman" w:cs="Times New Roman"/>
          <w:b/>
          <w:bCs/>
          <w:sz w:val="24"/>
          <w:szCs w:val="24"/>
          <w:lang w:val="en-US"/>
        </w:rPr>
      </w:pPr>
      <w:r>
        <w:rPr>
          <w:rFonts w:ascii="Times New Roman" w:hAnsi="Times New Roman" w:cs="Times New Roman"/>
          <w:sz w:val="24"/>
          <w:szCs w:val="24"/>
          <w:lang w:val="en-US"/>
        </w:rPr>
        <w:t>Higher effective field capacity resulted from uninterrupted operation and reduced overlap losses, which are common in manual broadcasting. The integration of motor-assisted drum rotation ensured consistent seed flow, thereby improving operational efficiency. Similar improvements in field capacity using mechanized wet direct seeding systems have been reported by (</w:t>
      </w:r>
      <w:r>
        <w:rPr>
          <w:rFonts w:ascii="Times New Roman" w:hAnsi="Times New Roman" w:cs="Times New Roman"/>
          <w:sz w:val="24"/>
          <w:szCs w:val="24"/>
        </w:rPr>
        <w:t>Nguyen-Van-Hung et al., 2024).</w:t>
      </w:r>
    </w:p>
    <w:p w14:paraId="5B3E7110">
      <w:pPr>
        <w:tabs>
          <w:tab w:val="left" w:pos="2700"/>
        </w:tabs>
        <w:spacing w:line="360" w:lineRule="auto"/>
        <w:ind w:left="-450" w:right="-601"/>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3.5 Field Efficiency</w:t>
      </w:r>
    </w:p>
    <w:p w14:paraId="05845EA3">
      <w:pPr>
        <w:tabs>
          <w:tab w:val="left" w:pos="2700"/>
        </w:tabs>
        <w:spacing w:line="360" w:lineRule="auto"/>
        <w:ind w:left="-450" w:right="-601"/>
        <w:jc w:val="both"/>
        <w:rPr>
          <w:rFonts w:ascii="Times New Roman" w:hAnsi="Times New Roman" w:cs="Times New Roman"/>
          <w:sz w:val="24"/>
          <w:szCs w:val="24"/>
          <w:lang w:val="en-US"/>
        </w:rPr>
      </w:pPr>
      <w:r>
        <w:rPr>
          <w:rFonts w:ascii="Times New Roman" w:hAnsi="Times New Roman" w:cs="Times New Roman"/>
          <w:sz w:val="24"/>
          <w:szCs w:val="24"/>
          <w:lang w:val="en-US"/>
        </w:rPr>
        <w:t>Field efficiency was significantly higher for the semi-automatic drum seeder (86.1 ± 3.5%) compared to manual broadcasting (36.9 ± 2.8%). One-way ANOVA revealed no significant variation among replications (p &gt; 0.05), indicating stable and consistent machine performance across field trials.</w:t>
      </w:r>
    </w:p>
    <w:p w14:paraId="422F554D">
      <w:pPr>
        <w:tabs>
          <w:tab w:val="left" w:pos="2700"/>
        </w:tabs>
        <w:spacing w:line="360" w:lineRule="auto"/>
        <w:ind w:left="-450" w:right="-601"/>
        <w:jc w:val="both"/>
        <w:rPr>
          <w:rFonts w:ascii="Times New Roman" w:hAnsi="Times New Roman" w:cs="Times New Roman"/>
          <w:sz w:val="24"/>
          <w:szCs w:val="24"/>
          <w:lang w:val="en-US"/>
        </w:rPr>
      </w:pPr>
      <w:r>
        <w:rPr>
          <w:rFonts w:ascii="Times New Roman" w:hAnsi="Times New Roman" w:cs="Times New Roman"/>
          <w:sz w:val="24"/>
          <w:szCs w:val="24"/>
          <w:lang w:val="en-US"/>
        </w:rPr>
        <w:t>High field efficiency reflects effective utilization of operating time and minimized non-productive losses. The present results confirm that partial automation at the seed metering stage can substantially enhance machine efficiency without the complexity of full automation. Similar conclusions were drawn by Selvam et al. (2024) in their study on advanced drum seeder designs.</w:t>
      </w:r>
    </w:p>
    <w:p w14:paraId="492D199C">
      <w:pPr>
        <w:tabs>
          <w:tab w:val="left" w:pos="2700"/>
        </w:tabs>
        <w:spacing w:line="360" w:lineRule="auto"/>
        <w:ind w:left="-450" w:right="-601"/>
        <w:jc w:val="both"/>
        <w:rPr>
          <w:rFonts w:ascii="Times New Roman" w:hAnsi="Times New Roman" w:cs="Times New Roman"/>
          <w:sz w:val="24"/>
          <w:szCs w:val="24"/>
          <w:lang w:val="en-US"/>
        </w:rPr>
      </w:pPr>
    </w:p>
    <w:p w14:paraId="172207C4">
      <w:pPr>
        <w:tabs>
          <w:tab w:val="left" w:pos="2700"/>
        </w:tabs>
        <w:spacing w:line="360" w:lineRule="auto"/>
        <w:ind w:left="-450" w:right="-601"/>
        <w:jc w:val="both"/>
        <w:rPr>
          <w:rFonts w:ascii="Times New Roman" w:hAnsi="Times New Roman" w:cs="Times New Roman"/>
          <w:sz w:val="24"/>
          <w:szCs w:val="24"/>
          <w:lang w:val="en-US"/>
        </w:rPr>
      </w:pPr>
    </w:p>
    <w:p w14:paraId="2CE84CC1">
      <w:pPr>
        <w:tabs>
          <w:tab w:val="left" w:pos="2700"/>
        </w:tabs>
        <w:spacing w:line="360" w:lineRule="auto"/>
        <w:ind w:left="-450" w:right="-601"/>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3.6 Engineering and Sustainability Implications</w:t>
      </w:r>
    </w:p>
    <w:p w14:paraId="01824929">
      <w:pPr>
        <w:tabs>
          <w:tab w:val="left" w:pos="2700"/>
        </w:tabs>
        <w:spacing w:line="360" w:lineRule="auto"/>
        <w:ind w:left="-450" w:right="-60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improved performance of the semi-automatic paddy drum seeder demonstrates that decoupling seed metering from operator motion is an effective engineering strategy for enhancing precision in direct-seeded rice. Reduced seed rate directly lowers input cost, while lower labour requirement and higher field efficiency improve economic viability. From a sustainability perspective, optimized seed use and reduced operational time contribute to lower energy consumption and reduced environmental footprint, aligning with the findings of </w:t>
      </w:r>
      <w:r>
        <w:rPr>
          <w:rFonts w:ascii="Times New Roman" w:hAnsi="Times New Roman" w:cs="Times New Roman"/>
          <w:sz w:val="24"/>
          <w:szCs w:val="24"/>
        </w:rPr>
        <w:t xml:space="preserve">Nguyen-Van-Hung et al. (2024) </w:t>
      </w:r>
      <w:r>
        <w:rPr>
          <w:rFonts w:ascii="Times New Roman" w:hAnsi="Times New Roman" w:cs="Times New Roman"/>
          <w:sz w:val="24"/>
          <w:szCs w:val="24"/>
          <w:lang w:val="en-US"/>
        </w:rPr>
        <w:t>and Sadhukhan et al. (2023).</w:t>
      </w:r>
    </w:p>
    <w:p w14:paraId="7E3D599F">
      <w:pPr>
        <w:tabs>
          <w:tab w:val="left" w:pos="2700"/>
        </w:tabs>
        <w:spacing w:line="360" w:lineRule="auto"/>
        <w:ind w:left="-450" w:right="-601"/>
        <w:jc w:val="both"/>
        <w:rPr>
          <w:rFonts w:ascii="Times New Roman" w:hAnsi="Times New Roman" w:cs="Times New Roman"/>
          <w:b/>
          <w:bCs/>
          <w:sz w:val="24"/>
          <w:szCs w:val="24"/>
        </w:rPr>
      </w:pPr>
      <w:r>
        <w:rPr>
          <w:rFonts w:ascii="Times New Roman" w:hAnsi="Times New Roman" w:cs="Times New Roman"/>
          <w:b/>
          <w:bCs/>
          <w:sz w:val="24"/>
          <w:szCs w:val="24"/>
        </w:rPr>
        <w:t>Table 2. Performance comparison of the developed semi-automatic paddy drum seeder and conventional manual broadcasting</w:t>
      </w:r>
    </w:p>
    <w:tbl>
      <w:tblPr>
        <w:tblStyle w:val="19"/>
        <w:tblW w:w="9198"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97"/>
        <w:gridCol w:w="3230"/>
        <w:gridCol w:w="2471"/>
      </w:tblGrid>
      <w:tr w14:paraId="2F506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3497" w:type="dxa"/>
            <w:vAlign w:val="center"/>
          </w:tcPr>
          <w:p w14:paraId="12A41DA7">
            <w:pPr>
              <w:tabs>
                <w:tab w:val="left" w:pos="2700"/>
              </w:tabs>
              <w:spacing w:after="0" w:line="360" w:lineRule="auto"/>
              <w:ind w:right="-601"/>
              <w:rPr>
                <w:rFonts w:ascii="Times New Roman" w:hAnsi="Times New Roman" w:cs="Times New Roman"/>
                <w:sz w:val="24"/>
                <w:szCs w:val="24"/>
                <w:lang w:val="en-US"/>
              </w:rPr>
            </w:pPr>
            <w:r>
              <w:rPr>
                <w:rFonts w:ascii="Times New Roman" w:hAnsi="Times New Roman" w:cs="Times New Roman"/>
                <w:b/>
                <w:bCs/>
                <w:sz w:val="24"/>
                <w:szCs w:val="24"/>
              </w:rPr>
              <w:t>Performance parameter</w:t>
            </w:r>
          </w:p>
        </w:tc>
        <w:tc>
          <w:tcPr>
            <w:tcW w:w="3230" w:type="dxa"/>
            <w:vAlign w:val="center"/>
          </w:tcPr>
          <w:p w14:paraId="3D125C78">
            <w:pPr>
              <w:tabs>
                <w:tab w:val="left" w:pos="2700"/>
              </w:tabs>
              <w:spacing w:after="0" w:line="360" w:lineRule="auto"/>
              <w:ind w:right="-601"/>
              <w:rPr>
                <w:rFonts w:ascii="Times New Roman" w:hAnsi="Times New Roman" w:cs="Times New Roman"/>
                <w:sz w:val="24"/>
                <w:szCs w:val="24"/>
                <w:lang w:val="en-US"/>
              </w:rPr>
            </w:pPr>
            <w:r>
              <w:rPr>
                <w:rFonts w:ascii="Times New Roman" w:hAnsi="Times New Roman" w:cs="Times New Roman"/>
                <w:b/>
                <w:bCs/>
                <w:sz w:val="24"/>
                <w:szCs w:val="24"/>
              </w:rPr>
              <w:t>Semi-automatic drum seeder</w:t>
            </w:r>
          </w:p>
        </w:tc>
        <w:tc>
          <w:tcPr>
            <w:tcW w:w="2471" w:type="dxa"/>
            <w:vAlign w:val="center"/>
          </w:tcPr>
          <w:p w14:paraId="04724868">
            <w:pPr>
              <w:tabs>
                <w:tab w:val="left" w:pos="2700"/>
              </w:tabs>
              <w:spacing w:after="0" w:line="360" w:lineRule="auto"/>
              <w:ind w:right="-601"/>
              <w:rPr>
                <w:rFonts w:ascii="Times New Roman" w:hAnsi="Times New Roman" w:cs="Times New Roman"/>
                <w:sz w:val="24"/>
                <w:szCs w:val="24"/>
                <w:lang w:val="en-US"/>
              </w:rPr>
            </w:pPr>
            <w:r>
              <w:rPr>
                <w:rFonts w:ascii="Times New Roman" w:hAnsi="Times New Roman" w:cs="Times New Roman"/>
                <w:b/>
                <w:bCs/>
                <w:sz w:val="24"/>
                <w:szCs w:val="24"/>
              </w:rPr>
              <w:t>Manual broadcasting</w:t>
            </w:r>
          </w:p>
        </w:tc>
      </w:tr>
      <w:tr w14:paraId="58C85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497" w:type="dxa"/>
            <w:vAlign w:val="center"/>
          </w:tcPr>
          <w:p w14:paraId="3A3E57DC">
            <w:pPr>
              <w:tabs>
                <w:tab w:val="left" w:pos="2700"/>
              </w:tabs>
              <w:spacing w:after="0" w:line="360" w:lineRule="auto"/>
              <w:ind w:right="-601"/>
              <w:rPr>
                <w:rFonts w:ascii="Times New Roman" w:hAnsi="Times New Roman" w:cs="Times New Roman"/>
                <w:sz w:val="24"/>
                <w:szCs w:val="24"/>
                <w:lang w:val="en-US"/>
              </w:rPr>
            </w:pPr>
            <w:r>
              <w:rPr>
                <w:rFonts w:ascii="Times New Roman" w:hAnsi="Times New Roman" w:cs="Times New Roman"/>
                <w:sz w:val="24"/>
                <w:szCs w:val="24"/>
              </w:rPr>
              <w:t>Seed rate (kg ha⁻¹)</w:t>
            </w:r>
          </w:p>
        </w:tc>
        <w:tc>
          <w:tcPr>
            <w:tcW w:w="3230" w:type="dxa"/>
            <w:vAlign w:val="center"/>
          </w:tcPr>
          <w:p w14:paraId="04BD5DA1">
            <w:pPr>
              <w:tabs>
                <w:tab w:val="left" w:pos="2700"/>
              </w:tabs>
              <w:spacing w:after="0" w:line="360" w:lineRule="auto"/>
              <w:ind w:right="-601"/>
              <w:jc w:val="both"/>
              <w:rPr>
                <w:rFonts w:ascii="Times New Roman" w:hAnsi="Times New Roman" w:cs="Times New Roman"/>
                <w:sz w:val="24"/>
                <w:szCs w:val="24"/>
                <w:lang w:val="en-US"/>
              </w:rPr>
            </w:pPr>
            <w:r>
              <w:rPr>
                <w:rFonts w:ascii="Times New Roman" w:hAnsi="Times New Roman" w:cs="Times New Roman"/>
                <w:sz w:val="24"/>
                <w:szCs w:val="24"/>
              </w:rPr>
              <w:t>55 ± 4.2ᵃ</w:t>
            </w:r>
          </w:p>
        </w:tc>
        <w:tc>
          <w:tcPr>
            <w:tcW w:w="2471" w:type="dxa"/>
            <w:vAlign w:val="center"/>
          </w:tcPr>
          <w:p w14:paraId="6FBDA0A2">
            <w:pPr>
              <w:tabs>
                <w:tab w:val="left" w:pos="2700"/>
              </w:tabs>
              <w:spacing w:after="0" w:line="360" w:lineRule="auto"/>
              <w:ind w:right="-601"/>
              <w:jc w:val="both"/>
              <w:rPr>
                <w:rFonts w:ascii="Times New Roman" w:hAnsi="Times New Roman" w:cs="Times New Roman"/>
                <w:sz w:val="24"/>
                <w:szCs w:val="24"/>
                <w:lang w:val="en-US"/>
              </w:rPr>
            </w:pPr>
            <w:r>
              <w:rPr>
                <w:rFonts w:ascii="Times New Roman" w:hAnsi="Times New Roman" w:cs="Times New Roman"/>
                <w:sz w:val="24"/>
                <w:szCs w:val="24"/>
              </w:rPr>
              <w:t>110 ± 8.6ᵇ</w:t>
            </w:r>
          </w:p>
        </w:tc>
      </w:tr>
      <w:tr w14:paraId="54ECC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3497" w:type="dxa"/>
            <w:vAlign w:val="center"/>
          </w:tcPr>
          <w:p w14:paraId="195A6A87">
            <w:pPr>
              <w:tabs>
                <w:tab w:val="left" w:pos="2700"/>
              </w:tabs>
              <w:spacing w:after="0" w:line="360" w:lineRule="auto"/>
              <w:ind w:right="-601"/>
              <w:rPr>
                <w:rFonts w:ascii="Times New Roman" w:hAnsi="Times New Roman" w:cs="Times New Roman"/>
                <w:sz w:val="24"/>
                <w:szCs w:val="24"/>
                <w:lang w:val="en-US"/>
              </w:rPr>
            </w:pPr>
            <w:r>
              <w:rPr>
                <w:rFonts w:ascii="Times New Roman" w:hAnsi="Times New Roman" w:cs="Times New Roman"/>
                <w:sz w:val="24"/>
                <w:szCs w:val="24"/>
              </w:rPr>
              <w:t>Time required for sowing (h ha⁻¹)</w:t>
            </w:r>
          </w:p>
        </w:tc>
        <w:tc>
          <w:tcPr>
            <w:tcW w:w="3230" w:type="dxa"/>
            <w:vAlign w:val="center"/>
          </w:tcPr>
          <w:p w14:paraId="3CB57E3B">
            <w:pPr>
              <w:tabs>
                <w:tab w:val="left" w:pos="2700"/>
              </w:tabs>
              <w:spacing w:after="0" w:line="360" w:lineRule="auto"/>
              <w:ind w:right="-601"/>
              <w:jc w:val="both"/>
              <w:rPr>
                <w:rFonts w:ascii="Times New Roman" w:hAnsi="Times New Roman" w:cs="Times New Roman"/>
                <w:sz w:val="24"/>
                <w:szCs w:val="24"/>
                <w:lang w:val="en-US"/>
              </w:rPr>
            </w:pPr>
            <w:r>
              <w:rPr>
                <w:rFonts w:ascii="Times New Roman" w:hAnsi="Times New Roman" w:cs="Times New Roman"/>
                <w:sz w:val="24"/>
                <w:szCs w:val="24"/>
              </w:rPr>
              <w:t>2.5 ± 0.4ᵃ</w:t>
            </w:r>
          </w:p>
        </w:tc>
        <w:tc>
          <w:tcPr>
            <w:tcW w:w="2471" w:type="dxa"/>
            <w:vAlign w:val="center"/>
          </w:tcPr>
          <w:p w14:paraId="19B87853">
            <w:pPr>
              <w:tabs>
                <w:tab w:val="left" w:pos="2700"/>
              </w:tabs>
              <w:spacing w:after="0" w:line="360" w:lineRule="auto"/>
              <w:ind w:right="-601"/>
              <w:jc w:val="both"/>
              <w:rPr>
                <w:rFonts w:ascii="Times New Roman" w:hAnsi="Times New Roman" w:cs="Times New Roman"/>
                <w:sz w:val="24"/>
                <w:szCs w:val="24"/>
                <w:lang w:val="en-US"/>
              </w:rPr>
            </w:pPr>
            <w:r>
              <w:rPr>
                <w:rFonts w:ascii="Times New Roman" w:hAnsi="Times New Roman" w:cs="Times New Roman"/>
                <w:sz w:val="24"/>
                <w:szCs w:val="24"/>
              </w:rPr>
              <w:t>5.5 ± 0.7ᵇ</w:t>
            </w:r>
          </w:p>
        </w:tc>
      </w:tr>
      <w:tr w14:paraId="71E57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497" w:type="dxa"/>
            <w:vAlign w:val="center"/>
          </w:tcPr>
          <w:p w14:paraId="1ACCAB4F">
            <w:pPr>
              <w:tabs>
                <w:tab w:val="left" w:pos="2700"/>
              </w:tabs>
              <w:spacing w:after="0" w:line="360" w:lineRule="auto"/>
              <w:ind w:right="-601"/>
              <w:rPr>
                <w:rFonts w:ascii="Times New Roman" w:hAnsi="Times New Roman" w:cs="Times New Roman"/>
                <w:sz w:val="24"/>
                <w:szCs w:val="24"/>
                <w:lang w:val="en-US"/>
              </w:rPr>
            </w:pPr>
            <w:r>
              <w:rPr>
                <w:rFonts w:ascii="Times New Roman" w:hAnsi="Times New Roman" w:cs="Times New Roman"/>
                <w:sz w:val="24"/>
                <w:szCs w:val="24"/>
              </w:rPr>
              <w:t>Labour requirement (h ha⁻¹)</w:t>
            </w:r>
          </w:p>
        </w:tc>
        <w:tc>
          <w:tcPr>
            <w:tcW w:w="3230" w:type="dxa"/>
            <w:vAlign w:val="center"/>
          </w:tcPr>
          <w:p w14:paraId="38D4A2CF">
            <w:pPr>
              <w:tabs>
                <w:tab w:val="left" w:pos="2700"/>
              </w:tabs>
              <w:spacing w:after="0" w:line="360" w:lineRule="auto"/>
              <w:ind w:right="-601"/>
              <w:jc w:val="both"/>
              <w:rPr>
                <w:rFonts w:ascii="Times New Roman" w:hAnsi="Times New Roman" w:cs="Times New Roman"/>
                <w:sz w:val="24"/>
                <w:szCs w:val="24"/>
                <w:lang w:val="en-US"/>
              </w:rPr>
            </w:pPr>
            <w:r>
              <w:rPr>
                <w:rFonts w:ascii="Times New Roman" w:hAnsi="Times New Roman" w:cs="Times New Roman"/>
                <w:sz w:val="24"/>
                <w:szCs w:val="24"/>
              </w:rPr>
              <w:t>4.0 ± 0.3ᵃ</w:t>
            </w:r>
          </w:p>
        </w:tc>
        <w:tc>
          <w:tcPr>
            <w:tcW w:w="2471" w:type="dxa"/>
            <w:vAlign w:val="center"/>
          </w:tcPr>
          <w:p w14:paraId="5076A003">
            <w:pPr>
              <w:tabs>
                <w:tab w:val="left" w:pos="2700"/>
              </w:tabs>
              <w:spacing w:after="0" w:line="360" w:lineRule="auto"/>
              <w:ind w:right="-601"/>
              <w:jc w:val="both"/>
              <w:rPr>
                <w:rFonts w:ascii="Times New Roman" w:hAnsi="Times New Roman" w:cs="Times New Roman"/>
                <w:sz w:val="24"/>
                <w:szCs w:val="24"/>
                <w:lang w:val="en-US"/>
              </w:rPr>
            </w:pPr>
            <w:r>
              <w:rPr>
                <w:rFonts w:ascii="Times New Roman" w:hAnsi="Times New Roman" w:cs="Times New Roman"/>
                <w:sz w:val="24"/>
                <w:szCs w:val="24"/>
              </w:rPr>
              <w:t>8.0 ± 0.6ᵇ</w:t>
            </w:r>
          </w:p>
        </w:tc>
      </w:tr>
      <w:tr w14:paraId="52CFB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3497" w:type="dxa"/>
            <w:vAlign w:val="center"/>
          </w:tcPr>
          <w:p w14:paraId="0A40103F">
            <w:pPr>
              <w:tabs>
                <w:tab w:val="left" w:pos="2700"/>
              </w:tabs>
              <w:spacing w:after="0" w:line="360" w:lineRule="auto"/>
              <w:ind w:right="-601"/>
              <w:rPr>
                <w:rFonts w:ascii="Times New Roman" w:hAnsi="Times New Roman" w:cs="Times New Roman"/>
                <w:sz w:val="24"/>
                <w:szCs w:val="24"/>
                <w:lang w:val="en-US"/>
              </w:rPr>
            </w:pPr>
            <w:r>
              <w:rPr>
                <w:rFonts w:ascii="Times New Roman" w:hAnsi="Times New Roman" w:cs="Times New Roman"/>
                <w:sz w:val="24"/>
                <w:szCs w:val="24"/>
              </w:rPr>
              <w:t>Effective field capacity (ha h⁻¹)</w:t>
            </w:r>
          </w:p>
        </w:tc>
        <w:tc>
          <w:tcPr>
            <w:tcW w:w="3230" w:type="dxa"/>
            <w:vAlign w:val="center"/>
          </w:tcPr>
          <w:p w14:paraId="56BC0525">
            <w:pPr>
              <w:tabs>
                <w:tab w:val="left" w:pos="2700"/>
              </w:tabs>
              <w:spacing w:after="0" w:line="360" w:lineRule="auto"/>
              <w:ind w:right="-601"/>
              <w:jc w:val="both"/>
              <w:rPr>
                <w:rFonts w:ascii="Times New Roman" w:hAnsi="Times New Roman" w:cs="Times New Roman"/>
                <w:sz w:val="24"/>
                <w:szCs w:val="24"/>
                <w:lang w:val="en-US"/>
              </w:rPr>
            </w:pPr>
            <w:r>
              <w:rPr>
                <w:rFonts w:ascii="Times New Roman" w:hAnsi="Times New Roman" w:cs="Times New Roman"/>
                <w:sz w:val="24"/>
                <w:szCs w:val="24"/>
              </w:rPr>
              <w:t>0.40 ± 0.05ᵃ</w:t>
            </w:r>
          </w:p>
        </w:tc>
        <w:tc>
          <w:tcPr>
            <w:tcW w:w="2471" w:type="dxa"/>
            <w:vAlign w:val="center"/>
          </w:tcPr>
          <w:p w14:paraId="061E487E">
            <w:pPr>
              <w:tabs>
                <w:tab w:val="left" w:pos="2700"/>
              </w:tabs>
              <w:spacing w:after="0" w:line="360" w:lineRule="auto"/>
              <w:ind w:right="-601"/>
              <w:jc w:val="both"/>
              <w:rPr>
                <w:rFonts w:ascii="Times New Roman" w:hAnsi="Times New Roman" w:cs="Times New Roman"/>
                <w:sz w:val="24"/>
                <w:szCs w:val="24"/>
                <w:lang w:val="en-US"/>
              </w:rPr>
            </w:pPr>
            <w:r>
              <w:rPr>
                <w:rFonts w:ascii="Times New Roman" w:hAnsi="Times New Roman" w:cs="Times New Roman"/>
                <w:sz w:val="24"/>
                <w:szCs w:val="24"/>
              </w:rPr>
              <w:t>0.18 ± 0.03ᵇ</w:t>
            </w:r>
          </w:p>
        </w:tc>
      </w:tr>
      <w:tr w14:paraId="1D329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3497" w:type="dxa"/>
            <w:vAlign w:val="center"/>
          </w:tcPr>
          <w:p w14:paraId="062ED6D7">
            <w:pPr>
              <w:tabs>
                <w:tab w:val="left" w:pos="2700"/>
              </w:tabs>
              <w:spacing w:after="0" w:line="360" w:lineRule="auto"/>
              <w:ind w:right="-601"/>
              <w:rPr>
                <w:rFonts w:ascii="Times New Roman" w:hAnsi="Times New Roman" w:cs="Times New Roman"/>
                <w:sz w:val="24"/>
                <w:szCs w:val="24"/>
                <w:lang w:val="en-US"/>
              </w:rPr>
            </w:pPr>
            <w:r>
              <w:rPr>
                <w:rFonts w:ascii="Times New Roman" w:hAnsi="Times New Roman" w:cs="Times New Roman"/>
                <w:sz w:val="24"/>
                <w:szCs w:val="24"/>
              </w:rPr>
              <w:t>Field efficiency (%)</w:t>
            </w:r>
          </w:p>
        </w:tc>
        <w:tc>
          <w:tcPr>
            <w:tcW w:w="3230" w:type="dxa"/>
            <w:vAlign w:val="center"/>
          </w:tcPr>
          <w:p w14:paraId="4DF4AC47">
            <w:pPr>
              <w:tabs>
                <w:tab w:val="left" w:pos="2700"/>
              </w:tabs>
              <w:spacing w:after="0" w:line="360" w:lineRule="auto"/>
              <w:ind w:right="-601"/>
              <w:jc w:val="both"/>
              <w:rPr>
                <w:rFonts w:ascii="Times New Roman" w:hAnsi="Times New Roman" w:cs="Times New Roman"/>
                <w:sz w:val="24"/>
                <w:szCs w:val="24"/>
                <w:lang w:val="en-US"/>
              </w:rPr>
            </w:pPr>
            <w:r>
              <w:rPr>
                <w:rFonts w:ascii="Times New Roman" w:hAnsi="Times New Roman" w:cs="Times New Roman"/>
                <w:sz w:val="24"/>
                <w:szCs w:val="24"/>
              </w:rPr>
              <w:t>86.1 ± 3.5ᵃ</w:t>
            </w:r>
          </w:p>
        </w:tc>
        <w:tc>
          <w:tcPr>
            <w:tcW w:w="2471" w:type="dxa"/>
            <w:vAlign w:val="center"/>
          </w:tcPr>
          <w:p w14:paraId="3E820625">
            <w:pPr>
              <w:pStyle w:val="41"/>
              <w:numPr>
                <w:ilvl w:val="0"/>
                <w:numId w:val="0"/>
              </w:numPr>
              <w:tabs>
                <w:tab w:val="left" w:pos="2700"/>
              </w:tabs>
              <w:spacing w:after="0" w:line="360" w:lineRule="auto"/>
              <w:ind w:leftChars="0" w:right="-601" w:rightChars="0"/>
              <w:jc w:val="both"/>
              <w:rPr>
                <w:rFonts w:ascii="Times New Roman" w:hAnsi="Times New Roman" w:cs="Times New Roman"/>
                <w:sz w:val="24"/>
                <w:szCs w:val="24"/>
                <w:lang w:val="en-US"/>
              </w:rPr>
            </w:pPr>
            <w:r>
              <w:rPr>
                <w:rFonts w:hint="default" w:ascii="Times New Roman" w:hAnsi="Times New Roman" w:cs="Times New Roman"/>
                <w:sz w:val="24"/>
                <w:szCs w:val="24"/>
                <w:lang w:val="en-US"/>
              </w:rPr>
              <w:t xml:space="preserve">36.8 </w:t>
            </w:r>
            <w:r>
              <w:rPr>
                <w:rFonts w:ascii="Times New Roman" w:hAnsi="Times New Roman" w:cs="Times New Roman"/>
                <w:sz w:val="24"/>
                <w:szCs w:val="24"/>
              </w:rPr>
              <w:t xml:space="preserve">± </w:t>
            </w:r>
            <w:r>
              <w:rPr>
                <w:rFonts w:hint="default" w:ascii="Times New Roman" w:hAnsi="Times New Roman" w:cs="Times New Roman"/>
                <w:sz w:val="24"/>
                <w:szCs w:val="24"/>
                <w:lang w:val="en-US"/>
              </w:rPr>
              <w:t>2</w:t>
            </w:r>
            <w:r>
              <w:rPr>
                <w:rFonts w:ascii="Times New Roman" w:hAnsi="Times New Roman" w:cs="Times New Roman"/>
                <w:sz w:val="24"/>
                <w:szCs w:val="24"/>
              </w:rPr>
              <w:t>.03ᵇ</w:t>
            </w:r>
          </w:p>
        </w:tc>
      </w:tr>
    </w:tbl>
    <w:p w14:paraId="23E34BD1">
      <w:pPr>
        <w:tabs>
          <w:tab w:val="left" w:pos="2700"/>
        </w:tabs>
        <w:ind w:right="-601"/>
        <w:jc w:val="both"/>
        <w:rPr>
          <w:rFonts w:ascii="Times New Roman" w:hAnsi="Times New Roman" w:cs="Times New Roman"/>
          <w:i/>
          <w:iCs/>
          <w:sz w:val="24"/>
          <w:szCs w:val="24"/>
        </w:rPr>
      </w:pPr>
      <w:r>
        <w:rPr>
          <w:rFonts w:ascii="Times New Roman" w:hAnsi="Times New Roman" w:cs="Times New Roman"/>
          <w:i/>
          <w:iCs/>
          <w:sz w:val="24"/>
          <w:szCs w:val="24"/>
        </w:rPr>
        <w:t>(Values are expressed as mean ± standard deviation (SD). Means followed by different superscript letters (a, b) within a row are significantly different at p &lt; 0.05 based on Student’s t-test. Consistency across replications was verified using one-way ANOVA (p &gt; 0.05</w:t>
      </w:r>
    </w:p>
    <w:p w14:paraId="7C0DC893">
      <w:pPr>
        <w:tabs>
          <w:tab w:val="left" w:pos="2700"/>
        </w:tabs>
        <w:ind w:right="-601"/>
        <w:jc w:val="both"/>
        <w:rPr>
          <w:rFonts w:ascii="Times New Roman" w:hAnsi="Times New Roman" w:cs="Times New Roman"/>
          <w:i/>
          <w:iCs/>
          <w:sz w:val="24"/>
          <w:szCs w:val="24"/>
        </w:rPr>
      </w:pPr>
      <w:r>
        <w:rPr>
          <w:rFonts w:ascii="Times New Roman" w:hAnsi="Times New Roman" w:cs="Times New Roman"/>
          <w:sz w:val="24"/>
          <w:szCs w:val="24"/>
        </w:rPr>
        <w:t>Bars represent mean values obtained from replicated field trials. Numerical values are displayed above each bar for clarity</w:t>
      </w:r>
      <w:r>
        <w:rPr>
          <w:rFonts w:ascii="Times New Roman" w:hAnsi="Times New Roman" w:cs="Times New Roman"/>
          <w:b/>
          <w:bCs/>
          <w:sz w:val="24"/>
          <w:szCs w:val="24"/>
        </w:rPr>
        <w:t>.</w:t>
      </w:r>
    </w:p>
    <w:p w14:paraId="37D4AD5C">
      <w:pPr>
        <w:tabs>
          <w:tab w:val="left" w:pos="2700"/>
        </w:tabs>
        <w:spacing w:line="360" w:lineRule="auto"/>
        <w:ind w:right="-601"/>
        <w:jc w:val="both"/>
        <w:rPr>
          <w:rFonts w:ascii="Times New Roman" w:hAnsi="Times New Roman" w:cs="Times New Roman"/>
          <w:i/>
          <w:iCs/>
          <w:sz w:val="24"/>
          <w:szCs w:val="24"/>
        </w:rPr>
      </w:pPr>
      <w:r>
        <w:rPr>
          <w:rFonts w:ascii="Times New Roman" w:hAnsi="Times New Roman" w:cs="Times New Roman"/>
          <w:i/>
          <w:iCs/>
          <w:sz w:val="24"/>
          <w:szCs w:val="24"/>
        </w:rPr>
        <w:t>(Statistical significance is reported in Table 2; differences were significant at p &lt; 0.05.)</w:t>
      </w:r>
    </w:p>
    <w:p w14:paraId="05D35353">
      <w:pPr>
        <w:tabs>
          <w:tab w:val="left" w:pos="2700"/>
        </w:tabs>
        <w:ind w:right="-601"/>
        <w:jc w:val="both"/>
        <w:rPr>
          <w:rFonts w:ascii="Times New Roman" w:hAnsi="Times New Roman" w:cs="Times New Roman"/>
          <w:sz w:val="24"/>
          <w:szCs w:val="24"/>
        </w:rPr>
      </w:pPr>
      <w:r>
        <w:rPr>
          <w:lang w:val="en-US" w:eastAsia="en-US"/>
        </w:rPr>
        <w:drawing>
          <wp:anchor distT="0" distB="0" distL="114300" distR="114300" simplePos="0" relativeHeight="251659264" behindDoc="0" locked="0" layoutInCell="1" allowOverlap="1">
            <wp:simplePos x="0" y="0"/>
            <wp:positionH relativeFrom="column">
              <wp:posOffset>-108585</wp:posOffset>
            </wp:positionH>
            <wp:positionV relativeFrom="paragraph">
              <wp:posOffset>544830</wp:posOffset>
            </wp:positionV>
            <wp:extent cx="5073015" cy="3170555"/>
            <wp:effectExtent l="0" t="0" r="0" b="0"/>
            <wp:wrapSquare wrapText="bothSides"/>
            <wp:docPr id="2063559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559222"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073015" cy="3170555"/>
                    </a:xfrm>
                    <a:prstGeom prst="rect">
                      <a:avLst/>
                    </a:prstGeom>
                    <a:noFill/>
                    <a:ln>
                      <a:noFill/>
                    </a:ln>
                  </pic:spPr>
                </pic:pic>
              </a:graphicData>
            </a:graphic>
          </wp:anchor>
        </w:drawing>
      </w:r>
      <w:r>
        <w:rPr>
          <w:rFonts w:ascii="Times New Roman" w:hAnsi="Times New Roman" w:cs="Times New Roman"/>
          <w:b/>
          <w:bCs/>
          <w:sz w:val="24"/>
          <w:szCs w:val="24"/>
        </w:rPr>
        <w:t>Figure 2. Overall comparative performance of the semi-automatic paddy drum seeder and conventional manual broadcasting.</w:t>
      </w:r>
      <w:r>
        <w:rPr>
          <w:rFonts w:ascii="Times New Roman" w:hAnsi="Times New Roman" w:cs="Times New Roman"/>
          <w:sz w:val="24"/>
          <w:szCs w:val="24"/>
        </w:rPr>
        <w:t xml:space="preserve"> </w:t>
      </w:r>
    </w:p>
    <w:p w14:paraId="50DF53B9">
      <w:pPr>
        <w:tabs>
          <w:tab w:val="left" w:pos="2700"/>
        </w:tabs>
        <w:ind w:right="-601"/>
        <w:jc w:val="both"/>
        <w:rPr>
          <w:rFonts w:ascii="Times New Roman" w:hAnsi="Times New Roman" w:cs="Times New Roman"/>
          <w:i w:val="0"/>
          <w:iCs w:val="0"/>
          <w:sz w:val="24"/>
          <w:szCs w:val="24"/>
        </w:rPr>
      </w:pPr>
    </w:p>
    <w:p w14:paraId="229BC570">
      <w:pPr>
        <w:tabs>
          <w:tab w:val="left" w:pos="2700"/>
        </w:tabs>
        <w:ind w:right="-601"/>
        <w:jc w:val="both"/>
        <w:rPr>
          <w:rFonts w:ascii="Times New Roman" w:hAnsi="Times New Roman" w:cs="Times New Roman"/>
          <w:b/>
          <w:bCs/>
          <w:i w:val="0"/>
          <w:iCs w:val="0"/>
          <w:sz w:val="24"/>
          <w:szCs w:val="24"/>
        </w:rPr>
      </w:pPr>
      <w:r>
        <w:rPr>
          <w:rFonts w:ascii="Times New Roman" w:hAnsi="Times New Roman" w:cs="Times New Roman"/>
          <w:i w:val="0"/>
          <w:iCs w:val="0"/>
          <w:sz w:val="24"/>
          <w:szCs w:val="24"/>
          <w:lang w:val="en-US" w:eastAsia="en-US"/>
        </w:rPr>
        <w:drawing>
          <wp:anchor distT="0" distB="0" distL="114300" distR="114300" simplePos="0" relativeHeight="251661312" behindDoc="0" locked="0" layoutInCell="1" allowOverlap="1">
            <wp:simplePos x="0" y="0"/>
            <wp:positionH relativeFrom="column">
              <wp:posOffset>-127000</wp:posOffset>
            </wp:positionH>
            <wp:positionV relativeFrom="paragraph">
              <wp:posOffset>355600</wp:posOffset>
            </wp:positionV>
            <wp:extent cx="5434330" cy="2362835"/>
            <wp:effectExtent l="0" t="0" r="0" b="0"/>
            <wp:wrapTopAndBottom/>
            <wp:docPr id="617243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243489" name="Picture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434330" cy="2362835"/>
                    </a:xfrm>
                    <a:prstGeom prst="rect">
                      <a:avLst/>
                    </a:prstGeom>
                  </pic:spPr>
                </pic:pic>
              </a:graphicData>
            </a:graphic>
          </wp:anchor>
        </w:drawing>
      </w:r>
      <w:r>
        <w:rPr>
          <w:rFonts w:ascii="Times New Roman" w:hAnsi="Times New Roman" w:cs="Times New Roman"/>
          <w:i w:val="0"/>
          <w:iCs w:val="0"/>
          <w:sz w:val="24"/>
          <w:szCs w:val="24"/>
          <w:lang w:val="en-US" w:eastAsia="en-US"/>
        </w:rPr>
        <w:drawing>
          <wp:anchor distT="0" distB="0" distL="114300" distR="114300" simplePos="0" relativeHeight="251662336" behindDoc="0" locked="0" layoutInCell="1" allowOverlap="1">
            <wp:simplePos x="0" y="0"/>
            <wp:positionH relativeFrom="column">
              <wp:posOffset>-1270</wp:posOffset>
            </wp:positionH>
            <wp:positionV relativeFrom="paragraph">
              <wp:posOffset>2869565</wp:posOffset>
            </wp:positionV>
            <wp:extent cx="5276215" cy="2183130"/>
            <wp:effectExtent l="0" t="0" r="0" b="0"/>
            <wp:wrapTopAndBottom/>
            <wp:docPr id="434805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805641" name="Picture 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276215" cy="2183130"/>
                    </a:xfrm>
                    <a:prstGeom prst="rect">
                      <a:avLst/>
                    </a:prstGeom>
                  </pic:spPr>
                </pic:pic>
              </a:graphicData>
            </a:graphic>
          </wp:anchor>
        </w:drawing>
      </w:r>
      <w:r>
        <w:rPr>
          <w:rFonts w:ascii="Times New Roman" w:hAnsi="Times New Roman" w:cs="Times New Roman"/>
          <w:b/>
          <w:bCs/>
          <w:i w:val="0"/>
          <w:iCs w:val="0"/>
          <w:sz w:val="24"/>
          <w:szCs w:val="24"/>
        </w:rPr>
        <w:t>Figure 3. Schematic diagram of the semi-automatic drum seeder</w:t>
      </w:r>
    </w:p>
    <w:p w14:paraId="4CF21C60">
      <w:pPr>
        <w:tabs>
          <w:tab w:val="left" w:pos="2700"/>
        </w:tabs>
        <w:spacing w:line="360" w:lineRule="auto"/>
        <w:ind w:left="-510" w:right="-601"/>
        <w:jc w:val="both"/>
        <w:rPr>
          <w:rFonts w:ascii="Times New Roman" w:hAnsi="Times New Roman" w:cs="Times New Roman"/>
          <w:b/>
          <w:bCs/>
          <w:sz w:val="24"/>
          <w:szCs w:val="24"/>
        </w:rPr>
      </w:pPr>
    </w:p>
    <w:p w14:paraId="29EE9758">
      <w:pPr>
        <w:numPr>
          <w:ilvl w:val="0"/>
          <w:numId w:val="2"/>
        </w:numPr>
        <w:tabs>
          <w:tab w:val="left" w:pos="2700"/>
        </w:tabs>
        <w:spacing w:line="360" w:lineRule="auto"/>
        <w:ind w:left="-510" w:right="-601"/>
        <w:jc w:val="both"/>
        <w:rPr>
          <w:rFonts w:ascii="Times New Roman" w:hAnsi="Times New Roman" w:cs="Times New Roman" w:eastAsiaTheme="minorEastAsia"/>
          <w:sz w:val="24"/>
          <w:szCs w:val="24"/>
          <w:lang w:val="en-IN" w:eastAsia="en-IN" w:bidi="ar-SA"/>
        </w:rPr>
      </w:pPr>
      <w:r>
        <w:rPr>
          <w:rFonts w:ascii="Times New Roman" w:hAnsi="Times New Roman" w:cs="Times New Roman"/>
          <w:b/>
          <w:bCs/>
          <w:sz w:val="24"/>
          <w:szCs w:val="24"/>
        </w:rPr>
        <w:t>Conclusion</w:t>
      </w:r>
    </w:p>
    <w:p w14:paraId="5E6EF5AE">
      <w:pPr>
        <w:numPr>
          <w:ilvl w:val="0"/>
          <w:numId w:val="0"/>
        </w:numPr>
        <w:tabs>
          <w:tab w:val="left" w:pos="2700"/>
        </w:tabs>
        <w:spacing w:line="360" w:lineRule="auto"/>
        <w:ind w:left="-440" w:leftChars="-200" w:right="-601" w:rightChars="0" w:firstLine="0" w:firstLineChars="0"/>
        <w:jc w:val="both"/>
        <w:rPr>
          <w:rFonts w:ascii="Times New Roman" w:hAnsi="Times New Roman" w:cs="Times New Roman" w:eastAsiaTheme="minorEastAsia"/>
          <w:sz w:val="24"/>
          <w:szCs w:val="24"/>
          <w:lang w:val="en-IN" w:eastAsia="en-IN" w:bidi="ar-SA"/>
        </w:rPr>
      </w:pPr>
      <w:r>
        <w:rPr>
          <w:rFonts w:ascii="Times New Roman" w:hAnsi="Times New Roman" w:cs="Times New Roman" w:eastAsiaTheme="minorEastAsia"/>
          <w:sz w:val="24"/>
          <w:szCs w:val="24"/>
          <w:lang w:val="en-IN" w:eastAsia="en-IN" w:bidi="ar-SA"/>
        </w:rPr>
        <w:t>A semi-automatic paddy drum seeder with motor-assisted seed metering was successfully designed, developed, and evaluated under puddled field conditions for direct-seeded rice cultivation. The integration of motor-assisted drum rotation effectively decoupled seed metering from operator walking speed, resulting in uniform seed discharge and improved operational consistency. The use of a lightweight, corrosion-resistant PVC seed drum, combined with a low-power 12 V DC motor and battery-operated system, contributed to reliable performance under wetland conditions while maintaining simplicity of design. Field evaluation demonstrated that the developed seeder significantly reduced seed rate and labour requirement, while substantially improving effective field capacity and field efficiency when compared with conventional manual broadcasting. Statistical analysis confirmed that all key performance parameters differed significantly between sowing methods (p &lt; 0.05), and performance stability across replications was validated using one-way ANOVA.</w:t>
      </w:r>
    </w:p>
    <w:p w14:paraId="6C540FA6">
      <w:pPr>
        <w:numPr>
          <w:ilvl w:val="0"/>
          <w:numId w:val="0"/>
        </w:numPr>
        <w:tabs>
          <w:tab w:val="left" w:pos="2700"/>
        </w:tabs>
        <w:spacing w:line="360" w:lineRule="auto"/>
        <w:ind w:left="-440" w:leftChars="-200" w:right="-601" w:rightChars="0" w:firstLine="0" w:firstLineChars="0"/>
        <w:jc w:val="both"/>
        <w:rPr>
          <w:rFonts w:ascii="Times New Roman" w:hAnsi="Times New Roman" w:cs="Times New Roman" w:eastAsiaTheme="minorEastAsia"/>
          <w:sz w:val="24"/>
          <w:szCs w:val="24"/>
          <w:lang w:val="en-IN" w:eastAsia="en-IN" w:bidi="ar-SA"/>
        </w:rPr>
      </w:pPr>
      <w:r>
        <w:rPr>
          <w:rFonts w:ascii="Times New Roman" w:hAnsi="Times New Roman" w:cs="Times New Roman" w:eastAsiaTheme="minorEastAsia"/>
          <w:sz w:val="24"/>
          <w:szCs w:val="24"/>
          <w:lang w:val="en-IN" w:eastAsia="en-IN" w:bidi="ar-SA"/>
        </w:rPr>
        <w:t xml:space="preserve">The reduction in seed rate and labour input directly contributes to lower production costs, while improved field efficiency enhances timeliness of sowing, an important factor influencing rice productivity. These performance gains were achieved through a simple electromechanical modification without full automation, ensuring ease of operation and minimal maintenance. The developed prototype was fabricated at an approximate cost of Rs. </w:t>
      </w:r>
      <w:r>
        <w:rPr>
          <w:rFonts w:hint="default" w:ascii="Times New Roman" w:hAnsi="Times New Roman" w:cs="Times New Roman"/>
          <w:sz w:val="24"/>
          <w:szCs w:val="24"/>
          <w:lang w:val="en-US" w:eastAsia="en-IN" w:bidi="ar-SA"/>
        </w:rPr>
        <w:t>7</w:t>
      </w:r>
      <w:r>
        <w:rPr>
          <w:rFonts w:ascii="Times New Roman" w:hAnsi="Times New Roman" w:cs="Times New Roman" w:eastAsiaTheme="minorEastAsia"/>
          <w:sz w:val="24"/>
          <w:szCs w:val="24"/>
          <w:lang w:val="en-IN" w:eastAsia="en-IN" w:bidi="ar-SA"/>
        </w:rPr>
        <w:t>,500, making it economically accessible for small and marginal farmers. Overall, the semi-automatic paddy drum seeder represents a practical, low-cost, energy-efficient, and sustainable mechanization option that can support wider adoption of direct-seeded rice and improve resource-use efficiency in rice-based cropping systems.</w:t>
      </w:r>
    </w:p>
    <w:p w14:paraId="60C00AE5">
      <w:pPr>
        <w:tabs>
          <w:tab w:val="left" w:pos="2700"/>
        </w:tabs>
        <w:spacing w:line="360" w:lineRule="auto"/>
        <w:ind w:left="-510" w:right="-601"/>
        <w:jc w:val="both"/>
        <w:rPr>
          <w:rFonts w:ascii="Times New Roman" w:hAnsi="Times New Roman" w:cs="Times New Roman"/>
          <w:b/>
          <w:bCs/>
          <w:sz w:val="24"/>
          <w:szCs w:val="24"/>
        </w:rPr>
      </w:pPr>
      <w:r>
        <w:rPr>
          <w:rFonts w:ascii="Times New Roman" w:hAnsi="Times New Roman" w:cs="Times New Roman"/>
          <w:b/>
          <w:bCs/>
          <w:sz w:val="24"/>
          <w:szCs w:val="24"/>
        </w:rPr>
        <w:t>5. Implications and Future Scope</w:t>
      </w:r>
    </w:p>
    <w:p w14:paraId="426ED0B4">
      <w:pPr>
        <w:tabs>
          <w:tab w:val="left" w:pos="2700"/>
        </w:tabs>
        <w:spacing w:line="360" w:lineRule="auto"/>
        <w:ind w:left="-510" w:right="-601"/>
        <w:jc w:val="both"/>
        <w:rPr>
          <w:rFonts w:ascii="Times New Roman" w:hAnsi="Times New Roman" w:cs="Times New Roman"/>
          <w:sz w:val="24"/>
          <w:szCs w:val="24"/>
        </w:rPr>
      </w:pPr>
      <w:r>
        <w:rPr>
          <w:rFonts w:ascii="Times New Roman" w:hAnsi="Times New Roman" w:cs="Times New Roman"/>
          <w:sz w:val="24"/>
          <w:szCs w:val="24"/>
        </w:rPr>
        <w:t>The findings of this study demonstrate that targeted motor assistance at the seed metering stage can significantly enhance the efficiency and precision of direct-seeded rice operations without increasing system complexity. From a practical standpoint, the developed semi-automatic paddy drum seeder has strong potential for adoption by small and marginal farmers due to its low cost, ease of operation, and reduced labour dependency.</w:t>
      </w:r>
    </w:p>
    <w:p w14:paraId="0E544FF7">
      <w:pPr>
        <w:tabs>
          <w:tab w:val="left" w:pos="2700"/>
        </w:tabs>
        <w:spacing w:line="360" w:lineRule="auto"/>
        <w:ind w:left="-510" w:right="-601"/>
        <w:jc w:val="both"/>
        <w:rPr>
          <w:rFonts w:ascii="Times New Roman" w:hAnsi="Times New Roman" w:cs="Times New Roman"/>
          <w:sz w:val="24"/>
          <w:szCs w:val="24"/>
        </w:rPr>
      </w:pPr>
      <w:r>
        <w:rPr>
          <w:rFonts w:ascii="Times New Roman" w:hAnsi="Times New Roman" w:cs="Times New Roman"/>
          <w:sz w:val="24"/>
          <w:szCs w:val="24"/>
        </w:rPr>
        <w:t>Future work may focus on optimizing drum perforation geometry and motor speed control to further improve seed spacing uniformity across different rice varieties and seed sizes. Integration of a simple electronic speed controller or low-cost sensor-based feedback mechanism could enhance adaptability of seed metering under varying field and soil conditions. Development of interchangeable drums or adjustable perforation inserts may allow the same seeder to be used for different crops or seed grades, improving versatility.</w:t>
      </w:r>
    </w:p>
    <w:p w14:paraId="31B9CD1A">
      <w:pPr>
        <w:tabs>
          <w:tab w:val="left" w:pos="2700"/>
        </w:tabs>
        <w:spacing w:line="360" w:lineRule="auto"/>
        <w:ind w:left="-510" w:right="-601"/>
        <w:jc w:val="both"/>
        <w:rPr>
          <w:rFonts w:ascii="Times New Roman" w:hAnsi="Times New Roman" w:cs="Times New Roman"/>
          <w:sz w:val="24"/>
          <w:szCs w:val="24"/>
        </w:rPr>
      </w:pPr>
      <w:r>
        <w:rPr>
          <w:rFonts w:ascii="Times New Roman" w:hAnsi="Times New Roman" w:cs="Times New Roman"/>
          <w:sz w:val="24"/>
          <w:szCs w:val="24"/>
        </w:rPr>
        <w:t>Long-term field trials across multiple locations and seasons are recommended to evaluate agronomic performance, crop establishment, yield response, and economic benefits under diverse agro-climatic conditions. Further studies may also assess the durability of PVC components, battery life under extended use, and maintenance requirements during prolonged field operation. In addition, energy consumption analysis and life-cycle environmental impact assessment would strengthen the sustainability evaluation of the system. Incorporation of ergonomic improvements and minor structural refinements to enhance operator comfort could further improve field usability. Such developments would enhance the scalability, adaptability, and adoption potential of semi-automatic seeders in mechanized rice production systems.</w:t>
      </w:r>
    </w:p>
    <w:p w14:paraId="235C5599">
      <w:pPr>
        <w:tabs>
          <w:tab w:val="left" w:pos="2700"/>
        </w:tabs>
        <w:spacing w:line="360" w:lineRule="auto"/>
        <w:ind w:left="-510" w:right="-601"/>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Declaration of Conflict</w:t>
      </w:r>
    </w:p>
    <w:p w14:paraId="4F86C258">
      <w:pPr>
        <w:tabs>
          <w:tab w:val="left" w:pos="2700"/>
        </w:tabs>
        <w:spacing w:line="360" w:lineRule="auto"/>
        <w:ind w:left="-510" w:right="-601"/>
        <w:jc w:val="both"/>
        <w:rPr>
          <w:rFonts w:ascii="Times New Roman" w:hAnsi="Times New Roman" w:cs="Times New Roman"/>
          <w:sz w:val="24"/>
          <w:szCs w:val="24"/>
          <w:lang w:val="en-US"/>
        </w:rPr>
      </w:pPr>
      <w:r>
        <w:rPr>
          <w:rFonts w:ascii="Times New Roman" w:hAnsi="Times New Roman" w:cs="Times New Roman"/>
          <w:sz w:val="24"/>
          <w:szCs w:val="24"/>
          <w:lang w:val="en-US"/>
        </w:rPr>
        <w:t>The authors declare that they have no known competing financial interests or personal relationships that could have appeared to influence the work reported in this paper.</w:t>
      </w:r>
    </w:p>
    <w:p w14:paraId="2B2B9793">
      <w:pPr>
        <w:tabs>
          <w:tab w:val="left" w:pos="2700"/>
        </w:tabs>
        <w:spacing w:line="360" w:lineRule="auto"/>
        <w:ind w:left="-510" w:right="-601"/>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COMPETING INTERESTS DISCLAIMER:</w:t>
      </w:r>
    </w:p>
    <w:p w14:paraId="1907014B">
      <w:pPr>
        <w:tabs>
          <w:tab w:val="left" w:pos="2700"/>
        </w:tabs>
        <w:spacing w:line="360" w:lineRule="auto"/>
        <w:ind w:left="-510" w:right="-601"/>
        <w:jc w:val="both"/>
        <w:rPr>
          <w:rFonts w:ascii="Times New Roman" w:hAnsi="Times New Roman" w:cs="Times New Roman"/>
          <w:sz w:val="24"/>
          <w:szCs w:val="24"/>
          <w:lang w:val="en-US"/>
        </w:rPr>
      </w:pPr>
      <w:r>
        <w:rPr>
          <w:rFonts w:ascii="Times New Roman" w:hAnsi="Times New Roman" w:cs="Times New Roman"/>
          <w:sz w:val="24"/>
          <w:szCs w:val="24"/>
          <w:lang w:val="en-US"/>
        </w:rPr>
        <w:t>Authors have declared that they have no known competing financial interests OR non-financial interests OR personal relationships that could have appeared to influence the work reported in this paper.</w:t>
      </w:r>
      <w:bookmarkStart w:id="0" w:name="_Hlk198031404"/>
    </w:p>
    <w:p w14:paraId="431416FC">
      <w:pPr>
        <w:tabs>
          <w:tab w:val="left" w:pos="2700"/>
        </w:tabs>
        <w:spacing w:line="360" w:lineRule="auto"/>
        <w:ind w:left="-510" w:right="-601"/>
        <w:jc w:val="both"/>
        <w:rPr>
          <w:rFonts w:ascii="Times New Roman" w:hAnsi="Times New Roman" w:cs="Times New Roman"/>
          <w:b/>
          <w:bCs/>
          <w:sz w:val="24"/>
          <w:szCs w:val="24"/>
          <w:lang w:val="en-US" w:eastAsia="en-US"/>
        </w:rPr>
      </w:pPr>
      <w:r>
        <w:rPr>
          <w:rFonts w:ascii="Times New Roman" w:hAnsi="Times New Roman" w:cs="Times New Roman"/>
          <w:b/>
          <w:bCs/>
          <w:sz w:val="24"/>
          <w:szCs w:val="24"/>
          <w:lang w:val="en-US" w:eastAsia="en-US"/>
        </w:rPr>
        <w:t>Disclaimer (Artificial intelligence)</w:t>
      </w:r>
    </w:p>
    <w:p w14:paraId="57AEF3B6">
      <w:pPr>
        <w:tabs>
          <w:tab w:val="left" w:pos="2700"/>
        </w:tabs>
        <w:spacing w:line="360" w:lineRule="auto"/>
        <w:ind w:left="-510" w:right="-601"/>
        <w:jc w:val="both"/>
        <w:rPr>
          <w:rFonts w:ascii="Times New Roman" w:hAnsi="Times New Roman" w:cs="Times New Roman"/>
          <w:sz w:val="24"/>
          <w:szCs w:val="24"/>
          <w:lang w:val="en-US" w:eastAsia="en-US"/>
        </w:rPr>
      </w:pPr>
      <w:r>
        <w:rPr>
          <w:rFonts w:ascii="Times New Roman" w:hAnsi="Times New Roman" w:cs="Times New Roman"/>
          <w:sz w:val="24"/>
          <w:szCs w:val="24"/>
          <w:lang w:val="en-US" w:eastAsia="en-US"/>
        </w:rPr>
        <w:t xml:space="preserve">Author(s) hereby declare that NO generative AI technologies such as Large Language Models (ChatGPT, COPILOT, etc.) and text-to-image generators have been used during the writing or editing of this manuscript. </w:t>
      </w:r>
      <w:bookmarkStart w:id="1" w:name="_GoBack"/>
      <w:bookmarkEnd w:id="1"/>
    </w:p>
    <w:bookmarkEnd w:id="0"/>
    <w:p w14:paraId="6DC85F29">
      <w:pPr>
        <w:spacing w:after="0" w:line="240" w:lineRule="auto"/>
        <w:rPr>
          <w:rFonts w:ascii="Arial" w:hAnsi="Arial" w:eastAsia="Calibri" w:cs="Arial"/>
          <w:kern w:val="2"/>
          <w:lang w:val="en-US" w:eastAsia="en-US"/>
        </w:rPr>
      </w:pPr>
    </w:p>
    <w:p w14:paraId="3AF7A420">
      <w:pPr>
        <w:spacing w:after="0" w:line="240" w:lineRule="auto"/>
        <w:rPr>
          <w:rFonts w:ascii="Arial" w:hAnsi="Arial" w:eastAsia="Calibri" w:cs="Arial"/>
          <w:kern w:val="2"/>
          <w:lang w:val="en-US" w:eastAsia="en-US"/>
        </w:rPr>
      </w:pPr>
    </w:p>
    <w:p w14:paraId="49603FC2">
      <w:pPr>
        <w:spacing w:after="0" w:line="240" w:lineRule="auto"/>
        <w:rPr>
          <w:rFonts w:ascii="Arial" w:hAnsi="Arial" w:eastAsia="Calibri" w:cs="Arial"/>
          <w:kern w:val="2"/>
          <w:lang w:val="en-US" w:eastAsia="en-US"/>
        </w:rPr>
      </w:pPr>
    </w:p>
    <w:p w14:paraId="6E55CF02">
      <w:pPr>
        <w:tabs>
          <w:tab w:val="left" w:pos="2700"/>
        </w:tabs>
        <w:spacing w:line="360" w:lineRule="auto"/>
        <w:ind w:left="-510" w:right="-601"/>
        <w:jc w:val="both"/>
        <w:rPr>
          <w:rFonts w:ascii="Times New Roman" w:hAnsi="Times New Roman" w:cs="Times New Roman"/>
          <w:sz w:val="24"/>
          <w:szCs w:val="24"/>
          <w:lang w:val="en-US"/>
        </w:rPr>
      </w:pPr>
    </w:p>
    <w:p w14:paraId="1C4E324B">
      <w:pPr>
        <w:tabs>
          <w:tab w:val="left" w:pos="2700"/>
        </w:tabs>
        <w:spacing w:line="360" w:lineRule="auto"/>
        <w:ind w:left="-510" w:right="-601"/>
        <w:jc w:val="both"/>
        <w:rPr>
          <w:rFonts w:ascii="Times New Roman" w:hAnsi="Times New Roman" w:cs="Times New Roman"/>
          <w:b/>
          <w:bCs/>
          <w:sz w:val="24"/>
          <w:szCs w:val="24"/>
        </w:rPr>
      </w:pPr>
      <w:r>
        <w:rPr>
          <w:rFonts w:ascii="Times New Roman" w:hAnsi="Times New Roman" w:cs="Times New Roman"/>
          <w:b/>
          <w:bCs/>
          <w:sz w:val="24"/>
          <w:szCs w:val="24"/>
        </w:rPr>
        <w:t>References</w:t>
      </w:r>
    </w:p>
    <w:p w14:paraId="7115B313">
      <w:pPr>
        <w:pStyle w:val="41"/>
        <w:numPr>
          <w:ilvl w:val="0"/>
          <w:numId w:val="3"/>
        </w:numPr>
        <w:tabs>
          <w:tab w:val="left" w:pos="2700"/>
        </w:tabs>
        <w:spacing w:line="360" w:lineRule="auto"/>
        <w:ind w:left="-510" w:right="-601"/>
        <w:jc w:val="both"/>
        <w:rPr>
          <w:rFonts w:ascii="Times New Roman" w:hAnsi="Times New Roman" w:cs="Times New Roman"/>
          <w:b/>
          <w:bCs/>
          <w:sz w:val="24"/>
          <w:szCs w:val="24"/>
          <w:lang w:val="en-US"/>
        </w:rPr>
      </w:pPr>
      <w:r>
        <w:rPr>
          <w:rFonts w:ascii="Times New Roman" w:hAnsi="Times New Roman" w:cs="Times New Roman"/>
          <w:sz w:val="24"/>
          <w:szCs w:val="24"/>
        </w:rPr>
        <w:t xml:space="preserve">Al Mamun, M. R. (2024). </w:t>
      </w:r>
      <w:r>
        <w:rPr>
          <w:rFonts w:ascii="Times New Roman" w:hAnsi="Times New Roman" w:cs="Times New Roman"/>
          <w:i w:val="0"/>
          <w:iCs w:val="0"/>
          <w:sz w:val="24"/>
          <w:szCs w:val="24"/>
        </w:rPr>
        <w:t xml:space="preserve">Design and fabrication of a low-cost drum seeder for rice direct seeding considering seed spacing accuracy and cost optimization. </w:t>
      </w:r>
      <w:r>
        <w:rPr>
          <w:rFonts w:ascii="Times New Roman" w:hAnsi="Times New Roman" w:cs="Times New Roman"/>
          <w:i/>
          <w:iCs/>
          <w:sz w:val="24"/>
          <w:szCs w:val="24"/>
        </w:rPr>
        <w:t>CIGR Journal</w:t>
      </w:r>
      <w:r>
        <w:rPr>
          <w:rFonts w:ascii="Times New Roman" w:hAnsi="Times New Roman" w:cs="Times New Roman"/>
          <w:sz w:val="24"/>
          <w:szCs w:val="24"/>
        </w:rPr>
        <w:t xml:space="preserve">. </w:t>
      </w:r>
      <w:r>
        <w:fldChar w:fldCharType="begin"/>
      </w:r>
      <w:r>
        <w:instrText xml:space="preserve"> HYPERLINK "https://cigrjournal.org/index.php/Ejounral/article/view/9099" </w:instrText>
      </w:r>
      <w:r>
        <w:fldChar w:fldCharType="separate"/>
      </w:r>
      <w:r>
        <w:rPr>
          <w:rStyle w:val="15"/>
          <w:rFonts w:ascii="Times New Roman" w:hAnsi="Times New Roman" w:cs="Times New Roman"/>
          <w:sz w:val="24"/>
          <w:szCs w:val="24"/>
        </w:rPr>
        <w:t>https://cigrjournal.org/index.php/Ejounral/article/view/9099</w:t>
      </w:r>
      <w:r>
        <w:rPr>
          <w:rStyle w:val="15"/>
          <w:rFonts w:ascii="Times New Roman" w:hAnsi="Times New Roman" w:cs="Times New Roman"/>
          <w:sz w:val="24"/>
          <w:szCs w:val="24"/>
        </w:rPr>
        <w:fldChar w:fldCharType="end"/>
      </w:r>
    </w:p>
    <w:p w14:paraId="65B3C4BF">
      <w:pPr>
        <w:pStyle w:val="41"/>
        <w:numPr>
          <w:ilvl w:val="0"/>
          <w:numId w:val="3"/>
        </w:numPr>
        <w:tabs>
          <w:tab w:val="left" w:pos="2700"/>
        </w:tabs>
        <w:spacing w:line="360" w:lineRule="auto"/>
        <w:ind w:left="-510" w:right="-601"/>
        <w:jc w:val="both"/>
        <w:rPr>
          <w:rFonts w:ascii="Times New Roman" w:hAnsi="Times New Roman" w:cs="Times New Roman"/>
          <w:b/>
          <w:bCs/>
          <w:sz w:val="24"/>
          <w:szCs w:val="24"/>
          <w:lang w:val="en-US"/>
        </w:rPr>
      </w:pPr>
      <w:r>
        <w:rPr>
          <w:rFonts w:ascii="Times New Roman" w:hAnsi="Times New Roman" w:cs="Times New Roman"/>
          <w:sz w:val="24"/>
          <w:szCs w:val="24"/>
        </w:rPr>
        <w:t>Baruah, D. C. (2009). Comparative Assessment of Manual Paddy Drum Seeders. </w:t>
      </w:r>
      <w:r>
        <w:rPr>
          <w:rFonts w:ascii="Times New Roman" w:hAnsi="Times New Roman" w:cs="Times New Roman"/>
          <w:i/>
          <w:iCs/>
          <w:sz w:val="24"/>
          <w:szCs w:val="24"/>
        </w:rPr>
        <w:t>Journal of Agricultural Engineering</w:t>
      </w:r>
      <w:r>
        <w:rPr>
          <w:rFonts w:ascii="Times New Roman" w:hAnsi="Times New Roman" w:cs="Times New Roman"/>
          <w:sz w:val="24"/>
          <w:szCs w:val="24"/>
        </w:rPr>
        <w:t>, </w:t>
      </w:r>
      <w:r>
        <w:rPr>
          <w:rFonts w:ascii="Times New Roman" w:hAnsi="Times New Roman" w:cs="Times New Roman"/>
          <w:i/>
          <w:iCs/>
          <w:sz w:val="24"/>
          <w:szCs w:val="24"/>
        </w:rPr>
        <w:t>43</w:t>
      </w:r>
      <w:r>
        <w:rPr>
          <w:rFonts w:ascii="Times New Roman" w:hAnsi="Times New Roman" w:cs="Times New Roman"/>
          <w:sz w:val="24"/>
          <w:szCs w:val="24"/>
        </w:rPr>
        <w:t>(2). </w:t>
      </w:r>
      <w:r>
        <w:fldChar w:fldCharType="begin"/>
      </w:r>
      <w:r>
        <w:instrText xml:space="preserve"> HYPERLINK "https://epubs.icar.org.in/index.php/JAE/article/view/14422" </w:instrText>
      </w:r>
      <w:r>
        <w:fldChar w:fldCharType="separate"/>
      </w:r>
      <w:r>
        <w:rPr>
          <w:rStyle w:val="15"/>
          <w:rFonts w:ascii="Times New Roman" w:hAnsi="Times New Roman" w:cs="Times New Roman"/>
          <w:sz w:val="24"/>
          <w:szCs w:val="24"/>
        </w:rPr>
        <w:t>https://epubs.icar.org.in/index.php/JAE/article/view/14422</w:t>
      </w:r>
      <w:r>
        <w:rPr>
          <w:rStyle w:val="15"/>
          <w:rFonts w:ascii="Times New Roman" w:hAnsi="Times New Roman" w:cs="Times New Roman"/>
          <w:sz w:val="24"/>
          <w:szCs w:val="24"/>
        </w:rPr>
        <w:fldChar w:fldCharType="end"/>
      </w:r>
    </w:p>
    <w:p w14:paraId="5185206F">
      <w:pPr>
        <w:pStyle w:val="41"/>
        <w:numPr>
          <w:ilvl w:val="0"/>
          <w:numId w:val="3"/>
        </w:numPr>
        <w:tabs>
          <w:tab w:val="left" w:pos="2700"/>
        </w:tabs>
        <w:spacing w:line="360" w:lineRule="auto"/>
        <w:ind w:left="-510" w:right="-601"/>
        <w:jc w:val="both"/>
        <w:rPr>
          <w:rFonts w:ascii="Times New Roman" w:hAnsi="Times New Roman" w:cs="Times New Roman"/>
          <w:b/>
          <w:bCs/>
          <w:sz w:val="24"/>
          <w:szCs w:val="24"/>
          <w:lang w:val="en-US"/>
        </w:rPr>
      </w:pPr>
      <w:r>
        <w:rPr>
          <w:rFonts w:ascii="Times New Roman" w:hAnsi="Times New Roman" w:cs="Times New Roman"/>
          <w:sz w:val="24"/>
          <w:szCs w:val="24"/>
        </w:rPr>
        <w:t xml:space="preserve">Devi, B. R. (2023). </w:t>
      </w:r>
      <w:r>
        <w:rPr>
          <w:rFonts w:ascii="Times New Roman" w:hAnsi="Times New Roman" w:cs="Times New Roman"/>
          <w:i w:val="0"/>
          <w:iCs w:val="0"/>
          <w:sz w:val="24"/>
          <w:szCs w:val="24"/>
        </w:rPr>
        <w:t>Direct seeded rice as resource efficient technology.</w:t>
      </w:r>
      <w:r>
        <w:rPr>
          <w:rFonts w:ascii="Times New Roman" w:hAnsi="Times New Roman" w:cs="Times New Roman"/>
          <w:sz w:val="24"/>
          <w:szCs w:val="24"/>
        </w:rPr>
        <w:t xml:space="preserve"> </w:t>
      </w:r>
      <w:r>
        <w:rPr>
          <w:rFonts w:ascii="Times New Roman" w:hAnsi="Times New Roman" w:cs="Times New Roman"/>
          <w:i/>
          <w:iCs/>
          <w:sz w:val="24"/>
          <w:szCs w:val="24"/>
        </w:rPr>
        <w:t>International Journal of Environment and Climate Change, 13</w:t>
      </w:r>
      <w:r>
        <w:rPr>
          <w:rFonts w:ascii="Times New Roman" w:hAnsi="Times New Roman" w:cs="Times New Roman"/>
          <w:sz w:val="24"/>
          <w:szCs w:val="24"/>
        </w:rPr>
        <w:t xml:space="preserve">(8), 1169–1174. </w:t>
      </w:r>
      <w:r>
        <w:fldChar w:fldCharType="begin"/>
      </w:r>
      <w:r>
        <w:instrText xml:space="preserve"> HYPERLINK "https://doi.org/10.9734/ijecc/2023/v13i82056" </w:instrText>
      </w:r>
      <w:r>
        <w:fldChar w:fldCharType="separate"/>
      </w:r>
      <w:r>
        <w:rPr>
          <w:rStyle w:val="15"/>
          <w:rFonts w:ascii="Times New Roman" w:hAnsi="Times New Roman" w:cs="Times New Roman"/>
          <w:sz w:val="24"/>
          <w:szCs w:val="24"/>
        </w:rPr>
        <w:t>https://doi.org/10.9734/ijecc/2023/v13i82056</w:t>
      </w:r>
      <w:r>
        <w:rPr>
          <w:rStyle w:val="15"/>
          <w:rFonts w:ascii="Times New Roman" w:hAnsi="Times New Roman" w:cs="Times New Roman"/>
          <w:sz w:val="24"/>
          <w:szCs w:val="24"/>
        </w:rPr>
        <w:fldChar w:fldCharType="end"/>
      </w:r>
    </w:p>
    <w:p w14:paraId="2CC2E689">
      <w:pPr>
        <w:pStyle w:val="41"/>
        <w:numPr>
          <w:ilvl w:val="0"/>
          <w:numId w:val="3"/>
        </w:numPr>
        <w:tabs>
          <w:tab w:val="left" w:pos="2700"/>
        </w:tabs>
        <w:spacing w:line="360" w:lineRule="auto"/>
        <w:ind w:left="-510" w:right="-601"/>
        <w:jc w:val="both"/>
        <w:rPr>
          <w:rFonts w:ascii="Times New Roman" w:hAnsi="Times New Roman" w:cs="Times New Roman"/>
          <w:b/>
          <w:bCs/>
          <w:sz w:val="24"/>
          <w:szCs w:val="24"/>
          <w:lang w:val="en-US"/>
        </w:rPr>
      </w:pPr>
      <w:r>
        <w:rPr>
          <w:rFonts w:ascii="Times New Roman" w:hAnsi="Times New Roman" w:cs="Times New Roman"/>
          <w:sz w:val="24"/>
          <w:szCs w:val="24"/>
        </w:rPr>
        <w:t xml:space="preserve">Didarul Islam · (2006) · Improvement of Performance of A Drum Seeder. Thesis work, </w:t>
      </w:r>
      <w:r>
        <w:fldChar w:fldCharType="begin"/>
      </w:r>
      <w:r>
        <w:instrText xml:space="preserve"> HYPERLINK "https://saulibrary.edu.bd/daatj/public/uploads/BAU200601_01-ae_5.pdf" </w:instrText>
      </w:r>
      <w:r>
        <w:fldChar w:fldCharType="separate"/>
      </w:r>
      <w:r>
        <w:rPr>
          <w:rStyle w:val="15"/>
          <w:rFonts w:ascii="Times New Roman" w:hAnsi="Times New Roman" w:cs="Times New Roman"/>
          <w:sz w:val="24"/>
          <w:szCs w:val="24"/>
        </w:rPr>
        <w:t>https://saulibrary.edu.bd/daatj/public/uploads/BAU200601_01-ae_5.pdf</w:t>
      </w:r>
      <w:r>
        <w:rPr>
          <w:rStyle w:val="15"/>
          <w:rFonts w:ascii="Times New Roman" w:hAnsi="Times New Roman" w:cs="Times New Roman"/>
          <w:sz w:val="24"/>
          <w:szCs w:val="24"/>
        </w:rPr>
        <w:fldChar w:fldCharType="end"/>
      </w:r>
    </w:p>
    <w:p w14:paraId="69B07440">
      <w:pPr>
        <w:pStyle w:val="41"/>
        <w:numPr>
          <w:ilvl w:val="0"/>
          <w:numId w:val="3"/>
        </w:numPr>
        <w:tabs>
          <w:tab w:val="left" w:pos="2700"/>
        </w:tabs>
        <w:spacing w:line="360" w:lineRule="auto"/>
        <w:ind w:left="-510" w:right="-601"/>
        <w:jc w:val="both"/>
        <w:rPr>
          <w:rFonts w:ascii="Times New Roman" w:hAnsi="Times New Roman" w:cs="Times New Roman"/>
          <w:sz w:val="24"/>
          <w:szCs w:val="24"/>
        </w:rPr>
      </w:pPr>
      <w:r>
        <w:rPr>
          <w:rFonts w:ascii="Times New Roman" w:hAnsi="Times New Roman" w:cs="Times New Roman"/>
          <w:sz w:val="24"/>
          <w:szCs w:val="24"/>
        </w:rPr>
        <w:t>Hunt, D. (2001). Farm power and machinery management (10th ed.). Ames, IA: Iowa State University Press.</w:t>
      </w:r>
    </w:p>
    <w:p w14:paraId="793A33D2">
      <w:pPr>
        <w:pStyle w:val="41"/>
        <w:numPr>
          <w:ilvl w:val="0"/>
          <w:numId w:val="3"/>
        </w:numPr>
        <w:tabs>
          <w:tab w:val="left" w:pos="2700"/>
        </w:tabs>
        <w:spacing w:line="360" w:lineRule="auto"/>
        <w:ind w:left="-510" w:right="-601"/>
        <w:jc w:val="both"/>
        <w:rPr>
          <w:rFonts w:ascii="Times New Roman" w:hAnsi="Times New Roman" w:cs="Times New Roman"/>
          <w:b/>
          <w:bCs/>
          <w:sz w:val="24"/>
          <w:szCs w:val="24"/>
          <w:lang w:val="en-US"/>
        </w:rPr>
      </w:pPr>
      <w:r>
        <w:rPr>
          <w:rFonts w:ascii="Times New Roman" w:hAnsi="Times New Roman" w:cs="Times New Roman"/>
          <w:sz w:val="24"/>
          <w:szCs w:val="24"/>
        </w:rPr>
        <w:t>Kaur J, Singh A. Direct Seeded Rice: Prospects, Problems/Constraints and Researchable Issues in India. Curr Agri Res 2017;5(1). doi : </w:t>
      </w:r>
      <w:r>
        <w:fldChar w:fldCharType="begin"/>
      </w:r>
      <w:r>
        <w:instrText xml:space="preserve"> HYPERLINK "http://dx.doi.org/10.12944/CARJ.5.1.03" </w:instrText>
      </w:r>
      <w:r>
        <w:fldChar w:fldCharType="separate"/>
      </w:r>
      <w:r>
        <w:rPr>
          <w:rStyle w:val="15"/>
          <w:rFonts w:ascii="Times New Roman" w:hAnsi="Times New Roman" w:cs="Times New Roman"/>
          <w:sz w:val="24"/>
          <w:szCs w:val="24"/>
        </w:rPr>
        <w:t>http://dx.doi.org/10.12944/CARJ.5.1.03</w:t>
      </w:r>
      <w:r>
        <w:rPr>
          <w:rStyle w:val="15"/>
          <w:rFonts w:ascii="Times New Roman" w:hAnsi="Times New Roman" w:cs="Times New Roman"/>
          <w:sz w:val="24"/>
          <w:szCs w:val="24"/>
        </w:rPr>
        <w:fldChar w:fldCharType="end"/>
      </w:r>
    </w:p>
    <w:p w14:paraId="3A3CF7EB">
      <w:pPr>
        <w:pStyle w:val="41"/>
        <w:numPr>
          <w:ilvl w:val="0"/>
          <w:numId w:val="3"/>
        </w:numPr>
        <w:tabs>
          <w:tab w:val="left" w:pos="2700"/>
        </w:tabs>
        <w:spacing w:line="360" w:lineRule="auto"/>
        <w:ind w:left="-510" w:right="-601"/>
        <w:jc w:val="both"/>
        <w:rPr>
          <w:rFonts w:ascii="Times New Roman" w:hAnsi="Times New Roman" w:cs="Times New Roman"/>
          <w:sz w:val="24"/>
          <w:szCs w:val="24"/>
          <w:lang w:val="en-US"/>
        </w:rPr>
      </w:pPr>
      <w:r>
        <w:rPr>
          <w:rFonts w:ascii="Times New Roman" w:hAnsi="Times New Roman" w:cs="Times New Roman"/>
          <w:sz w:val="24"/>
          <w:szCs w:val="24"/>
        </w:rPr>
        <w:t>Kepner, R. A., Bainer, R., &amp; Barger, E. L. (2018). Principles of farm machinery (3rd ed.). New Delhi: CBS Publishers &amp; Distributors.</w:t>
      </w:r>
    </w:p>
    <w:p w14:paraId="39CF78E5">
      <w:pPr>
        <w:pStyle w:val="41"/>
        <w:numPr>
          <w:ilvl w:val="0"/>
          <w:numId w:val="3"/>
        </w:numPr>
        <w:tabs>
          <w:tab w:val="left" w:pos="2700"/>
        </w:tabs>
        <w:spacing w:line="360" w:lineRule="auto"/>
        <w:ind w:left="-510" w:right="-601"/>
        <w:jc w:val="both"/>
        <w:rPr>
          <w:rFonts w:ascii="Times New Roman" w:hAnsi="Times New Roman" w:cs="Times New Roman"/>
          <w:b/>
          <w:bCs/>
          <w:sz w:val="24"/>
          <w:szCs w:val="24"/>
          <w:lang w:val="en-US"/>
        </w:rPr>
      </w:pPr>
      <w:r>
        <w:rPr>
          <w:rFonts w:ascii="Times New Roman" w:hAnsi="Times New Roman" w:cs="Times New Roman"/>
          <w:sz w:val="24"/>
          <w:szCs w:val="24"/>
        </w:rPr>
        <w:t xml:space="preserve">Liu D.J., 2025, Improving rice yield under direct seeding through synergistic water and fertilizer management, </w:t>
      </w:r>
      <w:r>
        <w:rPr>
          <w:rFonts w:ascii="Times New Roman" w:hAnsi="Times New Roman" w:cs="Times New Roman"/>
          <w:i/>
          <w:iCs/>
          <w:sz w:val="24"/>
          <w:szCs w:val="24"/>
        </w:rPr>
        <w:t>Rice Genomics and Genetics,</w:t>
      </w:r>
      <w:r>
        <w:rPr>
          <w:rFonts w:ascii="Times New Roman" w:hAnsi="Times New Roman" w:cs="Times New Roman"/>
          <w:sz w:val="24"/>
          <w:szCs w:val="24"/>
        </w:rPr>
        <w:t xml:space="preserve"> 16(2): 61-70 (doi: </w:t>
      </w:r>
      <w:r>
        <w:fldChar w:fldCharType="begin"/>
      </w:r>
      <w:r>
        <w:instrText xml:space="preserve"> HYPERLINK "https://doi.org/10.5376/rgg.2025.16.0006" </w:instrText>
      </w:r>
      <w:r>
        <w:fldChar w:fldCharType="separate"/>
      </w:r>
      <w:r>
        <w:rPr>
          <w:rStyle w:val="15"/>
          <w:rFonts w:ascii="Times New Roman" w:hAnsi="Times New Roman" w:cs="Times New Roman"/>
          <w:sz w:val="24"/>
          <w:szCs w:val="24"/>
        </w:rPr>
        <w:t>10.5376/rgg.2025.16.0006</w:t>
      </w:r>
      <w:r>
        <w:rPr>
          <w:rStyle w:val="15"/>
          <w:rFonts w:ascii="Times New Roman" w:hAnsi="Times New Roman" w:cs="Times New Roman"/>
          <w:sz w:val="24"/>
          <w:szCs w:val="24"/>
        </w:rPr>
        <w:fldChar w:fldCharType="end"/>
      </w:r>
      <w:r>
        <w:rPr>
          <w:rFonts w:ascii="Times New Roman" w:hAnsi="Times New Roman" w:cs="Times New Roman"/>
          <w:sz w:val="24"/>
          <w:szCs w:val="24"/>
        </w:rPr>
        <w:t>)</w:t>
      </w:r>
    </w:p>
    <w:p w14:paraId="0AA846F8">
      <w:pPr>
        <w:pStyle w:val="41"/>
        <w:numPr>
          <w:ilvl w:val="0"/>
          <w:numId w:val="3"/>
        </w:numPr>
        <w:tabs>
          <w:tab w:val="left" w:pos="2700"/>
        </w:tabs>
        <w:spacing w:line="360" w:lineRule="auto"/>
        <w:ind w:left="-510" w:right="-601"/>
        <w:jc w:val="both"/>
        <w:rPr>
          <w:rFonts w:ascii="Times New Roman" w:hAnsi="Times New Roman" w:cs="Times New Roman"/>
          <w:b/>
          <w:bCs/>
          <w:sz w:val="24"/>
          <w:szCs w:val="24"/>
          <w:lang w:val="en-US"/>
        </w:rPr>
      </w:pPr>
      <w:r>
        <w:rPr>
          <w:rFonts w:ascii="Times New Roman" w:hAnsi="Times New Roman" w:cs="Times New Roman"/>
          <w:sz w:val="24"/>
          <w:szCs w:val="24"/>
        </w:rPr>
        <w:t xml:space="preserve">Nguyen-Van-Hung, N. V., et al. (2024). </w:t>
      </w:r>
      <w:r>
        <w:rPr>
          <w:rFonts w:ascii="Times New Roman" w:hAnsi="Times New Roman" w:cs="Times New Roman"/>
          <w:i w:val="0"/>
          <w:iCs w:val="0"/>
          <w:sz w:val="24"/>
          <w:szCs w:val="24"/>
        </w:rPr>
        <w:t>Mechanized wet direct seeding for increased rice production efficiency and reduced carbon footprint.</w:t>
      </w:r>
      <w:r>
        <w:rPr>
          <w:rFonts w:ascii="Times New Roman" w:hAnsi="Times New Roman" w:cs="Times New Roman"/>
          <w:sz w:val="24"/>
          <w:szCs w:val="24"/>
        </w:rPr>
        <w:t xml:space="preserve"> </w:t>
      </w:r>
      <w:r>
        <w:rPr>
          <w:rFonts w:ascii="Times New Roman" w:hAnsi="Times New Roman" w:cs="Times New Roman"/>
          <w:i/>
          <w:iCs/>
          <w:sz w:val="24"/>
          <w:szCs w:val="24"/>
        </w:rPr>
        <w:t>Precision Agriculture, 25</w:t>
      </w:r>
      <w:r>
        <w:rPr>
          <w:rFonts w:ascii="Times New Roman" w:hAnsi="Times New Roman" w:cs="Times New Roman"/>
          <w:sz w:val="24"/>
          <w:szCs w:val="24"/>
        </w:rPr>
        <w:t xml:space="preserve">, 2226–2244. https://doi.org/10.1007/s11119-024-10163-8 </w:t>
      </w:r>
    </w:p>
    <w:p w14:paraId="2B08717F">
      <w:pPr>
        <w:pStyle w:val="41"/>
        <w:numPr>
          <w:ilvl w:val="0"/>
          <w:numId w:val="3"/>
        </w:numPr>
        <w:tabs>
          <w:tab w:val="left" w:pos="2700"/>
        </w:tabs>
        <w:spacing w:line="360" w:lineRule="auto"/>
        <w:ind w:left="-510" w:right="-601"/>
        <w:jc w:val="both"/>
        <w:rPr>
          <w:rFonts w:ascii="Times New Roman" w:hAnsi="Times New Roman" w:cs="Times New Roman"/>
          <w:b/>
          <w:bCs/>
          <w:sz w:val="24"/>
          <w:szCs w:val="24"/>
          <w:lang w:val="en-US"/>
        </w:rPr>
      </w:pPr>
      <w:r>
        <w:rPr>
          <w:rFonts w:ascii="Times New Roman" w:hAnsi="Times New Roman" w:cs="Times New Roman"/>
          <w:sz w:val="24"/>
          <w:szCs w:val="24"/>
        </w:rPr>
        <w:t xml:space="preserve">Rahman, M. M., Masood, M. M., &amp; Sarkar, M. A. R. (2019). Effect of seed rate on yield performance of dry direct-seeded winter rice. </w:t>
      </w:r>
      <w:r>
        <w:rPr>
          <w:rFonts w:ascii="Times New Roman" w:hAnsi="Times New Roman" w:cs="Times New Roman"/>
          <w:i/>
          <w:iCs/>
          <w:sz w:val="24"/>
          <w:szCs w:val="24"/>
        </w:rPr>
        <w:t>Fundamental and Applied Agriculture, 4</w:t>
      </w:r>
      <w:r>
        <w:rPr>
          <w:rFonts w:ascii="Times New Roman" w:hAnsi="Times New Roman" w:cs="Times New Roman"/>
          <w:sz w:val="24"/>
          <w:szCs w:val="24"/>
        </w:rPr>
        <w:t xml:space="preserve">(1), 735–741. </w:t>
      </w:r>
      <w:r>
        <w:fldChar w:fldCharType="begin"/>
      </w:r>
      <w:r>
        <w:instrText xml:space="preserve"> HYPERLINK "https://doi.org/10.5455/faa.4469" </w:instrText>
      </w:r>
      <w:r>
        <w:fldChar w:fldCharType="separate"/>
      </w:r>
      <w:r>
        <w:rPr>
          <w:rStyle w:val="15"/>
          <w:rFonts w:ascii="Times New Roman" w:hAnsi="Times New Roman" w:cs="Times New Roman"/>
          <w:sz w:val="24"/>
          <w:szCs w:val="24"/>
        </w:rPr>
        <w:t>https://doi.org/10.5455/faa.4469</w:t>
      </w:r>
      <w:r>
        <w:rPr>
          <w:rStyle w:val="15"/>
          <w:rFonts w:ascii="Times New Roman" w:hAnsi="Times New Roman" w:cs="Times New Roman"/>
          <w:sz w:val="24"/>
          <w:szCs w:val="24"/>
        </w:rPr>
        <w:fldChar w:fldCharType="end"/>
      </w:r>
    </w:p>
    <w:p w14:paraId="6A1AF842">
      <w:pPr>
        <w:pStyle w:val="41"/>
        <w:numPr>
          <w:ilvl w:val="0"/>
          <w:numId w:val="3"/>
        </w:numPr>
        <w:tabs>
          <w:tab w:val="left" w:pos="2700"/>
        </w:tabs>
        <w:spacing w:line="360" w:lineRule="auto"/>
        <w:ind w:left="-510" w:right="-601"/>
        <w:jc w:val="both"/>
        <w:rPr>
          <w:rFonts w:ascii="Times New Roman" w:hAnsi="Times New Roman" w:cs="Times New Roman"/>
          <w:b/>
          <w:bCs/>
          <w:sz w:val="24"/>
          <w:szCs w:val="24"/>
          <w:lang w:val="en-US"/>
        </w:rPr>
      </w:pPr>
      <w:r>
        <w:rPr>
          <w:rFonts w:ascii="Times New Roman" w:hAnsi="Times New Roman" w:cs="Times New Roman"/>
          <w:sz w:val="24"/>
          <w:szCs w:val="24"/>
        </w:rPr>
        <w:t xml:space="preserve">Sadhukhan, R., Kumar, D., Sen, S., Sepat, S., Ghosh, A., Shivay, Y. S., Meena, M. C., Anand, A., Kumar, R., Sharma, L. D., Patra, K., Pratap, V., Alsuhaibani, A. M., Gaber, A., &amp; Hossain, A. (2023). Precision nutrient management in zero-till direct-seeded rice influences productivity, profitability, nutrient and water use efficiency. </w:t>
      </w:r>
      <w:r>
        <w:rPr>
          <w:rFonts w:ascii="Times New Roman" w:hAnsi="Times New Roman" w:cs="Times New Roman"/>
          <w:i/>
          <w:iCs/>
          <w:sz w:val="24"/>
          <w:szCs w:val="24"/>
        </w:rPr>
        <w:t>Agriculture, 13</w:t>
      </w:r>
      <w:r>
        <w:rPr>
          <w:rFonts w:ascii="Times New Roman" w:hAnsi="Times New Roman" w:cs="Times New Roman"/>
          <w:sz w:val="24"/>
          <w:szCs w:val="24"/>
        </w:rPr>
        <w:t xml:space="preserve">(4), 784. </w:t>
      </w:r>
      <w:r>
        <w:fldChar w:fldCharType="begin"/>
      </w:r>
      <w:r>
        <w:instrText xml:space="preserve"> HYPERLINK "https://doi.org/10.3390/agriculture13040784" </w:instrText>
      </w:r>
      <w:r>
        <w:fldChar w:fldCharType="separate"/>
      </w:r>
      <w:r>
        <w:rPr>
          <w:rStyle w:val="15"/>
          <w:rFonts w:ascii="Times New Roman" w:hAnsi="Times New Roman" w:cs="Times New Roman"/>
          <w:sz w:val="24"/>
          <w:szCs w:val="24"/>
        </w:rPr>
        <w:t>https://doi.org/10.3390/agriculture13040784</w:t>
      </w:r>
      <w:r>
        <w:rPr>
          <w:rStyle w:val="15"/>
          <w:rFonts w:ascii="Times New Roman" w:hAnsi="Times New Roman" w:cs="Times New Roman"/>
          <w:sz w:val="24"/>
          <w:szCs w:val="24"/>
        </w:rPr>
        <w:fldChar w:fldCharType="end"/>
      </w:r>
    </w:p>
    <w:p w14:paraId="29245C10">
      <w:pPr>
        <w:pStyle w:val="41"/>
        <w:numPr>
          <w:ilvl w:val="0"/>
          <w:numId w:val="3"/>
        </w:numPr>
        <w:tabs>
          <w:tab w:val="left" w:pos="2700"/>
        </w:tabs>
        <w:spacing w:line="360" w:lineRule="auto"/>
        <w:ind w:left="-510" w:right="-601"/>
        <w:jc w:val="both"/>
      </w:pPr>
      <w:r>
        <w:rPr>
          <w:rFonts w:ascii="Times New Roman" w:hAnsi="Times New Roman" w:cs="Times New Roman"/>
          <w:sz w:val="24"/>
          <w:szCs w:val="24"/>
        </w:rPr>
        <w:t xml:space="preserve">Selvam, R. N., Singh, S. P., Kushwaha, H. L., Kumar, A., Sarkar, S. K., &amp; Shekhawat, K. (2024). Innovative fabrication methods for agricultural equipment: A 3D-printed paddy drum seeder-cum-fertilizer applicator. </w:t>
      </w:r>
      <w:r>
        <w:rPr>
          <w:rFonts w:ascii="Times New Roman" w:hAnsi="Times New Roman" w:cs="Times New Roman"/>
          <w:i/>
          <w:iCs/>
          <w:sz w:val="24"/>
          <w:szCs w:val="24"/>
        </w:rPr>
        <w:t>Indian Journal of Engineering and Materials Sciences, 31</w:t>
      </w:r>
      <w:r>
        <w:rPr>
          <w:rFonts w:ascii="Times New Roman" w:hAnsi="Times New Roman" w:cs="Times New Roman"/>
          <w:sz w:val="24"/>
          <w:szCs w:val="24"/>
        </w:rPr>
        <w:t xml:space="preserve">(3), 356–364. </w:t>
      </w:r>
      <w:r>
        <w:fldChar w:fldCharType="begin"/>
      </w:r>
      <w:r>
        <w:instrText xml:space="preserve"> HYPERLINK "https://doi.org/10.56042/ijems.v31i3.8020" </w:instrText>
      </w:r>
      <w:r>
        <w:fldChar w:fldCharType="separate"/>
      </w:r>
      <w:r>
        <w:rPr>
          <w:rStyle w:val="15"/>
          <w:rFonts w:ascii="Times New Roman" w:hAnsi="Times New Roman" w:cs="Times New Roman"/>
          <w:sz w:val="24"/>
          <w:szCs w:val="24"/>
        </w:rPr>
        <w:t>https://doi.org/10.56042/ijems.v31i3.8020</w:t>
      </w:r>
      <w:r>
        <w:rPr>
          <w:rStyle w:val="15"/>
          <w:rFonts w:ascii="Times New Roman" w:hAnsi="Times New Roman" w:cs="Times New Roman"/>
          <w:sz w:val="24"/>
          <w:szCs w:val="24"/>
        </w:rPr>
        <w:fldChar w:fldCharType="end"/>
      </w:r>
      <w:r>
        <w:rPr>
          <w:rStyle w:val="15"/>
          <w:rFonts w:hint="default" w:ascii="Times New Roman" w:hAnsi="Times New Roman" w:cs="Times New Roman"/>
          <w:sz w:val="24"/>
          <w:szCs w:val="24"/>
          <w:lang w:val="en-US"/>
        </w:rPr>
        <w:t>.</w:t>
      </w:r>
    </w:p>
    <w:p w14:paraId="668D0698">
      <w:pPr>
        <w:pStyle w:val="41"/>
        <w:numPr>
          <w:ilvl w:val="0"/>
          <w:numId w:val="3"/>
        </w:numPr>
        <w:tabs>
          <w:tab w:val="left" w:pos="2700"/>
        </w:tabs>
        <w:spacing w:line="360" w:lineRule="auto"/>
        <w:ind w:left="-510" w:right="-601"/>
        <w:jc w:val="both"/>
        <w:rPr>
          <w:rFonts w:ascii="Times New Roman" w:hAnsi="Times New Roman" w:cs="Times New Roman"/>
          <w:b/>
          <w:bCs/>
          <w:sz w:val="24"/>
          <w:szCs w:val="24"/>
          <w:lang w:val="en-US"/>
        </w:rPr>
      </w:pPr>
      <w:r>
        <w:rPr>
          <w:rFonts w:ascii="Times New Roman" w:hAnsi="Times New Roman" w:cs="Times New Roman"/>
          <w:sz w:val="24"/>
          <w:szCs w:val="24"/>
        </w:rPr>
        <w:t xml:space="preserve">Singh, P. K., Singh, R. N., Singh, S. K., Kumar, B., &amp; Singh, S. K. (2014). Assessment of drum seeder on direct seeded rice (Oryza sativa) under puddled condition. </w:t>
      </w:r>
      <w:r>
        <w:rPr>
          <w:rFonts w:ascii="Times New Roman" w:hAnsi="Times New Roman" w:cs="Times New Roman"/>
          <w:i/>
          <w:iCs/>
          <w:sz w:val="24"/>
          <w:szCs w:val="24"/>
        </w:rPr>
        <w:t>Annals of Agricultural Research, 30</w:t>
      </w:r>
      <w:r>
        <w:rPr>
          <w:rFonts w:ascii="Times New Roman" w:hAnsi="Times New Roman" w:cs="Times New Roman"/>
          <w:sz w:val="24"/>
          <w:szCs w:val="24"/>
        </w:rPr>
        <w:t xml:space="preserve">(3&amp;4). </w:t>
      </w:r>
      <w:r>
        <w:fldChar w:fldCharType="begin"/>
      </w:r>
      <w:r>
        <w:instrText xml:space="preserve"> HYPERLINK "https://epubs.icar.org.in/index.php/AAR/article/view/42753?utm_source=chatgpt.com" \t "_new" </w:instrText>
      </w:r>
      <w:r>
        <w:fldChar w:fldCharType="separate"/>
      </w:r>
      <w:r>
        <w:rPr>
          <w:rStyle w:val="15"/>
          <w:rFonts w:ascii="Times New Roman" w:hAnsi="Times New Roman" w:cs="Times New Roman"/>
          <w:sz w:val="24"/>
          <w:szCs w:val="24"/>
        </w:rPr>
        <w:t>https://epubs.icar.org.in/index.php/AAR/article/view/42753</w:t>
      </w:r>
      <w:r>
        <w:rPr>
          <w:rStyle w:val="15"/>
          <w:rFonts w:ascii="Times New Roman" w:hAnsi="Times New Roman" w:cs="Times New Roman"/>
          <w:sz w:val="24"/>
          <w:szCs w:val="24"/>
        </w:rPr>
        <w:fldChar w:fldCharType="end"/>
      </w:r>
    </w:p>
    <w:p w14:paraId="5751A5E5">
      <w:pPr>
        <w:pStyle w:val="41"/>
        <w:numPr>
          <w:ilvl w:val="0"/>
          <w:numId w:val="3"/>
        </w:numPr>
        <w:tabs>
          <w:tab w:val="left" w:pos="2700"/>
        </w:tabs>
        <w:spacing w:line="360" w:lineRule="auto"/>
        <w:ind w:left="-510" w:right="-601"/>
        <w:jc w:val="both"/>
        <w:rPr>
          <w:rFonts w:ascii="Times New Roman" w:hAnsi="Times New Roman" w:cs="Times New Roman"/>
          <w:b/>
          <w:bCs/>
          <w:sz w:val="24"/>
          <w:szCs w:val="24"/>
          <w:lang w:val="en-US"/>
        </w:rPr>
      </w:pPr>
      <w:r>
        <w:rPr>
          <w:rFonts w:ascii="Times New Roman" w:hAnsi="Times New Roman" w:cs="Times New Roman"/>
          <w:sz w:val="24"/>
          <w:szCs w:val="24"/>
        </w:rPr>
        <w:t xml:space="preserve">Sreenivasulu, S., Bala Hussain Reddy, P., &amp; Manohar, C. (2026). </w:t>
      </w:r>
      <w:r>
        <w:rPr>
          <w:rFonts w:ascii="Times New Roman" w:hAnsi="Times New Roman" w:cs="Times New Roman"/>
          <w:i w:val="0"/>
          <w:iCs w:val="0"/>
          <w:sz w:val="24"/>
          <w:szCs w:val="24"/>
        </w:rPr>
        <w:t xml:space="preserve">Performance of rice under direct seeding using drum seeder during Kharif in Chittoor District of Andhra Pradesh. </w:t>
      </w:r>
      <w:r>
        <w:rPr>
          <w:rFonts w:ascii="Times New Roman" w:hAnsi="Times New Roman" w:cs="Times New Roman"/>
          <w:i/>
          <w:iCs/>
          <w:sz w:val="24"/>
          <w:szCs w:val="24"/>
        </w:rPr>
        <w:t>Madras Agricultural Journal, 100</w:t>
      </w:r>
      <w:r>
        <w:rPr>
          <w:rFonts w:ascii="Times New Roman" w:hAnsi="Times New Roman" w:cs="Times New Roman"/>
          <w:sz w:val="24"/>
          <w:szCs w:val="24"/>
        </w:rPr>
        <w:t xml:space="preserve">(4–6), 377–379. </w:t>
      </w:r>
      <w:r>
        <w:fldChar w:fldCharType="begin"/>
      </w:r>
      <w:r>
        <w:instrText xml:space="preserve"> HYPERLINK "https://doi.org/10.29321/MAJ.10.001313" </w:instrText>
      </w:r>
      <w:r>
        <w:fldChar w:fldCharType="separate"/>
      </w:r>
      <w:r>
        <w:rPr>
          <w:rStyle w:val="15"/>
          <w:rFonts w:ascii="Times New Roman" w:hAnsi="Times New Roman" w:cs="Times New Roman"/>
          <w:sz w:val="24"/>
          <w:szCs w:val="24"/>
        </w:rPr>
        <w:t>https://doi.org/10.29321/MAJ.10.001313</w:t>
      </w:r>
      <w:r>
        <w:rPr>
          <w:rStyle w:val="15"/>
          <w:rFonts w:ascii="Times New Roman" w:hAnsi="Times New Roman" w:cs="Times New Roman"/>
          <w:sz w:val="24"/>
          <w:szCs w:val="24"/>
        </w:rPr>
        <w:fldChar w:fldCharType="end"/>
      </w:r>
    </w:p>
    <w:p w14:paraId="64E2F3C0">
      <w:pPr>
        <w:pStyle w:val="41"/>
        <w:numPr>
          <w:ilvl w:val="0"/>
          <w:numId w:val="3"/>
        </w:numPr>
        <w:tabs>
          <w:tab w:val="left" w:pos="2700"/>
        </w:tabs>
        <w:spacing w:line="360" w:lineRule="auto"/>
        <w:ind w:left="-510" w:right="-601"/>
        <w:jc w:val="both"/>
        <w:rPr>
          <w:rFonts w:ascii="Times New Roman" w:hAnsi="Times New Roman" w:cs="Times New Roman"/>
          <w:sz w:val="24"/>
          <w:szCs w:val="24"/>
        </w:rPr>
      </w:pPr>
      <w:r>
        <w:rPr>
          <w:rFonts w:ascii="Times New Roman" w:hAnsi="Times New Roman" w:cs="Times New Roman"/>
          <w:sz w:val="24"/>
          <w:szCs w:val="24"/>
        </w:rPr>
        <w:t>Srivastava, A. K., Goering, C. E., Rohrbach, R. P., &amp; Buckmaster, D. R. (2006). Engineering principles of agricultural machines (2nd ed.). St. Joseph, MI: ASABE.</w:t>
      </w:r>
    </w:p>
    <w:p w14:paraId="5DD91D89">
      <w:pPr>
        <w:pStyle w:val="41"/>
        <w:numPr>
          <w:ilvl w:val="0"/>
          <w:numId w:val="3"/>
        </w:numPr>
        <w:tabs>
          <w:tab w:val="left" w:pos="2700"/>
        </w:tabs>
        <w:spacing w:line="360" w:lineRule="auto"/>
        <w:ind w:left="-510" w:right="-601"/>
        <w:jc w:val="both"/>
        <w:rPr>
          <w:rFonts w:ascii="Times New Roman" w:hAnsi="Times New Roman" w:cs="Times New Roman"/>
          <w:b/>
          <w:bCs/>
          <w:sz w:val="24"/>
          <w:szCs w:val="24"/>
          <w:lang w:val="en-US"/>
        </w:rPr>
      </w:pPr>
      <w:r>
        <w:rPr>
          <w:rFonts w:ascii="Times New Roman" w:hAnsi="Times New Roman" w:cs="Times New Roman"/>
          <w:sz w:val="24"/>
          <w:szCs w:val="24"/>
        </w:rPr>
        <w:t xml:space="preserve">Sudharani, J. S., Aruna, K., &amp; Ramakrishna Babu, A. (2019). Drum seeder: A promising low-cost technology in rice production system for small and marginal farmers. </w:t>
      </w:r>
      <w:r>
        <w:rPr>
          <w:rFonts w:ascii="Times New Roman" w:hAnsi="Times New Roman" w:cs="Times New Roman"/>
          <w:i/>
          <w:iCs/>
          <w:sz w:val="24"/>
          <w:szCs w:val="24"/>
        </w:rPr>
        <w:t>International Journal of Current Microbiology and Applied Sciences, 8</w:t>
      </w:r>
      <w:r>
        <w:rPr>
          <w:rFonts w:ascii="Times New Roman" w:hAnsi="Times New Roman" w:cs="Times New Roman"/>
          <w:sz w:val="24"/>
          <w:szCs w:val="24"/>
        </w:rPr>
        <w:t xml:space="preserve">(2), 784–788. </w:t>
      </w:r>
      <w:r>
        <w:fldChar w:fldCharType="begin"/>
      </w:r>
      <w:r>
        <w:instrText xml:space="preserve"> HYPERLINK "https://doi.org/10.20546/ijcmas.2019.802.090" </w:instrText>
      </w:r>
      <w:r>
        <w:fldChar w:fldCharType="separate"/>
      </w:r>
      <w:r>
        <w:rPr>
          <w:rStyle w:val="15"/>
          <w:rFonts w:ascii="Times New Roman" w:hAnsi="Times New Roman" w:cs="Times New Roman"/>
          <w:sz w:val="24"/>
          <w:szCs w:val="24"/>
        </w:rPr>
        <w:t>https://doi.org/10.20546/ijcmas.2019.802.090</w:t>
      </w:r>
      <w:r>
        <w:rPr>
          <w:rStyle w:val="15"/>
          <w:rFonts w:ascii="Times New Roman" w:hAnsi="Times New Roman" w:cs="Times New Roman"/>
          <w:sz w:val="24"/>
          <w:szCs w:val="24"/>
        </w:rPr>
        <w:fldChar w:fldCharType="end"/>
      </w:r>
    </w:p>
    <w:p w14:paraId="08C0DFB6">
      <w:pPr>
        <w:pStyle w:val="41"/>
        <w:numPr>
          <w:ilvl w:val="0"/>
          <w:numId w:val="3"/>
        </w:numPr>
        <w:tabs>
          <w:tab w:val="left" w:pos="2700"/>
        </w:tabs>
        <w:spacing w:line="360" w:lineRule="auto"/>
        <w:ind w:left="-510" w:right="-601"/>
        <w:jc w:val="both"/>
        <w:rPr>
          <w:rFonts w:ascii="Times New Roman" w:hAnsi="Times New Roman" w:cs="Times New Roman"/>
          <w:b/>
          <w:bCs/>
          <w:sz w:val="24"/>
          <w:szCs w:val="24"/>
          <w:lang w:val="en-US"/>
        </w:rPr>
      </w:pPr>
      <w:r>
        <w:rPr>
          <w:rFonts w:ascii="Times New Roman" w:hAnsi="Times New Roman" w:cs="Times New Roman"/>
          <w:sz w:val="24"/>
          <w:szCs w:val="24"/>
        </w:rPr>
        <w:t>Wang, W., Du, J., Zhou, Y., Zeng, Y., Tan, X., Pan, X., Shi, Q., Wu, Z., &amp; Zeng, Y. (2021). Effects of different mechanical direct seeding methods on grain yield and lodging resistance of early indica rice in South China. </w:t>
      </w:r>
      <w:r>
        <w:rPr>
          <w:rFonts w:ascii="Times New Roman" w:hAnsi="Times New Roman" w:cs="Times New Roman"/>
          <w:i/>
          <w:iCs/>
          <w:sz w:val="24"/>
          <w:szCs w:val="24"/>
        </w:rPr>
        <w:t>Journal of Integrative Agriculture</w:t>
      </w:r>
      <w:r>
        <w:rPr>
          <w:rFonts w:ascii="Times New Roman" w:hAnsi="Times New Roman" w:cs="Times New Roman"/>
          <w:sz w:val="24"/>
          <w:szCs w:val="24"/>
        </w:rPr>
        <w:t>, </w:t>
      </w:r>
      <w:r>
        <w:rPr>
          <w:rFonts w:ascii="Times New Roman" w:hAnsi="Times New Roman" w:cs="Times New Roman"/>
          <w:i/>
          <w:iCs/>
          <w:sz w:val="24"/>
          <w:szCs w:val="24"/>
        </w:rPr>
        <w:t>20</w:t>
      </w:r>
      <w:r>
        <w:rPr>
          <w:rFonts w:ascii="Times New Roman" w:hAnsi="Times New Roman" w:cs="Times New Roman"/>
          <w:sz w:val="24"/>
          <w:szCs w:val="24"/>
        </w:rPr>
        <w:t>(5), 1204–1215. </w:t>
      </w:r>
      <w:r>
        <w:fldChar w:fldCharType="begin"/>
      </w:r>
      <w:r>
        <w:instrText xml:space="preserve"> HYPERLINK "https://doi.org/10.1016/S2095-3119(20)63191-4" </w:instrText>
      </w:r>
      <w:r>
        <w:fldChar w:fldCharType="separate"/>
      </w:r>
      <w:r>
        <w:rPr>
          <w:rStyle w:val="15"/>
          <w:rFonts w:ascii="Times New Roman" w:hAnsi="Times New Roman" w:cs="Times New Roman"/>
          <w:sz w:val="24"/>
          <w:szCs w:val="24"/>
        </w:rPr>
        <w:t>https://doi.org/10.1016/S2095-3119(20)63191-4</w:t>
      </w:r>
      <w:r>
        <w:rPr>
          <w:rStyle w:val="15"/>
          <w:rFonts w:ascii="Times New Roman" w:hAnsi="Times New Roman" w:cs="Times New Roman"/>
          <w:sz w:val="24"/>
          <w:szCs w:val="24"/>
        </w:rPr>
        <w:fldChar w:fldCharType="end"/>
      </w:r>
      <w:r>
        <w:rPr>
          <w:rFonts w:ascii="Times New Roman" w:hAnsi="Times New Roman" w:cs="Times New Roman"/>
          <w:sz w:val="24"/>
          <w:szCs w:val="24"/>
        </w:rPr>
        <w:t>.</w:t>
      </w:r>
    </w:p>
    <w:p w14:paraId="1FE21CE3">
      <w:pPr>
        <w:pStyle w:val="41"/>
        <w:numPr>
          <w:ilvl w:val="0"/>
          <w:numId w:val="3"/>
        </w:numPr>
        <w:tabs>
          <w:tab w:val="left" w:pos="2700"/>
        </w:tabs>
        <w:spacing w:line="360" w:lineRule="auto"/>
        <w:ind w:left="-510" w:right="-601"/>
        <w:jc w:val="both"/>
        <w:rPr>
          <w:rFonts w:ascii="Times New Roman" w:hAnsi="Times New Roman" w:cs="Times New Roman"/>
          <w:sz w:val="24"/>
          <w:szCs w:val="24"/>
          <w:lang w:val="en-US"/>
        </w:rPr>
      </w:pPr>
      <w:r>
        <w:rPr>
          <w:rFonts w:ascii="Times New Roman" w:hAnsi="Times New Roman" w:cs="Times New Roman"/>
          <w:sz w:val="24"/>
          <w:szCs w:val="24"/>
        </w:rPr>
        <w:t xml:space="preserve">Yadav, D. B., Yadav, A., Vats, A. K., et al. (2021). Direct-seeded rice in sequence with zero-tillage wheat in north-western India: addressing system-based sustainability issues. </w:t>
      </w:r>
      <w:r>
        <w:rPr>
          <w:rFonts w:ascii="Times New Roman" w:hAnsi="Times New Roman" w:cs="Times New Roman"/>
          <w:i/>
          <w:iCs/>
          <w:sz w:val="24"/>
          <w:szCs w:val="24"/>
        </w:rPr>
        <w:t>SN Applied Sciences, 3</w:t>
      </w:r>
      <w:r>
        <w:rPr>
          <w:rFonts w:ascii="Times New Roman" w:hAnsi="Times New Roman" w:cs="Times New Roman"/>
          <w:sz w:val="24"/>
          <w:szCs w:val="24"/>
        </w:rPr>
        <w:t xml:space="preserve">, Article 844. </w:t>
      </w:r>
      <w:r>
        <w:fldChar w:fldCharType="begin"/>
      </w:r>
      <w:r>
        <w:instrText xml:space="preserve"> HYPERLINK "https://doi.org/10.1007/s42452-021-04827-7" </w:instrText>
      </w:r>
      <w:r>
        <w:fldChar w:fldCharType="separate"/>
      </w:r>
      <w:r>
        <w:rPr>
          <w:rStyle w:val="15"/>
          <w:rFonts w:ascii="Times New Roman" w:hAnsi="Times New Roman" w:cs="Times New Roman"/>
          <w:sz w:val="24"/>
          <w:szCs w:val="24"/>
        </w:rPr>
        <w:t>https://doi.org/10.1007/s42452-021-04827-7</w:t>
      </w:r>
      <w:r>
        <w:rPr>
          <w:rStyle w:val="15"/>
          <w:rFonts w:ascii="Times New Roman" w:hAnsi="Times New Roman" w:cs="Times New Roman"/>
          <w:sz w:val="24"/>
          <w:szCs w:val="24"/>
        </w:rPr>
        <w:fldChar w:fldCharType="end"/>
      </w:r>
    </w:p>
    <w:p w14:paraId="1BC40C1D">
      <w:pPr>
        <w:pStyle w:val="41"/>
        <w:numPr>
          <w:ilvl w:val="0"/>
          <w:numId w:val="3"/>
        </w:numPr>
        <w:tabs>
          <w:tab w:val="left" w:pos="2700"/>
        </w:tabs>
        <w:spacing w:line="360" w:lineRule="auto"/>
        <w:ind w:left="-510" w:right="-601"/>
        <w:jc w:val="both"/>
        <w:rPr>
          <w:rFonts w:ascii="Times New Roman" w:hAnsi="Times New Roman" w:cs="Times New Roman"/>
          <w:b/>
          <w:bCs/>
          <w:sz w:val="24"/>
          <w:szCs w:val="24"/>
          <w:lang w:val="en-US"/>
        </w:rPr>
      </w:pPr>
      <w:r>
        <w:rPr>
          <w:rFonts w:ascii="Times New Roman" w:hAnsi="Times New Roman" w:cs="Times New Roman"/>
          <w:sz w:val="24"/>
          <w:szCs w:val="24"/>
        </w:rPr>
        <w:t xml:space="preserve">Zhang, Y., Sultan, H., Shah, A., Mu, Y., Li, Y., Li, L., Huang, Z., Song, S., Tao, Y., Zhou, Z., &amp; Nie, L. (2025). Regulation effect of seed priming on sowing rate of direct seeding of rice under salt stress. </w:t>
      </w:r>
      <w:r>
        <w:rPr>
          <w:rFonts w:ascii="Times New Roman" w:hAnsi="Times New Roman" w:cs="Times New Roman"/>
          <w:i/>
          <w:iCs/>
          <w:sz w:val="24"/>
          <w:szCs w:val="24"/>
        </w:rPr>
        <w:t>Frontiers in Plant Science, 16</w:t>
      </w:r>
      <w:r>
        <w:rPr>
          <w:rFonts w:ascii="Times New Roman" w:hAnsi="Times New Roman" w:cs="Times New Roman"/>
          <w:sz w:val="24"/>
          <w:szCs w:val="24"/>
        </w:rPr>
        <w:t xml:space="preserve">, Article 1541736. </w:t>
      </w:r>
      <w:r>
        <w:fldChar w:fldCharType="begin"/>
      </w:r>
      <w:r>
        <w:instrText xml:space="preserve"> HYPERLINK "https://doi.org/10.3389/fpls.2025.1541736" </w:instrText>
      </w:r>
      <w:r>
        <w:fldChar w:fldCharType="separate"/>
      </w:r>
      <w:r>
        <w:rPr>
          <w:rStyle w:val="15"/>
          <w:rFonts w:ascii="Times New Roman" w:hAnsi="Times New Roman" w:cs="Times New Roman"/>
          <w:sz w:val="24"/>
          <w:szCs w:val="24"/>
        </w:rPr>
        <w:t>https://doi.org/10.3389/fpls.2025.1541736</w:t>
      </w:r>
      <w:r>
        <w:rPr>
          <w:rStyle w:val="15"/>
          <w:rFonts w:ascii="Times New Roman" w:hAnsi="Times New Roman" w:cs="Times New Roman"/>
          <w:sz w:val="24"/>
          <w:szCs w:val="24"/>
        </w:rPr>
        <w:fldChar w:fldCharType="end"/>
      </w:r>
    </w:p>
    <w:sectPr>
      <w:headerReference r:id="rId7" w:type="first"/>
      <w:footerReference r:id="rId10" w:type="first"/>
      <w:headerReference r:id="rId5" w:type="default"/>
      <w:footerReference r:id="rId8" w:type="default"/>
      <w:headerReference r:id="rId6" w:type="even"/>
      <w:footerReference r:id="rId9" w:type="even"/>
      <w:pgSz w:w="11909" w:h="16834"/>
      <w:pgMar w:top="1170" w:right="1728" w:bottom="1728" w:left="1872" w:header="1008" w:footer="1008" w:gutter="0"/>
      <w:cols w:space="720"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Body">
    <w:altName w:val="Segoe Print"/>
    <w:panose1 w:val="00000000000000000000"/>
    <w:charset w:val="00"/>
    <w:family w:val="auto"/>
    <w:pitch w:val="default"/>
    <w:sig w:usb0="00000000" w:usb1="00000000" w:usb2="00000000" w:usb3="00000000" w:csb0="00000000" w:csb1="00000000"/>
  </w:font>
  <w:font w:name="Calibri">
    <w:panose1 w:val="020F0502020204030204"/>
    <w:charset w:val="86"/>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Calligrapher">
    <w:altName w:val="Segoe Print"/>
    <w:panose1 w:val="00000000000000000000"/>
    <w:charset w:val="00"/>
    <w:family w:val="auto"/>
    <w:pitch w:val="default"/>
    <w:sig w:usb0="00000000" w:usb1="00000000" w:usb2="00000000" w:usb3="00000000" w:csb0="00000009" w:csb1="00000000"/>
  </w:font>
  <w:font w:name="Bookman Old Style">
    <w:panose1 w:val="02050604050505020204"/>
    <w:charset w:val="00"/>
    <w:family w:val="roman"/>
    <w:pitch w:val="default"/>
    <w:sig w:usb0="00000287" w:usb1="00000000" w:usb2="00000000" w:usb3="00000000" w:csb0="2000009F" w:csb1="DFD70000"/>
  </w:font>
  <w:font w:name="Angsana New">
    <w:altName w:val="Microsoft Sans Serif"/>
    <w:panose1 w:val="02020603050405020304"/>
    <w:charset w:val="DE"/>
    <w:family w:val="roman"/>
    <w:pitch w:val="default"/>
    <w:sig w:usb0="00000000" w:usb1="00000000" w:usb2="00000000" w:usb3="00000000" w:csb0="00010001" w:csb1="00000000"/>
  </w:font>
  <w:font w:name="Symbol">
    <w:panose1 w:val="05050102010706020507"/>
    <w:charset w:val="02"/>
    <w:family w:val="roman"/>
    <w:pitch w:val="default"/>
    <w:sig w:usb0="00000000" w:usb1="00000000" w:usb2="00000000" w:usb3="00000000" w:csb0="80000000" w:csb1="00000000"/>
  </w:font>
  <w:font w:name="Cambria Math">
    <w:panose1 w:val="02040503050406030204"/>
    <w:charset w:val="00"/>
    <w:family w:val="roman"/>
    <w:pitch w:val="default"/>
    <w:sig w:usb0="E00006FF" w:usb1="420024FF" w:usb2="02000000" w:usb3="00000000" w:csb0="2000019F" w:csb1="00000000"/>
  </w:font>
  <w:font w:name="Segoe Print">
    <w:panose1 w:val="02000600000000000000"/>
    <w:charset w:val="00"/>
    <w:family w:val="auto"/>
    <w:pitch w:val="default"/>
    <w:sig w:usb0="0000028F" w:usb1="00000000" w:usb2="00000000" w:usb3="00000000" w:csb0="2000009F" w:csb1="47010000"/>
  </w:font>
  <w:font w:name="Microsoft Sans Serif">
    <w:panose1 w:val="020B0604020202020204"/>
    <w:charset w:val="00"/>
    <w:family w:val="auto"/>
    <w:pitch w:val="default"/>
    <w:sig w:usb0="E5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DEAEE0">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459A28">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6B9E43">
    <w:pPr>
      <w:pStyle w:val="1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71DD8C">
    <w:pPr>
      <w:pStyle w:val="14"/>
    </w:pPr>
    <w:r>
      <w:pict>
        <v:shape id="_x0000_s2053" o:spid="_x0000_s2053" o:spt="136" type="#_x0000_t136" style="position:absolute;left:0pt;height:92.9pt;width:492.8pt;mso-position-horizontal:center;mso-position-horizontal-relative:margin;mso-position-vertical:center;mso-position-vertical-relative:margin;rotation:20643840f;z-index:-251651072;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Calibri;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586497">
    <w:pPr>
      <w:pStyle w:val="14"/>
      <w:framePr w:wrap="around" w:vAnchor="text" w:hAnchor="margin" w:xAlign="right" w:y="1"/>
      <w:rPr>
        <w:rStyle w:val="17"/>
      </w:rPr>
    </w:pPr>
    <w:r>
      <w:pict>
        <v:shape id="_x0000_s2054" o:spid="_x0000_s2054" o:spt="136" type="#_x0000_t136" style="position:absolute;left:0pt;height:92.9pt;width:492.8pt;mso-position-horizontal:center;mso-position-horizontal-relative:margin;mso-position-vertical:center;mso-position-vertical-relative:margin;rotation:20643840f;z-index:-251652096;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Calibri;font-size:1pt;v-text-align:center;"/>
        </v:shape>
      </w:pict>
    </w:r>
    <w:r>
      <w:rPr>
        <w:rStyle w:val="17"/>
      </w:rPr>
      <w:fldChar w:fldCharType="begin"/>
    </w:r>
    <w:r>
      <w:rPr>
        <w:rStyle w:val="17"/>
      </w:rPr>
      <w:instrText xml:space="preserve">PAGE  </w:instrText>
    </w:r>
    <w:r>
      <w:rPr>
        <w:rStyle w:val="17"/>
      </w:rPr>
      <w:fldChar w:fldCharType="separate"/>
    </w:r>
    <w:r>
      <w:rPr>
        <w:rStyle w:val="17"/>
      </w:rPr>
      <w:t>16</w:t>
    </w:r>
    <w:r>
      <w:rPr>
        <w:rStyle w:val="17"/>
      </w:rPr>
      <w:fldChar w:fldCharType="end"/>
    </w:r>
  </w:p>
  <w:p w14:paraId="297DFDE2">
    <w:pPr>
      <w:pStyle w:val="14"/>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6F41B6">
    <w:pPr>
      <w:pStyle w:val="14"/>
    </w:pPr>
    <w:r>
      <w:pict>
        <v:shape id="_x0000_s2052" o:spid="_x0000_s2052" o:spt="136" type="#_x0000_t136" style="position:absolute;left:0pt;height:92.9pt;width:492.8pt;mso-position-horizontal:center;mso-position-horizontal-relative:margin;mso-position-vertical:center;mso-position-vertical-relative:margin;rotation:20643840f;z-index:-251653120;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Calibri;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EA82217"/>
    <w:multiLevelType w:val="multilevel"/>
    <w:tmpl w:val="5EA82217"/>
    <w:lvl w:ilvl="0" w:tentative="0">
      <w:start w:val="1"/>
      <w:numFmt w:val="decimal"/>
      <w:lvlText w:val="%1."/>
      <w:lvlJc w:val="left"/>
      <w:pPr>
        <w:ind w:left="720" w:hanging="360"/>
      </w:pPr>
      <w:rPr>
        <w:rFonts w:hint="default"/>
        <w:b w:val="0"/>
        <w:bCs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72865AB2"/>
    <w:multiLevelType w:val="singleLevel"/>
    <w:tmpl w:val="72865AB2"/>
    <w:lvl w:ilvl="0" w:tentative="0">
      <w:start w:val="4"/>
      <w:numFmt w:val="decimal"/>
      <w:suff w:val="space"/>
      <w:lvlText w:val="%1."/>
      <w:lvlJc w:val="left"/>
    </w:lvl>
  </w:abstractNum>
  <w:abstractNum w:abstractNumId="2">
    <w:nsid w:val="7954547E"/>
    <w:multiLevelType w:val="multilevel"/>
    <w:tmpl w:val="7954547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0"/>
  <w:bordersDoNotSurroundFooter w:val="0"/>
  <w:documentProtection w:enforcement="0"/>
  <w:defaultTabStop w:val="72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doNotExpandShiftReturn/>
    <w:doNotWrapTextWithPunct/>
    <w:doNotUseEastAsianBreakRules/>
    <w:compatSetting w:name="compatibilityMode" w:uri="http://schemas.microsoft.com/office/word" w:val="12"/>
  </w:compat>
  <w:rsids>
    <w:rsidRoot w:val="00D34B3A"/>
    <w:rsid w:val="0000262E"/>
    <w:rsid w:val="00004872"/>
    <w:rsid w:val="0000535D"/>
    <w:rsid w:val="000127AB"/>
    <w:rsid w:val="00014503"/>
    <w:rsid w:val="00017145"/>
    <w:rsid w:val="00023691"/>
    <w:rsid w:val="000248D6"/>
    <w:rsid w:val="00025ABA"/>
    <w:rsid w:val="00030A22"/>
    <w:rsid w:val="00031307"/>
    <w:rsid w:val="00031CF7"/>
    <w:rsid w:val="00033D4A"/>
    <w:rsid w:val="00033F7A"/>
    <w:rsid w:val="0003506C"/>
    <w:rsid w:val="000360D2"/>
    <w:rsid w:val="000361B6"/>
    <w:rsid w:val="0004062C"/>
    <w:rsid w:val="00042B46"/>
    <w:rsid w:val="00042E61"/>
    <w:rsid w:val="0004577A"/>
    <w:rsid w:val="00045A48"/>
    <w:rsid w:val="000463FC"/>
    <w:rsid w:val="00052CD8"/>
    <w:rsid w:val="0005451E"/>
    <w:rsid w:val="000554C1"/>
    <w:rsid w:val="00055F4F"/>
    <w:rsid w:val="00056303"/>
    <w:rsid w:val="00056532"/>
    <w:rsid w:val="0006440D"/>
    <w:rsid w:val="00066722"/>
    <w:rsid w:val="00067953"/>
    <w:rsid w:val="00071A21"/>
    <w:rsid w:val="00072E17"/>
    <w:rsid w:val="00073200"/>
    <w:rsid w:val="000745CB"/>
    <w:rsid w:val="000750E8"/>
    <w:rsid w:val="000772FC"/>
    <w:rsid w:val="00077980"/>
    <w:rsid w:val="000823B7"/>
    <w:rsid w:val="000827EA"/>
    <w:rsid w:val="000838DD"/>
    <w:rsid w:val="0008400C"/>
    <w:rsid w:val="000845EE"/>
    <w:rsid w:val="000862BA"/>
    <w:rsid w:val="000864B0"/>
    <w:rsid w:val="000960F9"/>
    <w:rsid w:val="000A4F2C"/>
    <w:rsid w:val="000A6134"/>
    <w:rsid w:val="000A62C9"/>
    <w:rsid w:val="000A6AEF"/>
    <w:rsid w:val="000A760B"/>
    <w:rsid w:val="000B242C"/>
    <w:rsid w:val="000B5C08"/>
    <w:rsid w:val="000B5E28"/>
    <w:rsid w:val="000B714D"/>
    <w:rsid w:val="000C0AED"/>
    <w:rsid w:val="000C2316"/>
    <w:rsid w:val="000C3319"/>
    <w:rsid w:val="000C35F3"/>
    <w:rsid w:val="000C4F1D"/>
    <w:rsid w:val="000C6067"/>
    <w:rsid w:val="000C674D"/>
    <w:rsid w:val="000C78C7"/>
    <w:rsid w:val="000D5BE2"/>
    <w:rsid w:val="000D64A6"/>
    <w:rsid w:val="000E2C4D"/>
    <w:rsid w:val="000E53DB"/>
    <w:rsid w:val="000E607A"/>
    <w:rsid w:val="000F3A3D"/>
    <w:rsid w:val="000F482B"/>
    <w:rsid w:val="0010007E"/>
    <w:rsid w:val="00102BE4"/>
    <w:rsid w:val="00102FE5"/>
    <w:rsid w:val="0010313D"/>
    <w:rsid w:val="00104367"/>
    <w:rsid w:val="00105DB1"/>
    <w:rsid w:val="00106F8E"/>
    <w:rsid w:val="001077EC"/>
    <w:rsid w:val="0011016B"/>
    <w:rsid w:val="001139E8"/>
    <w:rsid w:val="00121CE2"/>
    <w:rsid w:val="00122219"/>
    <w:rsid w:val="00123D4F"/>
    <w:rsid w:val="00125E0F"/>
    <w:rsid w:val="0012693A"/>
    <w:rsid w:val="00130BF4"/>
    <w:rsid w:val="001315E4"/>
    <w:rsid w:val="00131A7D"/>
    <w:rsid w:val="001326FD"/>
    <w:rsid w:val="00137990"/>
    <w:rsid w:val="00141ABB"/>
    <w:rsid w:val="00143512"/>
    <w:rsid w:val="0014364F"/>
    <w:rsid w:val="00143D37"/>
    <w:rsid w:val="001463A1"/>
    <w:rsid w:val="001477EA"/>
    <w:rsid w:val="00147EF0"/>
    <w:rsid w:val="00147FA5"/>
    <w:rsid w:val="0015202F"/>
    <w:rsid w:val="001524A0"/>
    <w:rsid w:val="001524CA"/>
    <w:rsid w:val="00154620"/>
    <w:rsid w:val="0015536C"/>
    <w:rsid w:val="0016239E"/>
    <w:rsid w:val="00162B50"/>
    <w:rsid w:val="001633CD"/>
    <w:rsid w:val="001636AE"/>
    <w:rsid w:val="00164354"/>
    <w:rsid w:val="001654A4"/>
    <w:rsid w:val="00166B8B"/>
    <w:rsid w:val="00167B8B"/>
    <w:rsid w:val="00167C55"/>
    <w:rsid w:val="00171758"/>
    <w:rsid w:val="001717F4"/>
    <w:rsid w:val="00175508"/>
    <w:rsid w:val="00181342"/>
    <w:rsid w:val="0018159A"/>
    <w:rsid w:val="00182651"/>
    <w:rsid w:val="00191241"/>
    <w:rsid w:val="00192C38"/>
    <w:rsid w:val="0019357E"/>
    <w:rsid w:val="00195A57"/>
    <w:rsid w:val="00196A85"/>
    <w:rsid w:val="001A61C7"/>
    <w:rsid w:val="001B2184"/>
    <w:rsid w:val="001B278B"/>
    <w:rsid w:val="001B327A"/>
    <w:rsid w:val="001B4368"/>
    <w:rsid w:val="001C01C8"/>
    <w:rsid w:val="001C0C2E"/>
    <w:rsid w:val="001C30BD"/>
    <w:rsid w:val="001C7604"/>
    <w:rsid w:val="001D41B5"/>
    <w:rsid w:val="001E6D9F"/>
    <w:rsid w:val="001F2244"/>
    <w:rsid w:val="001F4552"/>
    <w:rsid w:val="001F5DA9"/>
    <w:rsid w:val="001F63E4"/>
    <w:rsid w:val="001F6CA8"/>
    <w:rsid w:val="001F71A4"/>
    <w:rsid w:val="001F7698"/>
    <w:rsid w:val="002007A6"/>
    <w:rsid w:val="00200A45"/>
    <w:rsid w:val="0020245D"/>
    <w:rsid w:val="00203C97"/>
    <w:rsid w:val="002067CE"/>
    <w:rsid w:val="0021000B"/>
    <w:rsid w:val="00210F26"/>
    <w:rsid w:val="00211193"/>
    <w:rsid w:val="00213043"/>
    <w:rsid w:val="0021323E"/>
    <w:rsid w:val="00215F40"/>
    <w:rsid w:val="00221A09"/>
    <w:rsid w:val="00231B38"/>
    <w:rsid w:val="002338E8"/>
    <w:rsid w:val="00236BE2"/>
    <w:rsid w:val="002436AD"/>
    <w:rsid w:val="00255E1C"/>
    <w:rsid w:val="00256324"/>
    <w:rsid w:val="00256E2B"/>
    <w:rsid w:val="002570FB"/>
    <w:rsid w:val="002616F5"/>
    <w:rsid w:val="00262245"/>
    <w:rsid w:val="00264F53"/>
    <w:rsid w:val="002651EF"/>
    <w:rsid w:val="00270194"/>
    <w:rsid w:val="002711C4"/>
    <w:rsid w:val="00273641"/>
    <w:rsid w:val="00273FAB"/>
    <w:rsid w:val="002740B3"/>
    <w:rsid w:val="002747E7"/>
    <w:rsid w:val="002756AA"/>
    <w:rsid w:val="0027657D"/>
    <w:rsid w:val="00281922"/>
    <w:rsid w:val="00282771"/>
    <w:rsid w:val="00283549"/>
    <w:rsid w:val="0028439B"/>
    <w:rsid w:val="00285358"/>
    <w:rsid w:val="0028608B"/>
    <w:rsid w:val="00286C36"/>
    <w:rsid w:val="00287587"/>
    <w:rsid w:val="00293228"/>
    <w:rsid w:val="0029455B"/>
    <w:rsid w:val="0029530B"/>
    <w:rsid w:val="00295E42"/>
    <w:rsid w:val="00295EDD"/>
    <w:rsid w:val="002A0F9F"/>
    <w:rsid w:val="002A49B2"/>
    <w:rsid w:val="002A7109"/>
    <w:rsid w:val="002B2D1F"/>
    <w:rsid w:val="002B7370"/>
    <w:rsid w:val="002C17E7"/>
    <w:rsid w:val="002C2A39"/>
    <w:rsid w:val="002C43C0"/>
    <w:rsid w:val="002C582B"/>
    <w:rsid w:val="002C6570"/>
    <w:rsid w:val="002D02B4"/>
    <w:rsid w:val="002D0D58"/>
    <w:rsid w:val="002D134F"/>
    <w:rsid w:val="002D38FB"/>
    <w:rsid w:val="002D4984"/>
    <w:rsid w:val="002D70C0"/>
    <w:rsid w:val="002D7744"/>
    <w:rsid w:val="002E0099"/>
    <w:rsid w:val="002E2F7C"/>
    <w:rsid w:val="002E66ED"/>
    <w:rsid w:val="002F0F49"/>
    <w:rsid w:val="002F2B53"/>
    <w:rsid w:val="002F335C"/>
    <w:rsid w:val="002F3783"/>
    <w:rsid w:val="002F5A88"/>
    <w:rsid w:val="003071B1"/>
    <w:rsid w:val="00307904"/>
    <w:rsid w:val="003149C6"/>
    <w:rsid w:val="00316B1E"/>
    <w:rsid w:val="003179E6"/>
    <w:rsid w:val="00323622"/>
    <w:rsid w:val="00323AC0"/>
    <w:rsid w:val="003249A0"/>
    <w:rsid w:val="00327430"/>
    <w:rsid w:val="00333BFB"/>
    <w:rsid w:val="00335285"/>
    <w:rsid w:val="00337274"/>
    <w:rsid w:val="003374E2"/>
    <w:rsid w:val="00337C87"/>
    <w:rsid w:val="00341620"/>
    <w:rsid w:val="003470DA"/>
    <w:rsid w:val="00347C51"/>
    <w:rsid w:val="00354015"/>
    <w:rsid w:val="003543EC"/>
    <w:rsid w:val="0036080B"/>
    <w:rsid w:val="003612BB"/>
    <w:rsid w:val="00362E33"/>
    <w:rsid w:val="00364E4C"/>
    <w:rsid w:val="0036544F"/>
    <w:rsid w:val="00365B6B"/>
    <w:rsid w:val="003661AE"/>
    <w:rsid w:val="0037175B"/>
    <w:rsid w:val="00375F33"/>
    <w:rsid w:val="003763B0"/>
    <w:rsid w:val="00380612"/>
    <w:rsid w:val="003835BD"/>
    <w:rsid w:val="00383D5E"/>
    <w:rsid w:val="003852AD"/>
    <w:rsid w:val="0038710C"/>
    <w:rsid w:val="00393F47"/>
    <w:rsid w:val="003A34C9"/>
    <w:rsid w:val="003A5648"/>
    <w:rsid w:val="003A56E0"/>
    <w:rsid w:val="003A58E7"/>
    <w:rsid w:val="003B0D48"/>
    <w:rsid w:val="003B1560"/>
    <w:rsid w:val="003B4100"/>
    <w:rsid w:val="003B5EDC"/>
    <w:rsid w:val="003B65D0"/>
    <w:rsid w:val="003B7C06"/>
    <w:rsid w:val="003C1BFB"/>
    <w:rsid w:val="003C4856"/>
    <w:rsid w:val="003D3BC2"/>
    <w:rsid w:val="003D7D9B"/>
    <w:rsid w:val="003E066F"/>
    <w:rsid w:val="003E0D4A"/>
    <w:rsid w:val="003E3483"/>
    <w:rsid w:val="003F0890"/>
    <w:rsid w:val="003F0F24"/>
    <w:rsid w:val="003F468B"/>
    <w:rsid w:val="003F4FF4"/>
    <w:rsid w:val="003F59CC"/>
    <w:rsid w:val="003F6A8B"/>
    <w:rsid w:val="00405FF2"/>
    <w:rsid w:val="00406B69"/>
    <w:rsid w:val="00407DCE"/>
    <w:rsid w:val="004177E0"/>
    <w:rsid w:val="00421733"/>
    <w:rsid w:val="00421B90"/>
    <w:rsid w:val="00424823"/>
    <w:rsid w:val="004273D1"/>
    <w:rsid w:val="00427799"/>
    <w:rsid w:val="004279E4"/>
    <w:rsid w:val="0043772D"/>
    <w:rsid w:val="004415B0"/>
    <w:rsid w:val="00445701"/>
    <w:rsid w:val="00445889"/>
    <w:rsid w:val="00456BA5"/>
    <w:rsid w:val="00463F12"/>
    <w:rsid w:val="004645F8"/>
    <w:rsid w:val="00464D14"/>
    <w:rsid w:val="00470164"/>
    <w:rsid w:val="00470928"/>
    <w:rsid w:val="0047114D"/>
    <w:rsid w:val="00471C64"/>
    <w:rsid w:val="00472F39"/>
    <w:rsid w:val="004738EC"/>
    <w:rsid w:val="00474266"/>
    <w:rsid w:val="0047560F"/>
    <w:rsid w:val="00476136"/>
    <w:rsid w:val="0048161B"/>
    <w:rsid w:val="00484A04"/>
    <w:rsid w:val="00485F52"/>
    <w:rsid w:val="00491870"/>
    <w:rsid w:val="00495510"/>
    <w:rsid w:val="004A0EFC"/>
    <w:rsid w:val="004A3478"/>
    <w:rsid w:val="004A47BB"/>
    <w:rsid w:val="004A703D"/>
    <w:rsid w:val="004B6EC1"/>
    <w:rsid w:val="004C134A"/>
    <w:rsid w:val="004C137D"/>
    <w:rsid w:val="004C2AC9"/>
    <w:rsid w:val="004C35B9"/>
    <w:rsid w:val="004C5F18"/>
    <w:rsid w:val="004C6541"/>
    <w:rsid w:val="004D2FDA"/>
    <w:rsid w:val="004D3318"/>
    <w:rsid w:val="004D5036"/>
    <w:rsid w:val="004D5508"/>
    <w:rsid w:val="004D7AE6"/>
    <w:rsid w:val="004E332E"/>
    <w:rsid w:val="004E6946"/>
    <w:rsid w:val="004E6D25"/>
    <w:rsid w:val="004F2534"/>
    <w:rsid w:val="004F39A1"/>
    <w:rsid w:val="004F6E0E"/>
    <w:rsid w:val="004F6E5D"/>
    <w:rsid w:val="005015A3"/>
    <w:rsid w:val="0050247A"/>
    <w:rsid w:val="00506778"/>
    <w:rsid w:val="0051194F"/>
    <w:rsid w:val="00521051"/>
    <w:rsid w:val="005222F9"/>
    <w:rsid w:val="00522E50"/>
    <w:rsid w:val="005268A7"/>
    <w:rsid w:val="00527497"/>
    <w:rsid w:val="005338AD"/>
    <w:rsid w:val="00536D8E"/>
    <w:rsid w:val="0054405B"/>
    <w:rsid w:val="00547A51"/>
    <w:rsid w:val="00550922"/>
    <w:rsid w:val="00554A09"/>
    <w:rsid w:val="00557852"/>
    <w:rsid w:val="005647E2"/>
    <w:rsid w:val="005720DE"/>
    <w:rsid w:val="005722AC"/>
    <w:rsid w:val="00573638"/>
    <w:rsid w:val="0057456D"/>
    <w:rsid w:val="00577442"/>
    <w:rsid w:val="0058196C"/>
    <w:rsid w:val="00582B59"/>
    <w:rsid w:val="00583AD5"/>
    <w:rsid w:val="0058622C"/>
    <w:rsid w:val="0058691C"/>
    <w:rsid w:val="005869A6"/>
    <w:rsid w:val="00586E51"/>
    <w:rsid w:val="00595469"/>
    <w:rsid w:val="0059587A"/>
    <w:rsid w:val="005A13A9"/>
    <w:rsid w:val="005A3165"/>
    <w:rsid w:val="005A40E9"/>
    <w:rsid w:val="005A52B6"/>
    <w:rsid w:val="005A5959"/>
    <w:rsid w:val="005A66FB"/>
    <w:rsid w:val="005B0FF9"/>
    <w:rsid w:val="005B1135"/>
    <w:rsid w:val="005B17F5"/>
    <w:rsid w:val="005B6B8B"/>
    <w:rsid w:val="005C085B"/>
    <w:rsid w:val="005C23BB"/>
    <w:rsid w:val="005C4620"/>
    <w:rsid w:val="005D0079"/>
    <w:rsid w:val="005D334F"/>
    <w:rsid w:val="005D43AD"/>
    <w:rsid w:val="005D66B7"/>
    <w:rsid w:val="005D6C02"/>
    <w:rsid w:val="005E61C3"/>
    <w:rsid w:val="005F31F1"/>
    <w:rsid w:val="005F6980"/>
    <w:rsid w:val="006006BF"/>
    <w:rsid w:val="00602419"/>
    <w:rsid w:val="00606FC9"/>
    <w:rsid w:val="00607354"/>
    <w:rsid w:val="00615037"/>
    <w:rsid w:val="00615AAD"/>
    <w:rsid w:val="00616D6D"/>
    <w:rsid w:val="00621A07"/>
    <w:rsid w:val="00622093"/>
    <w:rsid w:val="00625CD8"/>
    <w:rsid w:val="006260E8"/>
    <w:rsid w:val="00627318"/>
    <w:rsid w:val="00631D49"/>
    <w:rsid w:val="006321E2"/>
    <w:rsid w:val="00636206"/>
    <w:rsid w:val="00637F3C"/>
    <w:rsid w:val="00645104"/>
    <w:rsid w:val="00646F85"/>
    <w:rsid w:val="006518A0"/>
    <w:rsid w:val="00653FF9"/>
    <w:rsid w:val="00654F8B"/>
    <w:rsid w:val="00656927"/>
    <w:rsid w:val="00657B3E"/>
    <w:rsid w:val="00660D8F"/>
    <w:rsid w:val="006634EE"/>
    <w:rsid w:val="0066453B"/>
    <w:rsid w:val="00664774"/>
    <w:rsid w:val="006660E1"/>
    <w:rsid w:val="00666119"/>
    <w:rsid w:val="006664D6"/>
    <w:rsid w:val="00666F84"/>
    <w:rsid w:val="00670999"/>
    <w:rsid w:val="0067145B"/>
    <w:rsid w:val="00671811"/>
    <w:rsid w:val="00673A72"/>
    <w:rsid w:val="00673A8A"/>
    <w:rsid w:val="006801E3"/>
    <w:rsid w:val="006815D9"/>
    <w:rsid w:val="0068203D"/>
    <w:rsid w:val="00682CFA"/>
    <w:rsid w:val="0068474F"/>
    <w:rsid w:val="00686670"/>
    <w:rsid w:val="006910E5"/>
    <w:rsid w:val="006933DF"/>
    <w:rsid w:val="00693D33"/>
    <w:rsid w:val="006947F4"/>
    <w:rsid w:val="0069498C"/>
    <w:rsid w:val="0069595E"/>
    <w:rsid w:val="006A2267"/>
    <w:rsid w:val="006B2F42"/>
    <w:rsid w:val="006C1B34"/>
    <w:rsid w:val="006C2105"/>
    <w:rsid w:val="006C5C89"/>
    <w:rsid w:val="006D0B11"/>
    <w:rsid w:val="006D48E7"/>
    <w:rsid w:val="006D55F6"/>
    <w:rsid w:val="006D69B7"/>
    <w:rsid w:val="006E1323"/>
    <w:rsid w:val="006E14C1"/>
    <w:rsid w:val="006E5160"/>
    <w:rsid w:val="006F23DF"/>
    <w:rsid w:val="006F39A4"/>
    <w:rsid w:val="006F3DCB"/>
    <w:rsid w:val="006F6C16"/>
    <w:rsid w:val="006F721A"/>
    <w:rsid w:val="00700C13"/>
    <w:rsid w:val="00702284"/>
    <w:rsid w:val="00702A82"/>
    <w:rsid w:val="0070478B"/>
    <w:rsid w:val="00710DCC"/>
    <w:rsid w:val="007126A0"/>
    <w:rsid w:val="00712F75"/>
    <w:rsid w:val="0071305F"/>
    <w:rsid w:val="00714D34"/>
    <w:rsid w:val="007152D3"/>
    <w:rsid w:val="00717A79"/>
    <w:rsid w:val="00722352"/>
    <w:rsid w:val="00722B6D"/>
    <w:rsid w:val="007268FF"/>
    <w:rsid w:val="00730917"/>
    <w:rsid w:val="007311AC"/>
    <w:rsid w:val="00736D69"/>
    <w:rsid w:val="00743B7A"/>
    <w:rsid w:val="00744E9D"/>
    <w:rsid w:val="00750A45"/>
    <w:rsid w:val="00757528"/>
    <w:rsid w:val="0076374A"/>
    <w:rsid w:val="00766CB6"/>
    <w:rsid w:val="00770ECD"/>
    <w:rsid w:val="00770FE4"/>
    <w:rsid w:val="00772986"/>
    <w:rsid w:val="00772C8D"/>
    <w:rsid w:val="007738AC"/>
    <w:rsid w:val="00776D67"/>
    <w:rsid w:val="0078623C"/>
    <w:rsid w:val="007877E7"/>
    <w:rsid w:val="0078782F"/>
    <w:rsid w:val="00792624"/>
    <w:rsid w:val="00794A34"/>
    <w:rsid w:val="007959CF"/>
    <w:rsid w:val="007A149B"/>
    <w:rsid w:val="007A3630"/>
    <w:rsid w:val="007A4721"/>
    <w:rsid w:val="007B1770"/>
    <w:rsid w:val="007B1CDA"/>
    <w:rsid w:val="007B232A"/>
    <w:rsid w:val="007B396F"/>
    <w:rsid w:val="007B54C9"/>
    <w:rsid w:val="007B75AE"/>
    <w:rsid w:val="007C0227"/>
    <w:rsid w:val="007C02A7"/>
    <w:rsid w:val="007C44DA"/>
    <w:rsid w:val="007C7E64"/>
    <w:rsid w:val="007D1BE7"/>
    <w:rsid w:val="007D1FCA"/>
    <w:rsid w:val="007E0E9C"/>
    <w:rsid w:val="007E30D9"/>
    <w:rsid w:val="007F51A0"/>
    <w:rsid w:val="007F794B"/>
    <w:rsid w:val="007F7F33"/>
    <w:rsid w:val="0080785F"/>
    <w:rsid w:val="008114C4"/>
    <w:rsid w:val="00811B88"/>
    <w:rsid w:val="008222B5"/>
    <w:rsid w:val="0082378F"/>
    <w:rsid w:val="00824A64"/>
    <w:rsid w:val="00827184"/>
    <w:rsid w:val="00832274"/>
    <w:rsid w:val="00832D11"/>
    <w:rsid w:val="00833D38"/>
    <w:rsid w:val="00834A64"/>
    <w:rsid w:val="0083729F"/>
    <w:rsid w:val="008373DB"/>
    <w:rsid w:val="0083771C"/>
    <w:rsid w:val="008400B8"/>
    <w:rsid w:val="008424FA"/>
    <w:rsid w:val="00842793"/>
    <w:rsid w:val="00850868"/>
    <w:rsid w:val="0085249A"/>
    <w:rsid w:val="00854147"/>
    <w:rsid w:val="008615D1"/>
    <w:rsid w:val="008615F5"/>
    <w:rsid w:val="00863886"/>
    <w:rsid w:val="00865DD8"/>
    <w:rsid w:val="008730E5"/>
    <w:rsid w:val="008732EC"/>
    <w:rsid w:val="008736F6"/>
    <w:rsid w:val="00877B5C"/>
    <w:rsid w:val="00881068"/>
    <w:rsid w:val="00881B8E"/>
    <w:rsid w:val="00882AE9"/>
    <w:rsid w:val="0088350C"/>
    <w:rsid w:val="0088420F"/>
    <w:rsid w:val="00884FB1"/>
    <w:rsid w:val="008865CB"/>
    <w:rsid w:val="00890E6E"/>
    <w:rsid w:val="008922FC"/>
    <w:rsid w:val="008A0FC5"/>
    <w:rsid w:val="008A1D39"/>
    <w:rsid w:val="008A261A"/>
    <w:rsid w:val="008A39A2"/>
    <w:rsid w:val="008A4B1F"/>
    <w:rsid w:val="008B0785"/>
    <w:rsid w:val="008B09A3"/>
    <w:rsid w:val="008B100F"/>
    <w:rsid w:val="008B31BA"/>
    <w:rsid w:val="008B4BCB"/>
    <w:rsid w:val="008B770A"/>
    <w:rsid w:val="008B7D0A"/>
    <w:rsid w:val="008C26AB"/>
    <w:rsid w:val="008C2E0D"/>
    <w:rsid w:val="008C4271"/>
    <w:rsid w:val="008C57E3"/>
    <w:rsid w:val="008C7D56"/>
    <w:rsid w:val="008D1EF1"/>
    <w:rsid w:val="008D652E"/>
    <w:rsid w:val="008E1009"/>
    <w:rsid w:val="008F05E8"/>
    <w:rsid w:val="008F1154"/>
    <w:rsid w:val="008F1B1F"/>
    <w:rsid w:val="008F6571"/>
    <w:rsid w:val="008F6C99"/>
    <w:rsid w:val="008F7A3C"/>
    <w:rsid w:val="00901575"/>
    <w:rsid w:val="009111B5"/>
    <w:rsid w:val="00912D10"/>
    <w:rsid w:val="009149FD"/>
    <w:rsid w:val="00915C00"/>
    <w:rsid w:val="00915FDF"/>
    <w:rsid w:val="00917CD3"/>
    <w:rsid w:val="0092531A"/>
    <w:rsid w:val="0093083F"/>
    <w:rsid w:val="00930DAD"/>
    <w:rsid w:val="00931EEE"/>
    <w:rsid w:val="0093258B"/>
    <w:rsid w:val="009377AE"/>
    <w:rsid w:val="00940318"/>
    <w:rsid w:val="00940649"/>
    <w:rsid w:val="009424CE"/>
    <w:rsid w:val="009431BE"/>
    <w:rsid w:val="00943B02"/>
    <w:rsid w:val="0095170F"/>
    <w:rsid w:val="00952500"/>
    <w:rsid w:val="00953492"/>
    <w:rsid w:val="0095358E"/>
    <w:rsid w:val="009540A4"/>
    <w:rsid w:val="00957AF5"/>
    <w:rsid w:val="00960E0E"/>
    <w:rsid w:val="00963B8B"/>
    <w:rsid w:val="00970C8A"/>
    <w:rsid w:val="00972E12"/>
    <w:rsid w:val="009748E4"/>
    <w:rsid w:val="00977F42"/>
    <w:rsid w:val="00980801"/>
    <w:rsid w:val="00982164"/>
    <w:rsid w:val="00983A0F"/>
    <w:rsid w:val="00984A6A"/>
    <w:rsid w:val="00984DA7"/>
    <w:rsid w:val="0098678C"/>
    <w:rsid w:val="00987D1F"/>
    <w:rsid w:val="00990031"/>
    <w:rsid w:val="00992A6F"/>
    <w:rsid w:val="0099397D"/>
    <w:rsid w:val="00993BF0"/>
    <w:rsid w:val="00993E44"/>
    <w:rsid w:val="00996484"/>
    <w:rsid w:val="009A11FB"/>
    <w:rsid w:val="009A1ECC"/>
    <w:rsid w:val="009A4E1B"/>
    <w:rsid w:val="009A5C2B"/>
    <w:rsid w:val="009A5D36"/>
    <w:rsid w:val="009A7030"/>
    <w:rsid w:val="009A7B01"/>
    <w:rsid w:val="009A7B68"/>
    <w:rsid w:val="009B3F6D"/>
    <w:rsid w:val="009B5582"/>
    <w:rsid w:val="009B5B50"/>
    <w:rsid w:val="009B697C"/>
    <w:rsid w:val="009C106D"/>
    <w:rsid w:val="009C1A7F"/>
    <w:rsid w:val="009C443D"/>
    <w:rsid w:val="009C72F5"/>
    <w:rsid w:val="009D144E"/>
    <w:rsid w:val="009E0ECF"/>
    <w:rsid w:val="009E1917"/>
    <w:rsid w:val="009E22E3"/>
    <w:rsid w:val="009F1CCF"/>
    <w:rsid w:val="00A04AA5"/>
    <w:rsid w:val="00A06998"/>
    <w:rsid w:val="00A13A07"/>
    <w:rsid w:val="00A13ADB"/>
    <w:rsid w:val="00A169A4"/>
    <w:rsid w:val="00A21165"/>
    <w:rsid w:val="00A2769D"/>
    <w:rsid w:val="00A30D98"/>
    <w:rsid w:val="00A30EE8"/>
    <w:rsid w:val="00A338A0"/>
    <w:rsid w:val="00A3486D"/>
    <w:rsid w:val="00A34C84"/>
    <w:rsid w:val="00A36998"/>
    <w:rsid w:val="00A36FEE"/>
    <w:rsid w:val="00A4162C"/>
    <w:rsid w:val="00A43CEF"/>
    <w:rsid w:val="00A47CCE"/>
    <w:rsid w:val="00A47EA6"/>
    <w:rsid w:val="00A526E1"/>
    <w:rsid w:val="00A52BFF"/>
    <w:rsid w:val="00A54FCE"/>
    <w:rsid w:val="00A562F9"/>
    <w:rsid w:val="00A5705F"/>
    <w:rsid w:val="00A5772C"/>
    <w:rsid w:val="00A63068"/>
    <w:rsid w:val="00A651C8"/>
    <w:rsid w:val="00A65E5E"/>
    <w:rsid w:val="00A6789F"/>
    <w:rsid w:val="00A7024C"/>
    <w:rsid w:val="00A70734"/>
    <w:rsid w:val="00A76B22"/>
    <w:rsid w:val="00A77BD5"/>
    <w:rsid w:val="00A82555"/>
    <w:rsid w:val="00A84C8B"/>
    <w:rsid w:val="00A870AA"/>
    <w:rsid w:val="00A90130"/>
    <w:rsid w:val="00A9023F"/>
    <w:rsid w:val="00A93FA3"/>
    <w:rsid w:val="00A978A4"/>
    <w:rsid w:val="00AA1772"/>
    <w:rsid w:val="00AA280B"/>
    <w:rsid w:val="00AA56FA"/>
    <w:rsid w:val="00AB048B"/>
    <w:rsid w:val="00AB05F5"/>
    <w:rsid w:val="00AB07F6"/>
    <w:rsid w:val="00AB0C12"/>
    <w:rsid w:val="00AB5C07"/>
    <w:rsid w:val="00AB633F"/>
    <w:rsid w:val="00AB751D"/>
    <w:rsid w:val="00AC19D2"/>
    <w:rsid w:val="00AC34F0"/>
    <w:rsid w:val="00AC5743"/>
    <w:rsid w:val="00AC57B4"/>
    <w:rsid w:val="00AD3751"/>
    <w:rsid w:val="00AD4276"/>
    <w:rsid w:val="00AD6FCD"/>
    <w:rsid w:val="00AD7921"/>
    <w:rsid w:val="00AD7F63"/>
    <w:rsid w:val="00AE0677"/>
    <w:rsid w:val="00AE0EC7"/>
    <w:rsid w:val="00AE2712"/>
    <w:rsid w:val="00AE27A0"/>
    <w:rsid w:val="00AE2831"/>
    <w:rsid w:val="00AE5B57"/>
    <w:rsid w:val="00AE72EC"/>
    <w:rsid w:val="00AE7A6D"/>
    <w:rsid w:val="00AF0045"/>
    <w:rsid w:val="00AF089F"/>
    <w:rsid w:val="00AF2AF0"/>
    <w:rsid w:val="00AF2F33"/>
    <w:rsid w:val="00AF669D"/>
    <w:rsid w:val="00AF7CFB"/>
    <w:rsid w:val="00B00D22"/>
    <w:rsid w:val="00B04D97"/>
    <w:rsid w:val="00B05227"/>
    <w:rsid w:val="00B05D8F"/>
    <w:rsid w:val="00B10597"/>
    <w:rsid w:val="00B1166C"/>
    <w:rsid w:val="00B12F27"/>
    <w:rsid w:val="00B137E6"/>
    <w:rsid w:val="00B139FA"/>
    <w:rsid w:val="00B13A67"/>
    <w:rsid w:val="00B23D3D"/>
    <w:rsid w:val="00B25717"/>
    <w:rsid w:val="00B26F0E"/>
    <w:rsid w:val="00B30C66"/>
    <w:rsid w:val="00B325AA"/>
    <w:rsid w:val="00B35927"/>
    <w:rsid w:val="00B35CBD"/>
    <w:rsid w:val="00B35E0F"/>
    <w:rsid w:val="00B36986"/>
    <w:rsid w:val="00B377F1"/>
    <w:rsid w:val="00B40BE9"/>
    <w:rsid w:val="00B41613"/>
    <w:rsid w:val="00B41F81"/>
    <w:rsid w:val="00B46B5B"/>
    <w:rsid w:val="00B51476"/>
    <w:rsid w:val="00B5238A"/>
    <w:rsid w:val="00B530B9"/>
    <w:rsid w:val="00B55B00"/>
    <w:rsid w:val="00B62D8D"/>
    <w:rsid w:val="00B630C9"/>
    <w:rsid w:val="00B63245"/>
    <w:rsid w:val="00B65F2F"/>
    <w:rsid w:val="00B70320"/>
    <w:rsid w:val="00B71E4E"/>
    <w:rsid w:val="00B7460C"/>
    <w:rsid w:val="00B77C15"/>
    <w:rsid w:val="00B855D3"/>
    <w:rsid w:val="00B85FAB"/>
    <w:rsid w:val="00B8721E"/>
    <w:rsid w:val="00B8766E"/>
    <w:rsid w:val="00B938C1"/>
    <w:rsid w:val="00B9759C"/>
    <w:rsid w:val="00B97D40"/>
    <w:rsid w:val="00BA0136"/>
    <w:rsid w:val="00BA07F9"/>
    <w:rsid w:val="00BA0D0D"/>
    <w:rsid w:val="00BA38EC"/>
    <w:rsid w:val="00BA4021"/>
    <w:rsid w:val="00BB319D"/>
    <w:rsid w:val="00BB54B1"/>
    <w:rsid w:val="00BC0056"/>
    <w:rsid w:val="00BC0AD4"/>
    <w:rsid w:val="00BC0F79"/>
    <w:rsid w:val="00BC1580"/>
    <w:rsid w:val="00BC2D1F"/>
    <w:rsid w:val="00BC2DED"/>
    <w:rsid w:val="00BC3BCC"/>
    <w:rsid w:val="00BD0A01"/>
    <w:rsid w:val="00BD1CDE"/>
    <w:rsid w:val="00BD38C9"/>
    <w:rsid w:val="00BE08C3"/>
    <w:rsid w:val="00BE3333"/>
    <w:rsid w:val="00BE56D0"/>
    <w:rsid w:val="00BF0634"/>
    <w:rsid w:val="00BF1475"/>
    <w:rsid w:val="00BF1C0A"/>
    <w:rsid w:val="00C004C0"/>
    <w:rsid w:val="00C00554"/>
    <w:rsid w:val="00C0526A"/>
    <w:rsid w:val="00C10455"/>
    <w:rsid w:val="00C13BB5"/>
    <w:rsid w:val="00C16FC9"/>
    <w:rsid w:val="00C177F0"/>
    <w:rsid w:val="00C1793A"/>
    <w:rsid w:val="00C20ECC"/>
    <w:rsid w:val="00C213DE"/>
    <w:rsid w:val="00C23445"/>
    <w:rsid w:val="00C24372"/>
    <w:rsid w:val="00C27142"/>
    <w:rsid w:val="00C300DD"/>
    <w:rsid w:val="00C36A3F"/>
    <w:rsid w:val="00C40E0D"/>
    <w:rsid w:val="00C420EB"/>
    <w:rsid w:val="00C479C8"/>
    <w:rsid w:val="00C47F17"/>
    <w:rsid w:val="00C516A5"/>
    <w:rsid w:val="00C52BDF"/>
    <w:rsid w:val="00C55959"/>
    <w:rsid w:val="00C55CF0"/>
    <w:rsid w:val="00C55DE1"/>
    <w:rsid w:val="00C57452"/>
    <w:rsid w:val="00C57E1A"/>
    <w:rsid w:val="00C6068F"/>
    <w:rsid w:val="00C60889"/>
    <w:rsid w:val="00C65283"/>
    <w:rsid w:val="00C6653C"/>
    <w:rsid w:val="00C6658E"/>
    <w:rsid w:val="00C66A47"/>
    <w:rsid w:val="00C71B80"/>
    <w:rsid w:val="00C71D54"/>
    <w:rsid w:val="00C72FC6"/>
    <w:rsid w:val="00C73691"/>
    <w:rsid w:val="00C74448"/>
    <w:rsid w:val="00C75EE7"/>
    <w:rsid w:val="00C7691E"/>
    <w:rsid w:val="00C76A70"/>
    <w:rsid w:val="00C77A92"/>
    <w:rsid w:val="00C81279"/>
    <w:rsid w:val="00C81FB1"/>
    <w:rsid w:val="00C83187"/>
    <w:rsid w:val="00C84042"/>
    <w:rsid w:val="00C8598F"/>
    <w:rsid w:val="00C86814"/>
    <w:rsid w:val="00C876A1"/>
    <w:rsid w:val="00C87F00"/>
    <w:rsid w:val="00C90160"/>
    <w:rsid w:val="00C9053B"/>
    <w:rsid w:val="00C905B4"/>
    <w:rsid w:val="00C9505E"/>
    <w:rsid w:val="00C9696D"/>
    <w:rsid w:val="00C977F4"/>
    <w:rsid w:val="00C97D63"/>
    <w:rsid w:val="00CA0F85"/>
    <w:rsid w:val="00CA15BA"/>
    <w:rsid w:val="00CA1F85"/>
    <w:rsid w:val="00CA230A"/>
    <w:rsid w:val="00CA7261"/>
    <w:rsid w:val="00CB22FC"/>
    <w:rsid w:val="00CB2499"/>
    <w:rsid w:val="00CB4DEE"/>
    <w:rsid w:val="00CB4E80"/>
    <w:rsid w:val="00CD0FD5"/>
    <w:rsid w:val="00CD1017"/>
    <w:rsid w:val="00CD119E"/>
    <w:rsid w:val="00CD2B33"/>
    <w:rsid w:val="00CD3DD8"/>
    <w:rsid w:val="00CD5C50"/>
    <w:rsid w:val="00CE06EF"/>
    <w:rsid w:val="00CE131C"/>
    <w:rsid w:val="00CE13A2"/>
    <w:rsid w:val="00CE32A4"/>
    <w:rsid w:val="00CE5451"/>
    <w:rsid w:val="00CF0003"/>
    <w:rsid w:val="00CF077F"/>
    <w:rsid w:val="00CF73E3"/>
    <w:rsid w:val="00D00E1A"/>
    <w:rsid w:val="00D02975"/>
    <w:rsid w:val="00D03381"/>
    <w:rsid w:val="00D148D4"/>
    <w:rsid w:val="00D14F7C"/>
    <w:rsid w:val="00D17AE4"/>
    <w:rsid w:val="00D2215E"/>
    <w:rsid w:val="00D26971"/>
    <w:rsid w:val="00D31A02"/>
    <w:rsid w:val="00D34B3A"/>
    <w:rsid w:val="00D367F9"/>
    <w:rsid w:val="00D40F3A"/>
    <w:rsid w:val="00D435A7"/>
    <w:rsid w:val="00D51468"/>
    <w:rsid w:val="00D535D3"/>
    <w:rsid w:val="00D53791"/>
    <w:rsid w:val="00D619F1"/>
    <w:rsid w:val="00D627EB"/>
    <w:rsid w:val="00D64845"/>
    <w:rsid w:val="00D64FEA"/>
    <w:rsid w:val="00D667DA"/>
    <w:rsid w:val="00D7097F"/>
    <w:rsid w:val="00D72899"/>
    <w:rsid w:val="00D74B44"/>
    <w:rsid w:val="00D755C4"/>
    <w:rsid w:val="00D80B6D"/>
    <w:rsid w:val="00D81AEA"/>
    <w:rsid w:val="00D830EC"/>
    <w:rsid w:val="00D8352F"/>
    <w:rsid w:val="00D96135"/>
    <w:rsid w:val="00D97464"/>
    <w:rsid w:val="00DA0026"/>
    <w:rsid w:val="00DA1340"/>
    <w:rsid w:val="00DA3ED6"/>
    <w:rsid w:val="00DA3FEF"/>
    <w:rsid w:val="00DA5A1F"/>
    <w:rsid w:val="00DA7BDF"/>
    <w:rsid w:val="00DA7E15"/>
    <w:rsid w:val="00DB245C"/>
    <w:rsid w:val="00DB371F"/>
    <w:rsid w:val="00DB4620"/>
    <w:rsid w:val="00DB63ED"/>
    <w:rsid w:val="00DB64D1"/>
    <w:rsid w:val="00DB6F9E"/>
    <w:rsid w:val="00DC2D28"/>
    <w:rsid w:val="00DC3B28"/>
    <w:rsid w:val="00DC469E"/>
    <w:rsid w:val="00DD047C"/>
    <w:rsid w:val="00DD1C3A"/>
    <w:rsid w:val="00DD1EC2"/>
    <w:rsid w:val="00DD4964"/>
    <w:rsid w:val="00DD5D52"/>
    <w:rsid w:val="00DD63AA"/>
    <w:rsid w:val="00DD696F"/>
    <w:rsid w:val="00DD72FE"/>
    <w:rsid w:val="00DE35EF"/>
    <w:rsid w:val="00DE38AC"/>
    <w:rsid w:val="00DE3B83"/>
    <w:rsid w:val="00DE67AF"/>
    <w:rsid w:val="00DF0407"/>
    <w:rsid w:val="00DF2A22"/>
    <w:rsid w:val="00DF40A5"/>
    <w:rsid w:val="00DF46D6"/>
    <w:rsid w:val="00DF4C9F"/>
    <w:rsid w:val="00E00BDC"/>
    <w:rsid w:val="00E01E4E"/>
    <w:rsid w:val="00E02379"/>
    <w:rsid w:val="00E0394A"/>
    <w:rsid w:val="00E04A37"/>
    <w:rsid w:val="00E0716C"/>
    <w:rsid w:val="00E166EE"/>
    <w:rsid w:val="00E21263"/>
    <w:rsid w:val="00E21DAC"/>
    <w:rsid w:val="00E24E4E"/>
    <w:rsid w:val="00E30417"/>
    <w:rsid w:val="00E332BD"/>
    <w:rsid w:val="00E345A7"/>
    <w:rsid w:val="00E36648"/>
    <w:rsid w:val="00E36A05"/>
    <w:rsid w:val="00E3734B"/>
    <w:rsid w:val="00E42ECE"/>
    <w:rsid w:val="00E459AF"/>
    <w:rsid w:val="00E50637"/>
    <w:rsid w:val="00E55260"/>
    <w:rsid w:val="00E564F9"/>
    <w:rsid w:val="00E63317"/>
    <w:rsid w:val="00E655CE"/>
    <w:rsid w:val="00E7156E"/>
    <w:rsid w:val="00E73E2A"/>
    <w:rsid w:val="00E779BF"/>
    <w:rsid w:val="00E77BA4"/>
    <w:rsid w:val="00E82EAD"/>
    <w:rsid w:val="00E84379"/>
    <w:rsid w:val="00E86004"/>
    <w:rsid w:val="00E86838"/>
    <w:rsid w:val="00E87975"/>
    <w:rsid w:val="00E91E6D"/>
    <w:rsid w:val="00E94462"/>
    <w:rsid w:val="00E94852"/>
    <w:rsid w:val="00E94F6F"/>
    <w:rsid w:val="00EA5A1F"/>
    <w:rsid w:val="00EB0444"/>
    <w:rsid w:val="00EB0475"/>
    <w:rsid w:val="00EB51BF"/>
    <w:rsid w:val="00EC0D8B"/>
    <w:rsid w:val="00EC15B4"/>
    <w:rsid w:val="00EC2177"/>
    <w:rsid w:val="00EC2185"/>
    <w:rsid w:val="00ED2042"/>
    <w:rsid w:val="00ED7323"/>
    <w:rsid w:val="00ED7B75"/>
    <w:rsid w:val="00EE57E4"/>
    <w:rsid w:val="00EE67BD"/>
    <w:rsid w:val="00EF695D"/>
    <w:rsid w:val="00EF7841"/>
    <w:rsid w:val="00F042BA"/>
    <w:rsid w:val="00F04ED6"/>
    <w:rsid w:val="00F1014B"/>
    <w:rsid w:val="00F17BCF"/>
    <w:rsid w:val="00F200AE"/>
    <w:rsid w:val="00F216B6"/>
    <w:rsid w:val="00F22AF7"/>
    <w:rsid w:val="00F32640"/>
    <w:rsid w:val="00F33729"/>
    <w:rsid w:val="00F34407"/>
    <w:rsid w:val="00F362FE"/>
    <w:rsid w:val="00F37470"/>
    <w:rsid w:val="00F37687"/>
    <w:rsid w:val="00F40036"/>
    <w:rsid w:val="00F40D7C"/>
    <w:rsid w:val="00F41D61"/>
    <w:rsid w:val="00F42AE6"/>
    <w:rsid w:val="00F472BF"/>
    <w:rsid w:val="00F508F8"/>
    <w:rsid w:val="00F56AE8"/>
    <w:rsid w:val="00F57A6A"/>
    <w:rsid w:val="00F649DE"/>
    <w:rsid w:val="00F701EA"/>
    <w:rsid w:val="00F7077B"/>
    <w:rsid w:val="00F72436"/>
    <w:rsid w:val="00F75612"/>
    <w:rsid w:val="00F75D37"/>
    <w:rsid w:val="00F77C34"/>
    <w:rsid w:val="00F826FD"/>
    <w:rsid w:val="00F848FB"/>
    <w:rsid w:val="00F90A7B"/>
    <w:rsid w:val="00F91491"/>
    <w:rsid w:val="00F91937"/>
    <w:rsid w:val="00F9461D"/>
    <w:rsid w:val="00F95C06"/>
    <w:rsid w:val="00F97455"/>
    <w:rsid w:val="00F97CFC"/>
    <w:rsid w:val="00FA2A8E"/>
    <w:rsid w:val="00FA58A4"/>
    <w:rsid w:val="00FB2709"/>
    <w:rsid w:val="00FB3687"/>
    <w:rsid w:val="00FB4B0A"/>
    <w:rsid w:val="00FB6BC7"/>
    <w:rsid w:val="00FB7005"/>
    <w:rsid w:val="00FC10FF"/>
    <w:rsid w:val="00FC4037"/>
    <w:rsid w:val="00FC4CCD"/>
    <w:rsid w:val="00FC7761"/>
    <w:rsid w:val="00FD10E7"/>
    <w:rsid w:val="00FD163C"/>
    <w:rsid w:val="00FD183A"/>
    <w:rsid w:val="00FD1C0A"/>
    <w:rsid w:val="00FD694F"/>
    <w:rsid w:val="00FE33D6"/>
    <w:rsid w:val="00FE3A91"/>
    <w:rsid w:val="00FE5140"/>
    <w:rsid w:val="00FE743B"/>
    <w:rsid w:val="00FF1BAC"/>
    <w:rsid w:val="00FF5018"/>
    <w:rsid w:val="011A30DE"/>
    <w:rsid w:val="013F078F"/>
    <w:rsid w:val="036F35B2"/>
    <w:rsid w:val="063B6F48"/>
    <w:rsid w:val="09645824"/>
    <w:rsid w:val="0B0D01D9"/>
    <w:rsid w:val="0DDA0BC8"/>
    <w:rsid w:val="0F7F593C"/>
    <w:rsid w:val="0F995326"/>
    <w:rsid w:val="0F9D371D"/>
    <w:rsid w:val="107E0E1C"/>
    <w:rsid w:val="117D67C0"/>
    <w:rsid w:val="12A01D9B"/>
    <w:rsid w:val="1446594F"/>
    <w:rsid w:val="15BC36F9"/>
    <w:rsid w:val="163141F5"/>
    <w:rsid w:val="16A7381D"/>
    <w:rsid w:val="16FE7FF8"/>
    <w:rsid w:val="18F86F87"/>
    <w:rsid w:val="19133406"/>
    <w:rsid w:val="19C10BCE"/>
    <w:rsid w:val="1B4310CA"/>
    <w:rsid w:val="1B9F1AF3"/>
    <w:rsid w:val="1C93646E"/>
    <w:rsid w:val="1DBC71D5"/>
    <w:rsid w:val="1EA416D1"/>
    <w:rsid w:val="1FAF7DE3"/>
    <w:rsid w:val="200C6AA5"/>
    <w:rsid w:val="21DA2518"/>
    <w:rsid w:val="232E1B45"/>
    <w:rsid w:val="25001A40"/>
    <w:rsid w:val="284321AC"/>
    <w:rsid w:val="2A7D29A2"/>
    <w:rsid w:val="2A945BEA"/>
    <w:rsid w:val="2C2921E0"/>
    <w:rsid w:val="2E726911"/>
    <w:rsid w:val="30991D54"/>
    <w:rsid w:val="30F523E0"/>
    <w:rsid w:val="32311DE8"/>
    <w:rsid w:val="32335F82"/>
    <w:rsid w:val="325F5792"/>
    <w:rsid w:val="3275602C"/>
    <w:rsid w:val="328609BB"/>
    <w:rsid w:val="33A72C4E"/>
    <w:rsid w:val="33CE728B"/>
    <w:rsid w:val="34CD2A31"/>
    <w:rsid w:val="36623FC3"/>
    <w:rsid w:val="367A5F70"/>
    <w:rsid w:val="36BE54AF"/>
    <w:rsid w:val="36C450EA"/>
    <w:rsid w:val="3AE85D05"/>
    <w:rsid w:val="3D205459"/>
    <w:rsid w:val="3E772188"/>
    <w:rsid w:val="40B06133"/>
    <w:rsid w:val="436D772C"/>
    <w:rsid w:val="43B67AD4"/>
    <w:rsid w:val="44185647"/>
    <w:rsid w:val="45A218CA"/>
    <w:rsid w:val="480E19C4"/>
    <w:rsid w:val="484F3AB2"/>
    <w:rsid w:val="491E3DEF"/>
    <w:rsid w:val="4AC85440"/>
    <w:rsid w:val="4B996669"/>
    <w:rsid w:val="4CF93156"/>
    <w:rsid w:val="4D6259A1"/>
    <w:rsid w:val="4DA64574"/>
    <w:rsid w:val="4E3D128A"/>
    <w:rsid w:val="4E4A5082"/>
    <w:rsid w:val="4FE570BC"/>
    <w:rsid w:val="518B5CE1"/>
    <w:rsid w:val="537B1187"/>
    <w:rsid w:val="55147C23"/>
    <w:rsid w:val="55837FA1"/>
    <w:rsid w:val="559243CF"/>
    <w:rsid w:val="5645161A"/>
    <w:rsid w:val="569063CB"/>
    <w:rsid w:val="56B75766"/>
    <w:rsid w:val="586B0F9F"/>
    <w:rsid w:val="590A1DA2"/>
    <w:rsid w:val="5ADD2FA2"/>
    <w:rsid w:val="5BDD4EE3"/>
    <w:rsid w:val="5C472574"/>
    <w:rsid w:val="5C5D4718"/>
    <w:rsid w:val="5DB50E4A"/>
    <w:rsid w:val="5E026647"/>
    <w:rsid w:val="5FB35702"/>
    <w:rsid w:val="636F0D32"/>
    <w:rsid w:val="6519195B"/>
    <w:rsid w:val="654D24C2"/>
    <w:rsid w:val="677D3D9F"/>
    <w:rsid w:val="6A836C04"/>
    <w:rsid w:val="6B1A35C7"/>
    <w:rsid w:val="6C3A2120"/>
    <w:rsid w:val="6CB674EB"/>
    <w:rsid w:val="6D812437"/>
    <w:rsid w:val="6E31378E"/>
    <w:rsid w:val="6E5A4318"/>
    <w:rsid w:val="71F009FC"/>
    <w:rsid w:val="740A7B07"/>
    <w:rsid w:val="78E026CC"/>
    <w:rsid w:val="7D9276A4"/>
    <w:rsid w:val="7DDC070D"/>
    <w:rsid w:val="7F4A08E4"/>
    <w:rsid w:val="7FEB7C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nhideWhenUsed="0" w:uiPriority="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qFormat="1" w:unhideWhenUsed="0" w:uiPriority="60" w:semiHidden="0" w:name="Light Shading"/>
    <w:lsdException w:qFormat="1" w:unhideWhenUsed="0" w:uiPriority="61" w:semiHidden="0" w:name="Light List"/>
    <w:lsdException w:qFormat="1"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qFormat="1" w:unhideWhenUsed="0" w:uiPriority="73" w:semiHidden="0" w:name="Colorful Grid"/>
    <w:lsdException w:qFormat="1" w:unhideWhenUsed="0" w:uiPriority="60" w:semiHidden="0" w:name="Light Shading Accent 1"/>
    <w:lsdException w:qFormat="1" w:unhideWhenUsed="0" w:uiPriority="61" w:semiHidden="0" w:name="Light List Accent 1"/>
    <w:lsdException w:qFormat="1" w:unhideWhenUsed="0" w:uiPriority="62" w:semiHidden="0" w:name="Light Grid Accent 1"/>
    <w:lsdException w:unhideWhenUsed="0" w:uiPriority="63" w:semiHidden="0" w:name="Medium Shading 1 Accent 1"/>
    <w:lsdException w:qFormat="1"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qFormat="1" w:unhideWhenUsed="0" w:uiPriority="60" w:semiHidden="0" w:name="Light Shading Accent 2"/>
    <w:lsdException w:qFormat="1" w:unhideWhenUsed="0" w:uiPriority="61" w:semiHidden="0" w:name="Light List Accent 2"/>
    <w:lsdException w:qFormat="1"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qFormat="1" w:unhideWhenUsed="0" w:uiPriority="60" w:semiHidden="0" w:name="Light Shading Accent 3"/>
    <w:lsdException w:qFormat="1" w:unhideWhenUsed="0" w:uiPriority="61" w:semiHidden="0" w:name="Light List Accent 3"/>
    <w:lsdException w:qFormat="1"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qFormat="1" w:unhideWhenUsed="0" w:uiPriority="60" w:semiHidden="0" w:name="Light Shading Accent 4"/>
    <w:lsdException w:qFormat="1" w:unhideWhenUsed="0" w:uiPriority="61" w:semiHidden="0" w:name="Light List Accent 4"/>
    <w:lsdException w:qFormat="1"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qFormat="1" w:unhideWhenUsed="0" w:uiPriority="60" w:semiHidden="0" w:name="Light Shading Accent 5"/>
    <w:lsdException w:qFormat="1"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qFormat="1" w:unhideWhenUsed="0" w:uiPriority="73" w:semiHidden="0" w:name="Colorful Grid Accent 5"/>
    <w:lsdException w:qFormat="1" w:unhideWhenUsed="0" w:uiPriority="60" w:semiHidden="0" w:name="Light Shading Accent 6"/>
    <w:lsdException w:qFormat="1"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qFormat="1"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EastAsia" w:cstheme="minorBidi"/>
      <w:sz w:val="22"/>
      <w:szCs w:val="22"/>
      <w:lang w:val="en-IN" w:eastAsia="en-IN" w:bidi="ar-SA"/>
    </w:rPr>
  </w:style>
  <w:style w:type="paragraph" w:styleId="2">
    <w:name w:val="heading 1"/>
    <w:basedOn w:val="1"/>
    <w:next w:val="1"/>
    <w:link w:val="33"/>
    <w:qFormat/>
    <w:uiPriority w:val="9"/>
    <w:pPr>
      <w:keepNext/>
      <w:keepLines/>
      <w:spacing w:before="240" w:after="0"/>
      <w:outlineLvl w:val="0"/>
    </w:pPr>
    <w:rPr>
      <w:rFonts w:asciiTheme="majorHAnsi" w:hAnsiTheme="majorHAnsi" w:eastAsiaTheme="majorEastAsia" w:cstheme="majorBidi"/>
      <w:color w:val="366091" w:themeColor="accent1" w:themeShade="BF"/>
      <w:sz w:val="32"/>
      <w:szCs w:val="32"/>
    </w:rPr>
  </w:style>
  <w:style w:type="paragraph" w:styleId="3">
    <w:name w:val="heading 2"/>
    <w:basedOn w:val="1"/>
    <w:link w:val="31"/>
    <w:qFormat/>
    <w:uiPriority w:val="9"/>
    <w:pPr>
      <w:spacing w:before="100" w:beforeAutospacing="1" w:after="100" w:afterAutospacing="1" w:line="240" w:lineRule="auto"/>
      <w:outlineLvl w:val="1"/>
    </w:pPr>
    <w:rPr>
      <w:rFonts w:ascii="Times New Roman" w:hAnsi="Times New Roman" w:eastAsia="Times New Roman" w:cs="Times New Roman"/>
      <w:b/>
      <w:bCs/>
      <w:sz w:val="36"/>
      <w:szCs w:val="36"/>
      <w:lang w:val="en-US" w:eastAsia="en-US"/>
    </w:rPr>
  </w:style>
  <w:style w:type="paragraph" w:styleId="4">
    <w:name w:val="heading 3"/>
    <w:basedOn w:val="1"/>
    <w:next w:val="1"/>
    <w:link w:val="32"/>
    <w:unhideWhenUsed/>
    <w:qFormat/>
    <w:uiPriority w:val="9"/>
    <w:pPr>
      <w:keepNext/>
      <w:keepLines/>
      <w:spacing w:before="40" w:after="0"/>
      <w:outlineLvl w:val="2"/>
    </w:pPr>
    <w:rPr>
      <w:rFonts w:asciiTheme="majorHAnsi" w:hAnsiTheme="majorHAnsi" w:eastAsiaTheme="majorEastAsia" w:cstheme="majorBidi"/>
      <w:color w:val="243F61" w:themeColor="accent1" w:themeShade="7F"/>
      <w:sz w:val="24"/>
      <w:szCs w:val="24"/>
    </w:rPr>
  </w:style>
  <w:style w:type="character" w:default="1" w:styleId="5">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7">
    <w:name w:val="Balloon Text"/>
    <w:basedOn w:val="1"/>
    <w:link w:val="20"/>
    <w:semiHidden/>
    <w:unhideWhenUsed/>
    <w:uiPriority w:val="99"/>
    <w:pPr>
      <w:spacing w:after="0" w:line="240" w:lineRule="auto"/>
    </w:pPr>
    <w:rPr>
      <w:rFonts w:ascii="Tahoma" w:hAnsi="Tahoma" w:cs="Tahoma"/>
      <w:sz w:val="16"/>
      <w:szCs w:val="16"/>
    </w:rPr>
  </w:style>
  <w:style w:type="paragraph" w:styleId="8">
    <w:name w:val="Body Text Indent"/>
    <w:basedOn w:val="1"/>
    <w:link w:val="25"/>
    <w:uiPriority w:val="0"/>
    <w:pPr>
      <w:spacing w:after="0" w:line="480" w:lineRule="auto"/>
      <w:ind w:firstLine="720"/>
      <w:jc w:val="both"/>
    </w:pPr>
    <w:rPr>
      <w:rFonts w:ascii="Times New Roman" w:hAnsi="Times New Roman" w:eastAsia="Times New Roman" w:cs="Times New Roman"/>
      <w:sz w:val="26"/>
      <w:szCs w:val="20"/>
      <w:lang w:val="en-US" w:eastAsia="en-US"/>
    </w:rPr>
  </w:style>
  <w:style w:type="character" w:styleId="9">
    <w:name w:val="annotation reference"/>
    <w:basedOn w:val="5"/>
    <w:semiHidden/>
    <w:unhideWhenUsed/>
    <w:uiPriority w:val="99"/>
    <w:rPr>
      <w:sz w:val="16"/>
      <w:szCs w:val="16"/>
    </w:rPr>
  </w:style>
  <w:style w:type="paragraph" w:styleId="10">
    <w:name w:val="annotation text"/>
    <w:basedOn w:val="1"/>
    <w:link w:val="42"/>
    <w:semiHidden/>
    <w:unhideWhenUsed/>
    <w:uiPriority w:val="99"/>
    <w:pPr>
      <w:spacing w:line="240" w:lineRule="auto"/>
    </w:pPr>
    <w:rPr>
      <w:sz w:val="20"/>
      <w:szCs w:val="20"/>
    </w:rPr>
  </w:style>
  <w:style w:type="paragraph" w:styleId="11">
    <w:name w:val="annotation subject"/>
    <w:basedOn w:val="10"/>
    <w:next w:val="10"/>
    <w:link w:val="43"/>
    <w:semiHidden/>
    <w:unhideWhenUsed/>
    <w:uiPriority w:val="99"/>
    <w:rPr>
      <w:b/>
      <w:bCs/>
    </w:rPr>
  </w:style>
  <w:style w:type="character" w:styleId="12">
    <w:name w:val="Emphasis"/>
    <w:basedOn w:val="5"/>
    <w:qFormat/>
    <w:uiPriority w:val="20"/>
    <w:rPr>
      <w:i/>
      <w:iCs/>
    </w:rPr>
  </w:style>
  <w:style w:type="paragraph" w:styleId="13">
    <w:name w:val="footer"/>
    <w:basedOn w:val="1"/>
    <w:link w:val="24"/>
    <w:unhideWhenUsed/>
    <w:uiPriority w:val="99"/>
    <w:pPr>
      <w:tabs>
        <w:tab w:val="center" w:pos="4513"/>
        <w:tab w:val="right" w:pos="9026"/>
      </w:tabs>
      <w:spacing w:after="0" w:line="240" w:lineRule="auto"/>
    </w:pPr>
  </w:style>
  <w:style w:type="paragraph" w:styleId="14">
    <w:name w:val="header"/>
    <w:basedOn w:val="1"/>
    <w:link w:val="23"/>
    <w:semiHidden/>
    <w:uiPriority w:val="0"/>
    <w:pPr>
      <w:tabs>
        <w:tab w:val="center" w:pos="4320"/>
        <w:tab w:val="right" w:pos="8640"/>
      </w:tabs>
      <w:spacing w:after="0" w:line="240" w:lineRule="auto"/>
    </w:pPr>
    <w:rPr>
      <w:rFonts w:ascii="Times New Roman" w:hAnsi="Times New Roman" w:eastAsia="Times New Roman" w:cs="Times New Roman"/>
      <w:sz w:val="24"/>
      <w:szCs w:val="24"/>
      <w:lang w:val="en-US" w:eastAsia="en-US"/>
    </w:rPr>
  </w:style>
  <w:style w:type="character" w:styleId="15">
    <w:name w:val="Hyperlink"/>
    <w:basedOn w:val="5"/>
    <w:unhideWhenUsed/>
    <w:uiPriority w:val="99"/>
    <w:rPr>
      <w:color w:val="0000FF"/>
      <w:u w:val="single"/>
    </w:rPr>
  </w:style>
  <w:style w:type="paragraph" w:styleId="16">
    <w:name w:val="Normal (Web)"/>
    <w:basedOn w:val="1"/>
    <w:unhideWhenUsed/>
    <w:uiPriority w:val="99"/>
    <w:pPr>
      <w:spacing w:before="100" w:beforeAutospacing="1" w:after="100" w:afterAutospacing="1" w:line="240" w:lineRule="auto"/>
    </w:pPr>
    <w:rPr>
      <w:rFonts w:ascii="Times New Roman" w:hAnsi="Times New Roman" w:eastAsia="Times New Roman" w:cs="Times New Roman"/>
      <w:sz w:val="24"/>
      <w:szCs w:val="24"/>
      <w:lang w:val="en-US" w:eastAsia="en-US"/>
    </w:rPr>
  </w:style>
  <w:style w:type="character" w:styleId="17">
    <w:name w:val="page number"/>
    <w:basedOn w:val="5"/>
    <w:semiHidden/>
    <w:uiPriority w:val="0"/>
  </w:style>
  <w:style w:type="character" w:styleId="18">
    <w:name w:val="Strong"/>
    <w:basedOn w:val="5"/>
    <w:qFormat/>
    <w:uiPriority w:val="22"/>
    <w:rPr>
      <w:b/>
      <w:bCs/>
    </w:rPr>
  </w:style>
  <w:style w:type="table" w:styleId="19">
    <w:name w:val="Table Grid"/>
    <w:basedOn w:val="6"/>
    <w:uiPriority w:val="59"/>
    <w:rPr>
      <w:lang w:val="en-IN"/>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customStyle="1" w:styleId="20">
    <w:name w:val="Balloon Text Char"/>
    <w:basedOn w:val="5"/>
    <w:link w:val="7"/>
    <w:semiHidden/>
    <w:uiPriority w:val="99"/>
    <w:rPr>
      <w:rFonts w:ascii="Tahoma" w:hAnsi="Tahoma" w:cs="Tahoma" w:eastAsiaTheme="minorEastAsia"/>
      <w:sz w:val="16"/>
      <w:szCs w:val="16"/>
      <w:lang w:val="en-IN" w:eastAsia="en-IN"/>
    </w:rPr>
  </w:style>
  <w:style w:type="paragraph" w:customStyle="1" w:styleId="21">
    <w:name w:val="Ctrl F9-Title"/>
    <w:uiPriority w:val="0"/>
    <w:pPr>
      <w:keepNext/>
      <w:spacing w:after="840"/>
      <w:jc w:val="center"/>
    </w:pPr>
    <w:rPr>
      <w:rFonts w:ascii="Calligrapher" w:hAnsi="Calligrapher" w:eastAsia="Times New Roman" w:cs="Times New Roman"/>
      <w:b/>
      <w:sz w:val="36"/>
      <w:lang w:val="en-US" w:eastAsia="en-US" w:bidi="ar-SA"/>
    </w:rPr>
  </w:style>
  <w:style w:type="paragraph" w:customStyle="1" w:styleId="22">
    <w:name w:val="Ctrl F2-Body Text"/>
    <w:qFormat/>
    <w:uiPriority w:val="0"/>
    <w:pPr>
      <w:spacing w:after="360" w:line="480" w:lineRule="auto"/>
      <w:ind w:firstLine="1296"/>
      <w:jc w:val="both"/>
    </w:pPr>
    <w:rPr>
      <w:rFonts w:ascii="Bookman Old Style" w:hAnsi="Bookman Old Style" w:eastAsia="Times New Roman" w:cs="Times New Roman"/>
      <w:sz w:val="26"/>
      <w:lang w:val="en-US" w:eastAsia="en-US" w:bidi="ar-SA"/>
    </w:rPr>
  </w:style>
  <w:style w:type="character" w:customStyle="1" w:styleId="23">
    <w:name w:val="Header Char"/>
    <w:basedOn w:val="5"/>
    <w:link w:val="14"/>
    <w:semiHidden/>
    <w:uiPriority w:val="0"/>
    <w:rPr>
      <w:rFonts w:ascii="Times New Roman" w:hAnsi="Times New Roman" w:eastAsia="Times New Roman" w:cs="Times New Roman"/>
      <w:sz w:val="24"/>
      <w:szCs w:val="24"/>
    </w:rPr>
  </w:style>
  <w:style w:type="character" w:customStyle="1" w:styleId="24">
    <w:name w:val="Footer Char"/>
    <w:basedOn w:val="5"/>
    <w:link w:val="13"/>
    <w:uiPriority w:val="99"/>
    <w:rPr>
      <w:rFonts w:eastAsiaTheme="minorEastAsia"/>
      <w:lang w:val="en-IN" w:eastAsia="en-IN"/>
    </w:rPr>
  </w:style>
  <w:style w:type="character" w:customStyle="1" w:styleId="25">
    <w:name w:val="Body Text Indent Char"/>
    <w:basedOn w:val="5"/>
    <w:link w:val="8"/>
    <w:qFormat/>
    <w:uiPriority w:val="0"/>
    <w:rPr>
      <w:rFonts w:ascii="Times New Roman" w:hAnsi="Times New Roman" w:eastAsia="Times New Roman" w:cs="Times New Roman"/>
      <w:sz w:val="26"/>
      <w:szCs w:val="20"/>
    </w:rPr>
  </w:style>
  <w:style w:type="character" w:customStyle="1" w:styleId="26">
    <w:name w:val="Heading #1_"/>
    <w:basedOn w:val="5"/>
    <w:link w:val="27"/>
    <w:uiPriority w:val="0"/>
    <w:rPr>
      <w:sz w:val="17"/>
      <w:szCs w:val="17"/>
      <w:shd w:val="clear" w:color="auto" w:fill="FFFFFF"/>
    </w:rPr>
  </w:style>
  <w:style w:type="paragraph" w:customStyle="1" w:styleId="27">
    <w:name w:val="Heading #1"/>
    <w:basedOn w:val="1"/>
    <w:link w:val="26"/>
    <w:uiPriority w:val="0"/>
    <w:pPr>
      <w:shd w:val="clear" w:color="auto" w:fill="FFFFFF"/>
      <w:spacing w:before="60" w:after="60" w:line="386" w:lineRule="exact"/>
      <w:ind w:firstLine="420"/>
      <w:jc w:val="both"/>
      <w:outlineLvl w:val="0"/>
    </w:pPr>
    <w:rPr>
      <w:rFonts w:eastAsiaTheme="minorHAnsi"/>
      <w:sz w:val="17"/>
      <w:szCs w:val="17"/>
      <w:lang w:val="en-US" w:eastAsia="en-US"/>
    </w:rPr>
  </w:style>
  <w:style w:type="character" w:customStyle="1" w:styleId="28">
    <w:name w:val="Heading #1 + Spacing -1 pt"/>
    <w:basedOn w:val="26"/>
    <w:qFormat/>
    <w:uiPriority w:val="0"/>
    <w:rPr>
      <w:rFonts w:ascii="Times New Roman" w:hAnsi="Times New Roman" w:eastAsia="Times New Roman" w:cs="Times New Roman"/>
      <w:spacing w:val="-20"/>
      <w:sz w:val="35"/>
      <w:szCs w:val="35"/>
      <w:shd w:val="clear" w:color="auto" w:fill="FFFFFF"/>
    </w:rPr>
  </w:style>
  <w:style w:type="paragraph" w:styleId="29">
    <w:name w:val="No Spacing"/>
    <w:qFormat/>
    <w:uiPriority w:val="1"/>
    <w:rPr>
      <w:rFonts w:ascii="Calibri" w:hAnsi="Calibri" w:eastAsia="Times New Roman" w:cs="Times New Roman"/>
      <w:sz w:val="22"/>
      <w:szCs w:val="22"/>
      <w:lang w:val="en-IN" w:eastAsia="en-IN" w:bidi="ar-SA"/>
    </w:rPr>
  </w:style>
  <w:style w:type="paragraph" w:customStyle="1" w:styleId="30">
    <w:name w:val="Body Text2"/>
    <w:basedOn w:val="1"/>
    <w:qFormat/>
    <w:uiPriority w:val="0"/>
    <w:pPr>
      <w:shd w:val="clear" w:color="auto" w:fill="FFFFFF"/>
      <w:spacing w:after="240" w:line="662" w:lineRule="exact"/>
      <w:ind w:hanging="840"/>
      <w:jc w:val="both"/>
    </w:pPr>
    <w:rPr>
      <w:rFonts w:ascii="Times New Roman" w:hAnsi="Times New Roman" w:eastAsia="Times New Roman" w:cs="Times New Roman"/>
      <w:sz w:val="33"/>
      <w:szCs w:val="33"/>
      <w:lang w:eastAsia="en-US"/>
    </w:rPr>
  </w:style>
  <w:style w:type="character" w:customStyle="1" w:styleId="31">
    <w:name w:val="Heading 2 Char"/>
    <w:basedOn w:val="5"/>
    <w:link w:val="3"/>
    <w:qFormat/>
    <w:uiPriority w:val="9"/>
    <w:rPr>
      <w:rFonts w:ascii="Times New Roman" w:hAnsi="Times New Roman" w:eastAsia="Times New Roman" w:cs="Times New Roman"/>
      <w:b/>
      <w:bCs/>
      <w:sz w:val="36"/>
      <w:szCs w:val="36"/>
    </w:rPr>
  </w:style>
  <w:style w:type="character" w:customStyle="1" w:styleId="32">
    <w:name w:val="Heading 3 Char"/>
    <w:basedOn w:val="5"/>
    <w:link w:val="4"/>
    <w:qFormat/>
    <w:uiPriority w:val="9"/>
    <w:rPr>
      <w:rFonts w:asciiTheme="majorHAnsi" w:hAnsiTheme="majorHAnsi" w:eastAsiaTheme="majorEastAsia" w:cstheme="majorBidi"/>
      <w:color w:val="243F61" w:themeColor="accent1" w:themeShade="7F"/>
      <w:sz w:val="24"/>
      <w:szCs w:val="24"/>
      <w:lang w:val="en-IN" w:eastAsia="en-IN"/>
    </w:rPr>
  </w:style>
  <w:style w:type="character" w:customStyle="1" w:styleId="33">
    <w:name w:val="Heading 1 Char"/>
    <w:basedOn w:val="5"/>
    <w:link w:val="2"/>
    <w:qFormat/>
    <w:uiPriority w:val="9"/>
    <w:rPr>
      <w:rFonts w:asciiTheme="majorHAnsi" w:hAnsiTheme="majorHAnsi" w:eastAsiaTheme="majorEastAsia" w:cstheme="majorBidi"/>
      <w:color w:val="366091" w:themeColor="accent1" w:themeShade="BF"/>
      <w:sz w:val="32"/>
      <w:szCs w:val="32"/>
      <w:lang w:val="en-IN" w:eastAsia="en-IN"/>
    </w:rPr>
  </w:style>
  <w:style w:type="character" w:customStyle="1" w:styleId="34">
    <w:name w:val="Body text (2)_"/>
    <w:link w:val="35"/>
    <w:qFormat/>
    <w:locked/>
    <w:uiPriority w:val="0"/>
    <w:rPr>
      <w:rFonts w:ascii="Times New Roman" w:hAnsi="Times New Roman" w:eastAsia="Times New Roman" w:cs="Times New Roman"/>
      <w:shd w:val="clear" w:color="auto" w:fill="FFFFFF"/>
    </w:rPr>
  </w:style>
  <w:style w:type="paragraph" w:customStyle="1" w:styleId="35">
    <w:name w:val="Body text (2)"/>
    <w:basedOn w:val="1"/>
    <w:link w:val="34"/>
    <w:qFormat/>
    <w:uiPriority w:val="0"/>
    <w:pPr>
      <w:shd w:val="clear" w:color="auto" w:fill="FFFFFF"/>
      <w:spacing w:after="420" w:line="0" w:lineRule="atLeast"/>
    </w:pPr>
    <w:rPr>
      <w:rFonts w:ascii="Times New Roman" w:hAnsi="Times New Roman" w:eastAsia="Times New Roman" w:cs="Times New Roman"/>
      <w:lang w:val="en-US" w:eastAsia="en-US"/>
    </w:rPr>
  </w:style>
  <w:style w:type="character" w:customStyle="1" w:styleId="36">
    <w:name w:val="Body text_"/>
    <w:link w:val="37"/>
    <w:qFormat/>
    <w:locked/>
    <w:uiPriority w:val="0"/>
    <w:rPr>
      <w:rFonts w:ascii="Angsana New" w:hAnsi="Angsana New" w:eastAsia="Angsana New" w:cs="Angsana New"/>
      <w:sz w:val="28"/>
      <w:szCs w:val="28"/>
      <w:shd w:val="clear" w:color="auto" w:fill="FFFFFF"/>
    </w:rPr>
  </w:style>
  <w:style w:type="paragraph" w:customStyle="1" w:styleId="37">
    <w:name w:val="Body Text1"/>
    <w:basedOn w:val="1"/>
    <w:link w:val="36"/>
    <w:qFormat/>
    <w:uiPriority w:val="0"/>
    <w:pPr>
      <w:shd w:val="clear" w:color="auto" w:fill="FFFFFF"/>
      <w:spacing w:after="120" w:line="0" w:lineRule="atLeast"/>
    </w:pPr>
    <w:rPr>
      <w:rFonts w:ascii="Angsana New" w:hAnsi="Angsana New" w:eastAsia="Angsana New" w:cs="Angsana New"/>
      <w:sz w:val="28"/>
      <w:szCs w:val="28"/>
      <w:lang w:val="en-US" w:eastAsia="en-US"/>
    </w:rPr>
  </w:style>
  <w:style w:type="character" w:customStyle="1" w:styleId="38">
    <w:name w:val="Body text (9) + Not Italic"/>
    <w:qFormat/>
    <w:uiPriority w:val="0"/>
    <w:rPr>
      <w:rFonts w:hint="default" w:ascii="Times New Roman" w:hAnsi="Times New Roman" w:eastAsia="Times New Roman" w:cs="Times New Roman"/>
      <w:i/>
      <w:iCs/>
      <w:sz w:val="18"/>
      <w:szCs w:val="18"/>
      <w:shd w:val="clear" w:color="auto" w:fill="FFFFFF"/>
    </w:rPr>
  </w:style>
  <w:style w:type="character" w:customStyle="1" w:styleId="39">
    <w:name w:val="Body text (2) + Italic"/>
    <w:qFormat/>
    <w:uiPriority w:val="0"/>
    <w:rPr>
      <w:rFonts w:hint="default" w:ascii="Times New Roman" w:hAnsi="Times New Roman" w:eastAsia="Times New Roman" w:cs="Times New Roman"/>
      <w:i/>
      <w:iCs/>
      <w:spacing w:val="0"/>
      <w:sz w:val="18"/>
      <w:szCs w:val="18"/>
      <w:u w:val="none"/>
      <w:shd w:val="clear" w:color="auto" w:fill="FFFFFF"/>
    </w:rPr>
  </w:style>
  <w:style w:type="character" w:customStyle="1" w:styleId="40">
    <w:name w:val="Unresolved Mention1"/>
    <w:basedOn w:val="5"/>
    <w:semiHidden/>
    <w:unhideWhenUsed/>
    <w:qFormat/>
    <w:uiPriority w:val="99"/>
    <w:rPr>
      <w:color w:val="605E5C"/>
      <w:shd w:val="clear" w:color="auto" w:fill="E1DFDD"/>
    </w:rPr>
  </w:style>
  <w:style w:type="paragraph" w:styleId="41">
    <w:name w:val="List Paragraph"/>
    <w:basedOn w:val="1"/>
    <w:qFormat/>
    <w:uiPriority w:val="34"/>
    <w:pPr>
      <w:ind w:left="720"/>
      <w:contextualSpacing/>
    </w:pPr>
  </w:style>
  <w:style w:type="character" w:customStyle="1" w:styleId="42">
    <w:name w:val="Comment Text Char"/>
    <w:basedOn w:val="5"/>
    <w:link w:val="10"/>
    <w:semiHidden/>
    <w:qFormat/>
    <w:uiPriority w:val="99"/>
    <w:rPr>
      <w:rFonts w:eastAsiaTheme="minorEastAsia"/>
      <w:sz w:val="20"/>
      <w:szCs w:val="20"/>
      <w:lang w:val="en-IN" w:eastAsia="en-IN"/>
    </w:rPr>
  </w:style>
  <w:style w:type="character" w:customStyle="1" w:styleId="43">
    <w:name w:val="Comment Subject Char"/>
    <w:basedOn w:val="42"/>
    <w:link w:val="11"/>
    <w:semiHidden/>
    <w:qFormat/>
    <w:uiPriority w:val="99"/>
    <w:rPr>
      <w:rFonts w:eastAsiaTheme="minorEastAsia"/>
      <w:b/>
      <w:bCs/>
      <w:sz w:val="20"/>
      <w:szCs w:val="20"/>
      <w:lang w:val="en-IN" w:eastAsia="en-IN"/>
    </w:rPr>
  </w:style>
  <w:style w:type="character" w:customStyle="1" w:styleId="44">
    <w:name w:val="Unresolved Mention"/>
    <w:basedOn w:val="5"/>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tiff"/><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53"/>
    <customShpInfo spid="_x0000_s2054"/>
    <customShpInfo spid="_x0000_s205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Oprekin</Company>
  <Pages>15</Pages>
  <Words>3806</Words>
  <Characters>21700</Characters>
  <Lines>180</Lines>
  <Paragraphs>50</Paragraphs>
  <TotalTime>4</TotalTime>
  <ScaleCrop>false</ScaleCrop>
  <LinksUpToDate>false</LinksUpToDate>
  <CharactersWithSpaces>25456</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2016-04-14T09:10:00Z</dcterms:created>
  <dc:creator>HOME</dc:creator>
  <cp:lastModifiedBy>Abishek Jobin</cp:lastModifiedBy>
  <cp:lastPrinted>2018-04-26T11:31:00Z</cp:lastPrinted>
  <dcterms:modified xsi:type="dcterms:W3CDTF">2026-02-09T15:45:05Z</dcterms:modified>
  <cp:revision>959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0B812A89CE6B4450A42C52E02221EE54_12</vt:lpwstr>
  </property>
</Properties>
</file>