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11BA" w14:textId="77777777" w:rsidR="00F108B2" w:rsidRPr="003022C9" w:rsidRDefault="00F108B2" w:rsidP="003022C9">
      <w:pPr>
        <w:pStyle w:val="PaperTitle"/>
        <w:rPr>
          <w:rFonts w:cs="Times New Roman"/>
          <w:color w:val="000000" w:themeColor="text1"/>
          <w:szCs w:val="24"/>
          <w:lang w:val="en-GB"/>
        </w:rPr>
      </w:pPr>
    </w:p>
    <w:p w14:paraId="475721EE" w14:textId="709B778F" w:rsidR="00405AA9" w:rsidRPr="003022C9" w:rsidRDefault="00870C89" w:rsidP="003022C9">
      <w:pPr>
        <w:pStyle w:val="PaperTitle"/>
        <w:rPr>
          <w:rFonts w:cs="Times New Roman"/>
          <w:color w:val="000000" w:themeColor="text1"/>
          <w:szCs w:val="24"/>
          <w:lang w:val="en-GB"/>
        </w:rPr>
      </w:pPr>
      <w:r w:rsidRPr="003022C9">
        <w:rPr>
          <w:rFonts w:cs="Times New Roman"/>
          <w:color w:val="000000" w:themeColor="text1"/>
          <w:szCs w:val="24"/>
          <w:lang w:val="tr-TR"/>
        </w:rPr>
        <w:t>Precision Approaches in Banana Cultivation for Sustainable Productivity</w:t>
      </w:r>
      <w:r w:rsidR="00405AA9" w:rsidRPr="003022C9">
        <w:rPr>
          <w:rFonts w:cs="Times New Roman"/>
          <w:color w:val="000000" w:themeColor="text1"/>
          <w:szCs w:val="24"/>
          <w:lang w:val="en-GB"/>
        </w:rPr>
        <w:t xml:space="preserve"> </w:t>
      </w:r>
    </w:p>
    <w:p w14:paraId="1805863D" w14:textId="77777777" w:rsidR="009F5A87" w:rsidRPr="003022C9" w:rsidRDefault="009F5A87" w:rsidP="003022C9">
      <w:pPr>
        <w:pStyle w:val="Abstract"/>
        <w:rPr>
          <w:rFonts w:cs="Times New Roman"/>
          <w:b/>
          <w:color w:val="000000" w:themeColor="text1"/>
          <w:szCs w:val="24"/>
          <w:lang w:val="en-GB"/>
        </w:rPr>
      </w:pPr>
    </w:p>
    <w:p w14:paraId="28293169" w14:textId="7C63D7BA" w:rsidR="0044289E" w:rsidRPr="003022C9" w:rsidRDefault="00106A55" w:rsidP="003022C9">
      <w:pPr>
        <w:pStyle w:val="Abstract"/>
        <w:rPr>
          <w:rFonts w:cs="Times New Roman"/>
          <w:bCs/>
          <w:color w:val="000000" w:themeColor="text1"/>
          <w:szCs w:val="24"/>
          <w:lang w:val="tr-TR"/>
        </w:rPr>
      </w:pPr>
      <w:r w:rsidRPr="003022C9">
        <w:rPr>
          <w:rFonts w:cs="Times New Roman"/>
          <w:b/>
          <w:color w:val="000000" w:themeColor="text1"/>
          <w:szCs w:val="24"/>
          <w:lang w:val="en-GB"/>
        </w:rPr>
        <w:t>Abstract</w:t>
      </w:r>
      <w:r w:rsidR="0044289E" w:rsidRPr="003022C9">
        <w:rPr>
          <w:rFonts w:cs="Times New Roman"/>
          <w:b/>
          <w:color w:val="000000" w:themeColor="text1"/>
          <w:szCs w:val="24"/>
          <w:lang w:val="en-GB"/>
        </w:rPr>
        <w:t xml:space="preserve"> </w:t>
      </w:r>
      <w:r w:rsidR="0044289E" w:rsidRPr="003022C9">
        <w:rPr>
          <w:rFonts w:cs="Times New Roman"/>
          <w:bCs/>
          <w:color w:val="000000" w:themeColor="text1"/>
          <w:szCs w:val="24"/>
          <w:lang w:val="tr-TR"/>
        </w:rPr>
        <w:t>Banana cultivation is increasingly challenged by limited land availability, climate variability, and declining resource-use efficiency, necessitating the adoption of precision-based production strategies. This review critically synthesizes recent advances in high-density planting (HDP), precision nutrient and water management, improved planting material, and other hi-tech interventions for enhancing banana productivity and sustainability. Evidence from experimental and multi-location studies indicates that HDP systems with plant densities ranging from 2,500 to 5,000 plants ha⁻¹ can increase yield by 19–79% over conventional planting, depending on cultivar, spacing, and management practices. Precision fertigation under HDP has been reported to reduce fertilizer use by 25–50% while maintaining or improving bunch weight, fruit quality, and economic returns. In addition, optimized planting geometry and resource management improve light interception, water-use efficiency, and overall system resilience. These approaches improve resource-use efficiency by reducing fertilizer and water inputs by approximately 25–50%, while enhancing economic returns through yield gains of 20–70% compared with conventional banana cultivation systems. This review highlights that integrating precision approaches with cultivar-specific recommendations offers a viable pathway for achieving sustainable productivity in banana cultivation, particularly under Indian and South Asian production systems, while also identifying key research gaps for future refinement.</w:t>
      </w:r>
    </w:p>
    <w:p w14:paraId="455457A7" w14:textId="74637FC2" w:rsidR="000E0B25" w:rsidRPr="003022C9" w:rsidRDefault="000E0B25" w:rsidP="003022C9">
      <w:pPr>
        <w:pStyle w:val="Abstract"/>
        <w:rPr>
          <w:rFonts w:cs="Times New Roman"/>
          <w:b/>
          <w:i/>
          <w:iCs/>
          <w:color w:val="000000" w:themeColor="text1"/>
          <w:szCs w:val="24"/>
        </w:rPr>
      </w:pPr>
      <w:r w:rsidRPr="003022C9">
        <w:rPr>
          <w:rFonts w:cs="Times New Roman"/>
          <w:b/>
          <w:iCs/>
          <w:color w:val="000000" w:themeColor="text1"/>
          <w:szCs w:val="24"/>
        </w:rPr>
        <w:t>GRAPHICAL ABSTRACT</w:t>
      </w:r>
    </w:p>
    <w:p w14:paraId="4FB36926" w14:textId="77777777" w:rsidR="000E0B25" w:rsidRPr="003022C9" w:rsidRDefault="000E0B25" w:rsidP="003022C9">
      <w:pPr>
        <w:spacing w:line="480" w:lineRule="auto"/>
        <w:rPr>
          <w:rFonts w:ascii="Times New Roman" w:hAnsi="Times New Roman" w:cs="Times New Roman"/>
          <w:noProof/>
          <w:color w:val="000000" w:themeColor="text1"/>
          <w:sz w:val="24"/>
          <w:szCs w:val="24"/>
        </w:rPr>
      </w:pPr>
    </w:p>
    <w:p w14:paraId="30D5BB96" w14:textId="77777777" w:rsidR="000E0B25" w:rsidRPr="003022C9" w:rsidRDefault="000E0B25" w:rsidP="003022C9">
      <w:pPr>
        <w:spacing w:line="480" w:lineRule="auto"/>
        <w:rPr>
          <w:rFonts w:ascii="Times New Roman" w:hAnsi="Times New Roman" w:cs="Times New Roman"/>
          <w:color w:val="000000" w:themeColor="text1"/>
          <w:sz w:val="24"/>
          <w:szCs w:val="24"/>
        </w:rPr>
      </w:pPr>
      <w:r w:rsidRPr="003022C9">
        <w:rPr>
          <w:rFonts w:ascii="Times New Roman" w:hAnsi="Times New Roman" w:cs="Times New Roman"/>
          <w:noProof/>
          <w:color w:val="000000" w:themeColor="text1"/>
          <w:sz w:val="24"/>
          <w:szCs w:val="24"/>
          <w:lang w:eastAsia="en-IN"/>
        </w:rPr>
        <w:lastRenderedPageBreak/>
        <w:drawing>
          <wp:inline distT="0" distB="0" distL="0" distR="0" wp14:anchorId="128A28BC" wp14:editId="59497376">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16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5D16A5BC" w14:textId="77777777" w:rsidR="000E0B25" w:rsidRPr="003022C9" w:rsidRDefault="000E0B25" w:rsidP="003022C9">
      <w:pPr>
        <w:pStyle w:val="Abstract"/>
        <w:rPr>
          <w:rFonts w:cs="Times New Roman"/>
          <w:color w:val="000000" w:themeColor="text1"/>
          <w:szCs w:val="24"/>
          <w:lang w:val="en-GB"/>
        </w:rPr>
      </w:pPr>
    </w:p>
    <w:p w14:paraId="639D4B8F" w14:textId="36985C66" w:rsidR="00F849F6" w:rsidRPr="003022C9" w:rsidRDefault="00F849F6" w:rsidP="003022C9">
      <w:pPr>
        <w:pStyle w:val="Keyword"/>
        <w:rPr>
          <w:rFonts w:cs="Times New Roman"/>
          <w:color w:val="000000" w:themeColor="text1"/>
          <w:szCs w:val="24"/>
          <w:lang w:val="en-GB"/>
        </w:rPr>
      </w:pPr>
      <w:r w:rsidRPr="003022C9">
        <w:rPr>
          <w:rFonts w:cs="Times New Roman"/>
          <w:b/>
          <w:color w:val="000000" w:themeColor="text1"/>
          <w:szCs w:val="24"/>
          <w:lang w:val="en-GB"/>
        </w:rPr>
        <w:t>Key words:</w:t>
      </w:r>
      <w:r w:rsidR="001E2A65" w:rsidRPr="003022C9">
        <w:rPr>
          <w:rFonts w:cs="Times New Roman"/>
          <w:color w:val="000000" w:themeColor="text1"/>
          <w:szCs w:val="24"/>
          <w:lang w:val="en-GB"/>
        </w:rPr>
        <w:t xml:space="preserve"> </w:t>
      </w:r>
      <w:r w:rsidR="00F52F6D" w:rsidRPr="003022C9">
        <w:rPr>
          <w:rFonts w:cs="Times New Roman"/>
          <w:color w:val="000000" w:themeColor="text1"/>
          <w:szCs w:val="24"/>
          <w:lang w:val="en-GB"/>
        </w:rPr>
        <w:t>Precision management</w:t>
      </w:r>
      <w:r w:rsidR="001E2A65" w:rsidRPr="003022C9">
        <w:rPr>
          <w:rFonts w:cs="Times New Roman"/>
          <w:color w:val="000000" w:themeColor="text1"/>
          <w:szCs w:val="24"/>
          <w:lang w:val="en-GB"/>
        </w:rPr>
        <w:t xml:space="preserve">, </w:t>
      </w:r>
      <w:r w:rsidR="00F52F6D" w:rsidRPr="003022C9">
        <w:rPr>
          <w:rFonts w:cs="Times New Roman"/>
          <w:color w:val="000000" w:themeColor="text1"/>
          <w:szCs w:val="24"/>
          <w:lang w:val="en-GB"/>
        </w:rPr>
        <w:t>Sustainability, Banana</w:t>
      </w:r>
      <w:r w:rsidR="007A3E75" w:rsidRPr="003022C9">
        <w:rPr>
          <w:rFonts w:cs="Times New Roman"/>
          <w:color w:val="000000" w:themeColor="text1"/>
          <w:szCs w:val="24"/>
          <w:lang w:val="en-GB"/>
        </w:rPr>
        <w:t>, Micropropagation</w:t>
      </w:r>
    </w:p>
    <w:p w14:paraId="6E17DE25" w14:textId="77777777" w:rsidR="00F849F6" w:rsidRPr="003022C9" w:rsidRDefault="009D7A86" w:rsidP="003022C9">
      <w:pPr>
        <w:pStyle w:val="Papersection"/>
        <w:rPr>
          <w:rFonts w:cs="Times New Roman"/>
          <w:color w:val="000000" w:themeColor="text1"/>
          <w:szCs w:val="24"/>
          <w:lang w:val="en-GB"/>
        </w:rPr>
      </w:pPr>
      <w:r w:rsidRPr="003022C9">
        <w:rPr>
          <w:rFonts w:cs="Times New Roman"/>
          <w:color w:val="000000" w:themeColor="text1"/>
          <w:szCs w:val="24"/>
          <w:lang w:val="en-GB"/>
        </w:rPr>
        <w:t>Introduction</w:t>
      </w:r>
    </w:p>
    <w:p w14:paraId="24B21A31" w14:textId="0086004E" w:rsidR="0063224E" w:rsidRPr="003022C9" w:rsidRDefault="00F52F6D" w:rsidP="003022C9">
      <w:pPr>
        <w:pStyle w:val="Papermain"/>
        <w:rPr>
          <w:rFonts w:cs="Times New Roman"/>
          <w:color w:val="000000" w:themeColor="text1"/>
          <w:szCs w:val="24"/>
          <w:lang w:val="en-GB"/>
        </w:rPr>
      </w:pPr>
      <w:r w:rsidRPr="003022C9">
        <w:rPr>
          <w:rFonts w:cs="Times New Roman"/>
          <w:color w:val="000000" w:themeColor="text1"/>
          <w:szCs w:val="24"/>
          <w:lang w:val="en-GB"/>
        </w:rPr>
        <w:t xml:space="preserve">Bananas are a widely cultivated and nutritionally rich fruit, with India being one of the top producers globally. India leads global banana production, contributing 25.56% (34,528 thousand MT) to the total world production of 135,108.96 thousand MT in 2022. China (8.72%) and Indonesia (6.84%) follow, with Nigeria (5.94%) and Brazil (5.07%) also playing significant roles. Ecuador, the Philippines, and Guatemala are key exporters, while African nations like Angola and Tanzania contribute notably. (Food &amp; Agricultural Organisation, 2024). According to the National Horticulture Board (NHB, 2022-23), Andhra Pradesh, Maharashtra, and Gujarat are the leading banana-producing states in India. Andhra Pradesh leads in banana production with 6,116.94 tonnes (16.68%), followed by Maharashtra (15.34%) and Tamil Nadu (12.33%), highlighting their dominance in cultivation. Uttar Pradesh (11.01%) and Gujarat (10.89%) also contribute </w:t>
      </w:r>
      <w:r w:rsidRPr="003022C9">
        <w:rPr>
          <w:rFonts w:cs="Times New Roman"/>
          <w:color w:val="000000" w:themeColor="text1"/>
          <w:szCs w:val="24"/>
          <w:lang w:val="en-GB"/>
        </w:rPr>
        <w:lastRenderedPageBreak/>
        <w:t xml:space="preserve">significantly, while Karnataka (8.11%), Madhya Pradesh (5.62%), and Bihar (5.47%) play key roles. West Bengal (3.86%) and Assam (3.04%) have smaller shares, indicating regional variations in production. The total national banana production stands at 36,666.89 tonnes, emphasizing its significance in India's horticultural sector. In 2022-23, India cultivated bananas on 9.65 lakh hectares, producing 349.08 lakh tonnes, with Tamil Nadu accounting for 1.02 lakh hectares and 42.37 lakh tonnes of production. The state's key banana-growing districts include Erode, </w:t>
      </w:r>
      <w:proofErr w:type="spellStart"/>
      <w:r w:rsidRPr="003022C9">
        <w:rPr>
          <w:rFonts w:cs="Times New Roman"/>
          <w:color w:val="000000" w:themeColor="text1"/>
          <w:szCs w:val="24"/>
          <w:lang w:val="en-GB"/>
        </w:rPr>
        <w:t>Thoothukudi</w:t>
      </w:r>
      <w:proofErr w:type="spellEnd"/>
      <w:r w:rsidRPr="003022C9">
        <w:rPr>
          <w:rFonts w:cs="Times New Roman"/>
          <w:color w:val="000000" w:themeColor="text1"/>
          <w:szCs w:val="24"/>
          <w:lang w:val="en-GB"/>
        </w:rPr>
        <w:t xml:space="preserve">, Coimbatore, Theni, Tirunelveli, Trichy, and Kanyakumari, with Trichy serving as a central hub for banana distribution (TNAU, 2023). Nutritionally, bananas are an excellent source of energy, providing 98 kcal per 100 grams, along with 75.3 g of water, 0.74 g of protein, 23 g of carbohydrates, including 1.7 g of dietary </w:t>
      </w:r>
      <w:proofErr w:type="spellStart"/>
      <w:r w:rsidRPr="003022C9">
        <w:rPr>
          <w:rFonts w:cs="Times New Roman"/>
          <w:color w:val="000000" w:themeColor="text1"/>
          <w:szCs w:val="24"/>
          <w:lang w:val="en-GB"/>
        </w:rPr>
        <w:t>fiber</w:t>
      </w:r>
      <w:proofErr w:type="spellEnd"/>
      <w:r w:rsidRPr="003022C9">
        <w:rPr>
          <w:rFonts w:cs="Times New Roman"/>
          <w:color w:val="000000" w:themeColor="text1"/>
          <w:szCs w:val="24"/>
          <w:lang w:val="en-GB"/>
        </w:rPr>
        <w:t xml:space="preserve"> and 15.8 g of sugars. They also contain essential vitamins and minerals, including vitamin C (12.3 mg), potassium (326 mg), magnesium (28 mg), and phosphorus (22 mg), along with trace amounts of calcium, zinc, copper, and manganese. The organic acids citric (341 mg) and malic (369 mg) contribute to their distinct </w:t>
      </w:r>
      <w:proofErr w:type="spellStart"/>
      <w:r w:rsidRPr="003022C9">
        <w:rPr>
          <w:rFonts w:cs="Times New Roman"/>
          <w:color w:val="000000" w:themeColor="text1"/>
          <w:szCs w:val="24"/>
          <w:lang w:val="en-GB"/>
        </w:rPr>
        <w:t>flavor</w:t>
      </w:r>
      <w:proofErr w:type="spellEnd"/>
      <w:r w:rsidRPr="003022C9">
        <w:rPr>
          <w:rFonts w:cs="Times New Roman"/>
          <w:color w:val="000000" w:themeColor="text1"/>
          <w:szCs w:val="24"/>
          <w:lang w:val="en-GB"/>
        </w:rPr>
        <w:t xml:space="preserve"> profile (U.S. Department of Agriculture Agricultural Research Service, 2020).  Bananas yield significantly more food per hectare compared to cereals. While paddy yields a maximum of 3 tonnes per hectare, bananas can produce up to 22 tonnes per hectare. This high caloric efficiency means that only 0.03 hectares of banana cultivation is required to meet the annual caloric needs of an adult, compared to 0.44 hectares for wheat (Malhotra, 2017). On the global stage, banana exports showed modest growth in 2023, increasing by 0.3% to reach 19.3 million tonnes. Despite challenges such as adverse weather, high fertilizer costs, and the spread of Banana Fusarium Wilt Tropical Race 4 (TR4), banana exports from Asia rose by 5.9%, with India and Vietnam emerging as key contributors. India's exports grew by 38% to 500,000 tonnes, driven by strong </w:t>
      </w:r>
      <w:r w:rsidRPr="003022C9">
        <w:rPr>
          <w:rFonts w:cs="Times New Roman"/>
          <w:color w:val="000000" w:themeColor="text1"/>
          <w:szCs w:val="24"/>
          <w:lang w:val="en-GB"/>
        </w:rPr>
        <w:lastRenderedPageBreak/>
        <w:t xml:space="preserve">demand from China and the Middle East (FAO, 2024). Bananas are highly perishable, and postharvest technologies play a critical role in maintaining their quality. Advances in storage, transportation, packaging, and artificial ripening are essential to preserve their nutritional and marketable value. Emerging technologies like image processing for damage detection and strategies to reduce postharvest losses are improving the shelf life and minimizing losses in the supply chain (Mai Al-Dairi et al., 2023). Still, there is a growing demand for banana in India, due to increasing awareness about its health benefits and sustainable income to the farming community. The main focus of banana research in Tamil Nadu is to increase the productivity, at the same time reducing the cost of production per unit area, so that triple the income could be generated by the farmers.  A series of trials taken up at Tamil Nadu Agricultural University, Coimbatore and National Research </w:t>
      </w:r>
      <w:proofErr w:type="spellStart"/>
      <w:r w:rsidRPr="003022C9">
        <w:rPr>
          <w:rFonts w:cs="Times New Roman"/>
          <w:color w:val="000000" w:themeColor="text1"/>
          <w:szCs w:val="24"/>
          <w:lang w:val="en-GB"/>
        </w:rPr>
        <w:t>Center</w:t>
      </w:r>
      <w:proofErr w:type="spellEnd"/>
      <w:r w:rsidRPr="003022C9">
        <w:rPr>
          <w:rFonts w:cs="Times New Roman"/>
          <w:color w:val="000000" w:themeColor="text1"/>
          <w:szCs w:val="24"/>
          <w:lang w:val="en-GB"/>
        </w:rPr>
        <w:t xml:space="preserve"> on Banana, Trichy have established that high density planting can be successfully practiced in banana coupled with drip and fertigation system with enhancement of yield levels by 40-50 % over the conventional system.  Few researches conducted studies on the effects of banana bunch covers in different parts of the World. We have therefore attempted to compile all the scattered information on banana bunch cover to assist researchers and extension personnel working in this area</w:t>
      </w:r>
      <w:r w:rsidR="002B0456" w:rsidRPr="003022C9">
        <w:rPr>
          <w:rFonts w:cs="Times New Roman"/>
          <w:color w:val="000000" w:themeColor="text1"/>
          <w:szCs w:val="24"/>
          <w:lang w:val="en-GB"/>
        </w:rPr>
        <w:t xml:space="preserve"> (Kumar et al., 2024)</w:t>
      </w:r>
      <w:r w:rsidR="0063224E" w:rsidRPr="003022C9">
        <w:rPr>
          <w:rFonts w:cs="Times New Roman"/>
          <w:color w:val="000000" w:themeColor="text1"/>
          <w:szCs w:val="24"/>
          <w:lang w:val="en-GB"/>
        </w:rPr>
        <w:t>.</w:t>
      </w:r>
      <w:r w:rsidR="004F22F0" w:rsidRPr="003022C9">
        <w:rPr>
          <w:rFonts w:cs="Times New Roman"/>
          <w:color w:val="000000" w:themeColor="text1"/>
          <w:szCs w:val="24"/>
          <w:lang w:val="en-GB"/>
        </w:rPr>
        <w:t xml:space="preserve"> </w:t>
      </w:r>
    </w:p>
    <w:p w14:paraId="4E8F8DD0" w14:textId="1E0BEF47"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 Improved propagation techniques </w:t>
      </w:r>
    </w:p>
    <w:p w14:paraId="74403256" w14:textId="64CF9996"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Sucker propagation of bananas continues to be popular for its economical nature together with its convenient source and low requirements. The planting process for field deployment happens right away following this technique which leads to longer plant lifespan combined with reduced physical harm. Through sucker propagation the conservation of endangered native banana varieties alongside rare banana species is </w:t>
      </w:r>
      <w:r w:rsidRPr="003022C9">
        <w:rPr>
          <w:rFonts w:cs="Times New Roman"/>
          <w:color w:val="000000" w:themeColor="text1"/>
          <w:spacing w:val="1"/>
          <w:szCs w:val="24"/>
          <w:lang w:val="en-GB"/>
        </w:rPr>
        <w:lastRenderedPageBreak/>
        <w:t>possible because it secures necessary planting material for preservation. The excessive development of suckers presents challenges for both plant development and fruit yield quality that needs proper plantation management. The past outbreaks of diseases that affected Gros Michel banana monocrops demonstrate the necessity to utilize various propagation techniques alongside genetic material diversity for maintaining sustainable banana farming</w:t>
      </w:r>
      <w:r w:rsidR="00E14D9A"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The propagation material serves as a primary influence in banana farming because fungi as well as bacteria and viruses spread through plant suckers. Through the methods of mother plant stripping and decapitation and </w:t>
      </w:r>
      <w:proofErr w:type="spellStart"/>
      <w:r w:rsidRPr="003022C9">
        <w:rPr>
          <w:rFonts w:cs="Times New Roman"/>
          <w:color w:val="000000" w:themeColor="text1"/>
          <w:spacing w:val="1"/>
          <w:szCs w:val="24"/>
          <w:lang w:val="en-GB"/>
        </w:rPr>
        <w:t>minicorm</w:t>
      </w:r>
      <w:proofErr w:type="spellEnd"/>
      <w:r w:rsidRPr="003022C9">
        <w:rPr>
          <w:rFonts w:cs="Times New Roman"/>
          <w:color w:val="000000" w:themeColor="text1"/>
          <w:spacing w:val="1"/>
          <w:szCs w:val="24"/>
          <w:lang w:val="en-GB"/>
        </w:rPr>
        <w:t xml:space="preserve"> propagation producers can achieve higher sucker numbers. To induce sucker production some of the physical methods like goose necking, </w:t>
      </w:r>
      <w:proofErr w:type="spellStart"/>
      <w:r w:rsidRPr="003022C9">
        <w:rPr>
          <w:rFonts w:cs="Times New Roman"/>
          <w:color w:val="000000" w:themeColor="text1"/>
          <w:spacing w:val="1"/>
          <w:szCs w:val="24"/>
          <w:lang w:val="en-GB"/>
        </w:rPr>
        <w:t>mattacking</w:t>
      </w:r>
      <w:proofErr w:type="spellEnd"/>
      <w:r w:rsidRPr="003022C9">
        <w:rPr>
          <w:rFonts w:cs="Times New Roman"/>
          <w:color w:val="000000" w:themeColor="text1"/>
          <w:spacing w:val="1"/>
          <w:szCs w:val="24"/>
          <w:lang w:val="en-GB"/>
        </w:rPr>
        <w:t xml:space="preserve">, decapitation and false decapitation can be followed. Influences of </w:t>
      </w:r>
      <w:proofErr w:type="spellStart"/>
      <w:r w:rsidRPr="003022C9">
        <w:rPr>
          <w:rFonts w:cs="Times New Roman"/>
          <w:color w:val="000000" w:themeColor="text1"/>
          <w:spacing w:val="1"/>
          <w:szCs w:val="24"/>
          <w:lang w:val="en-GB"/>
        </w:rPr>
        <w:t>mattacking</w:t>
      </w:r>
      <w:proofErr w:type="spellEnd"/>
      <w:r w:rsidRPr="003022C9">
        <w:rPr>
          <w:rFonts w:cs="Times New Roman"/>
          <w:color w:val="000000" w:themeColor="text1"/>
          <w:spacing w:val="1"/>
          <w:szCs w:val="24"/>
          <w:lang w:val="en-GB"/>
        </w:rPr>
        <w:t xml:space="preserve"> on translocation of nutrients from mother plant to daughter suckers at various physiological stages of the mother plant and under the different systems of planting have been explored by many scientists.   Cultural methods (like Ascenso’s method, use of different organic manures, biofertilizers, fertilizers, micronutrients etc.) and hormonal methods (application of </w:t>
      </w:r>
      <w:proofErr w:type="spellStart"/>
      <w:r w:rsidRPr="003022C9">
        <w:rPr>
          <w:rFonts w:cs="Times New Roman"/>
          <w:color w:val="000000" w:themeColor="text1"/>
          <w:spacing w:val="1"/>
          <w:szCs w:val="24"/>
          <w:lang w:val="en-GB"/>
        </w:rPr>
        <w:t>ethrel</w:t>
      </w:r>
      <w:proofErr w:type="spellEnd"/>
      <w:r w:rsidRPr="003022C9">
        <w:rPr>
          <w:rFonts w:cs="Times New Roman"/>
          <w:color w:val="000000" w:themeColor="text1"/>
          <w:spacing w:val="1"/>
          <w:szCs w:val="24"/>
          <w:lang w:val="en-GB"/>
        </w:rPr>
        <w:t xml:space="preserve">, GA3, paclobutrazol, BA and IAA etc.) were found to be effective. Split corm, split bud, </w:t>
      </w:r>
      <w:proofErr w:type="spellStart"/>
      <w:r w:rsidRPr="003022C9">
        <w:rPr>
          <w:rFonts w:cs="Times New Roman"/>
          <w:color w:val="000000" w:themeColor="text1"/>
          <w:spacing w:val="1"/>
          <w:szCs w:val="24"/>
          <w:lang w:val="en-GB"/>
        </w:rPr>
        <w:t>minisetting</w:t>
      </w:r>
      <w:proofErr w:type="spellEnd"/>
      <w:r w:rsidRPr="003022C9">
        <w:rPr>
          <w:rFonts w:cs="Times New Roman"/>
          <w:color w:val="000000" w:themeColor="text1"/>
          <w:spacing w:val="1"/>
          <w:szCs w:val="24"/>
          <w:lang w:val="en-GB"/>
        </w:rPr>
        <w:t>, PIF ((</w:t>
      </w:r>
      <w:proofErr w:type="spellStart"/>
      <w:r w:rsidRPr="003022C9">
        <w:rPr>
          <w:rFonts w:cs="Times New Roman"/>
          <w:color w:val="000000" w:themeColor="text1"/>
          <w:spacing w:val="1"/>
          <w:szCs w:val="24"/>
          <w:lang w:val="en-GB"/>
        </w:rPr>
        <w:t>plantes</w:t>
      </w:r>
      <w:proofErr w:type="spellEnd"/>
      <w:r w:rsidRPr="003022C9">
        <w:rPr>
          <w:rFonts w:cs="Times New Roman"/>
          <w:color w:val="000000" w:themeColor="text1"/>
          <w:spacing w:val="1"/>
          <w:szCs w:val="24"/>
          <w:lang w:val="en-GB"/>
        </w:rPr>
        <w:t xml:space="preserve"> issues de fragments de tiges) / plants resulting from stem fragments) etc. are some of the new techniques can also be useful in salvaging underdeveloped suckers. Therefore, to address some of the challenges of seed quantity and quality tissue and cell culture methods have been developed in banana.  These techniques require highly skilled labourers and special </w:t>
      </w:r>
      <w:proofErr w:type="spellStart"/>
      <w:r w:rsidRPr="003022C9">
        <w:rPr>
          <w:rFonts w:cs="Times New Roman"/>
          <w:color w:val="000000" w:themeColor="text1"/>
          <w:spacing w:val="1"/>
          <w:szCs w:val="24"/>
          <w:lang w:val="en-GB"/>
        </w:rPr>
        <w:t>equipments</w:t>
      </w:r>
      <w:proofErr w:type="spellEnd"/>
      <w:r w:rsidRPr="003022C9">
        <w:rPr>
          <w:rFonts w:cs="Times New Roman"/>
          <w:color w:val="000000" w:themeColor="text1"/>
          <w:spacing w:val="1"/>
          <w:szCs w:val="24"/>
          <w:lang w:val="en-GB"/>
        </w:rPr>
        <w:t>, combined with high cost of production (</w:t>
      </w:r>
      <w:proofErr w:type="spellStart"/>
      <w:r w:rsidRPr="003022C9">
        <w:rPr>
          <w:rFonts w:cs="Times New Roman"/>
          <w:color w:val="000000" w:themeColor="text1"/>
          <w:spacing w:val="1"/>
          <w:szCs w:val="24"/>
          <w:lang w:val="en-GB"/>
        </w:rPr>
        <w:t>Tumuhimbise</w:t>
      </w:r>
      <w:proofErr w:type="spellEnd"/>
      <w:r w:rsidRPr="003022C9">
        <w:rPr>
          <w:rFonts w:cs="Times New Roman"/>
          <w:color w:val="000000" w:themeColor="text1"/>
          <w:spacing w:val="1"/>
          <w:szCs w:val="24"/>
          <w:lang w:val="en-GB"/>
        </w:rPr>
        <w:t xml:space="preserve"> and </w:t>
      </w:r>
      <w:proofErr w:type="spellStart"/>
      <w:r w:rsidRPr="003022C9">
        <w:rPr>
          <w:rFonts w:cs="Times New Roman"/>
          <w:color w:val="000000" w:themeColor="text1"/>
          <w:spacing w:val="1"/>
          <w:szCs w:val="24"/>
          <w:lang w:val="en-GB"/>
        </w:rPr>
        <w:t>Talengera</w:t>
      </w:r>
      <w:proofErr w:type="spellEnd"/>
      <w:r w:rsidRPr="003022C9">
        <w:rPr>
          <w:rFonts w:cs="Times New Roman"/>
          <w:color w:val="000000" w:themeColor="text1"/>
          <w:spacing w:val="1"/>
          <w:szCs w:val="24"/>
          <w:lang w:val="en-GB"/>
        </w:rPr>
        <w:t>, 2018).</w:t>
      </w:r>
    </w:p>
    <w:p w14:paraId="5DD7FBE9" w14:textId="5B45ACE7"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1.2 Tissue culture</w:t>
      </w:r>
    </w:p>
    <w:p w14:paraId="41E7FE6C" w14:textId="4FC571BE"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lastRenderedPageBreak/>
        <w:t>Tissue culture technology advances banana cultivation through its production of disease-free plants with homogeneous genetics that yield high amounts. Bananas require long times and inefficient growth from suckers which motivates industry to implement tissue culture techniques for mass production</w:t>
      </w:r>
      <w:r w:rsidR="002B0456" w:rsidRPr="003022C9">
        <w:rPr>
          <w:rFonts w:cs="Times New Roman"/>
          <w:color w:val="000000" w:themeColor="text1"/>
          <w:spacing w:val="1"/>
          <w:szCs w:val="24"/>
          <w:lang w:val="en-GB"/>
        </w:rPr>
        <w:t xml:space="preserve"> (</w:t>
      </w:r>
      <w:r w:rsidR="002B0456" w:rsidRPr="003022C9">
        <w:rPr>
          <w:rFonts w:cs="Times New Roman"/>
          <w:color w:val="000000" w:themeColor="text1"/>
          <w:szCs w:val="24"/>
          <w:lang w:val="en-GB"/>
        </w:rPr>
        <w:t>Kumar et al., 2024)</w:t>
      </w:r>
      <w:r w:rsidRPr="003022C9">
        <w:rPr>
          <w:rFonts w:cs="Times New Roman"/>
          <w:color w:val="000000" w:themeColor="text1"/>
          <w:spacing w:val="1"/>
          <w:szCs w:val="24"/>
          <w:lang w:val="en-GB"/>
        </w:rPr>
        <w:t xml:space="preserve">. Grand </w:t>
      </w:r>
      <w:proofErr w:type="spellStart"/>
      <w:r w:rsidRPr="003022C9">
        <w:rPr>
          <w:rFonts w:cs="Times New Roman"/>
          <w:color w:val="000000" w:themeColor="text1"/>
          <w:spacing w:val="1"/>
          <w:szCs w:val="24"/>
          <w:lang w:val="en-GB"/>
        </w:rPr>
        <w:t>Naine</w:t>
      </w:r>
      <w:proofErr w:type="spellEnd"/>
      <w:r w:rsidRPr="003022C9">
        <w:rPr>
          <w:rFonts w:cs="Times New Roman"/>
          <w:color w:val="000000" w:themeColor="text1"/>
          <w:spacing w:val="1"/>
          <w:szCs w:val="24"/>
          <w:lang w:val="en-GB"/>
        </w:rPr>
        <w:t xml:space="preserve"> represents the most popular tissue culture propagated banana variety together with </w:t>
      </w:r>
      <w:proofErr w:type="spellStart"/>
      <w:r w:rsidRPr="003022C9">
        <w:rPr>
          <w:rFonts w:cs="Times New Roman"/>
          <w:color w:val="000000" w:themeColor="text1"/>
          <w:spacing w:val="1"/>
          <w:szCs w:val="24"/>
          <w:lang w:val="en-GB"/>
        </w:rPr>
        <w:t>Nendran</w:t>
      </w:r>
      <w:proofErr w:type="spellEnd"/>
      <w:r w:rsidRPr="003022C9">
        <w:rPr>
          <w:rFonts w:cs="Times New Roman"/>
          <w:color w:val="000000" w:themeColor="text1"/>
          <w:spacing w:val="1"/>
          <w:szCs w:val="24"/>
          <w:lang w:val="en-GB"/>
        </w:rPr>
        <w:t xml:space="preserve"> and Red Banana which produce superior quality yields.</w:t>
      </w:r>
    </w:p>
    <w:p w14:paraId="7C185AD5" w14:textId="7D87EE8A"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propagation of banana tissue in culture relies on micropropagation methods with Murashige and Skoog (MS) media that requires specific plant growth regulator additions. Academic research has proven that different hormonal combinations show success in producing new clumps and developing roots during tissue culture. The tissue culture process yielded optimal shoot multiplication results from </w:t>
      </w:r>
      <w:proofErr w:type="spellStart"/>
      <w:r w:rsidRPr="003022C9">
        <w:rPr>
          <w:rFonts w:cs="Times New Roman"/>
          <w:color w:val="000000" w:themeColor="text1"/>
          <w:spacing w:val="1"/>
          <w:szCs w:val="24"/>
          <w:lang w:val="en-GB"/>
        </w:rPr>
        <w:t>Rajapuri</w:t>
      </w:r>
      <w:proofErr w:type="spellEnd"/>
      <w:r w:rsidRPr="003022C9">
        <w:rPr>
          <w:rFonts w:cs="Times New Roman"/>
          <w:color w:val="000000" w:themeColor="text1"/>
          <w:spacing w:val="1"/>
          <w:szCs w:val="24"/>
          <w:lang w:val="en-GB"/>
        </w:rPr>
        <w:t xml:space="preserve"> Bale explants containing 2.0 mg/L BAP and 0.25 mg/L NAA during culturing in MS media</w:t>
      </w:r>
      <w:r w:rsidR="00A16708"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The same researchers discovered 1.0 mg/L NAA as the most effective concentration for root initiation. </w:t>
      </w:r>
      <w:r w:rsidR="004A21E7" w:rsidRPr="003022C9">
        <w:rPr>
          <w:rFonts w:cs="Times New Roman"/>
          <w:color w:val="000000" w:themeColor="text1"/>
          <w:spacing w:val="1"/>
          <w:szCs w:val="24"/>
          <w:lang w:val="en-GB"/>
        </w:rPr>
        <w:t>M</w:t>
      </w:r>
      <w:r w:rsidRPr="003022C9">
        <w:rPr>
          <w:rFonts w:cs="Times New Roman"/>
          <w:color w:val="000000" w:themeColor="text1"/>
          <w:spacing w:val="1"/>
          <w:szCs w:val="24"/>
          <w:lang w:val="en-GB"/>
        </w:rPr>
        <w:t xml:space="preserve">ixture of 4 mg/L BAP and 1 mg/L IAA delivered the optimum multiplication rate. The combination of TDZ (3.5 mg/L), adenine </w:t>
      </w:r>
      <w:proofErr w:type="spellStart"/>
      <w:r w:rsidRPr="003022C9">
        <w:rPr>
          <w:rFonts w:cs="Times New Roman"/>
          <w:color w:val="000000" w:themeColor="text1"/>
          <w:spacing w:val="1"/>
          <w:szCs w:val="24"/>
          <w:lang w:val="en-GB"/>
        </w:rPr>
        <w:t>sulfate</w:t>
      </w:r>
      <w:proofErr w:type="spellEnd"/>
      <w:r w:rsidRPr="003022C9">
        <w:rPr>
          <w:rFonts w:cs="Times New Roman"/>
          <w:color w:val="000000" w:themeColor="text1"/>
          <w:spacing w:val="1"/>
          <w:szCs w:val="24"/>
          <w:lang w:val="en-GB"/>
        </w:rPr>
        <w:t xml:space="preserve"> (20 mg/L), NAA (0.5 mg/L) produced 82.99% maximum shoot emergence for the propagation of Musa acuminata (AAA) cv. Amrit Sagar according to Das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(2024). The most successful rooting results emerged from half-strength MS with 2.5 milligrams per </w:t>
      </w:r>
      <w:proofErr w:type="spellStart"/>
      <w:r w:rsidRPr="003022C9">
        <w:rPr>
          <w:rFonts w:cs="Times New Roman"/>
          <w:color w:val="000000" w:themeColor="text1"/>
          <w:spacing w:val="1"/>
          <w:szCs w:val="24"/>
          <w:lang w:val="en-GB"/>
        </w:rPr>
        <w:t>liter</w:t>
      </w:r>
      <w:proofErr w:type="spellEnd"/>
      <w:r w:rsidRPr="003022C9">
        <w:rPr>
          <w:rFonts w:cs="Times New Roman"/>
          <w:color w:val="000000" w:themeColor="text1"/>
          <w:spacing w:val="1"/>
          <w:szCs w:val="24"/>
          <w:lang w:val="en-GB"/>
        </w:rPr>
        <w:t xml:space="preserve"> IBA treatment that achieved higher than 95 percent acclimatization survival. </w:t>
      </w:r>
    </w:p>
    <w:p w14:paraId="4D61A945" w14:textId="1416ECE1"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dimension of explants strongly influences survival rates alongside proliferation since meristem dome culture limits contamination yet reduces regrowth speed whereas bigger explants promote regeneration through increased risk of contamination. </w:t>
      </w:r>
      <w:r w:rsidR="004E3263" w:rsidRPr="003022C9">
        <w:rPr>
          <w:rFonts w:cs="Times New Roman"/>
          <w:color w:val="000000" w:themeColor="text1"/>
          <w:spacing w:val="1"/>
          <w:szCs w:val="24"/>
          <w:lang w:val="en-GB"/>
        </w:rPr>
        <w:t>D</w:t>
      </w:r>
      <w:r w:rsidRPr="003022C9">
        <w:rPr>
          <w:rFonts w:cs="Times New Roman"/>
          <w:color w:val="000000" w:themeColor="text1"/>
          <w:spacing w:val="1"/>
          <w:szCs w:val="24"/>
          <w:lang w:val="en-GB"/>
        </w:rPr>
        <w:t xml:space="preserve">ividing explants into individual needs produced greater shoot production throughout successive culture cycles. The analysis of shoot excision techniques at 45º and 90º angles studied </w:t>
      </w:r>
      <w:r w:rsidRPr="003022C9">
        <w:rPr>
          <w:rFonts w:cs="Times New Roman"/>
          <w:color w:val="000000" w:themeColor="text1"/>
          <w:spacing w:val="1"/>
          <w:szCs w:val="24"/>
          <w:lang w:val="en-GB"/>
        </w:rPr>
        <w:lastRenderedPageBreak/>
        <w:t xml:space="preserve">growth enhancement potential for banana cv. Chini Champa. During shoot proliferation stage Sharma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(2024) studied how different combinations of excision angles (45º and 90º) with excision sites (tip, middle, and base) influenced regeneration outcomes. The highest multiplication rates and biomass accumulation were achieved using a 45º angle excision together with tip excision. Tissue culture banana plantlets outperform traditional propagation techniques when used for field cultivation because they achieve better yield performance. Through </w:t>
      </w:r>
      <w:proofErr w:type="spellStart"/>
      <w:r w:rsidRPr="003022C9">
        <w:rPr>
          <w:rFonts w:cs="Times New Roman"/>
          <w:color w:val="000000" w:themeColor="text1"/>
          <w:spacing w:val="1"/>
          <w:szCs w:val="24"/>
          <w:lang w:val="en-GB"/>
        </w:rPr>
        <w:t>Udhayam</w:t>
      </w:r>
      <w:proofErr w:type="spellEnd"/>
      <w:r w:rsidRPr="003022C9">
        <w:rPr>
          <w:rFonts w:cs="Times New Roman"/>
          <w:color w:val="000000" w:themeColor="text1"/>
          <w:spacing w:val="1"/>
          <w:szCs w:val="24"/>
          <w:lang w:val="en-GB"/>
        </w:rPr>
        <w:t xml:space="preserve"> (Pisang </w:t>
      </w:r>
      <w:proofErr w:type="spellStart"/>
      <w:r w:rsidRPr="003022C9">
        <w:rPr>
          <w:rFonts w:cs="Times New Roman"/>
          <w:color w:val="000000" w:themeColor="text1"/>
          <w:spacing w:val="1"/>
          <w:szCs w:val="24"/>
          <w:lang w:val="en-GB"/>
        </w:rPr>
        <w:t>Awak</w:t>
      </w:r>
      <w:proofErr w:type="spellEnd"/>
      <w:r w:rsidRPr="003022C9">
        <w:rPr>
          <w:rFonts w:cs="Times New Roman"/>
          <w:color w:val="000000" w:themeColor="text1"/>
          <w:spacing w:val="1"/>
          <w:szCs w:val="24"/>
          <w:lang w:val="en-GB"/>
        </w:rPr>
        <w:t xml:space="preserve"> – ABB) variety introduction from the National Research Centre for Banana (NRCB) to Tamil Nadu farmers boosted productivity level by 35–40% while producing uniform bunches of 45–50 kg each instead of the typical 25–30 kg bunches of </w:t>
      </w:r>
      <w:proofErr w:type="spellStart"/>
      <w:r w:rsidRPr="003022C9">
        <w:rPr>
          <w:rFonts w:cs="Times New Roman"/>
          <w:color w:val="000000" w:themeColor="text1"/>
          <w:spacing w:val="1"/>
          <w:szCs w:val="24"/>
          <w:lang w:val="en-GB"/>
        </w:rPr>
        <w:t>Karpooravalli</w:t>
      </w:r>
      <w:proofErr w:type="spellEnd"/>
      <w:r w:rsidRPr="003022C9">
        <w:rPr>
          <w:rFonts w:cs="Times New Roman"/>
          <w:color w:val="000000" w:themeColor="text1"/>
          <w:spacing w:val="1"/>
          <w:szCs w:val="24"/>
          <w:lang w:val="en-GB"/>
        </w:rPr>
        <w:t xml:space="preserve"> (Singh et al., 2011). TIB systems introduced recent advances to bioreactor systems which serve as modern methods for increasing large-scale propagation efficiency. Through the creation of a budget-friendly TIB system Uma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(2021) enhanced </w:t>
      </w:r>
      <w:proofErr w:type="spellStart"/>
      <w:r w:rsidRPr="003022C9">
        <w:rPr>
          <w:rFonts w:cs="Times New Roman"/>
          <w:color w:val="000000" w:themeColor="text1"/>
          <w:spacing w:val="1"/>
          <w:szCs w:val="24"/>
          <w:lang w:val="en-GB"/>
        </w:rPr>
        <w:t>Rasthali</w:t>
      </w:r>
      <w:proofErr w:type="spellEnd"/>
      <w:r w:rsidRPr="003022C9">
        <w:rPr>
          <w:rFonts w:cs="Times New Roman"/>
          <w:color w:val="000000" w:themeColor="text1"/>
          <w:spacing w:val="1"/>
          <w:szCs w:val="24"/>
          <w:lang w:val="en-GB"/>
        </w:rPr>
        <w:t xml:space="preserve"> banana micropropagation by multiplying shoot numbers by 2.7 times beyond semisolid culture results. Victor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(2023) established that sword suckers are the optimal material for plantain propagation through the Recipient á Immersion </w:t>
      </w:r>
      <w:proofErr w:type="spellStart"/>
      <w:r w:rsidRPr="003022C9">
        <w:rPr>
          <w:rFonts w:cs="Times New Roman"/>
          <w:color w:val="000000" w:themeColor="text1"/>
          <w:spacing w:val="1"/>
          <w:szCs w:val="24"/>
          <w:lang w:val="en-GB"/>
        </w:rPr>
        <w:t>Temproraire</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Automatique</w:t>
      </w:r>
      <w:proofErr w:type="spellEnd"/>
      <w:r w:rsidRPr="003022C9">
        <w:rPr>
          <w:rFonts w:cs="Times New Roman"/>
          <w:color w:val="000000" w:themeColor="text1"/>
          <w:spacing w:val="1"/>
          <w:szCs w:val="24"/>
          <w:lang w:val="en-GB"/>
        </w:rPr>
        <w:t xml:space="preserve"> (RITA®) system to achieve superior bud multiplication results and reduced contamination risks. </w:t>
      </w:r>
    </w:p>
    <w:p w14:paraId="36A79AB4" w14:textId="60F61DFC"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preservation of genetic stability represents a critical element in tissue culture propagation of bananas. Das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(2024) adopted RAPD and ISSR markers to validate genomic fidelity of the in vitro propagated Amrit Sagar banana. Uma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(2021) conducted research on the somatic embryogenesis of Grand </w:t>
      </w:r>
      <w:proofErr w:type="spellStart"/>
      <w:r w:rsidRPr="003022C9">
        <w:rPr>
          <w:rFonts w:cs="Times New Roman"/>
          <w:color w:val="000000" w:themeColor="text1"/>
          <w:spacing w:val="1"/>
          <w:szCs w:val="24"/>
          <w:lang w:val="en-GB"/>
        </w:rPr>
        <w:t>Naine</w:t>
      </w:r>
      <w:proofErr w:type="spellEnd"/>
      <w:r w:rsidRPr="003022C9">
        <w:rPr>
          <w:rFonts w:cs="Times New Roman"/>
          <w:color w:val="000000" w:themeColor="text1"/>
          <w:spacing w:val="1"/>
          <w:szCs w:val="24"/>
          <w:lang w:val="en-GB"/>
        </w:rPr>
        <w:t xml:space="preserve"> and </w:t>
      </w:r>
      <w:proofErr w:type="spellStart"/>
      <w:r w:rsidRPr="003022C9">
        <w:rPr>
          <w:rFonts w:cs="Times New Roman"/>
          <w:color w:val="000000" w:themeColor="text1"/>
          <w:spacing w:val="1"/>
          <w:szCs w:val="24"/>
          <w:lang w:val="en-GB"/>
        </w:rPr>
        <w:t>Rasthali</w:t>
      </w:r>
      <w:proofErr w:type="spellEnd"/>
      <w:r w:rsidRPr="003022C9">
        <w:rPr>
          <w:rFonts w:cs="Times New Roman"/>
          <w:color w:val="000000" w:themeColor="text1"/>
          <w:spacing w:val="1"/>
          <w:szCs w:val="24"/>
          <w:lang w:val="en-GB"/>
        </w:rPr>
        <w:t xml:space="preserve"> bananas which produced minimal genetic differences corresponding to 3.34% in Grand </w:t>
      </w:r>
      <w:proofErr w:type="spellStart"/>
      <w:r w:rsidRPr="003022C9">
        <w:rPr>
          <w:rFonts w:cs="Times New Roman"/>
          <w:color w:val="000000" w:themeColor="text1"/>
          <w:spacing w:val="1"/>
          <w:szCs w:val="24"/>
          <w:lang w:val="en-GB"/>
        </w:rPr>
        <w:t>Naine</w:t>
      </w:r>
      <w:proofErr w:type="spellEnd"/>
      <w:r w:rsidRPr="003022C9">
        <w:rPr>
          <w:rFonts w:cs="Times New Roman"/>
          <w:color w:val="000000" w:themeColor="text1"/>
          <w:spacing w:val="1"/>
          <w:szCs w:val="24"/>
          <w:lang w:val="en-GB"/>
        </w:rPr>
        <w:t xml:space="preserve"> and 2.09% in </w:t>
      </w:r>
      <w:proofErr w:type="spellStart"/>
      <w:r w:rsidRPr="003022C9">
        <w:rPr>
          <w:rFonts w:cs="Times New Roman"/>
          <w:color w:val="000000" w:themeColor="text1"/>
          <w:spacing w:val="1"/>
          <w:szCs w:val="24"/>
          <w:lang w:val="en-GB"/>
        </w:rPr>
        <w:t>Rasthali</w:t>
      </w:r>
      <w:proofErr w:type="spellEnd"/>
      <w:r w:rsidRPr="003022C9">
        <w:rPr>
          <w:rFonts w:cs="Times New Roman"/>
          <w:color w:val="000000" w:themeColor="text1"/>
          <w:spacing w:val="1"/>
          <w:szCs w:val="24"/>
          <w:lang w:val="en-GB"/>
        </w:rPr>
        <w:t xml:space="preserve">. Laboratory examinations have validated tissue culture as an </w:t>
      </w:r>
      <w:r w:rsidRPr="003022C9">
        <w:rPr>
          <w:rFonts w:cs="Times New Roman"/>
          <w:color w:val="000000" w:themeColor="text1"/>
          <w:spacing w:val="1"/>
          <w:szCs w:val="24"/>
          <w:lang w:val="en-GB"/>
        </w:rPr>
        <w:lastRenderedPageBreak/>
        <w:t xml:space="preserve">effective method to sustain genetic consistency. According to </w:t>
      </w:r>
      <w:proofErr w:type="spellStart"/>
      <w:r w:rsidRPr="003022C9">
        <w:rPr>
          <w:rFonts w:cs="Times New Roman"/>
          <w:color w:val="000000" w:themeColor="text1"/>
          <w:spacing w:val="1"/>
          <w:szCs w:val="24"/>
          <w:lang w:val="en-GB"/>
        </w:rPr>
        <w:t>Tumuhimbise</w:t>
      </w:r>
      <w:proofErr w:type="spellEnd"/>
      <w:r w:rsidRPr="003022C9">
        <w:rPr>
          <w:rFonts w:cs="Times New Roman"/>
          <w:color w:val="000000" w:themeColor="text1"/>
          <w:spacing w:val="1"/>
          <w:szCs w:val="24"/>
          <w:lang w:val="en-GB"/>
        </w:rPr>
        <w:t xml:space="preserve"> and </w:t>
      </w:r>
      <w:proofErr w:type="spellStart"/>
      <w:r w:rsidRPr="003022C9">
        <w:rPr>
          <w:rFonts w:cs="Times New Roman"/>
          <w:color w:val="000000" w:themeColor="text1"/>
          <w:spacing w:val="1"/>
          <w:szCs w:val="24"/>
          <w:lang w:val="en-GB"/>
        </w:rPr>
        <w:t>Talengera</w:t>
      </w:r>
      <w:proofErr w:type="spellEnd"/>
      <w:r w:rsidRPr="003022C9">
        <w:rPr>
          <w:rFonts w:cs="Times New Roman"/>
          <w:color w:val="000000" w:themeColor="text1"/>
          <w:spacing w:val="1"/>
          <w:szCs w:val="24"/>
          <w:lang w:val="en-GB"/>
        </w:rPr>
        <w:t xml:space="preserve"> (2018) we need to enhance the optimization process in order to lower costs and make tissue culture more accessible to farmers working in small-scale operations.</w:t>
      </w:r>
      <w:r w:rsidR="006A596D" w:rsidRPr="003022C9">
        <w:rPr>
          <w:rFonts w:cs="Times New Roman"/>
          <w:color w:val="000000" w:themeColor="text1"/>
          <w:spacing w:val="1"/>
          <w:szCs w:val="24"/>
          <w:lang w:val="en-GB"/>
        </w:rPr>
        <w:t xml:space="preserve"> S</w:t>
      </w:r>
      <w:r w:rsidRPr="003022C9">
        <w:rPr>
          <w:rFonts w:cs="Times New Roman"/>
          <w:color w:val="000000" w:themeColor="text1"/>
          <w:spacing w:val="1"/>
          <w:szCs w:val="24"/>
          <w:lang w:val="en-GB"/>
        </w:rPr>
        <w:t>omatic embryogenesis (SE) exhibits promise for producing large-scale clones and handling genetic transformations but scientists must build higher SE efficiency to tackle existing uniformity and regeneration rate problems.</w:t>
      </w:r>
    </w:p>
    <w:p w14:paraId="56E6AEAD" w14:textId="35A63B62"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1.3 </w:t>
      </w:r>
      <w:proofErr w:type="spellStart"/>
      <w:r w:rsidRPr="003022C9">
        <w:rPr>
          <w:rFonts w:cs="Times New Roman"/>
          <w:b/>
          <w:bCs/>
          <w:color w:val="000000" w:themeColor="text1"/>
          <w:spacing w:val="1"/>
          <w:szCs w:val="24"/>
          <w:lang w:val="en-GB"/>
        </w:rPr>
        <w:t>Macropropagation</w:t>
      </w:r>
      <w:proofErr w:type="spellEnd"/>
      <w:r w:rsidRPr="003022C9">
        <w:rPr>
          <w:rFonts w:cs="Times New Roman"/>
          <w:b/>
          <w:bCs/>
          <w:color w:val="000000" w:themeColor="text1"/>
          <w:spacing w:val="1"/>
          <w:szCs w:val="24"/>
          <w:lang w:val="en-GB"/>
        </w:rPr>
        <w:t xml:space="preserve"> of banana </w:t>
      </w:r>
    </w:p>
    <w:p w14:paraId="6AC80108" w14:textId="7D0855DF"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Banana propagation utilizes three distinct types of suckers including peepers and sword suckers together with maiden suckers. The establishment phase of peepers and sword suckers lacks abundant nutrients while maiden suckers demonstrate stronger abilities that shorten production time and increase yield production. Prolonged sucker removal for propagation damages roots that dockers yield and makes banana plants more vulnerable to pest infections from nematodes and rhizome weevils as well as from soil-bound pathogens (Saraswathi et al., 2024).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presents itself as a convenient affordable method which enables production of high-quality planting resources on a large scale. The large-scale propagation technique delivers exceptional value to commercial banana cultivars including </w:t>
      </w:r>
      <w:proofErr w:type="spellStart"/>
      <w:r w:rsidRPr="003022C9">
        <w:rPr>
          <w:rFonts w:cs="Times New Roman"/>
          <w:color w:val="000000" w:themeColor="text1"/>
          <w:spacing w:val="1"/>
          <w:szCs w:val="24"/>
          <w:lang w:val="en-GB"/>
        </w:rPr>
        <w:t>Rasthali</w:t>
      </w:r>
      <w:proofErr w:type="spellEnd"/>
      <w:r w:rsidRPr="003022C9">
        <w:rPr>
          <w:rFonts w:cs="Times New Roman"/>
          <w:color w:val="000000" w:themeColor="text1"/>
          <w:spacing w:val="1"/>
          <w:szCs w:val="24"/>
          <w:lang w:val="en-GB"/>
        </w:rPr>
        <w:t xml:space="preserve"> (Silk, AAB) and </w:t>
      </w:r>
      <w:proofErr w:type="spellStart"/>
      <w:r w:rsidRPr="003022C9">
        <w:rPr>
          <w:rFonts w:cs="Times New Roman"/>
          <w:color w:val="000000" w:themeColor="text1"/>
          <w:spacing w:val="1"/>
          <w:szCs w:val="24"/>
          <w:lang w:val="en-GB"/>
        </w:rPr>
        <w:t>Neypoovan</w:t>
      </w:r>
      <w:proofErr w:type="spellEnd"/>
      <w:r w:rsidRPr="003022C9">
        <w:rPr>
          <w:rFonts w:cs="Times New Roman"/>
          <w:color w:val="000000" w:themeColor="text1"/>
          <w:spacing w:val="1"/>
          <w:szCs w:val="24"/>
          <w:lang w:val="en-GB"/>
        </w:rPr>
        <w:t xml:space="preserve"> (AB) </w:t>
      </w:r>
      <w:r w:rsidR="002B0456" w:rsidRPr="003022C9">
        <w:rPr>
          <w:rFonts w:cs="Times New Roman"/>
          <w:color w:val="000000" w:themeColor="text1"/>
          <w:spacing w:val="1"/>
          <w:szCs w:val="24"/>
          <w:lang w:val="en-GB"/>
        </w:rPr>
        <w:t>(</w:t>
      </w:r>
      <w:r w:rsidRPr="003022C9">
        <w:rPr>
          <w:rFonts w:cs="Times New Roman"/>
          <w:color w:val="000000" w:themeColor="text1"/>
          <w:spacing w:val="1"/>
          <w:szCs w:val="24"/>
          <w:lang w:val="en-GB"/>
        </w:rPr>
        <w:t>Saraswathi et al., 2024</w:t>
      </w:r>
      <w:r w:rsidR="002B0456" w:rsidRPr="003022C9">
        <w:rPr>
          <w:rFonts w:cs="Times New Roman"/>
          <w:color w:val="000000" w:themeColor="text1"/>
          <w:spacing w:val="1"/>
          <w:szCs w:val="24"/>
          <w:lang w:val="en-GB"/>
        </w:rPr>
        <w:t>)</w:t>
      </w:r>
      <w:r w:rsidRPr="003022C9">
        <w:rPr>
          <w:rFonts w:cs="Times New Roman"/>
          <w:color w:val="000000" w:themeColor="text1"/>
          <w:spacing w:val="1"/>
          <w:szCs w:val="24"/>
          <w:lang w:val="en-GB"/>
        </w:rPr>
        <w:t xml:space="preserve">. The propagation method provides cost-effective production of healthy plants together with high rates of success. Field studies establish that </w:t>
      </w:r>
      <w:proofErr w:type="spellStart"/>
      <w:r w:rsidRPr="003022C9">
        <w:rPr>
          <w:rFonts w:cs="Times New Roman"/>
          <w:color w:val="000000" w:themeColor="text1"/>
          <w:spacing w:val="1"/>
          <w:szCs w:val="24"/>
          <w:lang w:val="en-GB"/>
        </w:rPr>
        <w:t>macropropagated</w:t>
      </w:r>
      <w:proofErr w:type="spellEnd"/>
      <w:r w:rsidRPr="003022C9">
        <w:rPr>
          <w:rFonts w:cs="Times New Roman"/>
          <w:color w:val="000000" w:themeColor="text1"/>
          <w:spacing w:val="1"/>
          <w:szCs w:val="24"/>
          <w:lang w:val="en-GB"/>
        </w:rPr>
        <w:t xml:space="preserve"> plants show identical survival rates to suckers propagated conventionally reaching 100% under field conditions (Saraswathi et al., 2024). Producing high-quality banana plants through tissue culture methods costs much money while needing specialized experts to operate it and introducing possible genetic changes</w:t>
      </w:r>
      <w:r w:rsidR="001466B8"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The farming community depends on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over tissue culture for banana </w:t>
      </w:r>
      <w:r w:rsidRPr="003022C9">
        <w:rPr>
          <w:rFonts w:cs="Times New Roman"/>
          <w:color w:val="000000" w:themeColor="text1"/>
          <w:spacing w:val="1"/>
          <w:szCs w:val="24"/>
          <w:lang w:val="en-GB"/>
        </w:rPr>
        <w:lastRenderedPageBreak/>
        <w:t>plant multiplication because it allows small farmers to access affordable yet effective propagation methods</w:t>
      </w:r>
      <w:r w:rsidR="008839A3"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The production of disease-free plants through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entails affordable investment and minimal </w:t>
      </w:r>
      <w:proofErr w:type="spellStart"/>
      <w:r w:rsidRPr="003022C9">
        <w:rPr>
          <w:rFonts w:cs="Times New Roman"/>
          <w:color w:val="000000" w:themeColor="text1"/>
          <w:spacing w:val="1"/>
          <w:szCs w:val="24"/>
          <w:lang w:val="en-GB"/>
        </w:rPr>
        <w:t>labor</w:t>
      </w:r>
      <w:proofErr w:type="spellEnd"/>
      <w:r w:rsidRPr="003022C9">
        <w:rPr>
          <w:rFonts w:cs="Times New Roman"/>
          <w:color w:val="000000" w:themeColor="text1"/>
          <w:spacing w:val="1"/>
          <w:szCs w:val="24"/>
          <w:lang w:val="en-GB"/>
        </w:rPr>
        <w:t xml:space="preserve"> requirements (</w:t>
      </w:r>
      <w:r w:rsidR="008839A3" w:rsidRPr="003022C9">
        <w:rPr>
          <w:rFonts w:cs="Times New Roman"/>
          <w:color w:val="000000" w:themeColor="text1"/>
          <w:spacing w:val="1"/>
          <w:szCs w:val="24"/>
          <w:lang w:val="en-GB"/>
        </w:rPr>
        <w:t>Kumar et al., 2024</w:t>
      </w:r>
      <w:r w:rsidRPr="003022C9">
        <w:rPr>
          <w:rFonts w:cs="Times New Roman"/>
          <w:color w:val="000000" w:themeColor="text1"/>
          <w:spacing w:val="1"/>
          <w:szCs w:val="24"/>
          <w:lang w:val="en-GB"/>
        </w:rPr>
        <w:t xml:space="preserve">). The propagation process through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uses whole suckers along with large rhizome pieces and sword suckers to generate planting materials. Farmer propagation occurs inside the field as direct in situ cultivation or they use nurseries as ex situ facilities (Singh et al., 2011). The plant propagation method requires removal of its growing tip which activates numerous side shoot development</w:t>
      </w:r>
      <w:r w:rsidR="008839A3" w:rsidRPr="003022C9">
        <w:rPr>
          <w:rFonts w:cs="Times New Roman"/>
          <w:color w:val="000000" w:themeColor="text1"/>
          <w:spacing w:val="1"/>
          <w:szCs w:val="24"/>
          <w:lang w:val="en-GB"/>
        </w:rPr>
        <w:t>.</w:t>
      </w:r>
    </w:p>
    <w:p w14:paraId="15DC761D" w14:textId="43D358BA"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process of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has received recent enhancements through scientific research. </w:t>
      </w:r>
      <w:proofErr w:type="spellStart"/>
      <w:r w:rsidRPr="003022C9">
        <w:rPr>
          <w:rFonts w:cs="Times New Roman"/>
          <w:color w:val="000000" w:themeColor="text1"/>
          <w:spacing w:val="1"/>
          <w:szCs w:val="24"/>
          <w:lang w:val="en-GB"/>
        </w:rPr>
        <w:t>Ngullie</w:t>
      </w:r>
      <w:proofErr w:type="spellEnd"/>
      <w:r w:rsidRPr="003022C9">
        <w:rPr>
          <w:rFonts w:cs="Times New Roman"/>
          <w:color w:val="000000" w:themeColor="text1"/>
          <w:spacing w:val="1"/>
          <w:szCs w:val="24"/>
          <w:lang w:val="en-GB"/>
        </w:rPr>
        <w:t xml:space="preserve"> &amp; Deb (2024) demonstrated that the best results came from either the "Plants Issued from Fragments" (PIF) or "Split corm + PIF" methods when working with the Grand Nain (G9) banana variety. The use of forest soil and sawdust-sand mix as growing media enabled satisfactory plant growth. DNA examinations demonstrated that the cultured banana plants showed genetic consistency between 97.37 and 100 % compared to the parent variety. Multiple reports establish that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shows effective results when working with different banana plant cultivars. Sawdust proved better than cocopeat for accelerating the propagation process according to the research conducted by Manju &amp; Pushpalatha (2022) across six variety types. The combination of </w:t>
      </w:r>
      <w:proofErr w:type="spellStart"/>
      <w:r w:rsidRPr="003022C9">
        <w:rPr>
          <w:rFonts w:cs="Times New Roman"/>
          <w:color w:val="000000" w:themeColor="text1"/>
          <w:spacing w:val="1"/>
          <w:szCs w:val="24"/>
          <w:lang w:val="en-GB"/>
        </w:rPr>
        <w:t>Nendran</w:t>
      </w:r>
      <w:proofErr w:type="spellEnd"/>
      <w:r w:rsidRPr="003022C9">
        <w:rPr>
          <w:rFonts w:cs="Times New Roman"/>
          <w:color w:val="000000" w:themeColor="text1"/>
          <w:spacing w:val="1"/>
          <w:szCs w:val="24"/>
          <w:lang w:val="en-GB"/>
        </w:rPr>
        <w:t xml:space="preserve"> banana cultivar with sawdust produced the fastest bud regeneration period which was 20.33 and 14.33 days followed by a short hardening time of 75.9 days when compared to Poovan banana grown in coco peat for 104.3 days. Initially sawdust proved to be a more affordable propagation material than cocopeat ($0.02 to $0.04 dollars and $0.03 to $0.06 dollars per plantlet). The bunch weights of plants produced through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exceeded those of plants from suckers but the </w:t>
      </w:r>
      <w:proofErr w:type="spellStart"/>
      <w:r w:rsidRPr="003022C9">
        <w:rPr>
          <w:rFonts w:cs="Times New Roman"/>
          <w:color w:val="000000" w:themeColor="text1"/>
          <w:spacing w:val="1"/>
          <w:szCs w:val="24"/>
          <w:lang w:val="en-GB"/>
        </w:rPr>
        <w:t>macropropagated</w:t>
      </w:r>
      <w:proofErr w:type="spellEnd"/>
      <w:r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lastRenderedPageBreak/>
        <w:t xml:space="preserve">lineages demonstrated comparable growth characteristics with no dissimilarities except in </w:t>
      </w:r>
      <w:proofErr w:type="spellStart"/>
      <w:r w:rsidRPr="003022C9">
        <w:rPr>
          <w:rFonts w:cs="Times New Roman"/>
          <w:color w:val="000000" w:themeColor="text1"/>
          <w:spacing w:val="1"/>
          <w:szCs w:val="24"/>
          <w:lang w:val="en-GB"/>
        </w:rPr>
        <w:t>Neypoovan</w:t>
      </w:r>
      <w:proofErr w:type="spellEnd"/>
      <w:r w:rsidRPr="003022C9">
        <w:rPr>
          <w:rFonts w:cs="Times New Roman"/>
          <w:color w:val="000000" w:themeColor="text1"/>
          <w:spacing w:val="1"/>
          <w:szCs w:val="24"/>
          <w:lang w:val="en-GB"/>
        </w:rPr>
        <w:t xml:space="preserve"> and </w:t>
      </w:r>
      <w:proofErr w:type="spellStart"/>
      <w:r w:rsidRPr="003022C9">
        <w:rPr>
          <w:rFonts w:cs="Times New Roman"/>
          <w:color w:val="000000" w:themeColor="text1"/>
          <w:spacing w:val="1"/>
          <w:szCs w:val="24"/>
          <w:lang w:val="en-GB"/>
        </w:rPr>
        <w:t>Poovan</w:t>
      </w:r>
      <w:proofErr w:type="spellEnd"/>
      <w:r w:rsidRPr="003022C9">
        <w:rPr>
          <w:rFonts w:cs="Times New Roman"/>
          <w:color w:val="000000" w:themeColor="text1"/>
          <w:spacing w:val="1"/>
          <w:szCs w:val="24"/>
          <w:lang w:val="en-GB"/>
        </w:rPr>
        <w:t xml:space="preserve">. </w:t>
      </w:r>
    </w:p>
    <w:p w14:paraId="45ABE0B8" w14:textId="4439FAF1"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Growth regulators prove effective at optimizing the efficiency level of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w:t>
      </w:r>
      <w:proofErr w:type="spellStart"/>
      <w:r w:rsidR="00A16708" w:rsidRPr="003022C9">
        <w:rPr>
          <w:rFonts w:cs="Times New Roman"/>
          <w:color w:val="000000" w:themeColor="text1"/>
          <w:spacing w:val="1"/>
          <w:szCs w:val="24"/>
          <w:lang w:val="en-GB"/>
        </w:rPr>
        <w:t>B</w:t>
      </w:r>
      <w:r w:rsidRPr="003022C9">
        <w:rPr>
          <w:rFonts w:cs="Times New Roman"/>
          <w:color w:val="000000" w:themeColor="text1"/>
          <w:spacing w:val="1"/>
          <w:szCs w:val="24"/>
          <w:lang w:val="en-GB"/>
        </w:rPr>
        <w:t>enzylaminopurine</w:t>
      </w:r>
      <w:proofErr w:type="spellEnd"/>
      <w:r w:rsidRPr="003022C9">
        <w:rPr>
          <w:rFonts w:cs="Times New Roman"/>
          <w:color w:val="000000" w:themeColor="text1"/>
          <w:spacing w:val="1"/>
          <w:szCs w:val="24"/>
          <w:lang w:val="en-GB"/>
        </w:rPr>
        <w:t xml:space="preserve"> (BAP) reduce</w:t>
      </w:r>
      <w:r w:rsidR="00A16708" w:rsidRPr="003022C9">
        <w:rPr>
          <w:rFonts w:cs="Times New Roman"/>
          <w:color w:val="000000" w:themeColor="text1"/>
          <w:spacing w:val="1"/>
          <w:szCs w:val="24"/>
          <w:lang w:val="en-GB"/>
        </w:rPr>
        <w:t>s</w:t>
      </w:r>
      <w:r w:rsidRPr="003022C9">
        <w:rPr>
          <w:rFonts w:cs="Times New Roman"/>
          <w:color w:val="000000" w:themeColor="text1"/>
          <w:spacing w:val="1"/>
          <w:szCs w:val="24"/>
          <w:lang w:val="en-GB"/>
        </w:rPr>
        <w:t xml:space="preserve"> growth time for plant shoots while simultaneously increasing</w:t>
      </w:r>
      <w:r w:rsidR="00A16708" w:rsidRPr="003022C9">
        <w:rPr>
          <w:rFonts w:cs="Times New Roman"/>
          <w:color w:val="000000" w:themeColor="text1"/>
          <w:spacing w:val="1"/>
          <w:szCs w:val="24"/>
          <w:lang w:val="en-GB"/>
        </w:rPr>
        <w:t xml:space="preserve"> number of</w:t>
      </w:r>
      <w:r w:rsidRPr="003022C9">
        <w:rPr>
          <w:rFonts w:cs="Times New Roman"/>
          <w:color w:val="000000" w:themeColor="text1"/>
          <w:spacing w:val="1"/>
          <w:szCs w:val="24"/>
          <w:lang w:val="en-GB"/>
        </w:rPr>
        <w:t xml:space="preserve"> plant shoot in the propagation. The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system proves to be a sustainable method which assists small farmers with producing bananas on a large scale at affordable prices. The sustainable production of high-quality planting material together with disease prevention from soil-borne diseases becomes possible through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due to its reduction of tissue culture and conventional sucker propagation methods. This approach also lowers production costs.</w:t>
      </w:r>
    </w:p>
    <w:p w14:paraId="6DD8D6CC" w14:textId="5276EEAC"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1.4 High-density planting (HDP) </w:t>
      </w:r>
    </w:p>
    <w:p w14:paraId="2B712A0C" w14:textId="177C4BEE" w:rsidR="00ED6B1F" w:rsidRPr="003022C9" w:rsidRDefault="00ED6B1F"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 xml:space="preserve">High-density planting (HDP) in banana has been widely evaluated across cultivars and </w:t>
      </w:r>
      <w:proofErr w:type="spellStart"/>
      <w:r w:rsidRPr="003022C9">
        <w:rPr>
          <w:rFonts w:cs="Times New Roman"/>
          <w:color w:val="000000" w:themeColor="text1"/>
          <w:spacing w:val="1"/>
          <w:szCs w:val="24"/>
          <w:lang w:val="en-IN"/>
        </w:rPr>
        <w:t>agro</w:t>
      </w:r>
      <w:proofErr w:type="spellEnd"/>
      <w:r w:rsidRPr="003022C9">
        <w:rPr>
          <w:rFonts w:cs="Times New Roman"/>
          <w:color w:val="000000" w:themeColor="text1"/>
          <w:spacing w:val="1"/>
          <w:szCs w:val="24"/>
          <w:lang w:val="en-IN"/>
        </w:rPr>
        <w:t xml:space="preserve">-ecological regions, consistently demonstrating its potential to enhance productivity through optimized spacing, planting geometry, and nutrient management. Early investigations on Cavendish bananas provided foundational evidence for HDP, where square planting at 1.2 × 1.2 m (6,944 plants ha⁻¹) in Robusta and Dwarf Cavendish significantly improved yield per unit area compared with wider spacings, primarily due to improved light interception and compact canopy architecture. Subsequent cultivar-specific evaluations revealed that </w:t>
      </w:r>
      <w:proofErr w:type="spellStart"/>
      <w:r w:rsidRPr="003022C9">
        <w:rPr>
          <w:rFonts w:cs="Times New Roman"/>
          <w:color w:val="000000" w:themeColor="text1"/>
          <w:spacing w:val="1"/>
          <w:szCs w:val="24"/>
          <w:lang w:val="en-IN"/>
        </w:rPr>
        <w:t>Basrai</w:t>
      </w:r>
      <w:proofErr w:type="spellEnd"/>
      <w:r w:rsidRPr="003022C9">
        <w:rPr>
          <w:rFonts w:cs="Times New Roman"/>
          <w:color w:val="000000" w:themeColor="text1"/>
          <w:spacing w:val="1"/>
          <w:szCs w:val="24"/>
          <w:lang w:val="en-IN"/>
        </w:rPr>
        <w:t xml:space="preserve"> achieved an optimum yield of 86 t ha⁻¹ at 1.5 × 1.5 m spacing, while Robusta exhibited exceptionally high productivity of 174 t ha⁻¹ under intensive HDP at 1.2 × 1.2 m, confirming the strong response of AAA cultivars to increased plant density (Behera et al., 2016).</w:t>
      </w:r>
    </w:p>
    <w:p w14:paraId="2F66D2C5" w14:textId="77777777" w:rsidR="00ED6B1F" w:rsidRPr="003022C9" w:rsidRDefault="00ED6B1F"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lastRenderedPageBreak/>
        <w:t xml:space="preserve">In AAB cultivars, modified planting systems involving multi-sucker or multi-plant pits proved advantageous. </w:t>
      </w:r>
      <w:proofErr w:type="spellStart"/>
      <w:r w:rsidRPr="003022C9">
        <w:rPr>
          <w:rFonts w:cs="Times New Roman"/>
          <w:color w:val="000000" w:themeColor="text1"/>
          <w:spacing w:val="1"/>
          <w:szCs w:val="24"/>
          <w:lang w:val="en-IN"/>
        </w:rPr>
        <w:t>Rasthali</w:t>
      </w:r>
      <w:proofErr w:type="spellEnd"/>
      <w:r w:rsidRPr="003022C9">
        <w:rPr>
          <w:rFonts w:cs="Times New Roman"/>
          <w:color w:val="000000" w:themeColor="text1"/>
          <w:spacing w:val="1"/>
          <w:szCs w:val="24"/>
          <w:lang w:val="en-IN"/>
        </w:rPr>
        <w:t xml:space="preserve"> banana planted conventionally at 2.0 × 2.0 m (2,500 plants ha⁻¹) recorded lower yields (28.21 t ha⁻¹), whereas adoption of HDP with two suckers per pit at 2.0 × 3.0 m (5,000 plants ha⁻¹) enhanced yield to 38.31 t ha⁻¹, clearly demonstrating the benefits of increased plant population (Patel et al., 2018). The same study also highlighted the superiority of paired-row planting (1.2 × 1.2 × 2.0 m) in Grand </w:t>
      </w:r>
      <w:proofErr w:type="spellStart"/>
      <w:r w:rsidRPr="003022C9">
        <w:rPr>
          <w:rFonts w:cs="Times New Roman"/>
          <w:color w:val="000000" w:themeColor="text1"/>
          <w:spacing w:val="1"/>
          <w:szCs w:val="24"/>
          <w:lang w:val="en-IN"/>
        </w:rPr>
        <w:t>Naine</w:t>
      </w:r>
      <w:proofErr w:type="spellEnd"/>
      <w:r w:rsidRPr="003022C9">
        <w:rPr>
          <w:rFonts w:cs="Times New Roman"/>
          <w:color w:val="000000" w:themeColor="text1"/>
          <w:spacing w:val="1"/>
          <w:szCs w:val="24"/>
          <w:lang w:val="en-IN"/>
        </w:rPr>
        <w:t>, which produced a high yield of 117.81 t ha⁻¹, indicating that planting geometry plays a critical role in maximizing yield without compromising bunch weight.</w:t>
      </w:r>
    </w:p>
    <w:p w14:paraId="16B0A330" w14:textId="77777777" w:rsidR="00ED6B1F" w:rsidRPr="003022C9" w:rsidRDefault="00ED6B1F"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 xml:space="preserve">Large-scale validation of HDP was provided by the ICAR multi-location trials, where planting three suckers per hill at 2.0 × 3.0 m spacing (5,000 plants ha⁻¹) resulted in yield increases ranging from 28.9% to 79.0% in Grand </w:t>
      </w:r>
      <w:proofErr w:type="spellStart"/>
      <w:r w:rsidRPr="003022C9">
        <w:rPr>
          <w:rFonts w:cs="Times New Roman"/>
          <w:color w:val="000000" w:themeColor="text1"/>
          <w:spacing w:val="1"/>
          <w:szCs w:val="24"/>
          <w:lang w:val="en-IN"/>
        </w:rPr>
        <w:t>Naine</w:t>
      </w:r>
      <w:proofErr w:type="spellEnd"/>
      <w:r w:rsidRPr="003022C9">
        <w:rPr>
          <w:rFonts w:cs="Times New Roman"/>
          <w:color w:val="000000" w:themeColor="text1"/>
          <w:spacing w:val="1"/>
          <w:szCs w:val="24"/>
          <w:lang w:val="en-IN"/>
        </w:rPr>
        <w:t xml:space="preserve"> and 33–43% in </w:t>
      </w:r>
      <w:proofErr w:type="spellStart"/>
      <w:r w:rsidRPr="003022C9">
        <w:rPr>
          <w:rFonts w:cs="Times New Roman"/>
          <w:color w:val="000000" w:themeColor="text1"/>
          <w:spacing w:val="1"/>
          <w:szCs w:val="24"/>
          <w:lang w:val="en-IN"/>
        </w:rPr>
        <w:t>Nendran</w:t>
      </w:r>
      <w:proofErr w:type="spellEnd"/>
      <w:r w:rsidRPr="003022C9">
        <w:rPr>
          <w:rFonts w:cs="Times New Roman"/>
          <w:color w:val="000000" w:themeColor="text1"/>
          <w:spacing w:val="1"/>
          <w:szCs w:val="24"/>
          <w:lang w:val="en-IN"/>
        </w:rPr>
        <w:t xml:space="preserve">, with </w:t>
      </w:r>
      <w:proofErr w:type="spellStart"/>
      <w:r w:rsidRPr="003022C9">
        <w:rPr>
          <w:rFonts w:cs="Times New Roman"/>
          <w:color w:val="000000" w:themeColor="text1"/>
          <w:spacing w:val="1"/>
          <w:szCs w:val="24"/>
          <w:lang w:val="en-IN"/>
        </w:rPr>
        <w:t>Martaman</w:t>
      </w:r>
      <w:proofErr w:type="spellEnd"/>
      <w:r w:rsidRPr="003022C9">
        <w:rPr>
          <w:rFonts w:cs="Times New Roman"/>
          <w:color w:val="000000" w:themeColor="text1"/>
          <w:spacing w:val="1"/>
          <w:szCs w:val="24"/>
          <w:lang w:val="en-IN"/>
        </w:rPr>
        <w:t xml:space="preserve"> showing the strongest response (up to 79%) under optimized nutrient regimes (Debnath et al., 2021). These findings established HDP as a robust and scalable technology across AAA and AAB cultivars. In AB types, Ney Poovan grown under HDP with three plants per pit at 2.0 × 3.0 m spacing and 150% RDF achieved the highest yield of 43.44 t ha⁻¹ (</w:t>
      </w:r>
      <w:proofErr w:type="spellStart"/>
      <w:r w:rsidRPr="003022C9">
        <w:rPr>
          <w:rFonts w:cs="Times New Roman"/>
          <w:color w:val="000000" w:themeColor="text1"/>
          <w:spacing w:val="1"/>
          <w:szCs w:val="24"/>
          <w:lang w:val="en-IN"/>
        </w:rPr>
        <w:t>Yallesh</w:t>
      </w:r>
      <w:proofErr w:type="spellEnd"/>
      <w:r w:rsidRPr="003022C9">
        <w:rPr>
          <w:rFonts w:cs="Times New Roman"/>
          <w:color w:val="000000" w:themeColor="text1"/>
          <w:spacing w:val="1"/>
          <w:szCs w:val="24"/>
          <w:lang w:val="en-IN"/>
        </w:rPr>
        <w:t xml:space="preserve"> Kumar et al., 2024), while wider spacing (1.8 × 3.6 m) combined with higher nutrient input (200% RDF) maximized vegetative growth and bunch weight (11.38 kg) (Kaviyarasu et al., 2025).</w:t>
      </w:r>
    </w:p>
    <w:p w14:paraId="65DD9408" w14:textId="77777777" w:rsidR="000C0E78" w:rsidRPr="003022C9" w:rsidRDefault="00ED6B1F"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 xml:space="preserve">Recent diversification of HDP research further demonstrated its applicability under specialized systems. In coconut-based agroforestry, Poovan banana planted at 2.1 × 2.1 m produced heavier bunches (16 kg) and improved fruit quality (Selvaraj et al., 2024), while dwarf cultivar Phule Pride performed optimally at 1.5 × 1.5 m (4,444 plants ha⁻¹), balancing yield (19.4 t ha⁻¹) and disease incidence (Pujari et al., 2024). Advances in fertigation and crop management further strengthened HDP outcomes in Grand </w:t>
      </w:r>
      <w:proofErr w:type="spellStart"/>
      <w:r w:rsidRPr="003022C9">
        <w:rPr>
          <w:rFonts w:cs="Times New Roman"/>
          <w:color w:val="000000" w:themeColor="text1"/>
          <w:spacing w:val="1"/>
          <w:szCs w:val="24"/>
          <w:lang w:val="en-IN"/>
        </w:rPr>
        <w:t>Naine</w:t>
      </w:r>
      <w:proofErr w:type="spellEnd"/>
      <w:r w:rsidRPr="003022C9">
        <w:rPr>
          <w:rFonts w:cs="Times New Roman"/>
          <w:color w:val="000000" w:themeColor="text1"/>
          <w:spacing w:val="1"/>
          <w:szCs w:val="24"/>
          <w:lang w:val="en-IN"/>
        </w:rPr>
        <w:t xml:space="preserve">, </w:t>
      </w:r>
      <w:r w:rsidRPr="003022C9">
        <w:rPr>
          <w:rFonts w:cs="Times New Roman"/>
          <w:color w:val="000000" w:themeColor="text1"/>
          <w:spacing w:val="1"/>
          <w:szCs w:val="24"/>
          <w:lang w:val="en-IN"/>
        </w:rPr>
        <w:lastRenderedPageBreak/>
        <w:t xml:space="preserve">where paired-row systems with fertigation achieved yields exceeding 100 t ha⁻¹ (Hanuman Naik et al., 2016), and drip-based nutrient management consistently improved yield and fruit quality (Amiri et al., 2022; Patley et al., 2023). </w:t>
      </w:r>
      <w:r w:rsidR="000C0E78" w:rsidRPr="003022C9">
        <w:rPr>
          <w:rFonts w:cs="Times New Roman"/>
          <w:color w:val="000000" w:themeColor="text1"/>
          <w:spacing w:val="1"/>
          <w:szCs w:val="24"/>
          <w:lang w:val="en-IN"/>
        </w:rPr>
        <w:t xml:space="preserve">Plant spacing and planting density are critical determinants of growth, canopy architecture, and productivity in banana cultivation, particularly under high-density planting (HDP) systems. In AAB cultivars such as Quintal </w:t>
      </w:r>
      <w:proofErr w:type="spellStart"/>
      <w:r w:rsidR="000C0E78" w:rsidRPr="003022C9">
        <w:rPr>
          <w:rFonts w:cs="Times New Roman"/>
          <w:color w:val="000000" w:themeColor="text1"/>
          <w:spacing w:val="1"/>
          <w:szCs w:val="24"/>
          <w:lang w:val="en-IN"/>
        </w:rPr>
        <w:t>Nendran</w:t>
      </w:r>
      <w:proofErr w:type="spellEnd"/>
      <w:r w:rsidR="000C0E78" w:rsidRPr="003022C9">
        <w:rPr>
          <w:rFonts w:cs="Times New Roman"/>
          <w:color w:val="000000" w:themeColor="text1"/>
          <w:spacing w:val="1"/>
          <w:szCs w:val="24"/>
          <w:lang w:val="en-IN"/>
        </w:rPr>
        <w:t xml:space="preserve">, closer spacing of </w:t>
      </w:r>
      <w:r w:rsidR="000C0E78" w:rsidRPr="003022C9">
        <w:rPr>
          <w:rFonts w:cs="Times New Roman"/>
          <w:bCs/>
          <w:color w:val="000000" w:themeColor="text1"/>
          <w:spacing w:val="1"/>
          <w:szCs w:val="24"/>
          <w:lang w:val="en-IN"/>
        </w:rPr>
        <w:t>1.8 × 1.8 m (3,086 plants ha⁻¹)</w:t>
      </w:r>
      <w:r w:rsidR="000C0E78" w:rsidRPr="003022C9">
        <w:rPr>
          <w:rFonts w:cs="Times New Roman"/>
          <w:color w:val="000000" w:themeColor="text1"/>
          <w:spacing w:val="1"/>
          <w:szCs w:val="24"/>
          <w:lang w:val="en-IN"/>
        </w:rPr>
        <w:t xml:space="preserve"> significantly enhanced leaf area index (LAI), light interception, and photosynthetic efficiency, whereas wider spacing </w:t>
      </w:r>
      <w:proofErr w:type="spellStart"/>
      <w:r w:rsidR="000C0E78" w:rsidRPr="003022C9">
        <w:rPr>
          <w:rFonts w:cs="Times New Roman"/>
          <w:color w:val="000000" w:themeColor="text1"/>
          <w:spacing w:val="1"/>
          <w:szCs w:val="24"/>
          <w:lang w:val="en-IN"/>
        </w:rPr>
        <w:t>favored</w:t>
      </w:r>
      <w:proofErr w:type="spellEnd"/>
      <w:r w:rsidR="000C0E78" w:rsidRPr="003022C9">
        <w:rPr>
          <w:rFonts w:cs="Times New Roman"/>
          <w:color w:val="000000" w:themeColor="text1"/>
          <w:spacing w:val="1"/>
          <w:szCs w:val="24"/>
          <w:lang w:val="en-IN"/>
        </w:rPr>
        <w:t xml:space="preserve"> individual plant growth through reduced competition (</w:t>
      </w:r>
      <w:proofErr w:type="spellStart"/>
      <w:r w:rsidR="000C0E78" w:rsidRPr="003022C9">
        <w:rPr>
          <w:rFonts w:cs="Times New Roman"/>
          <w:color w:val="000000" w:themeColor="text1"/>
          <w:spacing w:val="1"/>
          <w:szCs w:val="24"/>
          <w:lang w:val="en-IN"/>
        </w:rPr>
        <w:t>Sindhupriya</w:t>
      </w:r>
      <w:proofErr w:type="spellEnd"/>
      <w:r w:rsidR="000C0E78" w:rsidRPr="003022C9">
        <w:rPr>
          <w:rFonts w:cs="Times New Roman"/>
          <w:color w:val="000000" w:themeColor="text1"/>
          <w:spacing w:val="1"/>
          <w:szCs w:val="24"/>
          <w:lang w:val="en-IN"/>
        </w:rPr>
        <w:t xml:space="preserve"> et al., 2018a). The same authors reported that wider spacings of </w:t>
      </w:r>
      <w:r w:rsidR="000C0E78" w:rsidRPr="003022C9">
        <w:rPr>
          <w:rFonts w:cs="Times New Roman"/>
          <w:bCs/>
          <w:color w:val="000000" w:themeColor="text1"/>
          <w:spacing w:val="1"/>
          <w:szCs w:val="24"/>
          <w:lang w:val="en-IN"/>
        </w:rPr>
        <w:t>2.1 × 2.4 m (1,984 plants ha⁻¹)</w:t>
      </w:r>
      <w:r w:rsidR="000C0E78" w:rsidRPr="003022C9">
        <w:rPr>
          <w:rFonts w:cs="Times New Roman"/>
          <w:color w:val="000000" w:themeColor="text1"/>
          <w:spacing w:val="1"/>
          <w:szCs w:val="24"/>
          <w:lang w:val="en-IN"/>
        </w:rPr>
        <w:t xml:space="preserve"> resulted in faster leaf emergence (lower </w:t>
      </w:r>
      <w:proofErr w:type="spellStart"/>
      <w:r w:rsidR="000C0E78" w:rsidRPr="003022C9">
        <w:rPr>
          <w:rFonts w:cs="Times New Roman"/>
          <w:color w:val="000000" w:themeColor="text1"/>
          <w:spacing w:val="1"/>
          <w:szCs w:val="24"/>
          <w:lang w:val="en-IN"/>
        </w:rPr>
        <w:t>phyllochron</w:t>
      </w:r>
      <w:proofErr w:type="spellEnd"/>
      <w:r w:rsidR="000C0E78" w:rsidRPr="003022C9">
        <w:rPr>
          <w:rFonts w:cs="Times New Roman"/>
          <w:color w:val="000000" w:themeColor="text1"/>
          <w:spacing w:val="1"/>
          <w:szCs w:val="24"/>
          <w:lang w:val="en-IN"/>
        </w:rPr>
        <w:t xml:space="preserve">) and improved </w:t>
      </w:r>
      <w:proofErr w:type="spellStart"/>
      <w:r w:rsidR="000C0E78" w:rsidRPr="003022C9">
        <w:rPr>
          <w:rFonts w:cs="Times New Roman"/>
          <w:color w:val="000000" w:themeColor="text1"/>
          <w:spacing w:val="1"/>
          <w:szCs w:val="24"/>
          <w:lang w:val="en-IN"/>
        </w:rPr>
        <w:t>pseudostem</w:t>
      </w:r>
      <w:proofErr w:type="spellEnd"/>
      <w:r w:rsidR="000C0E78" w:rsidRPr="003022C9">
        <w:rPr>
          <w:rFonts w:cs="Times New Roman"/>
          <w:color w:val="000000" w:themeColor="text1"/>
          <w:spacing w:val="1"/>
          <w:szCs w:val="24"/>
          <w:lang w:val="en-IN"/>
        </w:rPr>
        <w:t xml:space="preserve"> girth, indicating better vegetative balance (</w:t>
      </w:r>
      <w:proofErr w:type="spellStart"/>
      <w:r w:rsidR="000C0E78" w:rsidRPr="003022C9">
        <w:rPr>
          <w:rFonts w:cs="Times New Roman"/>
          <w:color w:val="000000" w:themeColor="text1"/>
          <w:spacing w:val="1"/>
          <w:szCs w:val="24"/>
          <w:lang w:val="en-IN"/>
        </w:rPr>
        <w:t>Sindhupriya</w:t>
      </w:r>
      <w:proofErr w:type="spellEnd"/>
      <w:r w:rsidR="000C0E78" w:rsidRPr="003022C9">
        <w:rPr>
          <w:rFonts w:cs="Times New Roman"/>
          <w:color w:val="000000" w:themeColor="text1"/>
          <w:spacing w:val="1"/>
          <w:szCs w:val="24"/>
          <w:lang w:val="en-IN"/>
        </w:rPr>
        <w:t xml:space="preserve"> et al., 2018b).</w:t>
      </w:r>
    </w:p>
    <w:p w14:paraId="0084D3AC" w14:textId="77777777" w:rsidR="000C0E78" w:rsidRPr="003022C9" w:rsidRDefault="000C0E78"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High-density planting has been shown to improve yield per unit area by maximizing land use efficiency and optimizing solar radiation capture. Closer spacing increased LAI due to reduced area per plant, while wider spacing improved individual leaf size and sucker production, suggesting that spacing requirements are cultivar-specific and must be balanced with nutrient management (</w:t>
      </w:r>
      <w:proofErr w:type="spellStart"/>
      <w:r w:rsidRPr="003022C9">
        <w:rPr>
          <w:rFonts w:cs="Times New Roman"/>
          <w:color w:val="000000" w:themeColor="text1"/>
          <w:spacing w:val="1"/>
          <w:szCs w:val="24"/>
          <w:lang w:val="en-IN"/>
        </w:rPr>
        <w:t>Sindhupriya</w:t>
      </w:r>
      <w:proofErr w:type="spellEnd"/>
      <w:r w:rsidRPr="003022C9">
        <w:rPr>
          <w:rFonts w:cs="Times New Roman"/>
          <w:color w:val="000000" w:themeColor="text1"/>
          <w:spacing w:val="1"/>
          <w:szCs w:val="24"/>
          <w:lang w:val="en-IN"/>
        </w:rPr>
        <w:t xml:space="preserve"> et al., 2018a; </w:t>
      </w:r>
      <w:proofErr w:type="spellStart"/>
      <w:r w:rsidRPr="003022C9">
        <w:rPr>
          <w:rFonts w:cs="Times New Roman"/>
          <w:color w:val="000000" w:themeColor="text1"/>
          <w:spacing w:val="1"/>
          <w:szCs w:val="24"/>
          <w:lang w:val="en-IN"/>
        </w:rPr>
        <w:t>Sindhupriya</w:t>
      </w:r>
      <w:proofErr w:type="spellEnd"/>
      <w:r w:rsidRPr="003022C9">
        <w:rPr>
          <w:rFonts w:cs="Times New Roman"/>
          <w:color w:val="000000" w:themeColor="text1"/>
          <w:spacing w:val="1"/>
          <w:szCs w:val="24"/>
          <w:lang w:val="en-IN"/>
        </w:rPr>
        <w:t xml:space="preserve"> et al., 2018b).</w:t>
      </w:r>
    </w:p>
    <w:p w14:paraId="1CF905FC" w14:textId="53A0598D" w:rsidR="00DF56C3" w:rsidRPr="00DF56C3" w:rsidRDefault="00DF56C3" w:rsidP="003022C9">
      <w:pPr>
        <w:pStyle w:val="Papermain"/>
        <w:rPr>
          <w:rFonts w:cs="Times New Roman"/>
          <w:color w:val="000000" w:themeColor="text1"/>
          <w:spacing w:val="1"/>
          <w:szCs w:val="24"/>
          <w:lang w:val="en-IN"/>
        </w:rPr>
      </w:pPr>
      <w:r w:rsidRPr="00DF56C3">
        <w:rPr>
          <w:rFonts w:cs="Times New Roman"/>
          <w:color w:val="000000" w:themeColor="text1"/>
          <w:spacing w:val="1"/>
          <w:szCs w:val="24"/>
          <w:lang w:val="en-IN"/>
        </w:rPr>
        <w:t xml:space="preserve">The Banana Expert System developed by Tamil Nadu Agricultural University (TNAU) is a digital decision-support tool designed to provide farmers with comprehensive information on banana cultivation, including field operations, planting methods, spacing recommendations, nutrient management, and pest and disease management. According to TNAU recommendations, closer spacings such as 1.8 × 1.8 m for Robusta and </w:t>
      </w:r>
      <w:proofErr w:type="spellStart"/>
      <w:r w:rsidRPr="00DF56C3">
        <w:rPr>
          <w:rFonts w:cs="Times New Roman"/>
          <w:color w:val="000000" w:themeColor="text1"/>
          <w:spacing w:val="1"/>
          <w:szCs w:val="24"/>
          <w:lang w:val="en-IN"/>
        </w:rPr>
        <w:t>Nendran</w:t>
      </w:r>
      <w:proofErr w:type="spellEnd"/>
      <w:r w:rsidRPr="00DF56C3">
        <w:rPr>
          <w:rFonts w:cs="Times New Roman"/>
          <w:color w:val="000000" w:themeColor="text1"/>
          <w:spacing w:val="1"/>
          <w:szCs w:val="24"/>
          <w:lang w:val="en-IN"/>
        </w:rPr>
        <w:t xml:space="preserve"> and 1.2 × 1.2 × 2.0 m in paired-row planting systems are suggested for higher </w:t>
      </w:r>
      <w:r w:rsidRPr="00DF56C3">
        <w:rPr>
          <w:rFonts w:cs="Times New Roman"/>
          <w:color w:val="000000" w:themeColor="text1"/>
          <w:spacing w:val="1"/>
          <w:szCs w:val="24"/>
          <w:lang w:val="en-IN"/>
        </w:rPr>
        <w:lastRenderedPageBreak/>
        <w:t xml:space="preserve">productivity under intensive systems, while spacings like 2.1 × 2.1 m are recommended for other varieties such as </w:t>
      </w:r>
      <w:proofErr w:type="spellStart"/>
      <w:r w:rsidRPr="00DF56C3">
        <w:rPr>
          <w:rFonts w:cs="Times New Roman"/>
          <w:color w:val="000000" w:themeColor="text1"/>
          <w:spacing w:val="1"/>
          <w:szCs w:val="24"/>
          <w:lang w:val="en-IN"/>
        </w:rPr>
        <w:t>Rasthali</w:t>
      </w:r>
      <w:proofErr w:type="spellEnd"/>
      <w:r w:rsidRPr="00DF56C3">
        <w:rPr>
          <w:rFonts w:cs="Times New Roman"/>
          <w:color w:val="000000" w:themeColor="text1"/>
          <w:spacing w:val="1"/>
          <w:szCs w:val="24"/>
          <w:lang w:val="en-IN"/>
        </w:rPr>
        <w:t xml:space="preserve">, </w:t>
      </w:r>
      <w:proofErr w:type="spellStart"/>
      <w:r w:rsidRPr="00DF56C3">
        <w:rPr>
          <w:rFonts w:cs="Times New Roman"/>
          <w:color w:val="000000" w:themeColor="text1"/>
          <w:spacing w:val="1"/>
          <w:szCs w:val="24"/>
          <w:lang w:val="en-IN"/>
        </w:rPr>
        <w:t>Poovan</w:t>
      </w:r>
      <w:proofErr w:type="spellEnd"/>
      <w:r w:rsidRPr="00DF56C3">
        <w:rPr>
          <w:rFonts w:cs="Times New Roman"/>
          <w:color w:val="000000" w:themeColor="text1"/>
          <w:spacing w:val="1"/>
          <w:szCs w:val="24"/>
          <w:lang w:val="en-IN"/>
        </w:rPr>
        <w:t xml:space="preserve">, and </w:t>
      </w:r>
      <w:proofErr w:type="spellStart"/>
      <w:r w:rsidRPr="00DF56C3">
        <w:rPr>
          <w:rFonts w:cs="Times New Roman"/>
          <w:color w:val="000000" w:themeColor="text1"/>
          <w:spacing w:val="1"/>
          <w:szCs w:val="24"/>
          <w:lang w:val="en-IN"/>
        </w:rPr>
        <w:t>Karpooravalli</w:t>
      </w:r>
      <w:proofErr w:type="spellEnd"/>
      <w:r w:rsidRPr="00DF56C3">
        <w:rPr>
          <w:rFonts w:cs="Times New Roman"/>
          <w:color w:val="000000" w:themeColor="text1"/>
          <w:spacing w:val="1"/>
          <w:szCs w:val="24"/>
          <w:lang w:val="en-IN"/>
        </w:rPr>
        <w:t xml:space="preserve"> to balance plant population and canopy expansion (TNAU, Expert System). Expert guidance also includes high-density configurations such as three suckers per pit at 1.8 × 3.6 m (approximately 4,600–4,800 plants ha⁻¹) for Cavendish types and 2 m × 3 m (5,000 plants ha⁻¹) for </w:t>
      </w:r>
      <w:proofErr w:type="spellStart"/>
      <w:r w:rsidRPr="00DF56C3">
        <w:rPr>
          <w:rFonts w:cs="Times New Roman"/>
          <w:color w:val="000000" w:themeColor="text1"/>
          <w:spacing w:val="1"/>
          <w:szCs w:val="24"/>
          <w:lang w:val="en-IN"/>
        </w:rPr>
        <w:t>Nendran</w:t>
      </w:r>
      <w:proofErr w:type="spellEnd"/>
      <w:r w:rsidRPr="00DF56C3">
        <w:rPr>
          <w:rFonts w:cs="Times New Roman"/>
          <w:color w:val="000000" w:themeColor="text1"/>
          <w:spacing w:val="1"/>
          <w:szCs w:val="24"/>
          <w:lang w:val="en-IN"/>
        </w:rPr>
        <w:t xml:space="preserve"> under HDP to optimize growth and light interception.</w:t>
      </w:r>
      <w:r w:rsidRPr="003022C9">
        <w:rPr>
          <w:rFonts w:cs="Times New Roman"/>
          <w:color w:val="000000" w:themeColor="text1"/>
          <w:spacing w:val="1"/>
          <w:szCs w:val="24"/>
          <w:lang w:val="en-IN"/>
        </w:rPr>
        <w:t xml:space="preserve"> </w:t>
      </w:r>
      <w:r w:rsidRPr="00DF56C3">
        <w:rPr>
          <w:rFonts w:cs="Times New Roman"/>
          <w:color w:val="000000" w:themeColor="text1"/>
          <w:spacing w:val="1"/>
          <w:szCs w:val="24"/>
          <w:lang w:val="en-IN"/>
        </w:rPr>
        <w:t xml:space="preserve">In a field application context, the TNAU Banana Expert System was shown to significantly improve farmers’ knowledge of recommended practices, including optimal spacing and management techniques. A study among </w:t>
      </w:r>
      <w:proofErr w:type="spellStart"/>
      <w:r w:rsidRPr="00DF56C3">
        <w:rPr>
          <w:rFonts w:cs="Times New Roman"/>
          <w:color w:val="000000" w:themeColor="text1"/>
          <w:spacing w:val="1"/>
          <w:szCs w:val="24"/>
          <w:lang w:val="en-IN"/>
        </w:rPr>
        <w:t>Nendren</w:t>
      </w:r>
      <w:proofErr w:type="spellEnd"/>
      <w:r w:rsidRPr="00DF56C3">
        <w:rPr>
          <w:rFonts w:cs="Times New Roman"/>
          <w:color w:val="000000" w:themeColor="text1"/>
          <w:spacing w:val="1"/>
          <w:szCs w:val="24"/>
          <w:lang w:val="en-IN"/>
        </w:rPr>
        <w:t xml:space="preserve"> banana growers in Kanyakumari district reported a 53% overall increase in knowledge gain after using the expert system mobile application, with notable improvements in understanding recommended spacing, sucker selection, and integrated crop management practices (Hassan et al., 2023)</w:t>
      </w:r>
      <w:r w:rsidRPr="003022C9">
        <w:rPr>
          <w:rFonts w:cs="Times New Roman"/>
          <w:color w:val="000000" w:themeColor="text1"/>
          <w:spacing w:val="1"/>
          <w:szCs w:val="24"/>
          <w:lang w:val="en-IN"/>
        </w:rPr>
        <w:t>.</w:t>
      </w:r>
    </w:p>
    <w:p w14:paraId="11713731" w14:textId="02B91C05" w:rsidR="00ED6B1F" w:rsidRPr="003022C9" w:rsidRDefault="00ED6B1F"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Collectively, these studies confirm that HDP, when integrated with cultivar-specific spacing, multi-plant systems, and optimized nutrient and water management, offers a reliable pathway to maximize banana productivity across diverse production systems.</w:t>
      </w:r>
    </w:p>
    <w:p w14:paraId="00D01E44" w14:textId="5519B797"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1.5 Biofertilizers </w:t>
      </w:r>
    </w:p>
    <w:p w14:paraId="4B25CF46" w14:textId="287B418C"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Biofertilizers serve as an environmentally friendly substitute for chemical fertilizers during banana cultivation because they enhance crop development together with improving soil conditions while increasing disease resistance. The natural microorganisms in these fertilizers include vesicular arbuscular mycorrhiza (VAM) and </w:t>
      </w:r>
      <w:r w:rsidRPr="003022C9">
        <w:rPr>
          <w:rFonts w:cs="Times New Roman"/>
          <w:i/>
          <w:iCs/>
          <w:color w:val="000000" w:themeColor="text1"/>
          <w:spacing w:val="1"/>
          <w:szCs w:val="24"/>
          <w:lang w:val="en-GB"/>
        </w:rPr>
        <w:t>Trichoderma spp.</w:t>
      </w:r>
      <w:r w:rsidRPr="003022C9">
        <w:rPr>
          <w:rFonts w:cs="Times New Roman"/>
          <w:color w:val="000000" w:themeColor="text1"/>
          <w:spacing w:val="1"/>
          <w:szCs w:val="24"/>
          <w:lang w:val="en-GB"/>
        </w:rPr>
        <w:t xml:space="preserve"> as well as </w:t>
      </w:r>
      <w:r w:rsidRPr="003022C9">
        <w:rPr>
          <w:rFonts w:cs="Times New Roman"/>
          <w:i/>
          <w:iCs/>
          <w:color w:val="000000" w:themeColor="text1"/>
          <w:spacing w:val="1"/>
          <w:szCs w:val="24"/>
          <w:lang w:val="en-GB"/>
        </w:rPr>
        <w:t>Bacillus subtilis</w:t>
      </w:r>
      <w:r w:rsidRPr="003022C9">
        <w:rPr>
          <w:rFonts w:cs="Times New Roman"/>
          <w:color w:val="000000" w:themeColor="text1"/>
          <w:spacing w:val="1"/>
          <w:szCs w:val="24"/>
          <w:lang w:val="en-GB"/>
        </w:rPr>
        <w:t xml:space="preserve"> and </w:t>
      </w:r>
      <w:proofErr w:type="spellStart"/>
      <w:r w:rsidRPr="003022C9">
        <w:rPr>
          <w:rFonts w:cs="Times New Roman"/>
          <w:i/>
          <w:iCs/>
          <w:color w:val="000000" w:themeColor="text1"/>
          <w:spacing w:val="1"/>
          <w:szCs w:val="24"/>
          <w:lang w:val="en-GB"/>
        </w:rPr>
        <w:t>Azospirillum</w:t>
      </w:r>
      <w:proofErr w:type="spellEnd"/>
      <w:r w:rsidRPr="003022C9">
        <w:rPr>
          <w:rFonts w:cs="Times New Roman"/>
          <w:color w:val="000000" w:themeColor="text1"/>
          <w:spacing w:val="1"/>
          <w:szCs w:val="24"/>
          <w:lang w:val="en-GB"/>
        </w:rPr>
        <w:t xml:space="preserve"> that support vital processes of nutrient mobilization and root development and disease</w:t>
      </w:r>
      <w:r w:rsidR="00E83C21" w:rsidRPr="003022C9">
        <w:rPr>
          <w:rFonts w:cs="Times New Roman"/>
          <w:color w:val="000000" w:themeColor="text1"/>
          <w:spacing w:val="1"/>
          <w:szCs w:val="24"/>
          <w:lang w:val="en-GB"/>
        </w:rPr>
        <w:t xml:space="preserve"> suppression. </w:t>
      </w:r>
      <w:r w:rsidRPr="003022C9">
        <w:rPr>
          <w:rFonts w:cs="Times New Roman"/>
          <w:color w:val="000000" w:themeColor="text1"/>
          <w:spacing w:val="1"/>
          <w:szCs w:val="24"/>
          <w:lang w:val="en-GB"/>
        </w:rPr>
        <w:t xml:space="preserve">The evaluation of these microorganisms for banana </w:t>
      </w:r>
      <w:proofErr w:type="spellStart"/>
      <w:r w:rsidRPr="003022C9">
        <w:rPr>
          <w:rFonts w:cs="Times New Roman"/>
          <w:color w:val="000000" w:themeColor="text1"/>
          <w:spacing w:val="1"/>
          <w:szCs w:val="24"/>
          <w:lang w:val="en-GB"/>
        </w:rPr>
        <w:t>macropropagation</w:t>
      </w:r>
      <w:proofErr w:type="spellEnd"/>
      <w:r w:rsidRPr="003022C9">
        <w:rPr>
          <w:rFonts w:cs="Times New Roman"/>
          <w:color w:val="000000" w:themeColor="text1"/>
          <w:spacing w:val="1"/>
          <w:szCs w:val="24"/>
          <w:lang w:val="en-GB"/>
        </w:rPr>
        <w:t xml:space="preserve"> displays extensive research which shows their impact on increasing the growth of buds, plantlets and the </w:t>
      </w:r>
      <w:r w:rsidRPr="003022C9">
        <w:rPr>
          <w:rFonts w:cs="Times New Roman"/>
          <w:color w:val="000000" w:themeColor="text1"/>
          <w:spacing w:val="1"/>
          <w:szCs w:val="24"/>
          <w:lang w:val="en-GB"/>
        </w:rPr>
        <w:lastRenderedPageBreak/>
        <w:t xml:space="preserve">survival numbers. Harish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(2024) explored how VAM supplementation with </w:t>
      </w:r>
      <w:proofErr w:type="spellStart"/>
      <w:r w:rsidRPr="003022C9">
        <w:rPr>
          <w:rFonts w:cs="Times New Roman"/>
          <w:i/>
          <w:iCs/>
          <w:color w:val="000000" w:themeColor="text1"/>
          <w:spacing w:val="1"/>
          <w:szCs w:val="24"/>
          <w:lang w:val="en-GB"/>
        </w:rPr>
        <w:t>Pochonia</w:t>
      </w:r>
      <w:proofErr w:type="spellEnd"/>
      <w:r w:rsidRPr="003022C9">
        <w:rPr>
          <w:rFonts w:cs="Times New Roman"/>
          <w:i/>
          <w:iCs/>
          <w:color w:val="000000" w:themeColor="text1"/>
          <w:spacing w:val="1"/>
          <w:szCs w:val="24"/>
          <w:lang w:val="en-GB"/>
        </w:rPr>
        <w:t xml:space="preserve"> </w:t>
      </w:r>
      <w:proofErr w:type="spellStart"/>
      <w:r w:rsidRPr="003022C9">
        <w:rPr>
          <w:rFonts w:cs="Times New Roman"/>
          <w:i/>
          <w:iCs/>
          <w:color w:val="000000" w:themeColor="text1"/>
          <w:spacing w:val="1"/>
          <w:szCs w:val="24"/>
          <w:lang w:val="en-GB"/>
        </w:rPr>
        <w:t>chlamydosporia</w:t>
      </w:r>
      <w:proofErr w:type="spellEnd"/>
      <w:r w:rsidRPr="003022C9">
        <w:rPr>
          <w:rFonts w:cs="Times New Roman"/>
          <w:color w:val="000000" w:themeColor="text1"/>
          <w:spacing w:val="1"/>
          <w:szCs w:val="24"/>
          <w:lang w:val="en-GB"/>
        </w:rPr>
        <w:t xml:space="preserve"> at 30 g/corm and 60 g/corm respectively increased bud emergence rates and plantlet </w:t>
      </w:r>
      <w:proofErr w:type="spellStart"/>
      <w:r w:rsidRPr="003022C9">
        <w:rPr>
          <w:rFonts w:cs="Times New Roman"/>
          <w:color w:val="000000" w:themeColor="text1"/>
          <w:spacing w:val="1"/>
          <w:szCs w:val="24"/>
          <w:lang w:val="en-GB"/>
        </w:rPr>
        <w:t>vigor</w:t>
      </w:r>
      <w:proofErr w:type="spellEnd"/>
      <w:r w:rsidRPr="003022C9">
        <w:rPr>
          <w:rFonts w:cs="Times New Roman"/>
          <w:color w:val="000000" w:themeColor="text1"/>
          <w:spacing w:val="1"/>
          <w:szCs w:val="24"/>
          <w:lang w:val="en-GB"/>
        </w:rPr>
        <w:t xml:space="preserve"> performance in Red Banana (</w:t>
      </w:r>
      <w:r w:rsidRPr="003022C9">
        <w:rPr>
          <w:rFonts w:cs="Times New Roman"/>
          <w:i/>
          <w:iCs/>
          <w:color w:val="000000" w:themeColor="text1"/>
          <w:spacing w:val="1"/>
          <w:szCs w:val="24"/>
          <w:lang w:val="en-GB"/>
        </w:rPr>
        <w:t>Musa acuminata</w:t>
      </w:r>
      <w:r w:rsidRPr="003022C9">
        <w:rPr>
          <w:rFonts w:cs="Times New Roman"/>
          <w:color w:val="000000" w:themeColor="text1"/>
          <w:spacing w:val="1"/>
          <w:szCs w:val="24"/>
          <w:lang w:val="en-GB"/>
        </w:rPr>
        <w:t xml:space="preserve">) cultivated in cocopeat-sawdust growing substrates. Using Trichoderma-treated sawdust and banana </w:t>
      </w:r>
      <w:proofErr w:type="spellStart"/>
      <w:r w:rsidRPr="003022C9">
        <w:rPr>
          <w:rFonts w:cs="Times New Roman"/>
          <w:color w:val="000000" w:themeColor="text1"/>
          <w:spacing w:val="1"/>
          <w:szCs w:val="24"/>
          <w:lang w:val="en-GB"/>
        </w:rPr>
        <w:t>fiber</w:t>
      </w:r>
      <w:proofErr w:type="spellEnd"/>
      <w:r w:rsidRPr="003022C9">
        <w:rPr>
          <w:rFonts w:cs="Times New Roman"/>
          <w:color w:val="000000" w:themeColor="text1"/>
          <w:spacing w:val="1"/>
          <w:szCs w:val="24"/>
          <w:lang w:val="en-GB"/>
        </w:rPr>
        <w:t xml:space="preserve"> waste at a 50:50 ratio led to improved plantlet development according to Kumar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(2025) which proved this method achieves cost-effective banana plant propagation.</w:t>
      </w:r>
    </w:p>
    <w:p w14:paraId="048D8F98" w14:textId="27A810BA"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Biofertilizers enhance field productivity while simultaneously improving fruit quality together with soil resistance against pathogens when applied in agricultural fields. The combination of biofertilizers with Cement Kiln Flue Dust (50-75%) increased crop quality additionally it improved soil health and yield. When farmers applied 100% recommended dose of fertilizers (RDF) at 250 g per plant of beneficial AM fungi and 50 g per plant of three different biofertilizers: phosphate-solubilizing bacteria and </w:t>
      </w:r>
      <w:proofErr w:type="spellStart"/>
      <w:r w:rsidRPr="003022C9">
        <w:rPr>
          <w:rFonts w:cs="Times New Roman"/>
          <w:color w:val="000000" w:themeColor="text1"/>
          <w:spacing w:val="1"/>
          <w:szCs w:val="24"/>
          <w:lang w:val="en-GB"/>
        </w:rPr>
        <w:t>Azospirillum</w:t>
      </w:r>
      <w:proofErr w:type="spellEnd"/>
      <w:r w:rsidRPr="003022C9">
        <w:rPr>
          <w:rFonts w:cs="Times New Roman"/>
          <w:color w:val="000000" w:themeColor="text1"/>
          <w:spacing w:val="1"/>
          <w:szCs w:val="24"/>
          <w:lang w:val="en-GB"/>
        </w:rPr>
        <w:t xml:space="preserve"> and Trichoderma </w:t>
      </w:r>
      <w:proofErr w:type="spellStart"/>
      <w:r w:rsidRPr="003022C9">
        <w:rPr>
          <w:rFonts w:cs="Times New Roman"/>
          <w:color w:val="000000" w:themeColor="text1"/>
          <w:spacing w:val="1"/>
          <w:szCs w:val="24"/>
          <w:lang w:val="en-GB"/>
        </w:rPr>
        <w:t>harzianum</w:t>
      </w:r>
      <w:proofErr w:type="spellEnd"/>
      <w:r w:rsidRPr="003022C9">
        <w:rPr>
          <w:rFonts w:cs="Times New Roman"/>
          <w:color w:val="000000" w:themeColor="text1"/>
          <w:spacing w:val="1"/>
          <w:szCs w:val="24"/>
          <w:lang w:val="en-GB"/>
        </w:rPr>
        <w:t xml:space="preserve"> they achieved outstanding results including increased bunch weight (11.49 kg), number of fingers (81.4) with larger finger weight (140.32 g) and reduced Fusarium wilt incidence (5.53% vs. 13.86% in the control) in addition to lower soil nematode population (108.7/ The research showed how biofertilizers reduced the soil nematode numbers from 188.3/250 g to 108.7/250 g across the control plot area. Biofertilizers positively impact banana cultivation through their mechanisms which enhance nutrient release as well as promote root expansion together with biological pest control and maintain soil microorganism diversity</w:t>
      </w:r>
      <w:r w:rsidR="00E83C21" w:rsidRPr="003022C9">
        <w:rPr>
          <w:rFonts w:cs="Times New Roman"/>
          <w:color w:val="000000" w:themeColor="text1"/>
          <w:spacing w:val="1"/>
          <w:szCs w:val="24"/>
          <w:lang w:val="en-GB"/>
        </w:rPr>
        <w:t>.</w:t>
      </w:r>
    </w:p>
    <w:p w14:paraId="45CA6D05" w14:textId="5212C3C2"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1.6 Micronutrients </w:t>
      </w:r>
    </w:p>
    <w:p w14:paraId="01C53881" w14:textId="77E996BE"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Banana acts as the second most cultivated fruit crop in India leading to substantial major and minor nutrient depletion in the soil. The solution for addressing nutrient deficiencies </w:t>
      </w:r>
      <w:r w:rsidRPr="003022C9">
        <w:rPr>
          <w:rFonts w:cs="Times New Roman"/>
          <w:color w:val="000000" w:themeColor="text1"/>
          <w:spacing w:val="1"/>
          <w:szCs w:val="24"/>
          <w:lang w:val="en-GB"/>
        </w:rPr>
        <w:lastRenderedPageBreak/>
        <w:t xml:space="preserve">while improving banana productivity should involve location-specific nutrient management practices combined with proper participatory demonstrations. Under irrigated </w:t>
      </w:r>
      <w:proofErr w:type="spellStart"/>
      <w:r w:rsidRPr="003022C9">
        <w:rPr>
          <w:rFonts w:cs="Times New Roman"/>
          <w:color w:val="000000" w:themeColor="text1"/>
          <w:spacing w:val="1"/>
          <w:szCs w:val="24"/>
          <w:lang w:val="en-GB"/>
        </w:rPr>
        <w:t>vertisol</w:t>
      </w:r>
      <w:proofErr w:type="spellEnd"/>
      <w:r w:rsidRPr="003022C9">
        <w:rPr>
          <w:rFonts w:cs="Times New Roman"/>
          <w:color w:val="000000" w:themeColor="text1"/>
          <w:spacing w:val="1"/>
          <w:szCs w:val="24"/>
          <w:lang w:val="en-GB"/>
        </w:rPr>
        <w:t xml:space="preserve"> environments in Virudhunagar district the combination of superior banana set material and RDF essential nutrient applications of 160:50:390 N</w:t>
      </w:r>
      <w:proofErr w:type="gramStart"/>
      <w:r w:rsidRPr="003022C9">
        <w:rPr>
          <w:rFonts w:cs="Times New Roman"/>
          <w:color w:val="000000" w:themeColor="text1"/>
          <w:spacing w:val="1"/>
          <w:szCs w:val="24"/>
          <w:lang w:val="en-GB"/>
        </w:rPr>
        <w:t>:P:K</w:t>
      </w:r>
      <w:proofErr w:type="gramEnd"/>
      <w:r w:rsidRPr="003022C9">
        <w:rPr>
          <w:rFonts w:cs="Times New Roman"/>
          <w:color w:val="000000" w:themeColor="text1"/>
          <w:spacing w:val="1"/>
          <w:szCs w:val="24"/>
          <w:lang w:val="en-GB"/>
        </w:rPr>
        <w:t xml:space="preserve"> g/plant in three splits along with two banana special or banana </w:t>
      </w:r>
      <w:proofErr w:type="spellStart"/>
      <w:r w:rsidRPr="003022C9">
        <w:rPr>
          <w:rFonts w:cs="Times New Roman"/>
          <w:color w:val="000000" w:themeColor="text1"/>
          <w:spacing w:val="1"/>
          <w:szCs w:val="24"/>
          <w:lang w:val="en-GB"/>
        </w:rPr>
        <w:t>sakthi</w:t>
      </w:r>
      <w:proofErr w:type="spellEnd"/>
      <w:r w:rsidRPr="003022C9">
        <w:rPr>
          <w:rFonts w:cs="Times New Roman"/>
          <w:color w:val="000000" w:themeColor="text1"/>
          <w:spacing w:val="1"/>
          <w:szCs w:val="24"/>
          <w:lang w:val="en-GB"/>
        </w:rPr>
        <w:t xml:space="preserve"> foliar sprays during fruit formation should be used to boost banana yields. A 25% N fertilizer supplement is needed to increase yields and financial profit when soil nitrogen levels stay low. The effects of applying macro and micronutrients by bunch feeding were examined on tissue culture banana yield in Grand </w:t>
      </w:r>
      <w:proofErr w:type="spellStart"/>
      <w:r w:rsidRPr="003022C9">
        <w:rPr>
          <w:rFonts w:cs="Times New Roman"/>
          <w:color w:val="000000" w:themeColor="text1"/>
          <w:spacing w:val="1"/>
          <w:szCs w:val="24"/>
          <w:lang w:val="en-GB"/>
        </w:rPr>
        <w:t>Naine</w:t>
      </w:r>
      <w:proofErr w:type="spellEnd"/>
      <w:r w:rsidRPr="003022C9">
        <w:rPr>
          <w:rFonts w:cs="Times New Roman"/>
          <w:color w:val="000000" w:themeColor="text1"/>
          <w:spacing w:val="1"/>
          <w:szCs w:val="24"/>
          <w:lang w:val="en-GB"/>
        </w:rPr>
        <w:t xml:space="preserve"> (AAA) during 2017-18 at Karnataka state farmer fields.</w:t>
      </w:r>
    </w:p>
    <w:p w14:paraId="06155E9F" w14:textId="4FDA4D3E"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1.7 Bunch feeding</w:t>
      </w:r>
    </w:p>
    <w:p w14:paraId="7CDB9E40"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Millik et al., (2018) made a study to know the effect of the application of different nutrient and their combination as bunch feeding on growth and yield of banana. They applied N and K in the form of different chemicals along with FYM and made a comparison study with control. They found that the highest yield of (58.65 t /ha), highest finger length, finger girth, volume of fingers </w:t>
      </w:r>
      <w:proofErr w:type="gramStart"/>
      <w:r w:rsidRPr="003022C9">
        <w:rPr>
          <w:rFonts w:cs="Times New Roman"/>
          <w:color w:val="000000" w:themeColor="text1"/>
          <w:spacing w:val="1"/>
          <w:szCs w:val="24"/>
          <w:lang w:val="en-GB"/>
        </w:rPr>
        <w:t>were</w:t>
      </w:r>
      <w:proofErr w:type="gramEnd"/>
      <w:r w:rsidRPr="003022C9">
        <w:rPr>
          <w:rFonts w:cs="Times New Roman"/>
          <w:color w:val="000000" w:themeColor="text1"/>
          <w:spacing w:val="1"/>
          <w:szCs w:val="24"/>
          <w:lang w:val="en-GB"/>
        </w:rPr>
        <w:t xml:space="preserve"> observed when the bunch fed with T7 (500 g fresh cow dung + 7.5 g Urea + 7.5 g K2SO4). According to Rao and Swamy (2017), treating the bunches with (5g Urea + 5g SOP + 5g Banana Special + 500g Cow dung + 200mL Water) found to increase finger weight and bunch weight.</w:t>
      </w:r>
    </w:p>
    <w:p w14:paraId="1052FFB2" w14:textId="6FE7A24E"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1.8 De-</w:t>
      </w:r>
      <w:proofErr w:type="spellStart"/>
      <w:r w:rsidRPr="003022C9">
        <w:rPr>
          <w:rFonts w:cs="Times New Roman"/>
          <w:b/>
          <w:bCs/>
          <w:color w:val="000000" w:themeColor="text1"/>
          <w:spacing w:val="1"/>
          <w:szCs w:val="24"/>
          <w:lang w:val="en-GB"/>
        </w:rPr>
        <w:t>navelling</w:t>
      </w:r>
      <w:proofErr w:type="spellEnd"/>
      <w:r w:rsidRPr="003022C9">
        <w:rPr>
          <w:rFonts w:cs="Times New Roman"/>
          <w:b/>
          <w:bCs/>
          <w:color w:val="000000" w:themeColor="text1"/>
          <w:spacing w:val="1"/>
          <w:szCs w:val="24"/>
          <w:lang w:val="en-GB"/>
        </w:rPr>
        <w:t xml:space="preserve"> and stalk-end nutrient application</w:t>
      </w:r>
    </w:p>
    <w:p w14:paraId="5B27FCFF"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ab/>
      </w:r>
      <w:proofErr w:type="spellStart"/>
      <w:r w:rsidRPr="003022C9">
        <w:rPr>
          <w:rFonts w:cs="Times New Roman"/>
          <w:color w:val="000000" w:themeColor="text1"/>
          <w:spacing w:val="1"/>
          <w:szCs w:val="24"/>
          <w:lang w:val="en-GB"/>
        </w:rPr>
        <w:t>Denavelling</w:t>
      </w:r>
      <w:proofErr w:type="spellEnd"/>
      <w:r w:rsidRPr="003022C9">
        <w:rPr>
          <w:rFonts w:cs="Times New Roman"/>
          <w:color w:val="000000" w:themeColor="text1"/>
          <w:spacing w:val="1"/>
          <w:szCs w:val="24"/>
          <w:lang w:val="en-GB"/>
        </w:rPr>
        <w:t xml:space="preserve"> followed by bunch feeding found to be more effective in this concern.  The bunch characters in terms of bunch weight (16.21 kg), hand weight (1.90 kg) and finger weight (145.6 g) were observed maximum in </w:t>
      </w:r>
      <w:proofErr w:type="spellStart"/>
      <w:r w:rsidRPr="003022C9">
        <w:rPr>
          <w:rFonts w:cs="Times New Roman"/>
          <w:color w:val="000000" w:themeColor="text1"/>
          <w:spacing w:val="1"/>
          <w:szCs w:val="24"/>
          <w:lang w:val="en-GB"/>
        </w:rPr>
        <w:t>denavelled</w:t>
      </w:r>
      <w:proofErr w:type="spellEnd"/>
      <w:r w:rsidRPr="003022C9">
        <w:rPr>
          <w:rFonts w:cs="Times New Roman"/>
          <w:color w:val="000000" w:themeColor="text1"/>
          <w:spacing w:val="1"/>
          <w:szCs w:val="24"/>
          <w:lang w:val="en-GB"/>
        </w:rPr>
        <w:t xml:space="preserve"> bunch treated with 20 g urea in combination of 500g fresh </w:t>
      </w:r>
      <w:proofErr w:type="spellStart"/>
      <w:r w:rsidRPr="003022C9">
        <w:rPr>
          <w:rFonts w:cs="Times New Roman"/>
          <w:color w:val="000000" w:themeColor="text1"/>
          <w:spacing w:val="1"/>
          <w:szCs w:val="24"/>
          <w:lang w:val="en-GB"/>
        </w:rPr>
        <w:t>cowdung</w:t>
      </w:r>
      <w:proofErr w:type="spellEnd"/>
      <w:r w:rsidRPr="003022C9">
        <w:rPr>
          <w:rFonts w:cs="Times New Roman"/>
          <w:color w:val="000000" w:themeColor="text1"/>
          <w:spacing w:val="1"/>
          <w:szCs w:val="24"/>
          <w:lang w:val="en-GB"/>
        </w:rPr>
        <w:t xml:space="preserve"> when compared with control. And </w:t>
      </w:r>
      <w:r w:rsidRPr="003022C9">
        <w:rPr>
          <w:rFonts w:cs="Times New Roman"/>
          <w:color w:val="000000" w:themeColor="text1"/>
          <w:spacing w:val="1"/>
          <w:szCs w:val="24"/>
          <w:lang w:val="en-GB"/>
        </w:rPr>
        <w:lastRenderedPageBreak/>
        <w:t xml:space="preserve">also observed </w:t>
      </w:r>
      <w:proofErr w:type="gramStart"/>
      <w:r w:rsidRPr="003022C9">
        <w:rPr>
          <w:rFonts w:cs="Times New Roman"/>
          <w:color w:val="000000" w:themeColor="text1"/>
          <w:spacing w:val="1"/>
          <w:szCs w:val="24"/>
          <w:lang w:val="en-GB"/>
        </w:rPr>
        <w:t>the  maximum</w:t>
      </w:r>
      <w:proofErr w:type="gramEnd"/>
      <w:r w:rsidRPr="003022C9">
        <w:rPr>
          <w:rFonts w:cs="Times New Roman"/>
          <w:color w:val="000000" w:themeColor="text1"/>
          <w:spacing w:val="1"/>
          <w:szCs w:val="24"/>
          <w:lang w:val="en-GB"/>
        </w:rPr>
        <w:t xml:space="preserve"> yield of 40.52 t/ha. The physio-chemical characters of the bunch were also influenced markedly.    Highest T.S.S. (25.5° Brix), reducing (8.51%) and total sugar (17.8%) were increased by a treatment combination of 500g fresh </w:t>
      </w:r>
      <w:proofErr w:type="spellStart"/>
      <w:r w:rsidRPr="003022C9">
        <w:rPr>
          <w:rFonts w:cs="Times New Roman"/>
          <w:color w:val="000000" w:themeColor="text1"/>
          <w:spacing w:val="1"/>
          <w:szCs w:val="24"/>
          <w:lang w:val="en-GB"/>
        </w:rPr>
        <w:t>cowdung</w:t>
      </w:r>
      <w:proofErr w:type="spellEnd"/>
      <w:r w:rsidRPr="003022C9">
        <w:rPr>
          <w:rFonts w:cs="Times New Roman"/>
          <w:color w:val="000000" w:themeColor="text1"/>
          <w:spacing w:val="1"/>
          <w:szCs w:val="24"/>
          <w:lang w:val="en-GB"/>
        </w:rPr>
        <w:t xml:space="preserve"> and 20 g K2SO4.  Other treatment combination also showed improvements in bunch weight and quality parameters as compared to the control (Shira et al., 2012). </w:t>
      </w:r>
    </w:p>
    <w:p w14:paraId="2821985B" w14:textId="13F3478C"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Banana bunch when treated with urea, sulphate of potash and fresh </w:t>
      </w:r>
      <w:proofErr w:type="spellStart"/>
      <w:r w:rsidRPr="003022C9">
        <w:rPr>
          <w:rFonts w:cs="Times New Roman"/>
          <w:color w:val="000000" w:themeColor="text1"/>
          <w:spacing w:val="1"/>
          <w:szCs w:val="24"/>
          <w:lang w:val="en-GB"/>
        </w:rPr>
        <w:t>cowdung</w:t>
      </w:r>
      <w:proofErr w:type="spellEnd"/>
      <w:r w:rsidRPr="003022C9">
        <w:rPr>
          <w:rFonts w:cs="Times New Roman"/>
          <w:color w:val="000000" w:themeColor="text1"/>
          <w:spacing w:val="1"/>
          <w:szCs w:val="24"/>
          <w:lang w:val="en-GB"/>
        </w:rPr>
        <w:t xml:space="preserve"> in the distal end of the </w:t>
      </w:r>
      <w:proofErr w:type="spellStart"/>
      <w:r w:rsidRPr="003022C9">
        <w:rPr>
          <w:rFonts w:cs="Times New Roman"/>
          <w:color w:val="000000" w:themeColor="text1"/>
          <w:spacing w:val="1"/>
          <w:szCs w:val="24"/>
          <w:lang w:val="en-GB"/>
        </w:rPr>
        <w:t>denavelled</w:t>
      </w:r>
      <w:proofErr w:type="spellEnd"/>
      <w:r w:rsidRPr="003022C9">
        <w:rPr>
          <w:rFonts w:cs="Times New Roman"/>
          <w:color w:val="000000" w:themeColor="text1"/>
          <w:spacing w:val="1"/>
          <w:szCs w:val="24"/>
          <w:lang w:val="en-GB"/>
        </w:rPr>
        <w:t xml:space="preserve"> bunch stalk soon after the fruits set. The treatment with urea (7.5g), sulphate of potash (7.5g) blended with 500 g fresh cow dung (T1) all the yield attributing characters viz., bunch weight (25.72kg), number of hands per bunch (9.34), number of fingers per hand (13.43), hand weight (2.31kg), yield per plant and per hectare yield (64.10t). While applying this treatment, the yield response was 7.44 percent more over the control</w:t>
      </w:r>
      <w:r w:rsidR="002445B0" w:rsidRPr="003022C9">
        <w:rPr>
          <w:rFonts w:cs="Times New Roman"/>
          <w:color w:val="000000" w:themeColor="text1"/>
          <w:spacing w:val="1"/>
          <w:szCs w:val="24"/>
          <w:lang w:val="en-GB"/>
        </w:rPr>
        <w:t>.</w:t>
      </w:r>
    </w:p>
    <w:p w14:paraId="2BDEAD1B" w14:textId="6B1B7D0B"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1.9 Bioformulation of seaweed</w:t>
      </w:r>
    </w:p>
    <w:p w14:paraId="18A3BAAE" w14:textId="17B849AA"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use of seaweed extracts functions as a widely accepted method to both increase banana yields and improve their product quality. Results from ICAR-National Research Centre for Banana in Tamil Nadu revealed that LBS6S applied at 1 ml/L resulted in a 25.24% increase of bunch weight and LBS3 used at 5 ml/L caused an enhancement of 12.62%. The application of LBS6S led to higher numbers of hands combined with an increased number of fingers on every bunch according to Ravi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(2018). A study conducted in Egypt tested combinations of humic acid at 0.5% to 2.0% with seaweed extract at 0.25% to 0.75% on Williams bananas which yielded better results for fruit quality and bunch weight and leaf nutrient levels when using the highest concentrations of both substances (Gomaa &amp; Ibrahim, 2020).</w:t>
      </w:r>
    </w:p>
    <w:p w14:paraId="5C3D5ED4" w14:textId="75879FA3"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1.10 Use of plant growth regulators </w:t>
      </w:r>
    </w:p>
    <w:p w14:paraId="396BDF01" w14:textId="17C11EAE"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lastRenderedPageBreak/>
        <w:t xml:space="preserve">Studies show that bioregulators derived from seaweed possess capability to enhance both fruit productivity along with better quality outcomes. </w:t>
      </w:r>
      <w:proofErr w:type="spellStart"/>
      <w:r w:rsidRPr="003022C9">
        <w:rPr>
          <w:rFonts w:cs="Times New Roman"/>
          <w:color w:val="000000" w:themeColor="text1"/>
          <w:spacing w:val="1"/>
          <w:szCs w:val="24"/>
          <w:lang w:val="en-GB"/>
        </w:rPr>
        <w:t>Benzoladenine</w:t>
      </w:r>
      <w:proofErr w:type="spellEnd"/>
      <w:r w:rsidRPr="003022C9">
        <w:rPr>
          <w:rFonts w:cs="Times New Roman"/>
          <w:color w:val="000000" w:themeColor="text1"/>
          <w:spacing w:val="1"/>
          <w:szCs w:val="24"/>
          <w:lang w:val="en-GB"/>
        </w:rPr>
        <w:t xml:space="preserve"> (BA) at 20 ppm treatment resulted in highest yield production</w:t>
      </w:r>
      <w:r w:rsidR="00F71744"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GA3 (80 ppm) led to improved finger weight and increased sugar </w:t>
      </w:r>
      <w:proofErr w:type="spellStart"/>
      <w:r w:rsidRPr="003022C9">
        <w:rPr>
          <w:rFonts w:cs="Times New Roman"/>
          <w:color w:val="000000" w:themeColor="text1"/>
          <w:spacing w:val="1"/>
          <w:szCs w:val="24"/>
          <w:lang w:val="en-GB"/>
        </w:rPr>
        <w:t>conten</w:t>
      </w:r>
      <w:proofErr w:type="spellEnd"/>
      <w:r w:rsidRPr="003022C9">
        <w:rPr>
          <w:rFonts w:cs="Times New Roman"/>
          <w:color w:val="000000" w:themeColor="text1"/>
          <w:spacing w:val="1"/>
          <w:szCs w:val="24"/>
          <w:lang w:val="en-GB"/>
        </w:rPr>
        <w:t xml:space="preserve">. Application of GA3 and </w:t>
      </w:r>
      <w:proofErr w:type="spellStart"/>
      <w:r w:rsidRPr="003022C9">
        <w:rPr>
          <w:rFonts w:cs="Times New Roman"/>
          <w:color w:val="000000" w:themeColor="text1"/>
          <w:spacing w:val="1"/>
          <w:szCs w:val="24"/>
          <w:lang w:val="en-GB"/>
        </w:rPr>
        <w:t>forchlorfenuron</w:t>
      </w:r>
      <w:proofErr w:type="spellEnd"/>
      <w:r w:rsidRPr="003022C9">
        <w:rPr>
          <w:rFonts w:cs="Times New Roman"/>
          <w:color w:val="000000" w:themeColor="text1"/>
          <w:spacing w:val="1"/>
          <w:szCs w:val="24"/>
          <w:lang w:val="en-GB"/>
        </w:rPr>
        <w:t xml:space="preserve"> (CPPU) reduced fruit softening and minimized fungal infections after delaying the </w:t>
      </w:r>
      <w:proofErr w:type="spellStart"/>
      <w:r w:rsidRPr="003022C9">
        <w:rPr>
          <w:rFonts w:cs="Times New Roman"/>
          <w:color w:val="000000" w:themeColor="text1"/>
          <w:spacing w:val="1"/>
          <w:szCs w:val="24"/>
          <w:lang w:val="en-GB"/>
        </w:rPr>
        <w:t>color</w:t>
      </w:r>
      <w:proofErr w:type="spellEnd"/>
      <w:r w:rsidRPr="003022C9">
        <w:rPr>
          <w:rFonts w:cs="Times New Roman"/>
          <w:color w:val="000000" w:themeColor="text1"/>
          <w:spacing w:val="1"/>
          <w:szCs w:val="24"/>
          <w:lang w:val="en-GB"/>
        </w:rPr>
        <w:t xml:space="preserve"> development process (Huang &amp; Jiang, 2012). Recent research on in vitro propagation technology has confirmed plant growth regulators play a crucial role in commercial banana cultivation operations. Substances IAA at 0.5 mg/L combined with IBA at 1.5 mg/L helped root development while BAP at 5 mg/L together with IAA at 1 mg/L promoted multiple shoot growth (Singh et al., 2024). </w:t>
      </w:r>
      <w:r w:rsidR="00B871D9" w:rsidRPr="003022C9">
        <w:rPr>
          <w:rFonts w:cs="Times New Roman"/>
          <w:color w:val="000000" w:themeColor="text1"/>
          <w:spacing w:val="1"/>
          <w:szCs w:val="24"/>
          <w:lang w:val="en-GB"/>
        </w:rPr>
        <w:t>C</w:t>
      </w:r>
      <w:r w:rsidRPr="003022C9">
        <w:rPr>
          <w:rFonts w:cs="Times New Roman"/>
          <w:color w:val="000000" w:themeColor="text1"/>
          <w:spacing w:val="1"/>
          <w:szCs w:val="24"/>
          <w:lang w:val="en-GB"/>
        </w:rPr>
        <w:t>hitosan supplementation at a concentration of 25 mg/L enhanced both shoot regeneration and survival rates to 93% for sucker and 91% for rhizome structures making it a valuable growth stimulant (</w:t>
      </w:r>
      <w:proofErr w:type="spellStart"/>
      <w:r w:rsidRPr="003022C9">
        <w:rPr>
          <w:rFonts w:cs="Times New Roman"/>
          <w:color w:val="000000" w:themeColor="text1"/>
          <w:spacing w:val="1"/>
          <w:szCs w:val="24"/>
          <w:lang w:val="en-GB"/>
        </w:rPr>
        <w:t>Kandha</w:t>
      </w:r>
      <w:proofErr w:type="spellEnd"/>
      <w:r w:rsidRPr="003022C9">
        <w:rPr>
          <w:rFonts w:cs="Times New Roman"/>
          <w:color w:val="000000" w:themeColor="text1"/>
          <w:spacing w:val="1"/>
          <w:szCs w:val="24"/>
          <w:lang w:val="en-GB"/>
        </w:rPr>
        <w:t xml:space="preserve"> et al., 2021). Both shoot proliferation and root development received optimization through a solution containing BAP (5 mg/L) with IAA (0.5 mg/L) and chitosan (25 mg/L). IBA was used for root development. </w:t>
      </w:r>
    </w:p>
    <w:p w14:paraId="7A570A18" w14:textId="21193F47"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1.11 Use of bunch covers </w:t>
      </w:r>
    </w:p>
    <w:p w14:paraId="782B27A9" w14:textId="6645FF6A"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Banana bunch covers improve produce quality while providing better yields with earlier harvest dates. The study conducted by </w:t>
      </w:r>
      <w:proofErr w:type="spellStart"/>
      <w:r w:rsidRPr="003022C9">
        <w:rPr>
          <w:rFonts w:cs="Times New Roman"/>
          <w:color w:val="000000" w:themeColor="text1"/>
          <w:spacing w:val="1"/>
          <w:szCs w:val="24"/>
          <w:lang w:val="en-GB"/>
        </w:rPr>
        <w:t>Auxcilia</w:t>
      </w:r>
      <w:proofErr w:type="spellEnd"/>
      <w:r w:rsidRPr="003022C9">
        <w:rPr>
          <w:rFonts w:cs="Times New Roman"/>
          <w:color w:val="000000" w:themeColor="text1"/>
          <w:spacing w:val="1"/>
          <w:szCs w:val="24"/>
          <w:lang w:val="en-GB"/>
        </w:rPr>
        <w:t xml:space="preserve"> </w:t>
      </w:r>
      <w:r w:rsidR="005C59D2" w:rsidRPr="003022C9">
        <w:rPr>
          <w:rFonts w:cs="Times New Roman"/>
          <w:i/>
          <w:color w:val="000000" w:themeColor="text1"/>
          <w:spacing w:val="1"/>
          <w:szCs w:val="24"/>
          <w:lang w:val="en-GB"/>
        </w:rPr>
        <w:t xml:space="preserve">et al. </w:t>
      </w:r>
      <w:proofErr w:type="spellStart"/>
      <w:r w:rsidRPr="003022C9">
        <w:rPr>
          <w:rFonts w:cs="Times New Roman"/>
          <w:color w:val="000000" w:themeColor="text1"/>
          <w:spacing w:val="1"/>
          <w:szCs w:val="24"/>
          <w:lang w:val="en-GB"/>
        </w:rPr>
        <w:t>Rashthali</w:t>
      </w:r>
      <w:proofErr w:type="spellEnd"/>
      <w:r w:rsidRPr="003022C9">
        <w:rPr>
          <w:rFonts w:cs="Times New Roman"/>
          <w:color w:val="000000" w:themeColor="text1"/>
          <w:spacing w:val="1"/>
          <w:szCs w:val="24"/>
          <w:lang w:val="en-GB"/>
        </w:rPr>
        <w:t xml:space="preserve"> (AAB) of banana (2006) report that the application of white polythene bunch covers with 2% ventilation holes at TNAU, </w:t>
      </w:r>
      <w:proofErr w:type="spellStart"/>
      <w:r w:rsidRPr="003022C9">
        <w:rPr>
          <w:rFonts w:cs="Times New Roman"/>
          <w:color w:val="000000" w:themeColor="text1"/>
          <w:spacing w:val="1"/>
          <w:szCs w:val="24"/>
          <w:lang w:val="en-GB"/>
        </w:rPr>
        <w:t>rashtali</w:t>
      </w:r>
      <w:proofErr w:type="spellEnd"/>
      <w:r w:rsidRPr="003022C9">
        <w:rPr>
          <w:rFonts w:cs="Times New Roman"/>
          <w:color w:val="000000" w:themeColor="text1"/>
          <w:spacing w:val="1"/>
          <w:szCs w:val="24"/>
          <w:lang w:val="en-GB"/>
        </w:rPr>
        <w:t xml:space="preserve"> fruits showed a reduced development </w:t>
      </w:r>
      <w:proofErr w:type="gramStart"/>
      <w:r w:rsidRPr="003022C9">
        <w:rPr>
          <w:rFonts w:cs="Times New Roman"/>
          <w:color w:val="000000" w:themeColor="text1"/>
          <w:spacing w:val="1"/>
          <w:szCs w:val="24"/>
          <w:lang w:val="en-GB"/>
        </w:rPr>
        <w:t>times</w:t>
      </w:r>
      <w:proofErr w:type="gramEnd"/>
      <w:r w:rsidRPr="003022C9">
        <w:rPr>
          <w:rFonts w:cs="Times New Roman"/>
          <w:color w:val="000000" w:themeColor="text1"/>
          <w:spacing w:val="1"/>
          <w:szCs w:val="24"/>
          <w:lang w:val="en-GB"/>
        </w:rPr>
        <w:t>. The white polythene</w:t>
      </w:r>
      <w:r w:rsidR="003F2C03"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a material of high plasticity and durability, a polymeric compound) protecting of bunches produced fruits that reached a mid-circumference of 12 cm in 72.5 days against the control, which was 90 days while the fruits that were blemished are only 6.23% against the control 24.24% (p&lt; 0.01). Other than to help improve the appearance </w:t>
      </w:r>
      <w:r w:rsidRPr="003022C9">
        <w:rPr>
          <w:rFonts w:cs="Times New Roman"/>
          <w:color w:val="000000" w:themeColor="text1"/>
          <w:spacing w:val="1"/>
          <w:szCs w:val="24"/>
          <w:lang w:val="en-GB"/>
        </w:rPr>
        <w:lastRenderedPageBreak/>
        <w:t xml:space="preserve">quality and fasten ripening progress of the fruit white polythene bunch covers with ventilation holes use is also at high rate. Different </w:t>
      </w:r>
      <w:proofErr w:type="spellStart"/>
      <w:r w:rsidRPr="003022C9">
        <w:rPr>
          <w:rFonts w:cs="Times New Roman"/>
          <w:color w:val="000000" w:themeColor="text1"/>
          <w:spacing w:val="1"/>
          <w:szCs w:val="24"/>
          <w:lang w:val="en-GB"/>
        </w:rPr>
        <w:t>color</w:t>
      </w:r>
      <w:proofErr w:type="spellEnd"/>
      <w:r w:rsidRPr="003022C9">
        <w:rPr>
          <w:rFonts w:cs="Times New Roman"/>
          <w:color w:val="000000" w:themeColor="text1"/>
          <w:spacing w:val="1"/>
          <w:szCs w:val="24"/>
          <w:lang w:val="en-GB"/>
        </w:rPr>
        <w:t xml:space="preserve"> and perforation techniques on Grand </w:t>
      </w:r>
      <w:proofErr w:type="spellStart"/>
      <w:r w:rsidRPr="003022C9">
        <w:rPr>
          <w:rFonts w:cs="Times New Roman"/>
          <w:color w:val="000000" w:themeColor="text1"/>
          <w:spacing w:val="1"/>
          <w:szCs w:val="24"/>
          <w:lang w:val="en-GB"/>
        </w:rPr>
        <w:t>Naine</w:t>
      </w:r>
      <w:proofErr w:type="spellEnd"/>
      <w:r w:rsidRPr="003022C9">
        <w:rPr>
          <w:rFonts w:cs="Times New Roman"/>
          <w:color w:val="000000" w:themeColor="text1"/>
          <w:spacing w:val="1"/>
          <w:szCs w:val="24"/>
          <w:lang w:val="en-GB"/>
        </w:rPr>
        <w:t xml:space="preserve"> and Williams bunches when using bunch covers, perforated covers </w:t>
      </w:r>
      <w:r w:rsidR="003F2C03" w:rsidRPr="003022C9">
        <w:rPr>
          <w:rFonts w:cs="Times New Roman"/>
          <w:color w:val="000000" w:themeColor="text1"/>
          <w:spacing w:val="1"/>
          <w:szCs w:val="24"/>
          <w:lang w:val="en-GB"/>
        </w:rPr>
        <w:t xml:space="preserve">gives </w:t>
      </w:r>
      <w:r w:rsidRPr="003022C9">
        <w:rPr>
          <w:rFonts w:cs="Times New Roman"/>
          <w:color w:val="000000" w:themeColor="text1"/>
          <w:spacing w:val="1"/>
          <w:szCs w:val="24"/>
          <w:lang w:val="en-GB"/>
        </w:rPr>
        <w:t>effectiveness in controlling humidity levels to protect against fungal infections within the bunch.</w:t>
      </w:r>
    </w:p>
    <w:p w14:paraId="2A9D82CB" w14:textId="3AD49436"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More studies were carried out in Jorhat on banana cv. In high-density planting of </w:t>
      </w:r>
      <w:proofErr w:type="spellStart"/>
      <w:r w:rsidRPr="003022C9">
        <w:rPr>
          <w:rFonts w:cs="Times New Roman"/>
          <w:color w:val="000000" w:themeColor="text1"/>
          <w:spacing w:val="1"/>
          <w:szCs w:val="24"/>
          <w:lang w:val="en-GB"/>
        </w:rPr>
        <w:t>Jahaji</w:t>
      </w:r>
      <w:proofErr w:type="spellEnd"/>
      <w:r w:rsidRPr="003022C9">
        <w:rPr>
          <w:rFonts w:cs="Times New Roman"/>
          <w:color w:val="000000" w:themeColor="text1"/>
          <w:spacing w:val="1"/>
          <w:szCs w:val="24"/>
          <w:lang w:val="en-GB"/>
        </w:rPr>
        <w:t xml:space="preserve"> (AAA), the highest yield of 115.62 t/ha was observed under treatment with white non-woven polypropylene covers as against 93 t/ha in the uncovered control (Pathak et al., 2017; Sankar, 2014). Temperature regulation within the bunch cover leading to improved fruit set was ascribed to this yield gain. Moreover, polythene covers have been shown to decrease disease incidence (Amani &amp; Avagyan, 2014), thereby enhancing fruit marketability. A study by Hossain </w:t>
      </w:r>
      <w:r w:rsidR="005C59D2" w:rsidRPr="003022C9">
        <w:rPr>
          <w:rFonts w:cs="Times New Roman"/>
          <w:i/>
          <w:color w:val="000000" w:themeColor="text1"/>
          <w:spacing w:val="1"/>
          <w:szCs w:val="24"/>
          <w:lang w:val="en-GB"/>
        </w:rPr>
        <w:t xml:space="preserve">et al. </w:t>
      </w:r>
      <w:r w:rsidRPr="003022C9">
        <w:rPr>
          <w:rFonts w:cs="Times New Roman"/>
          <w:color w:val="000000" w:themeColor="text1"/>
          <w:spacing w:val="1"/>
          <w:szCs w:val="24"/>
          <w:lang w:val="en-GB"/>
        </w:rPr>
        <w:t xml:space="preserve">(2024) investigated the cumulative effect of sucker age and bunch covering in </w:t>
      </w:r>
      <w:proofErr w:type="spellStart"/>
      <w:r w:rsidRPr="003022C9">
        <w:rPr>
          <w:rFonts w:cs="Times New Roman"/>
          <w:color w:val="000000" w:themeColor="text1"/>
          <w:spacing w:val="1"/>
          <w:szCs w:val="24"/>
          <w:lang w:val="en-GB"/>
        </w:rPr>
        <w:t>Amritsagar</w:t>
      </w:r>
      <w:proofErr w:type="spellEnd"/>
      <w:r w:rsidRPr="003022C9">
        <w:rPr>
          <w:rFonts w:cs="Times New Roman"/>
          <w:color w:val="000000" w:themeColor="text1"/>
          <w:spacing w:val="1"/>
          <w:szCs w:val="24"/>
          <w:lang w:val="en-GB"/>
        </w:rPr>
        <w:t xml:space="preserve"> banana and found that third-year suckers under white polythene covers produced maximum yield (14.58 kg/bunch) and enhanced the weight and moisture content of fruit. There is necessary to bunch covers in commercial banana farming for yield enhancement and excels in export market standards. </w:t>
      </w:r>
    </w:p>
    <w:p w14:paraId="77AF7E15" w14:textId="33D2C057"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1.12 Fertigation</w:t>
      </w:r>
    </w:p>
    <w:p w14:paraId="2284F1C1" w14:textId="572D85F8"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Fertigation significantly improves the efficiency of nutrient absorption, achieving an increase of 30-40%. It also helps to prevent soil degradation, lowers fertilizer expenses, and enhances both productivity and quality. Additionally, it reduces groundwater contamination by minimizing runoff and leaching</w:t>
      </w:r>
      <w:r w:rsidR="002445B0"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Robusta (AAA) indicated that applying 50-75% of the recommended NPK dosage (200:30:300g/plant) resulted in the highest bunch weight under both standard and high-density planting conditions. </w:t>
      </w:r>
      <w:r w:rsidRPr="003022C9">
        <w:rPr>
          <w:rFonts w:cs="Times New Roman"/>
          <w:color w:val="000000" w:themeColor="text1"/>
          <w:spacing w:val="1"/>
          <w:szCs w:val="24"/>
          <w:lang w:val="en-GB"/>
        </w:rPr>
        <w:lastRenderedPageBreak/>
        <w:t>Furthermore, fertigation can decrease water usage by 40-70% and reduce fertilizer application by 25% (Senthil Kumar et al., 2017). In the case of the Red banana (AAA) variety, the application of 100% recommended dose of fertilizers (110:35:300g NPK) led to an increase in bunch weight to 22.55 kg (Suganthi, 2002). A dosage of 150% NPK (165:52.5:495g) administered in four splits resulted in improved plant growth, yield, and quality for tissue-cultured bananas (Nalina, 2002). Specifically, fertigation at a rate of 25L/day/plant combined with 200:30:300g NPK resulted in an 88.66% increase in bunch weight (44.53kg) and a productivity level of 111.38 MT/ha compared to traditional methods.</w:t>
      </w:r>
    </w:p>
    <w:p w14:paraId="613B31FB" w14:textId="23C32E10"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In the case of potassium fertigation (50% MOP + 50% Cement Kiln Flue Dust), bunch weight in the </w:t>
      </w:r>
      <w:proofErr w:type="spellStart"/>
      <w:r w:rsidRPr="003022C9">
        <w:rPr>
          <w:rFonts w:cs="Times New Roman"/>
          <w:color w:val="000000" w:themeColor="text1"/>
          <w:spacing w:val="1"/>
          <w:szCs w:val="24"/>
          <w:lang w:val="en-GB"/>
        </w:rPr>
        <w:t>Karpooravalli</w:t>
      </w:r>
      <w:proofErr w:type="spellEnd"/>
      <w:r w:rsidRPr="003022C9">
        <w:rPr>
          <w:rFonts w:cs="Times New Roman"/>
          <w:color w:val="000000" w:themeColor="text1"/>
          <w:spacing w:val="1"/>
          <w:szCs w:val="24"/>
          <w:lang w:val="en-GB"/>
        </w:rPr>
        <w:t xml:space="preserve"> and </w:t>
      </w:r>
      <w:proofErr w:type="spellStart"/>
      <w:r w:rsidRPr="003022C9">
        <w:rPr>
          <w:rFonts w:cs="Times New Roman"/>
          <w:color w:val="000000" w:themeColor="text1"/>
          <w:spacing w:val="1"/>
          <w:szCs w:val="24"/>
          <w:lang w:val="en-GB"/>
        </w:rPr>
        <w:t>Poovan</w:t>
      </w:r>
      <w:proofErr w:type="spellEnd"/>
      <w:r w:rsidRPr="003022C9">
        <w:rPr>
          <w:rFonts w:cs="Times New Roman"/>
          <w:color w:val="000000" w:themeColor="text1"/>
          <w:spacing w:val="1"/>
          <w:szCs w:val="24"/>
          <w:lang w:val="en-GB"/>
        </w:rPr>
        <w:t xml:space="preserve"> banana varieties was enhanced to 23.46kg. A study on Ney Poovan bananas demonstrated that a combination of 25% nitrogen from CAM, 25% urea, and 50% ammonium </w:t>
      </w:r>
      <w:proofErr w:type="spellStart"/>
      <w:r w:rsidRPr="003022C9">
        <w:rPr>
          <w:rFonts w:cs="Times New Roman"/>
          <w:color w:val="000000" w:themeColor="text1"/>
          <w:spacing w:val="1"/>
          <w:szCs w:val="24"/>
          <w:lang w:val="en-GB"/>
        </w:rPr>
        <w:t>sulfate</w:t>
      </w:r>
      <w:proofErr w:type="spellEnd"/>
      <w:r w:rsidRPr="003022C9">
        <w:rPr>
          <w:rFonts w:cs="Times New Roman"/>
          <w:color w:val="000000" w:themeColor="text1"/>
          <w:spacing w:val="1"/>
          <w:szCs w:val="24"/>
          <w:lang w:val="en-GB"/>
        </w:rPr>
        <w:t xml:space="preserve"> improved vegetative growth, soil health, and leaf nutrient content, ultimately leading to increased yields (Keshavan, 2004). Foliar applications of </w:t>
      </w:r>
      <w:proofErr w:type="spellStart"/>
      <w:r w:rsidRPr="003022C9">
        <w:rPr>
          <w:rFonts w:cs="Times New Roman"/>
          <w:color w:val="000000" w:themeColor="text1"/>
          <w:spacing w:val="1"/>
          <w:szCs w:val="24"/>
          <w:lang w:val="en-GB"/>
        </w:rPr>
        <w:t>sulfate</w:t>
      </w:r>
      <w:proofErr w:type="spellEnd"/>
      <w:r w:rsidRPr="003022C9">
        <w:rPr>
          <w:rFonts w:cs="Times New Roman"/>
          <w:color w:val="000000" w:themeColor="text1"/>
          <w:spacing w:val="1"/>
          <w:szCs w:val="24"/>
          <w:lang w:val="en-GB"/>
        </w:rPr>
        <w:t xml:space="preserve"> of potash at seven months and again 30 days later resulted in enhanced bunch weight and fruit quality (Ramesh Kumar and Kumar, 2007). Experiments involving fertigation in </w:t>
      </w:r>
      <w:proofErr w:type="spellStart"/>
      <w:r w:rsidRPr="003022C9">
        <w:rPr>
          <w:rFonts w:cs="Times New Roman"/>
          <w:color w:val="000000" w:themeColor="text1"/>
          <w:spacing w:val="1"/>
          <w:szCs w:val="24"/>
          <w:lang w:val="en-GB"/>
        </w:rPr>
        <w:t>Rasthali</w:t>
      </w:r>
      <w:proofErr w:type="spellEnd"/>
      <w:r w:rsidRPr="003022C9">
        <w:rPr>
          <w:rFonts w:cs="Times New Roman"/>
          <w:color w:val="000000" w:themeColor="text1"/>
          <w:spacing w:val="1"/>
          <w:szCs w:val="24"/>
          <w:lang w:val="en-GB"/>
        </w:rPr>
        <w:t xml:space="preserve"> bananas showed the highest growth, yield, and quality metrics across various application schedules (Pandey et al., 2001; Kumar and Pandey, 2008).</w:t>
      </w:r>
    </w:p>
    <w:p w14:paraId="36F96537" w14:textId="40C2491F"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The integration of cowpea with arbuscular mycorrhizal fungi (AMF) </w:t>
      </w:r>
      <w:r w:rsidR="009F6D3C" w:rsidRPr="003022C9">
        <w:rPr>
          <w:rFonts w:cs="Times New Roman"/>
          <w:color w:val="000000" w:themeColor="text1"/>
          <w:spacing w:val="1"/>
          <w:szCs w:val="24"/>
          <w:lang w:val="en-GB"/>
        </w:rPr>
        <w:t>yields good</w:t>
      </w:r>
      <w:r w:rsidRPr="003022C9">
        <w:rPr>
          <w:rFonts w:cs="Times New Roman"/>
          <w:color w:val="000000" w:themeColor="text1"/>
          <w:spacing w:val="1"/>
          <w:szCs w:val="24"/>
          <w:lang w:val="en-GB"/>
        </w:rPr>
        <w:t xml:space="preserve"> bunch weight. Additionally, the application of fertigation using 80% NPK combined with </w:t>
      </w:r>
      <w:proofErr w:type="spellStart"/>
      <w:r w:rsidRPr="003022C9">
        <w:rPr>
          <w:rFonts w:cs="Times New Roman"/>
          <w:color w:val="000000" w:themeColor="text1"/>
          <w:spacing w:val="1"/>
          <w:szCs w:val="24"/>
          <w:lang w:val="en-GB"/>
        </w:rPr>
        <w:t>phosphobacteria</w:t>
      </w:r>
      <w:proofErr w:type="spellEnd"/>
      <w:r w:rsidRPr="003022C9">
        <w:rPr>
          <w:rFonts w:cs="Times New Roman"/>
          <w:color w:val="000000" w:themeColor="text1"/>
          <w:spacing w:val="1"/>
          <w:szCs w:val="24"/>
          <w:lang w:val="en-GB"/>
        </w:rPr>
        <w:t xml:space="preserve"> and either rice husk ash or vermicompost led to a 29% increase in bunch weight compared to the use of inorganic fertilizer</w:t>
      </w:r>
      <w:r w:rsidR="0086202C" w:rsidRPr="003022C9">
        <w:rPr>
          <w:rFonts w:cs="Times New Roman"/>
          <w:color w:val="000000" w:themeColor="text1"/>
          <w:spacing w:val="1"/>
          <w:szCs w:val="24"/>
          <w:lang w:val="en-GB"/>
        </w:rPr>
        <w:t>s</w:t>
      </w:r>
      <w:r w:rsidRPr="003022C9">
        <w:rPr>
          <w:rFonts w:cs="Times New Roman"/>
          <w:color w:val="000000" w:themeColor="text1"/>
          <w:spacing w:val="1"/>
          <w:szCs w:val="24"/>
          <w:lang w:val="en-GB"/>
        </w:rPr>
        <w:t xml:space="preserve">. Furthermore, banana plants that received 100% recommended dose of fertilizers (RDF) produced the greatest fruit yield, </w:t>
      </w:r>
      <w:r w:rsidRPr="003022C9">
        <w:rPr>
          <w:rFonts w:cs="Times New Roman"/>
          <w:color w:val="000000" w:themeColor="text1"/>
          <w:spacing w:val="1"/>
          <w:szCs w:val="24"/>
          <w:lang w:val="en-GB"/>
        </w:rPr>
        <w:lastRenderedPageBreak/>
        <w:t>measuring 21.29 MT/ha for the main crop and 34.13 MT/ha for the ratoon crop</w:t>
      </w:r>
      <w:r w:rsidR="0086202C"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A field experiment conducted in Kharagpur, West Bengal, demonstrated that a two-day fertigation interval paired with black plastic mulch optimized yield, achieving 66.3 t/ha for the main crop and 52.2 t/ha for the ratoon crop, while also enhancing plant height, stem girth, and leaf area, and shortening the crop duration. For best outcomes, weekly fertigation is advised (Santosh et al., 2025).</w:t>
      </w:r>
    </w:p>
    <w:p w14:paraId="18ACD290" w14:textId="11372575"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1.13 Fertilizer information system  </w:t>
      </w:r>
    </w:p>
    <w:p w14:paraId="3916A126"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The cultivation of bananas necessitates ideal conditions, including appropriate temperature, rainfall, and nutrient-dense soil. To improve soil fertility and crop yield, effective fertilization and field management practices are essential. A Fertilizer Information System tailored for Banana Plantations has been created to aid farmers in managing fertilizers more efficiently (TNAU, 2024). This system, developed using PHP and MySQL, consists of five key modules: user registration and login, plantation management, fertilizer formulation, fertilizer information, and reporting. The primary objective of this system is to optimize fertilization processes and boost agricultural productivity.</w:t>
      </w:r>
    </w:p>
    <w:p w14:paraId="3431098B" w14:textId="5C4FE4D3" w:rsidR="00F52F6D" w:rsidRPr="003022C9" w:rsidRDefault="00F52F6D"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1.14 Plant protection  </w:t>
      </w:r>
    </w:p>
    <w:p w14:paraId="5847F20F" w14:textId="1FF360A4"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Biological Control Strategies - The application of farmyard manure supplemented with </w:t>
      </w:r>
      <w:proofErr w:type="spellStart"/>
      <w:r w:rsidRPr="003022C9">
        <w:rPr>
          <w:rFonts w:cs="Times New Roman"/>
          <w:color w:val="000000" w:themeColor="text1"/>
          <w:spacing w:val="1"/>
          <w:szCs w:val="24"/>
          <w:lang w:val="en-GB"/>
        </w:rPr>
        <w:t>Paecilomyces</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lilacinus</w:t>
      </w:r>
      <w:proofErr w:type="spellEnd"/>
      <w:r w:rsidRPr="003022C9">
        <w:rPr>
          <w:rFonts w:cs="Times New Roman"/>
          <w:color w:val="000000" w:themeColor="text1"/>
          <w:spacing w:val="1"/>
          <w:szCs w:val="24"/>
          <w:lang w:val="en-GB"/>
        </w:rPr>
        <w:t xml:space="preserve"> and Pseudomonas fluorescens (2 kg/plant) resulted in a 64.5% reduction in root nematodes (</w:t>
      </w:r>
      <w:proofErr w:type="spellStart"/>
      <w:r w:rsidRPr="003022C9">
        <w:rPr>
          <w:rFonts w:cs="Times New Roman"/>
          <w:color w:val="000000" w:themeColor="text1"/>
          <w:spacing w:val="1"/>
          <w:szCs w:val="24"/>
          <w:lang w:val="en-GB"/>
        </w:rPr>
        <w:t>Radopholus</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similis</w:t>
      </w:r>
      <w:proofErr w:type="spellEnd"/>
      <w:r w:rsidRPr="003022C9">
        <w:rPr>
          <w:rFonts w:cs="Times New Roman"/>
          <w:color w:val="000000" w:themeColor="text1"/>
          <w:spacing w:val="1"/>
          <w:szCs w:val="24"/>
          <w:lang w:val="en-GB"/>
        </w:rPr>
        <w:t>) and a 75% decrease in Meloidogyne incognita, leading to a 21% increase in fruit yield</w:t>
      </w:r>
      <w:r w:rsidR="00A71D6D" w:rsidRPr="003022C9">
        <w:rPr>
          <w:rFonts w:cs="Times New Roman"/>
          <w:color w:val="000000" w:themeColor="text1"/>
          <w:spacing w:val="1"/>
          <w:szCs w:val="24"/>
          <w:lang w:val="en-GB"/>
        </w:rPr>
        <w:t xml:space="preserve">. </w:t>
      </w:r>
      <w:r w:rsidRPr="003022C9">
        <w:rPr>
          <w:rFonts w:cs="Times New Roman"/>
          <w:color w:val="000000" w:themeColor="text1"/>
          <w:spacing w:val="1"/>
          <w:szCs w:val="24"/>
          <w:lang w:val="en-GB"/>
        </w:rPr>
        <w:t xml:space="preserve">Greenhouse experiments that combined Trichoderma sp. NRCB3 and T. </w:t>
      </w:r>
      <w:proofErr w:type="spellStart"/>
      <w:r w:rsidRPr="003022C9">
        <w:rPr>
          <w:rFonts w:cs="Times New Roman"/>
          <w:color w:val="000000" w:themeColor="text1"/>
          <w:spacing w:val="1"/>
          <w:szCs w:val="24"/>
          <w:lang w:val="en-GB"/>
        </w:rPr>
        <w:t>asperellum</w:t>
      </w:r>
      <w:proofErr w:type="spellEnd"/>
      <w:r w:rsidRPr="003022C9">
        <w:rPr>
          <w:rFonts w:cs="Times New Roman"/>
          <w:color w:val="000000" w:themeColor="text1"/>
          <w:spacing w:val="1"/>
          <w:szCs w:val="24"/>
          <w:lang w:val="en-GB"/>
        </w:rPr>
        <w:t xml:space="preserve"> Prr2 achieved a complete elimination of Fusarium wilt and a 250% growth enhancement compared to plants treated with a single isolate or copper oxychloride. Field trials corroborated the </w:t>
      </w:r>
      <w:r w:rsidRPr="003022C9">
        <w:rPr>
          <w:rFonts w:cs="Times New Roman"/>
          <w:color w:val="000000" w:themeColor="text1"/>
          <w:spacing w:val="1"/>
          <w:szCs w:val="24"/>
          <w:lang w:val="en-GB"/>
        </w:rPr>
        <w:lastRenderedPageBreak/>
        <w:t>significant suppression of Fusarium wilt and an increase in bunch weight (Thangavelu &amp; Gopi, 2015).</w:t>
      </w:r>
    </w:p>
    <w:p w14:paraId="5B1E1E1C"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Disease Detection and Management - A LAMP-based technique for identifying </w:t>
      </w:r>
      <w:proofErr w:type="spellStart"/>
      <w:r w:rsidRPr="003022C9">
        <w:rPr>
          <w:rFonts w:cs="Times New Roman"/>
          <w:color w:val="000000" w:themeColor="text1"/>
          <w:spacing w:val="1"/>
          <w:szCs w:val="24"/>
          <w:lang w:val="en-GB"/>
        </w:rPr>
        <w:t>Pseudocercospora</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eumusae</w:t>
      </w:r>
      <w:proofErr w:type="spellEnd"/>
      <w:r w:rsidRPr="003022C9">
        <w:rPr>
          <w:rFonts w:cs="Times New Roman"/>
          <w:color w:val="000000" w:themeColor="text1"/>
          <w:spacing w:val="1"/>
          <w:szCs w:val="24"/>
          <w:lang w:val="en-GB"/>
        </w:rPr>
        <w:t xml:space="preserve"> (the leaf spot pathogen) exhibited a sensitivity that was 100 times greater than that of PCR, capable of detecting as little as 10 </w:t>
      </w:r>
      <w:proofErr w:type="spellStart"/>
      <w:r w:rsidRPr="003022C9">
        <w:rPr>
          <w:rFonts w:cs="Times New Roman"/>
          <w:color w:val="000000" w:themeColor="text1"/>
          <w:spacing w:val="1"/>
          <w:szCs w:val="24"/>
          <w:lang w:val="en-GB"/>
        </w:rPr>
        <w:t>ƿg</w:t>
      </w:r>
      <w:proofErr w:type="spellEnd"/>
      <w:r w:rsidRPr="003022C9">
        <w:rPr>
          <w:rFonts w:cs="Times New Roman"/>
          <w:color w:val="000000" w:themeColor="text1"/>
          <w:spacing w:val="1"/>
          <w:szCs w:val="24"/>
          <w:lang w:val="en-GB"/>
        </w:rPr>
        <w:t>/µl of genomic DNA (Thangavelu &amp; Ganga Devi, 2018). The traditional use of fungicide-impregnated pads in banana plantations has been supplanted by mini wet-packing, which provides enhanced disease management and safety (Krauss &amp; Johanson, 2000).</w:t>
      </w:r>
    </w:p>
    <w:p w14:paraId="2D761142"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Cultural Practices for Banana Protection - Traditional methods such as </w:t>
      </w:r>
      <w:proofErr w:type="spellStart"/>
      <w:r w:rsidRPr="003022C9">
        <w:rPr>
          <w:rFonts w:cs="Times New Roman"/>
          <w:color w:val="000000" w:themeColor="text1"/>
          <w:spacing w:val="1"/>
          <w:szCs w:val="24"/>
          <w:lang w:val="en-GB"/>
        </w:rPr>
        <w:t>desuckering</w:t>
      </w:r>
      <w:proofErr w:type="spellEnd"/>
      <w:r w:rsidRPr="003022C9">
        <w:rPr>
          <w:rFonts w:cs="Times New Roman"/>
          <w:color w:val="000000" w:themeColor="text1"/>
          <w:spacing w:val="1"/>
          <w:szCs w:val="24"/>
          <w:lang w:val="en-GB"/>
        </w:rPr>
        <w:t xml:space="preserve">, propping, bagging, and smoking are essential for safeguarding banana crops (Angami et al., 2019). The management of the banana weevil (Cosmopolites sordidus) involves the use of banana stem traps, which can be enhanced with microbial biocontrol agents like Beauveria </w:t>
      </w:r>
      <w:proofErr w:type="spellStart"/>
      <w:r w:rsidRPr="003022C9">
        <w:rPr>
          <w:rFonts w:cs="Times New Roman"/>
          <w:color w:val="000000" w:themeColor="text1"/>
          <w:spacing w:val="1"/>
          <w:szCs w:val="24"/>
          <w:lang w:val="en-GB"/>
        </w:rPr>
        <w:t>bassiana</w:t>
      </w:r>
      <w:proofErr w:type="spellEnd"/>
      <w:r w:rsidRPr="003022C9">
        <w:rPr>
          <w:rFonts w:cs="Times New Roman"/>
          <w:color w:val="000000" w:themeColor="text1"/>
          <w:spacing w:val="1"/>
          <w:szCs w:val="24"/>
          <w:lang w:val="en-GB"/>
        </w:rPr>
        <w:t xml:space="preserve"> or </w:t>
      </w:r>
      <w:proofErr w:type="spellStart"/>
      <w:r w:rsidRPr="003022C9">
        <w:rPr>
          <w:rFonts w:cs="Times New Roman"/>
          <w:color w:val="000000" w:themeColor="text1"/>
          <w:spacing w:val="1"/>
          <w:szCs w:val="24"/>
          <w:lang w:val="en-GB"/>
        </w:rPr>
        <w:t>Heterorhabditis</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indica</w:t>
      </w:r>
      <w:proofErr w:type="spellEnd"/>
      <w:r w:rsidRPr="003022C9">
        <w:rPr>
          <w:rFonts w:cs="Times New Roman"/>
          <w:color w:val="000000" w:themeColor="text1"/>
          <w:spacing w:val="1"/>
          <w:szCs w:val="24"/>
          <w:lang w:val="en-GB"/>
        </w:rPr>
        <w:t xml:space="preserve"> (NRCB, 2019). Control of rust </w:t>
      </w:r>
      <w:proofErr w:type="spellStart"/>
      <w:r w:rsidRPr="003022C9">
        <w:rPr>
          <w:rFonts w:cs="Times New Roman"/>
          <w:color w:val="000000" w:themeColor="text1"/>
          <w:spacing w:val="1"/>
          <w:szCs w:val="24"/>
          <w:lang w:val="en-GB"/>
        </w:rPr>
        <w:t>thrips</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Chaetanaphothrips</w:t>
      </w:r>
      <w:proofErr w:type="spellEnd"/>
      <w:r w:rsidRPr="003022C9">
        <w:rPr>
          <w:rFonts w:cs="Times New Roman"/>
          <w:color w:val="000000" w:themeColor="text1"/>
          <w:spacing w:val="1"/>
          <w:szCs w:val="24"/>
          <w:lang w:val="en-GB"/>
        </w:rPr>
        <w:t xml:space="preserve"> </w:t>
      </w:r>
      <w:proofErr w:type="spellStart"/>
      <w:r w:rsidRPr="003022C9">
        <w:rPr>
          <w:rFonts w:cs="Times New Roman"/>
          <w:color w:val="000000" w:themeColor="text1"/>
          <w:spacing w:val="1"/>
          <w:szCs w:val="24"/>
          <w:lang w:val="en-GB"/>
        </w:rPr>
        <w:t>signipennis</w:t>
      </w:r>
      <w:proofErr w:type="spellEnd"/>
      <w:r w:rsidRPr="003022C9">
        <w:rPr>
          <w:rFonts w:cs="Times New Roman"/>
          <w:color w:val="000000" w:themeColor="text1"/>
          <w:spacing w:val="1"/>
          <w:szCs w:val="24"/>
          <w:lang w:val="en-GB"/>
        </w:rPr>
        <w:t>) is accomplished through the application of bunch sleeves and bud injections with Imidacloprid (NRCB, 2019). Nematode management is achieved by applying neem cake, utilizing biocontrol agents such as Pseudomonas fluorescens and Trichoderma viride, and employing resistant cultivars, thereby decreasing the dependence on chemical pesticides (NRCB, 2019).</w:t>
      </w:r>
    </w:p>
    <w:p w14:paraId="2580D8D6" w14:textId="73874F37" w:rsidR="00F52F6D" w:rsidRPr="003022C9" w:rsidRDefault="00B77338"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1.15 Nanotechnology  </w:t>
      </w:r>
    </w:p>
    <w:p w14:paraId="5B0B44A2" w14:textId="651FAE18"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Nanotechnology is transforming banana farming by improving propagation techniques, disease control, and resilience to environmental stressors. </w:t>
      </w:r>
      <w:proofErr w:type="spellStart"/>
      <w:r w:rsidRPr="003022C9">
        <w:rPr>
          <w:rFonts w:cs="Times New Roman"/>
          <w:color w:val="000000" w:themeColor="text1"/>
          <w:spacing w:val="1"/>
          <w:szCs w:val="24"/>
          <w:lang w:val="en-GB"/>
        </w:rPr>
        <w:t>AgNPs</w:t>
      </w:r>
      <w:proofErr w:type="spellEnd"/>
      <w:r w:rsidRPr="003022C9">
        <w:rPr>
          <w:rFonts w:cs="Times New Roman"/>
          <w:color w:val="000000" w:themeColor="text1"/>
          <w:spacing w:val="1"/>
          <w:szCs w:val="24"/>
          <w:lang w:val="en-GB"/>
        </w:rPr>
        <w:t xml:space="preserve"> further facilitate shoot proliferation, root development, and biomass increase, making them essential for tissue culture practices. In terms of disease management, </w:t>
      </w:r>
      <w:proofErr w:type="spellStart"/>
      <w:r w:rsidRPr="003022C9">
        <w:rPr>
          <w:rFonts w:cs="Times New Roman"/>
          <w:color w:val="000000" w:themeColor="text1"/>
          <w:spacing w:val="1"/>
          <w:szCs w:val="24"/>
          <w:lang w:val="en-GB"/>
        </w:rPr>
        <w:t>AgNPs</w:t>
      </w:r>
      <w:proofErr w:type="spellEnd"/>
      <w:r w:rsidRPr="003022C9">
        <w:rPr>
          <w:rFonts w:cs="Times New Roman"/>
          <w:color w:val="000000" w:themeColor="text1"/>
          <w:spacing w:val="1"/>
          <w:szCs w:val="24"/>
          <w:lang w:val="en-GB"/>
        </w:rPr>
        <w:t xml:space="preserve"> have been utilized to address the banana bunchy top virus (BBTV), resulting in enhanced leaf area and biomass growth </w:t>
      </w:r>
      <w:r w:rsidRPr="003022C9">
        <w:rPr>
          <w:rFonts w:cs="Times New Roman"/>
          <w:color w:val="000000" w:themeColor="text1"/>
          <w:spacing w:val="1"/>
          <w:szCs w:val="24"/>
          <w:lang w:val="en-GB"/>
        </w:rPr>
        <w:lastRenderedPageBreak/>
        <w:t>(</w:t>
      </w:r>
      <w:proofErr w:type="spellStart"/>
      <w:r w:rsidRPr="003022C9">
        <w:rPr>
          <w:rFonts w:cs="Times New Roman"/>
          <w:color w:val="000000" w:themeColor="text1"/>
          <w:spacing w:val="1"/>
          <w:szCs w:val="24"/>
          <w:lang w:val="en-GB"/>
        </w:rPr>
        <w:t>Mahfouze</w:t>
      </w:r>
      <w:proofErr w:type="spellEnd"/>
      <w:r w:rsidRPr="003022C9">
        <w:rPr>
          <w:rFonts w:cs="Times New Roman"/>
          <w:color w:val="000000" w:themeColor="text1"/>
          <w:spacing w:val="1"/>
          <w:szCs w:val="24"/>
          <w:lang w:val="en-GB"/>
        </w:rPr>
        <w:t xml:space="preserve"> et al., 2020). Chitosan nanoparticles (CH-NPs) contribute to increased plant weight and mitigate oxidative damage from cold stress in Musa acuminata var. Baxi (Wang et al., 2021). For stress alleviation, silicon oxide nanoparticles (</w:t>
      </w:r>
      <w:proofErr w:type="spellStart"/>
      <w:r w:rsidRPr="003022C9">
        <w:rPr>
          <w:rFonts w:cs="Times New Roman"/>
          <w:color w:val="000000" w:themeColor="text1"/>
          <w:spacing w:val="1"/>
          <w:szCs w:val="24"/>
          <w:lang w:val="en-GB"/>
        </w:rPr>
        <w:t>SiO</w:t>
      </w:r>
      <w:proofErr w:type="spellEnd"/>
      <w:r w:rsidRPr="003022C9">
        <w:rPr>
          <w:rFonts w:cs="Times New Roman"/>
          <w:color w:val="000000" w:themeColor="text1"/>
          <w:spacing w:val="1"/>
          <w:szCs w:val="24"/>
          <w:lang w:val="en-GB"/>
        </w:rPr>
        <w:t>₂-NPs) improve drought resistance by enhancing photosynthetic activity and decreasing lipid peroxidation, while silicon nanoparticles help stabilize chlorophyll production and maintain ionic balance during salinity and drought conditions (Mahmoud et al., 2020). The application of nanotechnology in banana cultivation presents a sustainable strategy for enhancing productivity, resilience, and efficiency, while reducing reliance on traditional chemical treatments.</w:t>
      </w:r>
    </w:p>
    <w:p w14:paraId="5A54F236" w14:textId="115D652B" w:rsidR="00F52F6D" w:rsidRPr="003022C9" w:rsidRDefault="00B77338"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1.16 Genetic transformation  </w:t>
      </w:r>
    </w:p>
    <w:p w14:paraId="07DCE906" w14:textId="663625FE"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 xml:space="preserve">Genetic transformation serves as a vital strategy for the enhancement of banana crops, addressing challenges related to climate change and food security by improving stress tolerance, disease resistance, and nutritional content (Ganapathi et al., 2021). Among the various transformation methods, Agrobacterium-mediated transformation is the most prevalent due to its effectiveness in gene integration and the stability of gene expression (Tripathi et al., 2015). Transgenic methods have successfully conferred resistance to Fusarium wilt and Sigatoka by integrating antifungal and antibacterial genes, while genetic modifications aimed at increasing drought and salinity tolerance have bolstered resilience against environmental stressors (Rocha et al., 2021). Furthermore, genetic engineering has facilitated biofortification efforts, enhancing the levels of iron and pro-vitamin A in bananas to address micronutrient deficiencies, as demonstrated in the Banana-21 initiative (Amah et al., 2019; Yadav et al., 2017). Additionally, innovative technologies such as CRISPR/Cas9 allow for precise modifications to the genome, </w:t>
      </w:r>
      <w:r w:rsidRPr="003022C9">
        <w:rPr>
          <w:rFonts w:cs="Times New Roman"/>
          <w:color w:val="000000" w:themeColor="text1"/>
          <w:spacing w:val="1"/>
          <w:szCs w:val="24"/>
          <w:lang w:val="en-GB"/>
        </w:rPr>
        <w:lastRenderedPageBreak/>
        <w:t>improving pathogen resistance, shelf life, and agronomic characteristics, thus promoting sustainable practices in banana cultivation</w:t>
      </w:r>
      <w:r w:rsidR="00B871D9" w:rsidRPr="003022C9">
        <w:rPr>
          <w:rFonts w:cs="Times New Roman"/>
          <w:color w:val="000000" w:themeColor="text1"/>
          <w:spacing w:val="1"/>
          <w:szCs w:val="24"/>
          <w:lang w:val="en-GB"/>
        </w:rPr>
        <w:t>.</w:t>
      </w:r>
    </w:p>
    <w:p w14:paraId="40E431C5" w14:textId="3FB96BEA" w:rsidR="00F52F6D" w:rsidRPr="003022C9" w:rsidRDefault="00B77338" w:rsidP="003022C9">
      <w:pPr>
        <w:pStyle w:val="Papermain"/>
        <w:rPr>
          <w:rFonts w:cs="Times New Roman"/>
          <w:b/>
          <w:bCs/>
          <w:color w:val="000000" w:themeColor="text1"/>
          <w:spacing w:val="1"/>
          <w:szCs w:val="24"/>
          <w:lang w:val="en-GB"/>
        </w:rPr>
      </w:pPr>
      <w:r w:rsidRPr="003022C9">
        <w:rPr>
          <w:rFonts w:cs="Times New Roman"/>
          <w:b/>
          <w:bCs/>
          <w:color w:val="000000" w:themeColor="text1"/>
          <w:spacing w:val="1"/>
          <w:szCs w:val="24"/>
          <w:lang w:val="en-GB"/>
        </w:rPr>
        <w:t xml:space="preserve">1.17 Challenges in the </w:t>
      </w:r>
      <w:proofErr w:type="spellStart"/>
      <w:r w:rsidRPr="003022C9">
        <w:rPr>
          <w:rFonts w:cs="Times New Roman"/>
          <w:b/>
          <w:bCs/>
          <w:color w:val="000000" w:themeColor="text1"/>
          <w:spacing w:val="1"/>
          <w:szCs w:val="24"/>
          <w:lang w:val="en-GB"/>
        </w:rPr>
        <w:t>indian</w:t>
      </w:r>
      <w:proofErr w:type="spellEnd"/>
      <w:r w:rsidRPr="003022C9">
        <w:rPr>
          <w:rFonts w:cs="Times New Roman"/>
          <w:b/>
          <w:bCs/>
          <w:color w:val="000000" w:themeColor="text1"/>
          <w:spacing w:val="1"/>
          <w:szCs w:val="24"/>
          <w:lang w:val="en-GB"/>
        </w:rPr>
        <w:t xml:space="preserve"> banana industry </w:t>
      </w:r>
    </w:p>
    <w:p w14:paraId="0D561AF3" w14:textId="77777777" w:rsidR="00F52F6D" w:rsidRPr="003022C9" w:rsidRDefault="00F52F6D" w:rsidP="003022C9">
      <w:pPr>
        <w:pStyle w:val="Papermain"/>
        <w:rPr>
          <w:rFonts w:cs="Times New Roman"/>
          <w:color w:val="000000" w:themeColor="text1"/>
          <w:spacing w:val="1"/>
          <w:szCs w:val="24"/>
          <w:lang w:val="en-GB"/>
        </w:rPr>
      </w:pPr>
      <w:r w:rsidRPr="003022C9">
        <w:rPr>
          <w:rFonts w:cs="Times New Roman"/>
          <w:color w:val="000000" w:themeColor="text1"/>
          <w:spacing w:val="1"/>
          <w:szCs w:val="24"/>
          <w:lang w:val="en-GB"/>
        </w:rPr>
        <w:t>Despite being the world's largest producer, India's banana industry faces challenges that hinder growth and global competitiveness. Small and marginal farmers dominate the sector, cultivating on fragmented land with limited infrastructure for storage, distribution, and quality control. Unorganized marketing channels and price instability further impact profitability.</w:t>
      </w:r>
    </w:p>
    <w:p w14:paraId="3FAEE023" w14:textId="15C4A82E" w:rsidR="0063224E" w:rsidRPr="003022C9" w:rsidRDefault="00F52F6D" w:rsidP="003022C9">
      <w:pPr>
        <w:pStyle w:val="Papermain"/>
        <w:rPr>
          <w:rFonts w:cs="Times New Roman"/>
          <w:noProof/>
          <w:color w:val="000000" w:themeColor="text1"/>
          <w:spacing w:val="1"/>
          <w:szCs w:val="24"/>
          <w:vertAlign w:val="superscript"/>
          <w:lang w:val="tr-TR" w:eastAsia="tr-TR"/>
        </w:rPr>
      </w:pPr>
      <w:r w:rsidRPr="003022C9">
        <w:rPr>
          <w:rFonts w:cs="Times New Roman"/>
          <w:color w:val="000000" w:themeColor="text1"/>
          <w:spacing w:val="1"/>
          <w:szCs w:val="24"/>
          <w:lang w:val="en-GB"/>
        </w:rPr>
        <w:t>India accounts for just 0.01% of global banana exports due to an unstructured supply chain, poor post-harvest management, and lack of international quality standards. Urban expansion, shrinking cultivable land, and climate change further threaten sustainable production. Additionally, national productivity remains below its potential, posing challenges for meeting future demand, projected to rise to 30 kg per capita by 2050 (NRCB, 2023). Addressing these issues requires systematic research, policy support, and technological innovations in planting material, resource management, disease resistance, and post-harvest processing. Strengthening these areas will enhance productivity, improve farmers' profitability, and boost India's presence in the global banana market</w:t>
      </w:r>
      <w:r w:rsidRPr="003022C9">
        <w:rPr>
          <w:rFonts w:cs="Times New Roman"/>
          <w:noProof/>
          <w:color w:val="000000" w:themeColor="text1"/>
          <w:spacing w:val="1"/>
          <w:szCs w:val="24"/>
          <w:vertAlign w:val="superscript"/>
          <w:lang w:val="tr-TR" w:eastAsia="tr-TR"/>
        </w:rPr>
        <w:t xml:space="preserve">. </w:t>
      </w:r>
    </w:p>
    <w:p w14:paraId="217E603C" w14:textId="16792D15" w:rsidR="00B77338" w:rsidRPr="003022C9" w:rsidRDefault="00B77338" w:rsidP="003022C9">
      <w:pPr>
        <w:pStyle w:val="Papermain"/>
        <w:rPr>
          <w:rFonts w:cs="Times New Roman"/>
          <w:b/>
          <w:bCs/>
          <w:color w:val="000000" w:themeColor="text1"/>
          <w:spacing w:val="1"/>
          <w:szCs w:val="24"/>
          <w:lang w:val="en-IN"/>
        </w:rPr>
      </w:pPr>
      <w:r w:rsidRPr="003022C9">
        <w:rPr>
          <w:rFonts w:cs="Times New Roman"/>
          <w:b/>
          <w:bCs/>
          <w:color w:val="000000" w:themeColor="text1"/>
          <w:spacing w:val="1"/>
          <w:szCs w:val="24"/>
          <w:lang w:val="en-GB"/>
        </w:rPr>
        <w:t xml:space="preserve">1.18 </w:t>
      </w:r>
      <w:r w:rsidRPr="003022C9">
        <w:rPr>
          <w:rFonts w:cs="Times New Roman"/>
          <w:b/>
          <w:bCs/>
          <w:color w:val="000000" w:themeColor="text1"/>
          <w:spacing w:val="1"/>
          <w:szCs w:val="24"/>
          <w:lang w:val="en-IN"/>
        </w:rPr>
        <w:t>Conclusion</w:t>
      </w:r>
    </w:p>
    <w:p w14:paraId="083EB38E" w14:textId="77777777" w:rsidR="00B77338" w:rsidRPr="003022C9" w:rsidRDefault="00B77338" w:rsidP="003022C9">
      <w:pPr>
        <w:pStyle w:val="Papermain"/>
        <w:rPr>
          <w:rFonts w:cs="Times New Roman"/>
          <w:color w:val="000000" w:themeColor="text1"/>
          <w:spacing w:val="1"/>
          <w:szCs w:val="24"/>
          <w:lang w:val="en-IN"/>
        </w:rPr>
      </w:pPr>
      <w:r w:rsidRPr="003022C9">
        <w:rPr>
          <w:rFonts w:cs="Times New Roman"/>
          <w:color w:val="000000" w:themeColor="text1"/>
          <w:spacing w:val="1"/>
          <w:szCs w:val="24"/>
          <w:lang w:val="en-IN"/>
        </w:rPr>
        <w:t>Banana is often considered a "</w:t>
      </w:r>
      <w:proofErr w:type="spellStart"/>
      <w:r w:rsidRPr="003022C9">
        <w:rPr>
          <w:rFonts w:cs="Times New Roman"/>
          <w:color w:val="000000" w:themeColor="text1"/>
          <w:spacing w:val="1"/>
          <w:szCs w:val="24"/>
          <w:lang w:val="en-IN"/>
        </w:rPr>
        <w:t>god-given</w:t>
      </w:r>
      <w:proofErr w:type="spellEnd"/>
      <w:r w:rsidRPr="003022C9">
        <w:rPr>
          <w:rFonts w:cs="Times New Roman"/>
          <w:color w:val="000000" w:themeColor="text1"/>
          <w:spacing w:val="1"/>
          <w:szCs w:val="24"/>
          <w:lang w:val="en-IN"/>
        </w:rPr>
        <w:t xml:space="preserve">" fruit, packed with essential nutrients and immense potential. The adoption of advanced technologies for banana cultivation is crucial, particularly in developing countries. Enhancing productivity can be achieved by increasing plant population per unit area, with high-density planting combined with fertigation emerging as a key technology. This approach has significantly boosted yields in farmers' fields in Tamil Nadu by ensuring efficient water and nutrient uptake. Other </w:t>
      </w:r>
      <w:r w:rsidRPr="003022C9">
        <w:rPr>
          <w:rFonts w:cs="Times New Roman"/>
          <w:color w:val="000000" w:themeColor="text1"/>
          <w:spacing w:val="1"/>
          <w:szCs w:val="24"/>
          <w:lang w:val="en-IN"/>
        </w:rPr>
        <w:lastRenderedPageBreak/>
        <w:t xml:space="preserve">vital technologies include the application of micronutrients, growth regulators, and the use of bunch covers. Recent advancements in planting material production—such as </w:t>
      </w:r>
      <w:proofErr w:type="spellStart"/>
      <w:r w:rsidRPr="003022C9">
        <w:rPr>
          <w:rFonts w:cs="Times New Roman"/>
          <w:color w:val="000000" w:themeColor="text1"/>
          <w:spacing w:val="1"/>
          <w:szCs w:val="24"/>
          <w:lang w:val="en-IN"/>
        </w:rPr>
        <w:t>macropropagation</w:t>
      </w:r>
      <w:proofErr w:type="spellEnd"/>
      <w:r w:rsidRPr="003022C9">
        <w:rPr>
          <w:rFonts w:cs="Times New Roman"/>
          <w:color w:val="000000" w:themeColor="text1"/>
          <w:spacing w:val="1"/>
          <w:szCs w:val="24"/>
          <w:lang w:val="en-IN"/>
        </w:rPr>
        <w:t xml:space="preserve">, tissue culture, and cell suspension cultures—offer rapid multiplication rates but require further refinement to maximize productivity. Additionally, practices like bunch feeding, </w:t>
      </w:r>
      <w:proofErr w:type="spellStart"/>
      <w:r w:rsidRPr="003022C9">
        <w:rPr>
          <w:rFonts w:cs="Times New Roman"/>
          <w:color w:val="000000" w:themeColor="text1"/>
          <w:spacing w:val="1"/>
          <w:szCs w:val="24"/>
          <w:lang w:val="en-IN"/>
        </w:rPr>
        <w:t>denavelling</w:t>
      </w:r>
      <w:proofErr w:type="spellEnd"/>
      <w:r w:rsidRPr="003022C9">
        <w:rPr>
          <w:rFonts w:cs="Times New Roman"/>
          <w:color w:val="000000" w:themeColor="text1"/>
          <w:spacing w:val="1"/>
          <w:szCs w:val="24"/>
          <w:lang w:val="en-IN"/>
        </w:rPr>
        <w:t>, stalk-end nutrient application, and the use of seaweed-based bioformulations contribute to improved yield. The integration of fertilizer information systems and advanced plant protection methods further supports sustainable banana cultivation. To achieve significant results, it is essential to adopt a holistic approach that integrates these innovative practices. Disseminating these techniques to farmers is imperative, ensuring their practical implementation and ultimately enhancing banana productivity on a larger scale.</w:t>
      </w:r>
    </w:p>
    <w:p w14:paraId="1EC2BFC2" w14:textId="77777777" w:rsidR="00BC7F48" w:rsidRPr="003022C9" w:rsidRDefault="00BC7F48" w:rsidP="003022C9">
      <w:pPr>
        <w:spacing w:line="480" w:lineRule="auto"/>
        <w:ind w:firstLine="360"/>
        <w:jc w:val="center"/>
        <w:rPr>
          <w:rFonts w:ascii="Times New Roman" w:hAnsi="Times New Roman" w:cs="Times New Roman"/>
          <w:b/>
          <w:bCs/>
          <w:color w:val="000000" w:themeColor="text1"/>
          <w:sz w:val="24"/>
          <w:szCs w:val="24"/>
        </w:rPr>
      </w:pPr>
      <w:bookmarkStart w:id="0" w:name="_GoBack"/>
      <w:r w:rsidRPr="003022C9">
        <w:rPr>
          <w:rFonts w:ascii="Times New Roman" w:hAnsi="Times New Roman" w:cs="Times New Roman"/>
          <w:b/>
          <w:bCs/>
          <w:color w:val="000000" w:themeColor="text1"/>
          <w:sz w:val="24"/>
          <w:szCs w:val="24"/>
        </w:rPr>
        <w:t>Fig</w:t>
      </w:r>
      <w:bookmarkEnd w:id="0"/>
      <w:r w:rsidRPr="003022C9">
        <w:rPr>
          <w:rFonts w:ascii="Times New Roman" w:hAnsi="Times New Roman" w:cs="Times New Roman"/>
          <w:b/>
          <w:bCs/>
          <w:color w:val="000000" w:themeColor="text1"/>
          <w:sz w:val="24"/>
          <w:szCs w:val="24"/>
        </w:rPr>
        <w:t>. 1 Bunch feeding of Banana</w:t>
      </w:r>
    </w:p>
    <w:p w14:paraId="304341E8" w14:textId="77777777" w:rsidR="00BC7F48" w:rsidRPr="003022C9" w:rsidRDefault="00BC7F48" w:rsidP="003022C9">
      <w:pPr>
        <w:spacing w:line="480" w:lineRule="auto"/>
        <w:jc w:val="center"/>
        <w:rPr>
          <w:rFonts w:ascii="Times New Roman" w:hAnsi="Times New Roman" w:cs="Times New Roman"/>
          <w:color w:val="000000" w:themeColor="text1"/>
          <w:sz w:val="24"/>
          <w:szCs w:val="24"/>
        </w:rPr>
      </w:pPr>
      <w:r w:rsidRPr="003022C9">
        <w:rPr>
          <w:rFonts w:ascii="Times New Roman" w:hAnsi="Times New Roman" w:cs="Times New Roman"/>
          <w:noProof/>
          <w:color w:val="000000" w:themeColor="text1"/>
          <w:sz w:val="24"/>
          <w:szCs w:val="24"/>
          <w:lang w:val="en-IN" w:eastAsia="en-IN"/>
        </w:rPr>
        <w:drawing>
          <wp:inline distT="0" distB="0" distL="0" distR="0" wp14:anchorId="446A3B82" wp14:editId="3A79C4D1">
            <wp:extent cx="2859032" cy="2228850"/>
            <wp:effectExtent l="0" t="0" r="0" b="0"/>
            <wp:docPr id="119636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6873" name="Picture 1196366873"/>
                    <pic:cNvPicPr/>
                  </pic:nvPicPr>
                  <pic:blipFill rotWithShape="1">
                    <a:blip r:embed="rId10">
                      <a:extLst>
                        <a:ext uri="{28A0092B-C50C-407E-A947-70E740481C1C}">
                          <a14:useLocalDpi xmlns:a14="http://schemas.microsoft.com/office/drawing/2010/main" val="0"/>
                        </a:ext>
                      </a:extLst>
                    </a:blip>
                    <a:srcRect l="5480" t="3719" r="35464" b="30509"/>
                    <a:stretch/>
                  </pic:blipFill>
                  <pic:spPr bwMode="auto">
                    <a:xfrm>
                      <a:off x="0" y="0"/>
                      <a:ext cx="2863300" cy="2232178"/>
                    </a:xfrm>
                    <a:prstGeom prst="rect">
                      <a:avLst/>
                    </a:prstGeom>
                    <a:ln>
                      <a:noFill/>
                    </a:ln>
                    <a:extLst>
                      <a:ext uri="{53640926-AAD7-44D8-BBD7-CCE9431645EC}">
                        <a14:shadowObscured xmlns:a14="http://schemas.microsoft.com/office/drawing/2010/main"/>
                      </a:ext>
                    </a:extLst>
                  </pic:spPr>
                </pic:pic>
              </a:graphicData>
            </a:graphic>
          </wp:inline>
        </w:drawing>
      </w:r>
    </w:p>
    <w:p w14:paraId="1F441F40" w14:textId="77777777" w:rsidR="00BC7F48" w:rsidRPr="003022C9" w:rsidRDefault="00BC7F48" w:rsidP="003022C9">
      <w:pPr>
        <w:spacing w:line="480" w:lineRule="auto"/>
        <w:jc w:val="center"/>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Fig. 2 Banana Denavelling</w:t>
      </w:r>
    </w:p>
    <w:p w14:paraId="136F960C" w14:textId="77777777" w:rsidR="00BC7F48" w:rsidRPr="003022C9" w:rsidRDefault="00BC7F48" w:rsidP="003022C9">
      <w:pPr>
        <w:spacing w:line="480" w:lineRule="auto"/>
        <w:ind w:firstLine="360"/>
        <w:jc w:val="center"/>
        <w:rPr>
          <w:rFonts w:ascii="Times New Roman" w:hAnsi="Times New Roman" w:cs="Times New Roman"/>
          <w:color w:val="000000" w:themeColor="text1"/>
          <w:sz w:val="24"/>
          <w:szCs w:val="24"/>
        </w:rPr>
      </w:pPr>
      <w:r w:rsidRPr="003022C9">
        <w:rPr>
          <w:rFonts w:ascii="Times New Roman" w:hAnsi="Times New Roman" w:cs="Times New Roman"/>
          <w:noProof/>
          <w:color w:val="000000" w:themeColor="text1"/>
          <w:sz w:val="24"/>
          <w:szCs w:val="24"/>
          <w:lang w:val="en-IN" w:eastAsia="en-IN"/>
        </w:rPr>
        <w:lastRenderedPageBreak/>
        <w:drawing>
          <wp:inline distT="0" distB="0" distL="0" distR="0" wp14:anchorId="6C80508D" wp14:editId="119F2E22">
            <wp:extent cx="2977585" cy="1879600"/>
            <wp:effectExtent l="0" t="0" r="0" b="0"/>
            <wp:docPr id="1218528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36" t="2678" r="20785" b="23564"/>
                    <a:stretch/>
                  </pic:blipFill>
                  <pic:spPr bwMode="auto">
                    <a:xfrm>
                      <a:off x="0" y="0"/>
                      <a:ext cx="2978874" cy="1880414"/>
                    </a:xfrm>
                    <a:prstGeom prst="rect">
                      <a:avLst/>
                    </a:prstGeom>
                    <a:noFill/>
                    <a:ln>
                      <a:noFill/>
                    </a:ln>
                    <a:extLst>
                      <a:ext uri="{53640926-AAD7-44D8-BBD7-CCE9431645EC}">
                        <a14:shadowObscured xmlns:a14="http://schemas.microsoft.com/office/drawing/2010/main"/>
                      </a:ext>
                    </a:extLst>
                  </pic:spPr>
                </pic:pic>
              </a:graphicData>
            </a:graphic>
          </wp:inline>
        </w:drawing>
      </w:r>
    </w:p>
    <w:p w14:paraId="3ADBFBE3" w14:textId="77777777" w:rsidR="00BC7F48" w:rsidRPr="003022C9" w:rsidRDefault="00BC7F48" w:rsidP="003022C9">
      <w:pPr>
        <w:spacing w:line="480" w:lineRule="auto"/>
        <w:ind w:firstLine="720"/>
        <w:jc w:val="center"/>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Fig. 3 Banana Bunch Cover</w:t>
      </w:r>
    </w:p>
    <w:p w14:paraId="0BDEE2B4" w14:textId="03E1B20E" w:rsidR="00BC7F48" w:rsidRPr="003022C9" w:rsidRDefault="00BC7F48" w:rsidP="003022C9">
      <w:pPr>
        <w:spacing w:line="480" w:lineRule="auto"/>
        <w:ind w:firstLine="720"/>
        <w:jc w:val="center"/>
        <w:rPr>
          <w:rFonts w:ascii="Times New Roman" w:hAnsi="Times New Roman" w:cs="Times New Roman"/>
          <w:b/>
          <w:bCs/>
          <w:color w:val="000000" w:themeColor="text1"/>
          <w:sz w:val="24"/>
          <w:szCs w:val="24"/>
        </w:rPr>
      </w:pPr>
      <w:r w:rsidRPr="003022C9">
        <w:rPr>
          <w:rFonts w:ascii="Times New Roman" w:hAnsi="Times New Roman" w:cs="Times New Roman"/>
          <w:b/>
          <w:bCs/>
          <w:noProof/>
          <w:color w:val="000000" w:themeColor="text1"/>
          <w:sz w:val="24"/>
          <w:szCs w:val="24"/>
          <w:lang w:val="en-IN" w:eastAsia="en-IN"/>
        </w:rPr>
        <w:drawing>
          <wp:inline distT="0" distB="0" distL="0" distR="0" wp14:anchorId="22B97A09" wp14:editId="408B8123">
            <wp:extent cx="2520728" cy="2144736"/>
            <wp:effectExtent l="0" t="0" r="0" b="8255"/>
            <wp:docPr id="128154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3775" name="Picture 1281543775"/>
                    <pic:cNvPicPr/>
                  </pic:nvPicPr>
                  <pic:blipFill rotWithShape="1">
                    <a:blip r:embed="rId12">
                      <a:extLst>
                        <a:ext uri="{28A0092B-C50C-407E-A947-70E740481C1C}">
                          <a14:useLocalDpi xmlns:a14="http://schemas.microsoft.com/office/drawing/2010/main" val="0"/>
                        </a:ext>
                      </a:extLst>
                    </a:blip>
                    <a:srcRect l="21715" t="23267" r="25549" b="12631"/>
                    <a:stretch/>
                  </pic:blipFill>
                  <pic:spPr bwMode="auto">
                    <a:xfrm>
                      <a:off x="0" y="0"/>
                      <a:ext cx="2524766" cy="2148171"/>
                    </a:xfrm>
                    <a:prstGeom prst="rect">
                      <a:avLst/>
                    </a:prstGeom>
                    <a:ln>
                      <a:noFill/>
                    </a:ln>
                    <a:extLst>
                      <a:ext uri="{53640926-AAD7-44D8-BBD7-CCE9431645EC}">
                        <a14:shadowObscured xmlns:a14="http://schemas.microsoft.com/office/drawing/2010/main"/>
                      </a:ext>
                    </a:extLst>
                  </pic:spPr>
                </pic:pic>
              </a:graphicData>
            </a:graphic>
          </wp:inline>
        </w:drawing>
      </w:r>
    </w:p>
    <w:p w14:paraId="149B6A7D" w14:textId="3D37009D" w:rsidR="00B77338" w:rsidRPr="003022C9" w:rsidRDefault="00B77338" w:rsidP="003022C9">
      <w:pPr>
        <w:pStyle w:val="Papermain"/>
        <w:rPr>
          <w:rFonts w:cs="Times New Roman"/>
          <w:color w:val="000000" w:themeColor="text1"/>
          <w:spacing w:val="1"/>
          <w:szCs w:val="24"/>
          <w:lang w:val="en-IN"/>
        </w:rPr>
      </w:pPr>
      <w:r w:rsidRPr="003022C9">
        <w:rPr>
          <w:rFonts w:cs="Times New Roman"/>
          <w:noProof/>
          <w:color w:val="000000" w:themeColor="text1"/>
          <w:szCs w:val="24"/>
          <w:lang w:val="en-IN" w:eastAsia="en-IN"/>
        </w:rPr>
        <w:drawing>
          <wp:inline distT="0" distB="0" distL="0" distR="0" wp14:anchorId="021F6E5E" wp14:editId="405361A4">
            <wp:extent cx="5400040" cy="3037448"/>
            <wp:effectExtent l="0" t="0" r="0" b="0"/>
            <wp:docPr id="6291016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16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00040" cy="3037448"/>
                    </a:xfrm>
                    <a:prstGeom prst="rect">
                      <a:avLst/>
                    </a:prstGeom>
                  </pic:spPr>
                </pic:pic>
              </a:graphicData>
            </a:graphic>
          </wp:inline>
        </w:drawing>
      </w:r>
    </w:p>
    <w:p w14:paraId="4C58791B" w14:textId="142C7B2F" w:rsidR="00B77338" w:rsidRPr="003022C9" w:rsidRDefault="0063224E" w:rsidP="003022C9">
      <w:pPr>
        <w:pStyle w:val="Caption"/>
        <w:rPr>
          <w:rFonts w:cs="Times New Roman"/>
          <w:color w:val="000000" w:themeColor="text1"/>
          <w:szCs w:val="24"/>
          <w:lang w:val="en-GB"/>
        </w:rPr>
      </w:pPr>
      <w:r w:rsidRPr="003022C9">
        <w:rPr>
          <w:rFonts w:cs="Times New Roman"/>
          <w:b/>
          <w:color w:val="000000" w:themeColor="text1"/>
          <w:szCs w:val="24"/>
          <w:lang w:val="en-GB"/>
        </w:rPr>
        <w:lastRenderedPageBreak/>
        <w:t>Figure</w:t>
      </w:r>
      <w:r w:rsidR="00DD4B2F" w:rsidRPr="003022C9">
        <w:rPr>
          <w:rFonts w:cs="Times New Roman"/>
          <w:b/>
          <w:color w:val="000000" w:themeColor="text1"/>
          <w:szCs w:val="24"/>
          <w:lang w:val="en-GB"/>
        </w:rPr>
        <w:t xml:space="preserve"> 4</w:t>
      </w:r>
      <w:r w:rsidRPr="003022C9">
        <w:rPr>
          <w:rFonts w:cs="Times New Roman"/>
          <w:b/>
          <w:color w:val="000000" w:themeColor="text1"/>
          <w:szCs w:val="24"/>
          <w:lang w:val="en-GB"/>
        </w:rPr>
        <w:t>.</w:t>
      </w:r>
      <w:r w:rsidRPr="003022C9">
        <w:rPr>
          <w:rFonts w:cs="Times New Roman"/>
          <w:color w:val="000000" w:themeColor="text1"/>
          <w:szCs w:val="24"/>
          <w:lang w:val="en-GB"/>
        </w:rPr>
        <w:t xml:space="preserve"> </w:t>
      </w:r>
      <w:r w:rsidR="00B77338" w:rsidRPr="003022C9">
        <w:rPr>
          <w:rFonts w:cs="Times New Roman"/>
          <w:color w:val="000000" w:themeColor="text1"/>
          <w:szCs w:val="24"/>
          <w:lang w:val="en-GB"/>
        </w:rPr>
        <w:t>Technologies for Banana Cultivation</w:t>
      </w:r>
    </w:p>
    <w:p w14:paraId="55EAC47A" w14:textId="7432DD43" w:rsidR="00B77338" w:rsidRPr="003022C9" w:rsidRDefault="00B77338" w:rsidP="00A71775">
      <w:pPr>
        <w:spacing w:line="240" w:lineRule="auto"/>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Table. 1 Effect of High Density planting system for Banana plantation</w:t>
      </w:r>
    </w:p>
    <w:tbl>
      <w:tblPr>
        <w:tblStyle w:val="TableGrid"/>
        <w:tblW w:w="8494" w:type="dxa"/>
        <w:tblLook w:val="04A0" w:firstRow="1" w:lastRow="0" w:firstColumn="1" w:lastColumn="0" w:noHBand="0" w:noVBand="1"/>
      </w:tblPr>
      <w:tblGrid>
        <w:gridCol w:w="1794"/>
        <w:gridCol w:w="1070"/>
        <w:gridCol w:w="1083"/>
        <w:gridCol w:w="990"/>
        <w:gridCol w:w="990"/>
        <w:gridCol w:w="1177"/>
        <w:gridCol w:w="1390"/>
      </w:tblGrid>
      <w:tr w:rsidR="004839B5" w:rsidRPr="003022C9" w14:paraId="396621DA" w14:textId="77777777" w:rsidTr="003E0E52">
        <w:trPr>
          <w:trHeight w:val="1029"/>
        </w:trPr>
        <w:tc>
          <w:tcPr>
            <w:tcW w:w="1794" w:type="dxa"/>
            <w:hideMark/>
          </w:tcPr>
          <w:p w14:paraId="434AE850"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Cultivar / Variety</w:t>
            </w:r>
          </w:p>
        </w:tc>
        <w:tc>
          <w:tcPr>
            <w:tcW w:w="1070" w:type="dxa"/>
            <w:hideMark/>
          </w:tcPr>
          <w:p w14:paraId="2BBF2E7D"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Genome</w:t>
            </w:r>
          </w:p>
        </w:tc>
        <w:tc>
          <w:tcPr>
            <w:tcW w:w="1083" w:type="dxa"/>
            <w:hideMark/>
          </w:tcPr>
          <w:p w14:paraId="60673AB0"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Spacing / Planting System</w:t>
            </w:r>
          </w:p>
        </w:tc>
        <w:tc>
          <w:tcPr>
            <w:tcW w:w="0" w:type="auto"/>
            <w:hideMark/>
          </w:tcPr>
          <w:p w14:paraId="73436480"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Plants per pit / suckers</w:t>
            </w:r>
          </w:p>
        </w:tc>
        <w:tc>
          <w:tcPr>
            <w:tcW w:w="0" w:type="auto"/>
            <w:hideMark/>
          </w:tcPr>
          <w:p w14:paraId="7B737849"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Plant Density (plants ha⁻¹)</w:t>
            </w:r>
          </w:p>
        </w:tc>
        <w:tc>
          <w:tcPr>
            <w:tcW w:w="1177" w:type="dxa"/>
            <w:hideMark/>
          </w:tcPr>
          <w:p w14:paraId="3315917A"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Yield / Yield Response</w:t>
            </w:r>
          </w:p>
        </w:tc>
        <w:tc>
          <w:tcPr>
            <w:tcW w:w="0" w:type="auto"/>
            <w:hideMark/>
          </w:tcPr>
          <w:p w14:paraId="48A9E940" w14:textId="77777777" w:rsidR="004839B5" w:rsidRPr="003022C9" w:rsidRDefault="004839B5" w:rsidP="00A71775">
            <w:pPr>
              <w:spacing w:after="0" w:line="240" w:lineRule="auto"/>
              <w:jc w:val="center"/>
              <w:rPr>
                <w:rFonts w:ascii="Times New Roman" w:eastAsia="Times New Roman" w:hAnsi="Times New Roman" w:cs="Times New Roman"/>
                <w:b/>
                <w:bCs/>
                <w:sz w:val="24"/>
                <w:szCs w:val="24"/>
                <w:lang w:eastAsia="en-IN"/>
              </w:rPr>
            </w:pPr>
            <w:r w:rsidRPr="003022C9">
              <w:rPr>
                <w:rFonts w:ascii="Times New Roman" w:eastAsia="Times New Roman" w:hAnsi="Times New Roman" w:cs="Times New Roman"/>
                <w:b/>
                <w:bCs/>
                <w:sz w:val="24"/>
                <w:szCs w:val="24"/>
                <w:lang w:eastAsia="en-IN"/>
              </w:rPr>
              <w:t>Author &amp; Year</w:t>
            </w:r>
          </w:p>
        </w:tc>
      </w:tr>
      <w:tr w:rsidR="004839B5" w:rsidRPr="003022C9" w14:paraId="2C6063A4" w14:textId="77777777" w:rsidTr="003E0E52">
        <w:trPr>
          <w:trHeight w:val="514"/>
        </w:trPr>
        <w:tc>
          <w:tcPr>
            <w:tcW w:w="0" w:type="auto"/>
            <w:hideMark/>
          </w:tcPr>
          <w:p w14:paraId="05207C4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Basrai</w:t>
            </w:r>
          </w:p>
        </w:tc>
        <w:tc>
          <w:tcPr>
            <w:tcW w:w="1070" w:type="dxa"/>
            <w:hideMark/>
          </w:tcPr>
          <w:p w14:paraId="4A4CF381"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AAA</w:t>
            </w:r>
          </w:p>
        </w:tc>
        <w:tc>
          <w:tcPr>
            <w:tcW w:w="1083" w:type="dxa"/>
            <w:hideMark/>
          </w:tcPr>
          <w:p w14:paraId="052686C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1.5 × 1.5 m</w:t>
            </w:r>
          </w:p>
        </w:tc>
        <w:tc>
          <w:tcPr>
            <w:tcW w:w="0" w:type="auto"/>
            <w:hideMark/>
          </w:tcPr>
          <w:p w14:paraId="320DAE9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51EF2A46"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4,444</w:t>
            </w:r>
          </w:p>
        </w:tc>
        <w:tc>
          <w:tcPr>
            <w:tcW w:w="1177" w:type="dxa"/>
            <w:hideMark/>
          </w:tcPr>
          <w:p w14:paraId="25D5A2C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86 t ha⁻¹</w:t>
            </w:r>
          </w:p>
        </w:tc>
        <w:tc>
          <w:tcPr>
            <w:tcW w:w="0" w:type="auto"/>
            <w:hideMark/>
          </w:tcPr>
          <w:p w14:paraId="2135EA0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Behera et al., 2016</w:t>
            </w:r>
          </w:p>
        </w:tc>
      </w:tr>
      <w:tr w:rsidR="004839B5" w:rsidRPr="003022C9" w14:paraId="109EB7B6" w14:textId="77777777" w:rsidTr="003E0E52">
        <w:trPr>
          <w:trHeight w:val="514"/>
        </w:trPr>
        <w:tc>
          <w:tcPr>
            <w:tcW w:w="0" w:type="auto"/>
            <w:hideMark/>
          </w:tcPr>
          <w:p w14:paraId="08DB548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Robusta</w:t>
            </w:r>
          </w:p>
        </w:tc>
        <w:tc>
          <w:tcPr>
            <w:tcW w:w="1070" w:type="dxa"/>
            <w:hideMark/>
          </w:tcPr>
          <w:p w14:paraId="6146C9F5"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AAA</w:t>
            </w:r>
          </w:p>
        </w:tc>
        <w:tc>
          <w:tcPr>
            <w:tcW w:w="1083" w:type="dxa"/>
            <w:hideMark/>
          </w:tcPr>
          <w:p w14:paraId="73BEB31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1.2 × 1.2 m</w:t>
            </w:r>
          </w:p>
        </w:tc>
        <w:tc>
          <w:tcPr>
            <w:tcW w:w="0" w:type="auto"/>
            <w:hideMark/>
          </w:tcPr>
          <w:p w14:paraId="75E85EB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6E85FCD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6,944</w:t>
            </w:r>
          </w:p>
        </w:tc>
        <w:tc>
          <w:tcPr>
            <w:tcW w:w="1177" w:type="dxa"/>
            <w:hideMark/>
          </w:tcPr>
          <w:p w14:paraId="4D4185E5"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174 t ha⁻¹</w:t>
            </w:r>
          </w:p>
        </w:tc>
        <w:tc>
          <w:tcPr>
            <w:tcW w:w="0" w:type="auto"/>
            <w:hideMark/>
          </w:tcPr>
          <w:p w14:paraId="3F96A0A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Behera et al., 2016</w:t>
            </w:r>
          </w:p>
        </w:tc>
      </w:tr>
      <w:tr w:rsidR="004839B5" w:rsidRPr="003022C9" w14:paraId="4885FA2C" w14:textId="77777777" w:rsidTr="003E0E52">
        <w:trPr>
          <w:trHeight w:val="760"/>
        </w:trPr>
        <w:tc>
          <w:tcPr>
            <w:tcW w:w="0" w:type="auto"/>
            <w:hideMark/>
          </w:tcPr>
          <w:p w14:paraId="33FA70B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Rasthali (Conventional)</w:t>
            </w:r>
          </w:p>
        </w:tc>
        <w:tc>
          <w:tcPr>
            <w:tcW w:w="1070" w:type="dxa"/>
            <w:hideMark/>
          </w:tcPr>
          <w:p w14:paraId="29C2439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AAB</w:t>
            </w:r>
          </w:p>
        </w:tc>
        <w:tc>
          <w:tcPr>
            <w:tcW w:w="1083" w:type="dxa"/>
            <w:hideMark/>
          </w:tcPr>
          <w:p w14:paraId="1CA8CDE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2.0 m</w:t>
            </w:r>
          </w:p>
        </w:tc>
        <w:tc>
          <w:tcPr>
            <w:tcW w:w="0" w:type="auto"/>
            <w:hideMark/>
          </w:tcPr>
          <w:p w14:paraId="12EFF807"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sucker</w:t>
            </w:r>
          </w:p>
        </w:tc>
        <w:tc>
          <w:tcPr>
            <w:tcW w:w="0" w:type="auto"/>
            <w:hideMark/>
          </w:tcPr>
          <w:p w14:paraId="1B0AE79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2,500</w:t>
            </w:r>
          </w:p>
        </w:tc>
        <w:tc>
          <w:tcPr>
            <w:tcW w:w="1177" w:type="dxa"/>
            <w:hideMark/>
          </w:tcPr>
          <w:p w14:paraId="70C4E30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28.21 t ha⁻¹</w:t>
            </w:r>
          </w:p>
        </w:tc>
        <w:tc>
          <w:tcPr>
            <w:tcW w:w="0" w:type="auto"/>
            <w:hideMark/>
          </w:tcPr>
          <w:p w14:paraId="6EE7AA87"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Patel et al., 2018</w:t>
            </w:r>
          </w:p>
        </w:tc>
      </w:tr>
      <w:tr w:rsidR="004839B5" w:rsidRPr="003022C9" w14:paraId="3879EEDB" w14:textId="77777777" w:rsidTr="003E0E52">
        <w:trPr>
          <w:trHeight w:val="772"/>
        </w:trPr>
        <w:tc>
          <w:tcPr>
            <w:tcW w:w="0" w:type="auto"/>
            <w:hideMark/>
          </w:tcPr>
          <w:p w14:paraId="56DB510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Rasthali (HDP)</w:t>
            </w:r>
          </w:p>
        </w:tc>
        <w:tc>
          <w:tcPr>
            <w:tcW w:w="1070" w:type="dxa"/>
            <w:hideMark/>
          </w:tcPr>
          <w:p w14:paraId="36BFB09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AAB</w:t>
            </w:r>
          </w:p>
        </w:tc>
        <w:tc>
          <w:tcPr>
            <w:tcW w:w="1083" w:type="dxa"/>
            <w:hideMark/>
          </w:tcPr>
          <w:p w14:paraId="72E5614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3.0 m</w:t>
            </w:r>
          </w:p>
        </w:tc>
        <w:tc>
          <w:tcPr>
            <w:tcW w:w="0" w:type="auto"/>
            <w:hideMark/>
          </w:tcPr>
          <w:p w14:paraId="64D28A6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 suckers / pit</w:t>
            </w:r>
          </w:p>
        </w:tc>
        <w:tc>
          <w:tcPr>
            <w:tcW w:w="0" w:type="auto"/>
            <w:hideMark/>
          </w:tcPr>
          <w:p w14:paraId="7C14A3E6"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5,000</w:t>
            </w:r>
          </w:p>
        </w:tc>
        <w:tc>
          <w:tcPr>
            <w:tcW w:w="1177" w:type="dxa"/>
            <w:hideMark/>
          </w:tcPr>
          <w:p w14:paraId="4D3B332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38.31 t ha⁻¹</w:t>
            </w:r>
          </w:p>
        </w:tc>
        <w:tc>
          <w:tcPr>
            <w:tcW w:w="0" w:type="auto"/>
            <w:hideMark/>
          </w:tcPr>
          <w:p w14:paraId="4CF0445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Patel et al., 2018</w:t>
            </w:r>
          </w:p>
        </w:tc>
      </w:tr>
      <w:tr w:rsidR="004839B5" w:rsidRPr="003022C9" w14:paraId="451056C7" w14:textId="77777777" w:rsidTr="003E0E52">
        <w:trPr>
          <w:trHeight w:val="1029"/>
        </w:trPr>
        <w:tc>
          <w:tcPr>
            <w:tcW w:w="0" w:type="auto"/>
            <w:hideMark/>
          </w:tcPr>
          <w:p w14:paraId="38CD251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Grand Naine</w:t>
            </w:r>
          </w:p>
        </w:tc>
        <w:tc>
          <w:tcPr>
            <w:tcW w:w="1070" w:type="dxa"/>
            <w:hideMark/>
          </w:tcPr>
          <w:p w14:paraId="3113F16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AAA</w:t>
            </w:r>
          </w:p>
        </w:tc>
        <w:tc>
          <w:tcPr>
            <w:tcW w:w="1083" w:type="dxa"/>
            <w:hideMark/>
          </w:tcPr>
          <w:p w14:paraId="6520589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1.2 × 1.2 × 2.0 m (paired row)</w:t>
            </w:r>
          </w:p>
        </w:tc>
        <w:tc>
          <w:tcPr>
            <w:tcW w:w="0" w:type="auto"/>
            <w:hideMark/>
          </w:tcPr>
          <w:p w14:paraId="24F3EC8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3CC5D60D"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~4,400</w:t>
            </w:r>
          </w:p>
        </w:tc>
        <w:tc>
          <w:tcPr>
            <w:tcW w:w="1177" w:type="dxa"/>
            <w:hideMark/>
          </w:tcPr>
          <w:p w14:paraId="13F4F2C7"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117.81 t ha⁻¹</w:t>
            </w:r>
          </w:p>
        </w:tc>
        <w:tc>
          <w:tcPr>
            <w:tcW w:w="0" w:type="auto"/>
            <w:hideMark/>
          </w:tcPr>
          <w:p w14:paraId="5B78D1A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Patel et al., 2018</w:t>
            </w:r>
          </w:p>
        </w:tc>
      </w:tr>
      <w:tr w:rsidR="004839B5" w:rsidRPr="003022C9" w14:paraId="38179D26" w14:textId="77777777" w:rsidTr="003E0E52">
        <w:trPr>
          <w:trHeight w:val="772"/>
        </w:trPr>
        <w:tc>
          <w:tcPr>
            <w:tcW w:w="0" w:type="auto"/>
            <w:hideMark/>
          </w:tcPr>
          <w:p w14:paraId="1EDDD8F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Grand Naine</w:t>
            </w:r>
          </w:p>
        </w:tc>
        <w:tc>
          <w:tcPr>
            <w:tcW w:w="1070" w:type="dxa"/>
            <w:hideMark/>
          </w:tcPr>
          <w:p w14:paraId="3FD9A9A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AAA</w:t>
            </w:r>
          </w:p>
        </w:tc>
        <w:tc>
          <w:tcPr>
            <w:tcW w:w="1083" w:type="dxa"/>
            <w:hideMark/>
          </w:tcPr>
          <w:p w14:paraId="1C4DC29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3.0 m</w:t>
            </w:r>
          </w:p>
        </w:tc>
        <w:tc>
          <w:tcPr>
            <w:tcW w:w="0" w:type="auto"/>
            <w:hideMark/>
          </w:tcPr>
          <w:p w14:paraId="6E2F9FD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 suckers / hill</w:t>
            </w:r>
          </w:p>
        </w:tc>
        <w:tc>
          <w:tcPr>
            <w:tcW w:w="0" w:type="auto"/>
            <w:hideMark/>
          </w:tcPr>
          <w:p w14:paraId="34137AF5"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5,000</w:t>
            </w:r>
          </w:p>
        </w:tc>
        <w:tc>
          <w:tcPr>
            <w:tcW w:w="1177" w:type="dxa"/>
            <w:hideMark/>
          </w:tcPr>
          <w:p w14:paraId="1FDA61F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28.9–79% increase over control</w:t>
            </w:r>
          </w:p>
        </w:tc>
        <w:tc>
          <w:tcPr>
            <w:tcW w:w="0" w:type="auto"/>
            <w:hideMark/>
          </w:tcPr>
          <w:p w14:paraId="5478C48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Debnath et al., 2021</w:t>
            </w:r>
          </w:p>
        </w:tc>
      </w:tr>
      <w:tr w:rsidR="004839B5" w:rsidRPr="003022C9" w14:paraId="134E8062" w14:textId="77777777" w:rsidTr="003E0E52">
        <w:trPr>
          <w:trHeight w:val="772"/>
        </w:trPr>
        <w:tc>
          <w:tcPr>
            <w:tcW w:w="0" w:type="auto"/>
            <w:hideMark/>
          </w:tcPr>
          <w:p w14:paraId="7CF4802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Nendran</w:t>
            </w:r>
          </w:p>
        </w:tc>
        <w:tc>
          <w:tcPr>
            <w:tcW w:w="1070" w:type="dxa"/>
            <w:hideMark/>
          </w:tcPr>
          <w:p w14:paraId="4AE692E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AAB</w:t>
            </w:r>
          </w:p>
        </w:tc>
        <w:tc>
          <w:tcPr>
            <w:tcW w:w="1083" w:type="dxa"/>
            <w:hideMark/>
          </w:tcPr>
          <w:p w14:paraId="0A9F275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3.0 m</w:t>
            </w:r>
          </w:p>
        </w:tc>
        <w:tc>
          <w:tcPr>
            <w:tcW w:w="0" w:type="auto"/>
            <w:hideMark/>
          </w:tcPr>
          <w:p w14:paraId="16B56357"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 suckers / hill</w:t>
            </w:r>
          </w:p>
        </w:tc>
        <w:tc>
          <w:tcPr>
            <w:tcW w:w="0" w:type="auto"/>
            <w:hideMark/>
          </w:tcPr>
          <w:p w14:paraId="47B0CA8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5,000</w:t>
            </w:r>
          </w:p>
        </w:tc>
        <w:tc>
          <w:tcPr>
            <w:tcW w:w="1177" w:type="dxa"/>
            <w:hideMark/>
          </w:tcPr>
          <w:p w14:paraId="13B4899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33–43% yield increase</w:t>
            </w:r>
          </w:p>
        </w:tc>
        <w:tc>
          <w:tcPr>
            <w:tcW w:w="0" w:type="auto"/>
            <w:hideMark/>
          </w:tcPr>
          <w:p w14:paraId="09A8298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Debnath et al., 2021</w:t>
            </w:r>
          </w:p>
        </w:tc>
      </w:tr>
      <w:tr w:rsidR="004839B5" w:rsidRPr="003022C9" w14:paraId="150F2460" w14:textId="77777777" w:rsidTr="003E0E52">
        <w:trPr>
          <w:trHeight w:val="772"/>
        </w:trPr>
        <w:tc>
          <w:tcPr>
            <w:tcW w:w="0" w:type="auto"/>
            <w:hideMark/>
          </w:tcPr>
          <w:p w14:paraId="459FDCA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Martaman</w:t>
            </w:r>
          </w:p>
        </w:tc>
        <w:tc>
          <w:tcPr>
            <w:tcW w:w="1070" w:type="dxa"/>
            <w:hideMark/>
          </w:tcPr>
          <w:p w14:paraId="20E0131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AAB</w:t>
            </w:r>
          </w:p>
        </w:tc>
        <w:tc>
          <w:tcPr>
            <w:tcW w:w="1083" w:type="dxa"/>
            <w:hideMark/>
          </w:tcPr>
          <w:p w14:paraId="4F4808F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3.0 m</w:t>
            </w:r>
          </w:p>
        </w:tc>
        <w:tc>
          <w:tcPr>
            <w:tcW w:w="0" w:type="auto"/>
            <w:hideMark/>
          </w:tcPr>
          <w:p w14:paraId="198D598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 suckers / hill</w:t>
            </w:r>
          </w:p>
        </w:tc>
        <w:tc>
          <w:tcPr>
            <w:tcW w:w="0" w:type="auto"/>
            <w:hideMark/>
          </w:tcPr>
          <w:p w14:paraId="5EB1644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5,000</w:t>
            </w:r>
          </w:p>
        </w:tc>
        <w:tc>
          <w:tcPr>
            <w:tcW w:w="1177" w:type="dxa"/>
            <w:hideMark/>
          </w:tcPr>
          <w:p w14:paraId="715BE7E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Up to 79% increase</w:t>
            </w:r>
          </w:p>
        </w:tc>
        <w:tc>
          <w:tcPr>
            <w:tcW w:w="0" w:type="auto"/>
            <w:hideMark/>
          </w:tcPr>
          <w:p w14:paraId="4DF0418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Debnath et al., 2021</w:t>
            </w:r>
          </w:p>
        </w:tc>
      </w:tr>
      <w:tr w:rsidR="004839B5" w:rsidRPr="003022C9" w14:paraId="1D465472" w14:textId="77777777" w:rsidTr="003E0E52">
        <w:trPr>
          <w:trHeight w:val="760"/>
        </w:trPr>
        <w:tc>
          <w:tcPr>
            <w:tcW w:w="0" w:type="auto"/>
            <w:hideMark/>
          </w:tcPr>
          <w:p w14:paraId="00F3372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Ney Poovan (TC)</w:t>
            </w:r>
          </w:p>
        </w:tc>
        <w:tc>
          <w:tcPr>
            <w:tcW w:w="1070" w:type="dxa"/>
            <w:hideMark/>
          </w:tcPr>
          <w:p w14:paraId="0D981A41"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AB</w:t>
            </w:r>
          </w:p>
        </w:tc>
        <w:tc>
          <w:tcPr>
            <w:tcW w:w="1083" w:type="dxa"/>
            <w:hideMark/>
          </w:tcPr>
          <w:p w14:paraId="1F33FAD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2.0 × 3.0 m</w:t>
            </w:r>
          </w:p>
        </w:tc>
        <w:tc>
          <w:tcPr>
            <w:tcW w:w="0" w:type="auto"/>
            <w:hideMark/>
          </w:tcPr>
          <w:p w14:paraId="282AFD8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3 plants / pit</w:t>
            </w:r>
          </w:p>
        </w:tc>
        <w:tc>
          <w:tcPr>
            <w:tcW w:w="0" w:type="auto"/>
            <w:hideMark/>
          </w:tcPr>
          <w:p w14:paraId="144D306D"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5,000</w:t>
            </w:r>
          </w:p>
        </w:tc>
        <w:tc>
          <w:tcPr>
            <w:tcW w:w="1177" w:type="dxa"/>
            <w:hideMark/>
          </w:tcPr>
          <w:p w14:paraId="7FDBBC91"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43.44 t ha⁻¹</w:t>
            </w:r>
          </w:p>
        </w:tc>
        <w:tc>
          <w:tcPr>
            <w:tcW w:w="0" w:type="auto"/>
            <w:hideMark/>
          </w:tcPr>
          <w:p w14:paraId="015E649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Yallesh Kumar et al., 2024</w:t>
            </w:r>
          </w:p>
        </w:tc>
      </w:tr>
      <w:tr w:rsidR="004839B5" w:rsidRPr="003022C9" w14:paraId="45CEDE35" w14:textId="77777777" w:rsidTr="003E0E52">
        <w:trPr>
          <w:trHeight w:val="514"/>
        </w:trPr>
        <w:tc>
          <w:tcPr>
            <w:tcW w:w="0" w:type="auto"/>
            <w:hideMark/>
          </w:tcPr>
          <w:p w14:paraId="2E224D7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Ney Poovan</w:t>
            </w:r>
          </w:p>
        </w:tc>
        <w:tc>
          <w:tcPr>
            <w:tcW w:w="1070" w:type="dxa"/>
            <w:hideMark/>
          </w:tcPr>
          <w:p w14:paraId="7503A2F7"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AB</w:t>
            </w:r>
          </w:p>
        </w:tc>
        <w:tc>
          <w:tcPr>
            <w:tcW w:w="1083" w:type="dxa"/>
            <w:hideMark/>
          </w:tcPr>
          <w:p w14:paraId="278FCB2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1.8 × 3.6 m</w:t>
            </w:r>
          </w:p>
        </w:tc>
        <w:tc>
          <w:tcPr>
            <w:tcW w:w="0" w:type="auto"/>
            <w:hideMark/>
          </w:tcPr>
          <w:p w14:paraId="5271DC01"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7511F2B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~1,543</w:t>
            </w:r>
          </w:p>
        </w:tc>
        <w:tc>
          <w:tcPr>
            <w:tcW w:w="1177" w:type="dxa"/>
            <w:hideMark/>
          </w:tcPr>
          <w:p w14:paraId="3503624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Bunch wt. 11.38 kg</w:t>
            </w:r>
          </w:p>
        </w:tc>
        <w:tc>
          <w:tcPr>
            <w:tcW w:w="0" w:type="auto"/>
            <w:hideMark/>
          </w:tcPr>
          <w:p w14:paraId="196EAC26"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Kaviyarasu et al., 2025</w:t>
            </w:r>
          </w:p>
        </w:tc>
      </w:tr>
      <w:tr w:rsidR="004839B5" w:rsidRPr="003022C9" w14:paraId="51DBC81D" w14:textId="77777777" w:rsidTr="003E0E52">
        <w:trPr>
          <w:trHeight w:val="514"/>
        </w:trPr>
        <w:tc>
          <w:tcPr>
            <w:tcW w:w="0" w:type="auto"/>
            <w:hideMark/>
          </w:tcPr>
          <w:p w14:paraId="2C2F7E2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Poovan (Agroforestry)</w:t>
            </w:r>
          </w:p>
        </w:tc>
        <w:tc>
          <w:tcPr>
            <w:tcW w:w="1070" w:type="dxa"/>
            <w:hideMark/>
          </w:tcPr>
          <w:p w14:paraId="3506A0E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AB</w:t>
            </w:r>
          </w:p>
        </w:tc>
        <w:tc>
          <w:tcPr>
            <w:tcW w:w="1083" w:type="dxa"/>
            <w:hideMark/>
          </w:tcPr>
          <w:p w14:paraId="5A5709B1"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2.1 × 2.1 m</w:t>
            </w:r>
          </w:p>
        </w:tc>
        <w:tc>
          <w:tcPr>
            <w:tcW w:w="0" w:type="auto"/>
            <w:hideMark/>
          </w:tcPr>
          <w:p w14:paraId="581BB45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39E2AD7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2,267</w:t>
            </w:r>
          </w:p>
        </w:tc>
        <w:tc>
          <w:tcPr>
            <w:tcW w:w="1177" w:type="dxa"/>
            <w:hideMark/>
          </w:tcPr>
          <w:p w14:paraId="11EB2E7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Bunch wt. 16 kg</w:t>
            </w:r>
          </w:p>
        </w:tc>
        <w:tc>
          <w:tcPr>
            <w:tcW w:w="0" w:type="auto"/>
            <w:hideMark/>
          </w:tcPr>
          <w:p w14:paraId="07C9555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Selvaraj et al., 2024</w:t>
            </w:r>
          </w:p>
        </w:tc>
      </w:tr>
      <w:tr w:rsidR="004839B5" w:rsidRPr="003022C9" w14:paraId="43E276BE" w14:textId="77777777" w:rsidTr="003E0E52">
        <w:trPr>
          <w:trHeight w:val="514"/>
        </w:trPr>
        <w:tc>
          <w:tcPr>
            <w:tcW w:w="0" w:type="auto"/>
            <w:hideMark/>
          </w:tcPr>
          <w:p w14:paraId="7798F4B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Phule Pride (dwarf)</w:t>
            </w:r>
          </w:p>
        </w:tc>
        <w:tc>
          <w:tcPr>
            <w:tcW w:w="1070" w:type="dxa"/>
            <w:hideMark/>
          </w:tcPr>
          <w:p w14:paraId="41F23906"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AAA</w:t>
            </w:r>
          </w:p>
        </w:tc>
        <w:tc>
          <w:tcPr>
            <w:tcW w:w="1083" w:type="dxa"/>
            <w:hideMark/>
          </w:tcPr>
          <w:p w14:paraId="04827BE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1.5 × 1.5 m</w:t>
            </w:r>
          </w:p>
        </w:tc>
        <w:tc>
          <w:tcPr>
            <w:tcW w:w="0" w:type="auto"/>
            <w:hideMark/>
          </w:tcPr>
          <w:p w14:paraId="1CD8869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Single plant</w:t>
            </w:r>
          </w:p>
        </w:tc>
        <w:tc>
          <w:tcPr>
            <w:tcW w:w="0" w:type="auto"/>
            <w:hideMark/>
          </w:tcPr>
          <w:p w14:paraId="39B02CB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4,444</w:t>
            </w:r>
          </w:p>
        </w:tc>
        <w:tc>
          <w:tcPr>
            <w:tcW w:w="1177" w:type="dxa"/>
            <w:hideMark/>
          </w:tcPr>
          <w:p w14:paraId="48D840BA"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19.4 t ha⁻¹</w:t>
            </w:r>
          </w:p>
        </w:tc>
        <w:tc>
          <w:tcPr>
            <w:tcW w:w="0" w:type="auto"/>
            <w:hideMark/>
          </w:tcPr>
          <w:p w14:paraId="1EB293F2"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eastAsia="Times New Roman" w:hAnsi="Times New Roman" w:cs="Times New Roman"/>
                <w:sz w:val="24"/>
                <w:szCs w:val="24"/>
                <w:lang w:eastAsia="en-IN"/>
              </w:rPr>
              <w:t>Pujari et al., 2024</w:t>
            </w:r>
          </w:p>
        </w:tc>
      </w:tr>
      <w:tr w:rsidR="004839B5" w:rsidRPr="003022C9" w14:paraId="5FA4ECEC" w14:textId="77777777" w:rsidTr="003E0E52">
        <w:trPr>
          <w:trHeight w:val="1286"/>
        </w:trPr>
        <w:tc>
          <w:tcPr>
            <w:tcW w:w="0" w:type="auto"/>
            <w:vAlign w:val="center"/>
          </w:tcPr>
          <w:p w14:paraId="61F229F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Grand Naine</w:t>
            </w:r>
          </w:p>
        </w:tc>
        <w:tc>
          <w:tcPr>
            <w:tcW w:w="1070" w:type="dxa"/>
            <w:vAlign w:val="center"/>
          </w:tcPr>
          <w:p w14:paraId="2240EBD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AAA</w:t>
            </w:r>
          </w:p>
        </w:tc>
        <w:tc>
          <w:tcPr>
            <w:tcW w:w="1083" w:type="dxa"/>
            <w:vAlign w:val="center"/>
          </w:tcPr>
          <w:p w14:paraId="2FA5057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2.0 × 1.25 × 1.25 m (paired row)</w:t>
            </w:r>
          </w:p>
        </w:tc>
        <w:tc>
          <w:tcPr>
            <w:tcW w:w="0" w:type="auto"/>
            <w:vAlign w:val="center"/>
          </w:tcPr>
          <w:p w14:paraId="68CF054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Single plant</w:t>
            </w:r>
          </w:p>
        </w:tc>
        <w:tc>
          <w:tcPr>
            <w:tcW w:w="0" w:type="auto"/>
            <w:vAlign w:val="center"/>
          </w:tcPr>
          <w:p w14:paraId="6909B82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4,414</w:t>
            </w:r>
          </w:p>
        </w:tc>
        <w:tc>
          <w:tcPr>
            <w:tcW w:w="1177" w:type="dxa"/>
            <w:vAlign w:val="center"/>
          </w:tcPr>
          <w:p w14:paraId="47894F9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~104</w:t>
            </w:r>
          </w:p>
        </w:tc>
        <w:tc>
          <w:tcPr>
            <w:tcW w:w="0" w:type="auto"/>
            <w:vAlign w:val="center"/>
          </w:tcPr>
          <w:p w14:paraId="5F08620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Hanuman Naik et al., 2016</w:t>
            </w:r>
          </w:p>
        </w:tc>
      </w:tr>
      <w:tr w:rsidR="004839B5" w:rsidRPr="003022C9" w14:paraId="1DD5BD19" w14:textId="77777777" w:rsidTr="003E0E52">
        <w:trPr>
          <w:trHeight w:val="514"/>
        </w:trPr>
        <w:tc>
          <w:tcPr>
            <w:tcW w:w="0" w:type="auto"/>
            <w:vAlign w:val="center"/>
          </w:tcPr>
          <w:p w14:paraId="5521FFC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lastRenderedPageBreak/>
              <w:t>Grand Naine</w:t>
            </w:r>
          </w:p>
        </w:tc>
        <w:tc>
          <w:tcPr>
            <w:tcW w:w="1070" w:type="dxa"/>
            <w:vAlign w:val="center"/>
          </w:tcPr>
          <w:p w14:paraId="145EAAFF"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AAA</w:t>
            </w:r>
          </w:p>
        </w:tc>
        <w:tc>
          <w:tcPr>
            <w:tcW w:w="1083" w:type="dxa"/>
            <w:vAlign w:val="center"/>
          </w:tcPr>
          <w:p w14:paraId="0ED2BE7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1.5 × 1.5 m</w:t>
            </w:r>
          </w:p>
        </w:tc>
        <w:tc>
          <w:tcPr>
            <w:tcW w:w="0" w:type="auto"/>
            <w:vAlign w:val="center"/>
          </w:tcPr>
          <w:p w14:paraId="45E1E686"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Single plant</w:t>
            </w:r>
          </w:p>
        </w:tc>
        <w:tc>
          <w:tcPr>
            <w:tcW w:w="0" w:type="auto"/>
            <w:vAlign w:val="center"/>
          </w:tcPr>
          <w:p w14:paraId="06556FD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4,444</w:t>
            </w:r>
          </w:p>
        </w:tc>
        <w:tc>
          <w:tcPr>
            <w:tcW w:w="1177" w:type="dxa"/>
            <w:vAlign w:val="center"/>
          </w:tcPr>
          <w:p w14:paraId="1FA09AC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79–86</w:t>
            </w:r>
          </w:p>
        </w:tc>
        <w:tc>
          <w:tcPr>
            <w:tcW w:w="0" w:type="auto"/>
            <w:vAlign w:val="center"/>
          </w:tcPr>
          <w:p w14:paraId="1C2A4CE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Amiri et al., 2022</w:t>
            </w:r>
          </w:p>
        </w:tc>
      </w:tr>
      <w:tr w:rsidR="004839B5" w:rsidRPr="003022C9" w14:paraId="55474D49" w14:textId="77777777" w:rsidTr="003E0E52">
        <w:trPr>
          <w:trHeight w:val="760"/>
        </w:trPr>
        <w:tc>
          <w:tcPr>
            <w:tcW w:w="0" w:type="auto"/>
            <w:vAlign w:val="center"/>
          </w:tcPr>
          <w:p w14:paraId="2BC426E0"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Grand Naine (TC)</w:t>
            </w:r>
          </w:p>
        </w:tc>
        <w:tc>
          <w:tcPr>
            <w:tcW w:w="1070" w:type="dxa"/>
            <w:vAlign w:val="center"/>
          </w:tcPr>
          <w:p w14:paraId="1F141B18"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AAA</w:t>
            </w:r>
          </w:p>
        </w:tc>
        <w:tc>
          <w:tcPr>
            <w:tcW w:w="1083" w:type="dxa"/>
            <w:vAlign w:val="center"/>
          </w:tcPr>
          <w:p w14:paraId="616038A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HDP + plastic mulch</w:t>
            </w:r>
          </w:p>
        </w:tc>
        <w:tc>
          <w:tcPr>
            <w:tcW w:w="0" w:type="auto"/>
            <w:vAlign w:val="center"/>
          </w:tcPr>
          <w:p w14:paraId="4369CC0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Single plant</w:t>
            </w:r>
          </w:p>
        </w:tc>
        <w:tc>
          <w:tcPr>
            <w:tcW w:w="0" w:type="auto"/>
            <w:vAlign w:val="center"/>
          </w:tcPr>
          <w:p w14:paraId="4CC4602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w:t>
            </w:r>
          </w:p>
        </w:tc>
        <w:tc>
          <w:tcPr>
            <w:tcW w:w="1177" w:type="dxa"/>
            <w:vAlign w:val="center"/>
          </w:tcPr>
          <w:p w14:paraId="26E64089"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78–80</w:t>
            </w:r>
          </w:p>
        </w:tc>
        <w:tc>
          <w:tcPr>
            <w:tcW w:w="0" w:type="auto"/>
            <w:vAlign w:val="center"/>
          </w:tcPr>
          <w:p w14:paraId="30234CD5"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Patley et al., 2023</w:t>
            </w:r>
          </w:p>
        </w:tc>
      </w:tr>
      <w:tr w:rsidR="004839B5" w:rsidRPr="003022C9" w14:paraId="1E1AB70B" w14:textId="77777777" w:rsidTr="003E0E52">
        <w:trPr>
          <w:trHeight w:val="772"/>
        </w:trPr>
        <w:tc>
          <w:tcPr>
            <w:tcW w:w="0" w:type="auto"/>
            <w:vAlign w:val="center"/>
          </w:tcPr>
          <w:p w14:paraId="2B6CD56B"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Nendran (TC)</w:t>
            </w:r>
          </w:p>
        </w:tc>
        <w:tc>
          <w:tcPr>
            <w:tcW w:w="1070" w:type="dxa"/>
            <w:vAlign w:val="center"/>
          </w:tcPr>
          <w:p w14:paraId="094432EE"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AAB</w:t>
            </w:r>
          </w:p>
        </w:tc>
        <w:tc>
          <w:tcPr>
            <w:tcW w:w="1083" w:type="dxa"/>
            <w:vAlign w:val="center"/>
          </w:tcPr>
          <w:p w14:paraId="18628BC3"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2.0 × 2.0 m</w:t>
            </w:r>
          </w:p>
        </w:tc>
        <w:tc>
          <w:tcPr>
            <w:tcW w:w="0" w:type="auto"/>
            <w:vAlign w:val="center"/>
          </w:tcPr>
          <w:p w14:paraId="17986D4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1 sucker / hill</w:t>
            </w:r>
          </w:p>
        </w:tc>
        <w:tc>
          <w:tcPr>
            <w:tcW w:w="0" w:type="auto"/>
            <w:vAlign w:val="center"/>
          </w:tcPr>
          <w:p w14:paraId="4DA490BC"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2,500</w:t>
            </w:r>
          </w:p>
        </w:tc>
        <w:tc>
          <w:tcPr>
            <w:tcW w:w="1177" w:type="dxa"/>
            <w:vAlign w:val="center"/>
          </w:tcPr>
          <w:p w14:paraId="7581C173" w14:textId="58F89544" w:rsidR="004839B5" w:rsidRPr="003022C9" w:rsidRDefault="003E0E52"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w:t>
            </w:r>
          </w:p>
        </w:tc>
        <w:tc>
          <w:tcPr>
            <w:tcW w:w="0" w:type="auto"/>
            <w:vAlign w:val="center"/>
          </w:tcPr>
          <w:p w14:paraId="00B796A4" w14:textId="77777777" w:rsidR="004839B5" w:rsidRPr="003022C9" w:rsidRDefault="004839B5" w:rsidP="00A71775">
            <w:pPr>
              <w:spacing w:after="0" w:line="240" w:lineRule="auto"/>
              <w:rPr>
                <w:rFonts w:ascii="Times New Roman" w:eastAsia="Times New Roman" w:hAnsi="Times New Roman" w:cs="Times New Roman"/>
                <w:sz w:val="24"/>
                <w:szCs w:val="24"/>
                <w:lang w:eastAsia="en-IN"/>
              </w:rPr>
            </w:pPr>
            <w:r w:rsidRPr="003022C9">
              <w:rPr>
                <w:rFonts w:ascii="Times New Roman" w:hAnsi="Times New Roman" w:cs="Times New Roman"/>
                <w:sz w:val="24"/>
                <w:szCs w:val="24"/>
              </w:rPr>
              <w:t>Sajeev et al., 2024</w:t>
            </w:r>
          </w:p>
        </w:tc>
      </w:tr>
      <w:tr w:rsidR="003E0E52" w:rsidRPr="003022C9" w14:paraId="44532B2D" w14:textId="77777777" w:rsidTr="003E0E52">
        <w:trPr>
          <w:trHeight w:val="772"/>
        </w:trPr>
        <w:tc>
          <w:tcPr>
            <w:tcW w:w="0" w:type="auto"/>
            <w:vAlign w:val="center"/>
          </w:tcPr>
          <w:p w14:paraId="0A6CE293" w14:textId="0BE4FBEE"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lang w:val="en-IN"/>
              </w:rPr>
              <w:t xml:space="preserve">Quintal </w:t>
            </w:r>
            <w:proofErr w:type="spellStart"/>
            <w:r w:rsidRPr="003022C9">
              <w:rPr>
                <w:rFonts w:ascii="Times New Roman" w:hAnsi="Times New Roman" w:cs="Times New Roman"/>
                <w:sz w:val="24"/>
                <w:szCs w:val="24"/>
                <w:lang w:val="en-IN"/>
              </w:rPr>
              <w:t>Nendran</w:t>
            </w:r>
            <w:proofErr w:type="spellEnd"/>
          </w:p>
        </w:tc>
        <w:tc>
          <w:tcPr>
            <w:tcW w:w="1070" w:type="dxa"/>
            <w:vAlign w:val="center"/>
          </w:tcPr>
          <w:p w14:paraId="0E3CD93A" w14:textId="6AA19986"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lang w:val="en-IN"/>
              </w:rPr>
              <w:t>AAB</w:t>
            </w:r>
          </w:p>
        </w:tc>
        <w:tc>
          <w:tcPr>
            <w:tcW w:w="1083" w:type="dxa"/>
            <w:vAlign w:val="center"/>
          </w:tcPr>
          <w:p w14:paraId="4F6645E9" w14:textId="548B8F22"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lang w:val="en-IN"/>
              </w:rPr>
              <w:t>2.1 × 2.4 m</w:t>
            </w:r>
          </w:p>
        </w:tc>
        <w:tc>
          <w:tcPr>
            <w:tcW w:w="0" w:type="auto"/>
            <w:vAlign w:val="center"/>
          </w:tcPr>
          <w:p w14:paraId="2194CC32" w14:textId="08FEE2F2"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lang w:val="en-IN"/>
              </w:rPr>
              <w:t>Single plant</w:t>
            </w:r>
          </w:p>
        </w:tc>
        <w:tc>
          <w:tcPr>
            <w:tcW w:w="0" w:type="auto"/>
            <w:vAlign w:val="center"/>
          </w:tcPr>
          <w:p w14:paraId="646A57C1" w14:textId="35551E5A"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lang w:val="en-IN"/>
              </w:rPr>
              <w:t>1,984</w:t>
            </w:r>
          </w:p>
        </w:tc>
        <w:tc>
          <w:tcPr>
            <w:tcW w:w="1177" w:type="dxa"/>
            <w:vAlign w:val="center"/>
          </w:tcPr>
          <w:p w14:paraId="5EB56CCA" w14:textId="646336B5"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rPr>
              <w:t>—</w:t>
            </w:r>
          </w:p>
        </w:tc>
        <w:tc>
          <w:tcPr>
            <w:tcW w:w="0" w:type="auto"/>
            <w:vAlign w:val="center"/>
          </w:tcPr>
          <w:p w14:paraId="711B6DE0" w14:textId="1987664F" w:rsidR="003E0E52" w:rsidRPr="003022C9" w:rsidRDefault="003E0E52" w:rsidP="00A71775">
            <w:pPr>
              <w:spacing w:after="0" w:line="240" w:lineRule="auto"/>
              <w:rPr>
                <w:rFonts w:ascii="Times New Roman" w:hAnsi="Times New Roman" w:cs="Times New Roman"/>
                <w:sz w:val="24"/>
                <w:szCs w:val="24"/>
              </w:rPr>
            </w:pPr>
            <w:r w:rsidRPr="003022C9">
              <w:rPr>
                <w:rFonts w:ascii="Times New Roman" w:hAnsi="Times New Roman" w:cs="Times New Roman"/>
                <w:sz w:val="24"/>
                <w:szCs w:val="24"/>
              </w:rPr>
              <w:t>Sindhupriya et al., 2018b</w:t>
            </w:r>
          </w:p>
        </w:tc>
      </w:tr>
    </w:tbl>
    <w:p w14:paraId="29664F82" w14:textId="77777777" w:rsidR="009A410D" w:rsidRPr="003022C9" w:rsidRDefault="009A410D" w:rsidP="003022C9">
      <w:pPr>
        <w:spacing w:line="480" w:lineRule="auto"/>
        <w:rPr>
          <w:rFonts w:ascii="Times New Roman" w:hAnsi="Times New Roman" w:cs="Times New Roman"/>
          <w:b/>
          <w:bCs/>
          <w:color w:val="000000" w:themeColor="text1"/>
          <w:sz w:val="24"/>
          <w:szCs w:val="24"/>
          <w:lang w:val="en-US"/>
        </w:rPr>
      </w:pPr>
    </w:p>
    <w:p w14:paraId="6B22CD43" w14:textId="6DB39552" w:rsidR="009A410D" w:rsidRPr="009A410D" w:rsidRDefault="009A410D" w:rsidP="00A71775">
      <w:pPr>
        <w:spacing w:line="240" w:lineRule="auto"/>
        <w:jc w:val="both"/>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 xml:space="preserve">Table </w:t>
      </w:r>
      <w:r w:rsidRPr="003022C9">
        <w:rPr>
          <w:rFonts w:ascii="Times New Roman" w:hAnsi="Times New Roman" w:cs="Times New Roman"/>
          <w:b/>
          <w:bCs/>
          <w:color w:val="000000" w:themeColor="text1"/>
          <w:sz w:val="24"/>
          <w:szCs w:val="24"/>
          <w:lang w:val="en-IN"/>
        </w:rPr>
        <w:t>2</w:t>
      </w:r>
      <w:r w:rsidRPr="009A410D">
        <w:rPr>
          <w:rFonts w:ascii="Times New Roman" w:hAnsi="Times New Roman" w:cs="Times New Roman"/>
          <w:b/>
          <w:bCs/>
          <w:color w:val="000000" w:themeColor="text1"/>
          <w:sz w:val="24"/>
          <w:szCs w:val="24"/>
          <w:lang w:val="en-IN"/>
        </w:rPr>
        <w:t>. Cost of Precision and HDP Interventions in Banana Cultivation (per hectare)</w:t>
      </w:r>
    </w:p>
    <w:tbl>
      <w:tblPr>
        <w:tblStyle w:val="TableGrid"/>
        <w:tblW w:w="0" w:type="auto"/>
        <w:tblLook w:val="04A0" w:firstRow="1" w:lastRow="0" w:firstColumn="1" w:lastColumn="0" w:noHBand="0" w:noVBand="1"/>
      </w:tblPr>
      <w:tblGrid>
        <w:gridCol w:w="2254"/>
        <w:gridCol w:w="2265"/>
        <w:gridCol w:w="1878"/>
        <w:gridCol w:w="2097"/>
      </w:tblGrid>
      <w:tr w:rsidR="009A410D" w:rsidRPr="009A410D" w14:paraId="0718DB35" w14:textId="77777777" w:rsidTr="009A410D">
        <w:tc>
          <w:tcPr>
            <w:tcW w:w="0" w:type="auto"/>
            <w:hideMark/>
          </w:tcPr>
          <w:p w14:paraId="3129730F" w14:textId="77777777" w:rsidR="009A410D" w:rsidRPr="009A410D" w:rsidRDefault="009A410D" w:rsidP="00A71775">
            <w:pPr>
              <w:spacing w:line="240" w:lineRule="auto"/>
              <w:jc w:val="both"/>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Intervention</w:t>
            </w:r>
          </w:p>
        </w:tc>
        <w:tc>
          <w:tcPr>
            <w:tcW w:w="0" w:type="auto"/>
            <w:hideMark/>
          </w:tcPr>
          <w:p w14:paraId="1E2FD9B2" w14:textId="77777777" w:rsidR="009A410D" w:rsidRPr="009A410D" w:rsidRDefault="009A410D" w:rsidP="00A71775">
            <w:pPr>
              <w:spacing w:line="240" w:lineRule="auto"/>
              <w:jc w:val="both"/>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Input Components</w:t>
            </w:r>
          </w:p>
        </w:tc>
        <w:tc>
          <w:tcPr>
            <w:tcW w:w="0" w:type="auto"/>
            <w:hideMark/>
          </w:tcPr>
          <w:p w14:paraId="2CBF53F0" w14:textId="77777777" w:rsidR="009A410D" w:rsidRPr="009A410D" w:rsidRDefault="009A410D" w:rsidP="00A71775">
            <w:pPr>
              <w:spacing w:line="240" w:lineRule="auto"/>
              <w:jc w:val="both"/>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Approximate Cost (₹ ha⁻¹)</w:t>
            </w:r>
          </w:p>
        </w:tc>
        <w:tc>
          <w:tcPr>
            <w:tcW w:w="0" w:type="auto"/>
            <w:hideMark/>
          </w:tcPr>
          <w:p w14:paraId="4303E299" w14:textId="77777777" w:rsidR="009A410D" w:rsidRPr="009A410D" w:rsidRDefault="009A410D" w:rsidP="00A71775">
            <w:pPr>
              <w:spacing w:line="240" w:lineRule="auto"/>
              <w:jc w:val="both"/>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Remarks</w:t>
            </w:r>
          </w:p>
        </w:tc>
      </w:tr>
      <w:tr w:rsidR="009A410D" w:rsidRPr="009A410D" w14:paraId="5F3044C1" w14:textId="77777777" w:rsidTr="009A410D">
        <w:tc>
          <w:tcPr>
            <w:tcW w:w="0" w:type="auto"/>
            <w:hideMark/>
          </w:tcPr>
          <w:p w14:paraId="5F9E28A3"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High-Density Planting (HDP)</w:t>
            </w:r>
          </w:p>
        </w:tc>
        <w:tc>
          <w:tcPr>
            <w:tcW w:w="0" w:type="auto"/>
            <w:hideMark/>
          </w:tcPr>
          <w:p w14:paraId="5189F1BF"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Additional planting material, pit preparation</w:t>
            </w:r>
          </w:p>
        </w:tc>
        <w:tc>
          <w:tcPr>
            <w:tcW w:w="0" w:type="auto"/>
            <w:hideMark/>
          </w:tcPr>
          <w:p w14:paraId="340C01E2"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35,000–55,000</w:t>
            </w:r>
          </w:p>
        </w:tc>
        <w:tc>
          <w:tcPr>
            <w:tcW w:w="0" w:type="auto"/>
            <w:hideMark/>
          </w:tcPr>
          <w:p w14:paraId="4BB0F83E"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Cost varies with cultivar and plant density</w:t>
            </w:r>
          </w:p>
        </w:tc>
      </w:tr>
      <w:tr w:rsidR="009A410D" w:rsidRPr="009A410D" w14:paraId="3A4B68B3" w14:textId="77777777" w:rsidTr="009A410D">
        <w:tc>
          <w:tcPr>
            <w:tcW w:w="0" w:type="auto"/>
            <w:hideMark/>
          </w:tcPr>
          <w:p w14:paraId="59CA7EF9"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Fertigation system (drip)</w:t>
            </w:r>
          </w:p>
        </w:tc>
        <w:tc>
          <w:tcPr>
            <w:tcW w:w="0" w:type="auto"/>
            <w:hideMark/>
          </w:tcPr>
          <w:p w14:paraId="4875EEA6"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Drip lines, filters, venturi</w:t>
            </w:r>
          </w:p>
        </w:tc>
        <w:tc>
          <w:tcPr>
            <w:tcW w:w="0" w:type="auto"/>
            <w:hideMark/>
          </w:tcPr>
          <w:p w14:paraId="6F512820"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60,000–90,000</w:t>
            </w:r>
          </w:p>
        </w:tc>
        <w:tc>
          <w:tcPr>
            <w:tcW w:w="0" w:type="auto"/>
            <w:hideMark/>
          </w:tcPr>
          <w:p w14:paraId="177D3AF4"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Initial investment; long-term benefit</w:t>
            </w:r>
          </w:p>
        </w:tc>
      </w:tr>
      <w:tr w:rsidR="009A410D" w:rsidRPr="009A410D" w14:paraId="6013F177" w14:textId="77777777" w:rsidTr="009A410D">
        <w:tc>
          <w:tcPr>
            <w:tcW w:w="0" w:type="auto"/>
            <w:hideMark/>
          </w:tcPr>
          <w:p w14:paraId="79FC6E7F"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Precision nutrient management</w:t>
            </w:r>
          </w:p>
        </w:tc>
        <w:tc>
          <w:tcPr>
            <w:tcW w:w="0" w:type="auto"/>
            <w:hideMark/>
          </w:tcPr>
          <w:p w14:paraId="6427E550"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Water-soluble fertilizers, micronutrients</w:t>
            </w:r>
          </w:p>
        </w:tc>
        <w:tc>
          <w:tcPr>
            <w:tcW w:w="0" w:type="auto"/>
            <w:hideMark/>
          </w:tcPr>
          <w:p w14:paraId="69950C8B"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25,000–40,000</w:t>
            </w:r>
          </w:p>
        </w:tc>
        <w:tc>
          <w:tcPr>
            <w:tcW w:w="0" w:type="auto"/>
            <w:hideMark/>
          </w:tcPr>
          <w:p w14:paraId="160F3293"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Often replaces bulk fertilizer use</w:t>
            </w:r>
          </w:p>
        </w:tc>
      </w:tr>
      <w:tr w:rsidR="009A410D" w:rsidRPr="009A410D" w14:paraId="0F2F475A" w14:textId="77777777" w:rsidTr="009A410D">
        <w:tc>
          <w:tcPr>
            <w:tcW w:w="0" w:type="auto"/>
            <w:hideMark/>
          </w:tcPr>
          <w:p w14:paraId="782347AE"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proofErr w:type="spellStart"/>
            <w:r w:rsidRPr="009A410D">
              <w:rPr>
                <w:rFonts w:ascii="Times New Roman" w:hAnsi="Times New Roman" w:cs="Times New Roman"/>
                <w:color w:val="000000" w:themeColor="text1"/>
                <w:sz w:val="24"/>
                <w:szCs w:val="24"/>
                <w:lang w:val="en-IN"/>
              </w:rPr>
              <w:t>Biostimulants</w:t>
            </w:r>
            <w:proofErr w:type="spellEnd"/>
            <w:r w:rsidRPr="009A410D">
              <w:rPr>
                <w:rFonts w:ascii="Times New Roman" w:hAnsi="Times New Roman" w:cs="Times New Roman"/>
                <w:color w:val="000000" w:themeColor="text1"/>
                <w:sz w:val="24"/>
                <w:szCs w:val="24"/>
                <w:lang w:val="en-IN"/>
              </w:rPr>
              <w:t xml:space="preserve"> / growth regulators</w:t>
            </w:r>
          </w:p>
        </w:tc>
        <w:tc>
          <w:tcPr>
            <w:tcW w:w="0" w:type="auto"/>
            <w:hideMark/>
          </w:tcPr>
          <w:p w14:paraId="7C81DC29"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Seaweed extract, humic acid, PGRs</w:t>
            </w:r>
          </w:p>
        </w:tc>
        <w:tc>
          <w:tcPr>
            <w:tcW w:w="0" w:type="auto"/>
            <w:hideMark/>
          </w:tcPr>
          <w:p w14:paraId="1CE81E23"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8,000–15,000</w:t>
            </w:r>
          </w:p>
        </w:tc>
        <w:tc>
          <w:tcPr>
            <w:tcW w:w="0" w:type="auto"/>
            <w:hideMark/>
          </w:tcPr>
          <w:p w14:paraId="0FD8E754"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Used at critical growth stages</w:t>
            </w:r>
          </w:p>
        </w:tc>
      </w:tr>
      <w:tr w:rsidR="009A410D" w:rsidRPr="009A410D" w14:paraId="637C943B" w14:textId="77777777" w:rsidTr="009A410D">
        <w:tc>
          <w:tcPr>
            <w:tcW w:w="0" w:type="auto"/>
            <w:hideMark/>
          </w:tcPr>
          <w:p w14:paraId="23D10643"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Tissue culture planting material</w:t>
            </w:r>
          </w:p>
        </w:tc>
        <w:tc>
          <w:tcPr>
            <w:tcW w:w="0" w:type="auto"/>
            <w:hideMark/>
          </w:tcPr>
          <w:p w14:paraId="24EA0585"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TC plantlets</w:t>
            </w:r>
          </w:p>
        </w:tc>
        <w:tc>
          <w:tcPr>
            <w:tcW w:w="0" w:type="auto"/>
            <w:hideMark/>
          </w:tcPr>
          <w:p w14:paraId="40E2763D"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45,000–70,000</w:t>
            </w:r>
          </w:p>
        </w:tc>
        <w:tc>
          <w:tcPr>
            <w:tcW w:w="0" w:type="auto"/>
            <w:hideMark/>
          </w:tcPr>
          <w:p w14:paraId="4ADEE178"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Higher cost, uniform growth</w:t>
            </w:r>
          </w:p>
        </w:tc>
      </w:tr>
      <w:tr w:rsidR="009A410D" w:rsidRPr="009A410D" w14:paraId="73414F85" w14:textId="77777777" w:rsidTr="009A410D">
        <w:tc>
          <w:tcPr>
            <w:tcW w:w="0" w:type="auto"/>
            <w:hideMark/>
          </w:tcPr>
          <w:p w14:paraId="3D4F7AE5"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Total additional cost (precision-based system)</w:t>
            </w:r>
          </w:p>
        </w:tc>
        <w:tc>
          <w:tcPr>
            <w:tcW w:w="0" w:type="auto"/>
            <w:hideMark/>
          </w:tcPr>
          <w:p w14:paraId="2D2A6667"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w:t>
            </w:r>
          </w:p>
        </w:tc>
        <w:tc>
          <w:tcPr>
            <w:tcW w:w="0" w:type="auto"/>
            <w:hideMark/>
          </w:tcPr>
          <w:p w14:paraId="4EA754A2"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1.7–2.7 lakh ha⁻¹</w:t>
            </w:r>
          </w:p>
        </w:tc>
        <w:tc>
          <w:tcPr>
            <w:tcW w:w="0" w:type="auto"/>
            <w:hideMark/>
          </w:tcPr>
          <w:p w14:paraId="0466B52E" w14:textId="77777777" w:rsidR="009A410D" w:rsidRPr="009A410D" w:rsidRDefault="009A410D" w:rsidP="00A71775">
            <w:pPr>
              <w:spacing w:line="240" w:lineRule="auto"/>
              <w:jc w:val="both"/>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Compared to conventional system</w:t>
            </w:r>
          </w:p>
        </w:tc>
      </w:tr>
    </w:tbl>
    <w:p w14:paraId="1743F74D" w14:textId="0F876930" w:rsidR="009A410D" w:rsidRPr="003022C9" w:rsidRDefault="009A410D" w:rsidP="00A71775">
      <w:pPr>
        <w:spacing w:line="240" w:lineRule="auto"/>
        <w:jc w:val="both"/>
        <w:rPr>
          <w:rFonts w:ascii="Times New Roman" w:hAnsi="Times New Roman" w:cs="Times New Roman"/>
          <w:i/>
          <w:iCs/>
          <w:color w:val="000000" w:themeColor="text1"/>
          <w:sz w:val="24"/>
          <w:szCs w:val="24"/>
          <w:lang w:val="en-IN"/>
        </w:rPr>
      </w:pPr>
      <w:r w:rsidRPr="003022C9">
        <w:rPr>
          <w:rFonts w:ascii="Times New Roman" w:hAnsi="Times New Roman" w:cs="Times New Roman"/>
          <w:i/>
          <w:iCs/>
          <w:color w:val="000000" w:themeColor="text1"/>
          <w:sz w:val="24"/>
          <w:szCs w:val="24"/>
          <w:lang w:val="en-IN"/>
        </w:rPr>
        <w:t>*</w:t>
      </w:r>
      <w:r w:rsidRPr="003022C9">
        <w:rPr>
          <w:rFonts w:ascii="Times New Roman" w:hAnsi="Times New Roman" w:cs="Times New Roman"/>
          <w:i/>
          <w:iCs/>
          <w:sz w:val="24"/>
          <w:szCs w:val="24"/>
        </w:rPr>
        <w:t xml:space="preserve"> </w:t>
      </w:r>
      <w:r w:rsidRPr="003022C9">
        <w:rPr>
          <w:rFonts w:ascii="Times New Roman" w:hAnsi="Times New Roman" w:cs="Times New Roman"/>
          <w:i/>
          <w:iCs/>
          <w:color w:val="000000" w:themeColor="text1"/>
          <w:sz w:val="24"/>
          <w:szCs w:val="24"/>
        </w:rPr>
        <w:t>The values mentioned are indicative and represent cumulative estimates synthesized from multiple published studies; actual costs and returns may vary depending on location, cultivar, management practices, and market conditions.</w:t>
      </w:r>
    </w:p>
    <w:p w14:paraId="7C50A7BD" w14:textId="41562754" w:rsidR="009A410D" w:rsidRPr="009A410D" w:rsidRDefault="009A410D" w:rsidP="003022C9">
      <w:pPr>
        <w:spacing w:line="48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 xml:space="preserve">Table </w:t>
      </w:r>
      <w:r w:rsidRPr="003022C9">
        <w:rPr>
          <w:rFonts w:ascii="Times New Roman" w:hAnsi="Times New Roman" w:cs="Times New Roman"/>
          <w:b/>
          <w:bCs/>
          <w:color w:val="000000" w:themeColor="text1"/>
          <w:sz w:val="24"/>
          <w:szCs w:val="24"/>
          <w:lang w:val="en-IN"/>
        </w:rPr>
        <w:t xml:space="preserve">3. </w:t>
      </w:r>
      <w:r w:rsidRPr="009A410D">
        <w:rPr>
          <w:rFonts w:ascii="Times New Roman" w:hAnsi="Times New Roman" w:cs="Times New Roman"/>
          <w:b/>
          <w:bCs/>
          <w:color w:val="000000" w:themeColor="text1"/>
          <w:sz w:val="24"/>
          <w:szCs w:val="24"/>
          <w:lang w:val="en-IN"/>
        </w:rPr>
        <w:t xml:space="preserve"> Timing of Precision Inputs at Specific Growth Stages of Banana</w:t>
      </w:r>
    </w:p>
    <w:tbl>
      <w:tblPr>
        <w:tblStyle w:val="TableGrid"/>
        <w:tblW w:w="8191" w:type="dxa"/>
        <w:tblLook w:val="04A0" w:firstRow="1" w:lastRow="0" w:firstColumn="1" w:lastColumn="0" w:noHBand="0" w:noVBand="1"/>
      </w:tblPr>
      <w:tblGrid>
        <w:gridCol w:w="1915"/>
        <w:gridCol w:w="1339"/>
        <w:gridCol w:w="2942"/>
        <w:gridCol w:w="1995"/>
      </w:tblGrid>
      <w:tr w:rsidR="009A410D" w:rsidRPr="009A410D" w14:paraId="36526E2C" w14:textId="77777777" w:rsidTr="00A71775">
        <w:trPr>
          <w:trHeight w:val="417"/>
        </w:trPr>
        <w:tc>
          <w:tcPr>
            <w:tcW w:w="0" w:type="auto"/>
            <w:hideMark/>
          </w:tcPr>
          <w:p w14:paraId="3D3FEF40"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Growth Stage</w:t>
            </w:r>
          </w:p>
        </w:tc>
        <w:tc>
          <w:tcPr>
            <w:tcW w:w="0" w:type="auto"/>
            <w:hideMark/>
          </w:tcPr>
          <w:p w14:paraId="58CA522D"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Crop Age</w:t>
            </w:r>
          </w:p>
        </w:tc>
        <w:tc>
          <w:tcPr>
            <w:tcW w:w="0" w:type="auto"/>
            <w:hideMark/>
          </w:tcPr>
          <w:p w14:paraId="64BF5FB6"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Precision Intervention</w:t>
            </w:r>
          </w:p>
        </w:tc>
        <w:tc>
          <w:tcPr>
            <w:tcW w:w="0" w:type="auto"/>
            <w:hideMark/>
          </w:tcPr>
          <w:p w14:paraId="1CC7C161"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Purpose</w:t>
            </w:r>
          </w:p>
        </w:tc>
      </w:tr>
      <w:tr w:rsidR="009A410D" w:rsidRPr="009A410D" w14:paraId="47EAC0E1" w14:textId="77777777" w:rsidTr="00A71775">
        <w:trPr>
          <w:trHeight w:val="733"/>
        </w:trPr>
        <w:tc>
          <w:tcPr>
            <w:tcW w:w="0" w:type="auto"/>
            <w:hideMark/>
          </w:tcPr>
          <w:p w14:paraId="13594FD9"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lastRenderedPageBreak/>
              <w:t>Establishment</w:t>
            </w:r>
          </w:p>
        </w:tc>
        <w:tc>
          <w:tcPr>
            <w:tcW w:w="0" w:type="auto"/>
            <w:hideMark/>
          </w:tcPr>
          <w:p w14:paraId="645904B5"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0–30 DAP</w:t>
            </w:r>
          </w:p>
        </w:tc>
        <w:tc>
          <w:tcPr>
            <w:tcW w:w="0" w:type="auto"/>
            <w:hideMark/>
          </w:tcPr>
          <w:p w14:paraId="46167B88"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Starter fertigation, micronutrients</w:t>
            </w:r>
          </w:p>
        </w:tc>
        <w:tc>
          <w:tcPr>
            <w:tcW w:w="0" w:type="auto"/>
            <w:hideMark/>
          </w:tcPr>
          <w:p w14:paraId="678DD9D5"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Root establishment</w:t>
            </w:r>
          </w:p>
        </w:tc>
      </w:tr>
      <w:tr w:rsidR="009A410D" w:rsidRPr="009A410D" w14:paraId="32FCB693" w14:textId="77777777" w:rsidTr="00A71775">
        <w:trPr>
          <w:trHeight w:val="727"/>
        </w:trPr>
        <w:tc>
          <w:tcPr>
            <w:tcW w:w="0" w:type="auto"/>
            <w:hideMark/>
          </w:tcPr>
          <w:p w14:paraId="13F66549"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Vegetative growth</w:t>
            </w:r>
          </w:p>
        </w:tc>
        <w:tc>
          <w:tcPr>
            <w:tcW w:w="0" w:type="auto"/>
            <w:hideMark/>
          </w:tcPr>
          <w:p w14:paraId="6E986A6C"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2–5 MAP</w:t>
            </w:r>
          </w:p>
        </w:tc>
        <w:tc>
          <w:tcPr>
            <w:tcW w:w="0" w:type="auto"/>
            <w:hideMark/>
          </w:tcPr>
          <w:p w14:paraId="6837A752"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 xml:space="preserve">Split fertigation (N, K), </w:t>
            </w:r>
            <w:proofErr w:type="spellStart"/>
            <w:r w:rsidRPr="009A410D">
              <w:rPr>
                <w:rFonts w:ascii="Times New Roman" w:hAnsi="Times New Roman" w:cs="Times New Roman"/>
                <w:color w:val="000000" w:themeColor="text1"/>
                <w:sz w:val="24"/>
                <w:szCs w:val="24"/>
                <w:lang w:val="en-IN"/>
              </w:rPr>
              <w:t>biostimulants</w:t>
            </w:r>
            <w:proofErr w:type="spellEnd"/>
          </w:p>
        </w:tc>
        <w:tc>
          <w:tcPr>
            <w:tcW w:w="0" w:type="auto"/>
            <w:hideMark/>
          </w:tcPr>
          <w:p w14:paraId="3A1AD8D2"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Canopy development</w:t>
            </w:r>
          </w:p>
        </w:tc>
      </w:tr>
      <w:tr w:rsidR="009A410D" w:rsidRPr="009A410D" w14:paraId="28FF1AFA" w14:textId="77777777" w:rsidTr="00A71775">
        <w:trPr>
          <w:trHeight w:val="733"/>
        </w:trPr>
        <w:tc>
          <w:tcPr>
            <w:tcW w:w="0" w:type="auto"/>
            <w:hideMark/>
          </w:tcPr>
          <w:p w14:paraId="23F4E76B"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Active growth</w:t>
            </w:r>
          </w:p>
        </w:tc>
        <w:tc>
          <w:tcPr>
            <w:tcW w:w="0" w:type="auto"/>
            <w:hideMark/>
          </w:tcPr>
          <w:p w14:paraId="055EA853"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5–7 MAP</w:t>
            </w:r>
          </w:p>
        </w:tc>
        <w:tc>
          <w:tcPr>
            <w:tcW w:w="0" w:type="auto"/>
            <w:hideMark/>
          </w:tcPr>
          <w:p w14:paraId="1B6C3153"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Higher K fertigation, PGR sprays</w:t>
            </w:r>
          </w:p>
        </w:tc>
        <w:tc>
          <w:tcPr>
            <w:tcW w:w="0" w:type="auto"/>
            <w:hideMark/>
          </w:tcPr>
          <w:p w14:paraId="20AD0755"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proofErr w:type="spellStart"/>
            <w:r w:rsidRPr="009A410D">
              <w:rPr>
                <w:rFonts w:ascii="Times New Roman" w:hAnsi="Times New Roman" w:cs="Times New Roman"/>
                <w:color w:val="000000" w:themeColor="text1"/>
                <w:sz w:val="24"/>
                <w:szCs w:val="24"/>
                <w:lang w:val="en-IN"/>
              </w:rPr>
              <w:t>Pseudostem</w:t>
            </w:r>
            <w:proofErr w:type="spellEnd"/>
            <w:r w:rsidRPr="009A410D">
              <w:rPr>
                <w:rFonts w:ascii="Times New Roman" w:hAnsi="Times New Roman" w:cs="Times New Roman"/>
                <w:color w:val="000000" w:themeColor="text1"/>
                <w:sz w:val="24"/>
                <w:szCs w:val="24"/>
                <w:lang w:val="en-IN"/>
              </w:rPr>
              <w:t xml:space="preserve"> strength</w:t>
            </w:r>
          </w:p>
        </w:tc>
      </w:tr>
      <w:tr w:rsidR="009A410D" w:rsidRPr="009A410D" w14:paraId="5D6DC6C4" w14:textId="77777777" w:rsidTr="00A71775">
        <w:trPr>
          <w:trHeight w:val="727"/>
        </w:trPr>
        <w:tc>
          <w:tcPr>
            <w:tcW w:w="0" w:type="auto"/>
            <w:hideMark/>
          </w:tcPr>
          <w:p w14:paraId="5DBAAD27"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Shooting stage</w:t>
            </w:r>
          </w:p>
        </w:tc>
        <w:tc>
          <w:tcPr>
            <w:tcW w:w="0" w:type="auto"/>
            <w:hideMark/>
          </w:tcPr>
          <w:p w14:paraId="5D91A42E"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7–9 MAP</w:t>
            </w:r>
          </w:p>
        </w:tc>
        <w:tc>
          <w:tcPr>
            <w:tcW w:w="0" w:type="auto"/>
            <w:hideMark/>
          </w:tcPr>
          <w:p w14:paraId="375471F2"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Reduced N, high K + micronutrients</w:t>
            </w:r>
          </w:p>
        </w:tc>
        <w:tc>
          <w:tcPr>
            <w:tcW w:w="0" w:type="auto"/>
            <w:hideMark/>
          </w:tcPr>
          <w:p w14:paraId="3DA426B5"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Bunch initiation</w:t>
            </w:r>
          </w:p>
        </w:tc>
      </w:tr>
      <w:tr w:rsidR="009A410D" w:rsidRPr="009A410D" w14:paraId="1F7C7CC1" w14:textId="77777777" w:rsidTr="00A71775">
        <w:trPr>
          <w:trHeight w:val="733"/>
        </w:trPr>
        <w:tc>
          <w:tcPr>
            <w:tcW w:w="0" w:type="auto"/>
            <w:hideMark/>
          </w:tcPr>
          <w:p w14:paraId="576F4550"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Bunch development</w:t>
            </w:r>
          </w:p>
        </w:tc>
        <w:tc>
          <w:tcPr>
            <w:tcW w:w="0" w:type="auto"/>
            <w:hideMark/>
          </w:tcPr>
          <w:p w14:paraId="62C2EE6B"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Post-shooting</w:t>
            </w:r>
          </w:p>
        </w:tc>
        <w:tc>
          <w:tcPr>
            <w:tcW w:w="0" w:type="auto"/>
            <w:hideMark/>
          </w:tcPr>
          <w:p w14:paraId="6B416F56"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Potassium fertigation, Ca sprays</w:t>
            </w:r>
          </w:p>
        </w:tc>
        <w:tc>
          <w:tcPr>
            <w:tcW w:w="0" w:type="auto"/>
            <w:hideMark/>
          </w:tcPr>
          <w:p w14:paraId="485928BC"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Fruit filling &amp; quality</w:t>
            </w:r>
          </w:p>
        </w:tc>
      </w:tr>
    </w:tbl>
    <w:p w14:paraId="4EDD06B8" w14:textId="2879D60B"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i/>
          <w:iCs/>
          <w:color w:val="000000" w:themeColor="text1"/>
          <w:sz w:val="24"/>
          <w:szCs w:val="24"/>
          <w:lang w:val="en-IN"/>
        </w:rPr>
        <w:t>(DAP: days after planting; MAP: months after planting)</w:t>
      </w:r>
    </w:p>
    <w:p w14:paraId="1057AB3F" w14:textId="77268682" w:rsidR="009A410D" w:rsidRPr="009A410D" w:rsidRDefault="009A410D" w:rsidP="003022C9">
      <w:pPr>
        <w:spacing w:line="48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 xml:space="preserve">Table </w:t>
      </w:r>
      <w:r w:rsidRPr="003022C9">
        <w:rPr>
          <w:rFonts w:ascii="Times New Roman" w:hAnsi="Times New Roman" w:cs="Times New Roman"/>
          <w:b/>
          <w:bCs/>
          <w:color w:val="000000" w:themeColor="text1"/>
          <w:sz w:val="24"/>
          <w:szCs w:val="24"/>
          <w:lang w:val="en-IN"/>
        </w:rPr>
        <w:t>4</w:t>
      </w:r>
      <w:r w:rsidRPr="009A410D">
        <w:rPr>
          <w:rFonts w:ascii="Times New Roman" w:hAnsi="Times New Roman" w:cs="Times New Roman"/>
          <w:b/>
          <w:bCs/>
          <w:color w:val="000000" w:themeColor="text1"/>
          <w:sz w:val="24"/>
          <w:szCs w:val="24"/>
          <w:lang w:val="en-IN"/>
        </w:rPr>
        <w:t>. Cost–Benefit Analysis of HDP and Precision Banana Cultivation</w:t>
      </w:r>
    </w:p>
    <w:tbl>
      <w:tblPr>
        <w:tblStyle w:val="TableGrid"/>
        <w:tblW w:w="8245" w:type="dxa"/>
        <w:tblLook w:val="04A0" w:firstRow="1" w:lastRow="0" w:firstColumn="1" w:lastColumn="0" w:noHBand="0" w:noVBand="1"/>
      </w:tblPr>
      <w:tblGrid>
        <w:gridCol w:w="1894"/>
        <w:gridCol w:w="949"/>
        <w:gridCol w:w="1766"/>
        <w:gridCol w:w="1401"/>
        <w:gridCol w:w="1342"/>
        <w:gridCol w:w="893"/>
      </w:tblGrid>
      <w:tr w:rsidR="00A71775" w:rsidRPr="009A410D" w14:paraId="64E426C4" w14:textId="77777777" w:rsidTr="00A71775">
        <w:trPr>
          <w:trHeight w:val="1236"/>
        </w:trPr>
        <w:tc>
          <w:tcPr>
            <w:tcW w:w="0" w:type="auto"/>
            <w:hideMark/>
          </w:tcPr>
          <w:p w14:paraId="0E5140AB"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Planting System</w:t>
            </w:r>
          </w:p>
        </w:tc>
        <w:tc>
          <w:tcPr>
            <w:tcW w:w="0" w:type="auto"/>
            <w:hideMark/>
          </w:tcPr>
          <w:p w14:paraId="5E2A9D1C"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Yield (t ha⁻¹)</w:t>
            </w:r>
          </w:p>
        </w:tc>
        <w:tc>
          <w:tcPr>
            <w:tcW w:w="0" w:type="auto"/>
            <w:hideMark/>
          </w:tcPr>
          <w:p w14:paraId="23DA35D5"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Cost of Cultivation (₹ ha⁻¹)</w:t>
            </w:r>
          </w:p>
        </w:tc>
        <w:tc>
          <w:tcPr>
            <w:tcW w:w="0" w:type="auto"/>
            <w:hideMark/>
          </w:tcPr>
          <w:p w14:paraId="054FED1F"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Gross Returns (₹ ha⁻¹)</w:t>
            </w:r>
          </w:p>
        </w:tc>
        <w:tc>
          <w:tcPr>
            <w:tcW w:w="0" w:type="auto"/>
            <w:hideMark/>
          </w:tcPr>
          <w:p w14:paraId="66486F56"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Net Returns (₹ ha⁻¹)</w:t>
            </w:r>
          </w:p>
        </w:tc>
        <w:tc>
          <w:tcPr>
            <w:tcW w:w="0" w:type="auto"/>
            <w:hideMark/>
          </w:tcPr>
          <w:p w14:paraId="03E43579" w14:textId="77777777" w:rsidR="009A410D" w:rsidRPr="009A410D" w:rsidRDefault="009A410D" w:rsidP="00A71775">
            <w:pPr>
              <w:spacing w:line="240" w:lineRule="auto"/>
              <w:rPr>
                <w:rFonts w:ascii="Times New Roman" w:hAnsi="Times New Roman" w:cs="Times New Roman"/>
                <w:b/>
                <w:bCs/>
                <w:color w:val="000000" w:themeColor="text1"/>
                <w:sz w:val="24"/>
                <w:szCs w:val="24"/>
                <w:lang w:val="en-IN"/>
              </w:rPr>
            </w:pPr>
            <w:r w:rsidRPr="009A410D">
              <w:rPr>
                <w:rFonts w:ascii="Times New Roman" w:hAnsi="Times New Roman" w:cs="Times New Roman"/>
                <w:b/>
                <w:bCs/>
                <w:color w:val="000000" w:themeColor="text1"/>
                <w:sz w:val="24"/>
                <w:szCs w:val="24"/>
                <w:lang w:val="en-IN"/>
              </w:rPr>
              <w:t>B:C Ratio</w:t>
            </w:r>
          </w:p>
        </w:tc>
      </w:tr>
      <w:tr w:rsidR="00A71775" w:rsidRPr="009A410D" w14:paraId="6F2352F5" w14:textId="77777777" w:rsidTr="00A71775">
        <w:trPr>
          <w:trHeight w:val="874"/>
        </w:trPr>
        <w:tc>
          <w:tcPr>
            <w:tcW w:w="0" w:type="auto"/>
            <w:hideMark/>
          </w:tcPr>
          <w:p w14:paraId="1FB015CE"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Conventional planting</w:t>
            </w:r>
          </w:p>
        </w:tc>
        <w:tc>
          <w:tcPr>
            <w:tcW w:w="0" w:type="auto"/>
            <w:hideMark/>
          </w:tcPr>
          <w:p w14:paraId="41414931"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45–55</w:t>
            </w:r>
          </w:p>
        </w:tc>
        <w:tc>
          <w:tcPr>
            <w:tcW w:w="0" w:type="auto"/>
            <w:hideMark/>
          </w:tcPr>
          <w:p w14:paraId="00A1AFFA"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2.0–2.2 lakh</w:t>
            </w:r>
          </w:p>
        </w:tc>
        <w:tc>
          <w:tcPr>
            <w:tcW w:w="0" w:type="auto"/>
            <w:hideMark/>
          </w:tcPr>
          <w:p w14:paraId="55E8AEC2"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3.6–4.4 lakh</w:t>
            </w:r>
          </w:p>
        </w:tc>
        <w:tc>
          <w:tcPr>
            <w:tcW w:w="0" w:type="auto"/>
            <w:hideMark/>
          </w:tcPr>
          <w:p w14:paraId="5A85375F"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1.5–2.2 lakh</w:t>
            </w:r>
          </w:p>
        </w:tc>
        <w:tc>
          <w:tcPr>
            <w:tcW w:w="0" w:type="auto"/>
            <w:hideMark/>
          </w:tcPr>
          <w:p w14:paraId="43AA1639"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1.7–1.9</w:t>
            </w:r>
          </w:p>
        </w:tc>
      </w:tr>
      <w:tr w:rsidR="00A71775" w:rsidRPr="009A410D" w14:paraId="29507CC6" w14:textId="77777777" w:rsidTr="00A71775">
        <w:trPr>
          <w:trHeight w:val="866"/>
        </w:trPr>
        <w:tc>
          <w:tcPr>
            <w:tcW w:w="0" w:type="auto"/>
            <w:hideMark/>
          </w:tcPr>
          <w:p w14:paraId="3932816F"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HDP alone</w:t>
            </w:r>
          </w:p>
        </w:tc>
        <w:tc>
          <w:tcPr>
            <w:tcW w:w="0" w:type="auto"/>
            <w:hideMark/>
          </w:tcPr>
          <w:p w14:paraId="619C3FB0"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60–70</w:t>
            </w:r>
          </w:p>
        </w:tc>
        <w:tc>
          <w:tcPr>
            <w:tcW w:w="0" w:type="auto"/>
            <w:hideMark/>
          </w:tcPr>
          <w:p w14:paraId="42441DE7"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2.3–2.5 lakh</w:t>
            </w:r>
          </w:p>
        </w:tc>
        <w:tc>
          <w:tcPr>
            <w:tcW w:w="0" w:type="auto"/>
            <w:hideMark/>
          </w:tcPr>
          <w:p w14:paraId="4A3BEE06"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4.8–5.6 lakh</w:t>
            </w:r>
          </w:p>
        </w:tc>
        <w:tc>
          <w:tcPr>
            <w:tcW w:w="0" w:type="auto"/>
            <w:hideMark/>
          </w:tcPr>
          <w:p w14:paraId="7827447A"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2.3–3.1 lakh</w:t>
            </w:r>
          </w:p>
        </w:tc>
        <w:tc>
          <w:tcPr>
            <w:tcW w:w="0" w:type="auto"/>
            <w:hideMark/>
          </w:tcPr>
          <w:p w14:paraId="157AF688"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2.0–2.2</w:t>
            </w:r>
          </w:p>
        </w:tc>
      </w:tr>
      <w:tr w:rsidR="00A71775" w:rsidRPr="009A410D" w14:paraId="5658EBD6" w14:textId="77777777" w:rsidTr="00A71775">
        <w:trPr>
          <w:trHeight w:val="874"/>
        </w:trPr>
        <w:tc>
          <w:tcPr>
            <w:tcW w:w="0" w:type="auto"/>
            <w:hideMark/>
          </w:tcPr>
          <w:p w14:paraId="0FCF88B5"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HDP + fertigation</w:t>
            </w:r>
          </w:p>
        </w:tc>
        <w:tc>
          <w:tcPr>
            <w:tcW w:w="0" w:type="auto"/>
            <w:hideMark/>
          </w:tcPr>
          <w:p w14:paraId="27BC33E3"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70–85</w:t>
            </w:r>
          </w:p>
        </w:tc>
        <w:tc>
          <w:tcPr>
            <w:tcW w:w="0" w:type="auto"/>
            <w:hideMark/>
          </w:tcPr>
          <w:p w14:paraId="7A1F64C7"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2.6–2.8 lakh</w:t>
            </w:r>
          </w:p>
        </w:tc>
        <w:tc>
          <w:tcPr>
            <w:tcW w:w="0" w:type="auto"/>
            <w:hideMark/>
          </w:tcPr>
          <w:p w14:paraId="216A13EA"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5.6–6.8 lakh</w:t>
            </w:r>
          </w:p>
        </w:tc>
        <w:tc>
          <w:tcPr>
            <w:tcW w:w="0" w:type="auto"/>
            <w:hideMark/>
          </w:tcPr>
          <w:p w14:paraId="7D8AC7F4"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3.0–4.2 lakh</w:t>
            </w:r>
          </w:p>
        </w:tc>
        <w:tc>
          <w:tcPr>
            <w:tcW w:w="0" w:type="auto"/>
            <w:hideMark/>
          </w:tcPr>
          <w:p w14:paraId="5025D493"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2.2–2.5</w:t>
            </w:r>
          </w:p>
        </w:tc>
      </w:tr>
      <w:tr w:rsidR="00A71775" w:rsidRPr="009A410D" w14:paraId="26A2F89E" w14:textId="77777777" w:rsidTr="00A71775">
        <w:trPr>
          <w:trHeight w:val="866"/>
        </w:trPr>
        <w:tc>
          <w:tcPr>
            <w:tcW w:w="0" w:type="auto"/>
            <w:hideMark/>
          </w:tcPr>
          <w:p w14:paraId="2C5C41D1"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HDP + full precision package</w:t>
            </w:r>
          </w:p>
        </w:tc>
        <w:tc>
          <w:tcPr>
            <w:tcW w:w="0" w:type="auto"/>
            <w:hideMark/>
          </w:tcPr>
          <w:p w14:paraId="6A55B6EE"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80–100</w:t>
            </w:r>
          </w:p>
        </w:tc>
        <w:tc>
          <w:tcPr>
            <w:tcW w:w="0" w:type="auto"/>
            <w:hideMark/>
          </w:tcPr>
          <w:p w14:paraId="7557B7A7"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2.8–3.0 lakh</w:t>
            </w:r>
          </w:p>
        </w:tc>
        <w:tc>
          <w:tcPr>
            <w:tcW w:w="0" w:type="auto"/>
            <w:hideMark/>
          </w:tcPr>
          <w:p w14:paraId="412D70C9"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6.4–8.0 lakh</w:t>
            </w:r>
          </w:p>
        </w:tc>
        <w:tc>
          <w:tcPr>
            <w:tcW w:w="0" w:type="auto"/>
            <w:hideMark/>
          </w:tcPr>
          <w:p w14:paraId="074CB740"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3.6–5.0 lakh</w:t>
            </w:r>
          </w:p>
        </w:tc>
        <w:tc>
          <w:tcPr>
            <w:tcW w:w="0" w:type="auto"/>
            <w:hideMark/>
          </w:tcPr>
          <w:p w14:paraId="251EB8C4" w14:textId="77777777" w:rsidR="009A410D" w:rsidRPr="009A410D" w:rsidRDefault="009A410D" w:rsidP="00A71775">
            <w:pPr>
              <w:spacing w:line="240" w:lineRule="auto"/>
              <w:rPr>
                <w:rFonts w:ascii="Times New Roman" w:hAnsi="Times New Roman" w:cs="Times New Roman"/>
                <w:color w:val="000000" w:themeColor="text1"/>
                <w:sz w:val="24"/>
                <w:szCs w:val="24"/>
                <w:lang w:val="en-IN"/>
              </w:rPr>
            </w:pPr>
            <w:r w:rsidRPr="009A410D">
              <w:rPr>
                <w:rFonts w:ascii="Times New Roman" w:hAnsi="Times New Roman" w:cs="Times New Roman"/>
                <w:color w:val="000000" w:themeColor="text1"/>
                <w:sz w:val="24"/>
                <w:szCs w:val="24"/>
                <w:lang w:val="en-IN"/>
              </w:rPr>
              <w:t>2.4–2.8</w:t>
            </w:r>
          </w:p>
        </w:tc>
      </w:tr>
    </w:tbl>
    <w:p w14:paraId="51EF7FF0" w14:textId="393DF920" w:rsidR="009A410D" w:rsidRPr="003022C9" w:rsidRDefault="009A410D" w:rsidP="00A71775">
      <w:pPr>
        <w:spacing w:line="240" w:lineRule="auto"/>
        <w:jc w:val="both"/>
        <w:rPr>
          <w:rFonts w:ascii="Times New Roman" w:hAnsi="Times New Roman" w:cs="Times New Roman"/>
          <w:color w:val="000000" w:themeColor="text1"/>
          <w:sz w:val="24"/>
          <w:szCs w:val="24"/>
          <w:lang w:val="en-US"/>
        </w:rPr>
      </w:pPr>
      <w:r w:rsidRPr="003022C9">
        <w:rPr>
          <w:rFonts w:ascii="Times New Roman" w:hAnsi="Times New Roman" w:cs="Times New Roman"/>
          <w:color w:val="000000" w:themeColor="text1"/>
          <w:sz w:val="24"/>
          <w:szCs w:val="24"/>
          <w:lang w:val="en-US"/>
        </w:rPr>
        <w:t>*</w:t>
      </w:r>
      <w:r w:rsidRPr="003022C9">
        <w:rPr>
          <w:rFonts w:ascii="Times New Roman" w:hAnsi="Times New Roman" w:cs="Times New Roman"/>
          <w:sz w:val="24"/>
          <w:szCs w:val="24"/>
        </w:rPr>
        <w:t xml:space="preserve"> </w:t>
      </w:r>
      <w:r w:rsidRPr="003022C9">
        <w:rPr>
          <w:rFonts w:ascii="Times New Roman" w:hAnsi="Times New Roman" w:cs="Times New Roman"/>
          <w:i/>
          <w:iCs/>
          <w:color w:val="000000" w:themeColor="text1"/>
          <w:sz w:val="24"/>
          <w:szCs w:val="24"/>
        </w:rPr>
        <w:t>The values mentioned are indicative and represent cumulative estimates synthesized from multiple published studies; actual costs and returns may vary depending on location, cultivar, management practices, and market conditions.</w:t>
      </w:r>
    </w:p>
    <w:p w14:paraId="7F6C8C33" w14:textId="7150C9DC" w:rsidR="000F1140" w:rsidRPr="003022C9" w:rsidRDefault="000F1140" w:rsidP="003022C9">
      <w:pPr>
        <w:spacing w:line="480" w:lineRule="auto"/>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lang w:val="en-US"/>
        </w:rPr>
        <w:t>Declaration of Generative AI and AI-assisted technologies</w:t>
      </w:r>
    </w:p>
    <w:p w14:paraId="211E4449" w14:textId="77777777" w:rsidR="00077B4A" w:rsidRPr="003022C9" w:rsidRDefault="00077B4A" w:rsidP="003022C9">
      <w:pPr>
        <w:spacing w:line="480" w:lineRule="auto"/>
        <w:jc w:val="both"/>
        <w:rPr>
          <w:rFonts w:ascii="Times New Roman" w:hAnsi="Times New Roman" w:cs="Times New Roman"/>
          <w:color w:val="000000" w:themeColor="text1"/>
          <w:sz w:val="24"/>
          <w:szCs w:val="24"/>
        </w:rPr>
      </w:pPr>
      <w:r w:rsidRPr="003022C9">
        <w:rPr>
          <w:rFonts w:ascii="Times New Roman" w:hAnsi="Times New Roman" w:cs="Times New Roman"/>
          <w:color w:val="000000" w:themeColor="text1"/>
          <w:sz w:val="24"/>
          <w:szCs w:val="24"/>
        </w:rPr>
        <w:t xml:space="preserve">During the preparation of this manuscript, the authors made limited use of ChatGPT (GPT-5.2, OpenAI) solely for language editing and minor improvements in clarity and </w:t>
      </w:r>
      <w:r w:rsidRPr="003022C9">
        <w:rPr>
          <w:rFonts w:ascii="Times New Roman" w:hAnsi="Times New Roman" w:cs="Times New Roman"/>
          <w:color w:val="000000" w:themeColor="text1"/>
          <w:sz w:val="24"/>
          <w:szCs w:val="24"/>
        </w:rPr>
        <w:lastRenderedPageBreak/>
        <w:t>organization of selected sections of the text. The tool was not used to generate original data, scientific interpretations, or conclusions.</w:t>
      </w:r>
    </w:p>
    <w:p w14:paraId="4080DC6F" w14:textId="1DD4B5E0" w:rsidR="00077B4A" w:rsidRPr="003022C9" w:rsidRDefault="00077B4A" w:rsidP="003022C9">
      <w:pPr>
        <w:spacing w:line="480" w:lineRule="auto"/>
        <w:jc w:val="both"/>
        <w:rPr>
          <w:rFonts w:ascii="Times New Roman" w:hAnsi="Times New Roman" w:cs="Times New Roman"/>
          <w:color w:val="000000" w:themeColor="text1"/>
          <w:sz w:val="24"/>
          <w:szCs w:val="24"/>
        </w:rPr>
      </w:pPr>
      <w:r w:rsidRPr="003022C9">
        <w:rPr>
          <w:rFonts w:ascii="Times New Roman" w:hAnsi="Times New Roman" w:cs="Times New Roman"/>
          <w:color w:val="000000" w:themeColor="text1"/>
          <w:sz w:val="24"/>
          <w:szCs w:val="24"/>
        </w:rPr>
        <w:t>All AI-assisted content was carefully reviewed, edited, and validated by the authors, who take full responsibility for the accuracy, integrity, and originality of the final manuscript.</w:t>
      </w:r>
    </w:p>
    <w:p w14:paraId="75A91ECB" w14:textId="77777777" w:rsidR="000F1140" w:rsidRPr="003022C9" w:rsidRDefault="000F1140" w:rsidP="003022C9">
      <w:pPr>
        <w:spacing w:line="480" w:lineRule="auto"/>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Data availability statement</w:t>
      </w:r>
    </w:p>
    <w:p w14:paraId="74FB25ED" w14:textId="43BB303D" w:rsidR="00077B4A" w:rsidRPr="003022C9" w:rsidRDefault="00077B4A" w:rsidP="003022C9">
      <w:pPr>
        <w:spacing w:line="480" w:lineRule="auto"/>
        <w:jc w:val="both"/>
        <w:rPr>
          <w:rFonts w:ascii="Times New Roman" w:hAnsi="Times New Roman" w:cs="Times New Roman"/>
          <w:color w:val="000000" w:themeColor="text1"/>
          <w:sz w:val="24"/>
          <w:szCs w:val="24"/>
        </w:rPr>
      </w:pPr>
      <w:r w:rsidRPr="003022C9">
        <w:rPr>
          <w:rFonts w:ascii="Times New Roman" w:hAnsi="Times New Roman" w:cs="Times New Roman"/>
          <w:color w:val="000000" w:themeColor="text1"/>
          <w:sz w:val="24"/>
          <w:szCs w:val="24"/>
        </w:rPr>
        <w:t>The data supporting the findings of this study are available from the corresponding author upon reasonable request. No datasets were deposited in a public repository at the time of submission. If applicable, future versions of the dataset may be made available through an appropriate open-access repository in accordance with institutional and journal policies. Any restrictions on data availability due to ethical, legal, or confidentiality considerations are stated in the manuscript.</w:t>
      </w:r>
    </w:p>
    <w:p w14:paraId="6B555468" w14:textId="77777777" w:rsidR="000F1140" w:rsidRPr="003022C9" w:rsidRDefault="000F1140" w:rsidP="003022C9">
      <w:pPr>
        <w:spacing w:line="480" w:lineRule="auto"/>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Pre-print server/online repository</w:t>
      </w:r>
    </w:p>
    <w:p w14:paraId="2DEEC811" w14:textId="1E094EA5" w:rsidR="00077B4A" w:rsidRPr="003022C9" w:rsidRDefault="00077B4A" w:rsidP="003022C9">
      <w:pPr>
        <w:spacing w:line="480" w:lineRule="auto"/>
        <w:rPr>
          <w:rFonts w:ascii="Times New Roman" w:hAnsi="Times New Roman" w:cs="Times New Roman"/>
          <w:color w:val="000000" w:themeColor="text1"/>
          <w:sz w:val="24"/>
          <w:szCs w:val="24"/>
        </w:rPr>
      </w:pPr>
      <w:r w:rsidRPr="003022C9">
        <w:rPr>
          <w:rFonts w:ascii="Times New Roman" w:hAnsi="Times New Roman" w:cs="Times New Roman"/>
          <w:color w:val="000000" w:themeColor="text1"/>
          <w:sz w:val="24"/>
          <w:szCs w:val="24"/>
        </w:rPr>
        <w:t>This manuscript has not been previously published and has not been submitted to any pre-print server or online repository.</w:t>
      </w:r>
    </w:p>
    <w:p w14:paraId="6348AE3B" w14:textId="3AF11495" w:rsidR="000F1140" w:rsidRPr="003022C9" w:rsidRDefault="000F1140" w:rsidP="003022C9">
      <w:pPr>
        <w:spacing w:line="480" w:lineRule="auto"/>
        <w:rPr>
          <w:rFonts w:ascii="Times New Roman" w:hAnsi="Times New Roman" w:cs="Times New Roman"/>
          <w:b/>
          <w:bCs/>
          <w:color w:val="000000" w:themeColor="text1"/>
          <w:sz w:val="24"/>
          <w:szCs w:val="24"/>
        </w:rPr>
      </w:pPr>
      <w:r w:rsidRPr="003022C9">
        <w:rPr>
          <w:rFonts w:ascii="Times New Roman" w:hAnsi="Times New Roman" w:cs="Times New Roman"/>
          <w:b/>
          <w:bCs/>
          <w:color w:val="000000" w:themeColor="text1"/>
          <w:sz w:val="24"/>
          <w:szCs w:val="24"/>
        </w:rPr>
        <w:t>Conflict of interest</w:t>
      </w:r>
    </w:p>
    <w:p w14:paraId="3C84B785" w14:textId="24F4F0B1" w:rsidR="005B50B4" w:rsidRPr="003022C9" w:rsidRDefault="00077B4A" w:rsidP="003022C9">
      <w:pPr>
        <w:pStyle w:val="Papermain"/>
        <w:rPr>
          <w:rFonts w:cs="Times New Roman"/>
          <w:color w:val="000000" w:themeColor="text1"/>
          <w:szCs w:val="24"/>
          <w:lang w:val="en-GB"/>
        </w:rPr>
      </w:pPr>
      <w:r w:rsidRPr="003022C9">
        <w:rPr>
          <w:rFonts w:cs="Times New Roman"/>
          <w:color w:val="000000" w:themeColor="text1"/>
          <w:szCs w:val="24"/>
          <w:lang w:val="tr-TR"/>
        </w:rPr>
        <w:t>The authors declare that there are no conflicts of interest regarding the publication of this manuscript.</w:t>
      </w:r>
    </w:p>
    <w:p w14:paraId="05D0A3F1" w14:textId="302DFEBD" w:rsidR="00BB007C" w:rsidRPr="003022C9" w:rsidRDefault="00BB007C" w:rsidP="003022C9">
      <w:pPr>
        <w:pStyle w:val="Papermain"/>
        <w:rPr>
          <w:rFonts w:cs="Times New Roman"/>
          <w:color w:val="000000" w:themeColor="text1"/>
          <w:szCs w:val="24"/>
          <w:lang w:val="en-GB"/>
        </w:rPr>
      </w:pPr>
    </w:p>
    <w:p w14:paraId="6F925640" w14:textId="77777777" w:rsidR="00BB007C" w:rsidRPr="003022C9" w:rsidRDefault="00BB007C" w:rsidP="003022C9">
      <w:pPr>
        <w:pStyle w:val="Papermain"/>
        <w:rPr>
          <w:rFonts w:cs="Times New Roman"/>
          <w:color w:val="000000" w:themeColor="text1"/>
          <w:szCs w:val="24"/>
          <w:lang w:val="en-GB"/>
        </w:rPr>
      </w:pPr>
    </w:p>
    <w:p w14:paraId="71725749" w14:textId="77777777" w:rsidR="006C24BC" w:rsidRPr="003022C9" w:rsidRDefault="006C24BC" w:rsidP="003022C9">
      <w:pPr>
        <w:pStyle w:val="Papersection"/>
        <w:numPr>
          <w:ilvl w:val="0"/>
          <w:numId w:val="0"/>
        </w:numPr>
        <w:rPr>
          <w:rFonts w:cs="Times New Roman"/>
          <w:color w:val="000000" w:themeColor="text1"/>
          <w:szCs w:val="24"/>
          <w:lang w:val="en-GB"/>
        </w:rPr>
      </w:pPr>
      <w:r w:rsidRPr="003022C9">
        <w:rPr>
          <w:rFonts w:cs="Times New Roman"/>
          <w:color w:val="000000" w:themeColor="text1"/>
          <w:szCs w:val="24"/>
          <w:lang w:val="en-GB"/>
        </w:rPr>
        <w:t>References</w:t>
      </w:r>
    </w:p>
    <w:p w14:paraId="15F4E5A8" w14:textId="77777777" w:rsidR="00351B82" w:rsidRPr="003022C9" w:rsidRDefault="00351B82" w:rsidP="003022C9">
      <w:pPr>
        <w:spacing w:line="480" w:lineRule="auto"/>
        <w:jc w:val="both"/>
        <w:rPr>
          <w:rFonts w:ascii="Times New Roman" w:hAnsi="Times New Roman" w:cs="Times New Roman"/>
          <w:sz w:val="24"/>
          <w:szCs w:val="24"/>
          <w:lang w:val="en-GB"/>
        </w:rPr>
      </w:pPr>
    </w:p>
    <w:p w14:paraId="6F1B189F"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lastRenderedPageBreak/>
        <w:t>Amiri, A. W. (2021). Influence of Different Plant Densities and Fertilizer Levels on Growth and Yield Parameters in Banana cv. Grand Naine. </w:t>
      </w:r>
      <w:r w:rsidRPr="008D703E">
        <w:rPr>
          <w:rFonts w:cs="Times New Roman"/>
          <w:i/>
          <w:iCs/>
          <w:szCs w:val="24"/>
        </w:rPr>
        <w:t>Afghanıstan Research Journal. Natural Scıence Учредители: Apex Publishing</w:t>
      </w:r>
      <w:r w:rsidRPr="008D703E">
        <w:rPr>
          <w:rFonts w:cs="Times New Roman"/>
          <w:szCs w:val="24"/>
        </w:rPr>
        <w:t>, </w:t>
      </w:r>
      <w:r w:rsidRPr="008D703E">
        <w:rPr>
          <w:rFonts w:cs="Times New Roman"/>
          <w:i/>
          <w:iCs/>
          <w:szCs w:val="24"/>
        </w:rPr>
        <w:t>2</w:t>
      </w:r>
      <w:r w:rsidRPr="008D703E">
        <w:rPr>
          <w:rFonts w:cs="Times New Roman"/>
          <w:szCs w:val="24"/>
        </w:rPr>
        <w:t>(1).</w:t>
      </w:r>
    </w:p>
    <w:p w14:paraId="7D8C8D9C"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Baiyeri</w:t>
      </w:r>
      <w:proofErr w:type="spellEnd"/>
      <w:r w:rsidRPr="003022C9">
        <w:rPr>
          <w:rFonts w:cs="Times New Roman"/>
          <w:color w:val="000000" w:themeColor="text1"/>
          <w:szCs w:val="24"/>
          <w:lang w:val="en-GB"/>
        </w:rPr>
        <w:t xml:space="preserve">, K.P., Aba, S.C., 2005. Response of Musa species to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genetic and initiation media effects on number, quality and survival of plantlets at prenursery and early nursery stages. African J. Biotech. 4, 223-28.</w:t>
      </w:r>
    </w:p>
    <w:p w14:paraId="142191A3"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Baiyeri</w:t>
      </w:r>
      <w:proofErr w:type="spellEnd"/>
      <w:r w:rsidRPr="003022C9">
        <w:rPr>
          <w:rFonts w:cs="Times New Roman"/>
          <w:color w:val="000000" w:themeColor="text1"/>
          <w:szCs w:val="24"/>
          <w:lang w:val="en-GB"/>
        </w:rPr>
        <w:t xml:space="preserve">, K.P., Aba, S.C., 2007. A review of protocols for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in Musa species. Fruit, Veg. Cereal Sci. Biotech. 1, 110-15.</w:t>
      </w:r>
    </w:p>
    <w:p w14:paraId="66DCC658"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Behera, S., Das, A. K., &amp; Panda, P. K. (2015). Effect of spacing and variety on growth and yield of banana (</w:t>
      </w:r>
      <w:r w:rsidRPr="008D703E">
        <w:rPr>
          <w:rFonts w:cs="Times New Roman"/>
          <w:i/>
          <w:iCs/>
          <w:szCs w:val="24"/>
        </w:rPr>
        <w:t>Musa</w:t>
      </w:r>
      <w:r w:rsidRPr="008D703E">
        <w:rPr>
          <w:rFonts w:cs="Times New Roman"/>
          <w:szCs w:val="24"/>
        </w:rPr>
        <w:t xml:space="preserve"> spp.) cv. Grand Naine and Bantal. </w:t>
      </w:r>
      <w:r w:rsidRPr="008D703E">
        <w:rPr>
          <w:rFonts w:cs="Times New Roman"/>
          <w:i/>
          <w:iCs/>
          <w:szCs w:val="24"/>
        </w:rPr>
        <w:t>International Journal of Tropical Agriculture</w:t>
      </w:r>
      <w:r w:rsidRPr="008D703E">
        <w:rPr>
          <w:rFonts w:cs="Times New Roman"/>
          <w:szCs w:val="24"/>
        </w:rPr>
        <w:t>, 33(3), 2025–2029.</w:t>
      </w:r>
    </w:p>
    <w:p w14:paraId="3EB21DA6"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Cândido, H. T., Leonel, M., Leonel, S., Jesus, P. R. R. D., </w:t>
      </w:r>
      <w:proofErr w:type="spellStart"/>
      <w:r w:rsidRPr="003022C9">
        <w:rPr>
          <w:rFonts w:cs="Times New Roman"/>
          <w:color w:val="000000" w:themeColor="text1"/>
          <w:szCs w:val="24"/>
          <w:lang w:val="en-GB"/>
        </w:rPr>
        <w:t>Ouros</w:t>
      </w:r>
      <w:proofErr w:type="spellEnd"/>
      <w:r w:rsidRPr="003022C9">
        <w:rPr>
          <w:rFonts w:cs="Times New Roman"/>
          <w:color w:val="000000" w:themeColor="text1"/>
          <w:szCs w:val="24"/>
          <w:lang w:val="en-GB"/>
        </w:rPr>
        <w:t xml:space="preserve">, L. F. D., Nomura, E. S., &amp; </w:t>
      </w:r>
      <w:proofErr w:type="spellStart"/>
      <w:r w:rsidRPr="003022C9">
        <w:rPr>
          <w:rFonts w:cs="Times New Roman"/>
          <w:color w:val="000000" w:themeColor="text1"/>
          <w:szCs w:val="24"/>
          <w:lang w:val="en-GB"/>
        </w:rPr>
        <w:t>Kölln</w:t>
      </w:r>
      <w:proofErr w:type="spellEnd"/>
      <w:r w:rsidRPr="003022C9">
        <w:rPr>
          <w:rFonts w:cs="Times New Roman"/>
          <w:color w:val="000000" w:themeColor="text1"/>
          <w:szCs w:val="24"/>
          <w:lang w:val="en-GB"/>
        </w:rPr>
        <w:t xml:space="preserve">, O. T. (2025). Phosphate fertilizer for more vigorous BRS SCS </w:t>
      </w:r>
      <w:proofErr w:type="spellStart"/>
      <w:r w:rsidRPr="003022C9">
        <w:rPr>
          <w:rFonts w:cs="Times New Roman"/>
          <w:color w:val="000000" w:themeColor="text1"/>
          <w:szCs w:val="24"/>
          <w:lang w:val="en-GB"/>
        </w:rPr>
        <w:t>Belluna</w:t>
      </w:r>
      <w:proofErr w:type="spellEnd"/>
      <w:r w:rsidRPr="003022C9">
        <w:rPr>
          <w:rFonts w:cs="Times New Roman"/>
          <w:color w:val="000000" w:themeColor="text1"/>
          <w:szCs w:val="24"/>
          <w:lang w:val="en-GB"/>
        </w:rPr>
        <w:t xml:space="preserve"> banana plants results in high yield and quality in different crop cycles. </w:t>
      </w:r>
      <w:proofErr w:type="spellStart"/>
      <w:r w:rsidRPr="003022C9">
        <w:rPr>
          <w:rFonts w:cs="Times New Roman"/>
          <w:color w:val="000000" w:themeColor="text1"/>
          <w:szCs w:val="24"/>
          <w:lang w:val="en-GB"/>
        </w:rPr>
        <w:t>Revista</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Brasileira</w:t>
      </w:r>
      <w:proofErr w:type="spellEnd"/>
      <w:r w:rsidRPr="003022C9">
        <w:rPr>
          <w:rFonts w:cs="Times New Roman"/>
          <w:color w:val="000000" w:themeColor="text1"/>
          <w:szCs w:val="24"/>
          <w:lang w:val="en-GB"/>
        </w:rPr>
        <w:t xml:space="preserve"> de </w:t>
      </w:r>
      <w:proofErr w:type="spellStart"/>
      <w:r w:rsidRPr="003022C9">
        <w:rPr>
          <w:rFonts w:cs="Times New Roman"/>
          <w:color w:val="000000" w:themeColor="text1"/>
          <w:szCs w:val="24"/>
          <w:lang w:val="en-GB"/>
        </w:rPr>
        <w:t>Ciência</w:t>
      </w:r>
      <w:proofErr w:type="spellEnd"/>
      <w:r w:rsidRPr="003022C9">
        <w:rPr>
          <w:rFonts w:cs="Times New Roman"/>
          <w:color w:val="000000" w:themeColor="text1"/>
          <w:szCs w:val="24"/>
          <w:lang w:val="en-GB"/>
        </w:rPr>
        <w:t xml:space="preserve"> do Solo, 49(spe1), e0240160.</w:t>
      </w:r>
    </w:p>
    <w:p w14:paraId="52283090"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Das, S., Singh, B., Singh, S., Singh, A. K., Hazarika, B. N., &amp; Deo, C. (2025). In Vitro Propagation of Musa </w:t>
      </w:r>
      <w:proofErr w:type="spellStart"/>
      <w:r w:rsidRPr="003022C9">
        <w:rPr>
          <w:rFonts w:cs="Times New Roman"/>
          <w:color w:val="000000" w:themeColor="text1"/>
          <w:szCs w:val="24"/>
          <w:lang w:val="en-GB"/>
        </w:rPr>
        <w:t>Acuminata</w:t>
      </w:r>
      <w:proofErr w:type="spellEnd"/>
      <w:r w:rsidRPr="003022C9">
        <w:rPr>
          <w:rFonts w:cs="Times New Roman"/>
          <w:color w:val="000000" w:themeColor="text1"/>
          <w:szCs w:val="24"/>
          <w:lang w:val="en-GB"/>
        </w:rPr>
        <w:t xml:space="preserve"> </w:t>
      </w:r>
      <w:proofErr w:type="spellStart"/>
      <w:proofErr w:type="gramStart"/>
      <w:r w:rsidRPr="003022C9">
        <w:rPr>
          <w:rFonts w:cs="Times New Roman"/>
          <w:color w:val="000000" w:themeColor="text1"/>
          <w:szCs w:val="24"/>
          <w:lang w:val="en-GB"/>
        </w:rPr>
        <w:t>Cv</w:t>
      </w:r>
      <w:proofErr w:type="spellEnd"/>
      <w:r w:rsidRPr="003022C9">
        <w:rPr>
          <w:rFonts w:cs="Times New Roman"/>
          <w:color w:val="000000" w:themeColor="text1"/>
          <w:szCs w:val="24"/>
          <w:lang w:val="en-GB"/>
        </w:rPr>
        <w:t>.‘</w:t>
      </w:r>
      <w:proofErr w:type="gramEnd"/>
      <w:r w:rsidRPr="003022C9">
        <w:rPr>
          <w:rFonts w:cs="Times New Roman"/>
          <w:color w:val="000000" w:themeColor="text1"/>
          <w:szCs w:val="24"/>
          <w:lang w:val="en-GB"/>
        </w:rPr>
        <w:t xml:space="preserve">Amrit </w:t>
      </w:r>
      <w:proofErr w:type="spellStart"/>
      <w:r w:rsidRPr="003022C9">
        <w:rPr>
          <w:rFonts w:cs="Times New Roman"/>
          <w:color w:val="000000" w:themeColor="text1"/>
          <w:szCs w:val="24"/>
          <w:lang w:val="en-GB"/>
        </w:rPr>
        <w:t>Sagar’Using</w:t>
      </w:r>
      <w:proofErr w:type="spellEnd"/>
      <w:r w:rsidRPr="003022C9">
        <w:rPr>
          <w:rFonts w:cs="Times New Roman"/>
          <w:color w:val="000000" w:themeColor="text1"/>
          <w:szCs w:val="24"/>
          <w:lang w:val="en-GB"/>
        </w:rPr>
        <w:t xml:space="preserve"> Immature Male Buds Ensures Optimized Growth and Genetic Stability. Applied Fruit Science, 67(1), 10.</w:t>
      </w:r>
    </w:p>
    <w:p w14:paraId="6ADBD42F"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Debnath, S., Bauri, F. K., Swain, S., Patel, A. N., Patel, A. R., Shaik, N. B., Bhalerao, V. P., Baruah, K., Manju, P. R., Suma, A., Menon, R., </w:t>
      </w:r>
      <w:proofErr w:type="spellStart"/>
      <w:r w:rsidRPr="003022C9">
        <w:rPr>
          <w:rFonts w:cs="Times New Roman"/>
          <w:color w:val="000000" w:themeColor="text1"/>
          <w:szCs w:val="24"/>
          <w:lang w:val="en-GB"/>
        </w:rPr>
        <w:t>Gutam</w:t>
      </w:r>
      <w:proofErr w:type="spellEnd"/>
      <w:r w:rsidRPr="003022C9">
        <w:rPr>
          <w:rFonts w:cs="Times New Roman"/>
          <w:color w:val="000000" w:themeColor="text1"/>
          <w:szCs w:val="24"/>
          <w:lang w:val="en-GB"/>
        </w:rPr>
        <w:t>, S., &amp; Patil, P. (2021). Studies on High Density Planting and Nutrient Requirement of Banana in Different States of India. Journal of Horticultural Sciences, 16(2), 152-163. https://doi.org/10.24154/jhs.v16i2.844</w:t>
      </w:r>
    </w:p>
    <w:p w14:paraId="0E68010B"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lastRenderedPageBreak/>
        <w:t>Debnath, S., Bauri, F. K., Swain, S., Patel, A. N., Patel, A. R., Shaik, N. B., ... &amp; Patil, P. (2021). Studies on high density planting and nutrient requirement of banana in different states of India. </w:t>
      </w:r>
      <w:r w:rsidRPr="008D703E">
        <w:rPr>
          <w:rFonts w:cs="Times New Roman"/>
          <w:i/>
          <w:iCs/>
          <w:szCs w:val="24"/>
        </w:rPr>
        <w:t>Journal of Horticultural Sciences</w:t>
      </w:r>
      <w:r w:rsidRPr="008D703E">
        <w:rPr>
          <w:rFonts w:cs="Times New Roman"/>
          <w:szCs w:val="24"/>
        </w:rPr>
        <w:t>, </w:t>
      </w:r>
      <w:r w:rsidRPr="008D703E">
        <w:rPr>
          <w:rFonts w:cs="Times New Roman"/>
          <w:i/>
          <w:iCs/>
          <w:szCs w:val="24"/>
        </w:rPr>
        <w:t>16</w:t>
      </w:r>
      <w:r w:rsidRPr="008D703E">
        <w:rPr>
          <w:rFonts w:cs="Times New Roman"/>
          <w:szCs w:val="24"/>
        </w:rPr>
        <w:t>(2), 152-163.</w:t>
      </w:r>
    </w:p>
    <w:p w14:paraId="46FCC11D"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Devraj, </w:t>
      </w:r>
      <w:proofErr w:type="gramStart"/>
      <w:r w:rsidRPr="003022C9">
        <w:rPr>
          <w:rFonts w:cs="Times New Roman"/>
          <w:color w:val="000000" w:themeColor="text1"/>
          <w:szCs w:val="24"/>
          <w:lang w:val="en-GB"/>
        </w:rPr>
        <w:t>R.P.,</w:t>
      </w:r>
      <w:proofErr w:type="spellStart"/>
      <w:r w:rsidRPr="003022C9">
        <w:rPr>
          <w:rFonts w:cs="Times New Roman"/>
          <w:color w:val="000000" w:themeColor="text1"/>
          <w:szCs w:val="24"/>
          <w:lang w:val="en-GB"/>
        </w:rPr>
        <w:t>Honnabyraiah</w:t>
      </w:r>
      <w:proofErr w:type="spellEnd"/>
      <w:proofErr w:type="gramEnd"/>
      <w:r w:rsidRPr="003022C9">
        <w:rPr>
          <w:rFonts w:cs="Times New Roman"/>
          <w:color w:val="000000" w:themeColor="text1"/>
          <w:szCs w:val="24"/>
          <w:lang w:val="en-GB"/>
        </w:rPr>
        <w:t xml:space="preserve">, M.K., Swamy, G.S.K., </w:t>
      </w:r>
      <w:proofErr w:type="spellStart"/>
      <w:r w:rsidRPr="003022C9">
        <w:rPr>
          <w:rFonts w:cs="Times New Roman"/>
          <w:color w:val="000000" w:themeColor="text1"/>
          <w:szCs w:val="24"/>
          <w:lang w:val="en-GB"/>
        </w:rPr>
        <w:t>Shivanna</w:t>
      </w:r>
      <w:proofErr w:type="spellEnd"/>
      <w:r w:rsidRPr="003022C9">
        <w:rPr>
          <w:rFonts w:cs="Times New Roman"/>
          <w:color w:val="000000" w:themeColor="text1"/>
          <w:szCs w:val="24"/>
          <w:lang w:val="en-GB"/>
        </w:rPr>
        <w:t xml:space="preserve"> M., </w:t>
      </w:r>
      <w:proofErr w:type="spellStart"/>
      <w:r w:rsidRPr="003022C9">
        <w:rPr>
          <w:rFonts w:cs="Times New Roman"/>
          <w:color w:val="000000" w:themeColor="text1"/>
          <w:szCs w:val="24"/>
          <w:lang w:val="en-GB"/>
        </w:rPr>
        <w:t>Halesh</w:t>
      </w:r>
      <w:proofErr w:type="spellEnd"/>
      <w:r w:rsidRPr="003022C9">
        <w:rPr>
          <w:rFonts w:cs="Times New Roman"/>
          <w:color w:val="000000" w:themeColor="text1"/>
          <w:szCs w:val="24"/>
          <w:lang w:val="en-GB"/>
        </w:rPr>
        <w:t xml:space="preserve">, G.K., 2019. Effect of Bunch Feeding of Macro and Micronutrients on Yield of Tissue Culture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(AAA). International Journal of Chemical Studies. 7(2), 252-256.</w:t>
      </w:r>
    </w:p>
    <w:p w14:paraId="69893F43"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Devraj, </w:t>
      </w:r>
      <w:proofErr w:type="gramStart"/>
      <w:r w:rsidRPr="003022C9">
        <w:rPr>
          <w:rFonts w:cs="Times New Roman"/>
          <w:color w:val="000000" w:themeColor="text1"/>
          <w:szCs w:val="24"/>
          <w:lang w:val="en-GB"/>
        </w:rPr>
        <w:t>R.P.,</w:t>
      </w:r>
      <w:proofErr w:type="spellStart"/>
      <w:r w:rsidRPr="003022C9">
        <w:rPr>
          <w:rFonts w:cs="Times New Roman"/>
          <w:color w:val="000000" w:themeColor="text1"/>
          <w:szCs w:val="24"/>
          <w:lang w:val="en-GB"/>
        </w:rPr>
        <w:t>Honnabyraiah</w:t>
      </w:r>
      <w:proofErr w:type="spellEnd"/>
      <w:proofErr w:type="gramEnd"/>
      <w:r w:rsidRPr="003022C9">
        <w:rPr>
          <w:rFonts w:cs="Times New Roman"/>
          <w:color w:val="000000" w:themeColor="text1"/>
          <w:szCs w:val="24"/>
          <w:lang w:val="en-GB"/>
        </w:rPr>
        <w:t xml:space="preserve">, M.K., Swamy, G.S.K., </w:t>
      </w:r>
      <w:proofErr w:type="spellStart"/>
      <w:r w:rsidRPr="003022C9">
        <w:rPr>
          <w:rFonts w:cs="Times New Roman"/>
          <w:color w:val="000000" w:themeColor="text1"/>
          <w:szCs w:val="24"/>
          <w:lang w:val="en-GB"/>
        </w:rPr>
        <w:t>Shivanna</w:t>
      </w:r>
      <w:proofErr w:type="spellEnd"/>
      <w:r w:rsidRPr="003022C9">
        <w:rPr>
          <w:rFonts w:cs="Times New Roman"/>
          <w:color w:val="000000" w:themeColor="text1"/>
          <w:szCs w:val="24"/>
          <w:lang w:val="en-GB"/>
        </w:rPr>
        <w:t xml:space="preserve"> M., </w:t>
      </w:r>
      <w:proofErr w:type="spellStart"/>
      <w:r w:rsidRPr="003022C9">
        <w:rPr>
          <w:rFonts w:cs="Times New Roman"/>
          <w:color w:val="000000" w:themeColor="text1"/>
          <w:szCs w:val="24"/>
          <w:lang w:val="en-GB"/>
        </w:rPr>
        <w:t>Halesh</w:t>
      </w:r>
      <w:proofErr w:type="spellEnd"/>
      <w:r w:rsidRPr="003022C9">
        <w:rPr>
          <w:rFonts w:cs="Times New Roman"/>
          <w:color w:val="000000" w:themeColor="text1"/>
          <w:szCs w:val="24"/>
          <w:lang w:val="en-GB"/>
        </w:rPr>
        <w:t xml:space="preserve">, G.K., 2019. Effect of Bunch Feeding of Macro and Micronutrients on Yield of Tissue Culture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(AAA). International Journal of Chemical Studies. 7(2), 252-256.</w:t>
      </w:r>
    </w:p>
    <w:p w14:paraId="514CE35A"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Gogi, B., </w:t>
      </w:r>
      <w:proofErr w:type="spellStart"/>
      <w:r w:rsidRPr="003022C9">
        <w:rPr>
          <w:rFonts w:cs="Times New Roman"/>
          <w:color w:val="000000" w:themeColor="text1"/>
          <w:szCs w:val="24"/>
          <w:lang w:val="en-GB"/>
        </w:rPr>
        <w:t>Khangia</w:t>
      </w:r>
      <w:proofErr w:type="spellEnd"/>
      <w:r w:rsidRPr="003022C9">
        <w:rPr>
          <w:rFonts w:cs="Times New Roman"/>
          <w:color w:val="000000" w:themeColor="text1"/>
          <w:szCs w:val="24"/>
          <w:lang w:val="en-GB"/>
        </w:rPr>
        <w:t xml:space="preserve">, B., </w:t>
      </w:r>
      <w:proofErr w:type="spellStart"/>
      <w:r w:rsidRPr="003022C9">
        <w:rPr>
          <w:rFonts w:cs="Times New Roman"/>
          <w:color w:val="000000" w:themeColor="text1"/>
          <w:szCs w:val="24"/>
          <w:lang w:val="en-GB"/>
        </w:rPr>
        <w:t>Brauh</w:t>
      </w:r>
      <w:proofErr w:type="spellEnd"/>
      <w:r w:rsidRPr="003022C9">
        <w:rPr>
          <w:rFonts w:cs="Times New Roman"/>
          <w:color w:val="000000" w:themeColor="text1"/>
          <w:szCs w:val="24"/>
          <w:lang w:val="en-GB"/>
        </w:rPr>
        <w:t xml:space="preserve">, K. and </w:t>
      </w:r>
      <w:proofErr w:type="spellStart"/>
      <w:r w:rsidRPr="003022C9">
        <w:rPr>
          <w:rFonts w:cs="Times New Roman"/>
          <w:color w:val="000000" w:themeColor="text1"/>
          <w:szCs w:val="24"/>
          <w:lang w:val="en-GB"/>
        </w:rPr>
        <w:t>Khousal</w:t>
      </w:r>
      <w:proofErr w:type="spellEnd"/>
      <w:r w:rsidRPr="003022C9">
        <w:rPr>
          <w:rFonts w:cs="Times New Roman"/>
          <w:color w:val="000000" w:themeColor="text1"/>
          <w:szCs w:val="24"/>
          <w:lang w:val="en-GB"/>
        </w:rPr>
        <w:t xml:space="preserve">, A., 2015, Effect of </w:t>
      </w:r>
      <w:proofErr w:type="gramStart"/>
      <w:r w:rsidRPr="003022C9">
        <w:rPr>
          <w:rFonts w:cs="Times New Roman"/>
          <w:color w:val="000000" w:themeColor="text1"/>
          <w:szCs w:val="24"/>
          <w:lang w:val="en-GB"/>
        </w:rPr>
        <w:t>high density</w:t>
      </w:r>
      <w:proofErr w:type="gramEnd"/>
      <w:r w:rsidRPr="003022C9">
        <w:rPr>
          <w:rFonts w:cs="Times New Roman"/>
          <w:color w:val="000000" w:themeColor="text1"/>
          <w:szCs w:val="24"/>
          <w:lang w:val="en-GB"/>
        </w:rPr>
        <w:t xml:space="preserve"> planting and nutrient on growth and yield of Banana cv. </w:t>
      </w:r>
      <w:proofErr w:type="spellStart"/>
      <w:r w:rsidRPr="003022C9">
        <w:rPr>
          <w:rFonts w:cs="Times New Roman"/>
          <w:color w:val="000000" w:themeColor="text1"/>
          <w:szCs w:val="24"/>
          <w:lang w:val="en-GB"/>
        </w:rPr>
        <w:t>Jahaji</w:t>
      </w:r>
      <w:proofErr w:type="spellEnd"/>
      <w:r w:rsidRPr="003022C9">
        <w:rPr>
          <w:rFonts w:cs="Times New Roman"/>
          <w:color w:val="000000" w:themeColor="text1"/>
          <w:szCs w:val="24"/>
          <w:lang w:val="en-GB"/>
        </w:rPr>
        <w:t xml:space="preserve"> (Musa AAA). Intl. J. </w:t>
      </w:r>
      <w:proofErr w:type="spellStart"/>
      <w:r w:rsidRPr="003022C9">
        <w:rPr>
          <w:rFonts w:cs="Times New Roman"/>
          <w:color w:val="000000" w:themeColor="text1"/>
          <w:szCs w:val="24"/>
          <w:lang w:val="en-GB"/>
        </w:rPr>
        <w:t>Agril</w:t>
      </w:r>
      <w:proofErr w:type="spellEnd"/>
      <w:r w:rsidRPr="003022C9">
        <w:rPr>
          <w:rFonts w:cs="Times New Roman"/>
          <w:color w:val="000000" w:themeColor="text1"/>
          <w:szCs w:val="24"/>
          <w:lang w:val="en-GB"/>
        </w:rPr>
        <w:t>. Inno. &amp; Res., 315:1465-1469.</w:t>
      </w:r>
    </w:p>
    <w:p w14:paraId="0DBAD0C2"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Gomaa, A. M., &amp; Ibrahim, H. F. (2020). Williams banana growth, nutritional status, yield and fruit quality as influenced by spraying humic acid and seaweed extract. Journal of Plant Production, 11(11), 1121-1128.</w:t>
      </w:r>
    </w:p>
    <w:p w14:paraId="52E76CE1"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Handayani</w:t>
      </w:r>
      <w:proofErr w:type="spellEnd"/>
      <w:r w:rsidRPr="003022C9">
        <w:rPr>
          <w:rFonts w:cs="Times New Roman"/>
          <w:color w:val="000000" w:themeColor="text1"/>
          <w:szCs w:val="24"/>
          <w:lang w:val="en-GB"/>
        </w:rPr>
        <w:t xml:space="preserve">, T., </w:t>
      </w:r>
      <w:proofErr w:type="spellStart"/>
      <w:r w:rsidRPr="003022C9">
        <w:rPr>
          <w:rFonts w:cs="Times New Roman"/>
          <w:color w:val="000000" w:themeColor="text1"/>
          <w:szCs w:val="24"/>
          <w:lang w:val="en-GB"/>
        </w:rPr>
        <w:t>Martanti</w:t>
      </w:r>
      <w:proofErr w:type="spellEnd"/>
      <w:r w:rsidRPr="003022C9">
        <w:rPr>
          <w:rFonts w:cs="Times New Roman"/>
          <w:color w:val="000000" w:themeColor="text1"/>
          <w:szCs w:val="24"/>
          <w:lang w:val="en-GB"/>
        </w:rPr>
        <w:t xml:space="preserve">, D., Prawestri, A. D., Ahmad, F., </w:t>
      </w:r>
      <w:proofErr w:type="spellStart"/>
      <w:r w:rsidRPr="003022C9">
        <w:rPr>
          <w:rFonts w:cs="Times New Roman"/>
          <w:color w:val="000000" w:themeColor="text1"/>
          <w:szCs w:val="24"/>
          <w:lang w:val="en-GB"/>
        </w:rPr>
        <w:t>Herlina</w:t>
      </w:r>
      <w:proofErr w:type="spellEnd"/>
      <w:r w:rsidRPr="003022C9">
        <w:rPr>
          <w:rFonts w:cs="Times New Roman"/>
          <w:color w:val="000000" w:themeColor="text1"/>
          <w:szCs w:val="24"/>
          <w:lang w:val="en-GB"/>
        </w:rPr>
        <w:t xml:space="preserve">, H., Poerba, Y. S., &amp; </w:t>
      </w:r>
      <w:proofErr w:type="spellStart"/>
      <w:r w:rsidRPr="003022C9">
        <w:rPr>
          <w:rFonts w:cs="Times New Roman"/>
          <w:color w:val="000000" w:themeColor="text1"/>
          <w:szCs w:val="24"/>
          <w:lang w:val="en-GB"/>
        </w:rPr>
        <w:t>Witjaksono</w:t>
      </w:r>
      <w:proofErr w:type="spellEnd"/>
      <w:r w:rsidRPr="003022C9">
        <w:rPr>
          <w:rFonts w:cs="Times New Roman"/>
          <w:color w:val="000000" w:themeColor="text1"/>
          <w:szCs w:val="24"/>
          <w:lang w:val="en-GB"/>
        </w:rPr>
        <w:t>, W. (2023, December). Micropropagation of wild banana (Musa acuminata Colla) using shoot TIPS and zygotic embryos. In AIP Conference Proceedings (Vol. 2972, No. 1). AIP Publishing.</w:t>
      </w:r>
    </w:p>
    <w:p w14:paraId="1348DBBE"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Haque, M. A., &amp; Sakimin, S. Z. (2022). Planting arrangement and effects of planting density on tropical fruit crops—A Review. </w:t>
      </w:r>
      <w:r w:rsidRPr="008D703E">
        <w:rPr>
          <w:rFonts w:cs="Times New Roman"/>
          <w:i/>
          <w:iCs/>
          <w:szCs w:val="24"/>
        </w:rPr>
        <w:t>Horticulturae</w:t>
      </w:r>
      <w:r w:rsidRPr="008D703E">
        <w:rPr>
          <w:rFonts w:cs="Times New Roman"/>
          <w:szCs w:val="24"/>
        </w:rPr>
        <w:t>, </w:t>
      </w:r>
      <w:r w:rsidRPr="008D703E">
        <w:rPr>
          <w:rFonts w:cs="Times New Roman"/>
          <w:i/>
          <w:iCs/>
          <w:szCs w:val="24"/>
        </w:rPr>
        <w:t>8</w:t>
      </w:r>
      <w:r w:rsidRPr="008D703E">
        <w:rPr>
          <w:rFonts w:cs="Times New Roman"/>
          <w:szCs w:val="24"/>
        </w:rPr>
        <w:t>(6), 485.</w:t>
      </w:r>
    </w:p>
    <w:p w14:paraId="6D22BFFE"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lastRenderedPageBreak/>
        <w:t>Haque, M. A., &amp; Sakimin, S. Z. (2022). Planting Arrangement and Effects of Planting Density on Tropical Fruit Crops—A Review. </w:t>
      </w:r>
      <w:r w:rsidRPr="008D703E">
        <w:rPr>
          <w:rFonts w:cs="Times New Roman"/>
          <w:i/>
          <w:iCs/>
          <w:szCs w:val="24"/>
        </w:rPr>
        <w:t>Horticulturae</w:t>
      </w:r>
      <w:r w:rsidRPr="008D703E">
        <w:rPr>
          <w:rFonts w:cs="Times New Roman"/>
          <w:szCs w:val="24"/>
        </w:rPr>
        <w:t>, </w:t>
      </w:r>
      <w:r w:rsidRPr="008D703E">
        <w:rPr>
          <w:rFonts w:cs="Times New Roman"/>
          <w:i/>
          <w:iCs/>
          <w:szCs w:val="24"/>
        </w:rPr>
        <w:t>8</w:t>
      </w:r>
      <w:r w:rsidRPr="008D703E">
        <w:rPr>
          <w:rFonts w:cs="Times New Roman"/>
          <w:szCs w:val="24"/>
        </w:rPr>
        <w:t xml:space="preserve">(6), 485. </w:t>
      </w:r>
      <w:r w:rsidRPr="008D703E">
        <w:rPr>
          <w:rFonts w:cs="Times New Roman"/>
          <w:szCs w:val="24"/>
        </w:rPr>
        <w:fldChar w:fldCharType="begin"/>
      </w:r>
      <w:r w:rsidRPr="008D703E">
        <w:rPr>
          <w:rFonts w:cs="Times New Roman"/>
          <w:szCs w:val="24"/>
        </w:rPr>
        <w:instrText>HYPERLINK "https://doi.org/10.3390/horticulturae8060485"</w:instrText>
      </w:r>
      <w:r w:rsidRPr="008D703E">
        <w:rPr>
          <w:rFonts w:cs="Times New Roman"/>
          <w:szCs w:val="24"/>
        </w:rPr>
        <w:fldChar w:fldCharType="separate"/>
      </w:r>
      <w:r w:rsidRPr="008D703E">
        <w:rPr>
          <w:rStyle w:val="Hyperlink"/>
          <w:rFonts w:cs="Times New Roman"/>
          <w:szCs w:val="24"/>
        </w:rPr>
        <w:t>https://doi.org/10.3390/horticulturae8060485</w:t>
      </w:r>
      <w:r w:rsidRPr="008D703E">
        <w:rPr>
          <w:rFonts w:cs="Times New Roman"/>
          <w:szCs w:val="24"/>
        </w:rPr>
        <w:fldChar w:fldCharType="end"/>
      </w:r>
    </w:p>
    <w:p w14:paraId="692C6769"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Harish, J., Anandhi, S., Rageshwari, S., Ashokkumar, N., &amp; Gopu, B. (2024). Evaluating the Efficacy of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Techniques for Red Banana (Musa acuminata) Using Biocontrol Agents. Journal of Experimental Agriculture International, 46(10), 782-793.</w:t>
      </w:r>
    </w:p>
    <w:p w14:paraId="678815F6" w14:textId="77777777" w:rsidR="00351B82" w:rsidRPr="008D703E" w:rsidRDefault="00351B82" w:rsidP="008D703E">
      <w:pPr>
        <w:pStyle w:val="ListParagraph"/>
        <w:numPr>
          <w:ilvl w:val="0"/>
          <w:numId w:val="17"/>
        </w:numPr>
        <w:jc w:val="both"/>
        <w:rPr>
          <w:rFonts w:cs="Times New Roman"/>
          <w:szCs w:val="24"/>
          <w:lang w:val="en-IN"/>
        </w:rPr>
      </w:pPr>
      <w:r w:rsidRPr="008D703E">
        <w:rPr>
          <w:rFonts w:cs="Times New Roman"/>
          <w:szCs w:val="24"/>
          <w:lang w:val="en-IN"/>
        </w:rPr>
        <w:t xml:space="preserve">Hassan, S. Nazreen, R. Swarna Priya, K. Kavitha, A. Selvarani, R. Latha &amp; S. Suresh. (2023). Utilization Pattern of TNAU Banana Expert System among </w:t>
      </w:r>
      <w:proofErr w:type="spellStart"/>
      <w:r w:rsidRPr="008D703E">
        <w:rPr>
          <w:rFonts w:cs="Times New Roman"/>
          <w:szCs w:val="24"/>
          <w:lang w:val="en-IN"/>
        </w:rPr>
        <w:t>Nendren</w:t>
      </w:r>
      <w:proofErr w:type="spellEnd"/>
      <w:r w:rsidRPr="008D703E">
        <w:rPr>
          <w:rFonts w:cs="Times New Roman"/>
          <w:szCs w:val="24"/>
          <w:lang w:val="en-IN"/>
        </w:rPr>
        <w:t xml:space="preserve"> Banana Growers in Kanyakumari District. </w:t>
      </w:r>
      <w:r w:rsidRPr="008D703E">
        <w:rPr>
          <w:rFonts w:cs="Times New Roman"/>
          <w:i/>
          <w:iCs/>
          <w:szCs w:val="24"/>
          <w:lang w:val="en-IN"/>
        </w:rPr>
        <w:t>Asian Journal of Agricultural Extension, Economics &amp; Sociology</w:t>
      </w:r>
      <w:r w:rsidRPr="008D703E">
        <w:rPr>
          <w:rFonts w:cs="Times New Roman"/>
          <w:szCs w:val="24"/>
          <w:lang w:val="en-IN"/>
        </w:rPr>
        <w:t>, 41(7), 23–28. https://doi.org/10.9734/AJAEES/2023/v41i71938</w:t>
      </w:r>
    </w:p>
    <w:p w14:paraId="6ABF7101" w14:textId="77777777" w:rsidR="00351B82" w:rsidRPr="008D703E" w:rsidRDefault="00351B82" w:rsidP="008D703E">
      <w:pPr>
        <w:pStyle w:val="ListParagraph"/>
        <w:numPr>
          <w:ilvl w:val="0"/>
          <w:numId w:val="17"/>
        </w:numPr>
        <w:jc w:val="both"/>
        <w:rPr>
          <w:rFonts w:cs="Times New Roman"/>
          <w:szCs w:val="24"/>
          <w:lang w:val="en-GB"/>
        </w:rPr>
      </w:pPr>
      <w:r w:rsidRPr="008D703E">
        <w:rPr>
          <w:rFonts w:cs="Times New Roman"/>
          <w:szCs w:val="24"/>
        </w:rPr>
        <w:t>Jalawadi, S., &amp; Naik, R. (2024). Effect Of Dıfferent Plantıng Methods And Hıgh-Densıty Plantıng On Vegetatıve Characterıstıcs In Banana Cv. Wıllıams. </w:t>
      </w:r>
      <w:r w:rsidRPr="008D703E">
        <w:rPr>
          <w:rFonts w:cs="Times New Roman"/>
          <w:i/>
          <w:iCs/>
          <w:szCs w:val="24"/>
        </w:rPr>
        <w:t>Plant Archives (09725210)</w:t>
      </w:r>
      <w:r w:rsidRPr="008D703E">
        <w:rPr>
          <w:rFonts w:cs="Times New Roman"/>
          <w:szCs w:val="24"/>
        </w:rPr>
        <w:t>, </w:t>
      </w:r>
      <w:r w:rsidRPr="008D703E">
        <w:rPr>
          <w:rFonts w:cs="Times New Roman"/>
          <w:i/>
          <w:iCs/>
          <w:szCs w:val="24"/>
        </w:rPr>
        <w:t>24</w:t>
      </w:r>
      <w:r w:rsidRPr="008D703E">
        <w:rPr>
          <w:rFonts w:cs="Times New Roman"/>
          <w:szCs w:val="24"/>
        </w:rPr>
        <w:t>(2).</w:t>
      </w:r>
    </w:p>
    <w:p w14:paraId="4D5F301E"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Karishma, N. A., Simi, S., Manju, P. R., &amp; Rafeekher, M. (2025). A comprehensive review on high-density planting in fruit crops and its outcomes. </w:t>
      </w:r>
      <w:r w:rsidRPr="008D703E">
        <w:rPr>
          <w:rFonts w:cs="Times New Roman"/>
          <w:i/>
          <w:iCs/>
          <w:szCs w:val="24"/>
        </w:rPr>
        <w:t>Journal of Advances in Biology &amp; Biotechnology</w:t>
      </w:r>
      <w:r w:rsidRPr="008D703E">
        <w:rPr>
          <w:rFonts w:cs="Times New Roman"/>
          <w:szCs w:val="24"/>
        </w:rPr>
        <w:t>, </w:t>
      </w:r>
      <w:r w:rsidRPr="008D703E">
        <w:rPr>
          <w:rFonts w:cs="Times New Roman"/>
          <w:i/>
          <w:iCs/>
          <w:szCs w:val="24"/>
        </w:rPr>
        <w:t>28</w:t>
      </w:r>
      <w:r w:rsidRPr="008D703E">
        <w:rPr>
          <w:rFonts w:cs="Times New Roman"/>
          <w:szCs w:val="24"/>
        </w:rPr>
        <w:t>(5), 360-374.</w:t>
      </w:r>
    </w:p>
    <w:p w14:paraId="57C5D94C"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Karthikeyan, K., &amp; Shanmugam, M. (2014). Enhanced yield and quality in some banana varieties applied with commercially manufactured </w:t>
      </w:r>
      <w:proofErr w:type="spellStart"/>
      <w:r w:rsidRPr="003022C9">
        <w:rPr>
          <w:rFonts w:cs="Times New Roman"/>
          <w:color w:val="000000" w:themeColor="text1"/>
          <w:szCs w:val="24"/>
          <w:lang w:val="en-GB"/>
        </w:rPr>
        <w:t>biostimulant</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Aquasap</w:t>
      </w:r>
      <w:proofErr w:type="spellEnd"/>
      <w:r w:rsidRPr="003022C9">
        <w:rPr>
          <w:rFonts w:cs="Times New Roman"/>
          <w:color w:val="000000" w:themeColor="text1"/>
          <w:szCs w:val="24"/>
          <w:lang w:val="en-GB"/>
        </w:rPr>
        <w:t xml:space="preserve"> from sea plant </w:t>
      </w:r>
      <w:proofErr w:type="spellStart"/>
      <w:r w:rsidRPr="003022C9">
        <w:rPr>
          <w:rFonts w:cs="Times New Roman"/>
          <w:color w:val="000000" w:themeColor="text1"/>
          <w:szCs w:val="24"/>
          <w:lang w:val="en-GB"/>
        </w:rPr>
        <w:t>Kappaphycus</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alvarezii</w:t>
      </w:r>
      <w:proofErr w:type="spellEnd"/>
      <w:r w:rsidRPr="003022C9">
        <w:rPr>
          <w:rFonts w:cs="Times New Roman"/>
          <w:color w:val="000000" w:themeColor="text1"/>
          <w:szCs w:val="24"/>
          <w:lang w:val="en-GB"/>
        </w:rPr>
        <w:t>. Journal of Agricultural Science and Technology B, 4(8), 621-31.</w:t>
      </w:r>
    </w:p>
    <w:p w14:paraId="5C2E0FC0"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 xml:space="preserve">Kaviyarasu, P., Barathkumar, T. R., Angayarkanni, A., &amp; Diraviam, J. (2025). Effect of Different Plant Spacings and Fertilizer Regimes on Growth and Yield of </w:t>
      </w:r>
      <w:r w:rsidRPr="008D703E">
        <w:rPr>
          <w:rFonts w:cs="Times New Roman"/>
          <w:szCs w:val="24"/>
        </w:rPr>
        <w:lastRenderedPageBreak/>
        <w:t>Banana (Musa Spp.) Cv. Ney Poovan (AB). </w:t>
      </w:r>
      <w:r w:rsidRPr="008D703E">
        <w:rPr>
          <w:rFonts w:cs="Times New Roman"/>
          <w:i/>
          <w:iCs/>
          <w:szCs w:val="24"/>
        </w:rPr>
        <w:t>Ecology, Environment &amp; Conservation (0971765X)</w:t>
      </w:r>
      <w:r w:rsidRPr="008D703E">
        <w:rPr>
          <w:rFonts w:cs="Times New Roman"/>
          <w:szCs w:val="24"/>
        </w:rPr>
        <w:t>, </w:t>
      </w:r>
      <w:r w:rsidRPr="008D703E">
        <w:rPr>
          <w:rFonts w:cs="Times New Roman"/>
          <w:i/>
          <w:iCs/>
          <w:szCs w:val="24"/>
        </w:rPr>
        <w:t>31</w:t>
      </w:r>
      <w:r w:rsidRPr="008D703E">
        <w:rPr>
          <w:rFonts w:cs="Times New Roman"/>
          <w:szCs w:val="24"/>
        </w:rPr>
        <w:t>(3).</w:t>
      </w:r>
    </w:p>
    <w:p w14:paraId="6E1F1C1A"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Krauss, U., Johanson, A., 2000. Recent advances in the control of crown rot of banana in the Windward </w:t>
      </w:r>
      <w:proofErr w:type="spellStart"/>
      <w:r w:rsidRPr="003022C9">
        <w:rPr>
          <w:rFonts w:cs="Times New Roman"/>
          <w:color w:val="000000" w:themeColor="text1"/>
          <w:szCs w:val="24"/>
          <w:lang w:val="en-GB"/>
        </w:rPr>
        <w:t>Islandsq</w:t>
      </w:r>
      <w:proofErr w:type="spellEnd"/>
      <w:r w:rsidRPr="003022C9">
        <w:rPr>
          <w:rFonts w:cs="Times New Roman"/>
          <w:color w:val="000000" w:themeColor="text1"/>
          <w:szCs w:val="24"/>
          <w:lang w:val="en-GB"/>
        </w:rPr>
        <w:t>. Crop Protection. 19(151), 160.</w:t>
      </w:r>
    </w:p>
    <w:p w14:paraId="3A860C1B"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Kumar, A., Vairagar, V. G., Jalwania, R., Singh, N. S., &amp; Fredericks, R. (2025). A Review on Advances in High</w:t>
      </w:r>
      <w:r w:rsidRPr="008D703E">
        <w:rPr>
          <w:rFonts w:cs="Times New Roman"/>
          <w:szCs w:val="24"/>
        </w:rPr>
        <w:noBreakHyphen/>
        <w:t>Density Planting Systems for Fruit Crops. </w:t>
      </w:r>
      <w:r w:rsidRPr="008D703E">
        <w:rPr>
          <w:rFonts w:cs="Times New Roman"/>
          <w:i/>
          <w:iCs/>
          <w:szCs w:val="24"/>
        </w:rPr>
        <w:t>Journal of Scientific Research and Reports</w:t>
      </w:r>
      <w:r w:rsidRPr="008D703E">
        <w:rPr>
          <w:rFonts w:cs="Times New Roman"/>
          <w:szCs w:val="24"/>
        </w:rPr>
        <w:t>, </w:t>
      </w:r>
      <w:r w:rsidRPr="008D703E">
        <w:rPr>
          <w:rFonts w:cs="Times New Roman"/>
          <w:i/>
          <w:iCs/>
          <w:szCs w:val="24"/>
        </w:rPr>
        <w:t>31</w:t>
      </w:r>
      <w:r w:rsidRPr="008D703E">
        <w:rPr>
          <w:rFonts w:cs="Times New Roman"/>
          <w:szCs w:val="24"/>
        </w:rPr>
        <w:t>(10), 201-217.</w:t>
      </w:r>
    </w:p>
    <w:p w14:paraId="438B289F"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Kumar, N., 2019. High Density Planting in Mango- Prospects and Problems. Advanced Agricultural Research &amp; Technology Journal. 3(1).</w:t>
      </w:r>
    </w:p>
    <w:p w14:paraId="4CA23A2C"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Kumar, R., Singh, R. K., Shah, A., Srivastava, A. K., Singh, U. P., &amp; Agarwal, A. (2024). Banana Cultivation and Micropropagation in India: Addressing Challenges and Exploring Future Prospects. Biosciences Biotechnology Research Asia, 21(4), 1383-1395.</w:t>
      </w:r>
    </w:p>
    <w:p w14:paraId="069E7EBB"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szCs w:val="24"/>
        </w:rPr>
        <w:t>Mahfouze</w:t>
      </w:r>
      <w:proofErr w:type="spellEnd"/>
      <w:r w:rsidRPr="003022C9">
        <w:rPr>
          <w:rFonts w:cs="Times New Roman"/>
          <w:szCs w:val="24"/>
        </w:rPr>
        <w:t>, H. A., El-Dougdoug, N. K., &amp; Mahfouze, S. A. (2020). Virucidal activity of silver nanoparticles against Banana bunchy top virus (BBTV) in banana plants. </w:t>
      </w:r>
      <w:r w:rsidRPr="003022C9">
        <w:rPr>
          <w:rFonts w:cs="Times New Roman"/>
          <w:i/>
          <w:iCs/>
          <w:szCs w:val="24"/>
        </w:rPr>
        <w:t>Bulletin of the National Research Centre</w:t>
      </w:r>
      <w:r w:rsidRPr="003022C9">
        <w:rPr>
          <w:rFonts w:cs="Times New Roman"/>
          <w:szCs w:val="24"/>
        </w:rPr>
        <w:t>, </w:t>
      </w:r>
      <w:r w:rsidRPr="003022C9">
        <w:rPr>
          <w:rFonts w:cs="Times New Roman"/>
          <w:i/>
          <w:iCs/>
          <w:szCs w:val="24"/>
        </w:rPr>
        <w:t>44</w:t>
      </w:r>
      <w:r w:rsidRPr="003022C9">
        <w:rPr>
          <w:rFonts w:cs="Times New Roman"/>
          <w:szCs w:val="24"/>
        </w:rPr>
        <w:t>(1), 199.</w:t>
      </w:r>
    </w:p>
    <w:p w14:paraId="0970901F"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szCs w:val="24"/>
        </w:rPr>
        <w:t>Mahmoud, L. M., Dutt, M., Shalan, A. M., El-Kady, M. E., El-Boray, M. S., Shabana, Y. M., &amp; Grosser, J. W. (2020). Silicon nanoparticles mitigate oxidative stress of in vitro-derived banana (Musa acuminata ‘Grand Nain’) under simulated water deficit or salinity stress. </w:t>
      </w:r>
      <w:r w:rsidRPr="003022C9">
        <w:rPr>
          <w:rFonts w:cs="Times New Roman"/>
          <w:i/>
          <w:iCs/>
          <w:szCs w:val="24"/>
        </w:rPr>
        <w:t>South African Journal of Botany</w:t>
      </w:r>
      <w:r w:rsidRPr="003022C9">
        <w:rPr>
          <w:rFonts w:cs="Times New Roman"/>
          <w:szCs w:val="24"/>
        </w:rPr>
        <w:t>, </w:t>
      </w:r>
      <w:r w:rsidRPr="003022C9">
        <w:rPr>
          <w:rFonts w:cs="Times New Roman"/>
          <w:i/>
          <w:iCs/>
          <w:szCs w:val="24"/>
        </w:rPr>
        <w:t>132</w:t>
      </w:r>
      <w:r w:rsidRPr="003022C9">
        <w:rPr>
          <w:rFonts w:cs="Times New Roman"/>
          <w:szCs w:val="24"/>
        </w:rPr>
        <w:t>, 155-163.</w:t>
      </w:r>
    </w:p>
    <w:p w14:paraId="3E55B3FA"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Manju, P. R., &amp; Pushpalatha, P. B. (2022).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in Banana (Musa spp.): Varietal response to media and field performance of plantlets against suckers. International Journal of Bio-Resource and Stress Management, 13(10), 1064-1075.</w:t>
      </w:r>
    </w:p>
    <w:p w14:paraId="78E658EE"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lastRenderedPageBreak/>
        <w:t xml:space="preserve">Mekonen, G., Egigu, M. C., &amp; </w:t>
      </w:r>
      <w:proofErr w:type="spellStart"/>
      <w:r w:rsidRPr="003022C9">
        <w:rPr>
          <w:rFonts w:cs="Times New Roman"/>
          <w:color w:val="000000" w:themeColor="text1"/>
          <w:szCs w:val="24"/>
          <w:lang w:val="en-GB"/>
        </w:rPr>
        <w:t>Muthsuwamy</w:t>
      </w:r>
      <w:proofErr w:type="spellEnd"/>
      <w:r w:rsidRPr="003022C9">
        <w:rPr>
          <w:rFonts w:cs="Times New Roman"/>
          <w:color w:val="000000" w:themeColor="text1"/>
          <w:szCs w:val="24"/>
          <w:lang w:val="en-GB"/>
        </w:rPr>
        <w:t>, M. (2021). In vitro propagation of banana (Musa paradisiaca L.) plant using shoot tip explant. Turkish Journal of Agriculture-Food Science and Technology, 9(12), 2339-2346.</w:t>
      </w:r>
    </w:p>
    <w:p w14:paraId="37EE9DDE"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Millik, T.T., Baruah, K., Kumar, V., Barik, N., 2018. Effect of Bunch Feeding of Nitrogen (N) and Potassium (K) on Yield Characters in Banana, cv. </w:t>
      </w:r>
      <w:proofErr w:type="spellStart"/>
      <w:r w:rsidRPr="003022C9">
        <w:rPr>
          <w:rFonts w:cs="Times New Roman"/>
          <w:color w:val="000000" w:themeColor="text1"/>
          <w:szCs w:val="24"/>
          <w:lang w:val="en-GB"/>
        </w:rPr>
        <w:t>Barjahaji</w:t>
      </w:r>
      <w:proofErr w:type="spellEnd"/>
      <w:r w:rsidRPr="003022C9">
        <w:rPr>
          <w:rFonts w:cs="Times New Roman"/>
          <w:color w:val="000000" w:themeColor="text1"/>
          <w:szCs w:val="24"/>
          <w:lang w:val="en-GB"/>
        </w:rPr>
        <w:t xml:space="preserve"> (Musa AAA Group) under Assam Condition, India. Current Journal of Applied Science and Technology. 26(1), 1-7.</w:t>
      </w:r>
    </w:p>
    <w:p w14:paraId="582B2DC8"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Naik M. H., K. </w:t>
      </w:r>
      <w:proofErr w:type="spellStart"/>
      <w:r w:rsidRPr="003022C9">
        <w:rPr>
          <w:rFonts w:cs="Times New Roman"/>
          <w:color w:val="000000" w:themeColor="text1"/>
          <w:szCs w:val="24"/>
          <w:lang w:val="en-GB"/>
        </w:rPr>
        <w:t>Vanjalatha</w:t>
      </w:r>
      <w:proofErr w:type="spellEnd"/>
      <w:r w:rsidRPr="003022C9">
        <w:rPr>
          <w:rFonts w:cs="Times New Roman"/>
          <w:color w:val="000000" w:themeColor="text1"/>
          <w:szCs w:val="24"/>
          <w:lang w:val="en-GB"/>
        </w:rPr>
        <w:t xml:space="preserve">, T. Ramesh and P. Prasanth, 2016, Influence of </w:t>
      </w:r>
      <w:proofErr w:type="gramStart"/>
      <w:r w:rsidRPr="003022C9">
        <w:rPr>
          <w:rFonts w:cs="Times New Roman"/>
          <w:color w:val="000000" w:themeColor="text1"/>
          <w:szCs w:val="24"/>
          <w:lang w:val="en-GB"/>
        </w:rPr>
        <w:t>high density</w:t>
      </w:r>
      <w:proofErr w:type="gramEnd"/>
      <w:r w:rsidRPr="003022C9">
        <w:rPr>
          <w:rFonts w:cs="Times New Roman"/>
          <w:color w:val="000000" w:themeColor="text1"/>
          <w:szCs w:val="24"/>
          <w:lang w:val="en-GB"/>
        </w:rPr>
        <w:t xml:space="preserve"> planting and fertigation on physiological parameters, flowering and yield of banana (M. </w:t>
      </w:r>
      <w:proofErr w:type="spellStart"/>
      <w:r w:rsidRPr="003022C9">
        <w:rPr>
          <w:rFonts w:cs="Times New Roman"/>
          <w:color w:val="000000" w:themeColor="text1"/>
          <w:szCs w:val="24"/>
          <w:lang w:val="en-GB"/>
        </w:rPr>
        <w:t>Accuminata</w:t>
      </w:r>
      <w:proofErr w:type="spellEnd"/>
      <w:r w:rsidRPr="003022C9">
        <w:rPr>
          <w:rFonts w:cs="Times New Roman"/>
          <w:color w:val="000000" w:themeColor="text1"/>
          <w:szCs w:val="24"/>
          <w:lang w:val="en-GB"/>
        </w:rPr>
        <w:t xml:space="preserve"> L.)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of main and ratoon corp. Inter. J. Res. In Sci. </w:t>
      </w:r>
      <w:proofErr w:type="spellStart"/>
      <w:r w:rsidRPr="003022C9">
        <w:rPr>
          <w:rFonts w:cs="Times New Roman"/>
          <w:color w:val="000000" w:themeColor="text1"/>
          <w:szCs w:val="24"/>
          <w:lang w:val="en-GB"/>
        </w:rPr>
        <w:t>Engn</w:t>
      </w:r>
      <w:proofErr w:type="spellEnd"/>
      <w:r w:rsidRPr="003022C9">
        <w:rPr>
          <w:rFonts w:cs="Times New Roman"/>
          <w:color w:val="000000" w:themeColor="text1"/>
          <w:szCs w:val="24"/>
          <w:lang w:val="en-GB"/>
        </w:rPr>
        <w:t>. and Tech.3(10): 2800-2808.</w:t>
      </w:r>
    </w:p>
    <w:p w14:paraId="0B882D39"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Naik, M. H., Vanajalatha, K., Ramesh, T., &amp; Prasanth, P. (2016). Influence of high density planting and fertigation on physiological parameters, flowering and yield of banana (Musa acuminata L.) cv. Grand Naine of Main and ratoon crop. </w:t>
      </w:r>
      <w:r w:rsidRPr="008D703E">
        <w:rPr>
          <w:rFonts w:cs="Times New Roman"/>
          <w:i/>
          <w:iCs/>
          <w:szCs w:val="24"/>
        </w:rPr>
        <w:t>International Journal of Advanced Research in Science, Engineering and Technology</w:t>
      </w:r>
      <w:r w:rsidRPr="008D703E">
        <w:rPr>
          <w:rFonts w:cs="Times New Roman"/>
          <w:szCs w:val="24"/>
        </w:rPr>
        <w:t>, </w:t>
      </w:r>
      <w:r w:rsidRPr="008D703E">
        <w:rPr>
          <w:rFonts w:cs="Times New Roman"/>
          <w:i/>
          <w:iCs/>
          <w:szCs w:val="24"/>
        </w:rPr>
        <w:t>3</w:t>
      </w:r>
      <w:r w:rsidRPr="008D703E">
        <w:rPr>
          <w:rFonts w:cs="Times New Roman"/>
          <w:szCs w:val="24"/>
        </w:rPr>
        <w:t>, 2800-2809.</w:t>
      </w:r>
    </w:p>
    <w:p w14:paraId="023B95D7"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Nalina, L. 2002. Standardization of Fertilizer Requirement for Tissue Cultural Banana cv. Robusta. Ph.D. thesis, Tamil Nadu Agricultural University, Coimbatore.</w:t>
      </w:r>
    </w:p>
    <w:p w14:paraId="42EFFA13"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Nath, V., Das, B. Rai, M., 2007. Standardization of high-density planting in mango (</w:t>
      </w:r>
      <w:proofErr w:type="spellStart"/>
      <w:r w:rsidRPr="003022C9">
        <w:rPr>
          <w:rFonts w:cs="Times New Roman"/>
          <w:color w:val="000000" w:themeColor="text1"/>
          <w:szCs w:val="24"/>
          <w:lang w:val="en-GB"/>
        </w:rPr>
        <w:t>Mangiferaindica</w:t>
      </w:r>
      <w:proofErr w:type="spellEnd"/>
      <w:r w:rsidRPr="003022C9">
        <w:rPr>
          <w:rFonts w:cs="Times New Roman"/>
          <w:color w:val="000000" w:themeColor="text1"/>
          <w:szCs w:val="24"/>
          <w:lang w:val="en-GB"/>
        </w:rPr>
        <w:t xml:space="preserve">) under sub-humid </w:t>
      </w:r>
      <w:proofErr w:type="spellStart"/>
      <w:r w:rsidRPr="003022C9">
        <w:rPr>
          <w:rFonts w:cs="Times New Roman"/>
          <w:color w:val="000000" w:themeColor="text1"/>
          <w:szCs w:val="24"/>
          <w:lang w:val="en-GB"/>
        </w:rPr>
        <w:t>Alisols</w:t>
      </w:r>
      <w:proofErr w:type="spellEnd"/>
      <w:r w:rsidRPr="003022C9">
        <w:rPr>
          <w:rFonts w:cs="Times New Roman"/>
          <w:color w:val="000000" w:themeColor="text1"/>
          <w:szCs w:val="24"/>
          <w:lang w:val="en-GB"/>
        </w:rPr>
        <w:t xml:space="preserve"> of Eastern India. Indian J </w:t>
      </w:r>
      <w:proofErr w:type="spellStart"/>
      <w:r w:rsidRPr="003022C9">
        <w:rPr>
          <w:rFonts w:cs="Times New Roman"/>
          <w:color w:val="000000" w:themeColor="text1"/>
          <w:szCs w:val="24"/>
          <w:lang w:val="en-GB"/>
        </w:rPr>
        <w:t>Agrli</w:t>
      </w:r>
      <w:proofErr w:type="spellEnd"/>
      <w:r w:rsidRPr="003022C9">
        <w:rPr>
          <w:rFonts w:cs="Times New Roman"/>
          <w:color w:val="000000" w:themeColor="text1"/>
          <w:szCs w:val="24"/>
          <w:lang w:val="en-GB"/>
        </w:rPr>
        <w:t xml:space="preserve"> Sci. 77, 3-7. </w:t>
      </w:r>
    </w:p>
    <w:p w14:paraId="0B5981C0"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Navik, P., Kumar, D., Raghavendra, S., Padmavati, A., Shamim, M. D., &amp; Srivastava, D. (2023). Tissue Culture Technology Intervention in Red Dacca and </w:t>
      </w:r>
      <w:r w:rsidRPr="003022C9">
        <w:rPr>
          <w:rFonts w:cs="Times New Roman"/>
          <w:color w:val="000000" w:themeColor="text1"/>
          <w:szCs w:val="24"/>
          <w:lang w:val="en-GB"/>
        </w:rPr>
        <w:lastRenderedPageBreak/>
        <w:t>Cavendish Banana for Nutritive Value Enhancement Under Organic Farming in India. In Transforming Organic Agri-Produce into Processed Food Products (pp. 395-424). Apple Academic Press.</w:t>
      </w:r>
    </w:p>
    <w:p w14:paraId="03D35AE0"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Navina, B., Korumilli, T. &amp; Rao, K.J. Exploring the potential of tragacanth gum and natural additives to control browning and microbial growth in fresh-cut banana slices. </w:t>
      </w:r>
      <w:r w:rsidRPr="008D703E">
        <w:rPr>
          <w:rFonts w:cs="Times New Roman"/>
          <w:i/>
          <w:iCs/>
          <w:szCs w:val="24"/>
        </w:rPr>
        <w:t>Discov Food</w:t>
      </w:r>
      <w:r w:rsidRPr="008D703E">
        <w:rPr>
          <w:rFonts w:cs="Times New Roman"/>
          <w:szCs w:val="24"/>
        </w:rPr>
        <w:t> </w:t>
      </w:r>
      <w:r w:rsidRPr="008D703E">
        <w:rPr>
          <w:rFonts w:cs="Times New Roman"/>
          <w:b/>
          <w:bCs/>
          <w:szCs w:val="24"/>
        </w:rPr>
        <w:t>5</w:t>
      </w:r>
      <w:r w:rsidRPr="008D703E">
        <w:rPr>
          <w:rFonts w:cs="Times New Roman"/>
          <w:szCs w:val="24"/>
        </w:rPr>
        <w:t xml:space="preserve">, 308 (2025). </w:t>
      </w:r>
      <w:r w:rsidRPr="008D703E">
        <w:rPr>
          <w:rFonts w:cs="Times New Roman"/>
          <w:szCs w:val="24"/>
        </w:rPr>
        <w:fldChar w:fldCharType="begin"/>
      </w:r>
      <w:r w:rsidRPr="008D703E">
        <w:rPr>
          <w:rFonts w:cs="Times New Roman"/>
          <w:szCs w:val="24"/>
        </w:rPr>
        <w:instrText>HYPERLINK "https://doi.org/10.1007/s44187-025-00582-5"</w:instrText>
      </w:r>
      <w:r w:rsidRPr="008D703E">
        <w:rPr>
          <w:rFonts w:cs="Times New Roman"/>
          <w:szCs w:val="24"/>
        </w:rPr>
        <w:fldChar w:fldCharType="separate"/>
      </w:r>
      <w:r w:rsidRPr="008D703E">
        <w:rPr>
          <w:rStyle w:val="Hyperlink"/>
          <w:rFonts w:cs="Times New Roman"/>
          <w:szCs w:val="24"/>
        </w:rPr>
        <w:t>https://doi.org/10.1007/s44187-025-00582-5</w:t>
      </w:r>
      <w:r w:rsidRPr="008D703E">
        <w:rPr>
          <w:rFonts w:cs="Times New Roman"/>
          <w:szCs w:val="24"/>
        </w:rPr>
        <w:fldChar w:fldCharType="end"/>
      </w:r>
    </w:p>
    <w:p w14:paraId="5E51F8B9"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Ngullie, T., &amp; Deb, C. R. (2024). Development of a simple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technique of banana through corms splitting and formulation of effective potting media. South African Journal of Botany, 174, 870-875.</w:t>
      </w:r>
    </w:p>
    <w:p w14:paraId="09BFB7A3"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Ningavva</w:t>
      </w:r>
      <w:proofErr w:type="spellEnd"/>
      <w:r w:rsidRPr="003022C9">
        <w:rPr>
          <w:rFonts w:cs="Times New Roman"/>
          <w:color w:val="000000" w:themeColor="text1"/>
          <w:szCs w:val="24"/>
          <w:lang w:val="en-GB"/>
        </w:rPr>
        <w:t xml:space="preserve">, B. V., Hipparagi, K., </w:t>
      </w:r>
      <w:proofErr w:type="spellStart"/>
      <w:r w:rsidRPr="003022C9">
        <w:rPr>
          <w:rFonts w:cs="Times New Roman"/>
          <w:color w:val="000000" w:themeColor="text1"/>
          <w:szCs w:val="24"/>
          <w:lang w:val="en-GB"/>
        </w:rPr>
        <w:t>Paramappa</w:t>
      </w:r>
      <w:proofErr w:type="spellEnd"/>
      <w:r w:rsidRPr="003022C9">
        <w:rPr>
          <w:rFonts w:cs="Times New Roman"/>
          <w:color w:val="000000" w:themeColor="text1"/>
          <w:szCs w:val="24"/>
          <w:lang w:val="en-GB"/>
        </w:rPr>
        <w:t xml:space="preserve">, M. K., &amp; Sadashiv, N. (2014). Effect of soil application and foliar spray of zinc and boron on quality of ratoon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under hill zone of Karnataka. Trends in Biosciences, 7(20), 3294-3296.</w:t>
      </w:r>
    </w:p>
    <w:p w14:paraId="1AF4A74F"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P. Pathak, K. Baruah, R. K. </w:t>
      </w:r>
      <w:proofErr w:type="spellStart"/>
      <w:r w:rsidRPr="003022C9">
        <w:rPr>
          <w:rFonts w:cs="Times New Roman"/>
          <w:color w:val="000000" w:themeColor="text1"/>
          <w:szCs w:val="24"/>
          <w:lang w:val="en-GB"/>
        </w:rPr>
        <w:t>Bhattacharyyaa</w:t>
      </w:r>
      <w:proofErr w:type="spellEnd"/>
      <w:r w:rsidRPr="003022C9">
        <w:rPr>
          <w:rFonts w:cs="Times New Roman"/>
          <w:color w:val="000000" w:themeColor="text1"/>
          <w:szCs w:val="24"/>
          <w:lang w:val="en-GB"/>
        </w:rPr>
        <w:t xml:space="preserve">, P. Kalita and B. K. Baishya. 2017.  Influence of Bunch Covers on Yield of Banana Cv. </w:t>
      </w:r>
      <w:proofErr w:type="spellStart"/>
      <w:r w:rsidRPr="003022C9">
        <w:rPr>
          <w:rFonts w:cs="Times New Roman"/>
          <w:color w:val="000000" w:themeColor="text1"/>
          <w:szCs w:val="24"/>
          <w:lang w:val="en-GB"/>
        </w:rPr>
        <w:t>Jahaji</w:t>
      </w:r>
      <w:proofErr w:type="spellEnd"/>
      <w:r w:rsidRPr="003022C9">
        <w:rPr>
          <w:rFonts w:cs="Times New Roman"/>
          <w:color w:val="000000" w:themeColor="text1"/>
          <w:szCs w:val="24"/>
          <w:lang w:val="en-GB"/>
        </w:rPr>
        <w:t xml:space="preserve"> (AAA) Under High Density Planting System. Int. J. Pure App. </w:t>
      </w:r>
      <w:proofErr w:type="spellStart"/>
      <w:r w:rsidRPr="003022C9">
        <w:rPr>
          <w:rFonts w:cs="Times New Roman"/>
          <w:color w:val="000000" w:themeColor="text1"/>
          <w:szCs w:val="24"/>
          <w:lang w:val="en-GB"/>
        </w:rPr>
        <w:t>Biosci</w:t>
      </w:r>
      <w:proofErr w:type="spellEnd"/>
      <w:r w:rsidRPr="003022C9">
        <w:rPr>
          <w:rFonts w:cs="Times New Roman"/>
          <w:color w:val="000000" w:themeColor="text1"/>
          <w:szCs w:val="24"/>
          <w:lang w:val="en-GB"/>
        </w:rPr>
        <w:t>. 5 (6): 1488-1493. DOI: http://dx.doi.org/10.18782/2320-7051.2896.</w:t>
      </w:r>
    </w:p>
    <w:p w14:paraId="36C332EE"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Patel, N. L., Patel, H. C., &amp; Patel, R. R. (2018). Effect of planting geometry and sucker management on growth and yield of banana (</w:t>
      </w:r>
      <w:r w:rsidRPr="008D703E">
        <w:rPr>
          <w:rFonts w:cs="Times New Roman"/>
          <w:i/>
          <w:iCs/>
          <w:szCs w:val="24"/>
        </w:rPr>
        <w:t>Musa</w:t>
      </w:r>
      <w:r w:rsidRPr="008D703E">
        <w:rPr>
          <w:rFonts w:cs="Times New Roman"/>
          <w:szCs w:val="24"/>
        </w:rPr>
        <w:t xml:space="preserve"> L.). </w:t>
      </w:r>
      <w:r w:rsidRPr="008D703E">
        <w:rPr>
          <w:rFonts w:cs="Times New Roman"/>
          <w:i/>
          <w:iCs/>
          <w:szCs w:val="24"/>
        </w:rPr>
        <w:t>International Journal of Chemical Studies</w:t>
      </w:r>
      <w:r w:rsidRPr="008D703E">
        <w:rPr>
          <w:rFonts w:cs="Times New Roman"/>
          <w:szCs w:val="24"/>
        </w:rPr>
        <w:t>, 6(4), 2064–2068.</w:t>
      </w:r>
    </w:p>
    <w:p w14:paraId="798594E5"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Pujari, C. V., Gujar, V. T., Gulave, C. M., &amp; PP, W. (2024). Effect of Different Plant Spacings on Growth, Yield and Disease Incidence in Banana CV. Phule Pride. </w:t>
      </w:r>
      <w:r w:rsidRPr="008D703E">
        <w:rPr>
          <w:rFonts w:cs="Times New Roman"/>
          <w:i/>
          <w:iCs/>
          <w:szCs w:val="24"/>
        </w:rPr>
        <w:t>Journal of Experimental Agriculture International</w:t>
      </w:r>
      <w:r w:rsidRPr="008D703E">
        <w:rPr>
          <w:rFonts w:cs="Times New Roman"/>
          <w:szCs w:val="24"/>
        </w:rPr>
        <w:t>, </w:t>
      </w:r>
      <w:r w:rsidRPr="008D703E">
        <w:rPr>
          <w:rFonts w:cs="Times New Roman"/>
          <w:i/>
          <w:iCs/>
          <w:szCs w:val="24"/>
        </w:rPr>
        <w:t>46</w:t>
      </w:r>
      <w:r w:rsidRPr="008D703E">
        <w:rPr>
          <w:rFonts w:cs="Times New Roman"/>
          <w:szCs w:val="24"/>
        </w:rPr>
        <w:t>(8), 666-673.</w:t>
      </w:r>
    </w:p>
    <w:p w14:paraId="14AE1D7D" w14:textId="77777777" w:rsidR="00351B82" w:rsidRPr="003022C9" w:rsidRDefault="00351B82" w:rsidP="008D703E">
      <w:pPr>
        <w:pStyle w:val="Papermain"/>
        <w:numPr>
          <w:ilvl w:val="0"/>
          <w:numId w:val="17"/>
        </w:numPr>
        <w:rPr>
          <w:rFonts w:cs="Times New Roman"/>
          <w:color w:val="000000" w:themeColor="text1"/>
          <w:szCs w:val="24"/>
          <w:lang w:val="tr-TR"/>
        </w:rPr>
      </w:pPr>
      <w:r w:rsidRPr="003022C9">
        <w:rPr>
          <w:rFonts w:cs="Times New Roman"/>
          <w:color w:val="000000" w:themeColor="text1"/>
          <w:szCs w:val="24"/>
          <w:lang w:val="tr-TR"/>
        </w:rPr>
        <w:lastRenderedPageBreak/>
        <w:t>Purseth, K., &amp; Topno, S. E. (2023). Optimization of Suckers and Application of Phytohormones for Better Growth, Yield and Quality of Banana (Musa paradisiaca L.) cv. Udhayam. </w:t>
      </w:r>
      <w:r w:rsidRPr="003022C9">
        <w:rPr>
          <w:rFonts w:cs="Times New Roman"/>
          <w:i/>
          <w:iCs/>
          <w:color w:val="000000" w:themeColor="text1"/>
          <w:szCs w:val="24"/>
          <w:lang w:val="tr-TR"/>
        </w:rPr>
        <w:t>Novel Perspectives of Geography, Environment and Earth Sciences Vol. 5</w:t>
      </w:r>
      <w:r w:rsidRPr="003022C9">
        <w:rPr>
          <w:rFonts w:cs="Times New Roman"/>
          <w:color w:val="000000" w:themeColor="text1"/>
          <w:szCs w:val="24"/>
          <w:lang w:val="tr-TR"/>
        </w:rPr>
        <w:t>, </w:t>
      </w:r>
      <w:r w:rsidRPr="003022C9">
        <w:rPr>
          <w:rFonts w:cs="Times New Roman"/>
          <w:i/>
          <w:iCs/>
          <w:color w:val="000000" w:themeColor="text1"/>
          <w:szCs w:val="24"/>
          <w:lang w:val="tr-TR"/>
        </w:rPr>
        <w:t>5</w:t>
      </w:r>
      <w:r w:rsidRPr="003022C9">
        <w:rPr>
          <w:rFonts w:cs="Times New Roman"/>
          <w:color w:val="000000" w:themeColor="text1"/>
          <w:szCs w:val="24"/>
          <w:lang w:val="tr-TR"/>
        </w:rPr>
        <w:t>, 1-17.</w:t>
      </w:r>
    </w:p>
    <w:p w14:paraId="76AE0778"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Rajenimbalkar</w:t>
      </w:r>
      <w:proofErr w:type="spellEnd"/>
      <w:r w:rsidRPr="003022C9">
        <w:rPr>
          <w:rFonts w:cs="Times New Roman"/>
          <w:color w:val="000000" w:themeColor="text1"/>
          <w:szCs w:val="24"/>
          <w:lang w:val="en-GB"/>
        </w:rPr>
        <w:t xml:space="preserve">, V. M., Shaikh, N. B., &amp; </w:t>
      </w:r>
      <w:proofErr w:type="spellStart"/>
      <w:r w:rsidRPr="003022C9">
        <w:rPr>
          <w:rFonts w:cs="Times New Roman"/>
          <w:color w:val="000000" w:themeColor="text1"/>
          <w:szCs w:val="24"/>
          <w:lang w:val="en-GB"/>
        </w:rPr>
        <w:t>Budgujar</w:t>
      </w:r>
      <w:proofErr w:type="spellEnd"/>
      <w:r w:rsidRPr="003022C9">
        <w:rPr>
          <w:rFonts w:cs="Times New Roman"/>
          <w:color w:val="000000" w:themeColor="text1"/>
          <w:szCs w:val="24"/>
          <w:lang w:val="en-GB"/>
        </w:rPr>
        <w:t>, C. D. (2021). Effect of biofertilizers on macro-propagation of banana. International Journal of Farm Sciences, 11(1and2), 61-65.</w:t>
      </w:r>
    </w:p>
    <w:p w14:paraId="0D61763E"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Rao, V., Swamy, G.S.K., 2017. Performance of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(AAA) for Direct Bunch Feeding of Major and Micronutrients on Bunch Yield. International Journal of Current Microbiology and Applied Sciences. 6(11), 1577-1581.</w:t>
      </w:r>
    </w:p>
    <w:p w14:paraId="6F01CE82"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Rao, V., Swamy, G.S.K., 2017. Performance of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(AAA) for Direct Bunch Feeding of Major and Micronutrients on Bunch Yield. International Journal of Current Microbiology and Applied Sciences. 6(11), 1577-1581.</w:t>
      </w:r>
    </w:p>
    <w:p w14:paraId="335C54F4"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Ravi, I., </w:t>
      </w:r>
      <w:proofErr w:type="spellStart"/>
      <w:r w:rsidRPr="003022C9">
        <w:rPr>
          <w:rFonts w:cs="Times New Roman"/>
          <w:color w:val="000000" w:themeColor="text1"/>
          <w:szCs w:val="24"/>
          <w:lang w:val="en-GB"/>
        </w:rPr>
        <w:t>Kamaraju</w:t>
      </w:r>
      <w:proofErr w:type="spellEnd"/>
      <w:r w:rsidRPr="003022C9">
        <w:rPr>
          <w:rFonts w:cs="Times New Roman"/>
          <w:color w:val="000000" w:themeColor="text1"/>
          <w:szCs w:val="24"/>
          <w:lang w:val="en-GB"/>
        </w:rPr>
        <w:t xml:space="preserve">, K., Kumar, S., &amp; Nori, S. S. (2018). Foliar application of seaweed bio formulation enhances growth and yield of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(AAA). Indian J. Nat. Sci, 8(47), 42-45.</w:t>
      </w:r>
    </w:p>
    <w:p w14:paraId="7833D4B4"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Sajeev, S., Rani, T. S., Francis, A., &amp; NK, B. (2025). Effect of High Density Planting and Nutrient Stick on Growth of Banana. </w:t>
      </w:r>
      <w:r w:rsidRPr="008D703E">
        <w:rPr>
          <w:rFonts w:cs="Times New Roman"/>
          <w:i/>
          <w:iCs/>
          <w:szCs w:val="24"/>
        </w:rPr>
        <w:t>Asian Journal of Soil Science and Plant Nutrition</w:t>
      </w:r>
      <w:r w:rsidRPr="008D703E">
        <w:rPr>
          <w:rFonts w:cs="Times New Roman"/>
          <w:szCs w:val="24"/>
        </w:rPr>
        <w:t>, </w:t>
      </w:r>
      <w:r w:rsidRPr="008D703E">
        <w:rPr>
          <w:rFonts w:cs="Times New Roman"/>
          <w:i/>
          <w:iCs/>
          <w:szCs w:val="24"/>
        </w:rPr>
        <w:t>11</w:t>
      </w:r>
      <w:r w:rsidRPr="008D703E">
        <w:rPr>
          <w:rFonts w:cs="Times New Roman"/>
          <w:szCs w:val="24"/>
        </w:rPr>
        <w:t>(2), 354-361.</w:t>
      </w:r>
    </w:p>
    <w:p w14:paraId="7773E2D7"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Sajith, </w:t>
      </w:r>
      <w:proofErr w:type="spellStart"/>
      <w:proofErr w:type="gramStart"/>
      <w:r w:rsidRPr="003022C9">
        <w:rPr>
          <w:rFonts w:cs="Times New Roman"/>
          <w:color w:val="000000" w:themeColor="text1"/>
          <w:szCs w:val="24"/>
          <w:lang w:val="en-GB"/>
        </w:rPr>
        <w:t>K.P.,Uma</w:t>
      </w:r>
      <w:proofErr w:type="spellEnd"/>
      <w:proofErr w:type="gramEnd"/>
      <w:r w:rsidRPr="003022C9">
        <w:rPr>
          <w:rFonts w:cs="Times New Roman"/>
          <w:color w:val="000000" w:themeColor="text1"/>
          <w:szCs w:val="24"/>
          <w:lang w:val="en-GB"/>
        </w:rPr>
        <w:t xml:space="preserve">, S., Saraswathi, M.S., </w:t>
      </w:r>
      <w:proofErr w:type="spellStart"/>
      <w:r w:rsidRPr="003022C9">
        <w:rPr>
          <w:rFonts w:cs="Times New Roman"/>
          <w:color w:val="000000" w:themeColor="text1"/>
          <w:szCs w:val="24"/>
          <w:lang w:val="en-GB"/>
        </w:rPr>
        <w:t>Backiyarani</w:t>
      </w:r>
      <w:proofErr w:type="spellEnd"/>
      <w:r w:rsidRPr="003022C9">
        <w:rPr>
          <w:rFonts w:cs="Times New Roman"/>
          <w:color w:val="000000" w:themeColor="text1"/>
          <w:szCs w:val="24"/>
          <w:lang w:val="en-GB"/>
        </w:rPr>
        <w:t xml:space="preserve">, S., Durai, P., 2014.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of banana - Effect of bio-fertilizers and plant hormones. Indian J. Hort. 71(3), 299-305.</w:t>
      </w:r>
    </w:p>
    <w:p w14:paraId="33D25036"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lastRenderedPageBreak/>
        <w:t xml:space="preserve">Saraswathi, M. S., </w:t>
      </w:r>
      <w:proofErr w:type="spellStart"/>
      <w:r w:rsidRPr="003022C9">
        <w:rPr>
          <w:rFonts w:cs="Times New Roman"/>
          <w:color w:val="000000" w:themeColor="text1"/>
          <w:szCs w:val="24"/>
          <w:lang w:val="en-GB"/>
        </w:rPr>
        <w:t>Bathrinath</w:t>
      </w:r>
      <w:proofErr w:type="spellEnd"/>
      <w:r w:rsidRPr="003022C9">
        <w:rPr>
          <w:rFonts w:cs="Times New Roman"/>
          <w:color w:val="000000" w:themeColor="text1"/>
          <w:szCs w:val="24"/>
          <w:lang w:val="en-GB"/>
        </w:rPr>
        <w:t xml:space="preserve">, M., Kannan, G., Karthi, C., Mahendran, J., Sankar, C., ... &amp; Uma, S. (2024). Production of quality planting material in commercial banana </w:t>
      </w:r>
      <w:proofErr w:type="spellStart"/>
      <w:r w:rsidRPr="003022C9">
        <w:rPr>
          <w:rFonts w:cs="Times New Roman"/>
          <w:color w:val="000000" w:themeColor="text1"/>
          <w:szCs w:val="24"/>
          <w:lang w:val="en-GB"/>
        </w:rPr>
        <w:t>cvs</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Rasthali</w:t>
      </w:r>
      <w:proofErr w:type="spellEnd"/>
      <w:r w:rsidRPr="003022C9">
        <w:rPr>
          <w:rFonts w:cs="Times New Roman"/>
          <w:color w:val="000000" w:themeColor="text1"/>
          <w:szCs w:val="24"/>
          <w:lang w:val="en-GB"/>
        </w:rPr>
        <w:t xml:space="preserve"> (Silk, AAB) and </w:t>
      </w:r>
      <w:proofErr w:type="spellStart"/>
      <w:r w:rsidRPr="003022C9">
        <w:rPr>
          <w:rFonts w:cs="Times New Roman"/>
          <w:color w:val="000000" w:themeColor="text1"/>
          <w:szCs w:val="24"/>
          <w:lang w:val="en-GB"/>
        </w:rPr>
        <w:t>Neypoovan</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Neypoovan</w:t>
      </w:r>
      <w:proofErr w:type="spellEnd"/>
      <w:r w:rsidRPr="003022C9">
        <w:rPr>
          <w:rFonts w:cs="Times New Roman"/>
          <w:color w:val="000000" w:themeColor="text1"/>
          <w:szCs w:val="24"/>
          <w:lang w:val="en-GB"/>
        </w:rPr>
        <w:t xml:space="preserve">, AB) through farmer-friendly </w:t>
      </w:r>
      <w:proofErr w:type="spellStart"/>
      <w:r w:rsidRPr="003022C9">
        <w:rPr>
          <w:rFonts w:cs="Times New Roman"/>
          <w:color w:val="000000" w:themeColor="text1"/>
          <w:szCs w:val="24"/>
          <w:lang w:val="en-GB"/>
        </w:rPr>
        <w:t>macropropagation</w:t>
      </w:r>
      <w:proofErr w:type="spellEnd"/>
      <w:r w:rsidRPr="003022C9">
        <w:rPr>
          <w:rFonts w:cs="Times New Roman"/>
          <w:color w:val="000000" w:themeColor="text1"/>
          <w:szCs w:val="24"/>
          <w:lang w:val="en-GB"/>
        </w:rPr>
        <w:t xml:space="preserve"> technique and their field evaluation. South African Journal of Botany, 167, 410-418.</w:t>
      </w:r>
    </w:p>
    <w:p w14:paraId="265BF612"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Selvaraj, K. V., Bharathi, A., Karthikeyan, J., Vethamoni, P. I., Sivakumar, P., &amp; Velayutham, A. (2024). Optimization of High-Density Planting Configurations for Poovan Banana (Musa spp.) in Coconut-Based Agroforestry Systems of the Cauvery Delta Zone. </w:t>
      </w:r>
      <w:r w:rsidRPr="008D703E">
        <w:rPr>
          <w:rFonts w:cs="Times New Roman"/>
          <w:i/>
          <w:iCs/>
          <w:szCs w:val="24"/>
        </w:rPr>
        <w:t>Journal of Experimental Agriculture International</w:t>
      </w:r>
      <w:r w:rsidRPr="008D703E">
        <w:rPr>
          <w:rFonts w:cs="Times New Roman"/>
          <w:szCs w:val="24"/>
        </w:rPr>
        <w:t>, </w:t>
      </w:r>
      <w:r w:rsidRPr="008D703E">
        <w:rPr>
          <w:rFonts w:cs="Times New Roman"/>
          <w:i/>
          <w:iCs/>
          <w:szCs w:val="24"/>
        </w:rPr>
        <w:t>46</w:t>
      </w:r>
      <w:r w:rsidRPr="008D703E">
        <w:rPr>
          <w:rFonts w:cs="Times New Roman"/>
          <w:szCs w:val="24"/>
        </w:rPr>
        <w:t>(12), 117-122.</w:t>
      </w:r>
    </w:p>
    <w:p w14:paraId="30FBCAD6"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Senthilkumar, M., Ganesh, S., Srinivas, K., Panneerselvam, P., Nagaraja, A., Kasinath, B.L., 2017. Fertigation for Effective Nutrition and Higher Productivity in Banana-A Review. Int. J. Curr. </w:t>
      </w:r>
      <w:proofErr w:type="spellStart"/>
      <w:r w:rsidRPr="003022C9">
        <w:rPr>
          <w:rFonts w:cs="Times New Roman"/>
          <w:color w:val="000000" w:themeColor="text1"/>
          <w:szCs w:val="24"/>
          <w:lang w:val="en-GB"/>
        </w:rPr>
        <w:t>Microbiol</w:t>
      </w:r>
      <w:proofErr w:type="spellEnd"/>
      <w:r w:rsidRPr="003022C9">
        <w:rPr>
          <w:rFonts w:cs="Times New Roman"/>
          <w:color w:val="000000" w:themeColor="text1"/>
          <w:szCs w:val="24"/>
          <w:lang w:val="en-GB"/>
        </w:rPr>
        <w:t>. App. Sci. 6(7), 2104-2122.</w:t>
      </w:r>
    </w:p>
    <w:p w14:paraId="46A1335B"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Senthilkumar, S., &amp; Manivannan, S. (2023). Influence of plant bioregulators on finger characters, yield and economics of banana cv. Monthan under the Cauvery delta region of Karaikal, Puducherry. Journal of Applied &amp; Natural Science, 15(4).</w:t>
      </w:r>
    </w:p>
    <w:p w14:paraId="313C0C11"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Shinga MH, Fawole OA. </w:t>
      </w:r>
      <w:r w:rsidRPr="008D703E">
        <w:rPr>
          <w:rFonts w:cs="Times New Roman"/>
          <w:i/>
          <w:iCs/>
          <w:szCs w:val="24"/>
        </w:rPr>
        <w:t>Opuntia ficus indica</w:t>
      </w:r>
      <w:r w:rsidRPr="008D703E">
        <w:rPr>
          <w:rFonts w:cs="Times New Roman"/>
          <w:szCs w:val="24"/>
        </w:rPr>
        <w:t> mucilage coatings regulate cell wall softening enzymes and delay the ripening of banana fruit stored at retail conditions. Int J Biol Macromol. 2023;245: 125550. </w:t>
      </w:r>
      <w:r w:rsidRPr="008D703E">
        <w:rPr>
          <w:rFonts w:cs="Times New Roman"/>
          <w:szCs w:val="24"/>
        </w:rPr>
        <w:fldChar w:fldCharType="begin"/>
      </w:r>
      <w:r w:rsidRPr="008D703E">
        <w:rPr>
          <w:rFonts w:cs="Times New Roman"/>
          <w:szCs w:val="24"/>
        </w:rPr>
        <w:instrText>HYPERLINK "https://doi.org/10.1016/j.ijbiomac.2023.125550"</w:instrText>
      </w:r>
      <w:r w:rsidRPr="008D703E">
        <w:rPr>
          <w:rFonts w:cs="Times New Roman"/>
          <w:szCs w:val="24"/>
        </w:rPr>
        <w:fldChar w:fldCharType="separate"/>
      </w:r>
      <w:r w:rsidRPr="008D703E">
        <w:rPr>
          <w:rStyle w:val="Hyperlink"/>
          <w:rFonts w:cs="Times New Roman"/>
          <w:szCs w:val="24"/>
        </w:rPr>
        <w:t>https://doi.org/10.1016/j.ijbiomac.2023.125550</w:t>
      </w:r>
      <w:r w:rsidRPr="008D703E">
        <w:rPr>
          <w:rFonts w:cs="Times New Roman"/>
          <w:szCs w:val="24"/>
        </w:rPr>
        <w:fldChar w:fldCharType="end"/>
      </w:r>
      <w:r w:rsidRPr="008D703E">
        <w:rPr>
          <w:rFonts w:cs="Times New Roman"/>
          <w:szCs w:val="24"/>
        </w:rPr>
        <w:t>.</w:t>
      </w:r>
    </w:p>
    <w:p w14:paraId="67A7B221" w14:textId="77777777" w:rsidR="00351B82" w:rsidRPr="008D703E" w:rsidRDefault="00351B82" w:rsidP="008D703E">
      <w:pPr>
        <w:pStyle w:val="ListParagraph"/>
        <w:numPr>
          <w:ilvl w:val="0"/>
          <w:numId w:val="17"/>
        </w:numPr>
        <w:jc w:val="both"/>
        <w:rPr>
          <w:rFonts w:cs="Times New Roman"/>
          <w:szCs w:val="24"/>
          <w:lang w:val="en-GB"/>
        </w:rPr>
      </w:pPr>
      <w:proofErr w:type="spellStart"/>
      <w:r w:rsidRPr="008D703E">
        <w:rPr>
          <w:rFonts w:cs="Times New Roman"/>
          <w:szCs w:val="24"/>
          <w:lang w:val="en-IN"/>
        </w:rPr>
        <w:t>Sindhupriya</w:t>
      </w:r>
      <w:proofErr w:type="spellEnd"/>
      <w:r w:rsidRPr="008D703E">
        <w:rPr>
          <w:rFonts w:cs="Times New Roman"/>
          <w:szCs w:val="24"/>
          <w:lang w:val="en-IN"/>
        </w:rPr>
        <w:t xml:space="preserve">, V., </w:t>
      </w:r>
      <w:proofErr w:type="spellStart"/>
      <w:r w:rsidRPr="008D703E">
        <w:rPr>
          <w:rFonts w:cs="Times New Roman"/>
          <w:szCs w:val="24"/>
          <w:lang w:val="en-IN"/>
        </w:rPr>
        <w:t>Auxcilia</w:t>
      </w:r>
      <w:proofErr w:type="spellEnd"/>
      <w:r w:rsidRPr="008D703E">
        <w:rPr>
          <w:rFonts w:cs="Times New Roman"/>
          <w:szCs w:val="24"/>
          <w:lang w:val="en-IN"/>
        </w:rPr>
        <w:t xml:space="preserve">, J., &amp; </w:t>
      </w:r>
      <w:proofErr w:type="spellStart"/>
      <w:r w:rsidRPr="008D703E">
        <w:rPr>
          <w:rFonts w:cs="Times New Roman"/>
          <w:szCs w:val="24"/>
          <w:lang w:val="en-IN"/>
        </w:rPr>
        <w:t>Soorianathasundaram</w:t>
      </w:r>
      <w:proofErr w:type="spellEnd"/>
      <w:r w:rsidRPr="008D703E">
        <w:rPr>
          <w:rFonts w:cs="Times New Roman"/>
          <w:szCs w:val="24"/>
          <w:lang w:val="en-IN"/>
        </w:rPr>
        <w:t>, K. (2018a). Studies on effect of spacing and fertigation on leaf characters of banana (</w:t>
      </w:r>
      <w:r w:rsidRPr="008D703E">
        <w:rPr>
          <w:rFonts w:cs="Times New Roman"/>
          <w:i/>
          <w:iCs/>
          <w:szCs w:val="24"/>
          <w:lang w:val="en-IN"/>
        </w:rPr>
        <w:t>Musa</w:t>
      </w:r>
      <w:r w:rsidRPr="008D703E">
        <w:rPr>
          <w:rFonts w:cs="Times New Roman"/>
          <w:szCs w:val="24"/>
          <w:lang w:val="en-IN"/>
        </w:rPr>
        <w:t xml:space="preserve"> sp.) cv. </w:t>
      </w:r>
      <w:r w:rsidRPr="008D703E">
        <w:rPr>
          <w:rFonts w:cs="Times New Roman"/>
          <w:szCs w:val="24"/>
          <w:lang w:val="en-IN"/>
        </w:rPr>
        <w:lastRenderedPageBreak/>
        <w:t xml:space="preserve">Quintal </w:t>
      </w:r>
      <w:proofErr w:type="spellStart"/>
      <w:r w:rsidRPr="008D703E">
        <w:rPr>
          <w:rFonts w:cs="Times New Roman"/>
          <w:szCs w:val="24"/>
          <w:lang w:val="en-IN"/>
        </w:rPr>
        <w:t>Nendran</w:t>
      </w:r>
      <w:proofErr w:type="spellEnd"/>
      <w:r w:rsidRPr="008D703E">
        <w:rPr>
          <w:rFonts w:cs="Times New Roman"/>
          <w:szCs w:val="24"/>
          <w:lang w:val="en-IN"/>
        </w:rPr>
        <w:t xml:space="preserve"> (AAB). </w:t>
      </w:r>
      <w:r w:rsidRPr="008D703E">
        <w:rPr>
          <w:rFonts w:cs="Times New Roman"/>
          <w:i/>
          <w:iCs/>
          <w:szCs w:val="24"/>
          <w:lang w:val="en-IN"/>
        </w:rPr>
        <w:t>International Journal of Chemical Studies</w:t>
      </w:r>
      <w:r w:rsidRPr="008D703E">
        <w:rPr>
          <w:rFonts w:cs="Times New Roman"/>
          <w:szCs w:val="24"/>
          <w:lang w:val="en-IN"/>
        </w:rPr>
        <w:t xml:space="preserve">, 6(6), 1820–1824. </w:t>
      </w:r>
    </w:p>
    <w:p w14:paraId="2769808B" w14:textId="77777777" w:rsidR="00351B82" w:rsidRPr="008D703E" w:rsidRDefault="00351B82" w:rsidP="008D703E">
      <w:pPr>
        <w:pStyle w:val="ListParagraph"/>
        <w:numPr>
          <w:ilvl w:val="0"/>
          <w:numId w:val="17"/>
        </w:numPr>
        <w:jc w:val="both"/>
        <w:rPr>
          <w:rFonts w:cs="Times New Roman"/>
          <w:szCs w:val="24"/>
          <w:lang w:val="en-IN"/>
        </w:rPr>
      </w:pPr>
      <w:proofErr w:type="spellStart"/>
      <w:r w:rsidRPr="008D703E">
        <w:rPr>
          <w:rFonts w:cs="Times New Roman"/>
          <w:szCs w:val="24"/>
          <w:lang w:val="en-IN"/>
        </w:rPr>
        <w:t>Sindhupriya</w:t>
      </w:r>
      <w:proofErr w:type="spellEnd"/>
      <w:r w:rsidRPr="008D703E">
        <w:rPr>
          <w:rFonts w:cs="Times New Roman"/>
          <w:szCs w:val="24"/>
          <w:lang w:val="en-IN"/>
        </w:rPr>
        <w:t xml:space="preserve">, V., </w:t>
      </w:r>
      <w:proofErr w:type="spellStart"/>
      <w:r w:rsidRPr="008D703E">
        <w:rPr>
          <w:rFonts w:cs="Times New Roman"/>
          <w:szCs w:val="24"/>
          <w:lang w:val="en-IN"/>
        </w:rPr>
        <w:t>Auxcilia</w:t>
      </w:r>
      <w:proofErr w:type="spellEnd"/>
      <w:r w:rsidRPr="008D703E">
        <w:rPr>
          <w:rFonts w:cs="Times New Roman"/>
          <w:szCs w:val="24"/>
          <w:lang w:val="en-IN"/>
        </w:rPr>
        <w:t xml:space="preserve">, J., &amp; </w:t>
      </w:r>
      <w:proofErr w:type="spellStart"/>
      <w:r w:rsidRPr="008D703E">
        <w:rPr>
          <w:rFonts w:cs="Times New Roman"/>
          <w:szCs w:val="24"/>
          <w:lang w:val="en-IN"/>
        </w:rPr>
        <w:t>Soorianathasundaram</w:t>
      </w:r>
      <w:proofErr w:type="spellEnd"/>
      <w:r w:rsidRPr="008D703E">
        <w:rPr>
          <w:rFonts w:cs="Times New Roman"/>
          <w:szCs w:val="24"/>
          <w:lang w:val="en-IN"/>
        </w:rPr>
        <w:t xml:space="preserve">, K. (2018b). Effect of planting density and nutrient requirement on growth and development of banana cv. Quintal </w:t>
      </w:r>
      <w:proofErr w:type="spellStart"/>
      <w:r w:rsidRPr="008D703E">
        <w:rPr>
          <w:rFonts w:cs="Times New Roman"/>
          <w:szCs w:val="24"/>
          <w:lang w:val="en-IN"/>
        </w:rPr>
        <w:t>Nendran</w:t>
      </w:r>
      <w:proofErr w:type="spellEnd"/>
      <w:r w:rsidRPr="008D703E">
        <w:rPr>
          <w:rFonts w:cs="Times New Roman"/>
          <w:szCs w:val="24"/>
          <w:lang w:val="en-IN"/>
        </w:rPr>
        <w:t xml:space="preserve"> (AAB). </w:t>
      </w:r>
      <w:r w:rsidRPr="008D703E">
        <w:rPr>
          <w:rFonts w:cs="Times New Roman"/>
          <w:i/>
          <w:iCs/>
          <w:szCs w:val="24"/>
          <w:lang w:val="en-IN"/>
        </w:rPr>
        <w:t>International Journal of Current Microbiology and Applied Sciences</w:t>
      </w:r>
      <w:r w:rsidRPr="008D703E">
        <w:rPr>
          <w:rFonts w:cs="Times New Roman"/>
          <w:szCs w:val="24"/>
          <w:lang w:val="en-IN"/>
        </w:rPr>
        <w:t xml:space="preserve">, 7(11), 3060–3068. </w:t>
      </w:r>
    </w:p>
    <w:p w14:paraId="15752532"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Singh, A. K., Sharma, A., &amp; Singh, A. (2023). Use of tissue culture for propagation of banana variety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(Musa </w:t>
      </w:r>
      <w:proofErr w:type="spellStart"/>
      <w:r w:rsidRPr="003022C9">
        <w:rPr>
          <w:rFonts w:cs="Times New Roman"/>
          <w:color w:val="000000" w:themeColor="text1"/>
          <w:szCs w:val="24"/>
          <w:lang w:val="en-GB"/>
        </w:rPr>
        <w:t>acuminata</w:t>
      </w:r>
      <w:proofErr w:type="spellEnd"/>
      <w:r w:rsidRPr="003022C9">
        <w:rPr>
          <w:rFonts w:cs="Times New Roman"/>
          <w:color w:val="000000" w:themeColor="text1"/>
          <w:szCs w:val="24"/>
          <w:lang w:val="en-GB"/>
        </w:rPr>
        <w:t>). Current Journal of Applied Science and Technology, 42(43), 1-6.</w:t>
      </w:r>
    </w:p>
    <w:p w14:paraId="4A20BAB1"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Singh, H.B., Uma, S., </w:t>
      </w:r>
      <w:proofErr w:type="spellStart"/>
      <w:r w:rsidRPr="003022C9">
        <w:rPr>
          <w:rFonts w:cs="Times New Roman"/>
          <w:color w:val="000000" w:themeColor="text1"/>
          <w:szCs w:val="24"/>
          <w:lang w:val="en-GB"/>
        </w:rPr>
        <w:t>Selvarajan</w:t>
      </w:r>
      <w:proofErr w:type="spellEnd"/>
      <w:r w:rsidRPr="003022C9">
        <w:rPr>
          <w:rFonts w:cs="Times New Roman"/>
          <w:color w:val="000000" w:themeColor="text1"/>
          <w:szCs w:val="24"/>
          <w:lang w:val="en-GB"/>
        </w:rPr>
        <w:t xml:space="preserve">, R., </w:t>
      </w:r>
      <w:proofErr w:type="spellStart"/>
      <w:r w:rsidRPr="003022C9">
        <w:rPr>
          <w:rFonts w:cs="Times New Roman"/>
          <w:color w:val="000000" w:themeColor="text1"/>
          <w:szCs w:val="24"/>
          <w:lang w:val="en-GB"/>
        </w:rPr>
        <w:t>Karihaloo</w:t>
      </w:r>
      <w:proofErr w:type="spellEnd"/>
      <w:r w:rsidRPr="003022C9">
        <w:rPr>
          <w:rFonts w:cs="Times New Roman"/>
          <w:color w:val="000000" w:themeColor="text1"/>
          <w:szCs w:val="24"/>
          <w:lang w:val="en-GB"/>
        </w:rPr>
        <w:t>, J.L., 2011. Micropropagation for Production of Quality Banana Planting Material in Asia-Pacific. Asia-Pacific Consortium on Agricultural Biotechnology (</w:t>
      </w:r>
      <w:proofErr w:type="spellStart"/>
      <w:r w:rsidRPr="003022C9">
        <w:rPr>
          <w:rFonts w:cs="Times New Roman"/>
          <w:color w:val="000000" w:themeColor="text1"/>
          <w:szCs w:val="24"/>
          <w:lang w:val="en-GB"/>
        </w:rPr>
        <w:t>APCoAB</w:t>
      </w:r>
      <w:proofErr w:type="spellEnd"/>
      <w:r w:rsidRPr="003022C9">
        <w:rPr>
          <w:rFonts w:cs="Times New Roman"/>
          <w:color w:val="000000" w:themeColor="text1"/>
          <w:szCs w:val="24"/>
          <w:lang w:val="en-GB"/>
        </w:rPr>
        <w:t>), New Delhi, India. 92.</w:t>
      </w:r>
    </w:p>
    <w:p w14:paraId="64A6F5BC"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Singh, J., </w:t>
      </w:r>
      <w:proofErr w:type="spellStart"/>
      <w:r w:rsidRPr="003022C9">
        <w:rPr>
          <w:rFonts w:cs="Times New Roman"/>
          <w:color w:val="000000" w:themeColor="text1"/>
          <w:szCs w:val="24"/>
          <w:lang w:val="en-GB"/>
        </w:rPr>
        <w:t>Sengar</w:t>
      </w:r>
      <w:proofErr w:type="spellEnd"/>
      <w:r w:rsidRPr="003022C9">
        <w:rPr>
          <w:rFonts w:cs="Times New Roman"/>
          <w:color w:val="000000" w:themeColor="text1"/>
          <w:szCs w:val="24"/>
          <w:lang w:val="en-GB"/>
        </w:rPr>
        <w:t xml:space="preserve">, R. S., Prasad, M., &amp; Kumar, A. (2024). Effect of different plant growth regulators on in-vitro micropropagation of banana cultivar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xml:space="preserve"> (Musa spp.). Journal of Advances in Biology &amp; Biotechnology, 27(3), 90-98. </w:t>
      </w:r>
      <w:hyperlink r:id="rId13" w:history="1">
        <w:r w:rsidRPr="003022C9">
          <w:rPr>
            <w:rStyle w:val="Hyperlink"/>
            <w:rFonts w:cs="Times New Roman"/>
            <w:szCs w:val="24"/>
            <w:lang w:val="en-GB"/>
          </w:rPr>
          <w:t>https://doi.org/10.9734/jabb/2024/v27i3724</w:t>
        </w:r>
      </w:hyperlink>
      <w:r w:rsidRPr="003022C9">
        <w:rPr>
          <w:rFonts w:cs="Times New Roman"/>
          <w:color w:val="000000" w:themeColor="text1"/>
          <w:szCs w:val="24"/>
          <w:lang w:val="en-GB"/>
        </w:rPr>
        <w:t xml:space="preserve"> </w:t>
      </w:r>
    </w:p>
    <w:p w14:paraId="742E1A8A"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Sivakumar, P., &amp; Visalakshi, M. (2021). In vitro micropropagation of banana cv. Poovan (AAB). Journal of Applied Horticulture, 23(1), 37-41. </w:t>
      </w:r>
      <w:hyperlink r:id="rId14" w:history="1">
        <w:r w:rsidRPr="003022C9">
          <w:rPr>
            <w:rStyle w:val="Hyperlink"/>
            <w:rFonts w:cs="Times New Roman"/>
            <w:szCs w:val="24"/>
            <w:lang w:val="en-GB"/>
          </w:rPr>
          <w:t>https://doi.org/10.37855/jah.2021.v23i01.07</w:t>
        </w:r>
      </w:hyperlink>
      <w:r w:rsidRPr="003022C9">
        <w:rPr>
          <w:rFonts w:cs="Times New Roman"/>
          <w:color w:val="000000" w:themeColor="text1"/>
          <w:szCs w:val="24"/>
          <w:lang w:val="en-GB"/>
        </w:rPr>
        <w:t xml:space="preserve"> </w:t>
      </w:r>
    </w:p>
    <w:p w14:paraId="27BD19E5"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SS, S. S. S., Rajamanickam, C., Saraswathy, S., Venkatesan, K., </w:t>
      </w:r>
      <w:proofErr w:type="spellStart"/>
      <w:r w:rsidRPr="003022C9">
        <w:rPr>
          <w:rFonts w:cs="Times New Roman"/>
          <w:color w:val="000000" w:themeColor="text1"/>
          <w:szCs w:val="24"/>
          <w:lang w:val="en-GB"/>
        </w:rPr>
        <w:t>Vijayasamundeeswari</w:t>
      </w:r>
      <w:proofErr w:type="spellEnd"/>
      <w:r w:rsidRPr="003022C9">
        <w:rPr>
          <w:rFonts w:cs="Times New Roman"/>
          <w:color w:val="000000" w:themeColor="text1"/>
          <w:szCs w:val="24"/>
          <w:lang w:val="en-GB"/>
        </w:rPr>
        <w:t xml:space="preserve">, A., &amp; Sankar, C. Enhancing yield and quality of </w:t>
      </w:r>
      <w:proofErr w:type="spellStart"/>
      <w:r w:rsidRPr="003022C9">
        <w:rPr>
          <w:rFonts w:cs="Times New Roman"/>
          <w:color w:val="000000" w:themeColor="text1"/>
          <w:szCs w:val="24"/>
          <w:lang w:val="en-GB"/>
        </w:rPr>
        <w:t>ney</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poovan</w:t>
      </w:r>
      <w:proofErr w:type="spellEnd"/>
      <w:r w:rsidRPr="003022C9">
        <w:rPr>
          <w:rFonts w:cs="Times New Roman"/>
          <w:color w:val="000000" w:themeColor="text1"/>
          <w:szCs w:val="24"/>
          <w:lang w:val="en-GB"/>
        </w:rPr>
        <w:t xml:space="preserve"> banana through bunch feeding with nutrients and growth regulators. HORIZON, 12(2), 1-9.</w:t>
      </w:r>
    </w:p>
    <w:p w14:paraId="1C97201D" w14:textId="77777777" w:rsidR="00351B82" w:rsidRPr="008D703E" w:rsidRDefault="00351B82" w:rsidP="008D703E">
      <w:pPr>
        <w:pStyle w:val="ListParagraph"/>
        <w:numPr>
          <w:ilvl w:val="0"/>
          <w:numId w:val="17"/>
        </w:numPr>
        <w:jc w:val="both"/>
        <w:rPr>
          <w:rFonts w:cs="Times New Roman"/>
          <w:szCs w:val="24"/>
          <w:lang w:val="en-IN"/>
        </w:rPr>
      </w:pPr>
      <w:r w:rsidRPr="008D703E">
        <w:rPr>
          <w:rFonts w:cs="Times New Roman"/>
          <w:szCs w:val="24"/>
          <w:lang w:val="en-IN"/>
        </w:rPr>
        <w:lastRenderedPageBreak/>
        <w:t xml:space="preserve">Tamil Nadu Agricultural University (TNAU). </w:t>
      </w:r>
      <w:r w:rsidRPr="008D703E">
        <w:rPr>
          <w:rFonts w:cs="Times New Roman"/>
          <w:i/>
          <w:iCs/>
          <w:szCs w:val="24"/>
          <w:lang w:val="en-IN"/>
        </w:rPr>
        <w:t>Banana Expert System – Cultivation practices and spacing recommendations</w:t>
      </w:r>
      <w:r w:rsidRPr="008D703E">
        <w:rPr>
          <w:rFonts w:cs="Times New Roman"/>
          <w:szCs w:val="24"/>
          <w:lang w:val="en-IN"/>
        </w:rPr>
        <w:t xml:space="preserve">. Available online: </w:t>
      </w:r>
      <w:hyperlink r:id="rId15" w:tgtFrame="_new" w:history="1">
        <w:r w:rsidRPr="008D703E">
          <w:rPr>
            <w:rStyle w:val="Hyperlink"/>
            <w:rFonts w:cs="Times New Roman"/>
            <w:szCs w:val="24"/>
            <w:lang w:val="en-IN"/>
          </w:rPr>
          <w:t>https://agritech.tnau.ac.in/expert_system/banana/cultivation.html</w:t>
        </w:r>
      </w:hyperlink>
      <w:r w:rsidRPr="008D703E">
        <w:rPr>
          <w:rFonts w:cs="Times New Roman"/>
          <w:szCs w:val="24"/>
          <w:lang w:val="en-IN"/>
        </w:rPr>
        <w:t xml:space="preserve"> (Accessed 2025). </w:t>
      </w:r>
    </w:p>
    <w:p w14:paraId="6CB7BBAB"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 xml:space="preserve">Thangavelu, R., Devi, P.G., 2018. Rapid and Sensitive Detection of </w:t>
      </w:r>
      <w:proofErr w:type="spellStart"/>
      <w:r w:rsidRPr="003022C9">
        <w:rPr>
          <w:rFonts w:cs="Times New Roman"/>
          <w:color w:val="000000" w:themeColor="text1"/>
          <w:szCs w:val="24"/>
          <w:lang w:val="en-GB"/>
        </w:rPr>
        <w:t>Pseudocercospora</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Eumusae</w:t>
      </w:r>
      <w:proofErr w:type="spellEnd"/>
      <w:r w:rsidRPr="003022C9">
        <w:rPr>
          <w:rFonts w:cs="Times New Roman"/>
          <w:color w:val="000000" w:themeColor="text1"/>
          <w:szCs w:val="24"/>
          <w:lang w:val="en-GB"/>
        </w:rPr>
        <w:t xml:space="preserve"> pathogen Causing </w:t>
      </w:r>
      <w:proofErr w:type="spellStart"/>
      <w:r w:rsidRPr="003022C9">
        <w:rPr>
          <w:rFonts w:cs="Times New Roman"/>
          <w:color w:val="000000" w:themeColor="text1"/>
          <w:szCs w:val="24"/>
          <w:lang w:val="en-GB"/>
        </w:rPr>
        <w:t>Eumusae</w:t>
      </w:r>
      <w:proofErr w:type="spellEnd"/>
      <w:r w:rsidRPr="003022C9">
        <w:rPr>
          <w:rFonts w:cs="Times New Roman"/>
          <w:color w:val="000000" w:themeColor="text1"/>
          <w:szCs w:val="24"/>
          <w:lang w:val="en-GB"/>
        </w:rPr>
        <w:t xml:space="preserve"> Leaf Spot Disease of Banana by Loop-Mediated Isothermal Amplification (LAMP) Method. 3 Biotech. 8 (10), 442.</w:t>
      </w:r>
    </w:p>
    <w:p w14:paraId="5FA785BB"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Thangavelu</w:t>
      </w:r>
      <w:proofErr w:type="spellEnd"/>
      <w:r w:rsidRPr="003022C9">
        <w:rPr>
          <w:rFonts w:cs="Times New Roman"/>
          <w:color w:val="000000" w:themeColor="text1"/>
          <w:szCs w:val="24"/>
          <w:lang w:val="en-GB"/>
        </w:rPr>
        <w:t xml:space="preserve">, </w:t>
      </w:r>
      <w:proofErr w:type="spellStart"/>
      <w:proofErr w:type="gramStart"/>
      <w:r w:rsidRPr="003022C9">
        <w:rPr>
          <w:rFonts w:cs="Times New Roman"/>
          <w:color w:val="000000" w:themeColor="text1"/>
          <w:szCs w:val="24"/>
          <w:lang w:val="en-GB"/>
        </w:rPr>
        <w:t>R.,Gopi</w:t>
      </w:r>
      <w:proofErr w:type="spellEnd"/>
      <w:proofErr w:type="gramEnd"/>
      <w:r w:rsidRPr="003022C9">
        <w:rPr>
          <w:rFonts w:cs="Times New Roman"/>
          <w:color w:val="000000" w:themeColor="text1"/>
          <w:szCs w:val="24"/>
          <w:lang w:val="en-GB"/>
        </w:rPr>
        <w:t xml:space="preserve"> M., 2015. Combined application of native Trichoderma isolates possessing multiple functions for the control of Fusarium wilt disease in banana cv. Grand </w:t>
      </w:r>
      <w:proofErr w:type="spellStart"/>
      <w:r w:rsidRPr="003022C9">
        <w:rPr>
          <w:rFonts w:cs="Times New Roman"/>
          <w:color w:val="000000" w:themeColor="text1"/>
          <w:szCs w:val="24"/>
          <w:lang w:val="en-GB"/>
        </w:rPr>
        <w:t>Naine</w:t>
      </w:r>
      <w:proofErr w:type="spellEnd"/>
      <w:r w:rsidRPr="003022C9">
        <w:rPr>
          <w:rFonts w:cs="Times New Roman"/>
          <w:color w:val="000000" w:themeColor="text1"/>
          <w:szCs w:val="24"/>
          <w:lang w:val="en-GB"/>
        </w:rPr>
        <w:t>. Biocontrol science and technology. 25(10), 1147-1164.</w:t>
      </w:r>
    </w:p>
    <w:p w14:paraId="38C24574"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Tripathi, V. K., Kumar, S., Dubey, V., &amp; Nayyer, M. A. (2020). High-Density Planting in Fruit Crops for Enhancing Fruit Productivity. In </w:t>
      </w:r>
      <w:r w:rsidRPr="008D703E">
        <w:rPr>
          <w:rFonts w:cs="Times New Roman"/>
          <w:i/>
          <w:iCs/>
          <w:szCs w:val="24"/>
        </w:rPr>
        <w:t>Sustainable Agriculture</w:t>
      </w:r>
      <w:r w:rsidRPr="008D703E">
        <w:rPr>
          <w:rFonts w:cs="Times New Roman"/>
          <w:szCs w:val="24"/>
        </w:rPr>
        <w:t> (pp. 253-267). Apple Academic Press.</w:t>
      </w:r>
    </w:p>
    <w:p w14:paraId="0FEF49E9"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Tumuhimbise</w:t>
      </w:r>
      <w:proofErr w:type="spellEnd"/>
      <w:r w:rsidRPr="003022C9">
        <w:rPr>
          <w:rFonts w:cs="Times New Roman"/>
          <w:color w:val="000000" w:themeColor="text1"/>
          <w:szCs w:val="24"/>
          <w:lang w:val="en-GB"/>
        </w:rPr>
        <w:t xml:space="preserve">, </w:t>
      </w:r>
      <w:proofErr w:type="spellStart"/>
      <w:r w:rsidRPr="003022C9">
        <w:rPr>
          <w:rFonts w:cs="Times New Roman"/>
          <w:color w:val="000000" w:themeColor="text1"/>
          <w:szCs w:val="24"/>
          <w:lang w:val="en-GB"/>
        </w:rPr>
        <w:t>Robooni</w:t>
      </w:r>
      <w:proofErr w:type="spellEnd"/>
      <w:r w:rsidRPr="003022C9">
        <w:rPr>
          <w:rFonts w:cs="Times New Roman"/>
          <w:color w:val="000000" w:themeColor="text1"/>
          <w:szCs w:val="24"/>
          <w:lang w:val="en-GB"/>
        </w:rPr>
        <w:t xml:space="preserve"> and </w:t>
      </w:r>
      <w:proofErr w:type="spellStart"/>
      <w:r w:rsidRPr="003022C9">
        <w:rPr>
          <w:rFonts w:cs="Times New Roman"/>
          <w:color w:val="000000" w:themeColor="text1"/>
          <w:szCs w:val="24"/>
          <w:lang w:val="en-GB"/>
        </w:rPr>
        <w:t>Talengera</w:t>
      </w:r>
      <w:proofErr w:type="spellEnd"/>
      <w:r w:rsidRPr="003022C9">
        <w:rPr>
          <w:rFonts w:cs="Times New Roman"/>
          <w:color w:val="000000" w:themeColor="text1"/>
          <w:szCs w:val="24"/>
          <w:lang w:val="en-GB"/>
        </w:rPr>
        <w:t>, David. "Improved Propagation Techniques to Enhance the Productivity of Banana (Musa spp.)" Open Agriculture, vol. 3, no. 1, 2018, pp. 138-145. https://doi.org/10.1515/opag-2018-0014</w:t>
      </w:r>
    </w:p>
    <w:p w14:paraId="69F33028"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t>Uma, S., Kumaravel, M., Backiyarani, S., Saraswathi, M. S., Durai, P., &amp; Karthic, R. (2021). Somatic embryogenesis as a tool for reproduction of genetically stable plants in banana and confirmatory field trials. Plant Cell, Tissue and Organ Culture (PCTOC), 147(1), 181-188.</w:t>
      </w:r>
    </w:p>
    <w:p w14:paraId="318B576F" w14:textId="77777777" w:rsidR="00351B82" w:rsidRPr="003022C9" w:rsidRDefault="00351B82" w:rsidP="008D703E">
      <w:pPr>
        <w:pStyle w:val="Papermain"/>
        <w:numPr>
          <w:ilvl w:val="0"/>
          <w:numId w:val="17"/>
        </w:numPr>
        <w:rPr>
          <w:rFonts w:cs="Times New Roman"/>
          <w:color w:val="000000" w:themeColor="text1"/>
          <w:szCs w:val="24"/>
          <w:lang w:val="en-GB"/>
        </w:rPr>
      </w:pPr>
      <w:r w:rsidRPr="003022C9">
        <w:rPr>
          <w:rFonts w:cs="Times New Roman"/>
          <w:color w:val="000000" w:themeColor="text1"/>
          <w:szCs w:val="24"/>
          <w:lang w:val="en-GB"/>
        </w:rPr>
        <w:lastRenderedPageBreak/>
        <w:t>Wang, A., Li, J., Al-</w:t>
      </w:r>
      <w:proofErr w:type="spellStart"/>
      <w:r w:rsidRPr="003022C9">
        <w:rPr>
          <w:rFonts w:cs="Times New Roman"/>
          <w:color w:val="000000" w:themeColor="text1"/>
          <w:szCs w:val="24"/>
          <w:lang w:val="en-GB"/>
        </w:rPr>
        <w:t>Huqail</w:t>
      </w:r>
      <w:proofErr w:type="spellEnd"/>
      <w:r w:rsidRPr="003022C9">
        <w:rPr>
          <w:rFonts w:cs="Times New Roman"/>
          <w:color w:val="000000" w:themeColor="text1"/>
          <w:szCs w:val="24"/>
          <w:lang w:val="en-GB"/>
        </w:rPr>
        <w:t>, A. A., Al-Harbi, M. S., Ali, E. F., Wang, J., ... &amp; Eissa, M. A. (2021). Mechanisms of chitosan nanoparticles in the regulation of cold stress resistance in banana plants. Nanomaterials, 11(10), 2670.</w:t>
      </w:r>
    </w:p>
    <w:p w14:paraId="49A5FC30" w14:textId="77777777" w:rsidR="00351B82" w:rsidRPr="008D703E" w:rsidRDefault="00351B82" w:rsidP="008D703E">
      <w:pPr>
        <w:pStyle w:val="ListParagraph"/>
        <w:numPr>
          <w:ilvl w:val="0"/>
          <w:numId w:val="17"/>
        </w:numPr>
        <w:jc w:val="both"/>
        <w:rPr>
          <w:rFonts w:cs="Times New Roman"/>
          <w:szCs w:val="24"/>
        </w:rPr>
      </w:pPr>
      <w:r w:rsidRPr="008D703E">
        <w:rPr>
          <w:rFonts w:cs="Times New Roman"/>
          <w:szCs w:val="24"/>
        </w:rPr>
        <w:t>Wantat A, Seraypheap K, Rojsitthisak P. Effect of chitosan coatings supplemented with chitosan-montmorillonite nanocomposites on postharvest quality of ‘Hom Thong’ banana fruit. Food Chem. 2022;374: 131731.</w:t>
      </w:r>
    </w:p>
    <w:p w14:paraId="7FC8A67C" w14:textId="77777777" w:rsidR="00351B82" w:rsidRPr="003022C9" w:rsidRDefault="00351B82" w:rsidP="008D703E">
      <w:pPr>
        <w:pStyle w:val="Papermain"/>
        <w:numPr>
          <w:ilvl w:val="0"/>
          <w:numId w:val="17"/>
        </w:numPr>
        <w:rPr>
          <w:rFonts w:cs="Times New Roman"/>
          <w:color w:val="000000" w:themeColor="text1"/>
          <w:szCs w:val="24"/>
          <w:lang w:val="en-GB"/>
        </w:rPr>
      </w:pPr>
      <w:proofErr w:type="spellStart"/>
      <w:r w:rsidRPr="003022C9">
        <w:rPr>
          <w:rFonts w:cs="Times New Roman"/>
          <w:color w:val="000000" w:themeColor="text1"/>
          <w:szCs w:val="24"/>
          <w:lang w:val="en-GB"/>
        </w:rPr>
        <w:t>Yadlod</w:t>
      </w:r>
      <w:proofErr w:type="spellEnd"/>
      <w:r w:rsidRPr="003022C9">
        <w:rPr>
          <w:rFonts w:cs="Times New Roman"/>
          <w:color w:val="000000" w:themeColor="text1"/>
          <w:szCs w:val="24"/>
          <w:lang w:val="en-GB"/>
        </w:rPr>
        <w:t>, S.S. and Kadam, B.A., 2010. Effect of plant growth regulators and micronutrients on quality of banana cv. BASRAI. The Asian Journal of Horticulture, 5:19-21.</w:t>
      </w:r>
    </w:p>
    <w:sectPr w:rsidR="00351B82" w:rsidRPr="003022C9" w:rsidSect="003C7BF5">
      <w:headerReference w:type="even" r:id="rId16"/>
      <w:headerReference w:type="default" r:id="rId17"/>
      <w:footerReference w:type="even" r:id="rId18"/>
      <w:footerReference w:type="default" r:id="rId19"/>
      <w:headerReference w:type="first" r:id="rId20"/>
      <w:footerReference w:type="first" r:id="rId21"/>
      <w:footnotePr>
        <w:numFmt w:val="chicago"/>
      </w:footnotePr>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F6F37" w14:textId="77777777" w:rsidR="00780281" w:rsidRDefault="00780281" w:rsidP="00D0071F">
      <w:pPr>
        <w:spacing w:after="0" w:line="240" w:lineRule="auto"/>
      </w:pPr>
      <w:r>
        <w:separator/>
      </w:r>
    </w:p>
  </w:endnote>
  <w:endnote w:type="continuationSeparator" w:id="0">
    <w:p w14:paraId="434FC8CD" w14:textId="77777777" w:rsidR="00780281" w:rsidRDefault="00780281" w:rsidP="00D0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BB405" w14:textId="77777777" w:rsidR="003C7BF5" w:rsidRDefault="003C7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19F4" w14:textId="77777777" w:rsidR="00D274D3" w:rsidRDefault="002114AA">
    <w:pPr>
      <w:pStyle w:val="Footer"/>
      <w:jc w:val="right"/>
    </w:pPr>
    <w:r>
      <w:fldChar w:fldCharType="begin"/>
    </w:r>
    <w:r w:rsidR="00D274D3">
      <w:instrText>PAGE   \* MERGEFORMAT</w:instrText>
    </w:r>
    <w:r>
      <w:fldChar w:fldCharType="separate"/>
    </w:r>
    <w:r w:rsidR="00481201">
      <w:rPr>
        <w:noProof/>
      </w:rPr>
      <w:t>30</w:t>
    </w:r>
    <w:r>
      <w:fldChar w:fldCharType="end"/>
    </w:r>
  </w:p>
  <w:p w14:paraId="64A07C2E" w14:textId="77777777" w:rsidR="00D274D3" w:rsidRDefault="00D274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DEAD" w14:textId="77777777" w:rsidR="003C7BF5" w:rsidRDefault="003C7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7CFA7" w14:textId="77777777" w:rsidR="00780281" w:rsidRDefault="00780281" w:rsidP="00D0071F">
      <w:pPr>
        <w:spacing w:after="0" w:line="240" w:lineRule="auto"/>
      </w:pPr>
      <w:r>
        <w:separator/>
      </w:r>
    </w:p>
  </w:footnote>
  <w:footnote w:type="continuationSeparator" w:id="0">
    <w:p w14:paraId="6A619BB6" w14:textId="77777777" w:rsidR="00780281" w:rsidRDefault="00780281" w:rsidP="00D00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C725" w14:textId="42A24402" w:rsidR="003C7BF5" w:rsidRDefault="00780281">
    <w:pPr>
      <w:pStyle w:val="Header"/>
    </w:pPr>
    <w:r>
      <w:rPr>
        <w:noProof/>
      </w:rPr>
      <w:pict w14:anchorId="4ABCA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4" o:spid="_x0000_s2050"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47AC" w14:textId="143E02F8" w:rsidR="003C7BF5" w:rsidRDefault="00780281">
    <w:pPr>
      <w:pStyle w:val="Header"/>
    </w:pPr>
    <w:r>
      <w:rPr>
        <w:noProof/>
      </w:rPr>
      <w:pict w14:anchorId="5121A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5" o:spid="_x0000_s2051"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103E" w14:textId="0820774B" w:rsidR="003C7BF5" w:rsidRDefault="00780281">
    <w:pPr>
      <w:pStyle w:val="Header"/>
    </w:pPr>
    <w:r>
      <w:rPr>
        <w:noProof/>
      </w:rPr>
      <w:pict w14:anchorId="66FCB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3" o:spid="_x0000_s2049"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06F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AA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D2B2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27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F0D8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AC86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32A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2D0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BCD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A45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20AD6"/>
    <w:multiLevelType w:val="hybridMultilevel"/>
    <w:tmpl w:val="EFA2B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A258A2"/>
    <w:multiLevelType w:val="hybridMultilevel"/>
    <w:tmpl w:val="725801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210100"/>
    <w:multiLevelType w:val="hybridMultilevel"/>
    <w:tmpl w:val="0AD4C8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4746788"/>
    <w:multiLevelType w:val="hybridMultilevel"/>
    <w:tmpl w:val="42401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E963EE"/>
    <w:multiLevelType w:val="hybridMultilevel"/>
    <w:tmpl w:val="86DC26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1s7A0MTI0MrIwNjJS0lEKTi0uzszPAykwrAUAD6iUfSwAAAA="/>
  </w:docVars>
  <w:rsids>
    <w:rsidRoot w:val="00140C58"/>
    <w:rsid w:val="00010699"/>
    <w:rsid w:val="000135B9"/>
    <w:rsid w:val="00021F1B"/>
    <w:rsid w:val="00023A79"/>
    <w:rsid w:val="00032760"/>
    <w:rsid w:val="00032A21"/>
    <w:rsid w:val="00032EFC"/>
    <w:rsid w:val="00052AB1"/>
    <w:rsid w:val="00055C24"/>
    <w:rsid w:val="00056B6E"/>
    <w:rsid w:val="00070396"/>
    <w:rsid w:val="00077A65"/>
    <w:rsid w:val="00077B4A"/>
    <w:rsid w:val="00084D87"/>
    <w:rsid w:val="000858B0"/>
    <w:rsid w:val="00092050"/>
    <w:rsid w:val="000A408D"/>
    <w:rsid w:val="000B4513"/>
    <w:rsid w:val="000C0E78"/>
    <w:rsid w:val="000C4DF5"/>
    <w:rsid w:val="000D694D"/>
    <w:rsid w:val="000E0B25"/>
    <w:rsid w:val="000F1140"/>
    <w:rsid w:val="000F4872"/>
    <w:rsid w:val="00101C3A"/>
    <w:rsid w:val="00105BB3"/>
    <w:rsid w:val="00106A55"/>
    <w:rsid w:val="00107742"/>
    <w:rsid w:val="0011151B"/>
    <w:rsid w:val="001246EB"/>
    <w:rsid w:val="0014050E"/>
    <w:rsid w:val="00140C58"/>
    <w:rsid w:val="0014325F"/>
    <w:rsid w:val="001466B8"/>
    <w:rsid w:val="001739F5"/>
    <w:rsid w:val="001827E7"/>
    <w:rsid w:val="001C1CB2"/>
    <w:rsid w:val="001D420E"/>
    <w:rsid w:val="001E2A65"/>
    <w:rsid w:val="001F2A7A"/>
    <w:rsid w:val="002004B8"/>
    <w:rsid w:val="002114AA"/>
    <w:rsid w:val="00216A90"/>
    <w:rsid w:val="00232F4D"/>
    <w:rsid w:val="002445B0"/>
    <w:rsid w:val="00256FA1"/>
    <w:rsid w:val="00266F43"/>
    <w:rsid w:val="00274546"/>
    <w:rsid w:val="00276603"/>
    <w:rsid w:val="002A5866"/>
    <w:rsid w:val="002B0456"/>
    <w:rsid w:val="002B7BC2"/>
    <w:rsid w:val="002C6601"/>
    <w:rsid w:val="002C6D90"/>
    <w:rsid w:val="002C6F7F"/>
    <w:rsid w:val="002E7DDF"/>
    <w:rsid w:val="002F3DA8"/>
    <w:rsid w:val="002F7318"/>
    <w:rsid w:val="003022C9"/>
    <w:rsid w:val="00321A4E"/>
    <w:rsid w:val="00322707"/>
    <w:rsid w:val="00324233"/>
    <w:rsid w:val="003366D6"/>
    <w:rsid w:val="00351B82"/>
    <w:rsid w:val="00354365"/>
    <w:rsid w:val="003563C3"/>
    <w:rsid w:val="0036012E"/>
    <w:rsid w:val="00360752"/>
    <w:rsid w:val="00365769"/>
    <w:rsid w:val="003735C9"/>
    <w:rsid w:val="00374722"/>
    <w:rsid w:val="00383AA5"/>
    <w:rsid w:val="0039183C"/>
    <w:rsid w:val="0039572D"/>
    <w:rsid w:val="003B6C22"/>
    <w:rsid w:val="003C7BF5"/>
    <w:rsid w:val="003D7E87"/>
    <w:rsid w:val="003E0E52"/>
    <w:rsid w:val="003E1CFD"/>
    <w:rsid w:val="003E4878"/>
    <w:rsid w:val="003E6AC5"/>
    <w:rsid w:val="003E756E"/>
    <w:rsid w:val="003F2C03"/>
    <w:rsid w:val="003F2C18"/>
    <w:rsid w:val="003F4457"/>
    <w:rsid w:val="004058E3"/>
    <w:rsid w:val="00405AA9"/>
    <w:rsid w:val="00407528"/>
    <w:rsid w:val="00411038"/>
    <w:rsid w:val="00413FFE"/>
    <w:rsid w:val="0042570E"/>
    <w:rsid w:val="00437AA2"/>
    <w:rsid w:val="0044289E"/>
    <w:rsid w:val="00455695"/>
    <w:rsid w:val="004558F2"/>
    <w:rsid w:val="00460A73"/>
    <w:rsid w:val="00464A68"/>
    <w:rsid w:val="00466D81"/>
    <w:rsid w:val="00470037"/>
    <w:rsid w:val="00481201"/>
    <w:rsid w:val="004839B5"/>
    <w:rsid w:val="004941EE"/>
    <w:rsid w:val="00494274"/>
    <w:rsid w:val="00496E48"/>
    <w:rsid w:val="004A21E7"/>
    <w:rsid w:val="004A4D31"/>
    <w:rsid w:val="004A5A2F"/>
    <w:rsid w:val="004A6E71"/>
    <w:rsid w:val="004C7CF1"/>
    <w:rsid w:val="004C7D89"/>
    <w:rsid w:val="004D6115"/>
    <w:rsid w:val="004E3263"/>
    <w:rsid w:val="004F22F0"/>
    <w:rsid w:val="004F5D75"/>
    <w:rsid w:val="0050034C"/>
    <w:rsid w:val="005036D8"/>
    <w:rsid w:val="005114F7"/>
    <w:rsid w:val="00514D4F"/>
    <w:rsid w:val="00517132"/>
    <w:rsid w:val="0052531F"/>
    <w:rsid w:val="00533B85"/>
    <w:rsid w:val="00544275"/>
    <w:rsid w:val="00547A60"/>
    <w:rsid w:val="00561418"/>
    <w:rsid w:val="00566A63"/>
    <w:rsid w:val="005925F4"/>
    <w:rsid w:val="005A19CC"/>
    <w:rsid w:val="005A2BAD"/>
    <w:rsid w:val="005B50B4"/>
    <w:rsid w:val="005C59D2"/>
    <w:rsid w:val="005D027B"/>
    <w:rsid w:val="005E20A9"/>
    <w:rsid w:val="00603621"/>
    <w:rsid w:val="0060652D"/>
    <w:rsid w:val="00607EF1"/>
    <w:rsid w:val="0061306C"/>
    <w:rsid w:val="00617B69"/>
    <w:rsid w:val="0063224E"/>
    <w:rsid w:val="00632988"/>
    <w:rsid w:val="00652C80"/>
    <w:rsid w:val="006634CA"/>
    <w:rsid w:val="00665BB4"/>
    <w:rsid w:val="0067455F"/>
    <w:rsid w:val="006A596D"/>
    <w:rsid w:val="006B3103"/>
    <w:rsid w:val="006C24BC"/>
    <w:rsid w:val="006E7441"/>
    <w:rsid w:val="006F7AD6"/>
    <w:rsid w:val="006F7FB3"/>
    <w:rsid w:val="007002BD"/>
    <w:rsid w:val="00703F33"/>
    <w:rsid w:val="00711E72"/>
    <w:rsid w:val="007232ED"/>
    <w:rsid w:val="007272E3"/>
    <w:rsid w:val="00761D0E"/>
    <w:rsid w:val="00780281"/>
    <w:rsid w:val="0079076A"/>
    <w:rsid w:val="0079505F"/>
    <w:rsid w:val="007A1326"/>
    <w:rsid w:val="007A2836"/>
    <w:rsid w:val="007A3E75"/>
    <w:rsid w:val="007B0C3A"/>
    <w:rsid w:val="007C144F"/>
    <w:rsid w:val="007C5D73"/>
    <w:rsid w:val="007E3DC8"/>
    <w:rsid w:val="007F2BEC"/>
    <w:rsid w:val="00812E2F"/>
    <w:rsid w:val="00841BFE"/>
    <w:rsid w:val="00854522"/>
    <w:rsid w:val="0086202C"/>
    <w:rsid w:val="00870C89"/>
    <w:rsid w:val="008717D6"/>
    <w:rsid w:val="008826DA"/>
    <w:rsid w:val="008839A3"/>
    <w:rsid w:val="008853F6"/>
    <w:rsid w:val="00885FF3"/>
    <w:rsid w:val="0089512F"/>
    <w:rsid w:val="008A3B18"/>
    <w:rsid w:val="008B1D89"/>
    <w:rsid w:val="008B2ECD"/>
    <w:rsid w:val="008B40E9"/>
    <w:rsid w:val="008C05E2"/>
    <w:rsid w:val="008C25E2"/>
    <w:rsid w:val="008C33F1"/>
    <w:rsid w:val="008D26F5"/>
    <w:rsid w:val="008D4CAD"/>
    <w:rsid w:val="008D703E"/>
    <w:rsid w:val="008F2AFE"/>
    <w:rsid w:val="008F68FC"/>
    <w:rsid w:val="009078B0"/>
    <w:rsid w:val="009137B2"/>
    <w:rsid w:val="00947E19"/>
    <w:rsid w:val="00952EF5"/>
    <w:rsid w:val="009723B2"/>
    <w:rsid w:val="009801E4"/>
    <w:rsid w:val="00983355"/>
    <w:rsid w:val="009A065A"/>
    <w:rsid w:val="009A0884"/>
    <w:rsid w:val="009A410D"/>
    <w:rsid w:val="009D1C71"/>
    <w:rsid w:val="009D7A86"/>
    <w:rsid w:val="009F0A37"/>
    <w:rsid w:val="009F5A87"/>
    <w:rsid w:val="009F6D3C"/>
    <w:rsid w:val="00A16708"/>
    <w:rsid w:val="00A32B52"/>
    <w:rsid w:val="00A34A3D"/>
    <w:rsid w:val="00A42D6A"/>
    <w:rsid w:val="00A44D23"/>
    <w:rsid w:val="00A556B1"/>
    <w:rsid w:val="00A71775"/>
    <w:rsid w:val="00A71D6D"/>
    <w:rsid w:val="00A76E1B"/>
    <w:rsid w:val="00A87851"/>
    <w:rsid w:val="00AA2CA4"/>
    <w:rsid w:val="00AB2913"/>
    <w:rsid w:val="00AE2F32"/>
    <w:rsid w:val="00AF4C05"/>
    <w:rsid w:val="00B17920"/>
    <w:rsid w:val="00B40AAB"/>
    <w:rsid w:val="00B43C71"/>
    <w:rsid w:val="00B7322C"/>
    <w:rsid w:val="00B77338"/>
    <w:rsid w:val="00B824E6"/>
    <w:rsid w:val="00B871D9"/>
    <w:rsid w:val="00B93930"/>
    <w:rsid w:val="00BA1560"/>
    <w:rsid w:val="00BA6715"/>
    <w:rsid w:val="00BB007C"/>
    <w:rsid w:val="00BC2F0F"/>
    <w:rsid w:val="00BC7F48"/>
    <w:rsid w:val="00BE1970"/>
    <w:rsid w:val="00C049A1"/>
    <w:rsid w:val="00C050D0"/>
    <w:rsid w:val="00C12F63"/>
    <w:rsid w:val="00C152E1"/>
    <w:rsid w:val="00C218B0"/>
    <w:rsid w:val="00C425B8"/>
    <w:rsid w:val="00C80F7E"/>
    <w:rsid w:val="00C84D94"/>
    <w:rsid w:val="00C87521"/>
    <w:rsid w:val="00C911E1"/>
    <w:rsid w:val="00C97799"/>
    <w:rsid w:val="00CA5E77"/>
    <w:rsid w:val="00CB0DE1"/>
    <w:rsid w:val="00CB1E96"/>
    <w:rsid w:val="00CB6E95"/>
    <w:rsid w:val="00CB777C"/>
    <w:rsid w:val="00CD2FA6"/>
    <w:rsid w:val="00CE6A64"/>
    <w:rsid w:val="00D0071F"/>
    <w:rsid w:val="00D05ECA"/>
    <w:rsid w:val="00D170B1"/>
    <w:rsid w:val="00D22FEC"/>
    <w:rsid w:val="00D274D3"/>
    <w:rsid w:val="00D30B01"/>
    <w:rsid w:val="00D332D8"/>
    <w:rsid w:val="00D422B3"/>
    <w:rsid w:val="00D42796"/>
    <w:rsid w:val="00D45BDD"/>
    <w:rsid w:val="00D5441E"/>
    <w:rsid w:val="00D6243C"/>
    <w:rsid w:val="00D83D5D"/>
    <w:rsid w:val="00D87B29"/>
    <w:rsid w:val="00D900C0"/>
    <w:rsid w:val="00D94874"/>
    <w:rsid w:val="00DA2FA6"/>
    <w:rsid w:val="00DB282E"/>
    <w:rsid w:val="00DD0B38"/>
    <w:rsid w:val="00DD4B2F"/>
    <w:rsid w:val="00DE0037"/>
    <w:rsid w:val="00DF4768"/>
    <w:rsid w:val="00DF56C3"/>
    <w:rsid w:val="00E03312"/>
    <w:rsid w:val="00E03836"/>
    <w:rsid w:val="00E14D9A"/>
    <w:rsid w:val="00E26E08"/>
    <w:rsid w:val="00E3545A"/>
    <w:rsid w:val="00E45E58"/>
    <w:rsid w:val="00E47EC0"/>
    <w:rsid w:val="00E515F1"/>
    <w:rsid w:val="00E52CFE"/>
    <w:rsid w:val="00E53968"/>
    <w:rsid w:val="00E57CFA"/>
    <w:rsid w:val="00E60268"/>
    <w:rsid w:val="00E62BEA"/>
    <w:rsid w:val="00E643C7"/>
    <w:rsid w:val="00E6589A"/>
    <w:rsid w:val="00E72B45"/>
    <w:rsid w:val="00E75893"/>
    <w:rsid w:val="00E806ED"/>
    <w:rsid w:val="00E83C21"/>
    <w:rsid w:val="00E9169D"/>
    <w:rsid w:val="00E94623"/>
    <w:rsid w:val="00EA0540"/>
    <w:rsid w:val="00EA148A"/>
    <w:rsid w:val="00EA76E1"/>
    <w:rsid w:val="00EB4DB2"/>
    <w:rsid w:val="00EB7559"/>
    <w:rsid w:val="00EC3E94"/>
    <w:rsid w:val="00EC58E6"/>
    <w:rsid w:val="00EC60C4"/>
    <w:rsid w:val="00ED474B"/>
    <w:rsid w:val="00ED6B1F"/>
    <w:rsid w:val="00ED7AE8"/>
    <w:rsid w:val="00F108B2"/>
    <w:rsid w:val="00F21C99"/>
    <w:rsid w:val="00F37E41"/>
    <w:rsid w:val="00F52129"/>
    <w:rsid w:val="00F52F6D"/>
    <w:rsid w:val="00F5387B"/>
    <w:rsid w:val="00F53A1B"/>
    <w:rsid w:val="00F71744"/>
    <w:rsid w:val="00F8204E"/>
    <w:rsid w:val="00F849F6"/>
    <w:rsid w:val="00FA6A1D"/>
    <w:rsid w:val="00FB2F61"/>
    <w:rsid w:val="00FB3B7D"/>
    <w:rsid w:val="00FC2CED"/>
    <w:rsid w:val="00FF18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4BAC0"/>
  <w15:chartTrackingRefBased/>
  <w15:docId w15:val="{F41E3C4C-D8B4-4C38-BD27-041B8753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tr-TR" w:eastAsia="tr-TR"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B40E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4A6E71"/>
    <w:pPr>
      <w:spacing w:line="480" w:lineRule="auto"/>
      <w:jc w:val="center"/>
    </w:pPr>
    <w:rPr>
      <w:rFonts w:ascii="Times New Roman" w:hAnsi="Times New Roman"/>
      <w:b/>
      <w:color w:val="000000"/>
      <w:sz w:val="24"/>
      <w:szCs w:val="22"/>
      <w:lang w:val="en-US" w:eastAsia="en-US"/>
    </w:rPr>
  </w:style>
  <w:style w:type="paragraph" w:customStyle="1" w:styleId="PaperAuthor">
    <w:name w:val="Paper Author"/>
    <w:next w:val="Affiliation"/>
    <w:qFormat/>
    <w:rsid w:val="00D0071F"/>
    <w:pPr>
      <w:spacing w:line="480" w:lineRule="auto"/>
      <w:jc w:val="center"/>
    </w:pPr>
    <w:rPr>
      <w:rFonts w:ascii="Times New Roman" w:hAnsi="Times New Roman"/>
      <w:color w:val="000000"/>
      <w:sz w:val="24"/>
      <w:szCs w:val="22"/>
      <w:lang w:val="en-US" w:eastAsia="en-US"/>
    </w:rPr>
  </w:style>
  <w:style w:type="paragraph" w:customStyle="1" w:styleId="Affiliation">
    <w:name w:val="Affiliation"/>
    <w:qFormat/>
    <w:rsid w:val="00D0071F"/>
    <w:pPr>
      <w:spacing w:line="480" w:lineRule="auto"/>
      <w:jc w:val="center"/>
    </w:pPr>
    <w:rPr>
      <w:rFonts w:ascii="Times New Roman" w:hAnsi="Times New Roman"/>
      <w:color w:val="000000"/>
      <w:sz w:val="24"/>
      <w:szCs w:val="22"/>
      <w:lang w:val="en-US" w:eastAsia="en-US"/>
    </w:rPr>
  </w:style>
  <w:style w:type="paragraph" w:styleId="FootnoteText">
    <w:name w:val="footnote text"/>
    <w:link w:val="FootnoteTextChar"/>
    <w:uiPriority w:val="99"/>
    <w:semiHidden/>
    <w:unhideWhenUsed/>
    <w:rsid w:val="008B40E9"/>
    <w:pPr>
      <w:spacing w:line="480" w:lineRule="auto"/>
    </w:pPr>
    <w:rPr>
      <w:rFonts w:ascii="Times New Roman" w:hAnsi="Times New Roman"/>
      <w:color w:val="000000"/>
      <w:sz w:val="24"/>
      <w:lang w:eastAsia="en-US"/>
    </w:rPr>
  </w:style>
  <w:style w:type="character" w:customStyle="1" w:styleId="FootnoteTextChar">
    <w:name w:val="Footnote Text Char"/>
    <w:link w:val="FootnoteText"/>
    <w:uiPriority w:val="99"/>
    <w:semiHidden/>
    <w:rsid w:val="008B40E9"/>
    <w:rPr>
      <w:rFonts w:ascii="Times New Roman" w:hAnsi="Times New Roman"/>
      <w:color w:val="000000"/>
      <w:sz w:val="24"/>
      <w:lang w:val="tr-TR" w:eastAsia="en-US" w:bidi="ar-SA"/>
    </w:rPr>
  </w:style>
  <w:style w:type="character" w:styleId="FootnoteReference">
    <w:name w:val="footnote reference"/>
    <w:uiPriority w:val="99"/>
    <w:semiHidden/>
    <w:unhideWhenUsed/>
    <w:rsid w:val="008B40E9"/>
    <w:rPr>
      <w:rFonts w:ascii="Times New Roman" w:hAnsi="Times New Roman"/>
      <w:color w:val="000000"/>
      <w:sz w:val="24"/>
      <w:vertAlign w:val="superscript"/>
    </w:rPr>
  </w:style>
  <w:style w:type="paragraph" w:customStyle="1" w:styleId="Abstract">
    <w:name w:val="Abstract"/>
    <w:qFormat/>
    <w:rsid w:val="00D0071F"/>
    <w:pPr>
      <w:spacing w:line="480" w:lineRule="auto"/>
      <w:jc w:val="both"/>
    </w:pPr>
    <w:rPr>
      <w:rFonts w:ascii="Times New Roman" w:hAnsi="Times New Roman"/>
      <w:color w:val="000000"/>
      <w:sz w:val="24"/>
      <w:szCs w:val="22"/>
      <w:lang w:val="en-US" w:eastAsia="en-US"/>
    </w:rPr>
  </w:style>
  <w:style w:type="paragraph" w:customStyle="1" w:styleId="Keyword">
    <w:name w:val="Key word"/>
    <w:qFormat/>
    <w:rsid w:val="00F849F6"/>
    <w:pPr>
      <w:spacing w:line="480" w:lineRule="auto"/>
      <w:jc w:val="both"/>
    </w:pPr>
    <w:rPr>
      <w:rFonts w:ascii="Times New Roman" w:hAnsi="Times New Roman"/>
      <w:color w:val="000000"/>
      <w:sz w:val="24"/>
      <w:szCs w:val="22"/>
      <w:lang w:val="en-US" w:eastAsia="en-US"/>
    </w:rPr>
  </w:style>
  <w:style w:type="paragraph" w:customStyle="1" w:styleId="Papersection">
    <w:name w:val="Paper section"/>
    <w:next w:val="Papermain"/>
    <w:qFormat/>
    <w:rsid w:val="0042570E"/>
    <w:pPr>
      <w:numPr>
        <w:numId w:val="1"/>
      </w:numPr>
      <w:spacing w:line="480" w:lineRule="auto"/>
    </w:pPr>
    <w:rPr>
      <w:rFonts w:ascii="Times New Roman" w:hAnsi="Times New Roman"/>
      <w:b/>
      <w:color w:val="000000"/>
      <w:sz w:val="24"/>
      <w:szCs w:val="22"/>
      <w:lang w:val="en-US" w:eastAsia="en-US"/>
    </w:rPr>
  </w:style>
  <w:style w:type="paragraph" w:customStyle="1" w:styleId="Papersubsection">
    <w:name w:val="Paper subsection"/>
    <w:next w:val="Papermain"/>
    <w:qFormat/>
    <w:rsid w:val="003563C3"/>
    <w:pPr>
      <w:numPr>
        <w:ilvl w:val="1"/>
        <w:numId w:val="1"/>
      </w:numPr>
      <w:spacing w:line="480" w:lineRule="auto"/>
    </w:pPr>
    <w:rPr>
      <w:rFonts w:ascii="Times New Roman" w:hAnsi="Times New Roman"/>
      <w:b/>
      <w:color w:val="000000"/>
      <w:sz w:val="24"/>
      <w:szCs w:val="22"/>
      <w:lang w:val="en-US" w:eastAsia="en-US"/>
    </w:rPr>
  </w:style>
  <w:style w:type="paragraph" w:customStyle="1" w:styleId="Papermain">
    <w:name w:val="Paper main"/>
    <w:qFormat/>
    <w:rsid w:val="003563C3"/>
    <w:pPr>
      <w:spacing w:line="480" w:lineRule="auto"/>
      <w:jc w:val="both"/>
    </w:pPr>
    <w:rPr>
      <w:rFonts w:ascii="Times New Roman" w:hAnsi="Times New Roman"/>
      <w:color w:val="000000"/>
      <w:sz w:val="24"/>
      <w:szCs w:val="22"/>
      <w:lang w:val="en-US" w:eastAsia="en-US"/>
    </w:rPr>
  </w:style>
  <w:style w:type="paragraph" w:styleId="BalloonText">
    <w:name w:val="Balloon Text"/>
    <w:basedOn w:val="Normal"/>
    <w:link w:val="BalloonTextChar"/>
    <w:uiPriority w:val="99"/>
    <w:semiHidden/>
    <w:unhideWhenUsed/>
    <w:rsid w:val="00D274D3"/>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274D3"/>
    <w:rPr>
      <w:rFonts w:ascii="Tahoma" w:hAnsi="Tahoma" w:cs="Tahoma"/>
      <w:sz w:val="16"/>
      <w:szCs w:val="16"/>
    </w:rPr>
  </w:style>
  <w:style w:type="paragraph" w:styleId="Header">
    <w:name w:val="header"/>
    <w:link w:val="HeaderChar"/>
    <w:uiPriority w:val="99"/>
    <w:unhideWhenUsed/>
    <w:rsid w:val="008B40E9"/>
    <w:pPr>
      <w:tabs>
        <w:tab w:val="center" w:pos="4536"/>
        <w:tab w:val="right" w:pos="9072"/>
      </w:tabs>
      <w:spacing w:line="480" w:lineRule="auto"/>
    </w:pPr>
    <w:rPr>
      <w:rFonts w:ascii="Times New Roman" w:hAnsi="Times New Roman"/>
      <w:color w:val="000000"/>
      <w:sz w:val="24"/>
      <w:szCs w:val="22"/>
      <w:lang w:eastAsia="en-US"/>
    </w:rPr>
  </w:style>
  <w:style w:type="character" w:customStyle="1" w:styleId="HeaderChar">
    <w:name w:val="Header Char"/>
    <w:link w:val="Header"/>
    <w:uiPriority w:val="99"/>
    <w:rsid w:val="008B40E9"/>
    <w:rPr>
      <w:rFonts w:ascii="Times New Roman" w:hAnsi="Times New Roman"/>
      <w:color w:val="000000"/>
      <w:sz w:val="24"/>
      <w:szCs w:val="22"/>
      <w:lang w:val="tr-TR" w:eastAsia="en-US" w:bidi="ar-SA"/>
    </w:rPr>
  </w:style>
  <w:style w:type="paragraph" w:styleId="Footer">
    <w:name w:val="footer"/>
    <w:link w:val="FooterChar"/>
    <w:uiPriority w:val="99"/>
    <w:unhideWhenUsed/>
    <w:rsid w:val="008B40E9"/>
    <w:pPr>
      <w:tabs>
        <w:tab w:val="center" w:pos="4536"/>
        <w:tab w:val="right" w:pos="9072"/>
      </w:tabs>
      <w:spacing w:line="480" w:lineRule="auto"/>
    </w:pPr>
    <w:rPr>
      <w:rFonts w:ascii="Times New Roman" w:hAnsi="Times New Roman"/>
      <w:color w:val="000000"/>
      <w:sz w:val="24"/>
      <w:szCs w:val="22"/>
      <w:lang w:eastAsia="en-US"/>
    </w:rPr>
  </w:style>
  <w:style w:type="character" w:customStyle="1" w:styleId="FooterChar">
    <w:name w:val="Footer Char"/>
    <w:link w:val="Footer"/>
    <w:uiPriority w:val="99"/>
    <w:rsid w:val="008B40E9"/>
    <w:rPr>
      <w:rFonts w:ascii="Times New Roman" w:hAnsi="Times New Roman"/>
      <w:color w:val="000000"/>
      <w:sz w:val="24"/>
      <w:szCs w:val="22"/>
      <w:lang w:val="tr-TR" w:eastAsia="en-US" w:bidi="ar-SA"/>
    </w:rPr>
  </w:style>
  <w:style w:type="paragraph" w:styleId="Caption">
    <w:name w:val="caption"/>
    <w:next w:val="Papermain"/>
    <w:uiPriority w:val="35"/>
    <w:unhideWhenUsed/>
    <w:qFormat/>
    <w:rsid w:val="008B40E9"/>
    <w:pPr>
      <w:spacing w:line="480" w:lineRule="auto"/>
    </w:pPr>
    <w:rPr>
      <w:rFonts w:ascii="Times New Roman" w:hAnsi="Times New Roman"/>
      <w:bCs/>
      <w:color w:val="000000"/>
      <w:sz w:val="24"/>
      <w:szCs w:val="18"/>
      <w:lang w:val="en-US" w:eastAsia="en-US"/>
    </w:rPr>
  </w:style>
  <w:style w:type="character" w:styleId="LineNumber">
    <w:name w:val="line number"/>
    <w:basedOn w:val="DefaultParagraphFont"/>
    <w:uiPriority w:val="99"/>
    <w:semiHidden/>
    <w:unhideWhenUsed/>
    <w:rsid w:val="0011151B"/>
  </w:style>
  <w:style w:type="character" w:styleId="Hyperlink">
    <w:name w:val="Hyperlink"/>
    <w:uiPriority w:val="99"/>
    <w:unhideWhenUsed/>
    <w:rsid w:val="008B40E9"/>
    <w:rPr>
      <w:rFonts w:ascii="Times New Roman" w:hAnsi="Times New Roman"/>
      <w:color w:val="000000"/>
      <w:sz w:val="24"/>
      <w:u w:val="single"/>
    </w:rPr>
  </w:style>
  <w:style w:type="table" w:styleId="TableGrid">
    <w:name w:val="Table Grid"/>
    <w:basedOn w:val="TableNormal"/>
    <w:uiPriority w:val="39"/>
    <w:rsid w:val="00023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8B40E9"/>
    <w:pPr>
      <w:spacing w:after="100" w:afterAutospacing="1" w:line="480" w:lineRule="auto"/>
      <w:contextualSpacing/>
    </w:pPr>
    <w:rPr>
      <w:rFonts w:ascii="Times New Roman" w:hAnsi="Times New Roman"/>
      <w:sz w:val="24"/>
      <w:szCs w:val="22"/>
      <w:lang w:eastAsia="en-US"/>
    </w:rPr>
  </w:style>
  <w:style w:type="paragraph" w:styleId="TableofAuthorities">
    <w:name w:val="table of authorities"/>
    <w:aliases w:val="Kaynakça"/>
    <w:next w:val="Normal"/>
    <w:uiPriority w:val="99"/>
    <w:semiHidden/>
    <w:unhideWhenUsed/>
    <w:rsid w:val="008B40E9"/>
    <w:pPr>
      <w:spacing w:line="480" w:lineRule="auto"/>
    </w:pPr>
    <w:rPr>
      <w:rFonts w:ascii="Times New Roman" w:hAnsi="Times New Roman"/>
      <w:color w:val="000000"/>
      <w:sz w:val="24"/>
      <w:szCs w:val="22"/>
      <w:lang w:eastAsia="en-US"/>
    </w:rPr>
  </w:style>
  <w:style w:type="paragraph" w:styleId="TOAHeading">
    <w:name w:val="toa heading"/>
    <w:next w:val="Normal"/>
    <w:uiPriority w:val="99"/>
    <w:semiHidden/>
    <w:unhideWhenUsed/>
    <w:rsid w:val="008B40E9"/>
    <w:pPr>
      <w:spacing w:line="480" w:lineRule="auto"/>
    </w:pPr>
    <w:rPr>
      <w:rFonts w:ascii="Times New Roman" w:eastAsia="Times New Roman" w:hAnsi="Times New Roman" w:cs="Times New Roman"/>
      <w:b/>
      <w:bCs/>
      <w:sz w:val="24"/>
      <w:szCs w:val="24"/>
      <w:lang w:eastAsia="en-US"/>
    </w:rPr>
  </w:style>
  <w:style w:type="paragraph" w:styleId="NoSpacing">
    <w:name w:val="No Spacing"/>
    <w:uiPriority w:val="1"/>
    <w:qFormat/>
    <w:rsid w:val="0061306C"/>
    <w:rPr>
      <w:rFonts w:cs="Times New Roman"/>
      <w:sz w:val="22"/>
      <w:szCs w:val="22"/>
      <w:lang w:eastAsia="en-US"/>
    </w:rPr>
  </w:style>
  <w:style w:type="character" w:customStyle="1" w:styleId="UnresolvedMention1">
    <w:name w:val="Unresolved Mention1"/>
    <w:basedOn w:val="DefaultParagraphFont"/>
    <w:uiPriority w:val="99"/>
    <w:semiHidden/>
    <w:unhideWhenUsed/>
    <w:rsid w:val="00E62BEA"/>
    <w:rPr>
      <w:color w:val="605E5C"/>
      <w:shd w:val="clear" w:color="auto" w:fill="E1DFDD"/>
    </w:rPr>
  </w:style>
  <w:style w:type="paragraph" w:styleId="Revision">
    <w:name w:val="Revision"/>
    <w:hidden/>
    <w:uiPriority w:val="99"/>
    <w:semiHidden/>
    <w:rsid w:val="005E20A9"/>
    <w:rPr>
      <w:sz w:val="22"/>
      <w:szCs w:val="22"/>
      <w:lang w:eastAsia="en-US"/>
    </w:rPr>
  </w:style>
  <w:style w:type="character" w:styleId="FollowedHyperlink">
    <w:name w:val="FollowedHyperlink"/>
    <w:basedOn w:val="DefaultParagraphFont"/>
    <w:uiPriority w:val="99"/>
    <w:semiHidden/>
    <w:unhideWhenUsed/>
    <w:rsid w:val="00AF4C05"/>
    <w:rPr>
      <w:color w:val="954F72" w:themeColor="followedHyperlink"/>
      <w:u w:val="single"/>
    </w:rPr>
  </w:style>
  <w:style w:type="character" w:styleId="UnresolvedMention">
    <w:name w:val="Unresolved Mention"/>
    <w:basedOn w:val="DefaultParagraphFont"/>
    <w:uiPriority w:val="99"/>
    <w:semiHidden/>
    <w:unhideWhenUsed/>
    <w:rsid w:val="00A16708"/>
    <w:rPr>
      <w:color w:val="605E5C"/>
      <w:shd w:val="clear" w:color="auto" w:fill="E1DFDD"/>
    </w:rPr>
  </w:style>
  <w:style w:type="paragraph" w:styleId="NormalWeb">
    <w:name w:val="Normal (Web)"/>
    <w:basedOn w:val="Normal"/>
    <w:uiPriority w:val="99"/>
    <w:semiHidden/>
    <w:unhideWhenUsed/>
    <w:rsid w:val="000C0E7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992640">
      <w:bodyDiv w:val="1"/>
      <w:marLeft w:val="0"/>
      <w:marRight w:val="0"/>
      <w:marTop w:val="0"/>
      <w:marBottom w:val="0"/>
      <w:divBdr>
        <w:top w:val="none" w:sz="0" w:space="0" w:color="auto"/>
        <w:left w:val="none" w:sz="0" w:space="0" w:color="auto"/>
        <w:bottom w:val="none" w:sz="0" w:space="0" w:color="auto"/>
        <w:right w:val="none" w:sz="0" w:space="0" w:color="auto"/>
      </w:divBdr>
    </w:div>
    <w:div w:id="837693856">
      <w:bodyDiv w:val="1"/>
      <w:marLeft w:val="0"/>
      <w:marRight w:val="0"/>
      <w:marTop w:val="0"/>
      <w:marBottom w:val="0"/>
      <w:divBdr>
        <w:top w:val="none" w:sz="0" w:space="0" w:color="auto"/>
        <w:left w:val="none" w:sz="0" w:space="0" w:color="auto"/>
        <w:bottom w:val="none" w:sz="0" w:space="0" w:color="auto"/>
        <w:right w:val="none" w:sz="0" w:space="0" w:color="auto"/>
      </w:divBdr>
      <w:divsChild>
        <w:div w:id="1342274864">
          <w:marLeft w:val="0"/>
          <w:marRight w:val="0"/>
          <w:marTop w:val="0"/>
          <w:marBottom w:val="0"/>
          <w:divBdr>
            <w:top w:val="none" w:sz="0" w:space="0" w:color="auto"/>
            <w:left w:val="none" w:sz="0" w:space="0" w:color="auto"/>
            <w:bottom w:val="none" w:sz="0" w:space="0" w:color="auto"/>
            <w:right w:val="none" w:sz="0" w:space="0" w:color="auto"/>
          </w:divBdr>
        </w:div>
        <w:div w:id="1342925450">
          <w:marLeft w:val="0"/>
          <w:marRight w:val="0"/>
          <w:marTop w:val="0"/>
          <w:marBottom w:val="0"/>
          <w:divBdr>
            <w:top w:val="none" w:sz="0" w:space="0" w:color="auto"/>
            <w:left w:val="none" w:sz="0" w:space="0" w:color="auto"/>
            <w:bottom w:val="none" w:sz="0" w:space="0" w:color="auto"/>
            <w:right w:val="none" w:sz="0" w:space="0" w:color="auto"/>
          </w:divBdr>
        </w:div>
        <w:div w:id="1599023358">
          <w:marLeft w:val="0"/>
          <w:marRight w:val="0"/>
          <w:marTop w:val="0"/>
          <w:marBottom w:val="0"/>
          <w:divBdr>
            <w:top w:val="none" w:sz="0" w:space="0" w:color="auto"/>
            <w:left w:val="none" w:sz="0" w:space="0" w:color="auto"/>
            <w:bottom w:val="none" w:sz="0" w:space="0" w:color="auto"/>
            <w:right w:val="none" w:sz="0" w:space="0" w:color="auto"/>
          </w:divBdr>
        </w:div>
        <w:div w:id="899369006">
          <w:marLeft w:val="0"/>
          <w:marRight w:val="0"/>
          <w:marTop w:val="0"/>
          <w:marBottom w:val="0"/>
          <w:divBdr>
            <w:top w:val="none" w:sz="0" w:space="0" w:color="auto"/>
            <w:left w:val="none" w:sz="0" w:space="0" w:color="auto"/>
            <w:bottom w:val="none" w:sz="0" w:space="0" w:color="auto"/>
            <w:right w:val="none" w:sz="0" w:space="0" w:color="auto"/>
          </w:divBdr>
        </w:div>
      </w:divsChild>
    </w:div>
    <w:div w:id="1736201150">
      <w:bodyDiv w:val="1"/>
      <w:marLeft w:val="0"/>
      <w:marRight w:val="0"/>
      <w:marTop w:val="0"/>
      <w:marBottom w:val="0"/>
      <w:divBdr>
        <w:top w:val="none" w:sz="0" w:space="0" w:color="auto"/>
        <w:left w:val="none" w:sz="0" w:space="0" w:color="auto"/>
        <w:bottom w:val="none" w:sz="0" w:space="0" w:color="auto"/>
        <w:right w:val="none" w:sz="0" w:space="0" w:color="auto"/>
      </w:divBdr>
      <w:divsChild>
        <w:div w:id="969361003">
          <w:marLeft w:val="0"/>
          <w:marRight w:val="0"/>
          <w:marTop w:val="0"/>
          <w:marBottom w:val="0"/>
          <w:divBdr>
            <w:top w:val="none" w:sz="0" w:space="0" w:color="auto"/>
            <w:left w:val="none" w:sz="0" w:space="0" w:color="auto"/>
            <w:bottom w:val="none" w:sz="0" w:space="0" w:color="auto"/>
            <w:right w:val="none" w:sz="0" w:space="0" w:color="auto"/>
          </w:divBdr>
        </w:div>
        <w:div w:id="607395658">
          <w:marLeft w:val="0"/>
          <w:marRight w:val="0"/>
          <w:marTop w:val="0"/>
          <w:marBottom w:val="0"/>
          <w:divBdr>
            <w:top w:val="none" w:sz="0" w:space="0" w:color="auto"/>
            <w:left w:val="none" w:sz="0" w:space="0" w:color="auto"/>
            <w:bottom w:val="none" w:sz="0" w:space="0" w:color="auto"/>
            <w:right w:val="none" w:sz="0" w:space="0" w:color="auto"/>
          </w:divBdr>
        </w:div>
      </w:divsChild>
    </w:div>
    <w:div w:id="1754858329">
      <w:bodyDiv w:val="1"/>
      <w:marLeft w:val="0"/>
      <w:marRight w:val="0"/>
      <w:marTop w:val="0"/>
      <w:marBottom w:val="0"/>
      <w:divBdr>
        <w:top w:val="none" w:sz="0" w:space="0" w:color="auto"/>
        <w:left w:val="none" w:sz="0" w:space="0" w:color="auto"/>
        <w:bottom w:val="none" w:sz="0" w:space="0" w:color="auto"/>
        <w:right w:val="none" w:sz="0" w:space="0" w:color="auto"/>
      </w:divBdr>
      <w:divsChild>
        <w:div w:id="1109741102">
          <w:marLeft w:val="0"/>
          <w:marRight w:val="0"/>
          <w:marTop w:val="0"/>
          <w:marBottom w:val="0"/>
          <w:divBdr>
            <w:top w:val="none" w:sz="0" w:space="0" w:color="auto"/>
            <w:left w:val="none" w:sz="0" w:space="0" w:color="auto"/>
            <w:bottom w:val="none" w:sz="0" w:space="0" w:color="auto"/>
            <w:right w:val="none" w:sz="0" w:space="0" w:color="auto"/>
          </w:divBdr>
        </w:div>
        <w:div w:id="1382316607">
          <w:marLeft w:val="0"/>
          <w:marRight w:val="0"/>
          <w:marTop w:val="0"/>
          <w:marBottom w:val="0"/>
          <w:divBdr>
            <w:top w:val="none" w:sz="0" w:space="0" w:color="auto"/>
            <w:left w:val="none" w:sz="0" w:space="0" w:color="auto"/>
            <w:bottom w:val="none" w:sz="0" w:space="0" w:color="auto"/>
            <w:right w:val="none" w:sz="0" w:space="0" w:color="auto"/>
          </w:divBdr>
        </w:div>
      </w:divsChild>
    </w:div>
    <w:div w:id="1812165622">
      <w:bodyDiv w:val="1"/>
      <w:marLeft w:val="0"/>
      <w:marRight w:val="0"/>
      <w:marTop w:val="0"/>
      <w:marBottom w:val="0"/>
      <w:divBdr>
        <w:top w:val="none" w:sz="0" w:space="0" w:color="auto"/>
        <w:left w:val="none" w:sz="0" w:space="0" w:color="auto"/>
        <w:bottom w:val="none" w:sz="0" w:space="0" w:color="auto"/>
        <w:right w:val="none" w:sz="0" w:space="0" w:color="auto"/>
      </w:divBdr>
      <w:divsChild>
        <w:div w:id="336494321">
          <w:marLeft w:val="0"/>
          <w:marRight w:val="0"/>
          <w:marTop w:val="0"/>
          <w:marBottom w:val="0"/>
          <w:divBdr>
            <w:top w:val="none" w:sz="0" w:space="0" w:color="auto"/>
            <w:left w:val="none" w:sz="0" w:space="0" w:color="auto"/>
            <w:bottom w:val="none" w:sz="0" w:space="0" w:color="auto"/>
            <w:right w:val="none" w:sz="0" w:space="0" w:color="auto"/>
          </w:divBdr>
        </w:div>
        <w:div w:id="143620573">
          <w:marLeft w:val="0"/>
          <w:marRight w:val="0"/>
          <w:marTop w:val="0"/>
          <w:marBottom w:val="0"/>
          <w:divBdr>
            <w:top w:val="none" w:sz="0" w:space="0" w:color="auto"/>
            <w:left w:val="none" w:sz="0" w:space="0" w:color="auto"/>
            <w:bottom w:val="none" w:sz="0" w:space="0" w:color="auto"/>
            <w:right w:val="none" w:sz="0" w:space="0" w:color="auto"/>
          </w:divBdr>
        </w:div>
        <w:div w:id="794757272">
          <w:marLeft w:val="0"/>
          <w:marRight w:val="0"/>
          <w:marTop w:val="0"/>
          <w:marBottom w:val="0"/>
          <w:divBdr>
            <w:top w:val="none" w:sz="0" w:space="0" w:color="auto"/>
            <w:left w:val="none" w:sz="0" w:space="0" w:color="auto"/>
            <w:bottom w:val="none" w:sz="0" w:space="0" w:color="auto"/>
            <w:right w:val="none" w:sz="0" w:space="0" w:color="auto"/>
          </w:divBdr>
        </w:div>
        <w:div w:id="1245069644">
          <w:marLeft w:val="0"/>
          <w:marRight w:val="0"/>
          <w:marTop w:val="0"/>
          <w:marBottom w:val="0"/>
          <w:divBdr>
            <w:top w:val="none" w:sz="0" w:space="0" w:color="auto"/>
            <w:left w:val="none" w:sz="0" w:space="0" w:color="auto"/>
            <w:bottom w:val="none" w:sz="0" w:space="0" w:color="auto"/>
            <w:right w:val="none" w:sz="0" w:space="0" w:color="auto"/>
          </w:divBdr>
        </w:div>
        <w:div w:id="541210707">
          <w:marLeft w:val="0"/>
          <w:marRight w:val="0"/>
          <w:marTop w:val="0"/>
          <w:marBottom w:val="0"/>
          <w:divBdr>
            <w:top w:val="none" w:sz="0" w:space="0" w:color="auto"/>
            <w:left w:val="none" w:sz="0" w:space="0" w:color="auto"/>
            <w:bottom w:val="none" w:sz="0" w:space="0" w:color="auto"/>
            <w:right w:val="none" w:sz="0" w:space="0" w:color="auto"/>
          </w:divBdr>
        </w:div>
        <w:div w:id="1891644809">
          <w:marLeft w:val="0"/>
          <w:marRight w:val="0"/>
          <w:marTop w:val="0"/>
          <w:marBottom w:val="0"/>
          <w:divBdr>
            <w:top w:val="none" w:sz="0" w:space="0" w:color="auto"/>
            <w:left w:val="none" w:sz="0" w:space="0" w:color="auto"/>
            <w:bottom w:val="none" w:sz="0" w:space="0" w:color="auto"/>
            <w:right w:val="none" w:sz="0" w:space="0" w:color="auto"/>
          </w:divBdr>
        </w:div>
        <w:div w:id="1889217739">
          <w:marLeft w:val="0"/>
          <w:marRight w:val="0"/>
          <w:marTop w:val="0"/>
          <w:marBottom w:val="0"/>
          <w:divBdr>
            <w:top w:val="none" w:sz="0" w:space="0" w:color="auto"/>
            <w:left w:val="none" w:sz="0" w:space="0" w:color="auto"/>
            <w:bottom w:val="none" w:sz="0" w:space="0" w:color="auto"/>
            <w:right w:val="none" w:sz="0" w:space="0" w:color="auto"/>
          </w:divBdr>
        </w:div>
      </w:divsChild>
    </w:div>
    <w:div w:id="1937209880">
      <w:bodyDiv w:val="1"/>
      <w:marLeft w:val="0"/>
      <w:marRight w:val="0"/>
      <w:marTop w:val="0"/>
      <w:marBottom w:val="0"/>
      <w:divBdr>
        <w:top w:val="none" w:sz="0" w:space="0" w:color="auto"/>
        <w:left w:val="none" w:sz="0" w:space="0" w:color="auto"/>
        <w:bottom w:val="none" w:sz="0" w:space="0" w:color="auto"/>
        <w:right w:val="none" w:sz="0" w:space="0" w:color="auto"/>
      </w:divBdr>
      <w:divsChild>
        <w:div w:id="965624948">
          <w:marLeft w:val="0"/>
          <w:marRight w:val="0"/>
          <w:marTop w:val="0"/>
          <w:marBottom w:val="0"/>
          <w:divBdr>
            <w:top w:val="none" w:sz="0" w:space="0" w:color="auto"/>
            <w:left w:val="none" w:sz="0" w:space="0" w:color="auto"/>
            <w:bottom w:val="none" w:sz="0" w:space="0" w:color="auto"/>
            <w:right w:val="none" w:sz="0" w:space="0" w:color="auto"/>
          </w:divBdr>
        </w:div>
        <w:div w:id="1054502636">
          <w:marLeft w:val="0"/>
          <w:marRight w:val="0"/>
          <w:marTop w:val="0"/>
          <w:marBottom w:val="0"/>
          <w:divBdr>
            <w:top w:val="none" w:sz="0" w:space="0" w:color="auto"/>
            <w:left w:val="none" w:sz="0" w:space="0" w:color="auto"/>
            <w:bottom w:val="none" w:sz="0" w:space="0" w:color="auto"/>
            <w:right w:val="none" w:sz="0" w:space="0" w:color="auto"/>
          </w:divBdr>
        </w:div>
      </w:divsChild>
    </w:div>
    <w:div w:id="1989364274">
      <w:bodyDiv w:val="1"/>
      <w:marLeft w:val="0"/>
      <w:marRight w:val="0"/>
      <w:marTop w:val="0"/>
      <w:marBottom w:val="0"/>
      <w:divBdr>
        <w:top w:val="none" w:sz="0" w:space="0" w:color="auto"/>
        <w:left w:val="none" w:sz="0" w:space="0" w:color="auto"/>
        <w:bottom w:val="none" w:sz="0" w:space="0" w:color="auto"/>
        <w:right w:val="none" w:sz="0" w:space="0" w:color="auto"/>
      </w:divBdr>
      <w:divsChild>
        <w:div w:id="473376600">
          <w:marLeft w:val="0"/>
          <w:marRight w:val="0"/>
          <w:marTop w:val="0"/>
          <w:marBottom w:val="0"/>
          <w:divBdr>
            <w:top w:val="none" w:sz="0" w:space="0" w:color="auto"/>
            <w:left w:val="none" w:sz="0" w:space="0" w:color="auto"/>
            <w:bottom w:val="none" w:sz="0" w:space="0" w:color="auto"/>
            <w:right w:val="none" w:sz="0" w:space="0" w:color="auto"/>
          </w:divBdr>
        </w:div>
        <w:div w:id="1818184043">
          <w:marLeft w:val="0"/>
          <w:marRight w:val="0"/>
          <w:marTop w:val="0"/>
          <w:marBottom w:val="0"/>
          <w:divBdr>
            <w:top w:val="none" w:sz="0" w:space="0" w:color="auto"/>
            <w:left w:val="none" w:sz="0" w:space="0" w:color="auto"/>
            <w:bottom w:val="none" w:sz="0" w:space="0" w:color="auto"/>
            <w:right w:val="none" w:sz="0" w:space="0" w:color="auto"/>
          </w:divBdr>
        </w:div>
        <w:div w:id="1023283391">
          <w:marLeft w:val="0"/>
          <w:marRight w:val="0"/>
          <w:marTop w:val="0"/>
          <w:marBottom w:val="0"/>
          <w:divBdr>
            <w:top w:val="none" w:sz="0" w:space="0" w:color="auto"/>
            <w:left w:val="none" w:sz="0" w:space="0" w:color="auto"/>
            <w:bottom w:val="none" w:sz="0" w:space="0" w:color="auto"/>
            <w:right w:val="none" w:sz="0" w:space="0" w:color="auto"/>
          </w:divBdr>
        </w:div>
        <w:div w:id="210649869">
          <w:marLeft w:val="0"/>
          <w:marRight w:val="0"/>
          <w:marTop w:val="0"/>
          <w:marBottom w:val="0"/>
          <w:divBdr>
            <w:top w:val="none" w:sz="0" w:space="0" w:color="auto"/>
            <w:left w:val="none" w:sz="0" w:space="0" w:color="auto"/>
            <w:bottom w:val="none" w:sz="0" w:space="0" w:color="auto"/>
            <w:right w:val="none" w:sz="0" w:space="0" w:color="auto"/>
          </w:divBdr>
        </w:div>
        <w:div w:id="1963999334">
          <w:marLeft w:val="0"/>
          <w:marRight w:val="0"/>
          <w:marTop w:val="0"/>
          <w:marBottom w:val="0"/>
          <w:divBdr>
            <w:top w:val="none" w:sz="0" w:space="0" w:color="auto"/>
            <w:left w:val="none" w:sz="0" w:space="0" w:color="auto"/>
            <w:bottom w:val="none" w:sz="0" w:space="0" w:color="auto"/>
            <w:right w:val="none" w:sz="0" w:space="0" w:color="auto"/>
          </w:divBdr>
        </w:div>
        <w:div w:id="379788958">
          <w:marLeft w:val="0"/>
          <w:marRight w:val="0"/>
          <w:marTop w:val="0"/>
          <w:marBottom w:val="0"/>
          <w:divBdr>
            <w:top w:val="none" w:sz="0" w:space="0" w:color="auto"/>
            <w:left w:val="none" w:sz="0" w:space="0" w:color="auto"/>
            <w:bottom w:val="none" w:sz="0" w:space="0" w:color="auto"/>
            <w:right w:val="none" w:sz="0" w:space="0" w:color="auto"/>
          </w:divBdr>
        </w:div>
        <w:div w:id="617835777">
          <w:marLeft w:val="0"/>
          <w:marRight w:val="0"/>
          <w:marTop w:val="0"/>
          <w:marBottom w:val="0"/>
          <w:divBdr>
            <w:top w:val="none" w:sz="0" w:space="0" w:color="auto"/>
            <w:left w:val="none" w:sz="0" w:space="0" w:color="auto"/>
            <w:bottom w:val="none" w:sz="0" w:space="0" w:color="auto"/>
            <w:right w:val="none" w:sz="0" w:space="0" w:color="auto"/>
          </w:divBdr>
        </w:div>
        <w:div w:id="2036225031">
          <w:marLeft w:val="0"/>
          <w:marRight w:val="0"/>
          <w:marTop w:val="0"/>
          <w:marBottom w:val="0"/>
          <w:divBdr>
            <w:top w:val="none" w:sz="0" w:space="0" w:color="auto"/>
            <w:left w:val="none" w:sz="0" w:space="0" w:color="auto"/>
            <w:bottom w:val="none" w:sz="0" w:space="0" w:color="auto"/>
            <w:right w:val="none" w:sz="0" w:space="0" w:color="auto"/>
          </w:divBdr>
        </w:div>
        <w:div w:id="901523011">
          <w:marLeft w:val="0"/>
          <w:marRight w:val="0"/>
          <w:marTop w:val="0"/>
          <w:marBottom w:val="0"/>
          <w:divBdr>
            <w:top w:val="none" w:sz="0" w:space="0" w:color="auto"/>
            <w:left w:val="none" w:sz="0" w:space="0" w:color="auto"/>
            <w:bottom w:val="none" w:sz="0" w:space="0" w:color="auto"/>
            <w:right w:val="none" w:sz="0" w:space="0" w:color="auto"/>
          </w:divBdr>
        </w:div>
      </w:divsChild>
    </w:div>
    <w:div w:id="2073386439">
      <w:bodyDiv w:val="1"/>
      <w:marLeft w:val="0"/>
      <w:marRight w:val="0"/>
      <w:marTop w:val="0"/>
      <w:marBottom w:val="0"/>
      <w:divBdr>
        <w:top w:val="none" w:sz="0" w:space="0" w:color="auto"/>
        <w:left w:val="none" w:sz="0" w:space="0" w:color="auto"/>
        <w:bottom w:val="none" w:sz="0" w:space="0" w:color="auto"/>
        <w:right w:val="none" w:sz="0" w:space="0" w:color="auto"/>
      </w:divBdr>
      <w:divsChild>
        <w:div w:id="2101676619">
          <w:marLeft w:val="0"/>
          <w:marRight w:val="0"/>
          <w:marTop w:val="0"/>
          <w:marBottom w:val="0"/>
          <w:divBdr>
            <w:top w:val="none" w:sz="0" w:space="0" w:color="auto"/>
            <w:left w:val="none" w:sz="0" w:space="0" w:color="auto"/>
            <w:bottom w:val="none" w:sz="0" w:space="0" w:color="auto"/>
            <w:right w:val="none" w:sz="0" w:space="0" w:color="auto"/>
          </w:divBdr>
        </w:div>
        <w:div w:id="1863588178">
          <w:marLeft w:val="0"/>
          <w:marRight w:val="0"/>
          <w:marTop w:val="0"/>
          <w:marBottom w:val="0"/>
          <w:divBdr>
            <w:top w:val="none" w:sz="0" w:space="0" w:color="auto"/>
            <w:left w:val="none" w:sz="0" w:space="0" w:color="auto"/>
            <w:bottom w:val="none" w:sz="0" w:space="0" w:color="auto"/>
            <w:right w:val="none" w:sz="0" w:space="0" w:color="auto"/>
          </w:divBdr>
        </w:div>
        <w:div w:id="1845630148">
          <w:marLeft w:val="0"/>
          <w:marRight w:val="0"/>
          <w:marTop w:val="0"/>
          <w:marBottom w:val="0"/>
          <w:divBdr>
            <w:top w:val="none" w:sz="0" w:space="0" w:color="auto"/>
            <w:left w:val="none" w:sz="0" w:space="0" w:color="auto"/>
            <w:bottom w:val="none" w:sz="0" w:space="0" w:color="auto"/>
            <w:right w:val="none" w:sz="0" w:space="0" w:color="auto"/>
          </w:divBdr>
        </w:div>
        <w:div w:id="837690378">
          <w:marLeft w:val="0"/>
          <w:marRight w:val="0"/>
          <w:marTop w:val="0"/>
          <w:marBottom w:val="0"/>
          <w:divBdr>
            <w:top w:val="none" w:sz="0" w:space="0" w:color="auto"/>
            <w:left w:val="none" w:sz="0" w:space="0" w:color="auto"/>
            <w:bottom w:val="none" w:sz="0" w:space="0" w:color="auto"/>
            <w:right w:val="none" w:sz="0" w:space="0" w:color="auto"/>
          </w:divBdr>
        </w:div>
        <w:div w:id="358167163">
          <w:marLeft w:val="0"/>
          <w:marRight w:val="0"/>
          <w:marTop w:val="0"/>
          <w:marBottom w:val="0"/>
          <w:divBdr>
            <w:top w:val="none" w:sz="0" w:space="0" w:color="auto"/>
            <w:left w:val="none" w:sz="0" w:space="0" w:color="auto"/>
            <w:bottom w:val="none" w:sz="0" w:space="0" w:color="auto"/>
            <w:right w:val="none" w:sz="0" w:space="0" w:color="auto"/>
          </w:divBdr>
        </w:div>
        <w:div w:id="690571718">
          <w:marLeft w:val="0"/>
          <w:marRight w:val="0"/>
          <w:marTop w:val="0"/>
          <w:marBottom w:val="0"/>
          <w:divBdr>
            <w:top w:val="none" w:sz="0" w:space="0" w:color="auto"/>
            <w:left w:val="none" w:sz="0" w:space="0" w:color="auto"/>
            <w:bottom w:val="none" w:sz="0" w:space="0" w:color="auto"/>
            <w:right w:val="none" w:sz="0" w:space="0" w:color="auto"/>
          </w:divBdr>
        </w:div>
        <w:div w:id="1097939805">
          <w:marLeft w:val="0"/>
          <w:marRight w:val="0"/>
          <w:marTop w:val="0"/>
          <w:marBottom w:val="0"/>
          <w:divBdr>
            <w:top w:val="none" w:sz="0" w:space="0" w:color="auto"/>
            <w:left w:val="none" w:sz="0" w:space="0" w:color="auto"/>
            <w:bottom w:val="none" w:sz="0" w:space="0" w:color="auto"/>
            <w:right w:val="none" w:sz="0" w:space="0" w:color="auto"/>
          </w:divBdr>
        </w:div>
        <w:div w:id="1842352419">
          <w:marLeft w:val="0"/>
          <w:marRight w:val="0"/>
          <w:marTop w:val="0"/>
          <w:marBottom w:val="0"/>
          <w:divBdr>
            <w:top w:val="none" w:sz="0" w:space="0" w:color="auto"/>
            <w:left w:val="none" w:sz="0" w:space="0" w:color="auto"/>
            <w:bottom w:val="none" w:sz="0" w:space="0" w:color="auto"/>
            <w:right w:val="none" w:sz="0" w:space="0" w:color="auto"/>
          </w:divBdr>
        </w:div>
        <w:div w:id="112477499">
          <w:marLeft w:val="0"/>
          <w:marRight w:val="0"/>
          <w:marTop w:val="0"/>
          <w:marBottom w:val="0"/>
          <w:divBdr>
            <w:top w:val="none" w:sz="0" w:space="0" w:color="auto"/>
            <w:left w:val="none" w:sz="0" w:space="0" w:color="auto"/>
            <w:bottom w:val="none" w:sz="0" w:space="0" w:color="auto"/>
            <w:right w:val="none" w:sz="0" w:space="0" w:color="auto"/>
          </w:divBdr>
        </w:div>
        <w:div w:id="1950619773">
          <w:marLeft w:val="0"/>
          <w:marRight w:val="0"/>
          <w:marTop w:val="0"/>
          <w:marBottom w:val="0"/>
          <w:divBdr>
            <w:top w:val="none" w:sz="0" w:space="0" w:color="auto"/>
            <w:left w:val="none" w:sz="0" w:space="0" w:color="auto"/>
            <w:bottom w:val="none" w:sz="0" w:space="0" w:color="auto"/>
            <w:right w:val="none" w:sz="0" w:space="0" w:color="auto"/>
          </w:divBdr>
        </w:div>
      </w:divsChild>
    </w:div>
    <w:div w:id="2142069737">
      <w:bodyDiv w:val="1"/>
      <w:marLeft w:val="0"/>
      <w:marRight w:val="0"/>
      <w:marTop w:val="0"/>
      <w:marBottom w:val="0"/>
      <w:divBdr>
        <w:top w:val="none" w:sz="0" w:space="0" w:color="auto"/>
        <w:left w:val="none" w:sz="0" w:space="0" w:color="auto"/>
        <w:bottom w:val="none" w:sz="0" w:space="0" w:color="auto"/>
        <w:right w:val="none" w:sz="0" w:space="0" w:color="auto"/>
      </w:divBdr>
      <w:divsChild>
        <w:div w:id="1862158901">
          <w:marLeft w:val="0"/>
          <w:marRight w:val="0"/>
          <w:marTop w:val="0"/>
          <w:marBottom w:val="0"/>
          <w:divBdr>
            <w:top w:val="none" w:sz="0" w:space="0" w:color="auto"/>
            <w:left w:val="none" w:sz="0" w:space="0" w:color="auto"/>
            <w:bottom w:val="none" w:sz="0" w:space="0" w:color="auto"/>
            <w:right w:val="none" w:sz="0" w:space="0" w:color="auto"/>
          </w:divBdr>
        </w:div>
        <w:div w:id="1825388386">
          <w:marLeft w:val="0"/>
          <w:marRight w:val="0"/>
          <w:marTop w:val="0"/>
          <w:marBottom w:val="0"/>
          <w:divBdr>
            <w:top w:val="none" w:sz="0" w:space="0" w:color="auto"/>
            <w:left w:val="none" w:sz="0" w:space="0" w:color="auto"/>
            <w:bottom w:val="none" w:sz="0" w:space="0" w:color="auto"/>
            <w:right w:val="none" w:sz="0" w:space="0" w:color="auto"/>
          </w:divBdr>
        </w:div>
        <w:div w:id="1057704351">
          <w:marLeft w:val="0"/>
          <w:marRight w:val="0"/>
          <w:marTop w:val="0"/>
          <w:marBottom w:val="0"/>
          <w:divBdr>
            <w:top w:val="none" w:sz="0" w:space="0" w:color="auto"/>
            <w:left w:val="none" w:sz="0" w:space="0" w:color="auto"/>
            <w:bottom w:val="none" w:sz="0" w:space="0" w:color="auto"/>
            <w:right w:val="none" w:sz="0" w:space="0" w:color="auto"/>
          </w:divBdr>
        </w:div>
        <w:div w:id="2140145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jabb/2024/v27i372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agritech.tnau.ac.in/expert_system/banana/cultivation.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doi.org/10.37855/jah.2021.v23i01.07"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han.aksop\Desktop\yeni%20yaz&#305;m%20kurallar&#305;\botany.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E3ED-6D66-4595-BC51-4FE31153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botany</Template>
  <TotalTime>510</TotalTime>
  <Pages>40</Pages>
  <Words>9749</Words>
  <Characters>55571</Characters>
  <Application>Microsoft Office Word</Application>
  <DocSecurity>0</DocSecurity>
  <Lines>463</Lines>
  <Paragraphs>130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65190</CharactersWithSpaces>
  <SharedDoc>false</SharedDoc>
  <HLinks>
    <vt:vector size="30" baseType="variant">
      <vt:variant>
        <vt:i4>8126510</vt:i4>
      </vt:variant>
      <vt:variant>
        <vt:i4>12</vt:i4>
      </vt:variant>
      <vt:variant>
        <vt:i4>0</vt:i4>
      </vt:variant>
      <vt:variant>
        <vt:i4>5</vt:i4>
      </vt:variant>
      <vt:variant>
        <vt:lpwstr>http://delta-intkey.com/angio/</vt:lpwstr>
      </vt:variant>
      <vt:variant>
        <vt:lpwstr/>
      </vt:variant>
      <vt:variant>
        <vt:i4>3473506</vt:i4>
      </vt:variant>
      <vt:variant>
        <vt:i4>9</vt:i4>
      </vt:variant>
      <vt:variant>
        <vt:i4>0</vt:i4>
      </vt:variant>
      <vt:variant>
        <vt:i4>5</vt:i4>
      </vt:variant>
      <vt:variant>
        <vt:lpwstr>http://www.mobot.org/MOBOT/research/APweb/</vt:lpwstr>
      </vt:variant>
      <vt:variant>
        <vt:lpwstr/>
      </vt:variant>
      <vt:variant>
        <vt:i4>4522000</vt:i4>
      </vt:variant>
      <vt:variant>
        <vt:i4>6</vt:i4>
      </vt:variant>
      <vt:variant>
        <vt:i4>0</vt:i4>
      </vt:variant>
      <vt:variant>
        <vt:i4>5</vt:i4>
      </vt:variant>
      <vt:variant>
        <vt:lpwstr>http://sciweb.nybg.org/science2/IndexHerbariorum.asp</vt:lpwstr>
      </vt:variant>
      <vt:variant>
        <vt:lpwstr/>
      </vt:variant>
      <vt:variant>
        <vt:i4>2490412</vt:i4>
      </vt:variant>
      <vt:variant>
        <vt:i4>3</vt:i4>
      </vt:variant>
      <vt:variant>
        <vt:i4>0</vt:i4>
      </vt:variant>
      <vt:variant>
        <vt:i4>5</vt:i4>
      </vt:variant>
      <vt:variant>
        <vt:lpwstr>http://weedscience.com/</vt:lpwstr>
      </vt:variant>
      <vt:variant>
        <vt:lpwstr/>
      </vt:variant>
      <vt:variant>
        <vt:i4>983118</vt:i4>
      </vt:variant>
      <vt:variant>
        <vt:i4>0</vt:i4>
      </vt:variant>
      <vt:variant>
        <vt:i4>0</vt:i4>
      </vt:variant>
      <vt:variant>
        <vt:i4>5</vt:i4>
      </vt:variant>
      <vt:variant>
        <vt:lpwstr>http://www.tropicos.org/Project/IPCN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Cihan Aksop</dc:creator>
  <cp:keywords/>
  <cp:lastModifiedBy>Editor GP 005</cp:lastModifiedBy>
  <cp:revision>84</cp:revision>
  <dcterms:created xsi:type="dcterms:W3CDTF">2025-12-23T11:29:00Z</dcterms:created>
  <dcterms:modified xsi:type="dcterms:W3CDTF">2026-02-10T06:49:00Z</dcterms:modified>
</cp:coreProperties>
</file>