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73F42" w14:textId="599A9B66" w:rsidR="000E1A6B" w:rsidRPr="00B954DA" w:rsidRDefault="00175F13">
      <w:pPr>
        <w:spacing w:line="276" w:lineRule="auto"/>
        <w:jc w:val="right"/>
        <w:rPr>
          <w:rFonts w:ascii="Arial" w:eastAsia="Arial" w:hAnsi="Arial" w:cs="Arial"/>
          <w:b/>
          <w:bCs/>
          <w:color w:val="000000" w:themeColor="text1"/>
          <w:sz w:val="36"/>
          <w:szCs w:val="36"/>
        </w:rPr>
      </w:pPr>
      <w:r w:rsidRPr="00B954DA">
        <w:rPr>
          <w:rFonts w:ascii="Arial" w:eastAsia="Arial" w:hAnsi="Arial" w:cs="Arial"/>
          <w:b/>
          <w:bCs/>
          <w:color w:val="000000" w:themeColor="text1"/>
          <w:sz w:val="36"/>
          <w:szCs w:val="36"/>
        </w:rPr>
        <w:t>DIGITAL MENTAL HEALTH TOOLS AND THEIR ROLE IN ENHANCING ACADEMIC PERFORMANCE AND WELL-BEING</w:t>
      </w:r>
      <w:r w:rsidR="00991729" w:rsidRPr="00B954DA">
        <w:rPr>
          <w:rFonts w:ascii="Arial" w:eastAsia="Arial" w:hAnsi="Arial" w:cs="Arial"/>
          <w:b/>
          <w:bCs/>
          <w:color w:val="000000" w:themeColor="text1"/>
          <w:sz w:val="36"/>
          <w:szCs w:val="36"/>
        </w:rPr>
        <w:t>: A SYSTEMATIC REVIEW</w:t>
      </w:r>
    </w:p>
    <w:p w14:paraId="19E6FED3" w14:textId="63367EF1" w:rsidR="00175F13" w:rsidRPr="00B954DA" w:rsidRDefault="00175F13" w:rsidP="00DC6C86">
      <w:pPr>
        <w:spacing w:line="276" w:lineRule="auto"/>
        <w:jc w:val="right"/>
        <w:rPr>
          <w:rFonts w:ascii="Arial" w:eastAsia="Arial" w:hAnsi="Arial" w:cs="Arial"/>
          <w:b/>
          <w:bCs/>
          <w:color w:val="000000" w:themeColor="text1"/>
          <w:sz w:val="24"/>
          <w:szCs w:val="24"/>
        </w:rPr>
      </w:pPr>
    </w:p>
    <w:p w14:paraId="1AA266C7" w14:textId="3F4A66AD" w:rsidR="000E1A6B" w:rsidRPr="00B954DA" w:rsidRDefault="000E1A6B" w:rsidP="002C0ACE">
      <w:pPr>
        <w:spacing w:after="226" w:line="276" w:lineRule="auto"/>
        <w:rPr>
          <w:rFonts w:ascii="Arial" w:eastAsia="Arial" w:hAnsi="Arial" w:cs="Arial"/>
          <w:color w:val="000000" w:themeColor="text1"/>
          <w:sz w:val="20"/>
          <w:szCs w:val="20"/>
        </w:rPr>
      </w:pPr>
    </w:p>
    <w:p w14:paraId="634D9BB6" w14:textId="77777777" w:rsidR="000E1A6B" w:rsidRPr="00B954DA" w:rsidRDefault="000E1A6B">
      <w:pPr>
        <w:spacing w:after="226" w:line="276" w:lineRule="auto"/>
        <w:ind w:left="-5"/>
        <w:rPr>
          <w:rFonts w:ascii="Arial" w:eastAsia="Arial" w:hAnsi="Arial" w:cs="Arial"/>
          <w:color w:val="000000" w:themeColor="text1"/>
          <w:sz w:val="20"/>
          <w:szCs w:val="20"/>
        </w:rPr>
      </w:pPr>
    </w:p>
    <w:p w14:paraId="335B7088" w14:textId="77777777" w:rsidR="000E1A6B" w:rsidRPr="00B954DA" w:rsidRDefault="00175F13">
      <w:pPr>
        <w:spacing w:after="226" w:line="276" w:lineRule="auto"/>
        <w:ind w:left="-5"/>
        <w:rPr>
          <w:rFonts w:ascii="Arial" w:eastAsia="Arial" w:hAnsi="Arial" w:cs="Arial"/>
          <w:b/>
          <w:bCs/>
          <w:color w:val="000000" w:themeColor="text1"/>
        </w:rPr>
      </w:pPr>
      <w:r w:rsidRPr="00B954DA">
        <w:rPr>
          <w:rFonts w:ascii="Arial" w:eastAsia="Arial" w:hAnsi="Arial" w:cs="Arial"/>
          <w:b/>
          <w:bCs/>
          <w:color w:val="000000" w:themeColor="text1"/>
        </w:rPr>
        <w:t>ABSTRACT</w:t>
      </w:r>
    </w:p>
    <w:p w14:paraId="55F8DBF5" w14:textId="375A1BDF" w:rsidR="000E1A6B" w:rsidRPr="00B954DA" w:rsidRDefault="00175F13">
      <w:pPr>
        <w:spacing w:after="226" w:line="276" w:lineRule="auto"/>
        <w:ind w:left="-5"/>
        <w:jc w:val="both"/>
        <w:rPr>
          <w:rFonts w:ascii="Arial" w:eastAsia="Arial" w:hAnsi="Arial" w:cs="Arial"/>
          <w:color w:val="000000" w:themeColor="text1"/>
          <w:sz w:val="20"/>
          <w:szCs w:val="20"/>
        </w:rPr>
      </w:pPr>
      <w:r w:rsidRPr="00B954DA">
        <w:rPr>
          <w:rFonts w:ascii="Arial" w:eastAsia="Arial" w:hAnsi="Arial" w:cs="Arial"/>
          <w:b/>
          <w:bCs/>
          <w:color w:val="000000" w:themeColor="text1"/>
          <w:sz w:val="20"/>
          <w:szCs w:val="20"/>
        </w:rPr>
        <w:t>Objective:</w:t>
      </w:r>
      <w:r w:rsidRPr="00B954DA">
        <w:rPr>
          <w:rFonts w:ascii="Arial" w:eastAsia="Arial" w:hAnsi="Arial" w:cs="Arial"/>
          <w:color w:val="000000" w:themeColor="text1"/>
          <w:sz w:val="20"/>
          <w:szCs w:val="20"/>
        </w:rPr>
        <w:t xml:space="preserve"> There are serious mental health challenges which university students are confronted with, which</w:t>
      </w:r>
      <w:r w:rsidR="009946DE" w:rsidRPr="00B954DA">
        <w:rPr>
          <w:rFonts w:ascii="Arial" w:eastAsia="Arial" w:hAnsi="Arial" w:cs="Arial"/>
          <w:color w:val="000000" w:themeColor="text1"/>
          <w:sz w:val="20"/>
          <w:szCs w:val="20"/>
        </w:rPr>
        <w:t xml:space="preserve"> as a result</w:t>
      </w:r>
      <w:r w:rsidR="00EE23B8" w:rsidRPr="00B954DA">
        <w:rPr>
          <w:rFonts w:ascii="Arial" w:eastAsia="Arial" w:hAnsi="Arial" w:cs="Arial"/>
          <w:color w:val="000000" w:themeColor="text1"/>
          <w:sz w:val="20"/>
          <w:szCs w:val="20"/>
        </w:rPr>
        <w:t>,</w:t>
      </w:r>
      <w:r w:rsidR="009946DE" w:rsidRPr="00B954DA">
        <w:rPr>
          <w:rFonts w:ascii="Arial" w:eastAsia="Arial" w:hAnsi="Arial" w:cs="Arial"/>
          <w:color w:val="000000" w:themeColor="text1"/>
          <w:sz w:val="20"/>
          <w:szCs w:val="20"/>
        </w:rPr>
        <w:t xml:space="preserve"> </w:t>
      </w:r>
      <w:r w:rsidRPr="00B954DA">
        <w:rPr>
          <w:rFonts w:ascii="Arial" w:eastAsia="Arial" w:hAnsi="Arial" w:cs="Arial"/>
          <w:color w:val="000000" w:themeColor="text1"/>
          <w:sz w:val="20"/>
          <w:szCs w:val="20"/>
        </w:rPr>
        <w:t>affect their success and overall well-being. This paper explores various digital mental health tools and their respective roles to improve students’ academic performance and well-being.</w:t>
      </w:r>
    </w:p>
    <w:p w14:paraId="471B3BF1" w14:textId="6597E12A" w:rsidR="000E1A6B" w:rsidRPr="00B954DA" w:rsidRDefault="00175F13">
      <w:pPr>
        <w:spacing w:after="226" w:line="276" w:lineRule="auto"/>
        <w:ind w:left="-5"/>
        <w:jc w:val="both"/>
        <w:rPr>
          <w:rFonts w:ascii="Arial" w:eastAsia="Arial" w:hAnsi="Arial" w:cs="Arial"/>
          <w:color w:val="000000" w:themeColor="text1"/>
          <w:sz w:val="20"/>
          <w:szCs w:val="20"/>
        </w:rPr>
      </w:pPr>
      <w:r w:rsidRPr="00B954DA">
        <w:rPr>
          <w:rFonts w:ascii="Arial" w:eastAsia="Arial" w:hAnsi="Arial" w:cs="Arial"/>
          <w:b/>
          <w:bCs/>
          <w:color w:val="000000" w:themeColor="text1"/>
          <w:sz w:val="20"/>
          <w:szCs w:val="20"/>
        </w:rPr>
        <w:t>Methodology</w:t>
      </w:r>
      <w:r w:rsidRPr="00B954DA">
        <w:rPr>
          <w:rFonts w:ascii="Arial" w:eastAsia="Arial" w:hAnsi="Arial" w:cs="Arial"/>
          <w:color w:val="000000" w:themeColor="text1"/>
          <w:sz w:val="20"/>
          <w:szCs w:val="20"/>
        </w:rPr>
        <w:t>: The research follows a systematic review methodology in evaluating the impact of digital mental health tools for the enhancement of academic performance and well-being among students. Using PRISMA guidelines and Boolean operation, attention was given to information based on relevance, methodology</w:t>
      </w:r>
      <w:r w:rsidR="00FB713D"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and attention to digital intervention, including mobile apps, online platforms, and AI-driven tools which were retrieved from popular database including Semantic Scholar, PubMed, Scopus, Web of Science, and JMIR.</w:t>
      </w:r>
      <w:r w:rsidR="009946DE" w:rsidRPr="00B954DA">
        <w:rPr>
          <w:rFonts w:ascii="Arial" w:eastAsia="Arial" w:hAnsi="Arial" w:cs="Arial"/>
          <w:color w:val="000000" w:themeColor="text1"/>
          <w:sz w:val="20"/>
          <w:szCs w:val="20"/>
        </w:rPr>
        <w:t xml:space="preserve"> In total, 69 studies were included in the synthesis.</w:t>
      </w:r>
    </w:p>
    <w:p w14:paraId="7AD762A4" w14:textId="1F1D2221" w:rsidR="000E1A6B" w:rsidRPr="00B954DA" w:rsidRDefault="00175F13">
      <w:pPr>
        <w:spacing w:after="226" w:line="276" w:lineRule="auto"/>
        <w:ind w:left="-5"/>
        <w:jc w:val="both"/>
        <w:rPr>
          <w:rFonts w:ascii="Arial" w:eastAsia="Arial" w:hAnsi="Arial" w:cs="Arial"/>
          <w:color w:val="000000" w:themeColor="text1"/>
          <w:sz w:val="20"/>
          <w:szCs w:val="20"/>
        </w:rPr>
      </w:pPr>
      <w:r w:rsidRPr="00B954DA">
        <w:rPr>
          <w:rFonts w:ascii="Arial" w:eastAsia="Arial" w:hAnsi="Arial" w:cs="Arial"/>
          <w:b/>
          <w:bCs/>
          <w:color w:val="000000" w:themeColor="text1"/>
          <w:sz w:val="20"/>
          <w:szCs w:val="20"/>
        </w:rPr>
        <w:t xml:space="preserve">Findings: </w:t>
      </w:r>
      <w:r w:rsidRPr="00B954DA">
        <w:rPr>
          <w:rFonts w:ascii="Arial" w:eastAsia="Arial" w:hAnsi="Arial" w:cs="Arial"/>
          <w:color w:val="000000" w:themeColor="text1"/>
          <w:sz w:val="20"/>
          <w:szCs w:val="20"/>
        </w:rPr>
        <w:t xml:space="preserve">The findings revealed that digital mental health practices, including mobile applications, Cognitive Behavioural Therapy (CBT), and mindfulness interventions, have </w:t>
      </w:r>
      <w:r w:rsidR="00CE2C10" w:rsidRPr="00B954DA">
        <w:rPr>
          <w:rFonts w:ascii="Arial" w:eastAsia="Arial" w:hAnsi="Arial" w:cs="Arial"/>
          <w:color w:val="000000" w:themeColor="text1"/>
          <w:sz w:val="20"/>
          <w:szCs w:val="20"/>
        </w:rPr>
        <w:t xml:space="preserve">a </w:t>
      </w:r>
      <w:r w:rsidRPr="00B954DA">
        <w:rPr>
          <w:rFonts w:ascii="Arial" w:eastAsia="Arial" w:hAnsi="Arial" w:cs="Arial"/>
          <w:color w:val="000000" w:themeColor="text1"/>
          <w:sz w:val="20"/>
          <w:szCs w:val="20"/>
        </w:rPr>
        <w:t xml:space="preserve">significant positive impact on students’ mental health through </w:t>
      </w:r>
      <w:r w:rsidR="00CE2C10" w:rsidRPr="00B954DA">
        <w:rPr>
          <w:rFonts w:ascii="Arial" w:eastAsia="Arial" w:hAnsi="Arial" w:cs="Arial"/>
          <w:color w:val="000000" w:themeColor="text1"/>
          <w:sz w:val="20"/>
          <w:szCs w:val="20"/>
        </w:rPr>
        <w:t xml:space="preserve">the </w:t>
      </w:r>
      <w:r w:rsidRPr="00B954DA">
        <w:rPr>
          <w:rFonts w:ascii="Arial" w:eastAsia="Arial" w:hAnsi="Arial" w:cs="Arial"/>
          <w:color w:val="000000" w:themeColor="text1"/>
          <w:sz w:val="20"/>
          <w:szCs w:val="20"/>
        </w:rPr>
        <w:t xml:space="preserve">reduction </w:t>
      </w:r>
      <w:r w:rsidR="00CE2C10" w:rsidRPr="00B954DA">
        <w:rPr>
          <w:rFonts w:ascii="Arial" w:eastAsia="Arial" w:hAnsi="Arial" w:cs="Arial"/>
          <w:color w:val="000000" w:themeColor="text1"/>
          <w:sz w:val="20"/>
          <w:szCs w:val="20"/>
        </w:rPr>
        <w:t xml:space="preserve">of </w:t>
      </w:r>
      <w:r w:rsidRPr="00B954DA">
        <w:rPr>
          <w:rFonts w:ascii="Arial" w:eastAsia="Arial" w:hAnsi="Arial" w:cs="Arial"/>
          <w:color w:val="000000" w:themeColor="text1"/>
          <w:sz w:val="20"/>
          <w:szCs w:val="20"/>
        </w:rPr>
        <w:t xml:space="preserve">anxiety, stress and depression. These tools also significantly improve academic performance through the improvement of cognitive function, focus, and time management. The personal characteristic traits component for engagement and effectiveness identified </w:t>
      </w:r>
      <w:r w:rsidR="00A65189" w:rsidRPr="00B954DA">
        <w:rPr>
          <w:rFonts w:ascii="Arial" w:eastAsia="Arial" w:hAnsi="Arial" w:cs="Arial"/>
          <w:color w:val="000000" w:themeColor="text1"/>
          <w:sz w:val="20"/>
          <w:szCs w:val="20"/>
        </w:rPr>
        <w:t>was</w:t>
      </w:r>
      <w:r w:rsidRPr="00B954DA">
        <w:rPr>
          <w:rFonts w:ascii="Arial" w:eastAsia="Arial" w:hAnsi="Arial" w:cs="Arial"/>
          <w:color w:val="000000" w:themeColor="text1"/>
          <w:sz w:val="20"/>
          <w:szCs w:val="20"/>
        </w:rPr>
        <w:t xml:space="preserve"> mood monitoring and goal-setting. The integration of these tools in educational settings and mental health services provides students with continuous access to support their academic. However, barriers including technological limitations, privacy concerns and stigma exist against the adoption and continued use of the digital tools. Also, the ability to </w:t>
      </w:r>
      <w:r w:rsidR="00A65189" w:rsidRPr="00B954DA">
        <w:rPr>
          <w:rFonts w:ascii="Arial" w:eastAsia="Arial" w:hAnsi="Arial" w:cs="Arial"/>
          <w:color w:val="000000" w:themeColor="text1"/>
          <w:sz w:val="20"/>
          <w:szCs w:val="20"/>
        </w:rPr>
        <w:t>customise</w:t>
      </w:r>
      <w:r w:rsidRPr="00B954DA">
        <w:rPr>
          <w:rFonts w:ascii="Arial" w:eastAsia="Arial" w:hAnsi="Arial" w:cs="Arial"/>
          <w:color w:val="000000" w:themeColor="text1"/>
          <w:sz w:val="20"/>
          <w:szCs w:val="20"/>
        </w:rPr>
        <w:t xml:space="preserve"> tools hinders its effectiveness, as students are likely to be interested in tools that best suited each individual’s needs. As part of the findings, it was noted that the need for longitudinal studies to assess long-run effects of these interventions, integration analysis of the digital tools into multi-system support systems for universities should be done.</w:t>
      </w:r>
    </w:p>
    <w:p w14:paraId="33F02278" w14:textId="77777777" w:rsidR="000E1A6B" w:rsidRPr="00B954DA" w:rsidRDefault="00175F13">
      <w:pPr>
        <w:spacing w:after="226" w:line="276" w:lineRule="auto"/>
        <w:ind w:left="-5"/>
        <w:jc w:val="both"/>
        <w:rPr>
          <w:rFonts w:ascii="Arial" w:eastAsia="Arial" w:hAnsi="Arial" w:cs="Arial"/>
          <w:color w:val="000000" w:themeColor="text1"/>
          <w:sz w:val="20"/>
          <w:szCs w:val="20"/>
        </w:rPr>
      </w:pPr>
      <w:r w:rsidRPr="00B954DA">
        <w:rPr>
          <w:rFonts w:ascii="Arial" w:eastAsia="Arial" w:hAnsi="Arial" w:cs="Arial"/>
          <w:b/>
          <w:bCs/>
          <w:color w:val="000000" w:themeColor="text1"/>
          <w:sz w:val="20"/>
          <w:szCs w:val="20"/>
        </w:rPr>
        <w:t xml:space="preserve">Conclusion and Recommendation: </w:t>
      </w:r>
      <w:r w:rsidRPr="00B954DA">
        <w:rPr>
          <w:rFonts w:ascii="Arial" w:eastAsia="Arial" w:hAnsi="Arial" w:cs="Arial"/>
          <w:color w:val="000000" w:themeColor="text1"/>
          <w:sz w:val="20"/>
          <w:szCs w:val="20"/>
        </w:rPr>
        <w:t>Digital mental health tools unarguably improve the academic life and well-being of university students. But, tackling obstacles to involvement, personalisation, and integrated inclusion of these tools in existing learning practices are important. Future studies should be focused on long-term effectiveness and a more efficient digital approach to larger student populations.</w:t>
      </w:r>
    </w:p>
    <w:p w14:paraId="1E6716DC" w14:textId="77777777" w:rsidR="000E1A6B" w:rsidRPr="00B954DA" w:rsidRDefault="000E1A6B">
      <w:pPr>
        <w:spacing w:after="226" w:line="276" w:lineRule="auto"/>
        <w:rPr>
          <w:rFonts w:ascii="Arial" w:eastAsia="Arial" w:hAnsi="Arial" w:cs="Arial"/>
          <w:color w:val="000000" w:themeColor="text1"/>
          <w:sz w:val="20"/>
          <w:szCs w:val="20"/>
        </w:rPr>
      </w:pPr>
    </w:p>
    <w:p w14:paraId="73E4B169" w14:textId="77777777" w:rsidR="000E1A6B" w:rsidRPr="00B954DA" w:rsidRDefault="00175F13">
      <w:pPr>
        <w:spacing w:after="226" w:line="276" w:lineRule="auto"/>
        <w:rPr>
          <w:rFonts w:ascii="Arial" w:eastAsia="Arial" w:hAnsi="Arial" w:cs="Arial"/>
          <w:color w:val="000000" w:themeColor="text1"/>
          <w:sz w:val="20"/>
          <w:szCs w:val="20"/>
        </w:rPr>
      </w:pPr>
      <w:r w:rsidRPr="00B954DA">
        <w:rPr>
          <w:rFonts w:ascii="Arial" w:eastAsia="Arial" w:hAnsi="Arial" w:cs="Arial"/>
          <w:b/>
          <w:bCs/>
          <w:color w:val="000000" w:themeColor="text1"/>
          <w:sz w:val="20"/>
          <w:szCs w:val="20"/>
        </w:rPr>
        <w:t>KEYWORDS:</w:t>
      </w:r>
      <w:r w:rsidRPr="00B954DA">
        <w:rPr>
          <w:rFonts w:ascii="Arial" w:eastAsia="Arial" w:hAnsi="Arial" w:cs="Arial"/>
          <w:color w:val="000000" w:themeColor="text1"/>
          <w:sz w:val="20"/>
          <w:szCs w:val="20"/>
        </w:rPr>
        <w:t xml:space="preserve"> Digital Mental Health Tools, Academic Performance, Student Well-Being, Cognitive Behavioural Therapy (CBT), Mobile Apps, Stress Management</w:t>
      </w:r>
    </w:p>
    <w:p w14:paraId="277711E4" w14:textId="77777777" w:rsidR="000E1A6B" w:rsidRPr="00B954DA" w:rsidRDefault="000E1A6B">
      <w:pPr>
        <w:spacing w:after="226" w:line="276" w:lineRule="auto"/>
        <w:ind w:left="-5"/>
        <w:rPr>
          <w:rFonts w:ascii="Arial" w:eastAsia="Arial" w:hAnsi="Arial" w:cs="Arial"/>
          <w:b/>
          <w:bCs/>
          <w:color w:val="000000" w:themeColor="text1"/>
          <w:sz w:val="20"/>
          <w:szCs w:val="20"/>
        </w:rPr>
      </w:pPr>
    </w:p>
    <w:p w14:paraId="1DF61E57" w14:textId="77777777" w:rsidR="000E1A6B" w:rsidRPr="00B954DA" w:rsidRDefault="000E1A6B">
      <w:pPr>
        <w:spacing w:after="226" w:line="276" w:lineRule="auto"/>
        <w:ind w:left="-5"/>
        <w:rPr>
          <w:rFonts w:ascii="Arial" w:eastAsia="Arial" w:hAnsi="Arial" w:cs="Arial"/>
          <w:b/>
          <w:bCs/>
          <w:color w:val="000000" w:themeColor="text1"/>
          <w:sz w:val="20"/>
          <w:szCs w:val="20"/>
        </w:rPr>
      </w:pPr>
    </w:p>
    <w:p w14:paraId="05F6A02A" w14:textId="77777777" w:rsidR="000E1A6B" w:rsidRPr="00B954DA" w:rsidRDefault="00175F13">
      <w:pPr>
        <w:spacing w:after="226" w:line="276" w:lineRule="auto"/>
        <w:ind w:left="-5"/>
        <w:rPr>
          <w:rFonts w:ascii="Arial" w:eastAsia="Arial" w:hAnsi="Arial" w:cs="Arial"/>
          <w:color w:val="000000" w:themeColor="text1"/>
        </w:rPr>
      </w:pPr>
      <w:r w:rsidRPr="00B954DA">
        <w:rPr>
          <w:rFonts w:ascii="Arial" w:eastAsia="Arial" w:hAnsi="Arial" w:cs="Arial"/>
          <w:b/>
          <w:bCs/>
          <w:color w:val="000000" w:themeColor="text1"/>
        </w:rPr>
        <w:t>1. INTRODUCTION</w:t>
      </w:r>
    </w:p>
    <w:p w14:paraId="33A46111" w14:textId="2D3B2028" w:rsidR="00C92F51" w:rsidRPr="00B954DA" w:rsidRDefault="00C92F51" w:rsidP="00E40B3F">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The transition into university life often </w:t>
      </w:r>
      <w:r w:rsidR="002A5C3E" w:rsidRPr="00B954DA">
        <w:rPr>
          <w:rFonts w:ascii="Arial" w:eastAsia="Arial" w:hAnsi="Arial" w:cs="Arial"/>
          <w:color w:val="000000" w:themeColor="text1"/>
          <w:sz w:val="20"/>
          <w:szCs w:val="20"/>
        </w:rPr>
        <w:t xml:space="preserve">comes </w:t>
      </w:r>
      <w:r w:rsidRPr="00B954DA">
        <w:rPr>
          <w:rFonts w:ascii="Arial" w:eastAsia="Arial" w:hAnsi="Arial" w:cs="Arial"/>
          <w:color w:val="000000" w:themeColor="text1"/>
          <w:sz w:val="20"/>
          <w:szCs w:val="20"/>
        </w:rPr>
        <w:t xml:space="preserve">with </w:t>
      </w:r>
      <w:r w:rsidR="002A5C3E" w:rsidRPr="00B954DA">
        <w:rPr>
          <w:rFonts w:ascii="Arial" w:eastAsia="Arial" w:hAnsi="Arial" w:cs="Arial"/>
          <w:color w:val="000000" w:themeColor="text1"/>
          <w:sz w:val="20"/>
          <w:szCs w:val="20"/>
        </w:rPr>
        <w:t>great</w:t>
      </w:r>
      <w:r w:rsidRPr="00B954DA">
        <w:rPr>
          <w:rFonts w:ascii="Arial" w:eastAsia="Arial" w:hAnsi="Arial" w:cs="Arial"/>
          <w:color w:val="000000" w:themeColor="text1"/>
          <w:sz w:val="20"/>
          <w:szCs w:val="20"/>
        </w:rPr>
        <w:t xml:space="preserve"> psychological distress among students,</w:t>
      </w:r>
      <w:r w:rsidR="002A5C3E" w:rsidRPr="00B954DA">
        <w:rPr>
          <w:rFonts w:ascii="Arial" w:eastAsia="Arial" w:hAnsi="Arial" w:cs="Arial"/>
          <w:color w:val="000000" w:themeColor="text1"/>
          <w:sz w:val="20"/>
          <w:szCs w:val="20"/>
        </w:rPr>
        <w:t xml:space="preserve"> usually</w:t>
      </w:r>
      <w:r w:rsidRPr="00B954DA">
        <w:rPr>
          <w:rFonts w:ascii="Arial" w:eastAsia="Arial" w:hAnsi="Arial" w:cs="Arial"/>
          <w:color w:val="000000" w:themeColor="text1"/>
          <w:sz w:val="20"/>
          <w:szCs w:val="20"/>
        </w:rPr>
        <w:t xml:space="preserve"> </w:t>
      </w:r>
      <w:r w:rsidR="00990A56" w:rsidRPr="00B954DA">
        <w:rPr>
          <w:rFonts w:ascii="Arial" w:eastAsia="Arial" w:hAnsi="Arial" w:cs="Arial"/>
          <w:color w:val="000000" w:themeColor="text1"/>
          <w:sz w:val="20"/>
          <w:szCs w:val="20"/>
        </w:rPr>
        <w:t>expressed</w:t>
      </w:r>
      <w:r w:rsidRPr="00B954DA">
        <w:rPr>
          <w:rFonts w:ascii="Arial" w:eastAsia="Arial" w:hAnsi="Arial" w:cs="Arial"/>
          <w:color w:val="000000" w:themeColor="text1"/>
          <w:sz w:val="20"/>
          <w:szCs w:val="20"/>
        </w:rPr>
        <w:t xml:space="preserve"> as anxiety, depression, and academic stress. </w:t>
      </w:r>
      <w:r w:rsidR="00990A56" w:rsidRPr="00B954DA">
        <w:rPr>
          <w:rFonts w:ascii="Arial" w:eastAsia="Arial" w:hAnsi="Arial" w:cs="Arial"/>
          <w:color w:val="000000" w:themeColor="text1"/>
          <w:sz w:val="20"/>
          <w:szCs w:val="20"/>
        </w:rPr>
        <w:t>S</w:t>
      </w:r>
      <w:r w:rsidRPr="00B954DA">
        <w:rPr>
          <w:rFonts w:ascii="Arial" w:eastAsia="Arial" w:hAnsi="Arial" w:cs="Arial"/>
          <w:color w:val="000000" w:themeColor="text1"/>
          <w:sz w:val="20"/>
          <w:szCs w:val="20"/>
        </w:rPr>
        <w:t xml:space="preserve">tudies consistently report that a significant proportion of </w:t>
      </w:r>
      <w:proofErr w:type="gramStart"/>
      <w:r w:rsidR="00A7411B" w:rsidRPr="00B954DA">
        <w:rPr>
          <w:rFonts w:ascii="Arial" w:eastAsia="Arial" w:hAnsi="Arial" w:cs="Arial"/>
          <w:color w:val="000000" w:themeColor="text1"/>
          <w:sz w:val="20"/>
          <w:szCs w:val="20"/>
        </w:rPr>
        <w:t>undergraduates</w:t>
      </w:r>
      <w:proofErr w:type="gramEnd"/>
      <w:r w:rsidRPr="00B954DA">
        <w:rPr>
          <w:rFonts w:ascii="Arial" w:eastAsia="Arial" w:hAnsi="Arial" w:cs="Arial"/>
          <w:color w:val="000000" w:themeColor="text1"/>
          <w:sz w:val="20"/>
          <w:szCs w:val="20"/>
        </w:rPr>
        <w:t xml:space="preserve"> experience clinically relevant symptoms</w:t>
      </w:r>
      <w:r w:rsidR="00990A56" w:rsidRPr="00B954DA">
        <w:rPr>
          <w:rFonts w:ascii="Arial" w:eastAsia="Arial" w:hAnsi="Arial" w:cs="Arial"/>
          <w:color w:val="000000" w:themeColor="text1"/>
          <w:sz w:val="20"/>
          <w:szCs w:val="20"/>
        </w:rPr>
        <w:t xml:space="preserve">. </w:t>
      </w:r>
      <w:r w:rsidRPr="00B954DA">
        <w:rPr>
          <w:rFonts w:ascii="Arial" w:eastAsia="Arial" w:hAnsi="Arial" w:cs="Arial"/>
          <w:color w:val="000000" w:themeColor="text1"/>
          <w:sz w:val="20"/>
          <w:szCs w:val="20"/>
        </w:rPr>
        <w:t xml:space="preserve">Ferrari et al. (2022) </w:t>
      </w:r>
      <w:r w:rsidR="00990A56" w:rsidRPr="00B954DA">
        <w:rPr>
          <w:rFonts w:ascii="Arial" w:eastAsia="Arial" w:hAnsi="Arial" w:cs="Arial"/>
          <w:color w:val="000000" w:themeColor="text1"/>
          <w:sz w:val="20"/>
          <w:szCs w:val="20"/>
        </w:rPr>
        <w:t>revealed</w:t>
      </w:r>
      <w:r w:rsidRPr="00B954DA">
        <w:rPr>
          <w:rFonts w:ascii="Arial" w:eastAsia="Arial" w:hAnsi="Arial" w:cs="Arial"/>
          <w:color w:val="000000" w:themeColor="text1"/>
          <w:sz w:val="20"/>
          <w:szCs w:val="20"/>
        </w:rPr>
        <w:t xml:space="preserve"> that over 31% of students suffer from depression and anxiety. Such challenges not only compromise mental health but also directly impede academic engagement, concentration, and retention (</w:t>
      </w:r>
      <w:proofErr w:type="spellStart"/>
      <w:r w:rsidRPr="00B954DA">
        <w:rPr>
          <w:rFonts w:ascii="Arial" w:eastAsia="Arial" w:hAnsi="Arial" w:cs="Arial"/>
          <w:color w:val="000000" w:themeColor="text1"/>
          <w:sz w:val="20"/>
          <w:szCs w:val="20"/>
        </w:rPr>
        <w:t>Sarafraz</w:t>
      </w:r>
      <w:proofErr w:type="spellEnd"/>
      <w:r w:rsidRPr="00B954DA">
        <w:rPr>
          <w:rFonts w:ascii="Arial" w:eastAsia="Arial" w:hAnsi="Arial" w:cs="Arial"/>
          <w:color w:val="000000" w:themeColor="text1"/>
          <w:sz w:val="20"/>
          <w:szCs w:val="20"/>
        </w:rPr>
        <w:t xml:space="preserve"> et al., 2019; Chu et al., 2023). </w:t>
      </w:r>
    </w:p>
    <w:p w14:paraId="442C98AD" w14:textId="07B277C4" w:rsidR="00C92F51" w:rsidRPr="00B954DA" w:rsidRDefault="00C92F51" w:rsidP="00E40B3F">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In recent years, digital mental health tools have emerged as scalable</w:t>
      </w:r>
      <w:r w:rsidR="00A87882" w:rsidRPr="00B954DA">
        <w:rPr>
          <w:rFonts w:ascii="Arial" w:eastAsia="Arial" w:hAnsi="Arial" w:cs="Arial"/>
          <w:color w:val="000000" w:themeColor="text1"/>
          <w:sz w:val="20"/>
          <w:szCs w:val="20"/>
        </w:rPr>
        <w:t xml:space="preserve"> and</w:t>
      </w:r>
      <w:r w:rsidRPr="00B954DA">
        <w:rPr>
          <w:rFonts w:ascii="Arial" w:eastAsia="Arial" w:hAnsi="Arial" w:cs="Arial"/>
          <w:color w:val="000000" w:themeColor="text1"/>
          <w:sz w:val="20"/>
          <w:szCs w:val="20"/>
        </w:rPr>
        <w:t xml:space="preserve"> </w:t>
      </w:r>
      <w:r w:rsidR="00DD5F74" w:rsidRPr="00B954DA">
        <w:rPr>
          <w:rFonts w:ascii="Arial" w:eastAsia="Arial" w:hAnsi="Arial" w:cs="Arial"/>
          <w:color w:val="000000" w:themeColor="text1"/>
          <w:sz w:val="20"/>
          <w:szCs w:val="20"/>
        </w:rPr>
        <w:t>cost-effective</w:t>
      </w:r>
      <w:r w:rsidRPr="00B954DA">
        <w:rPr>
          <w:rFonts w:ascii="Arial" w:eastAsia="Arial" w:hAnsi="Arial" w:cs="Arial"/>
          <w:color w:val="000000" w:themeColor="text1"/>
          <w:sz w:val="20"/>
          <w:szCs w:val="20"/>
        </w:rPr>
        <w:t xml:space="preserve"> alternatives to traditional counselling. These include mobile applications, online cognitive behavioural therapy (CBT) modules, mindfulness platforms, biofeedback devices, and AI</w:t>
      </w:r>
      <w:r w:rsidRPr="00B954DA">
        <w:rPr>
          <w:rFonts w:ascii="Arial" w:eastAsia="Arial" w:hAnsi="Arial" w:cs="Arial"/>
          <w:color w:val="000000" w:themeColor="text1"/>
          <w:sz w:val="20"/>
          <w:szCs w:val="20"/>
        </w:rPr>
        <w:noBreakHyphen/>
        <w:t>driven chatbots (</w:t>
      </w:r>
      <w:proofErr w:type="spellStart"/>
      <w:r w:rsidRPr="00B954DA">
        <w:rPr>
          <w:rFonts w:ascii="Arial" w:eastAsia="Arial" w:hAnsi="Arial" w:cs="Arial"/>
          <w:color w:val="000000" w:themeColor="text1"/>
          <w:sz w:val="20"/>
          <w:szCs w:val="20"/>
        </w:rPr>
        <w:t>Torous</w:t>
      </w:r>
      <w:proofErr w:type="spellEnd"/>
      <w:r w:rsidRPr="00B954DA">
        <w:rPr>
          <w:rFonts w:ascii="Arial" w:eastAsia="Arial" w:hAnsi="Arial" w:cs="Arial"/>
          <w:color w:val="000000" w:themeColor="text1"/>
          <w:sz w:val="20"/>
          <w:szCs w:val="20"/>
        </w:rPr>
        <w:t xml:space="preserve"> et al., 2025;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w:t>
      </w:r>
      <w:r w:rsidR="00DD5F74" w:rsidRPr="00B954DA">
        <w:rPr>
          <w:rFonts w:ascii="Arial" w:eastAsia="Arial" w:hAnsi="Arial" w:cs="Arial"/>
          <w:color w:val="000000" w:themeColor="text1"/>
          <w:sz w:val="20"/>
          <w:szCs w:val="20"/>
        </w:rPr>
        <w:t>Some evidence suggests that such tools can reduce stress, improve emotional regulation, and enhance psychological well-being (</w:t>
      </w:r>
      <w:proofErr w:type="spellStart"/>
      <w:r w:rsidR="00DD5F74" w:rsidRPr="00B954DA">
        <w:rPr>
          <w:rFonts w:ascii="Arial" w:eastAsia="Arial" w:hAnsi="Arial" w:cs="Arial"/>
          <w:color w:val="000000" w:themeColor="text1"/>
          <w:sz w:val="20"/>
          <w:szCs w:val="20"/>
        </w:rPr>
        <w:t>Nosè</w:t>
      </w:r>
      <w:proofErr w:type="spellEnd"/>
      <w:r w:rsidR="00DD5F74" w:rsidRPr="00B954DA">
        <w:rPr>
          <w:rFonts w:ascii="Arial" w:eastAsia="Arial" w:hAnsi="Arial" w:cs="Arial"/>
          <w:color w:val="000000" w:themeColor="text1"/>
          <w:sz w:val="20"/>
          <w:szCs w:val="20"/>
        </w:rPr>
        <w:t xml:space="preserve"> et al., 2025; Epping-Jordan</w:t>
      </w:r>
      <w:r w:rsidRPr="00B954DA">
        <w:rPr>
          <w:rFonts w:ascii="Arial" w:eastAsia="Arial" w:hAnsi="Arial" w:cs="Arial"/>
          <w:color w:val="000000" w:themeColor="text1"/>
          <w:sz w:val="20"/>
          <w:szCs w:val="20"/>
        </w:rPr>
        <w:t xml:space="preserve"> et al., 2016). </w:t>
      </w:r>
      <w:r w:rsidR="00DD5F74" w:rsidRPr="00B954DA">
        <w:rPr>
          <w:rFonts w:ascii="Arial" w:eastAsia="Arial" w:hAnsi="Arial" w:cs="Arial"/>
          <w:color w:val="000000" w:themeColor="text1"/>
          <w:sz w:val="20"/>
          <w:szCs w:val="20"/>
        </w:rPr>
        <w:t>Most i</w:t>
      </w:r>
      <w:r w:rsidRPr="00B954DA">
        <w:rPr>
          <w:rFonts w:ascii="Arial" w:eastAsia="Arial" w:hAnsi="Arial" w:cs="Arial"/>
          <w:color w:val="000000" w:themeColor="text1"/>
          <w:sz w:val="20"/>
          <w:szCs w:val="20"/>
        </w:rPr>
        <w:t xml:space="preserve">mportantly, their accessibility and flexibility make them particularly </w:t>
      </w:r>
      <w:r w:rsidR="00BA02FD" w:rsidRPr="00B954DA">
        <w:rPr>
          <w:rFonts w:ascii="Arial" w:eastAsia="Arial" w:hAnsi="Arial" w:cs="Arial"/>
          <w:color w:val="000000" w:themeColor="text1"/>
          <w:sz w:val="20"/>
          <w:szCs w:val="20"/>
        </w:rPr>
        <w:t xml:space="preserve">adaptable </w:t>
      </w:r>
      <w:r w:rsidRPr="00B954DA">
        <w:rPr>
          <w:rFonts w:ascii="Arial" w:eastAsia="Arial" w:hAnsi="Arial" w:cs="Arial"/>
          <w:color w:val="000000" w:themeColor="text1"/>
          <w:sz w:val="20"/>
          <w:szCs w:val="20"/>
        </w:rPr>
        <w:t>to university populations</w:t>
      </w:r>
      <w:r w:rsidR="00BA02FD" w:rsidRPr="00B954DA">
        <w:rPr>
          <w:rFonts w:ascii="Arial" w:eastAsia="Arial" w:hAnsi="Arial" w:cs="Arial"/>
          <w:color w:val="000000" w:themeColor="text1"/>
          <w:sz w:val="20"/>
          <w:szCs w:val="20"/>
        </w:rPr>
        <w:t xml:space="preserve"> </w:t>
      </w:r>
      <w:r w:rsidRPr="00B954DA">
        <w:rPr>
          <w:rFonts w:ascii="Arial" w:eastAsia="Arial" w:hAnsi="Arial" w:cs="Arial"/>
          <w:color w:val="000000" w:themeColor="text1"/>
          <w:sz w:val="20"/>
          <w:szCs w:val="20"/>
        </w:rPr>
        <w:t>(Dekker et al., 2020).</w:t>
      </w:r>
    </w:p>
    <w:p w14:paraId="7DE9F3F8" w14:textId="5E56CE21" w:rsidR="00C92F51" w:rsidRPr="00B954DA" w:rsidRDefault="00C92F51" w:rsidP="00E40B3F">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Beyond mental health outcomes, digital interventions are increasingly </w:t>
      </w:r>
      <w:r w:rsidR="00F43927" w:rsidRPr="00B954DA">
        <w:rPr>
          <w:rFonts w:ascii="Arial" w:eastAsia="Arial" w:hAnsi="Arial" w:cs="Arial"/>
          <w:color w:val="000000" w:themeColor="text1"/>
          <w:sz w:val="20"/>
          <w:szCs w:val="20"/>
        </w:rPr>
        <w:t>recognised</w:t>
      </w:r>
      <w:r w:rsidRPr="00B954DA">
        <w:rPr>
          <w:rFonts w:ascii="Arial" w:eastAsia="Arial" w:hAnsi="Arial" w:cs="Arial"/>
          <w:color w:val="000000" w:themeColor="text1"/>
          <w:sz w:val="20"/>
          <w:szCs w:val="20"/>
        </w:rPr>
        <w:t xml:space="preserve"> for their potential to improve academic performance. Studies highlight benefits such as enhanced focus, better time management, and improved cognitive functioning (Ferrari et al., 2022; Rashid et al., 2025). However, </w:t>
      </w:r>
      <w:r w:rsidR="00F43927" w:rsidRPr="00B954DA">
        <w:rPr>
          <w:rFonts w:ascii="Arial" w:eastAsia="Arial" w:hAnsi="Arial" w:cs="Arial"/>
          <w:color w:val="000000" w:themeColor="text1"/>
          <w:sz w:val="20"/>
          <w:szCs w:val="20"/>
        </w:rPr>
        <w:t xml:space="preserve">there are </w:t>
      </w:r>
      <w:r w:rsidRPr="00B954DA">
        <w:rPr>
          <w:rFonts w:ascii="Arial" w:eastAsia="Arial" w:hAnsi="Arial" w:cs="Arial"/>
          <w:color w:val="000000" w:themeColor="text1"/>
          <w:sz w:val="20"/>
          <w:szCs w:val="20"/>
        </w:rPr>
        <w:t>questions regarding</w:t>
      </w:r>
      <w:r w:rsidR="00F43927" w:rsidRPr="00B954DA">
        <w:rPr>
          <w:rFonts w:ascii="Arial" w:eastAsia="Arial" w:hAnsi="Arial" w:cs="Arial"/>
          <w:color w:val="000000" w:themeColor="text1"/>
          <w:sz w:val="20"/>
          <w:szCs w:val="20"/>
        </w:rPr>
        <w:t xml:space="preserve"> the</w:t>
      </w:r>
      <w:r w:rsidRPr="00B954DA">
        <w:rPr>
          <w:rFonts w:ascii="Arial" w:eastAsia="Arial" w:hAnsi="Arial" w:cs="Arial"/>
          <w:color w:val="000000" w:themeColor="text1"/>
          <w:sz w:val="20"/>
          <w:szCs w:val="20"/>
        </w:rPr>
        <w:t xml:space="preserve"> long</w:t>
      </w:r>
      <w:r w:rsidRPr="00B954DA">
        <w:rPr>
          <w:rFonts w:ascii="Arial" w:eastAsia="Arial" w:hAnsi="Arial" w:cs="Arial"/>
          <w:color w:val="000000" w:themeColor="text1"/>
          <w:sz w:val="20"/>
          <w:szCs w:val="20"/>
        </w:rPr>
        <w:noBreakHyphen/>
        <w:t xml:space="preserve">term effectiveness, </w:t>
      </w:r>
      <w:r w:rsidR="00F43927" w:rsidRPr="00B954DA">
        <w:rPr>
          <w:rFonts w:ascii="Arial" w:eastAsia="Arial" w:hAnsi="Arial" w:cs="Arial"/>
          <w:color w:val="000000" w:themeColor="text1"/>
          <w:sz w:val="20"/>
          <w:szCs w:val="20"/>
        </w:rPr>
        <w:t>personalisation</w:t>
      </w:r>
      <w:r w:rsidRPr="00B954DA">
        <w:rPr>
          <w:rFonts w:ascii="Arial" w:eastAsia="Arial" w:hAnsi="Arial" w:cs="Arial"/>
          <w:color w:val="000000" w:themeColor="text1"/>
          <w:sz w:val="20"/>
          <w:szCs w:val="20"/>
        </w:rPr>
        <w:t xml:space="preserve">, and integration into institutional support systems. Addressing these gaps is essential to ensure that digital mental health tools contribute meaningfully to both </w:t>
      </w:r>
      <w:r w:rsidR="00F43927" w:rsidRPr="00B954DA">
        <w:rPr>
          <w:rFonts w:ascii="Arial" w:eastAsia="Arial" w:hAnsi="Arial" w:cs="Arial"/>
          <w:color w:val="000000" w:themeColor="text1"/>
          <w:sz w:val="20"/>
          <w:szCs w:val="20"/>
        </w:rPr>
        <w:t>students</w:t>
      </w:r>
      <w:r w:rsidRPr="00B954DA">
        <w:rPr>
          <w:rFonts w:ascii="Arial" w:eastAsia="Arial" w:hAnsi="Arial" w:cs="Arial"/>
          <w:color w:val="000000" w:themeColor="text1"/>
          <w:sz w:val="20"/>
          <w:szCs w:val="20"/>
        </w:rPr>
        <w:t xml:space="preserve"> well</w:t>
      </w:r>
      <w:r w:rsidRPr="00B954DA">
        <w:rPr>
          <w:rFonts w:ascii="Arial" w:eastAsia="Arial" w:hAnsi="Arial" w:cs="Arial"/>
          <w:color w:val="000000" w:themeColor="text1"/>
          <w:sz w:val="20"/>
          <w:szCs w:val="20"/>
        </w:rPr>
        <w:noBreakHyphen/>
        <w:t>being and academic success.</w:t>
      </w:r>
    </w:p>
    <w:p w14:paraId="616B1358" w14:textId="56B440DE"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1.1 Problem Statement</w:t>
      </w:r>
    </w:p>
    <w:p w14:paraId="63D1F7A0" w14:textId="624CE2EA"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Students are more likely to begin to experience mental health issues as the need for their safe treatment continues to rise. This may be due to social pressures, changes in lifestyle, and socially and culturally related changes, as anxiety, stress, and depression start to increase as they enter the University life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Rashid et al., 2025). As reported by Ferrari et al. (2022), over 31% of students attending the University suffer depression and anxiety as one of the most frequently </w:t>
      </w:r>
      <w:r w:rsidR="00A65189" w:rsidRPr="00B954DA">
        <w:rPr>
          <w:rFonts w:ascii="Arial" w:eastAsia="Arial" w:hAnsi="Arial" w:cs="Arial"/>
          <w:color w:val="000000" w:themeColor="text1"/>
          <w:sz w:val="20"/>
          <w:szCs w:val="20"/>
        </w:rPr>
        <w:t>characterised</w:t>
      </w:r>
      <w:r w:rsidRPr="00B954DA">
        <w:rPr>
          <w:rFonts w:ascii="Arial" w:eastAsia="Arial" w:hAnsi="Arial" w:cs="Arial"/>
          <w:color w:val="000000" w:themeColor="text1"/>
          <w:sz w:val="20"/>
          <w:szCs w:val="20"/>
        </w:rPr>
        <w:t xml:space="preserve"> mental health issues. The assessment of academic achievement is more than an intellectual objective, but also important to the mental health, and social well-being of the students. The problem is that this process creates a cycle in which poor mental health intensifies academic challenges, worsens mental health, and is a huge barrier to student success and retention (</w:t>
      </w:r>
      <w:proofErr w:type="spellStart"/>
      <w:r w:rsidRPr="00B954DA">
        <w:rPr>
          <w:rFonts w:ascii="Arial" w:eastAsia="Arial" w:hAnsi="Arial" w:cs="Arial"/>
          <w:color w:val="000000" w:themeColor="text1"/>
          <w:sz w:val="20"/>
          <w:szCs w:val="20"/>
        </w:rPr>
        <w:t>Sarafraz</w:t>
      </w:r>
      <w:proofErr w:type="spellEnd"/>
      <w:r w:rsidRPr="00B954DA">
        <w:rPr>
          <w:rFonts w:ascii="Arial" w:eastAsia="Arial" w:hAnsi="Arial" w:cs="Arial"/>
          <w:color w:val="000000" w:themeColor="text1"/>
          <w:sz w:val="20"/>
          <w:szCs w:val="20"/>
        </w:rPr>
        <w:t xml:space="preserve"> et al., 2019).</w:t>
      </w:r>
    </w:p>
    <w:p w14:paraId="09159B1B" w14:textId="4C096C3F"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In response to these challenges, new digital mental health tools have emerged to provide students with access to the most reliable and effective interventions to combat stress, anxiety, and depression. These devices, such as mobile apps, online platforms, and AI-driven interventions—or “</w:t>
      </w:r>
      <w:r w:rsidR="009946DE" w:rsidRPr="00B954DA">
        <w:rPr>
          <w:rFonts w:ascii="Arial" w:eastAsia="Arial" w:hAnsi="Arial" w:cs="Arial"/>
          <w:color w:val="000000" w:themeColor="text1"/>
          <w:sz w:val="20"/>
          <w:szCs w:val="20"/>
        </w:rPr>
        <w:t>tool</w:t>
      </w:r>
      <w:r w:rsidRPr="00B954DA">
        <w:rPr>
          <w:rFonts w:ascii="Arial" w:eastAsia="Arial" w:hAnsi="Arial" w:cs="Arial"/>
          <w:color w:val="000000" w:themeColor="text1"/>
          <w:sz w:val="20"/>
          <w:szCs w:val="20"/>
        </w:rPr>
        <w:t>”—will be viable, cost-effective, and potentially more affordable than traditional face-to-face counselling (Fernández-</w:t>
      </w:r>
      <w:proofErr w:type="spellStart"/>
      <w:r w:rsidRPr="00B954DA">
        <w:rPr>
          <w:rFonts w:ascii="Arial" w:eastAsia="Arial" w:hAnsi="Arial" w:cs="Arial"/>
          <w:color w:val="000000" w:themeColor="text1"/>
          <w:sz w:val="20"/>
          <w:szCs w:val="20"/>
        </w:rPr>
        <w:t>Batanero</w:t>
      </w:r>
      <w:proofErr w:type="spellEnd"/>
      <w:r w:rsidRPr="00B954DA">
        <w:rPr>
          <w:rFonts w:ascii="Arial" w:eastAsia="Arial" w:hAnsi="Arial" w:cs="Arial"/>
          <w:color w:val="000000" w:themeColor="text1"/>
          <w:sz w:val="20"/>
          <w:szCs w:val="20"/>
        </w:rPr>
        <w:t xml:space="preserve"> et al., 2025; </w:t>
      </w:r>
      <w:proofErr w:type="spellStart"/>
      <w:r w:rsidRPr="00B954DA">
        <w:rPr>
          <w:rFonts w:ascii="Arial" w:eastAsia="Arial" w:hAnsi="Arial" w:cs="Arial"/>
          <w:color w:val="000000" w:themeColor="text1"/>
          <w:sz w:val="20"/>
          <w:szCs w:val="20"/>
        </w:rPr>
        <w:t>Löchner</w:t>
      </w:r>
      <w:proofErr w:type="spellEnd"/>
      <w:r w:rsidRPr="00B954DA">
        <w:rPr>
          <w:rFonts w:ascii="Arial" w:eastAsia="Arial" w:hAnsi="Arial" w:cs="Arial"/>
          <w:color w:val="000000" w:themeColor="text1"/>
          <w:sz w:val="20"/>
          <w:szCs w:val="20"/>
        </w:rPr>
        <w:t xml:space="preserve"> et al., 2025; Rashid et al., 2025). Digital interventions have been shown to significantly reduce symptoms of anxiety and depression as well as psychological </w:t>
      </w:r>
      <w:r w:rsidR="00A65189" w:rsidRPr="00B954DA">
        <w:rPr>
          <w:rFonts w:ascii="Arial" w:eastAsia="Arial" w:hAnsi="Arial" w:cs="Arial"/>
          <w:color w:val="000000" w:themeColor="text1"/>
          <w:sz w:val="20"/>
          <w:szCs w:val="20"/>
        </w:rPr>
        <w:t>well-being</w:t>
      </w:r>
      <w:r w:rsidRPr="00B954DA">
        <w:rPr>
          <w:rFonts w:ascii="Arial" w:eastAsia="Arial" w:hAnsi="Arial" w:cs="Arial"/>
          <w:color w:val="000000" w:themeColor="text1"/>
          <w:sz w:val="20"/>
          <w:szCs w:val="20"/>
        </w:rPr>
        <w:t xml:space="preserve">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Ferrari et al., 2022). Other ways of using therapeutic content combined with behavioural monitoring instruments can include using software such as biofeedback apps to improve student behaviour in order to improve emotional regulation and stress management at higher levels of achievement (</w:t>
      </w:r>
      <w:proofErr w:type="spellStart"/>
      <w:r w:rsidRPr="00B954DA">
        <w:rPr>
          <w:rFonts w:ascii="Arial" w:eastAsia="Arial" w:hAnsi="Arial" w:cs="Arial"/>
          <w:color w:val="000000" w:themeColor="text1"/>
          <w:sz w:val="20"/>
          <w:szCs w:val="20"/>
        </w:rPr>
        <w:t>Jadhakhan</w:t>
      </w:r>
      <w:proofErr w:type="spellEnd"/>
      <w:r w:rsidRPr="00B954DA">
        <w:rPr>
          <w:rFonts w:ascii="Arial" w:eastAsia="Arial" w:hAnsi="Arial" w:cs="Arial"/>
          <w:color w:val="000000" w:themeColor="text1"/>
          <w:sz w:val="20"/>
          <w:szCs w:val="20"/>
        </w:rPr>
        <w:t xml:space="preserve"> et al., 2022;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w:t>
      </w:r>
    </w:p>
    <w:p w14:paraId="1CEC1674"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Although these interventions have recorded success, many students simply do not engage with these digital tools, either because they are poorly aware, perceive stigma, or do not have the ability to make do of them </w:t>
      </w:r>
      <w:r w:rsidRPr="00B954DA">
        <w:rPr>
          <w:rFonts w:ascii="Arial" w:eastAsia="Arial" w:hAnsi="Arial" w:cs="Arial"/>
          <w:color w:val="000000" w:themeColor="text1"/>
          <w:sz w:val="20"/>
          <w:szCs w:val="20"/>
        </w:rPr>
        <w:lastRenderedPageBreak/>
        <w:t>(Dekker et al., 2020). This means that both academic institutions and mental health professionals need to consider making their digital inclusion work in the manner that maximizes effectiveness, accessibility, and participation as part of existing support systems.</w:t>
      </w:r>
    </w:p>
    <w:p w14:paraId="28262A19"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1.2 Research Gap</w:t>
      </w:r>
    </w:p>
    <w:p w14:paraId="5B29BF45" w14:textId="6A312A9C"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While a recent survey of the effects of digital mental health tools to the mental health of undergraduate students has shown a wide-ranging merit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one major hurdle currently cited in research is that studies in the past have not adequately considered how the technologies can also be directly beneficial to academic performance. Online cognitive behavioural therapy (CBT) and biofeedback have shown significant improvement in mental health outcomes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Ferrari et al., 2022; Ferrari et al., 2022); only a few studies examine how these improvements can translate into real-life learning benefits, such as GPA improvement, retention, or overall student success. Also, studies have already focused on short-term impacts, with little understanding of the long-term impact that these digital tools will have on student well-being and academic achievement (Dekker et al., 2020).</w:t>
      </w:r>
    </w:p>
    <w:p w14:paraId="6B9BB120"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It is important to note that there is also a research question whether these tools are integrated in larger support systems in the academic community. While some studies have evaluated the efficacy of digital mental health tools, such as </w:t>
      </w:r>
      <w:proofErr w:type="spellStart"/>
      <w:r w:rsidRPr="00B954DA">
        <w:rPr>
          <w:rFonts w:ascii="Arial" w:eastAsia="Arial" w:hAnsi="Arial" w:cs="Arial"/>
          <w:color w:val="000000" w:themeColor="text1"/>
          <w:sz w:val="20"/>
          <w:szCs w:val="20"/>
        </w:rPr>
        <w:t>Rasid</w:t>
      </w:r>
      <w:proofErr w:type="spellEnd"/>
      <w:r w:rsidRPr="00B954DA">
        <w:rPr>
          <w:rFonts w:ascii="Arial" w:eastAsia="Arial" w:hAnsi="Arial" w:cs="Arial"/>
          <w:color w:val="000000" w:themeColor="text1"/>
          <w:sz w:val="20"/>
          <w:szCs w:val="20"/>
        </w:rPr>
        <w:t xml:space="preserve"> et al. (2025) on current educational environments, others have examined how these instruments can be automatically incorporated into existing educational settings to maximise learning and outcomes and avoid barriers to the use. But that problem must be addressed to make digital interventions significant to mental health and college graduation.</w:t>
      </w:r>
    </w:p>
    <w:p w14:paraId="4EE70A84" w14:textId="77777777" w:rsidR="000E1A6B" w:rsidRPr="00B954DA" w:rsidRDefault="000E1A6B">
      <w:pPr>
        <w:spacing w:line="276" w:lineRule="auto"/>
        <w:jc w:val="both"/>
        <w:rPr>
          <w:rFonts w:ascii="Arial" w:eastAsia="Arial" w:hAnsi="Arial" w:cs="Arial"/>
          <w:color w:val="000000" w:themeColor="text1"/>
          <w:sz w:val="20"/>
          <w:szCs w:val="20"/>
        </w:rPr>
      </w:pPr>
    </w:p>
    <w:p w14:paraId="108B4764" w14:textId="77777777" w:rsidR="000E1A6B" w:rsidRPr="00B954DA" w:rsidRDefault="00175F13">
      <w:pPr>
        <w:numPr>
          <w:ilvl w:val="1"/>
          <w:numId w:val="2"/>
        </w:numPr>
        <w:pBdr>
          <w:top w:val="nil"/>
          <w:left w:val="nil"/>
          <w:bottom w:val="nil"/>
          <w:right w:val="nil"/>
          <w:between w:val="nil"/>
        </w:pBdr>
        <w:spacing w:line="276" w:lineRule="auto"/>
        <w:rPr>
          <w:rFonts w:ascii="Arial" w:eastAsia="Arial" w:hAnsi="Arial" w:cs="Arial"/>
          <w:b/>
          <w:bCs/>
          <w:color w:val="000000" w:themeColor="text1"/>
          <w:sz w:val="20"/>
          <w:szCs w:val="20"/>
        </w:rPr>
      </w:pPr>
      <w:r w:rsidRPr="00B954DA">
        <w:rPr>
          <w:rFonts w:ascii="Arial" w:eastAsia="Arial" w:hAnsi="Arial" w:cs="Arial"/>
          <w:b/>
          <w:bCs/>
          <w:color w:val="000000" w:themeColor="text1"/>
        </w:rPr>
        <w:t>Research Questions</w:t>
      </w:r>
    </w:p>
    <w:p w14:paraId="4A3E8E36"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w:t>
      </w:r>
      <w:proofErr w:type="spellStart"/>
      <w:r w:rsidRPr="00B954DA">
        <w:rPr>
          <w:rFonts w:ascii="Arial" w:eastAsia="Arial" w:hAnsi="Arial" w:cs="Arial"/>
          <w:color w:val="000000" w:themeColor="text1"/>
          <w:sz w:val="20"/>
          <w:szCs w:val="20"/>
        </w:rPr>
        <w:t>i</w:t>
      </w:r>
      <w:proofErr w:type="spellEnd"/>
      <w:r w:rsidRPr="00B954DA">
        <w:rPr>
          <w:rFonts w:ascii="Arial" w:eastAsia="Arial" w:hAnsi="Arial" w:cs="Arial"/>
          <w:color w:val="000000" w:themeColor="text1"/>
          <w:sz w:val="20"/>
          <w:szCs w:val="20"/>
        </w:rPr>
        <w:t>) What are the ways in which digital mental health tools impact student mental well-being and academic performance?</w:t>
      </w:r>
    </w:p>
    <w:p w14:paraId="5CE28103"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(ii) What are the main factors that influence the effectiveness of digital mental health interventions in the academic settings?</w:t>
      </w:r>
    </w:p>
    <w:p w14:paraId="787C304B"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(iii) What challenges do students face in engaging with digital mental health tools, and how can these barriers be dealt with?</w:t>
      </w:r>
    </w:p>
    <w:p w14:paraId="4F55B624"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(iv) How can digital mental health tools be integrated into existing academic support systems in order to maximise their effectiveness and reach?</w:t>
      </w:r>
    </w:p>
    <w:p w14:paraId="26395786" w14:textId="77777777" w:rsidR="000E1A6B" w:rsidRPr="00B954DA" w:rsidRDefault="000E1A6B">
      <w:pPr>
        <w:spacing w:line="276" w:lineRule="auto"/>
        <w:rPr>
          <w:rFonts w:ascii="Arial" w:eastAsia="Arial" w:hAnsi="Arial" w:cs="Arial"/>
          <w:color w:val="000000" w:themeColor="text1"/>
          <w:sz w:val="20"/>
          <w:szCs w:val="20"/>
        </w:rPr>
      </w:pPr>
    </w:p>
    <w:p w14:paraId="00DF7E5C"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2. BACKGROUND AND CONCEPTUAL FRAMEWORK</w:t>
      </w:r>
    </w:p>
    <w:p w14:paraId="18FF3843"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2.1 Mental Health and Well-Being in Academic Settings</w:t>
      </w:r>
    </w:p>
    <w:p w14:paraId="121E1598" w14:textId="32C628D1"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Mental health as a concept is defined as how emotional, psychological, and social functioning affects the way people think, feel, and act. The quality of life of a man extends beyond freedom from illness, but also entails life satisfaction, emotional flexibility, and the ability to cope with everyday stressors (Gautam et al., 2024). In the educational </w:t>
      </w:r>
      <w:r w:rsidR="008E7A95" w:rsidRPr="00B954DA">
        <w:rPr>
          <w:rFonts w:ascii="Arial" w:eastAsia="Arial" w:hAnsi="Arial" w:cs="Arial"/>
          <w:color w:val="000000" w:themeColor="text1"/>
          <w:sz w:val="20"/>
          <w:szCs w:val="20"/>
        </w:rPr>
        <w:t>world</w:t>
      </w:r>
      <w:r w:rsidRPr="00B954DA">
        <w:rPr>
          <w:rFonts w:ascii="Arial" w:eastAsia="Arial" w:hAnsi="Arial" w:cs="Arial"/>
          <w:color w:val="000000" w:themeColor="text1"/>
          <w:sz w:val="20"/>
          <w:szCs w:val="20"/>
        </w:rPr>
        <w:t>, students are generally measured by grades, retention ability, study habits and ability to participate actively in learning activities (Dekker et al., 2020). These four constructs interact closely in the educational process of higher institutions and usually affect both short-term academic outcomes as well as longer-term development paths (</w:t>
      </w:r>
      <w:proofErr w:type="spellStart"/>
      <w:r w:rsidRPr="00B954DA">
        <w:rPr>
          <w:rFonts w:ascii="Arial" w:eastAsia="Arial" w:hAnsi="Arial" w:cs="Arial"/>
          <w:color w:val="000000" w:themeColor="text1"/>
          <w:sz w:val="20"/>
          <w:szCs w:val="20"/>
        </w:rPr>
        <w:t>DuPlooy</w:t>
      </w:r>
      <w:proofErr w:type="spellEnd"/>
      <w:r w:rsidRPr="00B954DA">
        <w:rPr>
          <w:rFonts w:ascii="Arial" w:eastAsia="Arial" w:hAnsi="Arial" w:cs="Arial"/>
          <w:color w:val="000000" w:themeColor="text1"/>
          <w:sz w:val="20"/>
          <w:szCs w:val="20"/>
        </w:rPr>
        <w:t xml:space="preserve"> et al., 2024; Roman et al., 2025).</w:t>
      </w:r>
    </w:p>
    <w:p w14:paraId="272F307D"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lastRenderedPageBreak/>
        <w:t>Many international studies reveal that university students exhibit heightened symptoms of anxiety, depression, academic stress and poor sleep in relation to cognitive impairment and lower school achievement (</w:t>
      </w:r>
      <w:proofErr w:type="spellStart"/>
      <w:r w:rsidRPr="00B954DA">
        <w:rPr>
          <w:rFonts w:ascii="Arial" w:eastAsia="Arial" w:hAnsi="Arial" w:cs="Arial"/>
          <w:color w:val="000000" w:themeColor="text1"/>
          <w:sz w:val="20"/>
          <w:szCs w:val="20"/>
        </w:rPr>
        <w:t>Mofatteh</w:t>
      </w:r>
      <w:proofErr w:type="spellEnd"/>
      <w:r w:rsidRPr="00B954DA">
        <w:rPr>
          <w:rFonts w:ascii="Arial" w:eastAsia="Arial" w:hAnsi="Arial" w:cs="Arial"/>
          <w:color w:val="000000" w:themeColor="text1"/>
          <w:sz w:val="20"/>
          <w:szCs w:val="20"/>
        </w:rPr>
        <w:t xml:space="preserve"> et al., 2020; </w:t>
      </w:r>
      <w:proofErr w:type="spellStart"/>
      <w:r w:rsidRPr="00B954DA">
        <w:rPr>
          <w:rFonts w:ascii="Arial" w:eastAsia="Arial" w:hAnsi="Arial" w:cs="Arial"/>
          <w:color w:val="000000" w:themeColor="text1"/>
          <w:sz w:val="20"/>
          <w:szCs w:val="20"/>
        </w:rPr>
        <w:t>Sinval</w:t>
      </w:r>
      <w:proofErr w:type="spellEnd"/>
      <w:r w:rsidRPr="00B954DA">
        <w:rPr>
          <w:rFonts w:ascii="Arial" w:eastAsia="Arial" w:hAnsi="Arial" w:cs="Arial"/>
          <w:color w:val="000000" w:themeColor="text1"/>
          <w:sz w:val="20"/>
          <w:szCs w:val="20"/>
        </w:rPr>
        <w:t xml:space="preserve"> et al., 2024). Most of the 18 countries’ first-year students screened positive for at least one mental disorder according to the World Mental Health International College Student initiative described in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Poor mental health predicts poor concentration, slower processing of information, and poor decision-making, which hinder academic engagement (Chu et al., 2023). </w:t>
      </w:r>
      <w:proofErr w:type="gramStart"/>
      <w:r w:rsidRPr="00B954DA">
        <w:rPr>
          <w:rFonts w:ascii="Arial" w:eastAsia="Arial" w:hAnsi="Arial" w:cs="Arial"/>
          <w:color w:val="000000" w:themeColor="text1"/>
          <w:sz w:val="20"/>
          <w:szCs w:val="20"/>
        </w:rPr>
        <w:t>Also</w:t>
      </w:r>
      <w:proofErr w:type="gramEnd"/>
      <w:r w:rsidRPr="00B954DA">
        <w:rPr>
          <w:rFonts w:ascii="Arial" w:eastAsia="Arial" w:hAnsi="Arial" w:cs="Arial"/>
          <w:color w:val="000000" w:themeColor="text1"/>
          <w:sz w:val="20"/>
          <w:szCs w:val="20"/>
        </w:rPr>
        <w:t xml:space="preserve"> more likely is that students with untreated psychological distress will drop out compared with students without clinically relevant symptoms, with the risk estimated as 2.5 times higher than students who do not have clinically significant symptoms (Ferrari et al., 2022). This study showed that depressive symptoms are 3.5 times more likely than students not to leave school due to their academic performance.</w:t>
      </w:r>
    </w:p>
    <w:p w14:paraId="5863F972" w14:textId="34B4C870"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Stressors such as deadlines, performance pressure, and unknown academic schedules can trigger cycles of procrastination, decreased self-efficacy, and malnutrition (Dekker et al., 2020; Kristensen et al., 2023). These emotions</w:t>
      </w:r>
      <w:r w:rsidR="00CD1392"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such as chronic anxiety and depression</w:t>
      </w:r>
      <w:r w:rsidR="00CD1392"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correlate with low motivation</w:t>
      </w:r>
      <w:r w:rsidR="00CD1392" w:rsidRPr="00B954DA">
        <w:rPr>
          <w:rFonts w:ascii="Arial" w:eastAsia="Arial" w:hAnsi="Arial" w:cs="Arial"/>
          <w:color w:val="000000" w:themeColor="text1"/>
          <w:sz w:val="20"/>
          <w:szCs w:val="20"/>
        </w:rPr>
        <w:t xml:space="preserve"> and</w:t>
      </w:r>
      <w:r w:rsidRPr="00B954DA">
        <w:rPr>
          <w:rFonts w:ascii="Arial" w:eastAsia="Arial" w:hAnsi="Arial" w:cs="Arial"/>
          <w:color w:val="000000" w:themeColor="text1"/>
          <w:sz w:val="20"/>
          <w:szCs w:val="20"/>
        </w:rPr>
        <w:t xml:space="preserve"> low persistence in academic tasks (McCurdy et al. 2022; </w:t>
      </w:r>
      <w:proofErr w:type="spellStart"/>
      <w:r w:rsidRPr="00B954DA">
        <w:rPr>
          <w:rFonts w:ascii="Arial" w:eastAsia="Arial" w:hAnsi="Arial" w:cs="Arial"/>
          <w:color w:val="000000" w:themeColor="text1"/>
          <w:sz w:val="20"/>
          <w:szCs w:val="20"/>
        </w:rPr>
        <w:t>Sarafraz</w:t>
      </w:r>
      <w:proofErr w:type="spellEnd"/>
      <w:r w:rsidRPr="00B954DA">
        <w:rPr>
          <w:rFonts w:ascii="Arial" w:eastAsia="Arial" w:hAnsi="Arial" w:cs="Arial"/>
          <w:color w:val="000000" w:themeColor="text1"/>
          <w:sz w:val="20"/>
          <w:szCs w:val="20"/>
        </w:rPr>
        <w:t xml:space="preserve"> et al., 2019). In contrast, higher psychological well-being supports goal-directed behaviour, intrinsic motivation and active learning strategies (Ferrari et al., 2022; </w:t>
      </w:r>
      <w:proofErr w:type="spellStart"/>
      <w:r w:rsidRPr="00B954DA">
        <w:rPr>
          <w:rFonts w:ascii="Arial" w:eastAsia="Arial" w:hAnsi="Arial" w:cs="Arial"/>
          <w:color w:val="000000" w:themeColor="text1"/>
          <w:sz w:val="20"/>
          <w:szCs w:val="20"/>
        </w:rPr>
        <w:t>Rezai</w:t>
      </w:r>
      <w:proofErr w:type="spellEnd"/>
      <w:r w:rsidRPr="00B954DA">
        <w:rPr>
          <w:rFonts w:ascii="Arial" w:eastAsia="Arial" w:hAnsi="Arial" w:cs="Arial"/>
          <w:color w:val="000000" w:themeColor="text1"/>
          <w:sz w:val="20"/>
          <w:szCs w:val="20"/>
        </w:rPr>
        <w:t xml:space="preserve"> et al., 2025). More consistently, good health has been associated with improved academic practices, better grades, and a sense of purpose in learning (Fu et al. 2025; Yu et al. 2018). This overlap also underscores the need for mental health services available in higher education systems to sustain academic success.</w:t>
      </w:r>
    </w:p>
    <w:p w14:paraId="0E657E4B"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2.2 Digital Mental Health Tools</w:t>
      </w:r>
    </w:p>
    <w:p w14:paraId="66AAC661" w14:textId="53B53658"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Digital mental health tools are considered technology-based intervention that provides psychological support, therapy/education, self-help materials, or </w:t>
      </w:r>
      <w:r w:rsidR="00CD1392" w:rsidRPr="00B954DA">
        <w:rPr>
          <w:rFonts w:ascii="Arial" w:eastAsia="Arial" w:hAnsi="Arial" w:cs="Arial"/>
          <w:color w:val="000000" w:themeColor="text1"/>
          <w:sz w:val="20"/>
          <w:szCs w:val="20"/>
        </w:rPr>
        <w:t>behavioural</w:t>
      </w:r>
      <w:r w:rsidRPr="00B954DA">
        <w:rPr>
          <w:rFonts w:ascii="Arial" w:eastAsia="Arial" w:hAnsi="Arial" w:cs="Arial"/>
          <w:color w:val="000000" w:themeColor="text1"/>
          <w:sz w:val="20"/>
          <w:szCs w:val="20"/>
        </w:rPr>
        <w:t xml:space="preserve"> tracking services to users via digital environments. These include mobile apps, online programs, web-based therapy modules, tele-mental health services, AI-powered chatbots, and biofeedback-based tools (</w:t>
      </w:r>
      <w:proofErr w:type="spellStart"/>
      <w:r w:rsidRPr="00B954DA">
        <w:rPr>
          <w:rFonts w:ascii="Arial" w:eastAsia="Arial" w:hAnsi="Arial" w:cs="Arial"/>
          <w:color w:val="000000" w:themeColor="text1"/>
          <w:sz w:val="20"/>
          <w:szCs w:val="20"/>
        </w:rPr>
        <w:t>Torous</w:t>
      </w:r>
      <w:proofErr w:type="spellEnd"/>
      <w:r w:rsidRPr="00B954DA">
        <w:rPr>
          <w:rFonts w:ascii="Arial" w:eastAsia="Arial" w:hAnsi="Arial" w:cs="Arial"/>
          <w:color w:val="000000" w:themeColor="text1"/>
          <w:sz w:val="20"/>
          <w:szCs w:val="20"/>
        </w:rPr>
        <w:t xml:space="preserve"> et al. 2025). Increasing smartphone penetration, increased internet availability, and more mobile literacy led to accelerated digital health growth at the hand of accelerated smartphone penetration, increasing demand for scalable mental health practices in digitally fluent populations (Abernethy et al. 2022; </w:t>
      </w:r>
      <w:proofErr w:type="spellStart"/>
      <w:r w:rsidRPr="00B954DA">
        <w:rPr>
          <w:rFonts w:ascii="Arial" w:eastAsia="Arial" w:hAnsi="Arial" w:cs="Arial"/>
          <w:color w:val="000000" w:themeColor="text1"/>
          <w:sz w:val="20"/>
          <w:szCs w:val="20"/>
        </w:rPr>
        <w:t>Torous</w:t>
      </w:r>
      <w:proofErr w:type="spellEnd"/>
      <w:r w:rsidRPr="00B954DA">
        <w:rPr>
          <w:rFonts w:ascii="Arial" w:eastAsia="Arial" w:hAnsi="Arial" w:cs="Arial"/>
          <w:color w:val="000000" w:themeColor="text1"/>
          <w:sz w:val="20"/>
          <w:szCs w:val="20"/>
        </w:rPr>
        <w:t xml:space="preserve"> et al. 2025).</w:t>
      </w:r>
    </w:p>
    <w:p w14:paraId="40896DDA" w14:textId="2D1A4E55"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Digital tools can be described as multiple intervention types. Cognitive-Behavioural Therapy (CBT) approaches are among the most highly valid applications, offering structured modules to reframe negative thoughts, reduce avoidance behaviours and improve emotional control (</w:t>
      </w:r>
      <w:proofErr w:type="spellStart"/>
      <w:r w:rsidRPr="00B954DA">
        <w:rPr>
          <w:rFonts w:ascii="Arial" w:eastAsia="Arial" w:hAnsi="Arial" w:cs="Arial"/>
          <w:color w:val="000000" w:themeColor="text1"/>
          <w:sz w:val="20"/>
          <w:szCs w:val="20"/>
        </w:rPr>
        <w:t>Gkintoni</w:t>
      </w:r>
      <w:proofErr w:type="spellEnd"/>
      <w:r w:rsidRPr="00B954DA">
        <w:rPr>
          <w:rFonts w:ascii="Arial" w:eastAsia="Arial" w:hAnsi="Arial" w:cs="Arial"/>
          <w:color w:val="000000" w:themeColor="text1"/>
          <w:sz w:val="20"/>
          <w:szCs w:val="20"/>
        </w:rPr>
        <w:t xml:space="preserve"> et al., 2025; </w:t>
      </w:r>
      <w:proofErr w:type="spellStart"/>
      <w:r w:rsidRPr="00B954DA">
        <w:rPr>
          <w:rFonts w:ascii="Arial" w:eastAsia="Arial" w:hAnsi="Arial" w:cs="Arial"/>
          <w:color w:val="000000" w:themeColor="text1"/>
          <w:sz w:val="20"/>
          <w:szCs w:val="20"/>
        </w:rPr>
        <w:t>Thew</w:t>
      </w:r>
      <w:proofErr w:type="spellEnd"/>
      <w:r w:rsidRPr="00B954DA">
        <w:rPr>
          <w:rFonts w:ascii="Arial" w:eastAsia="Arial" w:hAnsi="Arial" w:cs="Arial"/>
          <w:color w:val="000000" w:themeColor="text1"/>
          <w:sz w:val="20"/>
          <w:szCs w:val="20"/>
        </w:rPr>
        <w:t xml:space="preserve"> et al., 2022). A large number of </w:t>
      </w:r>
      <w:r w:rsidR="00CD1392" w:rsidRPr="00B954DA">
        <w:rPr>
          <w:rFonts w:ascii="Arial" w:eastAsia="Arial" w:hAnsi="Arial" w:cs="Arial"/>
          <w:color w:val="000000" w:themeColor="text1"/>
          <w:sz w:val="20"/>
          <w:szCs w:val="20"/>
        </w:rPr>
        <w:t>randomised</w:t>
      </w:r>
      <w:r w:rsidRPr="00B954DA">
        <w:rPr>
          <w:rFonts w:ascii="Arial" w:eastAsia="Arial" w:hAnsi="Arial" w:cs="Arial"/>
          <w:color w:val="000000" w:themeColor="text1"/>
          <w:sz w:val="20"/>
          <w:szCs w:val="20"/>
        </w:rPr>
        <w:t xml:space="preserve"> trials have shown significant reductions in depression and anxiety symptoms by web-based CBT from university students (</w:t>
      </w:r>
      <w:proofErr w:type="spellStart"/>
      <w:r w:rsidRPr="00B954DA">
        <w:rPr>
          <w:rFonts w:ascii="Arial" w:eastAsia="Arial" w:hAnsi="Arial" w:cs="Arial"/>
          <w:color w:val="000000" w:themeColor="text1"/>
          <w:sz w:val="20"/>
          <w:szCs w:val="20"/>
        </w:rPr>
        <w:t>Bantjeset</w:t>
      </w:r>
      <w:proofErr w:type="spellEnd"/>
      <w:r w:rsidRPr="00B954DA">
        <w:rPr>
          <w:rFonts w:ascii="Arial" w:eastAsia="Arial" w:hAnsi="Arial" w:cs="Arial"/>
          <w:color w:val="000000" w:themeColor="text1"/>
          <w:sz w:val="20"/>
          <w:szCs w:val="20"/>
        </w:rPr>
        <w:t xml:space="preserve"> al., 2025; Matsumoto et al., 2024; Watkins et al., 2025).</w:t>
      </w:r>
    </w:p>
    <w:p w14:paraId="73480C46"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Mindfulness and stress-management tools such as guided meditation apps and WHO’s “Doing What Matters in Times of Stress” (DWM) provide strategies for grounding, values-based action, emotional acceptance, and attention regulation (Epping-Jordan et al., 2016; Garcia-Vazquez et al., 2025; </w:t>
      </w:r>
      <w:proofErr w:type="spellStart"/>
      <w:r w:rsidRPr="00B954DA">
        <w:rPr>
          <w:rFonts w:ascii="Arial" w:eastAsia="Arial" w:hAnsi="Arial" w:cs="Arial"/>
          <w:color w:val="000000" w:themeColor="text1"/>
          <w:sz w:val="20"/>
          <w:szCs w:val="20"/>
        </w:rPr>
        <w:t>Harerimana</w:t>
      </w:r>
      <w:proofErr w:type="spellEnd"/>
      <w:r w:rsidRPr="00B954DA">
        <w:rPr>
          <w:rFonts w:ascii="Arial" w:eastAsia="Arial" w:hAnsi="Arial" w:cs="Arial"/>
          <w:color w:val="000000" w:themeColor="text1"/>
          <w:sz w:val="20"/>
          <w:szCs w:val="20"/>
        </w:rPr>
        <w:t xml:space="preserve"> et al., 2025; Prakash, 2021; </w:t>
      </w:r>
      <w:proofErr w:type="spellStart"/>
      <w:r w:rsidRPr="00B954DA">
        <w:rPr>
          <w:rFonts w:ascii="Arial" w:eastAsia="Arial" w:hAnsi="Arial" w:cs="Arial"/>
          <w:color w:val="000000" w:themeColor="text1"/>
          <w:sz w:val="20"/>
          <w:szCs w:val="20"/>
        </w:rPr>
        <w:t>Regmi</w:t>
      </w:r>
      <w:proofErr w:type="spellEnd"/>
      <w:r w:rsidRPr="00B954DA">
        <w:rPr>
          <w:rFonts w:ascii="Arial" w:eastAsia="Arial" w:hAnsi="Arial" w:cs="Arial"/>
          <w:color w:val="000000" w:themeColor="text1"/>
          <w:sz w:val="20"/>
          <w:szCs w:val="20"/>
        </w:rPr>
        <w:t xml:space="preserve"> &amp; Cohen, 2025).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found that digital mindfulness-based modules improved anxiety symptoms, distress and well-being indicators in a large cohort of 1,498 university students.</w:t>
      </w:r>
    </w:p>
    <w:p w14:paraId="2E0BCF98"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Biofeedback-based tools, such as app for heart rate variability or physiological stress factors allow students to monitor their stress responses in real-time (</w:t>
      </w:r>
      <w:proofErr w:type="spellStart"/>
      <w:r w:rsidRPr="00B954DA">
        <w:rPr>
          <w:rFonts w:ascii="Arial" w:eastAsia="Arial" w:hAnsi="Arial" w:cs="Arial"/>
          <w:color w:val="000000" w:themeColor="text1"/>
          <w:sz w:val="20"/>
          <w:szCs w:val="20"/>
        </w:rPr>
        <w:t>Weerdmeester</w:t>
      </w:r>
      <w:proofErr w:type="spellEnd"/>
      <w:r w:rsidRPr="00B954DA">
        <w:rPr>
          <w:rFonts w:ascii="Arial" w:eastAsia="Arial" w:hAnsi="Arial" w:cs="Arial"/>
          <w:color w:val="000000" w:themeColor="text1"/>
          <w:sz w:val="20"/>
          <w:szCs w:val="20"/>
        </w:rPr>
        <w:t xml:space="preserve"> et al., 2020).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demonstrated that biofeedback strategies enhanced emotional awareness and stress reduction among university students during a controlled trial.</w:t>
      </w:r>
    </w:p>
    <w:p w14:paraId="1627BEEE" w14:textId="43324838"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lastRenderedPageBreak/>
        <w:t>AI-driven systems and chatbots allow therapeutic micro-interventions, goal-setting prompts, and personalised check-ins (</w:t>
      </w:r>
      <w:proofErr w:type="spellStart"/>
      <w:r w:rsidRPr="00B954DA">
        <w:rPr>
          <w:rFonts w:ascii="Arial" w:eastAsia="Arial" w:hAnsi="Arial" w:cs="Arial"/>
          <w:color w:val="000000" w:themeColor="text1"/>
          <w:sz w:val="20"/>
          <w:szCs w:val="20"/>
        </w:rPr>
        <w:t>Jelassi</w:t>
      </w:r>
      <w:proofErr w:type="spellEnd"/>
      <w:r w:rsidRPr="00B954DA">
        <w:rPr>
          <w:rFonts w:ascii="Arial" w:eastAsia="Arial" w:hAnsi="Arial" w:cs="Arial"/>
          <w:color w:val="000000" w:themeColor="text1"/>
          <w:sz w:val="20"/>
          <w:szCs w:val="20"/>
        </w:rPr>
        <w:t xml:space="preserve"> et al., 2024; </w:t>
      </w:r>
      <w:proofErr w:type="spellStart"/>
      <w:r w:rsidRPr="00B954DA">
        <w:rPr>
          <w:rFonts w:ascii="Arial" w:eastAsia="Arial" w:hAnsi="Arial" w:cs="Arial"/>
          <w:color w:val="000000" w:themeColor="text1"/>
          <w:sz w:val="20"/>
          <w:szCs w:val="20"/>
        </w:rPr>
        <w:t>Spytska</w:t>
      </w:r>
      <w:proofErr w:type="spellEnd"/>
      <w:r w:rsidRPr="00B954DA">
        <w:rPr>
          <w:rFonts w:ascii="Arial" w:eastAsia="Arial" w:hAnsi="Arial" w:cs="Arial"/>
          <w:color w:val="000000" w:themeColor="text1"/>
          <w:sz w:val="20"/>
          <w:szCs w:val="20"/>
        </w:rPr>
        <w:t xml:space="preserve">, 2025). Dekker et al. (2020) observed that AI-based “life-crafting” interventions are helpful for students to make decisions that align with their own goals, develop self-regulation skills, and maintain continuity, a goal </w:t>
      </w:r>
      <w:r w:rsidR="00D67E4A" w:rsidRPr="00B954DA">
        <w:rPr>
          <w:rFonts w:ascii="Arial" w:eastAsia="Arial" w:hAnsi="Arial" w:cs="Arial"/>
          <w:color w:val="000000" w:themeColor="text1"/>
          <w:sz w:val="20"/>
          <w:szCs w:val="20"/>
        </w:rPr>
        <w:t xml:space="preserve">that </w:t>
      </w:r>
      <w:r w:rsidRPr="00B954DA">
        <w:rPr>
          <w:rFonts w:ascii="Arial" w:eastAsia="Arial" w:hAnsi="Arial" w:cs="Arial"/>
          <w:color w:val="000000" w:themeColor="text1"/>
          <w:sz w:val="20"/>
          <w:szCs w:val="20"/>
        </w:rPr>
        <w:t>the static digital modules often lack.</w:t>
      </w:r>
    </w:p>
    <w:p w14:paraId="0DD47998" w14:textId="2F23AD29"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Web-based peer-support devices and digital literacy tools offer support to mental health awareness, help-seeking behaviour and early risk identification (Rashid et al., 2025). Digital mental health interventions are generally effective</w:t>
      </w:r>
      <w:r w:rsidR="00CD1392"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although effect sizes for well-being improvement vary in intensity, duration, and tool type (Ferrari et al., 2022; Rashid et al., 2025).</w:t>
      </w:r>
    </w:p>
    <w:p w14:paraId="2B497A7C"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2.3 Relevance of Digital Tools in Academic Contexts</w:t>
      </w:r>
    </w:p>
    <w:p w14:paraId="3CECBEB7" w14:textId="7B118714"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Digital technology is tied to faculty, not just academic communities, and the acceptance of digital technologies </w:t>
      </w:r>
      <w:r w:rsidR="00CD1392" w:rsidRPr="00B954DA">
        <w:rPr>
          <w:rFonts w:ascii="Arial" w:eastAsia="Arial" w:hAnsi="Arial" w:cs="Arial"/>
          <w:color w:val="000000" w:themeColor="text1"/>
          <w:sz w:val="20"/>
          <w:szCs w:val="20"/>
        </w:rPr>
        <w:t>in</w:t>
      </w:r>
      <w:r w:rsidRPr="00B954DA">
        <w:rPr>
          <w:rFonts w:ascii="Arial" w:eastAsia="Arial" w:hAnsi="Arial" w:cs="Arial"/>
          <w:color w:val="000000" w:themeColor="text1"/>
          <w:sz w:val="20"/>
          <w:szCs w:val="20"/>
        </w:rPr>
        <w:t xml:space="preserve"> university systems</w:t>
      </w:r>
      <w:r w:rsidR="00CD1392"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learning management platforms</w:t>
      </w:r>
      <w:r w:rsidR="00CD1392"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online lectures, </w:t>
      </w:r>
      <w:r w:rsidR="00CD1392" w:rsidRPr="00B954DA">
        <w:rPr>
          <w:rFonts w:ascii="Arial" w:eastAsia="Arial" w:hAnsi="Arial" w:cs="Arial"/>
          <w:color w:val="000000" w:themeColor="text1"/>
          <w:sz w:val="20"/>
          <w:szCs w:val="20"/>
        </w:rPr>
        <w:t xml:space="preserve">and </w:t>
      </w:r>
      <w:r w:rsidRPr="00B954DA">
        <w:rPr>
          <w:rFonts w:ascii="Arial" w:eastAsia="Arial" w:hAnsi="Arial" w:cs="Arial"/>
          <w:color w:val="000000" w:themeColor="text1"/>
          <w:sz w:val="20"/>
          <w:szCs w:val="20"/>
        </w:rPr>
        <w:t>collaboration tools. This creates an accidental extension of student learning digital habits. University students are generally technologically competent, reach at most universal access to smartphones, and prefer flexible, private, and non-cultural counselling services (</w:t>
      </w:r>
      <w:proofErr w:type="spellStart"/>
      <w:r w:rsidRPr="00B954DA">
        <w:rPr>
          <w:rFonts w:ascii="Arial" w:eastAsia="Arial" w:hAnsi="Arial" w:cs="Arial"/>
          <w:color w:val="000000" w:themeColor="text1"/>
          <w:sz w:val="20"/>
          <w:szCs w:val="20"/>
        </w:rPr>
        <w:t>Neagu</w:t>
      </w:r>
      <w:proofErr w:type="spellEnd"/>
      <w:r w:rsidRPr="00B954DA">
        <w:rPr>
          <w:rFonts w:ascii="Arial" w:eastAsia="Arial" w:hAnsi="Arial" w:cs="Arial"/>
          <w:color w:val="000000" w:themeColor="text1"/>
          <w:sz w:val="20"/>
          <w:szCs w:val="20"/>
        </w:rPr>
        <w:t xml:space="preserve"> &amp; </w:t>
      </w:r>
      <w:proofErr w:type="spellStart"/>
      <w:r w:rsidRPr="00B954DA">
        <w:rPr>
          <w:rFonts w:ascii="Arial" w:eastAsia="Arial" w:hAnsi="Arial" w:cs="Arial"/>
          <w:color w:val="000000" w:themeColor="text1"/>
          <w:sz w:val="20"/>
          <w:szCs w:val="20"/>
        </w:rPr>
        <w:t>Vieriu</w:t>
      </w:r>
      <w:proofErr w:type="spellEnd"/>
      <w:r w:rsidRPr="00B954DA">
        <w:rPr>
          <w:rFonts w:ascii="Arial" w:eastAsia="Arial" w:hAnsi="Arial" w:cs="Arial"/>
          <w:color w:val="000000" w:themeColor="text1"/>
          <w:sz w:val="20"/>
          <w:szCs w:val="20"/>
        </w:rPr>
        <w:t>, 2025; Madrid-</w:t>
      </w:r>
      <w:proofErr w:type="spellStart"/>
      <w:r w:rsidRPr="00B954DA">
        <w:rPr>
          <w:rFonts w:ascii="Arial" w:eastAsia="Arial" w:hAnsi="Arial" w:cs="Arial"/>
          <w:color w:val="000000" w:themeColor="text1"/>
          <w:sz w:val="20"/>
          <w:szCs w:val="20"/>
        </w:rPr>
        <w:t>Cagigal</w:t>
      </w:r>
      <w:proofErr w:type="spellEnd"/>
      <w:r w:rsidRPr="00B954DA">
        <w:rPr>
          <w:rFonts w:ascii="Arial" w:eastAsia="Arial" w:hAnsi="Arial" w:cs="Arial"/>
          <w:color w:val="000000" w:themeColor="text1"/>
          <w:sz w:val="20"/>
          <w:szCs w:val="20"/>
        </w:rPr>
        <w:t xml:space="preserve"> et al., 2025; </w:t>
      </w:r>
      <w:proofErr w:type="spellStart"/>
      <w:r w:rsidRPr="00B954DA">
        <w:rPr>
          <w:rFonts w:ascii="Arial" w:eastAsia="Arial" w:hAnsi="Arial" w:cs="Arial"/>
          <w:color w:val="000000" w:themeColor="text1"/>
          <w:sz w:val="20"/>
          <w:szCs w:val="20"/>
        </w:rPr>
        <w:t>Uzorka</w:t>
      </w:r>
      <w:proofErr w:type="spellEnd"/>
      <w:r w:rsidRPr="00B954DA">
        <w:rPr>
          <w:rFonts w:ascii="Arial" w:eastAsia="Arial" w:hAnsi="Arial" w:cs="Arial"/>
          <w:color w:val="000000" w:themeColor="text1"/>
          <w:sz w:val="20"/>
          <w:szCs w:val="20"/>
        </w:rPr>
        <w:t xml:space="preserve"> &amp; </w:t>
      </w:r>
      <w:proofErr w:type="spellStart"/>
      <w:r w:rsidRPr="00B954DA">
        <w:rPr>
          <w:rFonts w:ascii="Arial" w:eastAsia="Arial" w:hAnsi="Arial" w:cs="Arial"/>
          <w:color w:val="000000" w:themeColor="text1"/>
          <w:sz w:val="20"/>
          <w:szCs w:val="20"/>
        </w:rPr>
        <w:t>Odebiyi</w:t>
      </w:r>
      <w:proofErr w:type="spellEnd"/>
      <w:r w:rsidRPr="00B954DA">
        <w:rPr>
          <w:rFonts w:ascii="Arial" w:eastAsia="Arial" w:hAnsi="Arial" w:cs="Arial"/>
          <w:color w:val="000000" w:themeColor="text1"/>
          <w:sz w:val="20"/>
          <w:szCs w:val="20"/>
        </w:rPr>
        <w:t xml:space="preserve">, 2025; </w:t>
      </w:r>
      <w:proofErr w:type="spellStart"/>
      <w:r w:rsidRPr="00B954DA">
        <w:rPr>
          <w:rFonts w:ascii="Arial" w:eastAsia="Arial" w:hAnsi="Arial" w:cs="Arial"/>
          <w:color w:val="000000" w:themeColor="text1"/>
          <w:sz w:val="20"/>
          <w:szCs w:val="20"/>
        </w:rPr>
        <w:t>Uzorka</w:t>
      </w:r>
      <w:proofErr w:type="spellEnd"/>
      <w:r w:rsidRPr="00B954DA">
        <w:rPr>
          <w:rFonts w:ascii="Arial" w:eastAsia="Arial" w:hAnsi="Arial" w:cs="Arial"/>
          <w:color w:val="000000" w:themeColor="text1"/>
          <w:sz w:val="20"/>
          <w:szCs w:val="20"/>
        </w:rPr>
        <w:t xml:space="preserve"> &amp; </w:t>
      </w:r>
      <w:proofErr w:type="spellStart"/>
      <w:r w:rsidRPr="00B954DA">
        <w:rPr>
          <w:rFonts w:ascii="Arial" w:eastAsia="Arial" w:hAnsi="Arial" w:cs="Arial"/>
          <w:color w:val="000000" w:themeColor="text1"/>
          <w:sz w:val="20"/>
          <w:szCs w:val="20"/>
        </w:rPr>
        <w:t>Odebiyi</w:t>
      </w:r>
      <w:proofErr w:type="spellEnd"/>
      <w:r w:rsidRPr="00B954DA">
        <w:rPr>
          <w:rFonts w:ascii="Arial" w:eastAsia="Arial" w:hAnsi="Arial" w:cs="Arial"/>
          <w:color w:val="000000" w:themeColor="text1"/>
          <w:sz w:val="20"/>
          <w:szCs w:val="20"/>
        </w:rPr>
        <w:t>, 2025). Hence, digital tools can easily overcome many structural and psychological barriers to seeking assistance for students (Song et al., 2024).</w:t>
      </w:r>
    </w:p>
    <w:p w14:paraId="615D39E3" w14:textId="6A439EA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Digital intervention provides scale, cost-effectiveness and continuous availability that are crucial to higher education settings where demand for counselling services exceeds supply (Li et al., 2025; </w:t>
      </w:r>
      <w:proofErr w:type="spellStart"/>
      <w:r w:rsidRPr="00B954DA">
        <w:rPr>
          <w:rFonts w:ascii="Arial" w:eastAsia="Arial" w:hAnsi="Arial" w:cs="Arial"/>
          <w:color w:val="000000" w:themeColor="text1"/>
          <w:sz w:val="20"/>
          <w:szCs w:val="20"/>
        </w:rPr>
        <w:t>Topooco</w:t>
      </w:r>
      <w:proofErr w:type="spellEnd"/>
      <w:r w:rsidRPr="00B954DA">
        <w:rPr>
          <w:rFonts w:ascii="Arial" w:eastAsia="Arial" w:hAnsi="Arial" w:cs="Arial"/>
          <w:color w:val="000000" w:themeColor="text1"/>
          <w:sz w:val="20"/>
          <w:szCs w:val="20"/>
        </w:rPr>
        <w:t xml:space="preserve"> et al., 2022). Students are often under pressure during early periods of school, such as exams, deadlines, transitions, </w:t>
      </w:r>
      <w:r w:rsidR="00661E52" w:rsidRPr="00B954DA">
        <w:rPr>
          <w:rFonts w:ascii="Arial" w:eastAsia="Arial" w:hAnsi="Arial" w:cs="Arial"/>
          <w:color w:val="000000" w:themeColor="text1"/>
          <w:sz w:val="20"/>
          <w:szCs w:val="20"/>
        </w:rPr>
        <w:t xml:space="preserve">and </w:t>
      </w:r>
      <w:r w:rsidRPr="00B954DA">
        <w:rPr>
          <w:rFonts w:ascii="Arial" w:eastAsia="Arial" w:hAnsi="Arial" w:cs="Arial"/>
          <w:color w:val="000000" w:themeColor="text1"/>
          <w:sz w:val="20"/>
          <w:szCs w:val="20"/>
        </w:rPr>
        <w:t>during peak academic hours. Digital tools can provide real-time information support; these include AI-chatbots, mindfulness practice, or crisis response modules (Dekker et al., 2020). Their self-guided nature allows students to work on their own accord, particularly helpful for those who maintain heavy workloads.</w:t>
      </w:r>
    </w:p>
    <w:p w14:paraId="50829746" w14:textId="2345F7C5"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Evidence suggests that the tools can be used to improve psychological </w:t>
      </w:r>
      <w:r w:rsidR="00661E52" w:rsidRPr="00B954DA">
        <w:rPr>
          <w:rFonts w:ascii="Arial" w:eastAsia="Arial" w:hAnsi="Arial" w:cs="Arial"/>
          <w:color w:val="000000" w:themeColor="text1"/>
          <w:sz w:val="20"/>
          <w:szCs w:val="20"/>
        </w:rPr>
        <w:t>well-being</w:t>
      </w:r>
      <w:r w:rsidRPr="00B954DA">
        <w:rPr>
          <w:rFonts w:ascii="Arial" w:eastAsia="Arial" w:hAnsi="Arial" w:cs="Arial"/>
          <w:color w:val="000000" w:themeColor="text1"/>
          <w:sz w:val="20"/>
          <w:szCs w:val="20"/>
        </w:rPr>
        <w:t xml:space="preserve">, as well as for academic functioning. Biofeedback apps improve concentration and emotional regulation (Mercer &amp; De </w:t>
      </w:r>
      <w:proofErr w:type="spellStart"/>
      <w:r w:rsidRPr="00B954DA">
        <w:rPr>
          <w:rFonts w:ascii="Arial" w:eastAsia="Arial" w:hAnsi="Arial" w:cs="Arial"/>
          <w:color w:val="000000" w:themeColor="text1"/>
          <w:sz w:val="20"/>
          <w:szCs w:val="20"/>
        </w:rPr>
        <w:t>Franches</w:t>
      </w:r>
      <w:proofErr w:type="spellEnd"/>
      <w:r w:rsidRPr="00B954DA">
        <w:rPr>
          <w:rFonts w:ascii="Arial" w:eastAsia="Arial" w:hAnsi="Arial" w:cs="Arial"/>
          <w:color w:val="000000" w:themeColor="text1"/>
          <w:sz w:val="20"/>
          <w:szCs w:val="20"/>
        </w:rPr>
        <w:t xml:space="preserve">, 2025;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Ter </w:t>
      </w:r>
      <w:proofErr w:type="spellStart"/>
      <w:r w:rsidRPr="00B954DA">
        <w:rPr>
          <w:rFonts w:ascii="Arial" w:eastAsia="Arial" w:hAnsi="Arial" w:cs="Arial"/>
          <w:color w:val="000000" w:themeColor="text1"/>
          <w:sz w:val="20"/>
          <w:szCs w:val="20"/>
        </w:rPr>
        <w:t>Harmsel</w:t>
      </w:r>
      <w:proofErr w:type="spellEnd"/>
      <w:r w:rsidRPr="00B954DA">
        <w:rPr>
          <w:rFonts w:ascii="Arial" w:eastAsia="Arial" w:hAnsi="Arial" w:cs="Arial"/>
          <w:color w:val="000000" w:themeColor="text1"/>
          <w:sz w:val="20"/>
          <w:szCs w:val="20"/>
        </w:rPr>
        <w:t xml:space="preserve"> et al., 2020)</w:t>
      </w:r>
      <w:r w:rsidR="00661E52"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CBT-based applications reduce procrastination processes</w:t>
      </w:r>
      <w:r w:rsidR="00661E52"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and life-crafting tools contribute to purpose, goal clarity, and engagement (Dekker et al., 2020). These mechanisms directly help to ensure the performance of the academic discipline, improving cognition, motivation, and resilience.</w:t>
      </w:r>
    </w:p>
    <w:p w14:paraId="3CF24227"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Digital platforms can be embedded within educational systems in the institution ‘s mental health ecosystems — in learning portals, linked to academic advising systems, or integrated into orientation programs. The integration of systems with mental health and academic support is integrated with the gap between mental health and student access and reduces dropout risk (Ferrari et al. 2022; Rashid et al. 2025).</w:t>
      </w:r>
    </w:p>
    <w:p w14:paraId="34E0B752" w14:textId="042FB43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Digital mental health tools are a useful complement </w:t>
      </w:r>
      <w:r w:rsidR="00082694" w:rsidRPr="00B954DA">
        <w:rPr>
          <w:rFonts w:ascii="Arial" w:eastAsia="Arial" w:hAnsi="Arial" w:cs="Arial"/>
          <w:color w:val="000000" w:themeColor="text1"/>
          <w:sz w:val="20"/>
          <w:szCs w:val="20"/>
        </w:rPr>
        <w:t>to</w:t>
      </w:r>
      <w:r w:rsidRPr="00B954DA">
        <w:rPr>
          <w:rFonts w:ascii="Arial" w:eastAsia="Arial" w:hAnsi="Arial" w:cs="Arial"/>
          <w:color w:val="000000" w:themeColor="text1"/>
          <w:sz w:val="20"/>
          <w:szCs w:val="20"/>
        </w:rPr>
        <w:t xml:space="preserve"> modern university wellbeing strategies, both preventative and therapeutic, and represent the central core of modern research and health policies.</w:t>
      </w:r>
    </w:p>
    <w:p w14:paraId="2BE5A6DF" w14:textId="77777777" w:rsidR="000E1A6B" w:rsidRPr="00B954DA" w:rsidRDefault="00175F13">
      <w:pPr>
        <w:spacing w:line="276" w:lineRule="auto"/>
        <w:rPr>
          <w:rFonts w:ascii="Arial" w:eastAsia="Arial" w:hAnsi="Arial" w:cs="Arial"/>
          <w:b/>
          <w:bCs/>
          <w:color w:val="000000" w:themeColor="text1"/>
          <w:sz w:val="20"/>
          <w:szCs w:val="20"/>
        </w:rPr>
      </w:pPr>
      <w:r w:rsidRPr="00B954DA">
        <w:rPr>
          <w:rFonts w:ascii="Arial" w:eastAsia="Arial" w:hAnsi="Arial" w:cs="Arial"/>
          <w:b/>
          <w:bCs/>
          <w:color w:val="000000" w:themeColor="text1"/>
          <w:sz w:val="20"/>
          <w:szCs w:val="20"/>
        </w:rPr>
        <w:t>3. METHODOLOGY</w:t>
      </w:r>
    </w:p>
    <w:p w14:paraId="243F89F0"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3.1 Research Approach</w:t>
      </w:r>
    </w:p>
    <w:p w14:paraId="349B7642"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This study used a systematic literature review (SLR) methodology. A SLR was chosen for its impartial, replicable, and comprehensive evaluation of existing research, which minimises bias (Mishra &amp; Mishra, 2023). Following PRISMA 2020 guidelines, the review was based on pre-defined eligibility criteria and structured search practices (Page et al., 2021).</w:t>
      </w:r>
    </w:p>
    <w:p w14:paraId="4B14930C" w14:textId="77777777" w:rsidR="000E1A6B" w:rsidRPr="00B954DA" w:rsidRDefault="00175F13">
      <w:pPr>
        <w:numPr>
          <w:ilvl w:val="1"/>
          <w:numId w:val="1"/>
        </w:numPr>
        <w:pBdr>
          <w:top w:val="nil"/>
          <w:left w:val="nil"/>
          <w:bottom w:val="nil"/>
          <w:right w:val="nil"/>
          <w:between w:val="nil"/>
        </w:pBdr>
        <w:spacing w:line="276" w:lineRule="auto"/>
        <w:rPr>
          <w:rFonts w:ascii="Arial" w:eastAsia="Arial" w:hAnsi="Arial" w:cs="Arial"/>
          <w:b/>
          <w:bCs/>
          <w:color w:val="000000" w:themeColor="text1"/>
        </w:rPr>
      </w:pPr>
      <w:r w:rsidRPr="00B954DA">
        <w:rPr>
          <w:rFonts w:ascii="Arial" w:eastAsia="Arial" w:hAnsi="Arial" w:cs="Arial"/>
          <w:b/>
          <w:bCs/>
          <w:color w:val="000000" w:themeColor="text1"/>
        </w:rPr>
        <w:t>Inclusion and Exclusion Criteria</w:t>
      </w:r>
    </w:p>
    <w:p w14:paraId="6F5A21BA"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lastRenderedPageBreak/>
        <w:t>Eligible studies were selected based on the following criteria:</w:t>
      </w:r>
    </w:p>
    <w:p w14:paraId="6FCCCBC3"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w:t>
      </w:r>
      <w:proofErr w:type="spellStart"/>
      <w:r w:rsidRPr="00B954DA">
        <w:rPr>
          <w:rFonts w:ascii="Arial" w:eastAsia="Arial" w:hAnsi="Arial" w:cs="Arial"/>
          <w:color w:val="000000" w:themeColor="text1"/>
          <w:sz w:val="20"/>
          <w:szCs w:val="20"/>
        </w:rPr>
        <w:t>i</w:t>
      </w:r>
      <w:proofErr w:type="spellEnd"/>
      <w:r w:rsidRPr="00B954DA">
        <w:rPr>
          <w:rFonts w:ascii="Arial" w:eastAsia="Arial" w:hAnsi="Arial" w:cs="Arial"/>
          <w:color w:val="000000" w:themeColor="text1"/>
          <w:sz w:val="20"/>
          <w:szCs w:val="20"/>
        </w:rPr>
        <w:t>) Publication period: 2010 - 2025 to capture contemporary digital interventions.</w:t>
      </w:r>
    </w:p>
    <w:p w14:paraId="1EB1E6F6"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(ii) Intervention type: Any digital mental health tool, including mobile apps, web-based programs, digital CBT, AI-chatbots, online mindfulness platforms, and biofeedback tools.</w:t>
      </w:r>
    </w:p>
    <w:p w14:paraId="29F62D3B"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(iii) Outcomes: Studies reporting mental health outcomes (stress, anxiety, depression, psychological well-being), academic performance outcomes (GPA, engagement, cognitive functioning), or both.</w:t>
      </w:r>
    </w:p>
    <w:p w14:paraId="6431FD4F"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Studies were excluded if they:</w:t>
      </w:r>
    </w:p>
    <w:p w14:paraId="6CCFA779"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w:t>
      </w:r>
      <w:proofErr w:type="spellStart"/>
      <w:r w:rsidRPr="00B954DA">
        <w:rPr>
          <w:rFonts w:ascii="Arial" w:eastAsia="Arial" w:hAnsi="Arial" w:cs="Arial"/>
          <w:color w:val="000000" w:themeColor="text1"/>
          <w:sz w:val="20"/>
          <w:szCs w:val="20"/>
        </w:rPr>
        <w:t>i</w:t>
      </w:r>
      <w:proofErr w:type="spellEnd"/>
      <w:r w:rsidRPr="00B954DA">
        <w:rPr>
          <w:rFonts w:ascii="Arial" w:eastAsia="Arial" w:hAnsi="Arial" w:cs="Arial"/>
          <w:color w:val="000000" w:themeColor="text1"/>
          <w:sz w:val="20"/>
          <w:szCs w:val="20"/>
        </w:rPr>
        <w:t>) Focused on clinical psychiatric populations unrelated to education,</w:t>
      </w:r>
    </w:p>
    <w:p w14:paraId="7558BCBF"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(ii) Addressed non-digital interventions,</w:t>
      </w:r>
    </w:p>
    <w:p w14:paraId="684DEBE3"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(iii) Did not report empirical findings (e.g., editorials, viewpoints), or</w:t>
      </w:r>
    </w:p>
    <w:p w14:paraId="105F5117"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(iv) Targeted primary/secondary school populations or non-students.</w:t>
      </w:r>
    </w:p>
    <w:p w14:paraId="33B688DE"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3.3 Search Strategy</w:t>
      </w:r>
    </w:p>
    <w:p w14:paraId="7CAD783F" w14:textId="42270165"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Multiple database sources were used</w:t>
      </w:r>
      <w:r w:rsidR="00B91B16"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including Semantic Scholar, PubMed, Scopus, Web of Science, PsycINFO, Google Scholar, and JMIR. Boolean operators were used to refine the search. The core Boolean string included: “digital mental health” OR “e-mental health” OR “mobile mental health app” OR “online CBT” OR “digital well-being”. AND (“university student” OR “college student*” OR “higher education”)</w:t>
      </w:r>
      <w:r w:rsidRPr="00B954DA">
        <w:rPr>
          <w:rFonts w:ascii="Arial" w:eastAsia="Arial" w:hAnsi="Arial" w:cs="Arial"/>
          <w:color w:val="000000" w:themeColor="text1"/>
          <w:sz w:val="20"/>
          <w:szCs w:val="20"/>
        </w:rPr>
        <w:br/>
        <w:t>AND (“academic performance” OR “academic achievement” OR “student well-being” OR “psychological well-being”)</w:t>
      </w:r>
    </w:p>
    <w:p w14:paraId="25EB13A8"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Other keywords included are AI chatbot, mindfulness app, stress management app, biofeedback digital tool, mobile therapy, and digital intervention for students.</w:t>
      </w:r>
    </w:p>
    <w:p w14:paraId="465DD6CB"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3.4 Data Extraction and Synthesis</w:t>
      </w:r>
    </w:p>
    <w:p w14:paraId="1905FD85" w14:textId="05D4F61C"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A structured template with study identifiers, population characteristics, intervention type, theoretical basis, duration, outcome measures, and key findings was </w:t>
      </w:r>
      <w:r w:rsidR="00B91B16" w:rsidRPr="00B954DA">
        <w:rPr>
          <w:rFonts w:ascii="Arial" w:eastAsia="Arial" w:hAnsi="Arial" w:cs="Arial"/>
          <w:color w:val="000000" w:themeColor="text1"/>
          <w:sz w:val="20"/>
          <w:szCs w:val="20"/>
        </w:rPr>
        <w:t>used</w:t>
      </w:r>
      <w:r w:rsidRPr="00B954DA">
        <w:rPr>
          <w:rFonts w:ascii="Arial" w:eastAsia="Arial" w:hAnsi="Arial" w:cs="Arial"/>
          <w:color w:val="000000" w:themeColor="text1"/>
          <w:sz w:val="20"/>
          <w:szCs w:val="20"/>
        </w:rPr>
        <w:t xml:space="preserve"> to gather data. The reliability of </w:t>
      </w:r>
      <w:r w:rsidR="00B91B16" w:rsidRPr="00B954DA">
        <w:rPr>
          <w:rFonts w:ascii="Arial" w:eastAsia="Arial" w:hAnsi="Arial" w:cs="Arial"/>
          <w:color w:val="000000" w:themeColor="text1"/>
          <w:sz w:val="20"/>
          <w:szCs w:val="20"/>
        </w:rPr>
        <w:t xml:space="preserve">the </w:t>
      </w:r>
      <w:r w:rsidRPr="00B954DA">
        <w:rPr>
          <w:rFonts w:ascii="Arial" w:eastAsia="Arial" w:hAnsi="Arial" w:cs="Arial"/>
          <w:color w:val="000000" w:themeColor="text1"/>
          <w:sz w:val="20"/>
          <w:szCs w:val="20"/>
        </w:rPr>
        <w:t>extraction was verified by twice checking the included studies.</w:t>
      </w:r>
    </w:p>
    <w:p w14:paraId="15DB8DA4" w14:textId="77783FDF" w:rsidR="000E1A6B" w:rsidRPr="00B954DA" w:rsidRDefault="00175F13">
      <w:pPr>
        <w:pBdr>
          <w:top w:val="nil"/>
          <w:left w:val="nil"/>
          <w:bottom w:val="nil"/>
          <w:right w:val="nil"/>
          <w:between w:val="nil"/>
        </w:pBdr>
        <w:spacing w:before="240" w:after="0"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In total</w:t>
      </w:r>
      <w:r w:rsidR="00B91B16"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433 articles were retrieved from the databases. After </w:t>
      </w:r>
      <w:r w:rsidR="009946DE" w:rsidRPr="00B954DA">
        <w:rPr>
          <w:rFonts w:ascii="Arial" w:eastAsia="Arial" w:hAnsi="Arial" w:cs="Arial"/>
          <w:color w:val="000000" w:themeColor="text1"/>
          <w:sz w:val="20"/>
          <w:szCs w:val="20"/>
        </w:rPr>
        <w:t>screening</w:t>
      </w:r>
      <w:r w:rsidRPr="00B954DA">
        <w:rPr>
          <w:rFonts w:ascii="Arial" w:eastAsia="Arial" w:hAnsi="Arial" w:cs="Arial"/>
          <w:color w:val="000000" w:themeColor="text1"/>
          <w:sz w:val="20"/>
          <w:szCs w:val="20"/>
        </w:rPr>
        <w:t xml:space="preserve"> the articles, 310 articles were excluded from inclusion due to the absence or unsatisfactory inclusion. The remaining articles (123) were reviewed in full text</w:t>
      </w:r>
      <w:r w:rsidR="00674F9F" w:rsidRPr="00B954DA">
        <w:rPr>
          <w:rFonts w:ascii="Arial" w:eastAsia="Arial" w:hAnsi="Arial" w:cs="Arial"/>
          <w:color w:val="000000" w:themeColor="text1"/>
          <w:sz w:val="20"/>
          <w:szCs w:val="20"/>
        </w:rPr>
        <w:t xml:space="preserve"> for eligibility</w:t>
      </w:r>
      <w:r w:rsidRPr="00B954DA">
        <w:rPr>
          <w:rFonts w:ascii="Arial" w:eastAsia="Arial" w:hAnsi="Arial" w:cs="Arial"/>
          <w:color w:val="000000" w:themeColor="text1"/>
          <w:sz w:val="20"/>
          <w:szCs w:val="20"/>
        </w:rPr>
        <w:t xml:space="preserve">. A total of 69 studies were included in the final </w:t>
      </w:r>
      <w:r w:rsidR="00932162" w:rsidRPr="00B954DA">
        <w:rPr>
          <w:rFonts w:ascii="Arial" w:eastAsia="Arial" w:hAnsi="Arial" w:cs="Arial"/>
          <w:color w:val="000000" w:themeColor="text1"/>
          <w:sz w:val="20"/>
          <w:szCs w:val="20"/>
        </w:rPr>
        <w:t>synthesis</w:t>
      </w:r>
      <w:r w:rsidRPr="00B954DA">
        <w:rPr>
          <w:rFonts w:ascii="Arial" w:eastAsia="Arial" w:hAnsi="Arial" w:cs="Arial"/>
          <w:color w:val="000000" w:themeColor="text1"/>
          <w:sz w:val="20"/>
          <w:szCs w:val="20"/>
        </w:rPr>
        <w:t>.</w:t>
      </w:r>
    </w:p>
    <w:p w14:paraId="22D59A81" w14:textId="5CD3BBF0" w:rsidR="000E1A6B" w:rsidRPr="00B954DA" w:rsidRDefault="00175F13">
      <w:pPr>
        <w:pBdr>
          <w:top w:val="nil"/>
          <w:left w:val="nil"/>
          <w:bottom w:val="nil"/>
          <w:right w:val="nil"/>
          <w:between w:val="nil"/>
        </w:pBdr>
        <w:spacing w:before="240" w:after="0"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A PRISMA flow diagram is given below to show </w:t>
      </w:r>
      <w:r w:rsidR="00B91B16" w:rsidRPr="00B954DA">
        <w:rPr>
          <w:rFonts w:ascii="Arial" w:eastAsia="Arial" w:hAnsi="Arial" w:cs="Arial"/>
          <w:color w:val="000000" w:themeColor="text1"/>
          <w:sz w:val="20"/>
          <w:szCs w:val="20"/>
        </w:rPr>
        <w:t xml:space="preserve">the </w:t>
      </w:r>
      <w:r w:rsidRPr="00B954DA">
        <w:rPr>
          <w:rFonts w:ascii="Arial" w:eastAsia="Arial" w:hAnsi="Arial" w:cs="Arial"/>
          <w:color w:val="000000" w:themeColor="text1"/>
          <w:sz w:val="20"/>
          <w:szCs w:val="20"/>
        </w:rPr>
        <w:t xml:space="preserve">screening process. </w:t>
      </w:r>
    </w:p>
    <w:p w14:paraId="77951D1A" w14:textId="77777777" w:rsidR="000E1A6B" w:rsidRPr="00B954DA" w:rsidRDefault="00175F13">
      <w:pPr>
        <w:pBdr>
          <w:top w:val="nil"/>
          <w:left w:val="nil"/>
          <w:bottom w:val="nil"/>
          <w:right w:val="nil"/>
          <w:between w:val="nil"/>
        </w:pBdr>
        <w:spacing w:before="240" w:after="0" w:line="276" w:lineRule="auto"/>
        <w:jc w:val="both"/>
        <w:rPr>
          <w:rFonts w:ascii="Arial" w:eastAsia="Arial" w:hAnsi="Arial" w:cs="Arial"/>
          <w:color w:val="000000" w:themeColor="text1"/>
          <w:sz w:val="20"/>
          <w:szCs w:val="20"/>
        </w:rPr>
      </w:pPr>
      <w:r w:rsidRPr="00B954DA">
        <w:rPr>
          <w:rFonts w:ascii="Arial" w:eastAsia="Arial" w:hAnsi="Arial" w:cs="Arial"/>
          <w:noProof/>
          <w:color w:val="000000" w:themeColor="text1"/>
          <w:sz w:val="20"/>
          <w:szCs w:val="20"/>
          <w:lang w:val="en-US"/>
        </w:rPr>
        <w:lastRenderedPageBreak/>
        <mc:AlternateContent>
          <mc:Choice Requires="wpg">
            <w:drawing>
              <wp:inline distT="0" distB="0" distL="0" distR="0" wp14:anchorId="226F12A9" wp14:editId="1A2BA51B">
                <wp:extent cx="5486400" cy="3200400"/>
                <wp:effectExtent l="0" t="0" r="0" b="0"/>
                <wp:docPr id="1927354567" name="Group 1927354567"/>
                <wp:cNvGraphicFramePr/>
                <a:graphic xmlns:a="http://schemas.openxmlformats.org/drawingml/2006/main">
                  <a:graphicData uri="http://schemas.microsoft.com/office/word/2010/wordprocessingGroup">
                    <wpg:wgp>
                      <wpg:cNvGrpSpPr/>
                      <wpg:grpSpPr>
                        <a:xfrm>
                          <a:off x="0" y="0"/>
                          <a:ext cx="5486400" cy="3200400"/>
                          <a:chOff x="0" y="0"/>
                          <a:chExt cx="5486400" cy="3200425"/>
                        </a:xfrm>
                      </wpg:grpSpPr>
                      <wpg:grpSp>
                        <wpg:cNvPr id="1098366705" name="Group 1098366705"/>
                        <wpg:cNvGrpSpPr/>
                        <wpg:grpSpPr>
                          <a:xfrm>
                            <a:off x="0" y="0"/>
                            <a:ext cx="5486400" cy="3200400"/>
                            <a:chOff x="0" y="0"/>
                            <a:chExt cx="5486400" cy="3200400"/>
                          </a:xfrm>
                        </wpg:grpSpPr>
                        <wps:wsp>
                          <wps:cNvPr id="796887770" name="Rectangle 796887770"/>
                          <wps:cNvSpPr/>
                          <wps:spPr>
                            <a:xfrm>
                              <a:off x="0" y="0"/>
                              <a:ext cx="5486400" cy="3200400"/>
                            </a:xfrm>
                            <a:prstGeom prst="rect">
                              <a:avLst/>
                            </a:prstGeom>
                            <a:noFill/>
                            <a:ln>
                              <a:noFill/>
                            </a:ln>
                          </wps:spPr>
                          <wps:txbx>
                            <w:txbxContent>
                              <w:p w14:paraId="387EDEB4"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1228086814" name="Arrow: Bent-Up 1228086814"/>
                          <wps:cNvSpPr/>
                          <wps:spPr>
                            <a:xfrm rot="5400000">
                              <a:off x="726651" y="699515"/>
                              <a:ext cx="614326" cy="699389"/>
                            </a:xfrm>
                            <a:prstGeom prst="bentUpArrow">
                              <a:avLst>
                                <a:gd name="adj1" fmla="val 32840"/>
                                <a:gd name="adj2" fmla="val 25000"/>
                                <a:gd name="adj3" fmla="val 35780"/>
                              </a:avLst>
                            </a:prstGeom>
                            <a:gradFill>
                              <a:gsLst>
                                <a:gs pos="0">
                                  <a:srgbClr val="C7CFE7"/>
                                </a:gs>
                                <a:gs pos="50000">
                                  <a:srgbClr val="BDC7E4"/>
                                </a:gs>
                                <a:gs pos="100000">
                                  <a:srgbClr val="A4AECB"/>
                                </a:gs>
                              </a:gsLst>
                              <a:lin ang="5400000" scaled="0"/>
                            </a:gradFill>
                            <a:ln>
                              <a:noFill/>
                            </a:ln>
                          </wps:spPr>
                          <wps:txbx>
                            <w:txbxContent>
                              <w:p w14:paraId="08816832"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14696293" name="Rectangle: Rounded Corners 14696293"/>
                          <wps:cNvSpPr/>
                          <wps:spPr>
                            <a:xfrm>
                              <a:off x="563892" y="18522"/>
                              <a:ext cx="1034164" cy="723881"/>
                            </a:xfrm>
                            <a:prstGeom prst="roundRect">
                              <a:avLst>
                                <a:gd name="adj" fmla="val 16670"/>
                              </a:avLst>
                            </a:prstGeom>
                            <a:gradFill>
                              <a:gsLst>
                                <a:gs pos="0">
                                  <a:srgbClr val="5E81C9"/>
                                </a:gs>
                                <a:gs pos="50000">
                                  <a:srgbClr val="3B70C9"/>
                                </a:gs>
                                <a:gs pos="100000">
                                  <a:srgbClr val="2E60B8"/>
                                </a:gs>
                              </a:gsLst>
                              <a:lin ang="5400000" scaled="0"/>
                            </a:gradFill>
                            <a:ln>
                              <a:noFill/>
                            </a:ln>
                          </wps:spPr>
                          <wps:txbx>
                            <w:txbxContent>
                              <w:p w14:paraId="424041F0"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234869009" name="Text Box 234869009"/>
                          <wps:cNvSpPr txBox="1"/>
                          <wps:spPr>
                            <a:xfrm>
                              <a:off x="599235" y="53865"/>
                              <a:ext cx="963478" cy="653195"/>
                            </a:xfrm>
                            <a:prstGeom prst="rect">
                              <a:avLst/>
                            </a:prstGeom>
                            <a:noFill/>
                            <a:ln>
                              <a:noFill/>
                            </a:ln>
                          </wps:spPr>
                          <wps:txbx>
                            <w:txbxContent>
                              <w:p w14:paraId="2D0F21ED" w14:textId="77777777" w:rsidR="000E1A6B" w:rsidRDefault="00175F13">
                                <w:pPr>
                                  <w:spacing w:after="0" w:line="215" w:lineRule="auto"/>
                                  <w:jc w:val="center"/>
                                  <w:textDirection w:val="btLr"/>
                                </w:pPr>
                                <w:r>
                                  <w:rPr>
                                    <w:b/>
                                    <w:color w:val="000000"/>
                                    <w:sz w:val="20"/>
                                  </w:rPr>
                                  <w:t>IDENTIFICATION</w:t>
                                </w:r>
                              </w:p>
                            </w:txbxContent>
                          </wps:txbx>
                          <wps:bodyPr spcFirstLastPara="1" wrap="square" lIns="38100" tIns="38100" rIns="38100" bIns="38100" anchor="ctr" anchorCtr="0">
                            <a:noAutofit/>
                          </wps:bodyPr>
                        </wps:wsp>
                        <wps:wsp>
                          <wps:cNvPr id="1533381156" name="Rectangle 1533381156"/>
                          <wps:cNvSpPr/>
                          <wps:spPr>
                            <a:xfrm>
                              <a:off x="1598057" y="87560"/>
                              <a:ext cx="752152" cy="585073"/>
                            </a:xfrm>
                            <a:prstGeom prst="rect">
                              <a:avLst/>
                            </a:prstGeom>
                            <a:noFill/>
                            <a:ln>
                              <a:noFill/>
                            </a:ln>
                          </wps:spPr>
                          <wps:txbx>
                            <w:txbxContent>
                              <w:p w14:paraId="5136A43E"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877500115" name="Text Box 877500115"/>
                          <wps:cNvSpPr txBox="1"/>
                          <wps:spPr>
                            <a:xfrm>
                              <a:off x="1598057" y="87560"/>
                              <a:ext cx="752152" cy="585073"/>
                            </a:xfrm>
                            <a:prstGeom prst="rect">
                              <a:avLst/>
                            </a:prstGeom>
                            <a:noFill/>
                            <a:ln>
                              <a:noFill/>
                            </a:ln>
                          </wps:spPr>
                          <wps:txbx>
                            <w:txbxContent>
                              <w:p w14:paraId="348F4167" w14:textId="77777777" w:rsidR="000E1A6B" w:rsidRDefault="00175F13">
                                <w:pPr>
                                  <w:spacing w:after="0" w:line="215" w:lineRule="auto"/>
                                  <w:ind w:left="90" w:firstLine="70"/>
                                  <w:textDirection w:val="btLr"/>
                                </w:pPr>
                                <w:r>
                                  <w:rPr>
                                    <w:color w:val="000000"/>
                                    <w:sz w:val="14"/>
                                  </w:rPr>
                                  <w:t>Total articles retrieved from database = 433)</w:t>
                                </w:r>
                              </w:p>
                            </w:txbxContent>
                          </wps:txbx>
                          <wps:bodyPr spcFirstLastPara="1" wrap="square" lIns="34275" tIns="34275" rIns="34275" bIns="34275" anchor="ctr" anchorCtr="0">
                            <a:noAutofit/>
                          </wps:bodyPr>
                        </wps:wsp>
                        <wps:wsp>
                          <wps:cNvPr id="1335748473" name="Arrow: Bent-Up 1335748473"/>
                          <wps:cNvSpPr/>
                          <wps:spPr>
                            <a:xfrm rot="5400000">
                              <a:off x="1584084" y="1512673"/>
                              <a:ext cx="614326" cy="699389"/>
                            </a:xfrm>
                            <a:prstGeom prst="bentUpArrow">
                              <a:avLst>
                                <a:gd name="adj1" fmla="val 32840"/>
                                <a:gd name="adj2" fmla="val 25000"/>
                                <a:gd name="adj3" fmla="val 35780"/>
                              </a:avLst>
                            </a:prstGeom>
                            <a:gradFill>
                              <a:gsLst>
                                <a:gs pos="0">
                                  <a:srgbClr val="C7CFE7"/>
                                </a:gs>
                                <a:gs pos="50000">
                                  <a:srgbClr val="BDC7E4"/>
                                </a:gs>
                                <a:gs pos="100000">
                                  <a:srgbClr val="A4AECB"/>
                                </a:gs>
                              </a:gsLst>
                              <a:lin ang="5400000" scaled="0"/>
                            </a:gradFill>
                            <a:ln>
                              <a:noFill/>
                            </a:ln>
                          </wps:spPr>
                          <wps:txbx>
                            <w:txbxContent>
                              <w:p w14:paraId="2DB5C322"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211569874" name="Rectangle: Rounded Corners 211569874"/>
                          <wps:cNvSpPr/>
                          <wps:spPr>
                            <a:xfrm>
                              <a:off x="1421325" y="831680"/>
                              <a:ext cx="1034164" cy="723881"/>
                            </a:xfrm>
                            <a:prstGeom prst="roundRect">
                              <a:avLst>
                                <a:gd name="adj" fmla="val 16670"/>
                              </a:avLst>
                            </a:prstGeom>
                            <a:gradFill>
                              <a:gsLst>
                                <a:gs pos="0">
                                  <a:srgbClr val="5E81C9"/>
                                </a:gs>
                                <a:gs pos="50000">
                                  <a:srgbClr val="3B70C9"/>
                                </a:gs>
                                <a:gs pos="100000">
                                  <a:srgbClr val="2E60B8"/>
                                </a:gs>
                              </a:gsLst>
                              <a:lin ang="5400000" scaled="0"/>
                            </a:gradFill>
                            <a:ln>
                              <a:noFill/>
                            </a:ln>
                          </wps:spPr>
                          <wps:txbx>
                            <w:txbxContent>
                              <w:p w14:paraId="29AE4B71"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1456388881" name="Text Box 1456388881"/>
                          <wps:cNvSpPr txBox="1"/>
                          <wps:spPr>
                            <a:xfrm>
                              <a:off x="1456668" y="867023"/>
                              <a:ext cx="963478" cy="653195"/>
                            </a:xfrm>
                            <a:prstGeom prst="rect">
                              <a:avLst/>
                            </a:prstGeom>
                            <a:noFill/>
                            <a:ln>
                              <a:noFill/>
                            </a:ln>
                          </wps:spPr>
                          <wps:txbx>
                            <w:txbxContent>
                              <w:p w14:paraId="3D334423" w14:textId="77777777" w:rsidR="000E1A6B" w:rsidRDefault="00175F13">
                                <w:pPr>
                                  <w:spacing w:after="0" w:line="215" w:lineRule="auto"/>
                                  <w:jc w:val="center"/>
                                  <w:textDirection w:val="btLr"/>
                                </w:pPr>
                                <w:r>
                                  <w:rPr>
                                    <w:b/>
                                    <w:color w:val="000000"/>
                                    <w:sz w:val="20"/>
                                  </w:rPr>
                                  <w:t>SCREENING</w:t>
                                </w:r>
                              </w:p>
                            </w:txbxContent>
                          </wps:txbx>
                          <wps:bodyPr spcFirstLastPara="1" wrap="square" lIns="38100" tIns="38100" rIns="38100" bIns="38100" anchor="ctr" anchorCtr="0">
                            <a:noAutofit/>
                          </wps:bodyPr>
                        </wps:wsp>
                        <wps:wsp>
                          <wps:cNvPr id="1910165675" name="Rectangle 1910165675"/>
                          <wps:cNvSpPr/>
                          <wps:spPr>
                            <a:xfrm>
                              <a:off x="2455489" y="900718"/>
                              <a:ext cx="752152" cy="585073"/>
                            </a:xfrm>
                            <a:prstGeom prst="rect">
                              <a:avLst/>
                            </a:prstGeom>
                            <a:noFill/>
                            <a:ln>
                              <a:noFill/>
                            </a:ln>
                          </wps:spPr>
                          <wps:txbx>
                            <w:txbxContent>
                              <w:p w14:paraId="43D8A853"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1678979258" name="Text Box 1678979258"/>
                          <wps:cNvSpPr txBox="1"/>
                          <wps:spPr>
                            <a:xfrm>
                              <a:off x="2455489" y="900718"/>
                              <a:ext cx="752152" cy="585073"/>
                            </a:xfrm>
                            <a:prstGeom prst="rect">
                              <a:avLst/>
                            </a:prstGeom>
                            <a:noFill/>
                            <a:ln>
                              <a:noFill/>
                            </a:ln>
                          </wps:spPr>
                          <wps:txbx>
                            <w:txbxContent>
                              <w:p w14:paraId="46CC3E64" w14:textId="77777777" w:rsidR="000E1A6B" w:rsidRDefault="00175F13">
                                <w:pPr>
                                  <w:spacing w:after="0" w:line="215" w:lineRule="auto"/>
                                  <w:ind w:left="90" w:firstLine="70"/>
                                  <w:textDirection w:val="btLr"/>
                                </w:pPr>
                                <w:r>
                                  <w:rPr>
                                    <w:color w:val="000000"/>
                                    <w:sz w:val="14"/>
                                  </w:rPr>
                                  <w:t>(Total number excluded after screening = 310)</w:t>
                                </w:r>
                              </w:p>
                            </w:txbxContent>
                          </wps:txbx>
                          <wps:bodyPr spcFirstLastPara="1" wrap="square" lIns="34275" tIns="34275" rIns="34275" bIns="34275" anchor="ctr" anchorCtr="0">
                            <a:noAutofit/>
                          </wps:bodyPr>
                        </wps:wsp>
                        <wps:wsp>
                          <wps:cNvPr id="82462955" name="Arrow: Bent-Up 82462955"/>
                          <wps:cNvSpPr/>
                          <wps:spPr>
                            <a:xfrm rot="5400000">
                              <a:off x="2441516" y="2325831"/>
                              <a:ext cx="614326" cy="699389"/>
                            </a:xfrm>
                            <a:prstGeom prst="bentUpArrow">
                              <a:avLst>
                                <a:gd name="adj1" fmla="val 32840"/>
                                <a:gd name="adj2" fmla="val 25000"/>
                                <a:gd name="adj3" fmla="val 35780"/>
                              </a:avLst>
                            </a:prstGeom>
                            <a:gradFill>
                              <a:gsLst>
                                <a:gs pos="0">
                                  <a:srgbClr val="C7CFE7"/>
                                </a:gs>
                                <a:gs pos="50000">
                                  <a:srgbClr val="BDC7E4"/>
                                </a:gs>
                                <a:gs pos="100000">
                                  <a:srgbClr val="A4AECB"/>
                                </a:gs>
                              </a:gsLst>
                              <a:lin ang="5400000" scaled="0"/>
                            </a:gradFill>
                            <a:ln>
                              <a:noFill/>
                            </a:ln>
                          </wps:spPr>
                          <wps:txbx>
                            <w:txbxContent>
                              <w:p w14:paraId="39755F84"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944453766" name="Rectangle: Rounded Corners 944453766"/>
                          <wps:cNvSpPr/>
                          <wps:spPr>
                            <a:xfrm>
                              <a:off x="2278757" y="1644838"/>
                              <a:ext cx="1034164" cy="723881"/>
                            </a:xfrm>
                            <a:prstGeom prst="roundRect">
                              <a:avLst>
                                <a:gd name="adj" fmla="val 16670"/>
                              </a:avLst>
                            </a:prstGeom>
                            <a:gradFill>
                              <a:gsLst>
                                <a:gs pos="0">
                                  <a:srgbClr val="5E81C9"/>
                                </a:gs>
                                <a:gs pos="50000">
                                  <a:srgbClr val="3B70C9"/>
                                </a:gs>
                                <a:gs pos="100000">
                                  <a:srgbClr val="2E60B8"/>
                                </a:gs>
                              </a:gsLst>
                              <a:lin ang="5400000" scaled="0"/>
                            </a:gradFill>
                            <a:ln>
                              <a:noFill/>
                            </a:ln>
                          </wps:spPr>
                          <wps:txbx>
                            <w:txbxContent>
                              <w:p w14:paraId="7289D92D"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1332094768" name="Text Box 1332094768"/>
                          <wps:cNvSpPr txBox="1"/>
                          <wps:spPr>
                            <a:xfrm>
                              <a:off x="2314100" y="1680181"/>
                              <a:ext cx="963478" cy="653195"/>
                            </a:xfrm>
                            <a:prstGeom prst="rect">
                              <a:avLst/>
                            </a:prstGeom>
                            <a:noFill/>
                            <a:ln>
                              <a:noFill/>
                            </a:ln>
                          </wps:spPr>
                          <wps:txbx>
                            <w:txbxContent>
                              <w:p w14:paraId="76B0BF79" w14:textId="77777777" w:rsidR="000E1A6B" w:rsidRDefault="00175F13">
                                <w:pPr>
                                  <w:spacing w:after="0" w:line="215" w:lineRule="auto"/>
                                  <w:jc w:val="center"/>
                                  <w:textDirection w:val="btLr"/>
                                </w:pPr>
                                <w:r>
                                  <w:rPr>
                                    <w:b/>
                                    <w:color w:val="000000"/>
                                    <w:sz w:val="20"/>
                                  </w:rPr>
                                  <w:t>ELIGIBILITY</w:t>
                                </w:r>
                              </w:p>
                              <w:p w14:paraId="75AE6B28" w14:textId="77777777" w:rsidR="000E1A6B" w:rsidRDefault="000E1A6B">
                                <w:pPr>
                                  <w:spacing w:before="70" w:after="0" w:line="215" w:lineRule="auto"/>
                                  <w:jc w:val="center"/>
                                  <w:textDirection w:val="btLr"/>
                                </w:pPr>
                              </w:p>
                            </w:txbxContent>
                          </wps:txbx>
                          <wps:bodyPr spcFirstLastPara="1" wrap="square" lIns="38100" tIns="38100" rIns="38100" bIns="38100" anchor="ctr" anchorCtr="0">
                            <a:noAutofit/>
                          </wps:bodyPr>
                        </wps:wsp>
                        <wps:wsp>
                          <wps:cNvPr id="870720592" name="Rectangle 870720592"/>
                          <wps:cNvSpPr/>
                          <wps:spPr>
                            <a:xfrm>
                              <a:off x="3312922" y="1713876"/>
                              <a:ext cx="752152" cy="585073"/>
                            </a:xfrm>
                            <a:prstGeom prst="rect">
                              <a:avLst/>
                            </a:prstGeom>
                            <a:noFill/>
                            <a:ln>
                              <a:noFill/>
                            </a:ln>
                          </wps:spPr>
                          <wps:txbx>
                            <w:txbxContent>
                              <w:p w14:paraId="414FD715"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891272545" name="Text Box 891272545"/>
                          <wps:cNvSpPr txBox="1"/>
                          <wps:spPr>
                            <a:xfrm>
                              <a:off x="3312922" y="1713876"/>
                              <a:ext cx="752152" cy="585073"/>
                            </a:xfrm>
                            <a:prstGeom prst="rect">
                              <a:avLst/>
                            </a:prstGeom>
                            <a:noFill/>
                            <a:ln>
                              <a:noFill/>
                            </a:ln>
                          </wps:spPr>
                          <wps:txbx>
                            <w:txbxContent>
                              <w:p w14:paraId="6F450104" w14:textId="77777777" w:rsidR="000E1A6B" w:rsidRDefault="00175F13">
                                <w:pPr>
                                  <w:spacing w:after="0" w:line="215" w:lineRule="auto"/>
                                  <w:ind w:left="90" w:firstLine="70"/>
                                  <w:textDirection w:val="btLr"/>
                                </w:pPr>
                                <w:r>
                                  <w:rPr>
                                    <w:color w:val="000000"/>
                                    <w:sz w:val="14"/>
                                  </w:rPr>
                                  <w:t>Full-Text Articles Assessed for Eligibility = 123)</w:t>
                                </w:r>
                              </w:p>
                            </w:txbxContent>
                          </wps:txbx>
                          <wps:bodyPr spcFirstLastPara="1" wrap="square" lIns="34275" tIns="34275" rIns="34275" bIns="34275" anchor="ctr" anchorCtr="0">
                            <a:noAutofit/>
                          </wps:bodyPr>
                        </wps:wsp>
                        <wps:wsp>
                          <wps:cNvPr id="13525578" name="Rectangle: Rounded Corners 13525578"/>
                          <wps:cNvSpPr/>
                          <wps:spPr>
                            <a:xfrm>
                              <a:off x="3136189" y="2457996"/>
                              <a:ext cx="1034164" cy="723881"/>
                            </a:xfrm>
                            <a:prstGeom prst="roundRect">
                              <a:avLst>
                                <a:gd name="adj" fmla="val 16670"/>
                              </a:avLst>
                            </a:prstGeom>
                            <a:gradFill>
                              <a:gsLst>
                                <a:gs pos="0">
                                  <a:srgbClr val="5E81C9"/>
                                </a:gs>
                                <a:gs pos="50000">
                                  <a:srgbClr val="3B70C9"/>
                                </a:gs>
                                <a:gs pos="100000">
                                  <a:srgbClr val="2E60B8"/>
                                </a:gs>
                              </a:gsLst>
                              <a:lin ang="5400000" scaled="0"/>
                            </a:gradFill>
                            <a:ln>
                              <a:noFill/>
                            </a:ln>
                          </wps:spPr>
                          <wps:txbx>
                            <w:txbxContent>
                              <w:p w14:paraId="01DCBB07"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2135382466" name="Text Box 2135382466"/>
                          <wps:cNvSpPr txBox="1"/>
                          <wps:spPr>
                            <a:xfrm>
                              <a:off x="3171532" y="2493339"/>
                              <a:ext cx="963478" cy="653195"/>
                            </a:xfrm>
                            <a:prstGeom prst="rect">
                              <a:avLst/>
                            </a:prstGeom>
                            <a:noFill/>
                            <a:ln>
                              <a:noFill/>
                            </a:ln>
                          </wps:spPr>
                          <wps:txbx>
                            <w:txbxContent>
                              <w:p w14:paraId="68915F84" w14:textId="77777777" w:rsidR="000E1A6B" w:rsidRDefault="00175F13">
                                <w:pPr>
                                  <w:spacing w:after="0" w:line="215" w:lineRule="auto"/>
                                  <w:jc w:val="center"/>
                                  <w:textDirection w:val="btLr"/>
                                </w:pPr>
                                <w:r>
                                  <w:rPr>
                                    <w:color w:val="000000"/>
                                    <w:sz w:val="20"/>
                                  </w:rPr>
                                  <w:t>INCLUDED</w:t>
                                </w:r>
                              </w:p>
                            </w:txbxContent>
                          </wps:txbx>
                          <wps:bodyPr spcFirstLastPara="1" wrap="square" lIns="38100" tIns="38100" rIns="38100" bIns="38100" anchor="ctr" anchorCtr="0">
                            <a:noAutofit/>
                          </wps:bodyPr>
                        </wps:wsp>
                        <wps:wsp>
                          <wps:cNvPr id="143189258" name="Rectangle 143189258"/>
                          <wps:cNvSpPr/>
                          <wps:spPr>
                            <a:xfrm>
                              <a:off x="4170354" y="2527034"/>
                              <a:ext cx="752152" cy="585073"/>
                            </a:xfrm>
                            <a:prstGeom prst="rect">
                              <a:avLst/>
                            </a:prstGeom>
                            <a:noFill/>
                            <a:ln>
                              <a:noFill/>
                            </a:ln>
                          </wps:spPr>
                          <wps:txbx>
                            <w:txbxContent>
                              <w:p w14:paraId="222B309B" w14:textId="77777777" w:rsidR="000E1A6B" w:rsidRDefault="000E1A6B">
                                <w:pPr>
                                  <w:spacing w:after="0" w:line="240" w:lineRule="auto"/>
                                  <w:textDirection w:val="btLr"/>
                                </w:pPr>
                              </w:p>
                            </w:txbxContent>
                          </wps:txbx>
                          <wps:bodyPr spcFirstLastPara="1" wrap="square" lIns="91425" tIns="91425" rIns="91425" bIns="91425" anchor="ctr" anchorCtr="0">
                            <a:noAutofit/>
                          </wps:bodyPr>
                        </wps:wsp>
                        <wps:wsp>
                          <wps:cNvPr id="829746720" name="Text Box 829746720"/>
                          <wps:cNvSpPr txBox="1"/>
                          <wps:spPr>
                            <a:xfrm>
                              <a:off x="4170354" y="2527034"/>
                              <a:ext cx="752152" cy="585073"/>
                            </a:xfrm>
                            <a:prstGeom prst="rect">
                              <a:avLst/>
                            </a:prstGeom>
                            <a:noFill/>
                            <a:ln>
                              <a:noFill/>
                            </a:ln>
                          </wps:spPr>
                          <wps:txbx>
                            <w:txbxContent>
                              <w:p w14:paraId="574245B4" w14:textId="77777777" w:rsidR="000E1A6B" w:rsidRDefault="00175F13">
                                <w:pPr>
                                  <w:spacing w:after="0" w:line="215" w:lineRule="auto"/>
                                  <w:ind w:left="90" w:firstLine="80"/>
                                  <w:textDirection w:val="btLr"/>
                                </w:pPr>
                                <w:r>
                                  <w:rPr>
                                    <w:color w:val="000000"/>
                                    <w:sz w:val="16"/>
                                  </w:rPr>
                                  <w:t>Total Studies included in the synthesis = 69)</w:t>
                                </w:r>
                              </w:p>
                            </w:txbxContent>
                          </wps:txbx>
                          <wps:bodyPr spcFirstLastPara="1" wrap="square" lIns="38100" tIns="38100" rIns="38100" bIns="38100" anchor="ctr" anchorCtr="0">
                            <a:noAutofit/>
                          </wps:bodyPr>
                        </wps:wsp>
                      </wpg:grpSp>
                    </wpg:wgp>
                  </a:graphicData>
                </a:graphic>
              </wp:inline>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group w14:anchorId="226F12A9" id="Group 1927354567" o:spid="_x0000_s1026"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">
                <v:group id="Group 1098366705" o:spid="_x0000_s102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">
                  <v:rect id="Rectangle 796887770"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" filled="f" stroked="f">
                    <v:textbox inset="2.53958mm,2.53958mm,2.53958mm,2.53958mm">
                      <w:txbxContent>
                        <w:p w14:paraId="387EDEB4" w14:textId="77777777" w:rsidR="000E1A6B" w:rsidRDefault="000E1A6B">
                          <w:pPr>
                            <w:spacing w:after="0" w:line="240" w:lineRule="auto"/>
                            <w:textDirection w:val="btLr"/>
                          </w:pPr>
                        </w:p>
                      </w:txbxContent>
                    </v:textbox>
                  </v:rect>
                  <v:shape id="Arrow: Bent-Up 1228086814" o:spid="_x0000_s1029" style="position:absolute;left:7266;top:6995;width:6143;height:6994;rotation:90;visibility:visible;mso-wrap-style:square;v-text-anchor:middle" coordsize="614326,699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" adj="-11796480,,5400" path="m,497644r359872,l359872,219806r-52709,l460745,,614326,219806r-52709,l561617,699389,,699389,,497644xe" fillcolor="#c7cfe7" stroked="f">
                    <v:fill color2="#a4aecb" colors="0 #c7cfe7;.5 #bdc7e4;1 #a4aecb" focus="100%" type="gradient">
                      <o:fill v:ext="view" type="gradientUnscaled"/>
                    </v:fill>
                    <v:stroke joinstyle="miter"/>
                    <v:formulas/>
                    <v:path arrowok="t" o:connecttype="custom" o:connectlocs="0,497644;359872,497644;359872,219806;307163,219806;460745,0;614326,219806;561617,219806;561617,699389;0,699389;0,497644" o:connectangles="0,0,0,0,0,0,0,0,0,0" textboxrect="0,0,614326,699389"/>
                    <v:textbox inset="2.53958mm,2.53958mm,2.53958mm,2.53958mm">
                      <w:txbxContent>
                        <w:p w14:paraId="08816832" w14:textId="77777777" w:rsidR="000E1A6B" w:rsidRDefault="000E1A6B">
                          <w:pPr>
                            <w:spacing w:after="0" w:line="240" w:lineRule="auto"/>
                            <w:textDirection w:val="btLr"/>
                          </w:pPr>
                        </w:p>
                      </w:txbxContent>
                    </v:textbox>
                  </v:shape>
                  <v:roundrect id="Rectangle: Rounded Corners 14696293" o:spid="_x0000_s1030" style="position:absolute;left:5638;top:185;width:10342;height:7239;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" fillcolor="#5e81c9" stroked="f">
                    <v:fill color2="#2e60b8" colors="0 #5e81c9;.5 #3b70c9;1 #2e60b8" focus="100%" type="gradient">
                      <o:fill v:ext="view" type="gradientUnscaled"/>
                    </v:fill>
                    <v:textbox inset="2.53958mm,2.53958mm,2.53958mm,2.53958mm">
                      <w:txbxContent>
                        <w:p w14:paraId="424041F0" w14:textId="77777777" w:rsidR="000E1A6B" w:rsidRDefault="000E1A6B">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234869009" o:spid="_x0000_s1031" type="#_x0000_t202" style="position:absolute;left:5992;top:538;width:9635;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" filled="f" stroked="f">
                    <v:textbox inset="3pt,3pt,3pt,3pt">
                      <w:txbxContent>
                        <w:p w14:paraId="2D0F21ED" w14:textId="77777777" w:rsidR="000E1A6B" w:rsidRDefault="00175F13">
                          <w:pPr>
                            <w:spacing w:after="0" w:line="215" w:lineRule="auto"/>
                            <w:jc w:val="center"/>
                            <w:textDirection w:val="btLr"/>
                          </w:pPr>
                          <w:r>
                            <w:rPr>
                              <w:b/>
                              <w:color w:val="000000"/>
                              <w:sz w:val="20"/>
                            </w:rPr>
                            <w:t>IDENTIFICATION</w:t>
                          </w:r>
                        </w:p>
                      </w:txbxContent>
                    </v:textbox>
                  </v:shape>
                  <v:rect id="Rectangle 1533381156" o:spid="_x0000_s1032" style="position:absolute;left:15980;top:875;width:7522;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" filled="f" stroked="f">
                    <v:textbox inset="2.53958mm,2.53958mm,2.53958mm,2.53958mm">
                      <w:txbxContent>
                        <w:p w14:paraId="5136A43E" w14:textId="77777777" w:rsidR="000E1A6B" w:rsidRDefault="000E1A6B">
                          <w:pPr>
                            <w:spacing w:after="0" w:line="240" w:lineRule="auto"/>
                            <w:textDirection w:val="btLr"/>
                          </w:pPr>
                        </w:p>
                      </w:txbxContent>
                    </v:textbox>
                  </v:rect>
                  <v:shape id="Text Box 877500115" o:spid="_x0000_s1033" type="#_x0000_t202" style="position:absolute;left:15980;top:875;width:7522;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" filled="f" stroked="f">
                    <v:textbox inset=".95208mm,.95208mm,.95208mm,.95208mm">
                      <w:txbxContent>
                        <w:p w14:paraId="348F4167" w14:textId="77777777" w:rsidR="000E1A6B" w:rsidRDefault="00175F13">
                          <w:pPr>
                            <w:spacing w:after="0" w:line="215" w:lineRule="auto"/>
                            <w:ind w:left="90" w:firstLine="70"/>
                            <w:textDirection w:val="btLr"/>
                          </w:pPr>
                          <w:r>
                            <w:rPr>
                              <w:color w:val="000000"/>
                              <w:sz w:val="14"/>
                            </w:rPr>
                            <w:t>Total articles retrieved from database = 433)</w:t>
                          </w:r>
                        </w:p>
                      </w:txbxContent>
                    </v:textbox>
                  </v:shape>
                  <v:shape id="Arrow: Bent-Up 1335748473" o:spid="_x0000_s1034" style="position:absolute;left:15840;top:15127;width:6143;height:6994;rotation:90;visibility:visible;mso-wrap-style:square;v-text-anchor:middle" coordsize="614326,699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" adj="-11796480,,5400" path="m,497644r359872,l359872,219806r-52709,l460745,,614326,219806r-52709,l561617,699389,,699389,,497644xe" fillcolor="#c7cfe7" stroked="f">
                    <v:fill color2="#a4aecb" colors="0 #c7cfe7;.5 #bdc7e4;1 #a4aecb" focus="100%" type="gradient">
                      <o:fill v:ext="view" type="gradientUnscaled"/>
                    </v:fill>
                    <v:stroke joinstyle="miter"/>
                    <v:formulas/>
                    <v:path arrowok="t" o:connecttype="custom" o:connectlocs="0,497644;359872,497644;359872,219806;307163,219806;460745,0;614326,219806;561617,219806;561617,699389;0,699389;0,497644" o:connectangles="0,0,0,0,0,0,0,0,0,0" textboxrect="0,0,614326,699389"/>
                    <v:textbox inset="2.53958mm,2.53958mm,2.53958mm,2.53958mm">
                      <w:txbxContent>
                        <w:p w14:paraId="2DB5C322" w14:textId="77777777" w:rsidR="000E1A6B" w:rsidRDefault="000E1A6B">
                          <w:pPr>
                            <w:spacing w:after="0" w:line="240" w:lineRule="auto"/>
                            <w:textDirection w:val="btLr"/>
                          </w:pPr>
                        </w:p>
                      </w:txbxContent>
                    </v:textbox>
                  </v:shape>
                  <v:roundrect id="Rectangle: Rounded Corners 211569874" o:spid="_x0000_s1035" style="position:absolute;left:14213;top:8316;width:10341;height:7239;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" fillcolor="#5e81c9" stroked="f">
                    <v:fill color2="#2e60b8" colors="0 #5e81c9;.5 #3b70c9;1 #2e60b8" focus="100%" type="gradient">
                      <o:fill v:ext="view" type="gradientUnscaled"/>
                    </v:fill>
                    <v:textbox inset="2.53958mm,2.53958mm,2.53958mm,2.53958mm">
                      <w:txbxContent>
                        <w:p w14:paraId="29AE4B71" w14:textId="77777777" w:rsidR="000E1A6B" w:rsidRDefault="000E1A6B">
                          <w:pPr>
                            <w:spacing w:after="0" w:line="240" w:lineRule="auto"/>
                            <w:textDirection w:val="btLr"/>
                          </w:pPr>
                        </w:p>
                      </w:txbxContent>
                    </v:textbox>
                  </v:roundrect>
                  <v:shape id="Text Box 1456388881" o:spid="_x0000_s1036" type="#_x0000_t202" style="position:absolute;left:14566;top:8670;width:9635;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" filled="f" stroked="f">
                    <v:textbox inset="3pt,3pt,3pt,3pt">
                      <w:txbxContent>
                        <w:p w14:paraId="3D334423" w14:textId="77777777" w:rsidR="000E1A6B" w:rsidRDefault="00175F13">
                          <w:pPr>
                            <w:spacing w:after="0" w:line="215" w:lineRule="auto"/>
                            <w:jc w:val="center"/>
                            <w:textDirection w:val="btLr"/>
                          </w:pPr>
                          <w:r>
                            <w:rPr>
                              <w:b/>
                              <w:color w:val="000000"/>
                              <w:sz w:val="20"/>
                            </w:rPr>
                            <w:t>SCREENING</w:t>
                          </w:r>
                        </w:p>
                      </w:txbxContent>
                    </v:textbox>
                  </v:shape>
                  <v:rect id="Rectangle 1910165675" o:spid="_x0000_s1037" style="position:absolute;left:24554;top:9007;width:7522;height:5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" filled="f" stroked="f">
                    <v:textbox inset="2.53958mm,2.53958mm,2.53958mm,2.53958mm">
                      <w:txbxContent>
                        <w:p w14:paraId="43D8A853" w14:textId="77777777" w:rsidR="000E1A6B" w:rsidRDefault="000E1A6B">
                          <w:pPr>
                            <w:spacing w:after="0" w:line="240" w:lineRule="auto"/>
                            <w:textDirection w:val="btLr"/>
                          </w:pPr>
                        </w:p>
                      </w:txbxContent>
                    </v:textbox>
                  </v:rect>
                  <v:shape id="Text Box 1678979258" o:spid="_x0000_s1038" type="#_x0000_t202" style="position:absolute;left:24554;top:9007;width:7522;height:5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" filled="f" stroked="f">
                    <v:textbox inset=".95208mm,.95208mm,.95208mm,.95208mm">
                      <w:txbxContent>
                        <w:p w14:paraId="46CC3E64" w14:textId="77777777" w:rsidR="000E1A6B" w:rsidRDefault="00175F13">
                          <w:pPr>
                            <w:spacing w:after="0" w:line="215" w:lineRule="auto"/>
                            <w:ind w:left="90" w:firstLine="70"/>
                            <w:textDirection w:val="btLr"/>
                          </w:pPr>
                          <w:r>
                            <w:rPr>
                              <w:color w:val="000000"/>
                              <w:sz w:val="14"/>
                            </w:rPr>
                            <w:t>(Total number excluded after screening = 310)</w:t>
                          </w:r>
                        </w:p>
                      </w:txbxContent>
                    </v:textbox>
                  </v:shape>
                  <v:shape id="Arrow: Bent-Up 82462955" o:spid="_x0000_s1039" style="position:absolute;left:24414;top:23258;width:6143;height:6994;rotation:90;visibility:visible;mso-wrap-style:square;v-text-anchor:middle" coordsize="614326,699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" adj="-11796480,,5400" path="m,497644r359872,l359872,219806r-52709,l460745,,614326,219806r-52709,l561617,699389,,699389,,497644xe" fillcolor="#c7cfe7" stroked="f">
                    <v:fill color2="#a4aecb" colors="0 #c7cfe7;.5 #bdc7e4;1 #a4aecb" focus="100%" type="gradient">
                      <o:fill v:ext="view" type="gradientUnscaled"/>
                    </v:fill>
                    <v:stroke joinstyle="miter"/>
                    <v:formulas/>
                    <v:path arrowok="t" o:connecttype="custom" o:connectlocs="0,497644;359872,497644;359872,219806;307163,219806;460745,0;614326,219806;561617,219806;561617,699389;0,699389;0,497644" o:connectangles="0,0,0,0,0,0,0,0,0,0" textboxrect="0,0,614326,699389"/>
                    <v:textbox inset="2.53958mm,2.53958mm,2.53958mm,2.53958mm">
                      <w:txbxContent>
                        <w:p w14:paraId="39755F84" w14:textId="77777777" w:rsidR="000E1A6B" w:rsidRDefault="000E1A6B">
                          <w:pPr>
                            <w:spacing w:after="0" w:line="240" w:lineRule="auto"/>
                            <w:textDirection w:val="btLr"/>
                          </w:pPr>
                        </w:p>
                      </w:txbxContent>
                    </v:textbox>
                  </v:shape>
                  <v:roundrect id="Rectangle: Rounded Corners 944453766" o:spid="_x0000_s1040" style="position:absolute;left:22787;top:16448;width:10342;height:7239;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" fillcolor="#5e81c9" stroked="f">
                    <v:fill color2="#2e60b8" colors="0 #5e81c9;.5 #3b70c9;1 #2e60b8" focus="100%" type="gradient">
                      <o:fill v:ext="view" type="gradientUnscaled"/>
                    </v:fill>
                    <v:textbox inset="2.53958mm,2.53958mm,2.53958mm,2.53958mm">
                      <w:txbxContent>
                        <w:p w14:paraId="7289D92D" w14:textId="77777777" w:rsidR="000E1A6B" w:rsidRDefault="000E1A6B">
                          <w:pPr>
                            <w:spacing w:after="0" w:line="240" w:lineRule="auto"/>
                            <w:textDirection w:val="btLr"/>
                          </w:pPr>
                        </w:p>
                      </w:txbxContent>
                    </v:textbox>
                  </v:roundrect>
                  <v:shape id="Text Box 1332094768" o:spid="_x0000_s1041" type="#_x0000_t202" style="position:absolute;left:23141;top:16801;width:9634;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" filled="f" stroked="f">
                    <v:textbox inset="3pt,3pt,3pt,3pt">
                      <w:txbxContent>
                        <w:p w14:paraId="76B0BF79" w14:textId="77777777" w:rsidR="000E1A6B" w:rsidRDefault="00175F13">
                          <w:pPr>
                            <w:spacing w:after="0" w:line="215" w:lineRule="auto"/>
                            <w:jc w:val="center"/>
                            <w:textDirection w:val="btLr"/>
                          </w:pPr>
                          <w:r>
                            <w:rPr>
                              <w:b/>
                              <w:color w:val="000000"/>
                              <w:sz w:val="20"/>
                            </w:rPr>
                            <w:t>ELIGIBILITY</w:t>
                          </w:r>
                        </w:p>
                        <w:p w14:paraId="75AE6B28" w14:textId="77777777" w:rsidR="000E1A6B" w:rsidRDefault="000E1A6B">
                          <w:pPr>
                            <w:spacing w:before="70" w:after="0" w:line="215" w:lineRule="auto"/>
                            <w:jc w:val="center"/>
                            <w:textDirection w:val="btLr"/>
                          </w:pPr>
                        </w:p>
                      </w:txbxContent>
                    </v:textbox>
                  </v:shape>
                  <v:rect id="Rectangle 870720592" o:spid="_x0000_s1042" style="position:absolute;left:33129;top:17138;width:7521;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" filled="f" stroked="f">
                    <v:textbox inset="2.53958mm,2.53958mm,2.53958mm,2.53958mm">
                      <w:txbxContent>
                        <w:p w14:paraId="414FD715" w14:textId="77777777" w:rsidR="000E1A6B" w:rsidRDefault="000E1A6B">
                          <w:pPr>
                            <w:spacing w:after="0" w:line="240" w:lineRule="auto"/>
                            <w:textDirection w:val="btLr"/>
                          </w:pPr>
                        </w:p>
                      </w:txbxContent>
                    </v:textbox>
                  </v:rect>
                  <v:shape id="Text Box 891272545" o:spid="_x0000_s1043" type="#_x0000_t202" style="position:absolute;left:33129;top:17138;width:7521;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" filled="f" stroked="f">
                    <v:textbox inset=".95208mm,.95208mm,.95208mm,.95208mm">
                      <w:txbxContent>
                        <w:p w14:paraId="6F450104" w14:textId="77777777" w:rsidR="000E1A6B" w:rsidRDefault="00175F13">
                          <w:pPr>
                            <w:spacing w:after="0" w:line="215" w:lineRule="auto"/>
                            <w:ind w:left="90" w:firstLine="70"/>
                            <w:textDirection w:val="btLr"/>
                          </w:pPr>
                          <w:r>
                            <w:rPr>
                              <w:color w:val="000000"/>
                              <w:sz w:val="14"/>
                            </w:rPr>
                            <w:t>Full-Text Articles Assessed for Eligibility = 123)</w:t>
                          </w:r>
                        </w:p>
                      </w:txbxContent>
                    </v:textbox>
                  </v:shape>
                  <v:roundrect id="Rectangle: Rounded Corners 13525578" o:spid="_x0000_s1044" style="position:absolute;left:31361;top:24579;width:10342;height:7239;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" fillcolor="#5e81c9" stroked="f">
                    <v:fill color2="#2e60b8" colors="0 #5e81c9;.5 #3b70c9;1 #2e60b8" focus="100%" type="gradient">
                      <o:fill v:ext="view" type="gradientUnscaled"/>
                    </v:fill>
                    <v:textbox inset="2.53958mm,2.53958mm,2.53958mm,2.53958mm">
                      <w:txbxContent>
                        <w:p w14:paraId="01DCBB07" w14:textId="77777777" w:rsidR="000E1A6B" w:rsidRDefault="000E1A6B">
                          <w:pPr>
                            <w:spacing w:after="0" w:line="240" w:lineRule="auto"/>
                            <w:textDirection w:val="btLr"/>
                          </w:pPr>
                        </w:p>
                      </w:txbxContent>
                    </v:textbox>
                  </v:roundrect>
                  <v:shape id="Text Box 2135382466" o:spid="_x0000_s1045" type="#_x0000_t202" style="position:absolute;left:31715;top:24933;width:9635;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" filled="f" stroked="f">
                    <v:textbox inset="3pt,3pt,3pt,3pt">
                      <w:txbxContent>
                        <w:p w14:paraId="68915F84" w14:textId="77777777" w:rsidR="000E1A6B" w:rsidRDefault="00175F13">
                          <w:pPr>
                            <w:spacing w:after="0" w:line="215" w:lineRule="auto"/>
                            <w:jc w:val="center"/>
                            <w:textDirection w:val="btLr"/>
                          </w:pPr>
                          <w:r>
                            <w:rPr>
                              <w:color w:val="000000"/>
                              <w:sz w:val="20"/>
                            </w:rPr>
                            <w:t>INCLUDED</w:t>
                          </w:r>
                        </w:p>
                      </w:txbxContent>
                    </v:textbox>
                  </v:shape>
                  <v:rect id="Rectangle 143189258" o:spid="_x0000_s1046" style="position:absolute;left:41703;top:25270;width:7522;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" filled="f" stroked="f">
                    <v:textbox inset="2.53958mm,2.53958mm,2.53958mm,2.53958mm">
                      <w:txbxContent>
                        <w:p w14:paraId="222B309B" w14:textId="77777777" w:rsidR="000E1A6B" w:rsidRDefault="000E1A6B">
                          <w:pPr>
                            <w:spacing w:after="0" w:line="240" w:lineRule="auto"/>
                            <w:textDirection w:val="btLr"/>
                          </w:pPr>
                        </w:p>
                      </w:txbxContent>
                    </v:textbox>
                  </v:rect>
                  <v:shape id="Text Box 829746720" o:spid="_x0000_s1047" type="#_x0000_t202" style="position:absolute;left:41703;top:25270;width:7522;height:5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" filled="f" stroked="f">
                    <v:textbox inset="3pt,3pt,3pt,3pt">
                      <w:txbxContent>
                        <w:p w14:paraId="574245B4" w14:textId="77777777" w:rsidR="000E1A6B" w:rsidRDefault="00175F13">
                          <w:pPr>
                            <w:spacing w:after="0" w:line="215" w:lineRule="auto"/>
                            <w:ind w:left="90" w:firstLine="80"/>
                            <w:textDirection w:val="btLr"/>
                          </w:pPr>
                          <w:r>
                            <w:rPr>
                              <w:color w:val="000000"/>
                              <w:sz w:val="16"/>
                            </w:rPr>
                            <w:t>Total Studies included in the synthesis = 69)</w:t>
                          </w:r>
                        </w:p>
                      </w:txbxContent>
                    </v:textbox>
                  </v:shape>
                </v:group>
                <w10:anchorlock/>
              </v:group>
            </w:pict>
          </mc:Fallback>
        </mc:AlternateContent>
      </w:r>
    </w:p>
    <w:p w14:paraId="36838062" w14:textId="77777777" w:rsidR="00175F13" w:rsidRPr="00B954DA" w:rsidRDefault="00175F13">
      <w:pPr>
        <w:spacing w:line="276" w:lineRule="auto"/>
        <w:jc w:val="center"/>
        <w:rPr>
          <w:rFonts w:ascii="Arial" w:eastAsia="Arial" w:hAnsi="Arial" w:cs="Arial"/>
          <w:b/>
          <w:bCs/>
          <w:color w:val="000000" w:themeColor="text1"/>
          <w:sz w:val="20"/>
          <w:szCs w:val="20"/>
        </w:rPr>
      </w:pPr>
    </w:p>
    <w:p w14:paraId="2E8A7146" w14:textId="77777777" w:rsidR="000E1A6B" w:rsidRPr="00B954DA" w:rsidRDefault="00175F13">
      <w:pPr>
        <w:spacing w:line="276" w:lineRule="auto"/>
        <w:jc w:val="center"/>
        <w:rPr>
          <w:rFonts w:ascii="Arial" w:eastAsia="Arial" w:hAnsi="Arial" w:cs="Arial"/>
          <w:b/>
          <w:bCs/>
          <w:color w:val="000000" w:themeColor="text1"/>
        </w:rPr>
      </w:pPr>
      <w:bookmarkStart w:id="0" w:name="_GoBack"/>
      <w:r w:rsidRPr="00B954DA">
        <w:rPr>
          <w:rFonts w:ascii="Arial" w:eastAsia="Arial" w:hAnsi="Arial" w:cs="Arial"/>
          <w:b/>
          <w:bCs/>
          <w:color w:val="000000" w:themeColor="text1"/>
          <w:sz w:val="20"/>
          <w:szCs w:val="20"/>
        </w:rPr>
        <w:t>Fig</w:t>
      </w:r>
      <w:bookmarkEnd w:id="0"/>
      <w:r w:rsidRPr="00B954DA">
        <w:rPr>
          <w:rFonts w:ascii="Arial" w:eastAsia="Arial" w:hAnsi="Arial" w:cs="Arial"/>
          <w:b/>
          <w:bCs/>
          <w:color w:val="000000" w:themeColor="text1"/>
          <w:sz w:val="20"/>
          <w:szCs w:val="20"/>
        </w:rPr>
        <w:t>ure 1: PRISMA Flowchart</w:t>
      </w:r>
    </w:p>
    <w:p w14:paraId="6A22C805" w14:textId="7EF22AFB" w:rsidR="003B4F16" w:rsidRPr="00B954DA" w:rsidRDefault="00175F13" w:rsidP="003B4F16">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4. RESULTS</w:t>
      </w:r>
      <w:r w:rsidR="003B4F16">
        <w:rPr>
          <w:rFonts w:ascii="Arial" w:eastAsia="Arial" w:hAnsi="Arial" w:cs="Arial"/>
          <w:b/>
          <w:bCs/>
          <w:color w:val="000000" w:themeColor="text1"/>
        </w:rPr>
        <w:t xml:space="preserve"> &amp;</w:t>
      </w:r>
      <w:r w:rsidR="003B4F16" w:rsidRPr="00B954DA">
        <w:rPr>
          <w:rFonts w:ascii="Arial" w:eastAsia="Arial" w:hAnsi="Arial" w:cs="Arial"/>
          <w:b/>
          <w:bCs/>
          <w:color w:val="000000" w:themeColor="text1"/>
        </w:rPr>
        <w:t xml:space="preserve"> DISCUSSION</w:t>
      </w:r>
    </w:p>
    <w:p w14:paraId="1028439A" w14:textId="7ED91C62" w:rsidR="000E1A6B" w:rsidRPr="00B954DA" w:rsidRDefault="000E1A6B">
      <w:pPr>
        <w:spacing w:line="276" w:lineRule="auto"/>
        <w:rPr>
          <w:rFonts w:ascii="Arial" w:eastAsia="Arial" w:hAnsi="Arial" w:cs="Arial"/>
          <w:b/>
          <w:bCs/>
          <w:color w:val="000000" w:themeColor="text1"/>
        </w:rPr>
      </w:pPr>
    </w:p>
    <w:p w14:paraId="73B6351F"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4.1 Overview of Digital Mental Health Tools for Students</w:t>
      </w:r>
    </w:p>
    <w:p w14:paraId="3020DFB9" w14:textId="2558D401"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Many medical interventions, including digital treatment for psychological </w:t>
      </w:r>
      <w:r w:rsidR="00CD7056" w:rsidRPr="00B954DA">
        <w:rPr>
          <w:rFonts w:ascii="Arial" w:eastAsia="Arial" w:hAnsi="Arial" w:cs="Arial"/>
          <w:color w:val="000000" w:themeColor="text1"/>
          <w:sz w:val="20"/>
          <w:szCs w:val="20"/>
        </w:rPr>
        <w:t>well-being</w:t>
      </w:r>
      <w:r w:rsidRPr="00B954DA">
        <w:rPr>
          <w:rFonts w:ascii="Arial" w:eastAsia="Arial" w:hAnsi="Arial" w:cs="Arial"/>
          <w:color w:val="000000" w:themeColor="text1"/>
          <w:sz w:val="20"/>
          <w:szCs w:val="20"/>
        </w:rPr>
        <w:t>, have been developed towards the increasing prevalence of mental health issues among university students. These tools are most commonly found via mobile apps, online programs and virtual therapy settings (Fernández-</w:t>
      </w:r>
      <w:proofErr w:type="spellStart"/>
      <w:r w:rsidRPr="00B954DA">
        <w:rPr>
          <w:rFonts w:ascii="Arial" w:eastAsia="Arial" w:hAnsi="Arial" w:cs="Arial"/>
          <w:color w:val="000000" w:themeColor="text1"/>
          <w:sz w:val="20"/>
          <w:szCs w:val="20"/>
        </w:rPr>
        <w:t>Batanero</w:t>
      </w:r>
      <w:proofErr w:type="spellEnd"/>
      <w:r w:rsidRPr="00B954DA">
        <w:rPr>
          <w:rFonts w:ascii="Arial" w:eastAsia="Arial" w:hAnsi="Arial" w:cs="Arial"/>
          <w:color w:val="000000" w:themeColor="text1"/>
          <w:sz w:val="20"/>
          <w:szCs w:val="20"/>
        </w:rPr>
        <w:t xml:space="preserve"> et al., 2025; </w:t>
      </w:r>
      <w:proofErr w:type="spellStart"/>
      <w:r w:rsidRPr="00B954DA">
        <w:rPr>
          <w:rFonts w:ascii="Arial" w:eastAsia="Arial" w:hAnsi="Arial" w:cs="Arial"/>
          <w:color w:val="000000" w:themeColor="text1"/>
          <w:sz w:val="20"/>
          <w:szCs w:val="20"/>
        </w:rPr>
        <w:t>Löchner</w:t>
      </w:r>
      <w:proofErr w:type="spellEnd"/>
      <w:r w:rsidRPr="00B954DA">
        <w:rPr>
          <w:rFonts w:ascii="Arial" w:eastAsia="Arial" w:hAnsi="Arial" w:cs="Arial"/>
          <w:color w:val="000000" w:themeColor="text1"/>
          <w:sz w:val="20"/>
          <w:szCs w:val="20"/>
        </w:rPr>
        <w:t xml:space="preserve"> et al., 2025; Rashid et al., 2025). Digital mental health practices can be flexible, cost-effective, and flexible for students with problems with stigma, time constraints, and limited access to services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Rashid et al., 2025).</w:t>
      </w:r>
    </w:p>
    <w:p w14:paraId="7833809D" w14:textId="58A71671"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Here, a variety of digital mental health tools are discussed: mobile apps that provide psychoeducation, mindfulness-based exercises, and mood analysis. These apps include a range of intervention strategies such as cognitive-behavioural therapy (CBT) in-app interventions that help users identify and perform structured exercises designed to change negative thinking patterns and decrease stress and anxiety (Dekker et al., 2020; Fernández-</w:t>
      </w:r>
      <w:proofErr w:type="spellStart"/>
      <w:r w:rsidRPr="00B954DA">
        <w:rPr>
          <w:rFonts w:ascii="Arial" w:eastAsia="Arial" w:hAnsi="Arial" w:cs="Arial"/>
          <w:color w:val="000000" w:themeColor="text1"/>
          <w:sz w:val="20"/>
          <w:szCs w:val="20"/>
        </w:rPr>
        <w:t>Batanero</w:t>
      </w:r>
      <w:proofErr w:type="spellEnd"/>
      <w:r w:rsidRPr="00B954DA">
        <w:rPr>
          <w:rFonts w:ascii="Arial" w:eastAsia="Arial" w:hAnsi="Arial" w:cs="Arial"/>
          <w:color w:val="000000" w:themeColor="text1"/>
          <w:sz w:val="20"/>
          <w:szCs w:val="20"/>
        </w:rPr>
        <w:t xml:space="preserve"> et al., 2025;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Ferrari et al., 2022). Mindfulness apps also help students explore their emotions and learn to respond emotionally to guided meditation, breathing exercises and mindfulness practices (Epping-Jordan et al.,2016; Garcia-Vazquez et al., 2025; </w:t>
      </w:r>
      <w:proofErr w:type="spellStart"/>
      <w:r w:rsidRPr="00B954DA">
        <w:rPr>
          <w:rFonts w:ascii="Arial" w:eastAsia="Arial" w:hAnsi="Arial" w:cs="Arial"/>
          <w:color w:val="000000" w:themeColor="text1"/>
          <w:sz w:val="20"/>
          <w:szCs w:val="20"/>
        </w:rPr>
        <w:t>Harerimana</w:t>
      </w:r>
      <w:proofErr w:type="spellEnd"/>
      <w:r w:rsidRPr="00B954DA">
        <w:rPr>
          <w:rFonts w:ascii="Arial" w:eastAsia="Arial" w:hAnsi="Arial" w:cs="Arial"/>
          <w:color w:val="000000" w:themeColor="text1"/>
          <w:sz w:val="20"/>
          <w:szCs w:val="20"/>
        </w:rPr>
        <w:t xml:space="preserve"> et al., 2025;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w:t>
      </w:r>
      <w:proofErr w:type="spellStart"/>
      <w:r w:rsidRPr="00B954DA">
        <w:rPr>
          <w:rFonts w:ascii="Arial" w:eastAsia="Arial" w:hAnsi="Arial" w:cs="Arial"/>
          <w:color w:val="000000" w:themeColor="text1"/>
          <w:sz w:val="20"/>
          <w:szCs w:val="20"/>
        </w:rPr>
        <w:t>Praash</w:t>
      </w:r>
      <w:proofErr w:type="spellEnd"/>
      <w:r w:rsidRPr="00B954DA">
        <w:rPr>
          <w:rFonts w:ascii="Arial" w:eastAsia="Arial" w:hAnsi="Arial" w:cs="Arial"/>
          <w:color w:val="000000" w:themeColor="text1"/>
          <w:sz w:val="20"/>
          <w:szCs w:val="20"/>
        </w:rPr>
        <w:t xml:space="preserve">, 2021; </w:t>
      </w:r>
      <w:proofErr w:type="spellStart"/>
      <w:r w:rsidRPr="00B954DA">
        <w:rPr>
          <w:rFonts w:ascii="Arial" w:eastAsia="Arial" w:hAnsi="Arial" w:cs="Arial"/>
          <w:color w:val="000000" w:themeColor="text1"/>
          <w:sz w:val="20"/>
          <w:szCs w:val="20"/>
        </w:rPr>
        <w:t>Regmi</w:t>
      </w:r>
      <w:proofErr w:type="spellEnd"/>
      <w:r w:rsidRPr="00B954DA">
        <w:rPr>
          <w:rFonts w:ascii="Arial" w:eastAsia="Arial" w:hAnsi="Arial" w:cs="Arial"/>
          <w:color w:val="000000" w:themeColor="text1"/>
          <w:sz w:val="20"/>
          <w:szCs w:val="20"/>
        </w:rPr>
        <w:t xml:space="preserve"> &amp; Cohen, 2025;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w:t>
      </w:r>
    </w:p>
    <w:p w14:paraId="6ADA0104" w14:textId="507B28AA"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Telemedicine platforms use videoconferencing to connect students and mental health professionals in remote or underserved communities (</w:t>
      </w:r>
      <w:proofErr w:type="spellStart"/>
      <w:r w:rsidRPr="00B954DA">
        <w:rPr>
          <w:rFonts w:ascii="Arial" w:eastAsia="Arial" w:hAnsi="Arial" w:cs="Arial"/>
          <w:color w:val="000000" w:themeColor="text1"/>
          <w:sz w:val="20"/>
          <w:szCs w:val="20"/>
        </w:rPr>
        <w:t>Ayoola</w:t>
      </w:r>
      <w:proofErr w:type="spellEnd"/>
      <w:r w:rsidRPr="00B954DA">
        <w:rPr>
          <w:rFonts w:ascii="Arial" w:eastAsia="Arial" w:hAnsi="Arial" w:cs="Arial"/>
          <w:color w:val="000000" w:themeColor="text1"/>
          <w:sz w:val="20"/>
          <w:szCs w:val="20"/>
        </w:rPr>
        <w:t xml:space="preserve"> et al., 2025</w:t>
      </w:r>
      <w:r w:rsidR="00CD7056"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David-</w:t>
      </w:r>
      <w:proofErr w:type="spellStart"/>
      <w:r w:rsidRPr="00B954DA">
        <w:rPr>
          <w:rFonts w:ascii="Arial" w:eastAsia="Arial" w:hAnsi="Arial" w:cs="Arial"/>
          <w:color w:val="000000" w:themeColor="text1"/>
          <w:sz w:val="20"/>
          <w:szCs w:val="20"/>
        </w:rPr>
        <w:t>Olawade</w:t>
      </w:r>
      <w:proofErr w:type="spellEnd"/>
      <w:r w:rsidRPr="00B954DA">
        <w:rPr>
          <w:rFonts w:ascii="Arial" w:eastAsia="Arial" w:hAnsi="Arial" w:cs="Arial"/>
          <w:color w:val="000000" w:themeColor="text1"/>
          <w:sz w:val="20"/>
          <w:szCs w:val="20"/>
        </w:rPr>
        <w:t xml:space="preserve"> et al., 2024</w:t>
      </w:r>
      <w:r w:rsidR="00CD7056"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Haleem et</w:t>
      </w:r>
      <w:r w:rsidR="00CD7056" w:rsidRPr="00B954DA">
        <w:rPr>
          <w:rFonts w:ascii="Arial" w:eastAsia="Arial" w:hAnsi="Arial" w:cs="Arial"/>
          <w:color w:val="000000" w:themeColor="text1"/>
          <w:sz w:val="20"/>
          <w:szCs w:val="20"/>
        </w:rPr>
        <w:t xml:space="preserve"> </w:t>
      </w:r>
      <w:r w:rsidRPr="00B954DA">
        <w:rPr>
          <w:rFonts w:ascii="Arial" w:eastAsia="Arial" w:hAnsi="Arial" w:cs="Arial"/>
          <w:color w:val="000000" w:themeColor="text1"/>
          <w:sz w:val="20"/>
          <w:szCs w:val="20"/>
        </w:rPr>
        <w:t>al., 2021</w:t>
      </w:r>
      <w:r w:rsidR="00CD7056"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Nelson et al., 2023</w:t>
      </w:r>
      <w:r w:rsidR="00CD7056"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These platforms are designed to provide a more </w:t>
      </w:r>
      <w:r w:rsidR="00CD7056" w:rsidRPr="00B954DA">
        <w:rPr>
          <w:rFonts w:ascii="Arial" w:eastAsia="Arial" w:hAnsi="Arial" w:cs="Arial"/>
          <w:color w:val="000000" w:themeColor="text1"/>
          <w:sz w:val="20"/>
          <w:szCs w:val="20"/>
        </w:rPr>
        <w:t>personalised</w:t>
      </w:r>
      <w:r w:rsidRPr="00B954DA">
        <w:rPr>
          <w:rFonts w:ascii="Arial" w:eastAsia="Arial" w:hAnsi="Arial" w:cs="Arial"/>
          <w:color w:val="000000" w:themeColor="text1"/>
          <w:sz w:val="20"/>
          <w:szCs w:val="20"/>
        </w:rPr>
        <w:t xml:space="preserve"> experience than self-guided apps, incorporating </w:t>
      </w:r>
      <w:r w:rsidR="00CD7056" w:rsidRPr="00B954DA">
        <w:rPr>
          <w:rFonts w:ascii="Arial" w:eastAsia="Arial" w:hAnsi="Arial" w:cs="Arial"/>
          <w:color w:val="000000" w:themeColor="text1"/>
          <w:sz w:val="20"/>
          <w:szCs w:val="20"/>
        </w:rPr>
        <w:t>one-on-one</w:t>
      </w:r>
      <w:r w:rsidRPr="00B954DA">
        <w:rPr>
          <w:rFonts w:ascii="Arial" w:eastAsia="Arial" w:hAnsi="Arial" w:cs="Arial"/>
          <w:color w:val="000000" w:themeColor="text1"/>
          <w:sz w:val="20"/>
          <w:szCs w:val="20"/>
        </w:rPr>
        <w:t xml:space="preserve"> interaction with therapists to support </w:t>
      </w:r>
      <w:r w:rsidR="00CD7056" w:rsidRPr="00B954DA">
        <w:rPr>
          <w:rFonts w:ascii="Arial" w:eastAsia="Arial" w:hAnsi="Arial" w:cs="Arial"/>
          <w:color w:val="000000" w:themeColor="text1"/>
          <w:sz w:val="20"/>
          <w:szCs w:val="20"/>
        </w:rPr>
        <w:t>students</w:t>
      </w:r>
      <w:r w:rsidRPr="00B954DA">
        <w:rPr>
          <w:rFonts w:ascii="Arial" w:eastAsia="Arial" w:hAnsi="Arial" w:cs="Arial"/>
          <w:color w:val="000000" w:themeColor="text1"/>
          <w:sz w:val="20"/>
          <w:szCs w:val="20"/>
        </w:rPr>
        <w:t xml:space="preserve"> who might suffer from extreme mental health issues.</w:t>
      </w:r>
    </w:p>
    <w:p w14:paraId="4865EB91" w14:textId="678A89BB"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lastRenderedPageBreak/>
        <w:t xml:space="preserve">Virtual reality practices have become an interesting solution, providing immersive experiences that simulate therapeutic environments to reduce anxiety and enhance relaxation through virtual reality (Fahey, 2025; </w:t>
      </w:r>
      <w:proofErr w:type="spellStart"/>
      <w:r w:rsidRPr="00B954DA">
        <w:rPr>
          <w:rFonts w:ascii="Arial" w:eastAsia="Arial" w:hAnsi="Arial" w:cs="Arial"/>
          <w:color w:val="000000" w:themeColor="text1"/>
          <w:sz w:val="20"/>
          <w:szCs w:val="20"/>
        </w:rPr>
        <w:t>Kukharuk</w:t>
      </w:r>
      <w:proofErr w:type="spellEnd"/>
      <w:r w:rsidRPr="00B954DA">
        <w:rPr>
          <w:rFonts w:ascii="Arial" w:eastAsia="Arial" w:hAnsi="Arial" w:cs="Arial"/>
          <w:color w:val="000000" w:themeColor="text1"/>
          <w:sz w:val="20"/>
          <w:szCs w:val="20"/>
        </w:rPr>
        <w:t xml:space="preserve"> et al., 2025; Rashid et al., 2025; Zhang et al., 2025). These VR-based tools can create controlled spaces that expose students to stress in a safe, gradual manner and offer the students the opportunity to develop coping strategies for their own challenges.</w:t>
      </w:r>
    </w:p>
    <w:p w14:paraId="090AEFEC" w14:textId="56952024" w:rsidR="000E1A6B" w:rsidRPr="00B954DA" w:rsidRDefault="00175F13">
      <w:pPr>
        <w:spacing w:line="276" w:lineRule="auto"/>
        <w:jc w:val="both"/>
        <w:rPr>
          <w:rFonts w:ascii="Arial" w:eastAsia="Arial" w:hAnsi="Arial" w:cs="Arial"/>
          <w:color w:val="000000" w:themeColor="text1"/>
          <w:sz w:val="20"/>
          <w:szCs w:val="20"/>
        </w:rPr>
      </w:pPr>
      <w:proofErr w:type="spellStart"/>
      <w:r w:rsidRPr="00B954DA">
        <w:rPr>
          <w:rFonts w:ascii="Arial" w:eastAsia="Arial" w:hAnsi="Arial" w:cs="Arial"/>
          <w:color w:val="000000" w:themeColor="text1"/>
          <w:sz w:val="20"/>
          <w:szCs w:val="20"/>
        </w:rPr>
        <w:t>Digitaltools</w:t>
      </w:r>
      <w:proofErr w:type="spellEnd"/>
      <w:r w:rsidRPr="00B954DA">
        <w:rPr>
          <w:rFonts w:ascii="Arial" w:eastAsia="Arial" w:hAnsi="Arial" w:cs="Arial"/>
          <w:color w:val="000000" w:themeColor="text1"/>
          <w:sz w:val="20"/>
          <w:szCs w:val="20"/>
        </w:rPr>
        <w:t xml:space="preserve"> are </w:t>
      </w:r>
      <w:r w:rsidR="00216EEE" w:rsidRPr="00B954DA">
        <w:rPr>
          <w:rFonts w:ascii="Arial" w:eastAsia="Arial" w:hAnsi="Arial" w:cs="Arial"/>
          <w:color w:val="000000" w:themeColor="text1"/>
          <w:sz w:val="20"/>
          <w:szCs w:val="20"/>
        </w:rPr>
        <w:t>categorised</w:t>
      </w:r>
      <w:r w:rsidRPr="00B954DA">
        <w:rPr>
          <w:rFonts w:ascii="Arial" w:eastAsia="Arial" w:hAnsi="Arial" w:cs="Arial"/>
          <w:color w:val="000000" w:themeColor="text1"/>
          <w:sz w:val="20"/>
          <w:szCs w:val="20"/>
        </w:rPr>
        <w:t xml:space="preserve"> as a purpose and intervention type. For example, stress management tools include apps that provide relaxation exercises, biofeedback, and breathing strategies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Mood tracking tools help students record their emotions and identify patterns over time to gain insights into mental health and stress- and anxiety symptoms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Other social support networks, such as online forums or chatbots that offer peer counselling, connect students with peers or mental health professionals for emotional support and community-building (Dekker et al., 2020).</w:t>
      </w:r>
    </w:p>
    <w:p w14:paraId="03A2E6D6" w14:textId="370388D8"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Across all digital mental health services, there are several kinds of interventions for digital mental health with different delivery methods, purpose and targeted population. They are flexible and easily accessible to students at universities</w:t>
      </w:r>
      <w:r w:rsidR="00216EEE"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particularly in situations of stress and anxiety, and need to be addressed as mental health professionals at the school or colleges where stress and anxiety are prevalent.</w:t>
      </w:r>
    </w:p>
    <w:p w14:paraId="1B7E58C4"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4.2 Impact of Digital Mental Health Tools on Academic Performance</w:t>
      </w:r>
    </w:p>
    <w:p w14:paraId="59201372" w14:textId="5D3CF39A"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Digital mental health practices have shown promising results in improving </w:t>
      </w:r>
      <w:r w:rsidR="00216EEE" w:rsidRPr="00B954DA">
        <w:rPr>
          <w:rFonts w:ascii="Arial" w:eastAsia="Arial" w:hAnsi="Arial" w:cs="Arial"/>
          <w:color w:val="000000" w:themeColor="text1"/>
          <w:sz w:val="20"/>
          <w:szCs w:val="20"/>
        </w:rPr>
        <w:t>students'</w:t>
      </w:r>
      <w:r w:rsidRPr="00B954DA">
        <w:rPr>
          <w:rFonts w:ascii="Arial" w:eastAsia="Arial" w:hAnsi="Arial" w:cs="Arial"/>
          <w:color w:val="000000" w:themeColor="text1"/>
          <w:sz w:val="20"/>
          <w:szCs w:val="20"/>
        </w:rPr>
        <w:t xml:space="preserve"> mental health, and their academic performance. Studies consistently point to the importance of mental health in the prevention of academic outcomes; addressing psychological distress through digital intervention may provide substantial changes in cognitive functioning, stress management, and overall educational outcomes for researchers (Fernández-</w:t>
      </w:r>
      <w:proofErr w:type="spellStart"/>
      <w:r w:rsidRPr="00B954DA">
        <w:rPr>
          <w:rFonts w:ascii="Arial" w:eastAsia="Arial" w:hAnsi="Arial" w:cs="Arial"/>
          <w:color w:val="000000" w:themeColor="text1"/>
          <w:sz w:val="20"/>
          <w:szCs w:val="20"/>
        </w:rPr>
        <w:t>Batanero</w:t>
      </w:r>
      <w:proofErr w:type="spellEnd"/>
      <w:r w:rsidRPr="00B954DA">
        <w:rPr>
          <w:rFonts w:ascii="Arial" w:eastAsia="Arial" w:hAnsi="Arial" w:cs="Arial"/>
          <w:color w:val="000000" w:themeColor="text1"/>
          <w:sz w:val="20"/>
          <w:szCs w:val="20"/>
        </w:rPr>
        <w:t xml:space="preserve"> et al., 2025; Ferrari et al., 2022; </w:t>
      </w:r>
      <w:proofErr w:type="spellStart"/>
      <w:r w:rsidRPr="00B954DA">
        <w:rPr>
          <w:rFonts w:ascii="Arial" w:eastAsia="Arial" w:hAnsi="Arial" w:cs="Arial"/>
          <w:color w:val="000000" w:themeColor="text1"/>
          <w:sz w:val="20"/>
          <w:szCs w:val="20"/>
        </w:rPr>
        <w:t>Löchner</w:t>
      </w:r>
      <w:proofErr w:type="spellEnd"/>
      <w:r w:rsidRPr="00B954DA">
        <w:rPr>
          <w:rFonts w:ascii="Arial" w:eastAsia="Arial" w:hAnsi="Arial" w:cs="Arial"/>
          <w:color w:val="000000" w:themeColor="text1"/>
          <w:sz w:val="20"/>
          <w:szCs w:val="20"/>
        </w:rPr>
        <w:t xml:space="preserve"> et al., 2025;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Rashid et al., 2025).</w:t>
      </w:r>
    </w:p>
    <w:p w14:paraId="3E96D7C1" w14:textId="01B30500"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highlight w:val="yellow"/>
        </w:rPr>
        <w:t xml:space="preserve">One of the ways digital mental health tools can help improve academic performance is by relieving stress and anxiety, which have been implicated in detrimental cognitive functions, memory retention, and focus (Dekker et al., 2020). For example, CBT-based apps like </w:t>
      </w:r>
      <w:proofErr w:type="spellStart"/>
      <w:r w:rsidRPr="00B954DA">
        <w:rPr>
          <w:rFonts w:ascii="Arial" w:eastAsia="Arial" w:hAnsi="Arial" w:cs="Arial"/>
          <w:color w:val="000000" w:themeColor="text1"/>
          <w:sz w:val="20"/>
          <w:szCs w:val="20"/>
          <w:highlight w:val="yellow"/>
        </w:rPr>
        <w:t>Woebot</w:t>
      </w:r>
      <w:proofErr w:type="spellEnd"/>
      <w:r w:rsidRPr="00B954DA">
        <w:rPr>
          <w:rFonts w:ascii="Arial" w:eastAsia="Arial" w:hAnsi="Arial" w:cs="Arial"/>
          <w:color w:val="000000" w:themeColor="text1"/>
          <w:sz w:val="20"/>
          <w:szCs w:val="20"/>
          <w:highlight w:val="yellow"/>
        </w:rPr>
        <w:t xml:space="preserve"> have been found to help alleviate anxiety and stress and reduce concentration in the classroom, and are shown to also help with concentration and learning outcomes in the literature as far as concentrating and learning goals are concerned (Farzan et al., 2025; Fitzpatrick et al., 2017; </w:t>
      </w:r>
      <w:proofErr w:type="spellStart"/>
      <w:r w:rsidRPr="00B954DA">
        <w:rPr>
          <w:rFonts w:ascii="Arial" w:eastAsia="Arial" w:hAnsi="Arial" w:cs="Arial"/>
          <w:color w:val="000000" w:themeColor="text1"/>
          <w:sz w:val="20"/>
          <w:szCs w:val="20"/>
          <w:highlight w:val="yellow"/>
        </w:rPr>
        <w:t>Karkosz</w:t>
      </w:r>
      <w:proofErr w:type="spellEnd"/>
      <w:r w:rsidRPr="00B954DA">
        <w:rPr>
          <w:rFonts w:ascii="Arial" w:eastAsia="Arial" w:hAnsi="Arial" w:cs="Arial"/>
          <w:color w:val="000000" w:themeColor="text1"/>
          <w:sz w:val="20"/>
          <w:szCs w:val="20"/>
          <w:highlight w:val="yellow"/>
        </w:rPr>
        <w:t xml:space="preserve"> et al., 2024; </w:t>
      </w:r>
      <w:proofErr w:type="spellStart"/>
      <w:r w:rsidRPr="00B954DA">
        <w:rPr>
          <w:rFonts w:ascii="Arial" w:eastAsia="Arial" w:hAnsi="Arial" w:cs="Arial"/>
          <w:color w:val="000000" w:themeColor="text1"/>
          <w:sz w:val="20"/>
          <w:szCs w:val="20"/>
          <w:highlight w:val="yellow"/>
        </w:rPr>
        <w:t>Ponzo</w:t>
      </w:r>
      <w:proofErr w:type="spellEnd"/>
      <w:r w:rsidRPr="00B954DA">
        <w:rPr>
          <w:rFonts w:ascii="Arial" w:eastAsia="Arial" w:hAnsi="Arial" w:cs="Arial"/>
          <w:color w:val="000000" w:themeColor="text1"/>
          <w:sz w:val="20"/>
          <w:szCs w:val="20"/>
          <w:highlight w:val="yellow"/>
        </w:rPr>
        <w:t xml:space="preserve"> et al., 2020). Likewise, apps that incorporate mindfulness and relaxation techniques help students deal with exam-related stress, focus more during study and </w:t>
      </w:r>
      <w:r w:rsidR="00F34549" w:rsidRPr="00B954DA">
        <w:rPr>
          <w:rFonts w:ascii="Arial" w:eastAsia="Arial" w:hAnsi="Arial" w:cs="Arial"/>
          <w:color w:val="000000" w:themeColor="text1"/>
          <w:sz w:val="20"/>
          <w:szCs w:val="20"/>
          <w:highlight w:val="yellow"/>
        </w:rPr>
        <w:t xml:space="preserve">improve </w:t>
      </w:r>
      <w:r w:rsidRPr="00B954DA">
        <w:rPr>
          <w:rFonts w:ascii="Arial" w:eastAsia="Arial" w:hAnsi="Arial" w:cs="Arial"/>
          <w:color w:val="000000" w:themeColor="text1"/>
          <w:sz w:val="20"/>
          <w:szCs w:val="20"/>
          <w:highlight w:val="yellow"/>
        </w:rPr>
        <w:t xml:space="preserve">memory retention (Epping-Jordan et al., 2016; Garcia-Vazquez et al., 2025; </w:t>
      </w:r>
      <w:proofErr w:type="spellStart"/>
      <w:r w:rsidRPr="00B954DA">
        <w:rPr>
          <w:rFonts w:ascii="Arial" w:eastAsia="Arial" w:hAnsi="Arial" w:cs="Arial"/>
          <w:color w:val="000000" w:themeColor="text1"/>
          <w:sz w:val="20"/>
          <w:szCs w:val="20"/>
          <w:highlight w:val="yellow"/>
        </w:rPr>
        <w:t>Harerimana</w:t>
      </w:r>
      <w:proofErr w:type="spellEnd"/>
      <w:r w:rsidRPr="00B954DA">
        <w:rPr>
          <w:rFonts w:ascii="Arial" w:eastAsia="Arial" w:hAnsi="Arial" w:cs="Arial"/>
          <w:color w:val="000000" w:themeColor="text1"/>
          <w:sz w:val="20"/>
          <w:szCs w:val="20"/>
          <w:highlight w:val="yellow"/>
        </w:rPr>
        <w:t xml:space="preserve"> et al., 2025; </w:t>
      </w:r>
      <w:proofErr w:type="spellStart"/>
      <w:r w:rsidRPr="00B954DA">
        <w:rPr>
          <w:rFonts w:ascii="Arial" w:eastAsia="Arial" w:hAnsi="Arial" w:cs="Arial"/>
          <w:color w:val="000000" w:themeColor="text1"/>
          <w:sz w:val="20"/>
          <w:szCs w:val="20"/>
          <w:highlight w:val="yellow"/>
        </w:rPr>
        <w:t>Nosè</w:t>
      </w:r>
      <w:proofErr w:type="spellEnd"/>
      <w:r w:rsidRPr="00B954DA">
        <w:rPr>
          <w:rFonts w:ascii="Arial" w:eastAsia="Arial" w:hAnsi="Arial" w:cs="Arial"/>
          <w:color w:val="000000" w:themeColor="text1"/>
          <w:sz w:val="20"/>
          <w:szCs w:val="20"/>
          <w:highlight w:val="yellow"/>
        </w:rPr>
        <w:t xml:space="preserve"> et al., 2025).</w:t>
      </w:r>
    </w:p>
    <w:p w14:paraId="3BDFCAB3" w14:textId="42A151A1"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highlight w:val="yellow"/>
        </w:rPr>
        <w:t xml:space="preserve">In addition, digital mental health software may also improve time management skills, a key factor in academic achievement. The </w:t>
      </w:r>
      <w:r w:rsidR="00F34549" w:rsidRPr="00B954DA">
        <w:rPr>
          <w:rFonts w:ascii="Arial" w:eastAsia="Arial" w:hAnsi="Arial" w:cs="Arial"/>
          <w:color w:val="000000" w:themeColor="text1"/>
          <w:sz w:val="20"/>
          <w:szCs w:val="20"/>
          <w:highlight w:val="yellow"/>
        </w:rPr>
        <w:t>goal-setting</w:t>
      </w:r>
      <w:r w:rsidRPr="00B954DA">
        <w:rPr>
          <w:rFonts w:ascii="Arial" w:eastAsia="Arial" w:hAnsi="Arial" w:cs="Arial"/>
          <w:color w:val="000000" w:themeColor="text1"/>
          <w:sz w:val="20"/>
          <w:szCs w:val="20"/>
          <w:highlight w:val="yellow"/>
        </w:rPr>
        <w:t xml:space="preserve"> apps and strategies that involve targeted tasks that encourage successful studying to avoid procrastination may aid students in </w:t>
      </w:r>
      <w:r w:rsidR="00F34549" w:rsidRPr="00B954DA">
        <w:rPr>
          <w:rFonts w:ascii="Arial" w:eastAsia="Arial" w:hAnsi="Arial" w:cs="Arial"/>
          <w:color w:val="000000" w:themeColor="text1"/>
          <w:sz w:val="20"/>
          <w:szCs w:val="20"/>
          <w:highlight w:val="yellow"/>
        </w:rPr>
        <w:t>organising</w:t>
      </w:r>
      <w:r w:rsidRPr="00B954DA">
        <w:rPr>
          <w:rFonts w:ascii="Arial" w:eastAsia="Arial" w:hAnsi="Arial" w:cs="Arial"/>
          <w:color w:val="000000" w:themeColor="text1"/>
          <w:sz w:val="20"/>
          <w:szCs w:val="20"/>
          <w:highlight w:val="yellow"/>
        </w:rPr>
        <w:t xml:space="preserve"> their work and </w:t>
      </w:r>
      <w:r w:rsidR="00F34549" w:rsidRPr="00B954DA">
        <w:rPr>
          <w:rFonts w:ascii="Arial" w:eastAsia="Arial" w:hAnsi="Arial" w:cs="Arial"/>
          <w:color w:val="000000" w:themeColor="text1"/>
          <w:sz w:val="20"/>
          <w:szCs w:val="20"/>
          <w:highlight w:val="yellow"/>
        </w:rPr>
        <w:t>avoiding procrastination</w:t>
      </w:r>
      <w:r w:rsidRPr="00B954DA">
        <w:rPr>
          <w:rFonts w:ascii="Arial" w:eastAsia="Arial" w:hAnsi="Arial" w:cs="Arial"/>
          <w:color w:val="000000" w:themeColor="text1"/>
          <w:sz w:val="20"/>
          <w:szCs w:val="20"/>
          <w:highlight w:val="yellow"/>
        </w:rPr>
        <w:t xml:space="preserve">, which negatively impacts grades and academic achievement (Rashid et al., 2025). Life-crafting practices are tools for students to reflect on goals, plan successful actions, and match the daily practice with long-term goals (Dekker et al., 2020; </w:t>
      </w:r>
      <w:proofErr w:type="spellStart"/>
      <w:r w:rsidRPr="00B954DA">
        <w:rPr>
          <w:rFonts w:ascii="Arial" w:eastAsia="Arial" w:hAnsi="Arial" w:cs="Arial"/>
          <w:color w:val="000000" w:themeColor="text1"/>
          <w:sz w:val="20"/>
          <w:szCs w:val="20"/>
          <w:highlight w:val="yellow"/>
        </w:rPr>
        <w:t>Duchi</w:t>
      </w:r>
      <w:proofErr w:type="spellEnd"/>
      <w:r w:rsidRPr="00B954DA">
        <w:rPr>
          <w:rFonts w:ascii="Arial" w:eastAsia="Arial" w:hAnsi="Arial" w:cs="Arial"/>
          <w:color w:val="000000" w:themeColor="text1"/>
          <w:sz w:val="20"/>
          <w:szCs w:val="20"/>
          <w:highlight w:val="yellow"/>
        </w:rPr>
        <w:t xml:space="preserve"> et al., 2024; Poe et al., 2021; Schippers &amp; Ziegler, 2019). These solutions are especially helpful to first-year students who may struggle with fitting in with the demands of university life.</w:t>
      </w:r>
    </w:p>
    <w:p w14:paraId="137008BA" w14:textId="14A78081"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highlight w:val="yellow"/>
        </w:rPr>
        <w:t xml:space="preserve">Also, students who use mood tracking tools and digital therapy platforms report higher levels of academic performance and achievement (Nagar et al., 2023; </w:t>
      </w:r>
      <w:proofErr w:type="spellStart"/>
      <w:r w:rsidRPr="00B954DA">
        <w:rPr>
          <w:rFonts w:ascii="Arial" w:eastAsia="Arial" w:hAnsi="Arial" w:cs="Arial"/>
          <w:color w:val="000000" w:themeColor="text1"/>
          <w:sz w:val="20"/>
          <w:szCs w:val="20"/>
          <w:highlight w:val="yellow"/>
        </w:rPr>
        <w:t>Ponzo</w:t>
      </w:r>
      <w:proofErr w:type="spellEnd"/>
      <w:r w:rsidRPr="00B954DA">
        <w:rPr>
          <w:rFonts w:ascii="Arial" w:eastAsia="Arial" w:hAnsi="Arial" w:cs="Arial"/>
          <w:color w:val="000000" w:themeColor="text1"/>
          <w:sz w:val="20"/>
          <w:szCs w:val="20"/>
          <w:highlight w:val="yellow"/>
        </w:rPr>
        <w:t xml:space="preserve"> et al., 2020; Rafiq et al., 2024; Ramos-</w:t>
      </w:r>
      <w:proofErr w:type="spellStart"/>
      <w:r w:rsidRPr="00B954DA">
        <w:rPr>
          <w:rFonts w:ascii="Arial" w:eastAsia="Arial" w:hAnsi="Arial" w:cs="Arial"/>
          <w:color w:val="000000" w:themeColor="text1"/>
          <w:sz w:val="20"/>
          <w:szCs w:val="20"/>
          <w:highlight w:val="yellow"/>
        </w:rPr>
        <w:t>Monsivais</w:t>
      </w:r>
      <w:proofErr w:type="spellEnd"/>
      <w:r w:rsidRPr="00B954DA">
        <w:rPr>
          <w:rFonts w:ascii="Arial" w:eastAsia="Arial" w:hAnsi="Arial" w:cs="Arial"/>
          <w:color w:val="000000" w:themeColor="text1"/>
          <w:sz w:val="20"/>
          <w:szCs w:val="20"/>
          <w:highlight w:val="yellow"/>
        </w:rPr>
        <w:t xml:space="preserve"> et al., 2024; </w:t>
      </w:r>
      <w:proofErr w:type="spellStart"/>
      <w:r w:rsidRPr="00B954DA">
        <w:rPr>
          <w:rFonts w:ascii="Arial" w:eastAsia="Arial" w:hAnsi="Arial" w:cs="Arial"/>
          <w:color w:val="000000" w:themeColor="text1"/>
          <w:sz w:val="20"/>
          <w:szCs w:val="20"/>
          <w:highlight w:val="yellow"/>
        </w:rPr>
        <w:t>Riboldi</w:t>
      </w:r>
      <w:proofErr w:type="spellEnd"/>
      <w:r w:rsidRPr="00B954DA">
        <w:rPr>
          <w:rFonts w:ascii="Arial" w:eastAsia="Arial" w:hAnsi="Arial" w:cs="Arial"/>
          <w:color w:val="000000" w:themeColor="text1"/>
          <w:sz w:val="20"/>
          <w:szCs w:val="20"/>
          <w:highlight w:val="yellow"/>
        </w:rPr>
        <w:t xml:space="preserve"> et al., 2024). The insight into the emotional state and stressors that students are exposed to can help them better deal with their mental health issues before their performance is affected. For instance, some digital tools also provide room for biofeedback</w:t>
      </w:r>
      <w:r w:rsidR="00F34549" w:rsidRPr="00B954DA">
        <w:rPr>
          <w:rFonts w:ascii="Arial" w:eastAsia="Arial" w:hAnsi="Arial" w:cs="Arial"/>
          <w:color w:val="000000" w:themeColor="text1"/>
          <w:sz w:val="20"/>
          <w:szCs w:val="20"/>
          <w:highlight w:val="yellow"/>
        </w:rPr>
        <w:t>,</w:t>
      </w:r>
      <w:r w:rsidRPr="00B954DA">
        <w:rPr>
          <w:rFonts w:ascii="Arial" w:eastAsia="Arial" w:hAnsi="Arial" w:cs="Arial"/>
          <w:color w:val="000000" w:themeColor="text1"/>
          <w:sz w:val="20"/>
          <w:szCs w:val="20"/>
          <w:highlight w:val="yellow"/>
        </w:rPr>
        <w:t xml:space="preserve"> and thus students can examine their </w:t>
      </w:r>
      <w:r w:rsidRPr="00B954DA">
        <w:rPr>
          <w:rFonts w:ascii="Arial" w:eastAsia="Arial" w:hAnsi="Arial" w:cs="Arial"/>
          <w:color w:val="000000" w:themeColor="text1"/>
          <w:sz w:val="20"/>
          <w:szCs w:val="20"/>
          <w:highlight w:val="yellow"/>
        </w:rPr>
        <w:lastRenderedPageBreak/>
        <w:t>physiological responses to stress that help them to adopt better coping strategies in the face of high-pressure academic situations (</w:t>
      </w:r>
      <w:proofErr w:type="spellStart"/>
      <w:r w:rsidRPr="00B954DA">
        <w:rPr>
          <w:rFonts w:ascii="Arial" w:eastAsia="Arial" w:hAnsi="Arial" w:cs="Arial"/>
          <w:color w:val="000000" w:themeColor="text1"/>
          <w:sz w:val="20"/>
          <w:szCs w:val="20"/>
          <w:highlight w:val="yellow"/>
        </w:rPr>
        <w:t>Nosè</w:t>
      </w:r>
      <w:proofErr w:type="spellEnd"/>
      <w:r w:rsidRPr="00B954DA">
        <w:rPr>
          <w:rFonts w:ascii="Arial" w:eastAsia="Arial" w:hAnsi="Arial" w:cs="Arial"/>
          <w:color w:val="000000" w:themeColor="text1"/>
          <w:sz w:val="20"/>
          <w:szCs w:val="20"/>
          <w:highlight w:val="yellow"/>
        </w:rPr>
        <w:t xml:space="preserve"> et al., 2025).</w:t>
      </w:r>
    </w:p>
    <w:p w14:paraId="4C0B76ED" w14:textId="17EDD291"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Some other researchers have reported that during digital mental health interventions, cognitive </w:t>
      </w:r>
      <w:proofErr w:type="spellStart"/>
      <w:r w:rsidRPr="00B954DA">
        <w:rPr>
          <w:rFonts w:ascii="Arial" w:eastAsia="Arial" w:hAnsi="Arial" w:cs="Arial"/>
          <w:color w:val="000000" w:themeColor="text1"/>
          <w:sz w:val="20"/>
          <w:szCs w:val="20"/>
        </w:rPr>
        <w:t>behavioral</w:t>
      </w:r>
      <w:proofErr w:type="spellEnd"/>
      <w:r w:rsidRPr="00B954DA">
        <w:rPr>
          <w:rFonts w:ascii="Arial" w:eastAsia="Arial" w:hAnsi="Arial" w:cs="Arial"/>
          <w:color w:val="000000" w:themeColor="text1"/>
          <w:sz w:val="20"/>
          <w:szCs w:val="20"/>
        </w:rPr>
        <w:t xml:space="preserve"> therapy for decreasing stress and improving emotional control appeared to increase grades and GPA (Ferrari et al., 2022</w:t>
      </w:r>
      <w:r w:rsidR="008C6A2A"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w:t>
      </w:r>
      <w:proofErr w:type="spellStart"/>
      <w:r w:rsidRPr="00B954DA">
        <w:rPr>
          <w:rFonts w:ascii="Arial" w:eastAsia="Arial" w:hAnsi="Arial" w:cs="Arial"/>
          <w:color w:val="000000" w:themeColor="text1"/>
          <w:sz w:val="20"/>
          <w:szCs w:val="20"/>
        </w:rPr>
        <w:t>Lattie</w:t>
      </w:r>
      <w:proofErr w:type="spellEnd"/>
      <w:r w:rsidRPr="00B954DA">
        <w:rPr>
          <w:rFonts w:ascii="Arial" w:eastAsia="Arial" w:hAnsi="Arial" w:cs="Arial"/>
          <w:color w:val="000000" w:themeColor="text1"/>
          <w:sz w:val="20"/>
          <w:szCs w:val="20"/>
        </w:rPr>
        <w:t xml:space="preserve"> et al., 2019;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Rashid et al., 2025). Another study demonstrated that digital CBT measures improved focus on studies and less anxiety during the exam, resulting in improved performance on exams (Dekker et al., 2020).</w:t>
      </w:r>
    </w:p>
    <w:p w14:paraId="6EDE3424" w14:textId="4C0A5F52"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Nevertheless, the usefulness of these tools depends on the design, engagement with users, and personalisation. </w:t>
      </w:r>
      <w:r w:rsidR="008C6A2A" w:rsidRPr="00B954DA">
        <w:rPr>
          <w:rFonts w:ascii="Arial" w:eastAsia="Arial" w:hAnsi="Arial" w:cs="Arial"/>
          <w:color w:val="000000" w:themeColor="text1"/>
          <w:sz w:val="20"/>
          <w:szCs w:val="20"/>
        </w:rPr>
        <w:t>Personalised</w:t>
      </w:r>
      <w:r w:rsidRPr="00B954DA">
        <w:rPr>
          <w:rFonts w:ascii="Arial" w:eastAsia="Arial" w:hAnsi="Arial" w:cs="Arial"/>
          <w:color w:val="000000" w:themeColor="text1"/>
          <w:sz w:val="20"/>
          <w:szCs w:val="20"/>
        </w:rPr>
        <w:t xml:space="preserve"> tools offer a more effective way for students to address a specific problem, as noted by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In addition, continued practice and use of these tools is essential for long-term learning </w:t>
      </w:r>
      <w:r w:rsidR="008C6A2A" w:rsidRPr="00B954DA">
        <w:rPr>
          <w:rFonts w:ascii="Arial" w:eastAsia="Arial" w:hAnsi="Arial" w:cs="Arial"/>
          <w:color w:val="000000" w:themeColor="text1"/>
          <w:sz w:val="20"/>
          <w:szCs w:val="20"/>
        </w:rPr>
        <w:t>improvement</w:t>
      </w:r>
      <w:r w:rsidRPr="00B954DA">
        <w:rPr>
          <w:rFonts w:ascii="Arial" w:eastAsia="Arial" w:hAnsi="Arial" w:cs="Arial"/>
          <w:color w:val="000000" w:themeColor="text1"/>
          <w:sz w:val="20"/>
          <w:szCs w:val="20"/>
        </w:rPr>
        <w:t xml:space="preserve"> outcomes, just as sporadic use cannot produce significant benefits for long-term improvement.</w:t>
      </w:r>
    </w:p>
    <w:p w14:paraId="5D83454F"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4.3 Impact of Digital Mental Health Tools on Student Well-Being</w:t>
      </w:r>
    </w:p>
    <w:p w14:paraId="1006C7D6"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Digital mental health tools enhance students’ performance by boosting their overall well-being. Wellbeing encompasses emotional regulation, mental health, and overall life satisfaction, all of which are critical to the student's ability to succeed in both academic and personal endeavours (LaMonica et al., 2025; </w:t>
      </w:r>
      <w:proofErr w:type="spellStart"/>
      <w:r w:rsidRPr="00B954DA">
        <w:rPr>
          <w:rFonts w:ascii="Arial" w:eastAsia="Arial" w:hAnsi="Arial" w:cs="Arial"/>
          <w:color w:val="000000" w:themeColor="text1"/>
          <w:sz w:val="20"/>
          <w:szCs w:val="20"/>
        </w:rPr>
        <w:t>Löchner</w:t>
      </w:r>
      <w:proofErr w:type="spellEnd"/>
      <w:r w:rsidRPr="00B954DA">
        <w:rPr>
          <w:rFonts w:ascii="Arial" w:eastAsia="Arial" w:hAnsi="Arial" w:cs="Arial"/>
          <w:color w:val="000000" w:themeColor="text1"/>
          <w:sz w:val="20"/>
          <w:szCs w:val="20"/>
        </w:rPr>
        <w:t xml:space="preserve"> et al., 2025; Rashid et al., 2025).</w:t>
      </w:r>
    </w:p>
    <w:p w14:paraId="6F2D11F0" w14:textId="6643BFCC"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highlight w:val="yellow"/>
        </w:rPr>
        <w:t xml:space="preserve">Several studies have shown that mental health care tools targeted at digital use reduce stress, anxiety, and </w:t>
      </w:r>
      <w:r w:rsidR="008C6A2A" w:rsidRPr="00B954DA">
        <w:rPr>
          <w:rFonts w:ascii="Arial" w:eastAsia="Arial" w:hAnsi="Arial" w:cs="Arial"/>
          <w:color w:val="000000" w:themeColor="text1"/>
          <w:sz w:val="20"/>
          <w:szCs w:val="20"/>
          <w:highlight w:val="yellow"/>
        </w:rPr>
        <w:t>depression</w:t>
      </w:r>
      <w:r w:rsidRPr="00B954DA">
        <w:rPr>
          <w:rFonts w:ascii="Arial" w:eastAsia="Arial" w:hAnsi="Arial" w:cs="Arial"/>
          <w:color w:val="000000" w:themeColor="text1"/>
          <w:sz w:val="20"/>
          <w:szCs w:val="20"/>
          <w:highlight w:val="yellow"/>
        </w:rPr>
        <w:t>, which are essential factors that influence student well-being (Garcia-Vazquez et al., 2025</w:t>
      </w:r>
      <w:r w:rsidR="008C6A2A" w:rsidRPr="00B954DA">
        <w:rPr>
          <w:rFonts w:ascii="Arial" w:eastAsia="Arial" w:hAnsi="Arial" w:cs="Arial"/>
          <w:color w:val="000000" w:themeColor="text1"/>
          <w:sz w:val="20"/>
          <w:szCs w:val="20"/>
          <w:highlight w:val="yellow"/>
        </w:rPr>
        <w:t>;</w:t>
      </w:r>
      <w:r w:rsidRPr="00B954DA">
        <w:rPr>
          <w:rFonts w:ascii="Arial" w:eastAsia="Arial" w:hAnsi="Arial" w:cs="Arial"/>
          <w:color w:val="000000" w:themeColor="text1"/>
          <w:sz w:val="20"/>
          <w:szCs w:val="20"/>
          <w:highlight w:val="yellow"/>
        </w:rPr>
        <w:t xml:space="preserve"> </w:t>
      </w:r>
      <w:proofErr w:type="spellStart"/>
      <w:r w:rsidRPr="00B954DA">
        <w:rPr>
          <w:rFonts w:ascii="Arial" w:eastAsia="Arial" w:hAnsi="Arial" w:cs="Arial"/>
          <w:color w:val="000000" w:themeColor="text1"/>
          <w:sz w:val="20"/>
          <w:szCs w:val="20"/>
          <w:highlight w:val="yellow"/>
        </w:rPr>
        <w:t>Harerimana</w:t>
      </w:r>
      <w:proofErr w:type="spellEnd"/>
      <w:r w:rsidRPr="00B954DA">
        <w:rPr>
          <w:rFonts w:ascii="Arial" w:eastAsia="Arial" w:hAnsi="Arial" w:cs="Arial"/>
          <w:color w:val="000000" w:themeColor="text1"/>
          <w:sz w:val="20"/>
          <w:szCs w:val="20"/>
          <w:highlight w:val="yellow"/>
        </w:rPr>
        <w:t xml:space="preserve"> et al., 2025</w:t>
      </w:r>
      <w:r w:rsidR="008C6A2A" w:rsidRPr="00B954DA">
        <w:rPr>
          <w:rFonts w:ascii="Arial" w:eastAsia="Arial" w:hAnsi="Arial" w:cs="Arial"/>
          <w:color w:val="000000" w:themeColor="text1"/>
          <w:sz w:val="20"/>
          <w:szCs w:val="20"/>
          <w:highlight w:val="yellow"/>
        </w:rPr>
        <w:t>;</w:t>
      </w:r>
      <w:r w:rsidRPr="00B954DA">
        <w:rPr>
          <w:rFonts w:ascii="Arial" w:eastAsia="Arial" w:hAnsi="Arial" w:cs="Arial"/>
          <w:color w:val="000000" w:themeColor="text1"/>
          <w:sz w:val="20"/>
          <w:szCs w:val="20"/>
          <w:highlight w:val="yellow"/>
        </w:rPr>
        <w:t xml:space="preserve"> </w:t>
      </w:r>
      <w:proofErr w:type="spellStart"/>
      <w:r w:rsidRPr="00B954DA">
        <w:rPr>
          <w:rFonts w:ascii="Arial" w:eastAsia="Arial" w:hAnsi="Arial" w:cs="Arial"/>
          <w:color w:val="000000" w:themeColor="text1"/>
          <w:sz w:val="20"/>
          <w:szCs w:val="20"/>
          <w:highlight w:val="yellow"/>
        </w:rPr>
        <w:t>Nosè</w:t>
      </w:r>
      <w:proofErr w:type="spellEnd"/>
      <w:r w:rsidRPr="00B954DA">
        <w:rPr>
          <w:rFonts w:ascii="Arial" w:eastAsia="Arial" w:hAnsi="Arial" w:cs="Arial"/>
          <w:color w:val="000000" w:themeColor="text1"/>
          <w:sz w:val="20"/>
          <w:szCs w:val="20"/>
          <w:highlight w:val="yellow"/>
        </w:rPr>
        <w:t xml:space="preserve"> et al., 2025; Prakash, 2021; </w:t>
      </w:r>
      <w:proofErr w:type="spellStart"/>
      <w:r w:rsidRPr="00B954DA">
        <w:rPr>
          <w:rFonts w:ascii="Arial" w:eastAsia="Arial" w:hAnsi="Arial" w:cs="Arial"/>
          <w:color w:val="000000" w:themeColor="text1"/>
          <w:sz w:val="20"/>
          <w:szCs w:val="20"/>
          <w:highlight w:val="yellow"/>
        </w:rPr>
        <w:t>Regmi</w:t>
      </w:r>
      <w:proofErr w:type="spellEnd"/>
      <w:r w:rsidRPr="00B954DA">
        <w:rPr>
          <w:rFonts w:ascii="Arial" w:eastAsia="Arial" w:hAnsi="Arial" w:cs="Arial"/>
          <w:color w:val="000000" w:themeColor="text1"/>
          <w:sz w:val="20"/>
          <w:szCs w:val="20"/>
          <w:highlight w:val="yellow"/>
        </w:rPr>
        <w:t xml:space="preserve"> &amp; Cohen, 20250). </w:t>
      </w:r>
      <w:proofErr w:type="spellStart"/>
      <w:r w:rsidRPr="00B954DA">
        <w:rPr>
          <w:rFonts w:ascii="Arial" w:eastAsia="Arial" w:hAnsi="Arial" w:cs="Arial"/>
          <w:color w:val="000000" w:themeColor="text1"/>
          <w:sz w:val="20"/>
          <w:szCs w:val="20"/>
          <w:highlight w:val="yellow"/>
        </w:rPr>
        <w:t>Ponzo</w:t>
      </w:r>
      <w:proofErr w:type="spellEnd"/>
      <w:r w:rsidRPr="00B954DA">
        <w:rPr>
          <w:rFonts w:ascii="Arial" w:eastAsia="Arial" w:hAnsi="Arial" w:cs="Arial"/>
          <w:color w:val="000000" w:themeColor="text1"/>
          <w:sz w:val="20"/>
          <w:szCs w:val="20"/>
          <w:highlight w:val="yellow"/>
        </w:rPr>
        <w:t xml:space="preserve"> et al. (2020) reported that mindfulness-based apps such as Headspace and Calm have been found to reduce anxiety and improve mood regulation in a healthier state of well-being. These tools are used for relaxation, self-reflection, and emotional awareness, which contribute to a more balanced mental state (</w:t>
      </w:r>
      <w:proofErr w:type="spellStart"/>
      <w:r w:rsidRPr="00B954DA">
        <w:rPr>
          <w:rFonts w:ascii="Arial" w:eastAsia="Arial" w:hAnsi="Arial" w:cs="Arial"/>
          <w:color w:val="000000" w:themeColor="text1"/>
          <w:sz w:val="20"/>
          <w:szCs w:val="20"/>
          <w:highlight w:val="yellow"/>
        </w:rPr>
        <w:t>AlRefaie</w:t>
      </w:r>
      <w:proofErr w:type="spellEnd"/>
      <w:r w:rsidRPr="00B954DA">
        <w:rPr>
          <w:rFonts w:ascii="Arial" w:eastAsia="Arial" w:hAnsi="Arial" w:cs="Arial"/>
          <w:color w:val="000000" w:themeColor="text1"/>
          <w:sz w:val="20"/>
          <w:szCs w:val="20"/>
          <w:highlight w:val="yellow"/>
        </w:rPr>
        <w:t xml:space="preserve"> &amp; </w:t>
      </w:r>
      <w:proofErr w:type="spellStart"/>
      <w:r w:rsidRPr="00B954DA">
        <w:rPr>
          <w:rFonts w:ascii="Arial" w:eastAsia="Arial" w:hAnsi="Arial" w:cs="Arial"/>
          <w:color w:val="000000" w:themeColor="text1"/>
          <w:sz w:val="20"/>
          <w:szCs w:val="20"/>
          <w:highlight w:val="yellow"/>
        </w:rPr>
        <w:t>Dowrick</w:t>
      </w:r>
      <w:proofErr w:type="spellEnd"/>
      <w:r w:rsidRPr="00B954DA">
        <w:rPr>
          <w:rFonts w:ascii="Arial" w:eastAsia="Arial" w:hAnsi="Arial" w:cs="Arial"/>
          <w:color w:val="000000" w:themeColor="text1"/>
          <w:sz w:val="20"/>
          <w:szCs w:val="20"/>
          <w:highlight w:val="yellow"/>
        </w:rPr>
        <w:t xml:space="preserve">, 2021; </w:t>
      </w:r>
      <w:proofErr w:type="spellStart"/>
      <w:r w:rsidRPr="00B954DA">
        <w:rPr>
          <w:rFonts w:ascii="Arial" w:eastAsia="Arial" w:hAnsi="Arial" w:cs="Arial"/>
          <w:color w:val="000000" w:themeColor="text1"/>
          <w:sz w:val="20"/>
          <w:szCs w:val="20"/>
          <w:highlight w:val="yellow"/>
        </w:rPr>
        <w:t>Nosè</w:t>
      </w:r>
      <w:proofErr w:type="spellEnd"/>
      <w:r w:rsidRPr="00B954DA">
        <w:rPr>
          <w:rFonts w:ascii="Arial" w:eastAsia="Arial" w:hAnsi="Arial" w:cs="Arial"/>
          <w:color w:val="000000" w:themeColor="text1"/>
          <w:sz w:val="20"/>
          <w:szCs w:val="20"/>
          <w:highlight w:val="yellow"/>
        </w:rPr>
        <w:t xml:space="preserve"> et al., 2017)</w:t>
      </w:r>
      <w:r w:rsidR="008C6A2A" w:rsidRPr="00B954DA">
        <w:rPr>
          <w:rFonts w:ascii="Arial" w:eastAsia="Arial" w:hAnsi="Arial" w:cs="Arial"/>
          <w:color w:val="000000" w:themeColor="text1"/>
          <w:sz w:val="20"/>
          <w:szCs w:val="20"/>
          <w:highlight w:val="yellow"/>
        </w:rPr>
        <w:t>.</w:t>
      </w:r>
      <w:r w:rsidRPr="00B954DA">
        <w:rPr>
          <w:rFonts w:ascii="Arial" w:eastAsia="Arial" w:hAnsi="Arial" w:cs="Arial"/>
          <w:color w:val="000000" w:themeColor="text1"/>
          <w:sz w:val="20"/>
          <w:szCs w:val="20"/>
          <w:highlight w:val="yellow"/>
        </w:rPr>
        <w:t xml:space="preserve"> This emphasises that focusing on mindfulness improves students' emotional strength to manage stress effectively and maintain a positive outlook.</w:t>
      </w:r>
    </w:p>
    <w:p w14:paraId="2F16230B" w14:textId="7D4FF020"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There are also mood tracking apps that help students monitor their feelings and also help to identify patterns that might suggest underlying mental health issues like depression or anxiety (Nagar et al., 2023;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Rafiq et al., 2024; Ramos-</w:t>
      </w:r>
      <w:proofErr w:type="spellStart"/>
      <w:r w:rsidRPr="00B954DA">
        <w:rPr>
          <w:rFonts w:ascii="Arial" w:eastAsia="Arial" w:hAnsi="Arial" w:cs="Arial"/>
          <w:color w:val="000000" w:themeColor="text1"/>
          <w:sz w:val="20"/>
          <w:szCs w:val="20"/>
        </w:rPr>
        <w:t>Monsivais</w:t>
      </w:r>
      <w:proofErr w:type="spellEnd"/>
      <w:r w:rsidRPr="00B954DA">
        <w:rPr>
          <w:rFonts w:ascii="Arial" w:eastAsia="Arial" w:hAnsi="Arial" w:cs="Arial"/>
          <w:color w:val="000000" w:themeColor="text1"/>
          <w:sz w:val="20"/>
          <w:szCs w:val="20"/>
        </w:rPr>
        <w:t xml:space="preserve"> et al., 2024; </w:t>
      </w:r>
      <w:proofErr w:type="spellStart"/>
      <w:r w:rsidRPr="00B954DA">
        <w:rPr>
          <w:rFonts w:ascii="Arial" w:eastAsia="Arial" w:hAnsi="Arial" w:cs="Arial"/>
          <w:color w:val="000000" w:themeColor="text1"/>
          <w:sz w:val="20"/>
          <w:szCs w:val="20"/>
        </w:rPr>
        <w:t>Riboldi</w:t>
      </w:r>
      <w:proofErr w:type="spellEnd"/>
      <w:r w:rsidRPr="00B954DA">
        <w:rPr>
          <w:rFonts w:ascii="Arial" w:eastAsia="Arial" w:hAnsi="Arial" w:cs="Arial"/>
          <w:color w:val="000000" w:themeColor="text1"/>
          <w:sz w:val="20"/>
          <w:szCs w:val="20"/>
        </w:rPr>
        <w:t xml:space="preserve"> et al., 2024). The tools provide students with information to understand their mental health and help them develop ways to address negative feelings as they grow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Ferrari et al. (2022)</w:t>
      </w:r>
      <w:r w:rsidR="000428AB"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in support of this claim</w:t>
      </w:r>
      <w:r w:rsidR="000428AB"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reported that the improved positive effects of students’ self-esteem and self-efficacy can be attributed to regular use of such tools (Ferrari et al., 2022).</w:t>
      </w:r>
    </w:p>
    <w:p w14:paraId="7F4B2466" w14:textId="4FE00359"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Furthermore, digital therapy platforms also promote emotional </w:t>
      </w:r>
      <w:r w:rsidR="00F850C9" w:rsidRPr="00B954DA">
        <w:rPr>
          <w:rFonts w:ascii="Arial" w:eastAsia="Arial" w:hAnsi="Arial" w:cs="Arial"/>
          <w:color w:val="000000" w:themeColor="text1"/>
          <w:sz w:val="20"/>
          <w:szCs w:val="20"/>
        </w:rPr>
        <w:t>well-being</w:t>
      </w:r>
      <w:r w:rsidRPr="00B954DA">
        <w:rPr>
          <w:rFonts w:ascii="Arial" w:eastAsia="Arial" w:hAnsi="Arial" w:cs="Arial"/>
          <w:color w:val="000000" w:themeColor="text1"/>
          <w:sz w:val="20"/>
          <w:szCs w:val="20"/>
        </w:rPr>
        <w:t xml:space="preserve"> by providing accessible services to students with mental health issues. CBT and peer support platforms have demonstrated the efficacy of improving depression and anxiety, and the ability to develop self-awareness and coping skills (Dekker et al., 2020</w:t>
      </w:r>
      <w:r w:rsidR="00B35C92"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w:t>
      </w:r>
      <w:r w:rsidR="00B35C92"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Rafiq et al., 2024). Digital platforms that offer the independence to accommodate students at their own convenience help improve the ability to interact with the tool and thus produce consistent improvements in their emotional health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w:t>
      </w:r>
    </w:p>
    <w:p w14:paraId="00C0613B" w14:textId="318647D9"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In addition, the acceptability of digital tools contributes significantly to their effectiveness. As students increasingly turn to digital platforms for mental health support, they will be more likely to use these tools frequently</w:t>
      </w:r>
      <w:r w:rsidR="00B35C92" w:rsidRPr="00B954DA">
        <w:rPr>
          <w:rFonts w:ascii="Arial" w:eastAsia="Arial" w:hAnsi="Arial" w:cs="Arial"/>
          <w:color w:val="000000" w:themeColor="text1"/>
          <w:sz w:val="20"/>
          <w:szCs w:val="20"/>
        </w:rPr>
        <w:t xml:space="preserve"> and</w:t>
      </w:r>
      <w:r w:rsidRPr="00B954DA">
        <w:rPr>
          <w:rFonts w:ascii="Arial" w:eastAsia="Arial" w:hAnsi="Arial" w:cs="Arial"/>
          <w:color w:val="000000" w:themeColor="text1"/>
          <w:sz w:val="20"/>
          <w:szCs w:val="20"/>
        </w:rPr>
        <w:t xml:space="preserve"> benefit from them, especially when they can be easily used and </w:t>
      </w:r>
      <w:r w:rsidR="00BC045D" w:rsidRPr="00B954DA">
        <w:rPr>
          <w:rFonts w:ascii="Arial" w:eastAsia="Arial" w:hAnsi="Arial" w:cs="Arial"/>
          <w:color w:val="000000" w:themeColor="text1"/>
          <w:sz w:val="20"/>
          <w:szCs w:val="20"/>
        </w:rPr>
        <w:t>non-stigmatising</w:t>
      </w:r>
      <w:r w:rsidRPr="00B954DA">
        <w:rPr>
          <w:rFonts w:ascii="Arial" w:eastAsia="Arial" w:hAnsi="Arial" w:cs="Arial"/>
          <w:color w:val="000000" w:themeColor="text1"/>
          <w:sz w:val="20"/>
          <w:szCs w:val="20"/>
        </w:rPr>
        <w:t xml:space="preserve"> (</w:t>
      </w:r>
      <w:proofErr w:type="spellStart"/>
      <w:r w:rsidR="00AC4844" w:rsidRPr="00B954DA">
        <w:rPr>
          <w:rFonts w:ascii="Arial" w:eastAsia="Arial" w:hAnsi="Arial" w:cs="Arial"/>
          <w:color w:val="000000" w:themeColor="text1"/>
          <w:sz w:val="20"/>
          <w:szCs w:val="20"/>
        </w:rPr>
        <w:t>Gbollie</w:t>
      </w:r>
      <w:proofErr w:type="spellEnd"/>
      <w:r w:rsidR="00AC4844" w:rsidRPr="00B954DA">
        <w:rPr>
          <w:rFonts w:ascii="Arial" w:eastAsia="Arial" w:hAnsi="Arial" w:cs="Arial"/>
          <w:color w:val="000000" w:themeColor="text1"/>
          <w:sz w:val="20"/>
          <w:szCs w:val="20"/>
        </w:rPr>
        <w:t xml:space="preserve"> et</w:t>
      </w:r>
      <w:r w:rsidRPr="00B954DA">
        <w:rPr>
          <w:rFonts w:ascii="Arial" w:eastAsia="Arial" w:hAnsi="Arial" w:cs="Arial"/>
          <w:color w:val="000000" w:themeColor="text1"/>
          <w:sz w:val="20"/>
          <w:szCs w:val="20"/>
        </w:rPr>
        <w:t xml:space="preserve"> al., 2023; Harith et al., 2022; Rashid et al., 2025; </w:t>
      </w:r>
      <w:proofErr w:type="spellStart"/>
      <w:r w:rsidRPr="00B954DA">
        <w:rPr>
          <w:rFonts w:ascii="Arial" w:eastAsia="Arial" w:hAnsi="Arial" w:cs="Arial"/>
          <w:color w:val="000000" w:themeColor="text1"/>
          <w:sz w:val="20"/>
          <w:szCs w:val="20"/>
        </w:rPr>
        <w:t>Riboldi</w:t>
      </w:r>
      <w:proofErr w:type="spellEnd"/>
      <w:r w:rsidRPr="00B954DA">
        <w:rPr>
          <w:rFonts w:ascii="Arial" w:eastAsia="Arial" w:hAnsi="Arial" w:cs="Arial"/>
          <w:color w:val="000000" w:themeColor="text1"/>
          <w:sz w:val="20"/>
          <w:szCs w:val="20"/>
        </w:rPr>
        <w:t xml:space="preserve"> et al., 2024; </w:t>
      </w:r>
      <w:proofErr w:type="spellStart"/>
      <w:r w:rsidRPr="00B954DA">
        <w:rPr>
          <w:rFonts w:ascii="Arial" w:eastAsia="Arial" w:hAnsi="Arial" w:cs="Arial"/>
          <w:color w:val="000000" w:themeColor="text1"/>
          <w:sz w:val="20"/>
          <w:szCs w:val="20"/>
        </w:rPr>
        <w:t>Torouset</w:t>
      </w:r>
      <w:proofErr w:type="spellEnd"/>
      <w:r w:rsidRPr="00B954DA">
        <w:rPr>
          <w:rFonts w:ascii="Arial" w:eastAsia="Arial" w:hAnsi="Arial" w:cs="Arial"/>
          <w:color w:val="000000" w:themeColor="text1"/>
          <w:sz w:val="20"/>
          <w:szCs w:val="20"/>
        </w:rPr>
        <w:t xml:space="preserve"> al., 2025). This increased accessibility means that students can make their mental health a priority with no barriers associated with traditional therapy.</w:t>
      </w:r>
    </w:p>
    <w:p w14:paraId="6F5ED7CB"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lastRenderedPageBreak/>
        <w:t>4.4 Barriers and Challenges in Adopting Digital Mental Health Tools</w:t>
      </w:r>
    </w:p>
    <w:p w14:paraId="24896BE7" w14:textId="3405428F"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A number of limitations and obstacles hinder their widespread use in the classroom are barriers and challenges that threaten to hinder the adoption of digital mental health tools for the students. Most of the most significant obstacles are technological barriers, particularly amongst students who cannot obtain the tools or reliable internet connections. Some regions lack access to smartphones, computers, or broadband internet so students cannot use these tools in a more productive way (Rashid et al., 2025). This digital divide poses a challenge in ensuring equitable access to mental health support for all </w:t>
      </w:r>
      <w:r w:rsidR="006F6FAD" w:rsidRPr="00B954DA">
        <w:rPr>
          <w:rFonts w:ascii="Arial" w:eastAsia="Arial" w:hAnsi="Arial" w:cs="Arial"/>
          <w:color w:val="000000" w:themeColor="text1"/>
          <w:sz w:val="20"/>
          <w:szCs w:val="20"/>
        </w:rPr>
        <w:t>students</w:t>
      </w:r>
      <w:r w:rsidRPr="00B954DA">
        <w:rPr>
          <w:rFonts w:ascii="Arial" w:eastAsia="Arial" w:hAnsi="Arial" w:cs="Arial"/>
          <w:color w:val="000000" w:themeColor="text1"/>
          <w:sz w:val="20"/>
          <w:szCs w:val="20"/>
        </w:rPr>
        <w:t>.</w:t>
      </w:r>
    </w:p>
    <w:p w14:paraId="46FD442D" w14:textId="37787911"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Another barrier is privacy concerns. Many students are reluctant to take digital mental health tools because their data is confidential. By contrast, mental health information and its privacy issues, some students may decline to use platforms for storage or sharing of their data, especially if they are uncertain about the security measures of the platform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While data breaches and the misuse of personal information are at risk, it may prevent students from having the ability to fully use these tools, reducing their effectiveness.</w:t>
      </w:r>
    </w:p>
    <w:p w14:paraId="7D2D4238"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Also, little time has been spent on digital tools. While mental health apps are used by many students, the drop-off rate in sustained usage is high. Some students abandon digital tools after a short period of time because of low motivation, perceived value or difficulty in using the tool in everyday life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Without continued engagement, digital interventions are limited; their effect is often contingent upon the regular use and extended involvement of the intervention.</w:t>
      </w:r>
    </w:p>
    <w:p w14:paraId="4C52504F" w14:textId="67B877A0"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Another challenge with digital access is the stigma surrounding mental health. Though digital tools are often more discreet than traditional therapy, some students still see these instruments as an admission of weakness or failure, denying them access to help (Ferrari et al., 2022). This stigma primarily occurs in cultures </w:t>
      </w:r>
      <w:r w:rsidR="006C794C" w:rsidRPr="00B954DA">
        <w:rPr>
          <w:rFonts w:ascii="Arial" w:eastAsia="Arial" w:hAnsi="Arial" w:cs="Arial"/>
          <w:color w:val="000000" w:themeColor="text1"/>
          <w:sz w:val="20"/>
          <w:szCs w:val="20"/>
        </w:rPr>
        <w:t>characterised</w:t>
      </w:r>
      <w:r w:rsidRPr="00B954DA">
        <w:rPr>
          <w:rFonts w:ascii="Arial" w:eastAsia="Arial" w:hAnsi="Arial" w:cs="Arial"/>
          <w:color w:val="000000" w:themeColor="text1"/>
          <w:sz w:val="20"/>
          <w:szCs w:val="20"/>
        </w:rPr>
        <w:t xml:space="preserve"> by negative regard for mental health issues or where psychologists may refer to mental health issues as socially unacceptable seeking help for psychotic conditions.</w:t>
      </w:r>
    </w:p>
    <w:p w14:paraId="0CDFCB2E" w14:textId="26EDAD10"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Lastly, </w:t>
      </w:r>
      <w:r w:rsidR="006C794C" w:rsidRPr="00B954DA">
        <w:rPr>
          <w:rFonts w:ascii="Arial" w:eastAsia="Arial" w:hAnsi="Arial" w:cs="Arial"/>
          <w:color w:val="000000" w:themeColor="text1"/>
          <w:sz w:val="20"/>
          <w:szCs w:val="20"/>
        </w:rPr>
        <w:t xml:space="preserve">the </w:t>
      </w:r>
      <w:r w:rsidRPr="00B954DA">
        <w:rPr>
          <w:rFonts w:ascii="Arial" w:eastAsia="Arial" w:hAnsi="Arial" w:cs="Arial"/>
          <w:color w:val="000000" w:themeColor="text1"/>
          <w:sz w:val="20"/>
          <w:szCs w:val="20"/>
        </w:rPr>
        <w:t xml:space="preserve">lack of </w:t>
      </w:r>
      <w:r w:rsidR="006C794C" w:rsidRPr="00B954DA">
        <w:rPr>
          <w:rFonts w:ascii="Arial" w:eastAsia="Arial" w:hAnsi="Arial" w:cs="Arial"/>
          <w:color w:val="000000" w:themeColor="text1"/>
          <w:sz w:val="20"/>
          <w:szCs w:val="20"/>
        </w:rPr>
        <w:t>personalisation</w:t>
      </w:r>
      <w:r w:rsidRPr="00B954DA">
        <w:rPr>
          <w:rFonts w:ascii="Arial" w:eastAsia="Arial" w:hAnsi="Arial" w:cs="Arial"/>
          <w:color w:val="000000" w:themeColor="text1"/>
          <w:sz w:val="20"/>
          <w:szCs w:val="20"/>
        </w:rPr>
        <w:t xml:space="preserve"> in some digital tools can also affect their effectiveness. Some of the interventions with </w:t>
      </w:r>
      <w:r w:rsidR="00375777" w:rsidRPr="00B954DA">
        <w:rPr>
          <w:rFonts w:ascii="Arial" w:eastAsia="Arial" w:hAnsi="Arial" w:cs="Arial"/>
          <w:color w:val="000000" w:themeColor="text1"/>
          <w:sz w:val="20"/>
          <w:szCs w:val="20"/>
        </w:rPr>
        <w:t>individualised</w:t>
      </w:r>
      <w:r w:rsidRPr="00B954DA">
        <w:rPr>
          <w:rFonts w:ascii="Arial" w:eastAsia="Arial" w:hAnsi="Arial" w:cs="Arial"/>
          <w:color w:val="000000" w:themeColor="text1"/>
          <w:sz w:val="20"/>
          <w:szCs w:val="20"/>
        </w:rPr>
        <w:t xml:space="preserve"> or individual needs and preferences for students may not reach the users of their intended outcomes</w:t>
      </w:r>
      <w:r w:rsidR="00375777"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but could affect participants by engaging with them through </w:t>
      </w:r>
      <w:r w:rsidR="00375777" w:rsidRPr="00B954DA">
        <w:rPr>
          <w:rFonts w:ascii="Arial" w:eastAsia="Arial" w:hAnsi="Arial" w:cs="Arial"/>
          <w:color w:val="000000" w:themeColor="text1"/>
          <w:sz w:val="20"/>
          <w:szCs w:val="20"/>
        </w:rPr>
        <w:t>personalisation</w:t>
      </w:r>
      <w:r w:rsidRPr="00B954DA">
        <w:rPr>
          <w:rFonts w:ascii="Arial" w:eastAsia="Arial" w:hAnsi="Arial" w:cs="Arial"/>
          <w:color w:val="000000" w:themeColor="text1"/>
          <w:sz w:val="20"/>
          <w:szCs w:val="20"/>
        </w:rPr>
        <w:t xml:space="preserve"> (Dekker et al., 2020). </w:t>
      </w:r>
      <w:r w:rsidR="00375777" w:rsidRPr="00B954DA">
        <w:rPr>
          <w:rFonts w:ascii="Arial" w:eastAsia="Arial" w:hAnsi="Arial" w:cs="Arial"/>
          <w:color w:val="000000" w:themeColor="text1"/>
          <w:sz w:val="20"/>
          <w:szCs w:val="20"/>
        </w:rPr>
        <w:t>Personalisation</w:t>
      </w:r>
      <w:r w:rsidRPr="00B954DA">
        <w:rPr>
          <w:rFonts w:ascii="Arial" w:eastAsia="Arial" w:hAnsi="Arial" w:cs="Arial"/>
          <w:color w:val="000000" w:themeColor="text1"/>
          <w:sz w:val="20"/>
          <w:szCs w:val="20"/>
        </w:rPr>
        <w:t xml:space="preserve"> and </w:t>
      </w:r>
      <w:r w:rsidR="00375777" w:rsidRPr="00B954DA">
        <w:rPr>
          <w:rFonts w:ascii="Arial" w:eastAsia="Arial" w:hAnsi="Arial" w:cs="Arial"/>
          <w:color w:val="000000" w:themeColor="text1"/>
          <w:sz w:val="20"/>
          <w:szCs w:val="20"/>
        </w:rPr>
        <w:t>individualisation</w:t>
      </w:r>
      <w:r w:rsidRPr="00B954DA">
        <w:rPr>
          <w:rFonts w:ascii="Arial" w:eastAsia="Arial" w:hAnsi="Arial" w:cs="Arial"/>
          <w:color w:val="000000" w:themeColor="text1"/>
          <w:sz w:val="20"/>
          <w:szCs w:val="20"/>
        </w:rPr>
        <w:t xml:space="preserve"> should improve the relevance and impact of digital interventions</w:t>
      </w:r>
      <w:r w:rsidR="00375777"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allowing students to make more explicit choices for tools that they believe are necessary for them and to improve outcomes.</w:t>
      </w:r>
    </w:p>
    <w:p w14:paraId="00826D72"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4.5 Integration of Digital Tools into Educational Environments</w:t>
      </w:r>
    </w:p>
    <w:p w14:paraId="26AD57B4" w14:textId="1C104E00"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As digital mental health technologies grow more prominent, many educational institutions are beginning to incorporate the technology into their existing mental health programs to improve student welfare. With the deployment of these tools within the curriculum, </w:t>
      </w:r>
      <w:r w:rsidR="00846C07" w:rsidRPr="00B954DA">
        <w:rPr>
          <w:rFonts w:ascii="Arial" w:eastAsia="Arial" w:hAnsi="Arial" w:cs="Arial"/>
          <w:color w:val="000000" w:themeColor="text1"/>
          <w:sz w:val="20"/>
          <w:szCs w:val="20"/>
        </w:rPr>
        <w:t>they</w:t>
      </w:r>
      <w:r w:rsidRPr="00B954DA">
        <w:rPr>
          <w:rFonts w:ascii="Arial" w:eastAsia="Arial" w:hAnsi="Arial" w:cs="Arial"/>
          <w:color w:val="000000" w:themeColor="text1"/>
          <w:sz w:val="20"/>
          <w:szCs w:val="20"/>
        </w:rPr>
        <w:t xml:space="preserve"> are in an area of open and flexible choice for addressing the growing need to meet the demands of mental health support among students (Rashid et al., 2025).</w:t>
      </w:r>
    </w:p>
    <w:p w14:paraId="630A4B16" w14:textId="23354A91"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Many universities are moving digital mental health systems into their counselling systems with the goal of giving students a combination of traditional face-to-face therapy and digital therapy. The hybrid model </w:t>
      </w:r>
      <w:r w:rsidR="00846C07" w:rsidRPr="00B954DA">
        <w:rPr>
          <w:rFonts w:ascii="Arial" w:eastAsia="Arial" w:hAnsi="Arial" w:cs="Arial"/>
          <w:color w:val="000000" w:themeColor="text1"/>
          <w:sz w:val="20"/>
          <w:szCs w:val="20"/>
        </w:rPr>
        <w:t>gives</w:t>
      </w:r>
      <w:r w:rsidRPr="00B954DA">
        <w:rPr>
          <w:rFonts w:ascii="Arial" w:eastAsia="Arial" w:hAnsi="Arial" w:cs="Arial"/>
          <w:color w:val="000000" w:themeColor="text1"/>
          <w:sz w:val="20"/>
          <w:szCs w:val="20"/>
        </w:rPr>
        <w:t xml:space="preserve"> the students the opportunity to seek immediate support via the internet and mobile apps without the need for counselling. Some universities have used mobile apps for stress management, anxiety reduction and emotional well-being, which students can access at home. This complements the existing services through self-directed interventions for needs, during exams or at high school stress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w:t>
      </w:r>
    </w:p>
    <w:p w14:paraId="1CEF8743" w14:textId="6FD327F9"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Also, universities have started incorporating digital tools into the academic curriculum to promote mental health. Institutions have collaborated with digital mental health platforms to provide well-being modules as </w:t>
      </w:r>
      <w:r w:rsidRPr="00B954DA">
        <w:rPr>
          <w:rFonts w:ascii="Arial" w:eastAsia="Arial" w:hAnsi="Arial" w:cs="Arial"/>
          <w:color w:val="000000" w:themeColor="text1"/>
          <w:sz w:val="20"/>
          <w:szCs w:val="20"/>
        </w:rPr>
        <w:lastRenderedPageBreak/>
        <w:t>part of the curriculum</w:t>
      </w:r>
      <w:r w:rsidR="005A5641"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such that the tools are also included alongside the coursework. These tools are usually included in mandatory orientation programs to ensure that students get to learn about these resources and are encouraged to use them regularly. This actually encourages their awareness and </w:t>
      </w:r>
      <w:r w:rsidR="002F0E8E" w:rsidRPr="00B954DA">
        <w:rPr>
          <w:rFonts w:ascii="Arial" w:eastAsia="Arial" w:hAnsi="Arial" w:cs="Arial"/>
          <w:color w:val="000000" w:themeColor="text1"/>
          <w:sz w:val="20"/>
          <w:szCs w:val="20"/>
        </w:rPr>
        <w:t>normalises</w:t>
      </w:r>
      <w:r w:rsidRPr="00B954DA">
        <w:rPr>
          <w:rFonts w:ascii="Arial" w:eastAsia="Arial" w:hAnsi="Arial" w:cs="Arial"/>
          <w:color w:val="000000" w:themeColor="text1"/>
          <w:sz w:val="20"/>
          <w:szCs w:val="20"/>
        </w:rPr>
        <w:t xml:space="preserve"> the use of digital mental health tools, which reduces stigma and increases engagement (Dekker et al., 2020).</w:t>
      </w:r>
    </w:p>
    <w:p w14:paraId="2C24E5AA" w14:textId="5240A0A0"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Another approach recorded is that universities use AI-powered chatbots and virtual therapy platforms as part of their mental health outreach efforts. These tools are integrated into the university’s website and </w:t>
      </w:r>
      <w:r w:rsidR="002F0E8E" w:rsidRPr="00B954DA">
        <w:rPr>
          <w:rFonts w:ascii="Arial" w:eastAsia="Arial" w:hAnsi="Arial" w:cs="Arial"/>
          <w:color w:val="000000" w:themeColor="text1"/>
          <w:sz w:val="20"/>
          <w:szCs w:val="20"/>
        </w:rPr>
        <w:t>students’</w:t>
      </w:r>
      <w:r w:rsidRPr="00B954DA">
        <w:rPr>
          <w:rFonts w:ascii="Arial" w:eastAsia="Arial" w:hAnsi="Arial" w:cs="Arial"/>
          <w:color w:val="000000" w:themeColor="text1"/>
          <w:sz w:val="20"/>
          <w:szCs w:val="20"/>
        </w:rPr>
        <w:t xml:space="preserve"> portal, giving the students support and not </w:t>
      </w:r>
      <w:r w:rsidR="002F0E8E" w:rsidRPr="00B954DA">
        <w:rPr>
          <w:rFonts w:ascii="Arial" w:eastAsia="Arial" w:hAnsi="Arial" w:cs="Arial"/>
          <w:color w:val="000000" w:themeColor="text1"/>
          <w:sz w:val="20"/>
          <w:szCs w:val="20"/>
        </w:rPr>
        <w:t>literally</w:t>
      </w:r>
      <w:r w:rsidRPr="00B954DA">
        <w:rPr>
          <w:rFonts w:ascii="Arial" w:eastAsia="Arial" w:hAnsi="Arial" w:cs="Arial"/>
          <w:color w:val="000000" w:themeColor="text1"/>
          <w:sz w:val="20"/>
          <w:szCs w:val="20"/>
        </w:rPr>
        <w:t xml:space="preserve"> needing to fix </w:t>
      </w:r>
      <w:r w:rsidR="002F0E8E" w:rsidRPr="00B954DA">
        <w:rPr>
          <w:rFonts w:ascii="Arial" w:eastAsia="Arial" w:hAnsi="Arial" w:cs="Arial"/>
          <w:color w:val="000000" w:themeColor="text1"/>
          <w:sz w:val="20"/>
          <w:szCs w:val="20"/>
        </w:rPr>
        <w:t xml:space="preserve">an </w:t>
      </w:r>
      <w:r w:rsidRPr="00B954DA">
        <w:rPr>
          <w:rFonts w:ascii="Arial" w:eastAsia="Arial" w:hAnsi="Arial" w:cs="Arial"/>
          <w:color w:val="000000" w:themeColor="text1"/>
          <w:sz w:val="20"/>
          <w:szCs w:val="20"/>
        </w:rPr>
        <w:t>appointment to undergo physical counselling. These virtual platforms often include measures to measure mood, stress and mental health symptoms</w:t>
      </w:r>
      <w:r w:rsidR="002F0E8E"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which allow students to receive timely information for </w:t>
      </w:r>
      <w:r w:rsidR="002F0E8E" w:rsidRPr="00B954DA">
        <w:rPr>
          <w:rFonts w:ascii="Arial" w:eastAsia="Arial" w:hAnsi="Arial" w:cs="Arial"/>
          <w:color w:val="000000" w:themeColor="text1"/>
          <w:sz w:val="20"/>
          <w:szCs w:val="20"/>
        </w:rPr>
        <w:t xml:space="preserve">their </w:t>
      </w:r>
      <w:r w:rsidRPr="00B954DA">
        <w:rPr>
          <w:rFonts w:ascii="Arial" w:eastAsia="Arial" w:hAnsi="Arial" w:cs="Arial"/>
          <w:color w:val="000000" w:themeColor="text1"/>
          <w:sz w:val="20"/>
          <w:szCs w:val="20"/>
        </w:rPr>
        <w:t>current emotional status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w:t>
      </w:r>
    </w:p>
    <w:p w14:paraId="1E8B79CF" w14:textId="513C5714" w:rsidR="000E1A6B" w:rsidRPr="00B954DA" w:rsidRDefault="00175F13">
      <w:pPr>
        <w:spacing w:line="276" w:lineRule="auto"/>
        <w:jc w:val="both"/>
        <w:rPr>
          <w:rFonts w:ascii="Arial" w:eastAsia="Arial" w:hAnsi="Arial" w:cs="Arial"/>
          <w:color w:val="000000" w:themeColor="text1"/>
          <w:sz w:val="20"/>
          <w:szCs w:val="20"/>
        </w:rPr>
        <w:sectPr w:rsidR="000E1A6B" w:rsidRPr="00B954D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r w:rsidRPr="00B954DA">
        <w:rPr>
          <w:rFonts w:ascii="Arial" w:eastAsia="Arial" w:hAnsi="Arial" w:cs="Arial"/>
          <w:color w:val="000000" w:themeColor="text1"/>
          <w:sz w:val="20"/>
          <w:szCs w:val="20"/>
        </w:rPr>
        <w:t xml:space="preserve">Some other institutions are already incorporating digital mental health tools into peer support programs. They train students to use these tools and share </w:t>
      </w:r>
      <w:r w:rsidR="00FA47C4" w:rsidRPr="00B954DA">
        <w:rPr>
          <w:rFonts w:ascii="Arial" w:eastAsia="Arial" w:hAnsi="Arial" w:cs="Arial"/>
          <w:color w:val="000000" w:themeColor="text1"/>
          <w:sz w:val="20"/>
          <w:szCs w:val="20"/>
        </w:rPr>
        <w:t>it</w:t>
      </w:r>
      <w:r w:rsidRPr="00B954DA">
        <w:rPr>
          <w:rFonts w:ascii="Arial" w:eastAsia="Arial" w:hAnsi="Arial" w:cs="Arial"/>
          <w:color w:val="000000" w:themeColor="text1"/>
          <w:sz w:val="20"/>
          <w:szCs w:val="20"/>
        </w:rPr>
        <w:t xml:space="preserve"> with them through peer-facilitated counselling sessions. Higher institutions can continue to help educate and support mental health awareness and peer support networks</w:t>
      </w:r>
      <w:r w:rsidR="002F0E8E"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as this is particularly useful because it complements the benefits of digital intervention with a supportive role for peers, making mental health care more accessible and less intimidating.</w:t>
      </w:r>
      <w:r w:rsidRPr="00B954DA">
        <w:rPr>
          <w:color w:val="000000" w:themeColor="text1"/>
        </w:rPr>
        <w:br w:type="page"/>
      </w:r>
    </w:p>
    <w:p w14:paraId="35D00DC0" w14:textId="31746016"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lastRenderedPageBreak/>
        <w:t>Synthesis of Findings</w:t>
      </w:r>
    </w:p>
    <w:p w14:paraId="09AC3D65" w14:textId="48B6D8FB" w:rsidR="000E1A6B" w:rsidRPr="00B954DA" w:rsidRDefault="00175F13">
      <w:pPr>
        <w:spacing w:line="276" w:lineRule="auto"/>
        <w:rPr>
          <w:rFonts w:ascii="Arial" w:eastAsia="Arial" w:hAnsi="Arial" w:cs="Arial"/>
          <w:b/>
          <w:bCs/>
          <w:color w:val="000000" w:themeColor="text1"/>
          <w:sz w:val="20"/>
          <w:szCs w:val="20"/>
        </w:rPr>
      </w:pPr>
      <w:r w:rsidRPr="00B954DA">
        <w:rPr>
          <w:rFonts w:ascii="Arial" w:eastAsia="Arial" w:hAnsi="Arial" w:cs="Arial"/>
          <w:b/>
          <w:bCs/>
          <w:color w:val="000000" w:themeColor="text1"/>
          <w:sz w:val="20"/>
          <w:szCs w:val="20"/>
        </w:rPr>
        <w:t xml:space="preserve">Table </w:t>
      </w:r>
      <w:r w:rsidR="00E410C2">
        <w:rPr>
          <w:rFonts w:ascii="Arial" w:eastAsia="Arial" w:hAnsi="Arial" w:cs="Arial"/>
          <w:b/>
          <w:bCs/>
          <w:color w:val="000000" w:themeColor="text1"/>
          <w:sz w:val="20"/>
          <w:szCs w:val="20"/>
        </w:rPr>
        <w:t>1</w:t>
      </w:r>
      <w:r w:rsidRPr="00B954DA">
        <w:rPr>
          <w:rFonts w:ascii="Arial" w:eastAsia="Arial" w:hAnsi="Arial" w:cs="Arial"/>
          <w:b/>
          <w:bCs/>
          <w:color w:val="000000" w:themeColor="text1"/>
          <w:sz w:val="20"/>
          <w:szCs w:val="20"/>
        </w:rPr>
        <w:t xml:space="preserve">: Synthesis of findings summary </w:t>
      </w:r>
    </w:p>
    <w:tbl>
      <w:tblPr>
        <w:tblStyle w:val="a"/>
        <w:tblW w:w="1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3"/>
        <w:gridCol w:w="2490"/>
        <w:gridCol w:w="2040"/>
        <w:gridCol w:w="2278"/>
        <w:gridCol w:w="1940"/>
        <w:gridCol w:w="1932"/>
      </w:tblGrid>
      <w:tr w:rsidR="00B954DA" w:rsidRPr="00B954DA" w14:paraId="5FB2B793" w14:textId="77777777">
        <w:trPr>
          <w:trHeight w:val="630"/>
        </w:trPr>
        <w:tc>
          <w:tcPr>
            <w:tcW w:w="2073" w:type="dxa"/>
          </w:tcPr>
          <w:p w14:paraId="2FBBF979" w14:textId="77777777" w:rsidR="000E1A6B" w:rsidRPr="00B954DA" w:rsidRDefault="00175F13">
            <w:pPr>
              <w:spacing w:line="276" w:lineRule="auto"/>
              <w:rPr>
                <w:rFonts w:ascii="Arial" w:eastAsia="Arial" w:hAnsi="Arial" w:cs="Arial"/>
                <w:b/>
                <w:bCs/>
                <w:color w:val="000000" w:themeColor="text1"/>
                <w:sz w:val="20"/>
                <w:szCs w:val="20"/>
              </w:rPr>
            </w:pPr>
            <w:r w:rsidRPr="00B954DA">
              <w:rPr>
                <w:rFonts w:ascii="Arial" w:eastAsia="Arial" w:hAnsi="Arial" w:cs="Arial"/>
                <w:b/>
                <w:bCs/>
                <w:color w:val="000000" w:themeColor="text1"/>
                <w:sz w:val="20"/>
                <w:szCs w:val="20"/>
              </w:rPr>
              <w:t>Category</w:t>
            </w:r>
          </w:p>
        </w:tc>
        <w:tc>
          <w:tcPr>
            <w:tcW w:w="2490" w:type="dxa"/>
          </w:tcPr>
          <w:p w14:paraId="595E701F" w14:textId="77777777" w:rsidR="000E1A6B" w:rsidRPr="00B954DA" w:rsidRDefault="00175F13">
            <w:pPr>
              <w:spacing w:line="276" w:lineRule="auto"/>
              <w:rPr>
                <w:rFonts w:ascii="Arial" w:eastAsia="Arial" w:hAnsi="Arial" w:cs="Arial"/>
                <w:b/>
                <w:bCs/>
                <w:color w:val="000000" w:themeColor="text1"/>
                <w:sz w:val="20"/>
                <w:szCs w:val="20"/>
              </w:rPr>
            </w:pPr>
            <w:r w:rsidRPr="00B954DA">
              <w:rPr>
                <w:rFonts w:ascii="Arial" w:eastAsia="Arial" w:hAnsi="Arial" w:cs="Arial"/>
                <w:b/>
                <w:bCs/>
                <w:color w:val="000000" w:themeColor="text1"/>
                <w:sz w:val="20"/>
                <w:szCs w:val="20"/>
              </w:rPr>
              <w:t>Core mechanisms and synthesized effects</w:t>
            </w:r>
          </w:p>
        </w:tc>
        <w:tc>
          <w:tcPr>
            <w:tcW w:w="2040" w:type="dxa"/>
          </w:tcPr>
          <w:p w14:paraId="170034F3" w14:textId="77777777" w:rsidR="000E1A6B" w:rsidRPr="00B954DA" w:rsidRDefault="00175F13">
            <w:pPr>
              <w:spacing w:line="276" w:lineRule="auto"/>
              <w:rPr>
                <w:rFonts w:ascii="Arial" w:eastAsia="Arial" w:hAnsi="Arial" w:cs="Arial"/>
                <w:b/>
                <w:bCs/>
                <w:color w:val="000000" w:themeColor="text1"/>
                <w:sz w:val="20"/>
                <w:szCs w:val="20"/>
              </w:rPr>
            </w:pPr>
            <w:r w:rsidRPr="00B954DA">
              <w:rPr>
                <w:rFonts w:ascii="Arial" w:eastAsia="Arial" w:hAnsi="Arial" w:cs="Arial"/>
                <w:b/>
                <w:bCs/>
                <w:color w:val="000000" w:themeColor="text1"/>
                <w:sz w:val="20"/>
                <w:szCs w:val="20"/>
              </w:rPr>
              <w:t>Representative tools/examples</w:t>
            </w:r>
          </w:p>
        </w:tc>
        <w:tc>
          <w:tcPr>
            <w:tcW w:w="2278" w:type="dxa"/>
          </w:tcPr>
          <w:p w14:paraId="7DFC0007" w14:textId="77777777" w:rsidR="000E1A6B" w:rsidRPr="00B954DA" w:rsidRDefault="00175F13">
            <w:pPr>
              <w:spacing w:line="276" w:lineRule="auto"/>
              <w:rPr>
                <w:rFonts w:ascii="Arial" w:eastAsia="Arial" w:hAnsi="Arial" w:cs="Arial"/>
                <w:b/>
                <w:bCs/>
                <w:color w:val="000000" w:themeColor="text1"/>
                <w:sz w:val="20"/>
                <w:szCs w:val="20"/>
              </w:rPr>
            </w:pPr>
            <w:r w:rsidRPr="00B954DA">
              <w:rPr>
                <w:rFonts w:ascii="Arial" w:eastAsia="Arial" w:hAnsi="Arial" w:cs="Arial"/>
                <w:b/>
                <w:bCs/>
                <w:color w:val="000000" w:themeColor="text1"/>
                <w:sz w:val="20"/>
                <w:szCs w:val="20"/>
              </w:rPr>
              <w:t>Academic performance impacts</w:t>
            </w:r>
          </w:p>
        </w:tc>
        <w:tc>
          <w:tcPr>
            <w:tcW w:w="1940" w:type="dxa"/>
          </w:tcPr>
          <w:p w14:paraId="4799FDC2" w14:textId="77777777" w:rsidR="000E1A6B" w:rsidRPr="00B954DA" w:rsidRDefault="00175F13">
            <w:pPr>
              <w:spacing w:line="276" w:lineRule="auto"/>
              <w:rPr>
                <w:rFonts w:ascii="Arial" w:eastAsia="Arial" w:hAnsi="Arial" w:cs="Arial"/>
                <w:b/>
                <w:bCs/>
                <w:color w:val="000000" w:themeColor="text1"/>
                <w:sz w:val="20"/>
                <w:szCs w:val="20"/>
              </w:rPr>
            </w:pPr>
            <w:r w:rsidRPr="00B954DA">
              <w:rPr>
                <w:rFonts w:ascii="Arial" w:eastAsia="Arial" w:hAnsi="Arial" w:cs="Arial"/>
                <w:b/>
                <w:bCs/>
                <w:color w:val="000000" w:themeColor="text1"/>
                <w:sz w:val="20"/>
                <w:szCs w:val="20"/>
              </w:rPr>
              <w:t>Well-being impacts</w:t>
            </w:r>
          </w:p>
        </w:tc>
        <w:tc>
          <w:tcPr>
            <w:tcW w:w="1932" w:type="dxa"/>
          </w:tcPr>
          <w:p w14:paraId="79A8E6FF" w14:textId="77777777" w:rsidR="000E1A6B" w:rsidRPr="00B954DA" w:rsidRDefault="00175F13">
            <w:pPr>
              <w:spacing w:line="276" w:lineRule="auto"/>
              <w:rPr>
                <w:rFonts w:ascii="Arial" w:eastAsia="Arial" w:hAnsi="Arial" w:cs="Arial"/>
                <w:b/>
                <w:bCs/>
                <w:color w:val="000000" w:themeColor="text1"/>
                <w:sz w:val="20"/>
                <w:szCs w:val="20"/>
              </w:rPr>
            </w:pPr>
            <w:r w:rsidRPr="00B954DA">
              <w:rPr>
                <w:rFonts w:ascii="Arial" w:eastAsia="Arial" w:hAnsi="Arial" w:cs="Arial"/>
                <w:b/>
                <w:bCs/>
                <w:color w:val="000000" w:themeColor="text1"/>
                <w:sz w:val="20"/>
                <w:szCs w:val="20"/>
              </w:rPr>
              <w:t>Representative citations</w:t>
            </w:r>
          </w:p>
        </w:tc>
      </w:tr>
      <w:tr w:rsidR="00B954DA" w:rsidRPr="00B954DA" w14:paraId="492B9CF6" w14:textId="77777777">
        <w:trPr>
          <w:trHeight w:val="1392"/>
        </w:trPr>
        <w:tc>
          <w:tcPr>
            <w:tcW w:w="2073" w:type="dxa"/>
          </w:tcPr>
          <w:p w14:paraId="663974D1"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CBT-based apps and web CBT</w:t>
            </w:r>
          </w:p>
        </w:tc>
        <w:tc>
          <w:tcPr>
            <w:tcW w:w="2490" w:type="dxa"/>
          </w:tcPr>
          <w:p w14:paraId="45435DC7"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Structured cognitive restructuring, </w:t>
            </w:r>
            <w:proofErr w:type="spellStart"/>
            <w:r w:rsidRPr="00B954DA">
              <w:rPr>
                <w:rFonts w:ascii="Arial" w:eastAsia="Arial" w:hAnsi="Arial" w:cs="Arial"/>
                <w:color w:val="000000" w:themeColor="text1"/>
                <w:sz w:val="20"/>
                <w:szCs w:val="20"/>
              </w:rPr>
              <w:t>behavioral</w:t>
            </w:r>
            <w:proofErr w:type="spellEnd"/>
            <w:r w:rsidRPr="00B954DA">
              <w:rPr>
                <w:rFonts w:ascii="Arial" w:eastAsia="Arial" w:hAnsi="Arial" w:cs="Arial"/>
                <w:color w:val="000000" w:themeColor="text1"/>
                <w:sz w:val="20"/>
                <w:szCs w:val="20"/>
              </w:rPr>
              <w:t xml:space="preserve"> activation, goal-setting, and self-regulation; reduces avoidance and test anxiety; clarifies purpose and study plans.</w:t>
            </w:r>
          </w:p>
        </w:tc>
        <w:tc>
          <w:tcPr>
            <w:tcW w:w="2040" w:type="dxa"/>
          </w:tcPr>
          <w:p w14:paraId="44716BB1" w14:textId="77777777" w:rsidR="000E1A6B" w:rsidRPr="00B954DA" w:rsidRDefault="00175F13">
            <w:pPr>
              <w:spacing w:line="276" w:lineRule="auto"/>
              <w:rPr>
                <w:rFonts w:ascii="Arial" w:eastAsia="Arial" w:hAnsi="Arial" w:cs="Arial"/>
                <w:color w:val="000000" w:themeColor="text1"/>
                <w:sz w:val="20"/>
                <w:szCs w:val="20"/>
              </w:rPr>
            </w:pPr>
            <w:proofErr w:type="spellStart"/>
            <w:r w:rsidRPr="00B954DA">
              <w:rPr>
                <w:rFonts w:ascii="Arial" w:eastAsia="Arial" w:hAnsi="Arial" w:cs="Arial"/>
                <w:color w:val="000000" w:themeColor="text1"/>
                <w:sz w:val="20"/>
                <w:szCs w:val="20"/>
              </w:rPr>
              <w:t>Woebot</w:t>
            </w:r>
            <w:proofErr w:type="spellEnd"/>
            <w:r w:rsidRPr="00B954DA">
              <w:rPr>
                <w:rFonts w:ascii="Arial" w:eastAsia="Arial" w:hAnsi="Arial" w:cs="Arial"/>
                <w:color w:val="000000" w:themeColor="text1"/>
                <w:sz w:val="20"/>
                <w:szCs w:val="20"/>
              </w:rPr>
              <w:t>; web-based CBT modules; life-crafting and SMART-goal interventions.</w:t>
            </w:r>
          </w:p>
        </w:tc>
        <w:tc>
          <w:tcPr>
            <w:tcW w:w="2278" w:type="dxa"/>
          </w:tcPr>
          <w:p w14:paraId="4E3D3B51"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Improved focus, reduced procrastination, better time management; gains in academic engagement and, in several trials, GPA/grade improvements.</w:t>
            </w:r>
          </w:p>
        </w:tc>
        <w:tc>
          <w:tcPr>
            <w:tcW w:w="1940" w:type="dxa"/>
          </w:tcPr>
          <w:p w14:paraId="1E198059"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Lower anxiety and depressive symptoms; enhanced self-efficacy and resilience.</w:t>
            </w:r>
          </w:p>
        </w:tc>
        <w:tc>
          <w:tcPr>
            <w:tcW w:w="1932" w:type="dxa"/>
          </w:tcPr>
          <w:p w14:paraId="535D9BB7"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Fitzpatrick et al., 2017; Dekker et al., 2020;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Ferrari et al., 2022; Poe et al., 2021</w:t>
            </w:r>
          </w:p>
        </w:tc>
      </w:tr>
      <w:tr w:rsidR="00B954DA" w:rsidRPr="00B954DA" w14:paraId="00D6A14B" w14:textId="77777777">
        <w:trPr>
          <w:trHeight w:val="1543"/>
        </w:trPr>
        <w:tc>
          <w:tcPr>
            <w:tcW w:w="2073" w:type="dxa"/>
          </w:tcPr>
          <w:p w14:paraId="29316F45"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Mindfulness and stress-management programs</w:t>
            </w:r>
          </w:p>
        </w:tc>
        <w:tc>
          <w:tcPr>
            <w:tcW w:w="2490" w:type="dxa"/>
          </w:tcPr>
          <w:p w14:paraId="6886851A"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Attention regulation, grounding, values-based action, and emotion acceptance; buffers exam stress and improves concentration.</w:t>
            </w:r>
          </w:p>
        </w:tc>
        <w:tc>
          <w:tcPr>
            <w:tcW w:w="2040" w:type="dxa"/>
          </w:tcPr>
          <w:p w14:paraId="0BAD2AE3"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Headspace, Calm; WHO “Doing What Matters in Times of Stress” (DWM); guided breathing/meditation apps.</w:t>
            </w:r>
          </w:p>
        </w:tc>
        <w:tc>
          <w:tcPr>
            <w:tcW w:w="2278" w:type="dxa"/>
          </w:tcPr>
          <w:p w14:paraId="0D530449"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Better study-session quality, improved retention and sustained attention under pressure.</w:t>
            </w:r>
          </w:p>
        </w:tc>
        <w:tc>
          <w:tcPr>
            <w:tcW w:w="1940" w:type="dxa"/>
          </w:tcPr>
          <w:p w14:paraId="44D81260"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Reduced stress, anxiety, and distress; improved mood regulation and overall well-being.</w:t>
            </w:r>
          </w:p>
        </w:tc>
        <w:tc>
          <w:tcPr>
            <w:tcW w:w="1932" w:type="dxa"/>
          </w:tcPr>
          <w:p w14:paraId="3045CD02"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Epping-Jordan et al., 2016; </w:t>
            </w:r>
            <w:proofErr w:type="spellStart"/>
            <w:r w:rsidRPr="00B954DA">
              <w:rPr>
                <w:rFonts w:ascii="Arial" w:eastAsia="Arial" w:hAnsi="Arial" w:cs="Arial"/>
                <w:color w:val="000000" w:themeColor="text1"/>
                <w:sz w:val="20"/>
                <w:szCs w:val="20"/>
              </w:rPr>
              <w:t>Nosè</w:t>
            </w:r>
            <w:proofErr w:type="spellEnd"/>
            <w:r w:rsidRPr="00B954DA">
              <w:rPr>
                <w:rFonts w:ascii="Arial" w:eastAsia="Arial" w:hAnsi="Arial" w:cs="Arial"/>
                <w:color w:val="000000" w:themeColor="text1"/>
                <w:sz w:val="20"/>
                <w:szCs w:val="20"/>
              </w:rPr>
              <w:t xml:space="preserve"> et al., 2025; Garcia-Vazquez et al., 2025; </w:t>
            </w:r>
            <w:proofErr w:type="spellStart"/>
            <w:r w:rsidRPr="00B954DA">
              <w:rPr>
                <w:rFonts w:ascii="Arial" w:eastAsia="Arial" w:hAnsi="Arial" w:cs="Arial"/>
                <w:color w:val="000000" w:themeColor="text1"/>
                <w:sz w:val="20"/>
                <w:szCs w:val="20"/>
              </w:rPr>
              <w:t>Harerimana</w:t>
            </w:r>
            <w:proofErr w:type="spellEnd"/>
            <w:r w:rsidRPr="00B954DA">
              <w:rPr>
                <w:rFonts w:ascii="Arial" w:eastAsia="Arial" w:hAnsi="Arial" w:cs="Arial"/>
                <w:color w:val="000000" w:themeColor="text1"/>
                <w:sz w:val="20"/>
                <w:szCs w:val="20"/>
              </w:rPr>
              <w:t xml:space="preserve"> et al., 2025; Prakash, 2021</w:t>
            </w:r>
          </w:p>
        </w:tc>
      </w:tr>
      <w:tr w:rsidR="00B954DA" w:rsidRPr="00B954DA" w14:paraId="5CD24410" w14:textId="77777777">
        <w:trPr>
          <w:trHeight w:val="1261"/>
        </w:trPr>
        <w:tc>
          <w:tcPr>
            <w:tcW w:w="2073" w:type="dxa"/>
          </w:tcPr>
          <w:p w14:paraId="44F66C60"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Biofeedback and physiological regulation</w:t>
            </w:r>
          </w:p>
        </w:tc>
        <w:tc>
          <w:tcPr>
            <w:tcW w:w="2490" w:type="dxa"/>
          </w:tcPr>
          <w:p w14:paraId="3CA86635"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Real-time monitoring of HRV/physiological stress signals; builds awareness–regulation loop for rapid de-escalation.</w:t>
            </w:r>
          </w:p>
        </w:tc>
        <w:tc>
          <w:tcPr>
            <w:tcW w:w="2040" w:type="dxa"/>
          </w:tcPr>
          <w:p w14:paraId="2365E190"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HRV biofeedback apps; breathing/coherence training tools.</w:t>
            </w:r>
          </w:p>
        </w:tc>
        <w:tc>
          <w:tcPr>
            <w:tcW w:w="2278" w:type="dxa"/>
          </w:tcPr>
          <w:p w14:paraId="168B10C8"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Enhanced emotional regulation during high-pressure tasks; improved concentration and test performance.</w:t>
            </w:r>
          </w:p>
        </w:tc>
        <w:tc>
          <w:tcPr>
            <w:tcW w:w="1940" w:type="dxa"/>
          </w:tcPr>
          <w:p w14:paraId="700F765C"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Lower perceived stress; increased emotional awareness and coping capacity.</w:t>
            </w:r>
          </w:p>
        </w:tc>
        <w:tc>
          <w:tcPr>
            <w:tcW w:w="1932" w:type="dxa"/>
          </w:tcPr>
          <w:p w14:paraId="1C3C9FFC" w14:textId="77777777" w:rsidR="000E1A6B" w:rsidRPr="00B954DA" w:rsidRDefault="00175F13">
            <w:pPr>
              <w:spacing w:line="276" w:lineRule="auto"/>
              <w:rPr>
                <w:rFonts w:ascii="Arial" w:eastAsia="Arial" w:hAnsi="Arial" w:cs="Arial"/>
                <w:color w:val="000000" w:themeColor="text1"/>
                <w:sz w:val="20"/>
                <w:szCs w:val="20"/>
              </w:rPr>
            </w:pPr>
            <w:proofErr w:type="spellStart"/>
            <w:r w:rsidRPr="00B954DA">
              <w:rPr>
                <w:rFonts w:ascii="Arial" w:eastAsia="Arial" w:hAnsi="Arial" w:cs="Arial"/>
                <w:color w:val="000000" w:themeColor="text1"/>
                <w:sz w:val="20"/>
                <w:szCs w:val="20"/>
              </w:rPr>
              <w:t>Weerdmeester</w:t>
            </w:r>
            <w:proofErr w:type="spellEnd"/>
            <w:r w:rsidRPr="00B954DA">
              <w:rPr>
                <w:rFonts w:ascii="Arial" w:eastAsia="Arial" w:hAnsi="Arial" w:cs="Arial"/>
                <w:color w:val="000000" w:themeColor="text1"/>
                <w:sz w:val="20"/>
                <w:szCs w:val="20"/>
              </w:rPr>
              <w:t xml:space="preserve"> et al., 2020; </w:t>
            </w:r>
            <w:proofErr w:type="spellStart"/>
            <w:r w:rsidRPr="00B954DA">
              <w:rPr>
                <w:rFonts w:ascii="Arial" w:eastAsia="Arial" w:hAnsi="Arial" w:cs="Arial"/>
                <w:color w:val="000000" w:themeColor="text1"/>
                <w:sz w:val="20"/>
                <w:szCs w:val="20"/>
              </w:rPr>
              <w:t>Ponzo</w:t>
            </w:r>
            <w:proofErr w:type="spellEnd"/>
            <w:r w:rsidRPr="00B954DA">
              <w:rPr>
                <w:rFonts w:ascii="Arial" w:eastAsia="Arial" w:hAnsi="Arial" w:cs="Arial"/>
                <w:color w:val="000000" w:themeColor="text1"/>
                <w:sz w:val="20"/>
                <w:szCs w:val="20"/>
              </w:rPr>
              <w:t xml:space="preserve"> et al., 2020; Ter </w:t>
            </w:r>
            <w:proofErr w:type="spellStart"/>
            <w:r w:rsidRPr="00B954DA">
              <w:rPr>
                <w:rFonts w:ascii="Arial" w:eastAsia="Arial" w:hAnsi="Arial" w:cs="Arial"/>
                <w:color w:val="000000" w:themeColor="text1"/>
                <w:sz w:val="20"/>
                <w:szCs w:val="20"/>
              </w:rPr>
              <w:t>Harmsel</w:t>
            </w:r>
            <w:proofErr w:type="spellEnd"/>
            <w:r w:rsidRPr="00B954DA">
              <w:rPr>
                <w:rFonts w:ascii="Arial" w:eastAsia="Arial" w:hAnsi="Arial" w:cs="Arial"/>
                <w:color w:val="000000" w:themeColor="text1"/>
                <w:sz w:val="20"/>
                <w:szCs w:val="20"/>
              </w:rPr>
              <w:t xml:space="preserve"> et al., 2020</w:t>
            </w:r>
          </w:p>
        </w:tc>
      </w:tr>
      <w:tr w:rsidR="00B954DA" w:rsidRPr="00B954DA" w14:paraId="1A4B4D99" w14:textId="77777777">
        <w:trPr>
          <w:trHeight w:val="1143"/>
        </w:trPr>
        <w:tc>
          <w:tcPr>
            <w:tcW w:w="2073" w:type="dxa"/>
          </w:tcPr>
          <w:p w14:paraId="0989F887"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AI-driven chatbots and micro-interventions</w:t>
            </w:r>
          </w:p>
        </w:tc>
        <w:tc>
          <w:tcPr>
            <w:tcW w:w="2490" w:type="dxa"/>
          </w:tcPr>
          <w:p w14:paraId="0D0FF6F0"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Just-in-time prompts, personalized check-ins, psychoeducation, and habit scaffolding; supports continuous engagement.</w:t>
            </w:r>
          </w:p>
        </w:tc>
        <w:tc>
          <w:tcPr>
            <w:tcW w:w="2040" w:type="dxa"/>
          </w:tcPr>
          <w:p w14:paraId="388108E4"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AI chatbots integrated in student portals; micro-coaching nudges.</w:t>
            </w:r>
          </w:p>
        </w:tc>
        <w:tc>
          <w:tcPr>
            <w:tcW w:w="2278" w:type="dxa"/>
          </w:tcPr>
          <w:p w14:paraId="493ED30B"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Better adherence to study plans, reduced avoidance, improved daily academic routines.</w:t>
            </w:r>
          </w:p>
        </w:tc>
        <w:tc>
          <w:tcPr>
            <w:tcW w:w="1940" w:type="dxa"/>
          </w:tcPr>
          <w:p w14:paraId="0A331A07"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Improved moment-to-moment coping; reduced anxiety; higher subjective well-being.</w:t>
            </w:r>
          </w:p>
        </w:tc>
        <w:tc>
          <w:tcPr>
            <w:tcW w:w="1932" w:type="dxa"/>
          </w:tcPr>
          <w:p w14:paraId="657A2787" w14:textId="77777777" w:rsidR="000E1A6B" w:rsidRPr="00B954DA" w:rsidRDefault="00175F13">
            <w:pPr>
              <w:spacing w:line="276" w:lineRule="auto"/>
              <w:rPr>
                <w:rFonts w:ascii="Arial" w:eastAsia="Arial" w:hAnsi="Arial" w:cs="Arial"/>
                <w:color w:val="000000" w:themeColor="text1"/>
                <w:sz w:val="20"/>
                <w:szCs w:val="20"/>
              </w:rPr>
            </w:pPr>
            <w:proofErr w:type="spellStart"/>
            <w:r w:rsidRPr="00B954DA">
              <w:rPr>
                <w:rFonts w:ascii="Arial" w:eastAsia="Arial" w:hAnsi="Arial" w:cs="Arial"/>
                <w:color w:val="000000" w:themeColor="text1"/>
                <w:sz w:val="20"/>
                <w:szCs w:val="20"/>
              </w:rPr>
              <w:t>Jelassi</w:t>
            </w:r>
            <w:proofErr w:type="spellEnd"/>
            <w:r w:rsidRPr="00B954DA">
              <w:rPr>
                <w:rFonts w:ascii="Arial" w:eastAsia="Arial" w:hAnsi="Arial" w:cs="Arial"/>
                <w:color w:val="000000" w:themeColor="text1"/>
                <w:sz w:val="20"/>
                <w:szCs w:val="20"/>
              </w:rPr>
              <w:t xml:space="preserve"> et al., 2024; </w:t>
            </w:r>
            <w:proofErr w:type="spellStart"/>
            <w:r w:rsidRPr="00B954DA">
              <w:rPr>
                <w:rFonts w:ascii="Arial" w:eastAsia="Arial" w:hAnsi="Arial" w:cs="Arial"/>
                <w:color w:val="000000" w:themeColor="text1"/>
                <w:sz w:val="20"/>
                <w:szCs w:val="20"/>
              </w:rPr>
              <w:t>Spytska</w:t>
            </w:r>
            <w:proofErr w:type="spellEnd"/>
            <w:r w:rsidRPr="00B954DA">
              <w:rPr>
                <w:rFonts w:ascii="Arial" w:eastAsia="Arial" w:hAnsi="Arial" w:cs="Arial"/>
                <w:color w:val="000000" w:themeColor="text1"/>
                <w:sz w:val="20"/>
                <w:szCs w:val="20"/>
              </w:rPr>
              <w:t>, 2025; Dekker et al., 2020</w:t>
            </w:r>
          </w:p>
        </w:tc>
      </w:tr>
      <w:tr w:rsidR="00B954DA" w:rsidRPr="00B954DA" w14:paraId="09541614" w14:textId="77777777">
        <w:trPr>
          <w:trHeight w:val="450"/>
        </w:trPr>
        <w:tc>
          <w:tcPr>
            <w:tcW w:w="2073" w:type="dxa"/>
          </w:tcPr>
          <w:p w14:paraId="55EC9B1B"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lastRenderedPageBreak/>
              <w:t>Telepsychiatry/virtual therapy platforms</w:t>
            </w:r>
          </w:p>
        </w:tc>
        <w:tc>
          <w:tcPr>
            <w:tcW w:w="2490" w:type="dxa"/>
          </w:tcPr>
          <w:p w14:paraId="7107414F"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Synchronous clinician support via video; higher personalization and suitability for moderate–severe symptoms.</w:t>
            </w:r>
          </w:p>
        </w:tc>
        <w:tc>
          <w:tcPr>
            <w:tcW w:w="2040" w:type="dxa"/>
          </w:tcPr>
          <w:p w14:paraId="3E61601F"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University teletherapy; integrated counselling platforms.</w:t>
            </w:r>
          </w:p>
        </w:tc>
        <w:tc>
          <w:tcPr>
            <w:tcW w:w="2278" w:type="dxa"/>
          </w:tcPr>
          <w:p w14:paraId="38B158CF"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Stabilizes functioning to sustain attendance and coursework; complements self-guided tools.</w:t>
            </w:r>
          </w:p>
        </w:tc>
        <w:tc>
          <w:tcPr>
            <w:tcW w:w="1940" w:type="dxa"/>
          </w:tcPr>
          <w:p w14:paraId="06A8C4FC"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Clinically meaningful reductions in depression/anxiety; improved coping skills.</w:t>
            </w:r>
          </w:p>
        </w:tc>
        <w:tc>
          <w:tcPr>
            <w:tcW w:w="1932" w:type="dxa"/>
          </w:tcPr>
          <w:p w14:paraId="1399AB7A" w14:textId="77777777" w:rsidR="000E1A6B" w:rsidRPr="00B954DA" w:rsidRDefault="00175F13">
            <w:pPr>
              <w:spacing w:line="276" w:lineRule="auto"/>
              <w:rPr>
                <w:rFonts w:ascii="Arial" w:eastAsia="Arial" w:hAnsi="Arial" w:cs="Arial"/>
                <w:color w:val="000000" w:themeColor="text1"/>
                <w:sz w:val="20"/>
                <w:szCs w:val="20"/>
              </w:rPr>
            </w:pPr>
            <w:proofErr w:type="spellStart"/>
            <w:r w:rsidRPr="00B954DA">
              <w:rPr>
                <w:rFonts w:ascii="Arial" w:eastAsia="Arial" w:hAnsi="Arial" w:cs="Arial"/>
                <w:color w:val="000000" w:themeColor="text1"/>
                <w:sz w:val="20"/>
                <w:szCs w:val="20"/>
              </w:rPr>
              <w:t>Ayoola</w:t>
            </w:r>
            <w:proofErr w:type="spellEnd"/>
            <w:r w:rsidRPr="00B954DA">
              <w:rPr>
                <w:rFonts w:ascii="Arial" w:eastAsia="Arial" w:hAnsi="Arial" w:cs="Arial"/>
                <w:color w:val="000000" w:themeColor="text1"/>
                <w:sz w:val="20"/>
                <w:szCs w:val="20"/>
              </w:rPr>
              <w:t xml:space="preserve"> et al., 2025; Nelson et al., 2023; Haleem et al., 2021</w:t>
            </w:r>
          </w:p>
        </w:tc>
      </w:tr>
      <w:tr w:rsidR="00B954DA" w:rsidRPr="00B954DA" w14:paraId="388174B9" w14:textId="77777777">
        <w:trPr>
          <w:trHeight w:val="144"/>
        </w:trPr>
        <w:tc>
          <w:tcPr>
            <w:tcW w:w="2073" w:type="dxa"/>
          </w:tcPr>
          <w:p w14:paraId="79DFBDED"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Virtual reality (VR) interventions</w:t>
            </w:r>
          </w:p>
        </w:tc>
        <w:tc>
          <w:tcPr>
            <w:tcW w:w="2490" w:type="dxa"/>
          </w:tcPr>
          <w:p w14:paraId="178623F0"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Immersive relaxation and graded exposure to stressors; controlled environments for skills practice.</w:t>
            </w:r>
          </w:p>
        </w:tc>
        <w:tc>
          <w:tcPr>
            <w:tcW w:w="2040" w:type="dxa"/>
          </w:tcPr>
          <w:p w14:paraId="101D64F7"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VR relaxation, exposure, and anxiety-reduction modules.</w:t>
            </w:r>
          </w:p>
        </w:tc>
        <w:tc>
          <w:tcPr>
            <w:tcW w:w="2278" w:type="dxa"/>
          </w:tcPr>
          <w:p w14:paraId="52B702BD"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Improved readiness for exams/presentations; better stress tolerance in academic tasks.</w:t>
            </w:r>
          </w:p>
        </w:tc>
        <w:tc>
          <w:tcPr>
            <w:tcW w:w="1940" w:type="dxa"/>
          </w:tcPr>
          <w:p w14:paraId="51F0F08A"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Reduced anxiety and arousal; improved calm and recovery.</w:t>
            </w:r>
          </w:p>
        </w:tc>
        <w:tc>
          <w:tcPr>
            <w:tcW w:w="1932" w:type="dxa"/>
          </w:tcPr>
          <w:p w14:paraId="2348BCD8"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Fahey, 2025; </w:t>
            </w:r>
            <w:proofErr w:type="spellStart"/>
            <w:r w:rsidRPr="00B954DA">
              <w:rPr>
                <w:rFonts w:ascii="Arial" w:eastAsia="Arial" w:hAnsi="Arial" w:cs="Arial"/>
                <w:color w:val="000000" w:themeColor="text1"/>
                <w:sz w:val="20"/>
                <w:szCs w:val="20"/>
              </w:rPr>
              <w:t>Kukharuk</w:t>
            </w:r>
            <w:proofErr w:type="spellEnd"/>
            <w:r w:rsidRPr="00B954DA">
              <w:rPr>
                <w:rFonts w:ascii="Arial" w:eastAsia="Arial" w:hAnsi="Arial" w:cs="Arial"/>
                <w:color w:val="000000" w:themeColor="text1"/>
                <w:sz w:val="20"/>
                <w:szCs w:val="20"/>
              </w:rPr>
              <w:t xml:space="preserve"> et al., 2025; Zhang et al., 2025</w:t>
            </w:r>
          </w:p>
        </w:tc>
      </w:tr>
      <w:tr w:rsidR="00B954DA" w:rsidRPr="00B954DA" w14:paraId="4627E8F5" w14:textId="77777777">
        <w:trPr>
          <w:trHeight w:val="144"/>
        </w:trPr>
        <w:tc>
          <w:tcPr>
            <w:tcW w:w="2073" w:type="dxa"/>
          </w:tcPr>
          <w:p w14:paraId="5967B745"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Mood tracking and self-monitoring</w:t>
            </w:r>
          </w:p>
        </w:tc>
        <w:tc>
          <w:tcPr>
            <w:tcW w:w="2490" w:type="dxa"/>
          </w:tcPr>
          <w:p w14:paraId="7AEEB8A4"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Pattern detection of mood/stress triggers; supports proactive coping and early help-seeking.</w:t>
            </w:r>
          </w:p>
        </w:tc>
        <w:tc>
          <w:tcPr>
            <w:tcW w:w="2040" w:type="dxa"/>
          </w:tcPr>
          <w:p w14:paraId="332E5EF8"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Mood diaries, EMA check-ins, integrated trackers in portals.</w:t>
            </w:r>
          </w:p>
        </w:tc>
        <w:tc>
          <w:tcPr>
            <w:tcW w:w="2278" w:type="dxa"/>
          </w:tcPr>
          <w:p w14:paraId="14FE1F72"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Higher academic engagement through timely adjustments to study schedules and supports.</w:t>
            </w:r>
          </w:p>
        </w:tc>
        <w:tc>
          <w:tcPr>
            <w:tcW w:w="1940" w:type="dxa"/>
          </w:tcPr>
          <w:p w14:paraId="74091999"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Better self-awareness; earlier intervention; improvements in self-esteem and self-efficacy.</w:t>
            </w:r>
          </w:p>
        </w:tc>
        <w:tc>
          <w:tcPr>
            <w:tcW w:w="1932" w:type="dxa"/>
          </w:tcPr>
          <w:p w14:paraId="1C2803D6"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Nagar et al., 2023; Rafiq et al., 2024; Ramos-</w:t>
            </w:r>
            <w:proofErr w:type="spellStart"/>
            <w:r w:rsidRPr="00B954DA">
              <w:rPr>
                <w:rFonts w:ascii="Arial" w:eastAsia="Arial" w:hAnsi="Arial" w:cs="Arial"/>
                <w:color w:val="000000" w:themeColor="text1"/>
                <w:sz w:val="20"/>
                <w:szCs w:val="20"/>
              </w:rPr>
              <w:t>Monsivais</w:t>
            </w:r>
            <w:proofErr w:type="spellEnd"/>
            <w:r w:rsidRPr="00B954DA">
              <w:rPr>
                <w:rFonts w:ascii="Arial" w:eastAsia="Arial" w:hAnsi="Arial" w:cs="Arial"/>
                <w:color w:val="000000" w:themeColor="text1"/>
                <w:sz w:val="20"/>
                <w:szCs w:val="20"/>
              </w:rPr>
              <w:t xml:space="preserve"> et al., 2024; </w:t>
            </w:r>
            <w:proofErr w:type="spellStart"/>
            <w:r w:rsidRPr="00B954DA">
              <w:rPr>
                <w:rFonts w:ascii="Arial" w:eastAsia="Arial" w:hAnsi="Arial" w:cs="Arial"/>
                <w:color w:val="000000" w:themeColor="text1"/>
                <w:sz w:val="20"/>
                <w:szCs w:val="20"/>
              </w:rPr>
              <w:t>Riboldi</w:t>
            </w:r>
            <w:proofErr w:type="spellEnd"/>
            <w:r w:rsidRPr="00B954DA">
              <w:rPr>
                <w:rFonts w:ascii="Arial" w:eastAsia="Arial" w:hAnsi="Arial" w:cs="Arial"/>
                <w:color w:val="000000" w:themeColor="text1"/>
                <w:sz w:val="20"/>
                <w:szCs w:val="20"/>
              </w:rPr>
              <w:t xml:space="preserve"> et al., 2024</w:t>
            </w:r>
          </w:p>
        </w:tc>
      </w:tr>
      <w:tr w:rsidR="00B954DA" w:rsidRPr="00B954DA" w14:paraId="5B2BFB55" w14:textId="77777777">
        <w:trPr>
          <w:trHeight w:val="144"/>
        </w:trPr>
        <w:tc>
          <w:tcPr>
            <w:tcW w:w="2073" w:type="dxa"/>
          </w:tcPr>
          <w:p w14:paraId="0420CC09"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Peer-support platforms and digital literacy</w:t>
            </w:r>
          </w:p>
        </w:tc>
        <w:tc>
          <w:tcPr>
            <w:tcW w:w="2490" w:type="dxa"/>
          </w:tcPr>
          <w:p w14:paraId="79401E41"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Normalizes help-seeking; community reinforcement; increases mental health awareness and tool uptake.</w:t>
            </w:r>
          </w:p>
        </w:tc>
        <w:tc>
          <w:tcPr>
            <w:tcW w:w="2040" w:type="dxa"/>
          </w:tcPr>
          <w:p w14:paraId="2BD58B2A"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Online forums, moderated peer groups, literacy modules.</w:t>
            </w:r>
          </w:p>
        </w:tc>
        <w:tc>
          <w:tcPr>
            <w:tcW w:w="2278" w:type="dxa"/>
          </w:tcPr>
          <w:p w14:paraId="3A48A54C"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Sustained participation in study communities; improved persistence.</w:t>
            </w:r>
          </w:p>
        </w:tc>
        <w:tc>
          <w:tcPr>
            <w:tcW w:w="1940" w:type="dxa"/>
          </w:tcPr>
          <w:p w14:paraId="0FFA22B0"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Reduced stigma; greater perceived support and well-being.</w:t>
            </w:r>
          </w:p>
        </w:tc>
        <w:tc>
          <w:tcPr>
            <w:tcW w:w="1932" w:type="dxa"/>
          </w:tcPr>
          <w:p w14:paraId="0A1177C2"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Rashid et al., 2025; </w:t>
            </w:r>
            <w:proofErr w:type="spellStart"/>
            <w:r w:rsidRPr="00B954DA">
              <w:rPr>
                <w:rFonts w:ascii="Arial" w:eastAsia="Arial" w:hAnsi="Arial" w:cs="Arial"/>
                <w:color w:val="000000" w:themeColor="text1"/>
                <w:sz w:val="20"/>
                <w:szCs w:val="20"/>
              </w:rPr>
              <w:t>Gbollie</w:t>
            </w:r>
            <w:proofErr w:type="spellEnd"/>
            <w:r w:rsidRPr="00B954DA">
              <w:rPr>
                <w:rFonts w:ascii="Arial" w:eastAsia="Arial" w:hAnsi="Arial" w:cs="Arial"/>
                <w:color w:val="000000" w:themeColor="text1"/>
                <w:sz w:val="20"/>
                <w:szCs w:val="20"/>
              </w:rPr>
              <w:t xml:space="preserve"> et al., 2023; Harith et al., 2022</w:t>
            </w:r>
          </w:p>
        </w:tc>
      </w:tr>
      <w:tr w:rsidR="000E1A6B" w:rsidRPr="00B954DA" w14:paraId="793FE456" w14:textId="77777777">
        <w:trPr>
          <w:trHeight w:val="1261"/>
        </w:trPr>
        <w:tc>
          <w:tcPr>
            <w:tcW w:w="2073" w:type="dxa"/>
          </w:tcPr>
          <w:p w14:paraId="4155CC03"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System-level integration in universities</w:t>
            </w:r>
          </w:p>
        </w:tc>
        <w:tc>
          <w:tcPr>
            <w:tcW w:w="2490" w:type="dxa"/>
          </w:tcPr>
          <w:p w14:paraId="13806AA8"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Embedding tools into LMS, orientation, advising, and counselling; multiple access points and hybrid models.</w:t>
            </w:r>
          </w:p>
        </w:tc>
        <w:tc>
          <w:tcPr>
            <w:tcW w:w="2040" w:type="dxa"/>
          </w:tcPr>
          <w:p w14:paraId="40886129"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LMS links, orientation well-being modules, portal-based triage and resources.</w:t>
            </w:r>
          </w:p>
        </w:tc>
        <w:tc>
          <w:tcPr>
            <w:tcW w:w="2278" w:type="dxa"/>
          </w:tcPr>
          <w:p w14:paraId="4B04293A"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Increased utilization at peak stress periods; smoother referral pathways; reduced dropout risk.</w:t>
            </w:r>
          </w:p>
        </w:tc>
        <w:tc>
          <w:tcPr>
            <w:tcW w:w="1940" w:type="dxa"/>
          </w:tcPr>
          <w:p w14:paraId="79AE6CE9"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Continuous access, lower barriers, and more equitable support across student populations.</w:t>
            </w:r>
          </w:p>
        </w:tc>
        <w:tc>
          <w:tcPr>
            <w:tcW w:w="1932" w:type="dxa"/>
          </w:tcPr>
          <w:p w14:paraId="3395147E" w14:textId="77777777" w:rsidR="000E1A6B" w:rsidRPr="00B954DA" w:rsidRDefault="00175F13">
            <w:pPr>
              <w:spacing w:line="276" w:lineRule="auto"/>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Rafiq et al., 2024; </w:t>
            </w:r>
            <w:proofErr w:type="spellStart"/>
            <w:r w:rsidRPr="00B954DA">
              <w:rPr>
                <w:rFonts w:ascii="Arial" w:eastAsia="Arial" w:hAnsi="Arial" w:cs="Arial"/>
                <w:color w:val="000000" w:themeColor="text1"/>
                <w:sz w:val="20"/>
                <w:szCs w:val="20"/>
              </w:rPr>
              <w:t>Uzorka</w:t>
            </w:r>
            <w:proofErr w:type="spellEnd"/>
            <w:r w:rsidRPr="00B954DA">
              <w:rPr>
                <w:rFonts w:ascii="Arial" w:eastAsia="Arial" w:hAnsi="Arial" w:cs="Arial"/>
                <w:color w:val="000000" w:themeColor="text1"/>
                <w:sz w:val="20"/>
                <w:szCs w:val="20"/>
              </w:rPr>
              <w:t xml:space="preserve"> &amp; </w:t>
            </w:r>
            <w:proofErr w:type="spellStart"/>
            <w:r w:rsidRPr="00B954DA">
              <w:rPr>
                <w:rFonts w:ascii="Arial" w:eastAsia="Arial" w:hAnsi="Arial" w:cs="Arial"/>
                <w:color w:val="000000" w:themeColor="text1"/>
                <w:sz w:val="20"/>
                <w:szCs w:val="20"/>
              </w:rPr>
              <w:t>Odebiyi</w:t>
            </w:r>
            <w:proofErr w:type="spellEnd"/>
            <w:r w:rsidRPr="00B954DA">
              <w:rPr>
                <w:rFonts w:ascii="Arial" w:eastAsia="Arial" w:hAnsi="Arial" w:cs="Arial"/>
                <w:color w:val="000000" w:themeColor="text1"/>
                <w:sz w:val="20"/>
                <w:szCs w:val="20"/>
              </w:rPr>
              <w:t>, 2025; Li et al., 2025</w:t>
            </w:r>
          </w:p>
        </w:tc>
      </w:tr>
    </w:tbl>
    <w:p w14:paraId="2327AAC9" w14:textId="77777777" w:rsidR="000E1A6B" w:rsidRPr="00B954DA" w:rsidRDefault="000E1A6B">
      <w:pPr>
        <w:spacing w:line="276" w:lineRule="auto"/>
        <w:rPr>
          <w:rFonts w:ascii="Arial" w:eastAsia="Arial" w:hAnsi="Arial" w:cs="Arial"/>
          <w:color w:val="000000" w:themeColor="text1"/>
          <w:sz w:val="20"/>
          <w:szCs w:val="20"/>
        </w:rPr>
      </w:pPr>
    </w:p>
    <w:p w14:paraId="43CF9818" w14:textId="77777777" w:rsidR="000E1A6B" w:rsidRPr="00B954DA" w:rsidRDefault="00175F13">
      <w:pPr>
        <w:spacing w:line="276" w:lineRule="auto"/>
        <w:rPr>
          <w:rFonts w:ascii="Arial" w:eastAsia="Arial" w:hAnsi="Arial" w:cs="Arial"/>
          <w:b/>
          <w:bCs/>
          <w:color w:val="000000" w:themeColor="text1"/>
          <w:sz w:val="20"/>
          <w:szCs w:val="20"/>
        </w:rPr>
        <w:sectPr w:rsidR="000E1A6B" w:rsidRPr="00B954DA">
          <w:pgSz w:w="15840" w:h="12240" w:orient="landscape"/>
          <w:pgMar w:top="1440" w:right="1440" w:bottom="1440" w:left="1440" w:header="720" w:footer="720" w:gutter="0"/>
          <w:cols w:space="720"/>
        </w:sectPr>
      </w:pPr>
      <w:r w:rsidRPr="00B954DA">
        <w:rPr>
          <w:color w:val="000000" w:themeColor="text1"/>
        </w:rPr>
        <w:br w:type="page"/>
      </w:r>
    </w:p>
    <w:p w14:paraId="0E0A979B" w14:textId="7E423AFB"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lastRenderedPageBreak/>
        <w:t xml:space="preserve"> Implications for Academic Performance and Well-Being</w:t>
      </w:r>
    </w:p>
    <w:p w14:paraId="4766C257" w14:textId="2127F1CF"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The findings in this study show the significant impact that digital mental health services </w:t>
      </w:r>
      <w:r w:rsidR="003E7AC4" w:rsidRPr="00B954DA">
        <w:rPr>
          <w:rFonts w:ascii="Arial" w:eastAsia="Arial" w:hAnsi="Arial" w:cs="Arial"/>
          <w:color w:val="000000" w:themeColor="text1"/>
          <w:sz w:val="20"/>
          <w:szCs w:val="20"/>
        </w:rPr>
        <w:t>are</w:t>
      </w:r>
      <w:r w:rsidRPr="00B954DA">
        <w:rPr>
          <w:rFonts w:ascii="Arial" w:eastAsia="Arial" w:hAnsi="Arial" w:cs="Arial"/>
          <w:color w:val="000000" w:themeColor="text1"/>
          <w:sz w:val="20"/>
          <w:szCs w:val="20"/>
        </w:rPr>
        <w:t xml:space="preserve"> playing in improving both academic performance and </w:t>
      </w:r>
      <w:r w:rsidR="003E7AC4" w:rsidRPr="00B954DA">
        <w:rPr>
          <w:rFonts w:ascii="Arial" w:eastAsia="Arial" w:hAnsi="Arial" w:cs="Arial"/>
          <w:color w:val="000000" w:themeColor="text1"/>
          <w:sz w:val="20"/>
          <w:szCs w:val="20"/>
        </w:rPr>
        <w:t xml:space="preserve">the </w:t>
      </w:r>
      <w:r w:rsidRPr="00B954DA">
        <w:rPr>
          <w:rFonts w:ascii="Arial" w:eastAsia="Arial" w:hAnsi="Arial" w:cs="Arial"/>
          <w:color w:val="000000" w:themeColor="text1"/>
          <w:sz w:val="20"/>
          <w:szCs w:val="20"/>
        </w:rPr>
        <w:t xml:space="preserve">well-being of students. As anxiety, depression, and stress get increase, mental health problems become more widespread. Luckily, digital tools can be applied to educational systems and can provide timely and </w:t>
      </w:r>
      <w:r w:rsidR="003E7AC4" w:rsidRPr="00B954DA">
        <w:rPr>
          <w:rFonts w:ascii="Arial" w:eastAsia="Arial" w:hAnsi="Arial" w:cs="Arial"/>
          <w:color w:val="000000" w:themeColor="text1"/>
          <w:sz w:val="20"/>
          <w:szCs w:val="20"/>
        </w:rPr>
        <w:t>personalised</w:t>
      </w:r>
      <w:r w:rsidRPr="00B954DA">
        <w:rPr>
          <w:rFonts w:ascii="Arial" w:eastAsia="Arial" w:hAnsi="Arial" w:cs="Arial"/>
          <w:color w:val="000000" w:themeColor="text1"/>
          <w:sz w:val="20"/>
          <w:szCs w:val="20"/>
        </w:rPr>
        <w:t xml:space="preserve"> services. Timely digital intervention can reduce stress and help to improve focus with reasonable immediate implications on academic achievement.</w:t>
      </w:r>
    </w:p>
    <w:p w14:paraId="4C3A63D0" w14:textId="4A539CC3"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These tools are an accessible and stigma-free way of coping with mental health problems for students, and especially for students who do not feel comfortable with in-person therapy. A digital platform provides privacy, convenience, and anonymity as an alternative to traditional mental health services. CBT-based applications and mindfulness programs can help students overcome academic stress but are also helpful to the overall happiness of the student, helping to improve self-esteem and emotional resilience.</w:t>
      </w:r>
    </w:p>
    <w:p w14:paraId="2D025C6E" w14:textId="77777777" w:rsidR="00E410C2" w:rsidRDefault="00175F13" w:rsidP="00E410C2">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Digital tools in learning units allow educators and mental health professionals to bring their students back to the classroom while providing the opportunity to support them. The digital approaches to stress management, time planning, and emotional regulation can be integrated into the curriculum to provide students with practical strategies in coping with stress, time management, and emotional regulation that are essential tools to become successful both as an academic and personal learner. For example, universities can reduce the burden on counselling services by providing these tools as a first aid option and providing resources for students who are more severely mentally ill.</w:t>
      </w:r>
    </w:p>
    <w:p w14:paraId="56143E16" w14:textId="00C1FC8D" w:rsidR="000E1A6B" w:rsidRPr="00E410C2" w:rsidRDefault="00175F13" w:rsidP="00E410C2">
      <w:pPr>
        <w:spacing w:line="276" w:lineRule="auto"/>
        <w:jc w:val="both"/>
        <w:rPr>
          <w:rFonts w:ascii="Arial" w:eastAsia="Arial" w:hAnsi="Arial" w:cs="Arial"/>
          <w:color w:val="000000" w:themeColor="text1"/>
          <w:sz w:val="20"/>
          <w:szCs w:val="20"/>
        </w:rPr>
      </w:pPr>
      <w:r w:rsidRPr="00B954DA">
        <w:rPr>
          <w:rFonts w:ascii="Arial" w:eastAsia="Arial" w:hAnsi="Arial" w:cs="Arial"/>
          <w:b/>
          <w:bCs/>
          <w:color w:val="000000" w:themeColor="text1"/>
        </w:rPr>
        <w:t xml:space="preserve"> Limitations of the Review</w:t>
      </w:r>
    </w:p>
    <w:p w14:paraId="619EC036" w14:textId="63CE08F2"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This paper has some notable limitations. Firstly, there may be publication bias because studies that have positive results are more likely to be published, and the negative and inconclusive results </w:t>
      </w:r>
      <w:r w:rsidR="003E7AC4" w:rsidRPr="00B954DA">
        <w:rPr>
          <w:rFonts w:ascii="Arial" w:eastAsia="Arial" w:hAnsi="Arial" w:cs="Arial"/>
          <w:color w:val="000000" w:themeColor="text1"/>
          <w:sz w:val="20"/>
          <w:szCs w:val="20"/>
        </w:rPr>
        <w:t xml:space="preserve">are </w:t>
      </w:r>
      <w:r w:rsidRPr="00B954DA">
        <w:rPr>
          <w:rFonts w:ascii="Arial" w:eastAsia="Arial" w:hAnsi="Arial" w:cs="Arial"/>
          <w:color w:val="000000" w:themeColor="text1"/>
          <w:sz w:val="20"/>
          <w:szCs w:val="20"/>
        </w:rPr>
        <w:t xml:space="preserve">less likely to be reported. Second, the quality of the studies reviewed varied, some relying on self-reported data, which is also susceptible to social desirability bias. Also, many studies focused on short-term outcomes, and longitudinal data on the sustained effects of digital mental health technology </w:t>
      </w:r>
      <w:r w:rsidR="003E7AC4" w:rsidRPr="00B954DA">
        <w:rPr>
          <w:rFonts w:ascii="Arial" w:eastAsia="Arial" w:hAnsi="Arial" w:cs="Arial"/>
          <w:color w:val="000000" w:themeColor="text1"/>
          <w:sz w:val="20"/>
          <w:szCs w:val="20"/>
        </w:rPr>
        <w:t>remain</w:t>
      </w:r>
      <w:r w:rsidRPr="00B954DA">
        <w:rPr>
          <w:rFonts w:ascii="Arial" w:eastAsia="Arial" w:hAnsi="Arial" w:cs="Arial"/>
          <w:color w:val="000000" w:themeColor="text1"/>
          <w:sz w:val="20"/>
          <w:szCs w:val="20"/>
        </w:rPr>
        <w:t xml:space="preserve"> sparse. </w:t>
      </w:r>
    </w:p>
    <w:p w14:paraId="2240B8E0" w14:textId="77777777" w:rsidR="000E1A6B" w:rsidRPr="00B954DA" w:rsidRDefault="00175F13">
      <w:pPr>
        <w:spacing w:line="276" w:lineRule="auto"/>
        <w:rPr>
          <w:rFonts w:ascii="Arial" w:eastAsia="Arial" w:hAnsi="Arial" w:cs="Arial"/>
          <w:b/>
          <w:bCs/>
          <w:color w:val="000000" w:themeColor="text1"/>
        </w:rPr>
      </w:pPr>
      <w:r w:rsidRPr="00B954DA">
        <w:rPr>
          <w:rFonts w:ascii="Arial" w:eastAsia="Arial" w:hAnsi="Arial" w:cs="Arial"/>
          <w:b/>
          <w:bCs/>
          <w:color w:val="000000" w:themeColor="text1"/>
        </w:rPr>
        <w:t>6.0 CONCLUSION AND RECOMMENDATIONS</w:t>
      </w:r>
    </w:p>
    <w:p w14:paraId="28013A60" w14:textId="3BD1C8B0"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Given this study, it is revealed that digital mental health tools provide an effective solution to the ever-growing challenges of mental health among university students. These tools significantly increase </w:t>
      </w:r>
      <w:r w:rsidR="003E7AC4" w:rsidRPr="00B954DA">
        <w:rPr>
          <w:rFonts w:ascii="Arial" w:eastAsia="Arial" w:hAnsi="Arial" w:cs="Arial"/>
          <w:color w:val="000000" w:themeColor="text1"/>
          <w:sz w:val="20"/>
          <w:szCs w:val="20"/>
        </w:rPr>
        <w:t>students’</w:t>
      </w:r>
      <w:r w:rsidRPr="00B954DA">
        <w:rPr>
          <w:rFonts w:ascii="Arial" w:eastAsia="Arial" w:hAnsi="Arial" w:cs="Arial"/>
          <w:color w:val="000000" w:themeColor="text1"/>
          <w:sz w:val="20"/>
          <w:szCs w:val="20"/>
        </w:rPr>
        <w:t xml:space="preserve"> academic performance through emotional regulation, stress reduction, and cognitive efficacy. Digital interventions are especially versatile and available for the needs of college students</w:t>
      </w:r>
      <w:r w:rsidR="003E7AC4" w:rsidRPr="00B954DA">
        <w:rPr>
          <w:rFonts w:ascii="Arial" w:eastAsia="Arial" w:hAnsi="Arial" w:cs="Arial"/>
          <w:color w:val="000000" w:themeColor="text1"/>
          <w:sz w:val="20"/>
          <w:szCs w:val="20"/>
        </w:rPr>
        <w:t>,</w:t>
      </w:r>
      <w:r w:rsidRPr="00B954DA">
        <w:rPr>
          <w:rFonts w:ascii="Arial" w:eastAsia="Arial" w:hAnsi="Arial" w:cs="Arial"/>
          <w:color w:val="000000" w:themeColor="text1"/>
          <w:sz w:val="20"/>
          <w:szCs w:val="20"/>
        </w:rPr>
        <w:t xml:space="preserve"> and they can be utilized on-demand. They are appropriate as a solution to </w:t>
      </w:r>
      <w:r w:rsidR="003E7AC4" w:rsidRPr="00B954DA">
        <w:rPr>
          <w:rFonts w:ascii="Arial" w:eastAsia="Arial" w:hAnsi="Arial" w:cs="Arial"/>
          <w:color w:val="000000" w:themeColor="text1"/>
          <w:sz w:val="20"/>
          <w:szCs w:val="20"/>
        </w:rPr>
        <w:t xml:space="preserve">the </w:t>
      </w:r>
      <w:r w:rsidRPr="00B954DA">
        <w:rPr>
          <w:rFonts w:ascii="Arial" w:eastAsia="Arial" w:hAnsi="Arial" w:cs="Arial"/>
          <w:color w:val="000000" w:themeColor="text1"/>
          <w:sz w:val="20"/>
          <w:szCs w:val="20"/>
        </w:rPr>
        <w:t>challenges of students as well as to complement their face-to-face counselling services.</w:t>
      </w:r>
    </w:p>
    <w:p w14:paraId="522935E9" w14:textId="2B1F3D4F"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But in order for these tools to achieve their full potential, </w:t>
      </w:r>
      <w:r w:rsidR="003E7AC4" w:rsidRPr="00B954DA">
        <w:rPr>
          <w:rFonts w:ascii="Arial" w:eastAsia="Arial" w:hAnsi="Arial" w:cs="Arial"/>
          <w:color w:val="000000" w:themeColor="text1"/>
          <w:sz w:val="20"/>
          <w:szCs w:val="20"/>
        </w:rPr>
        <w:t>personalisation</w:t>
      </w:r>
      <w:r w:rsidRPr="00B954DA">
        <w:rPr>
          <w:rFonts w:ascii="Arial" w:eastAsia="Arial" w:hAnsi="Arial" w:cs="Arial"/>
          <w:color w:val="000000" w:themeColor="text1"/>
          <w:sz w:val="20"/>
          <w:szCs w:val="20"/>
        </w:rPr>
        <w:t xml:space="preserve">, engagement and access should be </w:t>
      </w:r>
      <w:r w:rsidR="003E7AC4" w:rsidRPr="00B954DA">
        <w:rPr>
          <w:rFonts w:ascii="Arial" w:eastAsia="Arial" w:hAnsi="Arial" w:cs="Arial"/>
          <w:color w:val="000000" w:themeColor="text1"/>
          <w:sz w:val="20"/>
          <w:szCs w:val="20"/>
        </w:rPr>
        <w:t>prioritised</w:t>
      </w:r>
      <w:r w:rsidRPr="00B954DA">
        <w:rPr>
          <w:rFonts w:ascii="Arial" w:eastAsia="Arial" w:hAnsi="Arial" w:cs="Arial"/>
          <w:color w:val="000000" w:themeColor="text1"/>
          <w:sz w:val="20"/>
          <w:szCs w:val="20"/>
        </w:rPr>
        <w:t xml:space="preserve">, while barriers to privacy, technology limitations and lack of accessibility must be addressed. In support of </w:t>
      </w:r>
      <w:r w:rsidR="003E7AC4" w:rsidRPr="00B954DA">
        <w:rPr>
          <w:rFonts w:ascii="Arial" w:eastAsia="Arial" w:hAnsi="Arial" w:cs="Arial"/>
          <w:color w:val="000000" w:themeColor="text1"/>
          <w:sz w:val="20"/>
          <w:szCs w:val="20"/>
        </w:rPr>
        <w:t xml:space="preserve">the </w:t>
      </w:r>
      <w:r w:rsidRPr="00B954DA">
        <w:rPr>
          <w:rFonts w:ascii="Arial" w:eastAsia="Arial" w:hAnsi="Arial" w:cs="Arial"/>
          <w:color w:val="000000" w:themeColor="text1"/>
          <w:sz w:val="20"/>
          <w:szCs w:val="20"/>
        </w:rPr>
        <w:t xml:space="preserve">institution’s incorporation of these tools into </w:t>
      </w:r>
      <w:r w:rsidR="007439E4" w:rsidRPr="00B954DA">
        <w:rPr>
          <w:rFonts w:ascii="Arial" w:eastAsia="Arial" w:hAnsi="Arial" w:cs="Arial"/>
          <w:color w:val="000000" w:themeColor="text1"/>
          <w:sz w:val="20"/>
          <w:szCs w:val="20"/>
        </w:rPr>
        <w:t>its</w:t>
      </w:r>
      <w:r w:rsidRPr="00B954DA">
        <w:rPr>
          <w:rFonts w:ascii="Arial" w:eastAsia="Arial" w:hAnsi="Arial" w:cs="Arial"/>
          <w:color w:val="000000" w:themeColor="text1"/>
          <w:sz w:val="20"/>
          <w:szCs w:val="20"/>
        </w:rPr>
        <w:t xml:space="preserve"> mental health programs, continuous feedback is needed from students in their efforts to excel academically.</w:t>
      </w:r>
    </w:p>
    <w:p w14:paraId="12061EF6" w14:textId="79E3B4F5"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Additionally, to sustain the digital mental health services, the integration of these tools into educational support systems that are not only focused on student needs but also </w:t>
      </w:r>
      <w:r w:rsidR="007439E4" w:rsidRPr="00B954DA">
        <w:rPr>
          <w:rFonts w:ascii="Arial" w:eastAsia="Arial" w:hAnsi="Arial" w:cs="Arial"/>
          <w:color w:val="000000" w:themeColor="text1"/>
          <w:sz w:val="20"/>
          <w:szCs w:val="20"/>
        </w:rPr>
        <w:t xml:space="preserve">on </w:t>
      </w:r>
      <w:r w:rsidRPr="00B954DA">
        <w:rPr>
          <w:rFonts w:ascii="Arial" w:eastAsia="Arial" w:hAnsi="Arial" w:cs="Arial"/>
          <w:color w:val="000000" w:themeColor="text1"/>
          <w:sz w:val="20"/>
          <w:szCs w:val="20"/>
        </w:rPr>
        <w:t>their welfare is encouraged. Through this, schools can provide a holistic support system which helps students pass through their university experience effortlessly while ensuring their success.</w:t>
      </w:r>
    </w:p>
    <w:p w14:paraId="0FDE8BC0"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Based on the findings of this study, some practical recommendations can be made, and these include:</w:t>
      </w:r>
    </w:p>
    <w:p w14:paraId="67A40A0E"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lastRenderedPageBreak/>
        <w:t>(</w:t>
      </w:r>
      <w:proofErr w:type="spellStart"/>
      <w:r w:rsidRPr="00B954DA">
        <w:rPr>
          <w:rFonts w:ascii="Arial" w:eastAsia="Arial" w:hAnsi="Arial" w:cs="Arial"/>
          <w:color w:val="000000" w:themeColor="text1"/>
          <w:sz w:val="20"/>
          <w:szCs w:val="20"/>
        </w:rPr>
        <w:t>i</w:t>
      </w:r>
      <w:proofErr w:type="spellEnd"/>
      <w:r w:rsidRPr="00B954DA">
        <w:rPr>
          <w:rFonts w:ascii="Arial" w:eastAsia="Arial" w:hAnsi="Arial" w:cs="Arial"/>
          <w:color w:val="000000" w:themeColor="text1"/>
          <w:sz w:val="20"/>
          <w:szCs w:val="20"/>
        </w:rPr>
        <w:t>) The Integration of Digital Tools into Academic Curriculum and Student Services: Universities should incorporate mental health apps, CBT programs, and mindfulness exercises into their academic orientation programs.</w:t>
      </w:r>
    </w:p>
    <w:p w14:paraId="1B22BBF7" w14:textId="658F6CDB"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(ii) Ensuring </w:t>
      </w:r>
      <w:r w:rsidR="00862FFD" w:rsidRPr="00B954DA">
        <w:rPr>
          <w:rFonts w:ascii="Arial" w:eastAsia="Arial" w:hAnsi="Arial" w:cs="Arial"/>
          <w:color w:val="000000" w:themeColor="text1"/>
          <w:sz w:val="20"/>
          <w:szCs w:val="20"/>
        </w:rPr>
        <w:t>Personalisation</w:t>
      </w:r>
      <w:r w:rsidRPr="00B954DA">
        <w:rPr>
          <w:rFonts w:ascii="Arial" w:eastAsia="Arial" w:hAnsi="Arial" w:cs="Arial"/>
          <w:color w:val="000000" w:themeColor="text1"/>
          <w:sz w:val="20"/>
          <w:szCs w:val="20"/>
        </w:rPr>
        <w:t xml:space="preserve"> and Accessibility: Digital tools should be tailored to the needs of individual students through the customisation of features like mood tracking, </w:t>
      </w:r>
      <w:r w:rsidR="00862FFD" w:rsidRPr="00B954DA">
        <w:rPr>
          <w:rFonts w:ascii="Arial" w:eastAsia="Arial" w:hAnsi="Arial" w:cs="Arial"/>
          <w:color w:val="000000" w:themeColor="text1"/>
          <w:sz w:val="20"/>
          <w:szCs w:val="20"/>
        </w:rPr>
        <w:t>personalised</w:t>
      </w:r>
      <w:r w:rsidRPr="00B954DA">
        <w:rPr>
          <w:rFonts w:ascii="Arial" w:eastAsia="Arial" w:hAnsi="Arial" w:cs="Arial"/>
          <w:color w:val="000000" w:themeColor="text1"/>
          <w:sz w:val="20"/>
          <w:szCs w:val="20"/>
        </w:rPr>
        <w:t xml:space="preserve"> stress management plans, and adaptive interventions, which can increase engagement and be more effective. </w:t>
      </w:r>
    </w:p>
    <w:p w14:paraId="1E91B665"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(iii) Focus on Long-Term Engagement: The development of digital tools should be encouraged by long-term engagement by reminding, tracking progress, and engaging with the goals of the institutions. </w:t>
      </w:r>
    </w:p>
    <w:p w14:paraId="570EF4FE" w14:textId="347DBF0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(iv) Reduce Stigma and Promote Acceptance: Mental health tools should be promoted in ways that it would discourage stigma. This can actually be done in the classroom through normalising their use and making them </w:t>
      </w:r>
      <w:r w:rsidR="00862FFD" w:rsidRPr="00B954DA">
        <w:rPr>
          <w:rFonts w:ascii="Arial" w:eastAsia="Arial" w:hAnsi="Arial" w:cs="Arial"/>
          <w:color w:val="000000" w:themeColor="text1"/>
          <w:sz w:val="20"/>
          <w:szCs w:val="20"/>
        </w:rPr>
        <w:t xml:space="preserve">a </w:t>
      </w:r>
      <w:r w:rsidRPr="00B954DA">
        <w:rPr>
          <w:rFonts w:ascii="Arial" w:eastAsia="Arial" w:hAnsi="Arial" w:cs="Arial"/>
          <w:color w:val="000000" w:themeColor="text1"/>
          <w:sz w:val="20"/>
          <w:szCs w:val="20"/>
        </w:rPr>
        <w:t xml:space="preserve">basic means of success for the student and not a failure. </w:t>
      </w:r>
    </w:p>
    <w:p w14:paraId="73D985DE"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 xml:space="preserve">(v) Improve Data Security and Address Privacy Concerns: All digital platforms used must </w:t>
      </w:r>
      <w:proofErr w:type="gramStart"/>
      <w:r w:rsidRPr="00B954DA">
        <w:rPr>
          <w:rFonts w:ascii="Arial" w:eastAsia="Arial" w:hAnsi="Arial" w:cs="Arial"/>
          <w:color w:val="000000" w:themeColor="text1"/>
          <w:sz w:val="20"/>
          <w:szCs w:val="20"/>
        </w:rPr>
        <w:t>be in compliance with</w:t>
      </w:r>
      <w:proofErr w:type="gramEnd"/>
      <w:r w:rsidRPr="00B954DA">
        <w:rPr>
          <w:rFonts w:ascii="Arial" w:eastAsia="Arial" w:hAnsi="Arial" w:cs="Arial"/>
          <w:color w:val="000000" w:themeColor="text1"/>
          <w:sz w:val="20"/>
          <w:szCs w:val="20"/>
        </w:rPr>
        <w:t xml:space="preserve"> data protection regulations in order to respond to privacy concerns.</w:t>
      </w:r>
    </w:p>
    <w:p w14:paraId="7AF18E6E" w14:textId="77777777" w:rsidR="000E1A6B" w:rsidRPr="00B954DA" w:rsidRDefault="00175F13">
      <w:pPr>
        <w:spacing w:line="276" w:lineRule="auto"/>
        <w:jc w:val="both"/>
        <w:rPr>
          <w:rFonts w:ascii="Arial" w:eastAsia="Arial" w:hAnsi="Arial" w:cs="Arial"/>
          <w:color w:val="000000" w:themeColor="text1"/>
          <w:sz w:val="20"/>
          <w:szCs w:val="20"/>
        </w:rPr>
      </w:pPr>
      <w:r w:rsidRPr="00B954DA">
        <w:rPr>
          <w:rFonts w:ascii="Arial" w:eastAsia="Arial" w:hAnsi="Arial" w:cs="Arial"/>
          <w:color w:val="000000" w:themeColor="text1"/>
          <w:sz w:val="20"/>
          <w:szCs w:val="20"/>
        </w:rPr>
        <w:t>(vi) Continuous Monitoring and Feedback: The value of digital mental health tools must always be revisited regularly and the student feedback should be collected through the use of digital mental health tools to make assessment possible.</w:t>
      </w:r>
    </w:p>
    <w:p w14:paraId="1FF20AAC" w14:textId="77777777" w:rsidR="000E1A6B" w:rsidRPr="00B954DA" w:rsidRDefault="000E1A6B">
      <w:pPr>
        <w:spacing w:line="276" w:lineRule="auto"/>
        <w:rPr>
          <w:rFonts w:ascii="Arial" w:eastAsia="Arial" w:hAnsi="Arial" w:cs="Arial"/>
          <w:color w:val="000000" w:themeColor="text1"/>
          <w:sz w:val="20"/>
          <w:szCs w:val="20"/>
        </w:rPr>
      </w:pPr>
    </w:p>
    <w:p w14:paraId="239033F0" w14:textId="77777777" w:rsidR="000E1A6B" w:rsidRPr="00B954DA" w:rsidRDefault="000E1A6B">
      <w:pPr>
        <w:spacing w:line="276" w:lineRule="auto"/>
        <w:rPr>
          <w:rFonts w:ascii="Arial" w:eastAsia="Arial" w:hAnsi="Arial" w:cs="Arial"/>
          <w:color w:val="000000" w:themeColor="text1"/>
          <w:sz w:val="20"/>
          <w:szCs w:val="20"/>
        </w:rPr>
      </w:pPr>
    </w:p>
    <w:p w14:paraId="60ED24CB" w14:textId="77777777" w:rsidR="00145359" w:rsidRPr="00B954DA" w:rsidRDefault="00145359" w:rsidP="00145359">
      <w:pPr>
        <w:rPr>
          <w:b/>
          <w:color w:val="000000" w:themeColor="text1"/>
          <w:highlight w:val="yellow"/>
        </w:rPr>
      </w:pPr>
      <w:r w:rsidRPr="00B954DA">
        <w:rPr>
          <w:b/>
          <w:color w:val="000000" w:themeColor="text1"/>
          <w:highlight w:val="yellow"/>
        </w:rPr>
        <w:t>Disclaimer (Artificial intelligence)</w:t>
      </w:r>
    </w:p>
    <w:p w14:paraId="04A96A73" w14:textId="77777777" w:rsidR="00145359" w:rsidRPr="00B954DA" w:rsidRDefault="00145359" w:rsidP="00145359">
      <w:pPr>
        <w:rPr>
          <w:color w:val="000000" w:themeColor="text1"/>
          <w:highlight w:val="yellow"/>
        </w:rPr>
      </w:pPr>
      <w:r w:rsidRPr="00B954DA">
        <w:rPr>
          <w:color w:val="000000" w:themeColor="text1"/>
          <w:highlight w:val="yellow"/>
        </w:rPr>
        <w:t>Author(s) hereby declare that NO generative AI technologies such as Large Language Models (</w:t>
      </w:r>
      <w:proofErr w:type="spellStart"/>
      <w:r w:rsidRPr="00B954DA">
        <w:rPr>
          <w:color w:val="000000" w:themeColor="text1"/>
          <w:highlight w:val="yellow"/>
        </w:rPr>
        <w:t>ChatGPT</w:t>
      </w:r>
      <w:proofErr w:type="spellEnd"/>
      <w:r w:rsidRPr="00B954DA">
        <w:rPr>
          <w:color w:val="000000" w:themeColor="text1"/>
          <w:highlight w:val="yellow"/>
        </w:rPr>
        <w:t xml:space="preserve">, COPILOT, etc.) and text-to-image generators have been used during the writing or editing of this manuscript. </w:t>
      </w:r>
    </w:p>
    <w:p w14:paraId="6E2554A7" w14:textId="77777777" w:rsidR="000E1A6B" w:rsidRPr="00B954DA" w:rsidRDefault="000E1A6B">
      <w:pPr>
        <w:spacing w:line="276" w:lineRule="auto"/>
        <w:rPr>
          <w:rFonts w:ascii="Arial" w:eastAsia="Arial" w:hAnsi="Arial" w:cs="Arial"/>
          <w:color w:val="000000" w:themeColor="text1"/>
          <w:sz w:val="20"/>
          <w:szCs w:val="20"/>
        </w:rPr>
      </w:pPr>
    </w:p>
    <w:p w14:paraId="292D7C09" w14:textId="77777777" w:rsidR="000E1A6B" w:rsidRPr="00B954DA" w:rsidRDefault="000E1A6B">
      <w:pPr>
        <w:spacing w:line="276" w:lineRule="auto"/>
        <w:rPr>
          <w:rFonts w:ascii="Arial" w:eastAsia="Arial" w:hAnsi="Arial" w:cs="Arial"/>
          <w:color w:val="000000" w:themeColor="text1"/>
          <w:sz w:val="20"/>
          <w:szCs w:val="20"/>
        </w:rPr>
      </w:pPr>
    </w:p>
    <w:p w14:paraId="50FC385D" w14:textId="77777777" w:rsidR="000E1A6B" w:rsidRPr="00B954DA" w:rsidRDefault="000E1A6B">
      <w:pPr>
        <w:spacing w:line="276" w:lineRule="auto"/>
        <w:rPr>
          <w:rFonts w:ascii="Arial" w:eastAsia="Arial" w:hAnsi="Arial" w:cs="Arial"/>
          <w:color w:val="000000" w:themeColor="text1"/>
          <w:sz w:val="20"/>
          <w:szCs w:val="20"/>
        </w:rPr>
      </w:pPr>
    </w:p>
    <w:p w14:paraId="770B327B" w14:textId="77777777" w:rsidR="000E1A6B" w:rsidRPr="00B954DA" w:rsidRDefault="000E1A6B">
      <w:pPr>
        <w:spacing w:line="276" w:lineRule="auto"/>
        <w:rPr>
          <w:rFonts w:ascii="Arial" w:eastAsia="Arial" w:hAnsi="Arial" w:cs="Arial"/>
          <w:color w:val="000000" w:themeColor="text1"/>
          <w:sz w:val="20"/>
          <w:szCs w:val="20"/>
        </w:rPr>
      </w:pPr>
    </w:p>
    <w:p w14:paraId="039C8BB4" w14:textId="77777777" w:rsidR="000E1A6B" w:rsidRPr="00B954DA" w:rsidRDefault="000E1A6B">
      <w:pPr>
        <w:spacing w:line="276" w:lineRule="auto"/>
        <w:rPr>
          <w:rFonts w:ascii="Arial" w:eastAsia="Arial" w:hAnsi="Arial" w:cs="Arial"/>
          <w:color w:val="000000" w:themeColor="text1"/>
          <w:sz w:val="20"/>
          <w:szCs w:val="20"/>
        </w:rPr>
      </w:pPr>
    </w:p>
    <w:p w14:paraId="27A824FA" w14:textId="77777777" w:rsidR="000E1A6B" w:rsidRPr="00B954DA" w:rsidRDefault="000E1A6B">
      <w:pPr>
        <w:spacing w:line="276" w:lineRule="auto"/>
        <w:rPr>
          <w:rFonts w:ascii="Arial" w:eastAsia="Arial" w:hAnsi="Arial" w:cs="Arial"/>
          <w:color w:val="000000" w:themeColor="text1"/>
          <w:sz w:val="20"/>
          <w:szCs w:val="20"/>
        </w:rPr>
      </w:pPr>
    </w:p>
    <w:p w14:paraId="789F4137" w14:textId="77777777" w:rsidR="000E1A6B" w:rsidRPr="00B954DA" w:rsidRDefault="000E1A6B">
      <w:pPr>
        <w:spacing w:line="276" w:lineRule="auto"/>
        <w:rPr>
          <w:rFonts w:ascii="Arial" w:eastAsia="Arial" w:hAnsi="Arial" w:cs="Arial"/>
          <w:color w:val="000000" w:themeColor="text1"/>
          <w:sz w:val="20"/>
          <w:szCs w:val="20"/>
        </w:rPr>
      </w:pPr>
    </w:p>
    <w:p w14:paraId="1095D63E" w14:textId="77777777" w:rsidR="000E1A6B" w:rsidRPr="00B954DA" w:rsidRDefault="000E1A6B">
      <w:pPr>
        <w:spacing w:line="276" w:lineRule="auto"/>
        <w:rPr>
          <w:rFonts w:ascii="Arial" w:eastAsia="Arial" w:hAnsi="Arial" w:cs="Arial"/>
          <w:color w:val="000000" w:themeColor="text1"/>
          <w:sz w:val="20"/>
          <w:szCs w:val="20"/>
        </w:rPr>
      </w:pPr>
    </w:p>
    <w:p w14:paraId="5F48B45B" w14:textId="77777777" w:rsidR="000E1A6B" w:rsidRPr="00B954DA" w:rsidRDefault="000E1A6B">
      <w:pPr>
        <w:spacing w:line="276" w:lineRule="auto"/>
        <w:rPr>
          <w:rFonts w:ascii="Arial" w:eastAsia="Arial" w:hAnsi="Arial" w:cs="Arial"/>
          <w:color w:val="000000" w:themeColor="text1"/>
          <w:sz w:val="20"/>
          <w:szCs w:val="20"/>
        </w:rPr>
      </w:pPr>
    </w:p>
    <w:p w14:paraId="033BEADE" w14:textId="77777777" w:rsidR="000E1A6B" w:rsidRPr="00B954DA" w:rsidRDefault="000E1A6B">
      <w:pPr>
        <w:spacing w:line="276" w:lineRule="auto"/>
        <w:rPr>
          <w:rFonts w:ascii="Arial" w:eastAsia="Arial" w:hAnsi="Arial" w:cs="Arial"/>
          <w:color w:val="000000" w:themeColor="text1"/>
          <w:sz w:val="20"/>
          <w:szCs w:val="20"/>
        </w:rPr>
      </w:pPr>
    </w:p>
    <w:p w14:paraId="2CADF807" w14:textId="77777777" w:rsidR="000E1A6B" w:rsidRPr="00B954DA" w:rsidRDefault="000E1A6B">
      <w:pPr>
        <w:spacing w:line="276" w:lineRule="auto"/>
        <w:rPr>
          <w:rFonts w:ascii="Arial" w:eastAsia="Arial" w:hAnsi="Arial" w:cs="Arial"/>
          <w:color w:val="000000" w:themeColor="text1"/>
          <w:sz w:val="20"/>
          <w:szCs w:val="20"/>
        </w:rPr>
      </w:pPr>
    </w:p>
    <w:p w14:paraId="2910F2EC" w14:textId="77777777" w:rsidR="000E1A6B" w:rsidRPr="00B954DA" w:rsidRDefault="000E1A6B">
      <w:pPr>
        <w:spacing w:line="276" w:lineRule="auto"/>
        <w:rPr>
          <w:rFonts w:ascii="Arial" w:eastAsia="Arial" w:hAnsi="Arial" w:cs="Arial"/>
          <w:color w:val="000000" w:themeColor="text1"/>
          <w:sz w:val="20"/>
          <w:szCs w:val="20"/>
        </w:rPr>
      </w:pPr>
    </w:p>
    <w:p w14:paraId="0A441211" w14:textId="77777777" w:rsidR="000E1A6B" w:rsidRPr="00B954DA" w:rsidRDefault="000E1A6B">
      <w:pPr>
        <w:spacing w:line="276" w:lineRule="auto"/>
        <w:rPr>
          <w:rFonts w:ascii="Arial" w:eastAsia="Arial" w:hAnsi="Arial" w:cs="Arial"/>
          <w:color w:val="000000" w:themeColor="text1"/>
          <w:sz w:val="20"/>
          <w:szCs w:val="20"/>
        </w:rPr>
      </w:pPr>
    </w:p>
    <w:p w14:paraId="7075D0D8" w14:textId="77777777" w:rsidR="000E1A6B" w:rsidRPr="00B954DA" w:rsidRDefault="000E1A6B">
      <w:pPr>
        <w:spacing w:line="276" w:lineRule="auto"/>
        <w:rPr>
          <w:rFonts w:ascii="Arial" w:eastAsia="Arial" w:hAnsi="Arial" w:cs="Arial"/>
          <w:color w:val="000000" w:themeColor="text1"/>
          <w:sz w:val="20"/>
          <w:szCs w:val="20"/>
        </w:rPr>
      </w:pPr>
    </w:p>
    <w:p w14:paraId="72D9D0EC" w14:textId="77777777" w:rsidR="000E1A6B" w:rsidRPr="00B954DA" w:rsidRDefault="000E1A6B">
      <w:pPr>
        <w:spacing w:line="276" w:lineRule="auto"/>
        <w:rPr>
          <w:rFonts w:ascii="Arial" w:eastAsia="Arial" w:hAnsi="Arial" w:cs="Arial"/>
          <w:color w:val="000000" w:themeColor="text1"/>
          <w:sz w:val="20"/>
          <w:szCs w:val="20"/>
        </w:rPr>
      </w:pPr>
    </w:p>
    <w:p w14:paraId="2930E1A6" w14:textId="77777777" w:rsidR="000E1A6B" w:rsidRPr="00B954DA" w:rsidRDefault="000E1A6B">
      <w:pPr>
        <w:spacing w:line="276" w:lineRule="auto"/>
        <w:rPr>
          <w:rFonts w:ascii="Arial" w:eastAsia="Arial" w:hAnsi="Arial" w:cs="Arial"/>
          <w:color w:val="000000" w:themeColor="text1"/>
          <w:sz w:val="20"/>
          <w:szCs w:val="20"/>
        </w:rPr>
      </w:pPr>
    </w:p>
    <w:p w14:paraId="534D7725" w14:textId="77777777" w:rsidR="000E1A6B" w:rsidRPr="00B954DA" w:rsidRDefault="00175F13">
      <w:pPr>
        <w:spacing w:line="276" w:lineRule="auto"/>
        <w:rPr>
          <w:rFonts w:ascii="Arial" w:eastAsia="Arial" w:hAnsi="Arial" w:cs="Arial"/>
          <w:b/>
          <w:bCs/>
          <w:color w:val="000000" w:themeColor="text1"/>
          <w:sz w:val="20"/>
          <w:szCs w:val="20"/>
        </w:rPr>
      </w:pPr>
      <w:r w:rsidRPr="00B954DA">
        <w:rPr>
          <w:rFonts w:ascii="Arial" w:eastAsia="Arial" w:hAnsi="Arial" w:cs="Arial"/>
          <w:b/>
          <w:bCs/>
          <w:color w:val="000000" w:themeColor="text1"/>
          <w:sz w:val="20"/>
          <w:szCs w:val="20"/>
        </w:rPr>
        <w:t>REFERENCES</w:t>
      </w:r>
    </w:p>
    <w:p w14:paraId="5DE0981D"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1" w:name="_heading=h.sgvv3b395m4t" w:colFirst="0" w:colLast="0"/>
      <w:bookmarkEnd w:id="1"/>
      <w:r w:rsidRPr="00B0478C">
        <w:rPr>
          <w:rFonts w:ascii="Arial" w:eastAsia="Arial" w:hAnsi="Arial" w:cs="Arial"/>
          <w:color w:val="000000" w:themeColor="text1"/>
          <w:sz w:val="20"/>
          <w:szCs w:val="20"/>
        </w:rPr>
        <w:t xml:space="preserve">Abernethy, A., Adams, L., Barrett, M., Bechtel, C., Brennan, P., Butte, A., Faulkner, J., Fontaine, E., Friedhoff, S., </w:t>
      </w:r>
      <w:proofErr w:type="spellStart"/>
      <w:r w:rsidRPr="00B0478C">
        <w:rPr>
          <w:rFonts w:ascii="Arial" w:eastAsia="Arial" w:hAnsi="Arial" w:cs="Arial"/>
          <w:color w:val="000000" w:themeColor="text1"/>
          <w:sz w:val="20"/>
          <w:szCs w:val="20"/>
        </w:rPr>
        <w:t>Halamka</w:t>
      </w:r>
      <w:proofErr w:type="spellEnd"/>
      <w:r w:rsidRPr="00B0478C">
        <w:rPr>
          <w:rFonts w:ascii="Arial" w:eastAsia="Arial" w:hAnsi="Arial" w:cs="Arial"/>
          <w:color w:val="000000" w:themeColor="text1"/>
          <w:sz w:val="20"/>
          <w:szCs w:val="20"/>
        </w:rPr>
        <w:t>, J., Howell, M., Johnson, K., Long, P., McGraw, D., Miller, R., Lee, P., Perlin, J., Rucker, D., Sandy, L., Savage, L., … Valdes, K. (2022). The Promise of Digital Health: Then, Now, and the Future. </w:t>
      </w:r>
      <w:r w:rsidRPr="00B0478C">
        <w:rPr>
          <w:rFonts w:ascii="Arial" w:eastAsia="Arial" w:hAnsi="Arial" w:cs="Arial"/>
          <w:i/>
          <w:iCs/>
          <w:color w:val="000000" w:themeColor="text1"/>
          <w:sz w:val="20"/>
          <w:szCs w:val="20"/>
        </w:rPr>
        <w:t>NAM perspectives</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2022</w:t>
      </w:r>
      <w:r w:rsidRPr="00B0478C">
        <w:rPr>
          <w:rFonts w:ascii="Arial" w:eastAsia="Arial" w:hAnsi="Arial" w:cs="Arial"/>
          <w:color w:val="000000" w:themeColor="text1"/>
          <w:sz w:val="20"/>
          <w:szCs w:val="20"/>
        </w:rPr>
        <w:t xml:space="preserve">, 10.31478/202206e. </w:t>
      </w:r>
      <w:hyperlink r:id="rId15">
        <w:r w:rsidRPr="00B0478C">
          <w:rPr>
            <w:rFonts w:ascii="Arial" w:eastAsia="Arial" w:hAnsi="Arial" w:cs="Arial"/>
            <w:color w:val="000000" w:themeColor="text1"/>
            <w:sz w:val="20"/>
            <w:szCs w:val="20"/>
            <w:u w:val="single"/>
          </w:rPr>
          <w:t>https://doi.org/10.31478/202206e</w:t>
        </w:r>
      </w:hyperlink>
    </w:p>
    <w:p w14:paraId="0C3869EE"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2" w:name="_heading=h.5utid9f9txkb" w:colFirst="0" w:colLast="0"/>
      <w:bookmarkEnd w:id="2"/>
      <w:proofErr w:type="spellStart"/>
      <w:r w:rsidRPr="00B0478C">
        <w:rPr>
          <w:rFonts w:ascii="Arial" w:eastAsia="Arial" w:hAnsi="Arial" w:cs="Arial"/>
          <w:color w:val="000000" w:themeColor="text1"/>
          <w:sz w:val="20"/>
          <w:szCs w:val="20"/>
        </w:rPr>
        <w:t>AlRefaie</w:t>
      </w:r>
      <w:proofErr w:type="spellEnd"/>
      <w:r w:rsidRPr="00B0478C">
        <w:rPr>
          <w:rFonts w:ascii="Arial" w:eastAsia="Arial" w:hAnsi="Arial" w:cs="Arial"/>
          <w:color w:val="000000" w:themeColor="text1"/>
          <w:sz w:val="20"/>
          <w:szCs w:val="20"/>
        </w:rPr>
        <w:t xml:space="preserve">, A., &amp; </w:t>
      </w:r>
      <w:proofErr w:type="spellStart"/>
      <w:r w:rsidRPr="00B0478C">
        <w:rPr>
          <w:rFonts w:ascii="Arial" w:eastAsia="Arial" w:hAnsi="Arial" w:cs="Arial"/>
          <w:color w:val="000000" w:themeColor="text1"/>
          <w:sz w:val="20"/>
          <w:szCs w:val="20"/>
        </w:rPr>
        <w:t>Dowrick</w:t>
      </w:r>
      <w:proofErr w:type="spellEnd"/>
      <w:r w:rsidRPr="00B0478C">
        <w:rPr>
          <w:rFonts w:ascii="Arial" w:eastAsia="Arial" w:hAnsi="Arial" w:cs="Arial"/>
          <w:color w:val="000000" w:themeColor="text1"/>
          <w:sz w:val="20"/>
          <w:szCs w:val="20"/>
        </w:rPr>
        <w:t>, C. (2021). Causes and Risk Factor of Post-Traumatic Stress Disorder in Adult Asylum Seekers and Refugees. </w:t>
      </w:r>
      <w:r w:rsidRPr="00B0478C">
        <w:rPr>
          <w:rFonts w:ascii="Arial" w:eastAsia="Arial" w:hAnsi="Arial" w:cs="Arial"/>
          <w:i/>
          <w:iCs/>
          <w:color w:val="000000" w:themeColor="text1"/>
          <w:sz w:val="20"/>
          <w:szCs w:val="20"/>
        </w:rPr>
        <w:t>Psychiatry International</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2</w:t>
      </w:r>
      <w:r w:rsidRPr="00B0478C">
        <w:rPr>
          <w:rFonts w:ascii="Arial" w:eastAsia="Arial" w:hAnsi="Arial" w:cs="Arial"/>
          <w:color w:val="000000" w:themeColor="text1"/>
          <w:sz w:val="20"/>
          <w:szCs w:val="20"/>
        </w:rPr>
        <w:t xml:space="preserve">(4), 410-423. </w:t>
      </w:r>
      <w:hyperlink r:id="rId16">
        <w:r w:rsidRPr="00B0478C">
          <w:rPr>
            <w:rFonts w:ascii="Arial" w:eastAsia="Arial" w:hAnsi="Arial" w:cs="Arial"/>
            <w:color w:val="000000" w:themeColor="text1"/>
            <w:sz w:val="20"/>
            <w:szCs w:val="20"/>
            <w:u w:val="single"/>
          </w:rPr>
          <w:t>https://doi.org/10.3390/psychiatryint2040032</w:t>
        </w:r>
      </w:hyperlink>
    </w:p>
    <w:p w14:paraId="6B447752"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3" w:name="_heading=h.wjmcmlmv294p" w:colFirst="0" w:colLast="0"/>
      <w:bookmarkEnd w:id="3"/>
      <w:proofErr w:type="spellStart"/>
      <w:r w:rsidRPr="00B0478C">
        <w:rPr>
          <w:rFonts w:ascii="Arial" w:eastAsia="Arial" w:hAnsi="Arial" w:cs="Arial"/>
          <w:color w:val="000000" w:themeColor="text1"/>
          <w:sz w:val="20"/>
          <w:szCs w:val="20"/>
        </w:rPr>
        <w:t>Ayoola</w:t>
      </w:r>
      <w:proofErr w:type="spellEnd"/>
      <w:r w:rsidRPr="00B0478C">
        <w:rPr>
          <w:rFonts w:ascii="Arial" w:eastAsia="Arial" w:hAnsi="Arial" w:cs="Arial"/>
          <w:color w:val="000000" w:themeColor="text1"/>
          <w:sz w:val="20"/>
          <w:szCs w:val="20"/>
        </w:rPr>
        <w:t xml:space="preserve">, A. A., Adeoye, O. F., </w:t>
      </w:r>
      <w:proofErr w:type="spellStart"/>
      <w:r w:rsidRPr="00B0478C">
        <w:rPr>
          <w:rFonts w:ascii="Arial" w:eastAsia="Arial" w:hAnsi="Arial" w:cs="Arial"/>
          <w:color w:val="000000" w:themeColor="text1"/>
          <w:sz w:val="20"/>
          <w:szCs w:val="20"/>
        </w:rPr>
        <w:t>Ayoola</w:t>
      </w:r>
      <w:proofErr w:type="spellEnd"/>
      <w:r w:rsidRPr="00B0478C">
        <w:rPr>
          <w:rFonts w:ascii="Arial" w:eastAsia="Arial" w:hAnsi="Arial" w:cs="Arial"/>
          <w:color w:val="000000" w:themeColor="text1"/>
          <w:sz w:val="20"/>
          <w:szCs w:val="20"/>
        </w:rPr>
        <w:t xml:space="preserve">, A., &amp; </w:t>
      </w:r>
      <w:proofErr w:type="spellStart"/>
      <w:r w:rsidRPr="00B0478C">
        <w:rPr>
          <w:rFonts w:ascii="Arial" w:eastAsia="Arial" w:hAnsi="Arial" w:cs="Arial"/>
          <w:color w:val="000000" w:themeColor="text1"/>
          <w:sz w:val="20"/>
          <w:szCs w:val="20"/>
        </w:rPr>
        <w:t>Anfo</w:t>
      </w:r>
      <w:proofErr w:type="spellEnd"/>
      <w:r w:rsidRPr="00B0478C">
        <w:rPr>
          <w:rFonts w:ascii="Arial" w:eastAsia="Arial" w:hAnsi="Arial" w:cs="Arial"/>
          <w:color w:val="000000" w:themeColor="text1"/>
          <w:sz w:val="20"/>
          <w:szCs w:val="20"/>
        </w:rPr>
        <w:t xml:space="preserve"> Pub. (2025). Telepsychiatry and digital mental health interventions: The future of psychiatric nursing. </w:t>
      </w:r>
      <w:r w:rsidRPr="00B0478C">
        <w:rPr>
          <w:rFonts w:ascii="Arial" w:eastAsia="Arial" w:hAnsi="Arial" w:cs="Arial"/>
          <w:i/>
          <w:iCs/>
          <w:color w:val="000000" w:themeColor="text1"/>
          <w:sz w:val="20"/>
          <w:szCs w:val="20"/>
        </w:rPr>
        <w:t>International Journal of Pharma Growth Research Review, 2</w:t>
      </w:r>
      <w:r w:rsidRPr="00B0478C">
        <w:rPr>
          <w:rFonts w:ascii="Arial" w:eastAsia="Arial" w:hAnsi="Arial" w:cs="Arial"/>
          <w:color w:val="000000" w:themeColor="text1"/>
          <w:sz w:val="20"/>
          <w:szCs w:val="20"/>
        </w:rPr>
        <w:t xml:space="preserve">(1), 28–38. </w:t>
      </w:r>
      <w:hyperlink r:id="rId17">
        <w:r w:rsidRPr="00B0478C">
          <w:rPr>
            <w:rFonts w:ascii="Arial" w:eastAsia="Arial" w:hAnsi="Arial" w:cs="Arial"/>
            <w:color w:val="000000" w:themeColor="text1"/>
            <w:sz w:val="20"/>
            <w:szCs w:val="20"/>
            <w:u w:val="single"/>
          </w:rPr>
          <w:t>https://doi.org/10.54660/IJPGRR.2025.2.1.28-38</w:t>
        </w:r>
      </w:hyperlink>
    </w:p>
    <w:p w14:paraId="3CA276E8"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4" w:name="_heading=h.x9o24aaf5rcv" w:colFirst="0" w:colLast="0"/>
      <w:bookmarkEnd w:id="4"/>
      <w:proofErr w:type="spellStart"/>
      <w:r w:rsidRPr="00B0478C">
        <w:rPr>
          <w:rFonts w:ascii="Arial" w:eastAsia="Arial" w:hAnsi="Arial" w:cs="Arial"/>
          <w:color w:val="000000" w:themeColor="text1"/>
          <w:sz w:val="20"/>
          <w:szCs w:val="20"/>
        </w:rPr>
        <w:t>Bantjes</w:t>
      </w:r>
      <w:proofErr w:type="spellEnd"/>
      <w:r w:rsidRPr="00B0478C">
        <w:rPr>
          <w:rFonts w:ascii="Arial" w:eastAsia="Arial" w:hAnsi="Arial" w:cs="Arial"/>
          <w:color w:val="000000" w:themeColor="text1"/>
          <w:sz w:val="20"/>
          <w:szCs w:val="20"/>
        </w:rPr>
        <w:t xml:space="preserve">, J., </w:t>
      </w:r>
      <w:proofErr w:type="spellStart"/>
      <w:r w:rsidRPr="00B0478C">
        <w:rPr>
          <w:rFonts w:ascii="Arial" w:eastAsia="Arial" w:hAnsi="Arial" w:cs="Arial"/>
          <w:color w:val="000000" w:themeColor="text1"/>
          <w:sz w:val="20"/>
          <w:szCs w:val="20"/>
        </w:rPr>
        <w:t>Kazdin</w:t>
      </w:r>
      <w:proofErr w:type="spellEnd"/>
      <w:r w:rsidRPr="00B0478C">
        <w:rPr>
          <w:rFonts w:ascii="Arial" w:eastAsia="Arial" w:hAnsi="Arial" w:cs="Arial"/>
          <w:color w:val="000000" w:themeColor="text1"/>
          <w:sz w:val="20"/>
          <w:szCs w:val="20"/>
        </w:rPr>
        <w:t xml:space="preserve">, A. E., </w:t>
      </w:r>
      <w:proofErr w:type="spellStart"/>
      <w:r w:rsidRPr="00B0478C">
        <w:rPr>
          <w:rFonts w:ascii="Arial" w:eastAsia="Arial" w:hAnsi="Arial" w:cs="Arial"/>
          <w:color w:val="000000" w:themeColor="text1"/>
          <w:sz w:val="20"/>
          <w:szCs w:val="20"/>
        </w:rPr>
        <w:t>Cuijpers</w:t>
      </w:r>
      <w:proofErr w:type="spellEnd"/>
      <w:r w:rsidRPr="00B0478C">
        <w:rPr>
          <w:rFonts w:ascii="Arial" w:eastAsia="Arial" w:hAnsi="Arial" w:cs="Arial"/>
          <w:color w:val="000000" w:themeColor="text1"/>
          <w:sz w:val="20"/>
          <w:szCs w:val="20"/>
        </w:rPr>
        <w:t xml:space="preserve">, P., </w:t>
      </w:r>
      <w:proofErr w:type="spellStart"/>
      <w:r w:rsidRPr="00B0478C">
        <w:rPr>
          <w:rFonts w:ascii="Arial" w:eastAsia="Arial" w:hAnsi="Arial" w:cs="Arial"/>
          <w:color w:val="000000" w:themeColor="text1"/>
          <w:sz w:val="20"/>
          <w:szCs w:val="20"/>
        </w:rPr>
        <w:t>Breet</w:t>
      </w:r>
      <w:proofErr w:type="spellEnd"/>
      <w:r w:rsidRPr="00B0478C">
        <w:rPr>
          <w:rFonts w:ascii="Arial" w:eastAsia="Arial" w:hAnsi="Arial" w:cs="Arial"/>
          <w:color w:val="000000" w:themeColor="text1"/>
          <w:sz w:val="20"/>
          <w:szCs w:val="20"/>
        </w:rPr>
        <w:t xml:space="preserve">, E., Dunn-Coetzee, M., </w:t>
      </w:r>
      <w:proofErr w:type="spellStart"/>
      <w:r w:rsidRPr="00B0478C">
        <w:rPr>
          <w:rFonts w:ascii="Arial" w:eastAsia="Arial" w:hAnsi="Arial" w:cs="Arial"/>
          <w:color w:val="000000" w:themeColor="text1"/>
          <w:sz w:val="20"/>
          <w:szCs w:val="20"/>
        </w:rPr>
        <w:t>Davids</w:t>
      </w:r>
      <w:proofErr w:type="spellEnd"/>
      <w:r w:rsidRPr="00B0478C">
        <w:rPr>
          <w:rFonts w:ascii="Arial" w:eastAsia="Arial" w:hAnsi="Arial" w:cs="Arial"/>
          <w:color w:val="000000" w:themeColor="text1"/>
          <w:sz w:val="20"/>
          <w:szCs w:val="20"/>
        </w:rPr>
        <w:t xml:space="preserve">, C., Stein, D. J., &amp; Kessler, R. C. (2021). A Web-Based Group Cognitive </w:t>
      </w:r>
      <w:proofErr w:type="spellStart"/>
      <w:r w:rsidRPr="00B0478C">
        <w:rPr>
          <w:rFonts w:ascii="Arial" w:eastAsia="Arial" w:hAnsi="Arial" w:cs="Arial"/>
          <w:color w:val="000000" w:themeColor="text1"/>
          <w:sz w:val="20"/>
          <w:szCs w:val="20"/>
        </w:rPr>
        <w:t>Behavioral</w:t>
      </w:r>
      <w:proofErr w:type="spellEnd"/>
      <w:r w:rsidRPr="00B0478C">
        <w:rPr>
          <w:rFonts w:ascii="Arial" w:eastAsia="Arial" w:hAnsi="Arial" w:cs="Arial"/>
          <w:color w:val="000000" w:themeColor="text1"/>
          <w:sz w:val="20"/>
          <w:szCs w:val="20"/>
        </w:rPr>
        <w:t xml:space="preserve"> Therapy Intervention for Symptoms of Anxiety and Depression Among University Students: Open-Label, Pragmatic Trial. </w:t>
      </w:r>
      <w:r w:rsidRPr="00B0478C">
        <w:rPr>
          <w:rFonts w:ascii="Arial" w:eastAsia="Arial" w:hAnsi="Arial" w:cs="Arial"/>
          <w:i/>
          <w:iCs/>
          <w:color w:val="000000" w:themeColor="text1"/>
          <w:sz w:val="20"/>
          <w:szCs w:val="20"/>
        </w:rPr>
        <w:t>JMIR Mental Health</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8</w:t>
      </w:r>
      <w:r w:rsidRPr="00B0478C">
        <w:rPr>
          <w:rFonts w:ascii="Arial" w:eastAsia="Arial" w:hAnsi="Arial" w:cs="Arial"/>
          <w:color w:val="000000" w:themeColor="text1"/>
          <w:sz w:val="20"/>
          <w:szCs w:val="20"/>
        </w:rPr>
        <w:t xml:space="preserve">(5), e27400. </w:t>
      </w:r>
      <w:hyperlink r:id="rId18">
        <w:r w:rsidRPr="00B0478C">
          <w:rPr>
            <w:rFonts w:ascii="Arial" w:eastAsia="Arial" w:hAnsi="Arial" w:cs="Arial"/>
            <w:color w:val="000000" w:themeColor="text1"/>
            <w:sz w:val="20"/>
            <w:szCs w:val="20"/>
            <w:u w:val="single"/>
          </w:rPr>
          <w:t>https://doi.org/10.2196/27400</w:t>
        </w:r>
      </w:hyperlink>
    </w:p>
    <w:p w14:paraId="3FB86E55"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Chu, T., Liu, X., </w:t>
      </w:r>
      <w:proofErr w:type="spellStart"/>
      <w:r w:rsidRPr="00B0478C">
        <w:rPr>
          <w:rFonts w:ascii="Arial" w:eastAsia="Arial" w:hAnsi="Arial" w:cs="Arial"/>
          <w:color w:val="000000" w:themeColor="text1"/>
          <w:sz w:val="20"/>
          <w:szCs w:val="20"/>
        </w:rPr>
        <w:t>Takayanagi</w:t>
      </w:r>
      <w:proofErr w:type="spellEnd"/>
      <w:r w:rsidRPr="00B0478C">
        <w:rPr>
          <w:rFonts w:ascii="Arial" w:eastAsia="Arial" w:hAnsi="Arial" w:cs="Arial"/>
          <w:color w:val="000000" w:themeColor="text1"/>
          <w:sz w:val="20"/>
          <w:szCs w:val="20"/>
        </w:rPr>
        <w:t xml:space="preserve">, S., Matsushita, T., &amp; </w:t>
      </w:r>
      <w:proofErr w:type="spellStart"/>
      <w:r w:rsidRPr="00B0478C">
        <w:rPr>
          <w:rFonts w:ascii="Arial" w:eastAsia="Arial" w:hAnsi="Arial" w:cs="Arial"/>
          <w:color w:val="000000" w:themeColor="text1"/>
          <w:sz w:val="20"/>
          <w:szCs w:val="20"/>
        </w:rPr>
        <w:t>Kishimoto</w:t>
      </w:r>
      <w:proofErr w:type="spellEnd"/>
      <w:r w:rsidRPr="00B0478C">
        <w:rPr>
          <w:rFonts w:ascii="Arial" w:eastAsia="Arial" w:hAnsi="Arial" w:cs="Arial"/>
          <w:color w:val="000000" w:themeColor="text1"/>
          <w:sz w:val="20"/>
          <w:szCs w:val="20"/>
        </w:rPr>
        <w:t xml:space="preserve">, H. (2023). Association between mental health and academic performance among university undergraduates: The interacting role of lifestyle </w:t>
      </w:r>
      <w:proofErr w:type="spellStart"/>
      <w:r w:rsidRPr="00B0478C">
        <w:rPr>
          <w:rFonts w:ascii="Arial" w:eastAsia="Arial" w:hAnsi="Arial" w:cs="Arial"/>
          <w:color w:val="000000" w:themeColor="text1"/>
          <w:sz w:val="20"/>
          <w:szCs w:val="20"/>
        </w:rPr>
        <w:t>behaviors</w:t>
      </w:r>
      <w:proofErr w:type="spellEnd"/>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International journal of methods in psychiatric research</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32</w:t>
      </w:r>
      <w:r w:rsidRPr="00B0478C">
        <w:rPr>
          <w:rFonts w:ascii="Arial" w:eastAsia="Arial" w:hAnsi="Arial" w:cs="Arial"/>
          <w:color w:val="000000" w:themeColor="text1"/>
          <w:sz w:val="20"/>
          <w:szCs w:val="20"/>
        </w:rPr>
        <w:t xml:space="preserve">(1), e1938. </w:t>
      </w:r>
      <w:hyperlink r:id="rId19">
        <w:r w:rsidRPr="00B0478C">
          <w:rPr>
            <w:rFonts w:ascii="Arial" w:eastAsia="Arial" w:hAnsi="Arial" w:cs="Arial"/>
            <w:color w:val="000000" w:themeColor="text1"/>
            <w:sz w:val="20"/>
            <w:szCs w:val="20"/>
            <w:u w:val="single"/>
          </w:rPr>
          <w:t>https://doi.org/10.1002/mpr.1938</w:t>
        </w:r>
      </w:hyperlink>
    </w:p>
    <w:p w14:paraId="216D9ABB"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5" w:name="_heading=h.ifo6btpm8t5" w:colFirst="0" w:colLast="0"/>
      <w:bookmarkEnd w:id="5"/>
      <w:r w:rsidRPr="00B0478C">
        <w:rPr>
          <w:rFonts w:ascii="Arial" w:eastAsia="Arial" w:hAnsi="Arial" w:cs="Arial"/>
          <w:color w:val="000000" w:themeColor="text1"/>
          <w:sz w:val="20"/>
          <w:szCs w:val="20"/>
        </w:rPr>
        <w:t>David-</w:t>
      </w:r>
      <w:proofErr w:type="spellStart"/>
      <w:r w:rsidRPr="00B0478C">
        <w:rPr>
          <w:rFonts w:ascii="Arial" w:eastAsia="Arial" w:hAnsi="Arial" w:cs="Arial"/>
          <w:color w:val="000000" w:themeColor="text1"/>
          <w:sz w:val="20"/>
          <w:szCs w:val="20"/>
        </w:rPr>
        <w:t>Olawade</w:t>
      </w:r>
      <w:proofErr w:type="spellEnd"/>
      <w:r w:rsidRPr="00B0478C">
        <w:rPr>
          <w:rFonts w:ascii="Arial" w:eastAsia="Arial" w:hAnsi="Arial" w:cs="Arial"/>
          <w:color w:val="000000" w:themeColor="text1"/>
          <w:sz w:val="20"/>
          <w:szCs w:val="20"/>
        </w:rPr>
        <w:t xml:space="preserve">, A. C., </w:t>
      </w:r>
      <w:proofErr w:type="spellStart"/>
      <w:r w:rsidRPr="00B0478C">
        <w:rPr>
          <w:rFonts w:ascii="Arial" w:eastAsia="Arial" w:hAnsi="Arial" w:cs="Arial"/>
          <w:color w:val="000000" w:themeColor="text1"/>
          <w:sz w:val="20"/>
          <w:szCs w:val="20"/>
        </w:rPr>
        <w:t>Olawade</w:t>
      </w:r>
      <w:proofErr w:type="spellEnd"/>
      <w:r w:rsidRPr="00B0478C">
        <w:rPr>
          <w:rFonts w:ascii="Arial" w:eastAsia="Arial" w:hAnsi="Arial" w:cs="Arial"/>
          <w:color w:val="000000" w:themeColor="text1"/>
          <w:sz w:val="20"/>
          <w:szCs w:val="20"/>
        </w:rPr>
        <w:t xml:space="preserve">, D. B., </w:t>
      </w:r>
      <w:proofErr w:type="spellStart"/>
      <w:r w:rsidRPr="00B0478C">
        <w:rPr>
          <w:rFonts w:ascii="Arial" w:eastAsia="Arial" w:hAnsi="Arial" w:cs="Arial"/>
          <w:color w:val="000000" w:themeColor="text1"/>
          <w:sz w:val="20"/>
          <w:szCs w:val="20"/>
        </w:rPr>
        <w:t>Ojo</w:t>
      </w:r>
      <w:proofErr w:type="spellEnd"/>
      <w:r w:rsidRPr="00B0478C">
        <w:rPr>
          <w:rFonts w:ascii="Arial" w:eastAsia="Arial" w:hAnsi="Arial" w:cs="Arial"/>
          <w:color w:val="000000" w:themeColor="text1"/>
          <w:sz w:val="20"/>
          <w:szCs w:val="20"/>
        </w:rPr>
        <w:t xml:space="preserve">, I. O., </w:t>
      </w:r>
      <w:proofErr w:type="spellStart"/>
      <w:r w:rsidRPr="00B0478C">
        <w:rPr>
          <w:rFonts w:ascii="Arial" w:eastAsia="Arial" w:hAnsi="Arial" w:cs="Arial"/>
          <w:color w:val="000000" w:themeColor="text1"/>
          <w:sz w:val="20"/>
          <w:szCs w:val="20"/>
        </w:rPr>
        <w:t>Famujimi</w:t>
      </w:r>
      <w:proofErr w:type="spellEnd"/>
      <w:r w:rsidRPr="00B0478C">
        <w:rPr>
          <w:rFonts w:ascii="Arial" w:eastAsia="Arial" w:hAnsi="Arial" w:cs="Arial"/>
          <w:color w:val="000000" w:themeColor="text1"/>
          <w:sz w:val="20"/>
          <w:szCs w:val="20"/>
        </w:rPr>
        <w:t xml:space="preserve">, M. E., </w:t>
      </w:r>
      <w:proofErr w:type="spellStart"/>
      <w:r w:rsidRPr="00B0478C">
        <w:rPr>
          <w:rFonts w:ascii="Arial" w:eastAsia="Arial" w:hAnsi="Arial" w:cs="Arial"/>
          <w:color w:val="000000" w:themeColor="text1"/>
          <w:sz w:val="20"/>
          <w:szCs w:val="20"/>
        </w:rPr>
        <w:t>Olawumi</w:t>
      </w:r>
      <w:proofErr w:type="spellEnd"/>
      <w:r w:rsidRPr="00B0478C">
        <w:rPr>
          <w:rFonts w:ascii="Arial" w:eastAsia="Arial" w:hAnsi="Arial" w:cs="Arial"/>
          <w:color w:val="000000" w:themeColor="text1"/>
          <w:sz w:val="20"/>
          <w:szCs w:val="20"/>
        </w:rPr>
        <w:t xml:space="preserve">, T. T., &amp; Esan, D. T. (2024). Nursing in the Digital Age: Harnessing telemedicine for enhanced patient care. </w:t>
      </w:r>
      <w:r w:rsidRPr="00B0478C">
        <w:rPr>
          <w:rFonts w:ascii="Arial" w:eastAsia="Arial" w:hAnsi="Arial" w:cs="Arial"/>
          <w:i/>
          <w:iCs/>
          <w:color w:val="000000" w:themeColor="text1"/>
          <w:sz w:val="20"/>
          <w:szCs w:val="20"/>
        </w:rPr>
        <w:t>Informatics and Health</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1</w:t>
      </w:r>
      <w:r w:rsidRPr="00B0478C">
        <w:rPr>
          <w:rFonts w:ascii="Arial" w:eastAsia="Arial" w:hAnsi="Arial" w:cs="Arial"/>
          <w:color w:val="000000" w:themeColor="text1"/>
          <w:sz w:val="20"/>
          <w:szCs w:val="20"/>
        </w:rPr>
        <w:t xml:space="preserve">(2), 100–110. </w:t>
      </w:r>
      <w:hyperlink r:id="rId20">
        <w:r w:rsidRPr="00B0478C">
          <w:rPr>
            <w:rFonts w:ascii="Arial" w:eastAsia="Arial" w:hAnsi="Arial" w:cs="Arial"/>
            <w:color w:val="000000" w:themeColor="text1"/>
            <w:sz w:val="20"/>
            <w:szCs w:val="20"/>
            <w:u w:val="single"/>
          </w:rPr>
          <w:t>https://doi.org/10.1016/j.infoh.2024.07.003</w:t>
        </w:r>
      </w:hyperlink>
    </w:p>
    <w:p w14:paraId="04D5C856"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6" w:name="_heading=h.7as6x41njmmm" w:colFirst="0" w:colLast="0"/>
      <w:bookmarkEnd w:id="6"/>
      <w:r w:rsidRPr="00B0478C">
        <w:rPr>
          <w:rFonts w:ascii="Arial" w:eastAsia="Arial" w:hAnsi="Arial" w:cs="Arial"/>
          <w:color w:val="000000" w:themeColor="text1"/>
          <w:sz w:val="20"/>
          <w:szCs w:val="20"/>
        </w:rPr>
        <w:t xml:space="preserve">de </w:t>
      </w:r>
      <w:proofErr w:type="spellStart"/>
      <w:r w:rsidRPr="00B0478C">
        <w:rPr>
          <w:rFonts w:ascii="Arial" w:eastAsia="Arial" w:hAnsi="Arial" w:cs="Arial"/>
          <w:color w:val="000000" w:themeColor="text1"/>
          <w:sz w:val="20"/>
          <w:szCs w:val="20"/>
        </w:rPr>
        <w:t>Alencar</w:t>
      </w:r>
      <w:proofErr w:type="spellEnd"/>
      <w:r w:rsidRPr="00B0478C">
        <w:rPr>
          <w:rFonts w:ascii="Arial" w:eastAsia="Arial" w:hAnsi="Arial" w:cs="Arial"/>
          <w:color w:val="000000" w:themeColor="text1"/>
          <w:sz w:val="20"/>
          <w:szCs w:val="20"/>
        </w:rPr>
        <w:t xml:space="preserve"> Ribeiro, A. A., Fernandes, M. A., </w:t>
      </w:r>
      <w:proofErr w:type="spellStart"/>
      <w:r w:rsidRPr="00B0478C">
        <w:rPr>
          <w:rFonts w:ascii="Arial" w:eastAsia="Arial" w:hAnsi="Arial" w:cs="Arial"/>
          <w:color w:val="000000" w:themeColor="text1"/>
          <w:sz w:val="20"/>
          <w:szCs w:val="20"/>
        </w:rPr>
        <w:t>Vedana</w:t>
      </w:r>
      <w:proofErr w:type="spellEnd"/>
      <w:r w:rsidRPr="00B0478C">
        <w:rPr>
          <w:rFonts w:ascii="Arial" w:eastAsia="Arial" w:hAnsi="Arial" w:cs="Arial"/>
          <w:color w:val="000000" w:themeColor="text1"/>
          <w:sz w:val="20"/>
          <w:szCs w:val="20"/>
        </w:rPr>
        <w:t>, K. G. G., Lira, J. A. C., Barbosa, N. S., Rocha, E. P., &amp; Cunha, K. R. F. (2025). Mental health and university dropout among nursing students: A cross-sectional study. </w:t>
      </w:r>
      <w:r w:rsidRPr="00B0478C">
        <w:rPr>
          <w:rFonts w:ascii="Arial" w:eastAsia="Arial" w:hAnsi="Arial" w:cs="Arial"/>
          <w:i/>
          <w:iCs/>
          <w:color w:val="000000" w:themeColor="text1"/>
          <w:sz w:val="20"/>
          <w:szCs w:val="20"/>
        </w:rPr>
        <w:t>Nurse education today</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147</w:t>
      </w:r>
      <w:r w:rsidRPr="00B0478C">
        <w:rPr>
          <w:rFonts w:ascii="Arial" w:eastAsia="Arial" w:hAnsi="Arial" w:cs="Arial"/>
          <w:color w:val="000000" w:themeColor="text1"/>
          <w:sz w:val="20"/>
          <w:szCs w:val="20"/>
        </w:rPr>
        <w:t xml:space="preserve">, 106571. </w:t>
      </w:r>
      <w:hyperlink r:id="rId21">
        <w:r w:rsidRPr="00B0478C">
          <w:rPr>
            <w:rFonts w:ascii="Arial" w:eastAsia="Arial" w:hAnsi="Arial" w:cs="Arial"/>
            <w:color w:val="000000" w:themeColor="text1"/>
            <w:sz w:val="20"/>
            <w:szCs w:val="20"/>
            <w:u w:val="single"/>
          </w:rPr>
          <w:t>https://doi.org/10.1016/j.nedt.2025.106571</w:t>
        </w:r>
      </w:hyperlink>
    </w:p>
    <w:p w14:paraId="18733AE6"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Dekker, I., De Jong, E. M., Schippers, M. C., De </w:t>
      </w:r>
      <w:proofErr w:type="spellStart"/>
      <w:r w:rsidRPr="00B0478C">
        <w:rPr>
          <w:rFonts w:ascii="Arial" w:eastAsia="Arial" w:hAnsi="Arial" w:cs="Arial"/>
          <w:color w:val="000000" w:themeColor="text1"/>
          <w:sz w:val="20"/>
          <w:szCs w:val="20"/>
        </w:rPr>
        <w:t>Bruijn-Smolders</w:t>
      </w:r>
      <w:proofErr w:type="spellEnd"/>
      <w:r w:rsidRPr="00B0478C">
        <w:rPr>
          <w:rFonts w:ascii="Arial" w:eastAsia="Arial" w:hAnsi="Arial" w:cs="Arial"/>
          <w:color w:val="000000" w:themeColor="text1"/>
          <w:sz w:val="20"/>
          <w:szCs w:val="20"/>
        </w:rPr>
        <w:t xml:space="preserve">, M., Alexiou, A., &amp; </w:t>
      </w:r>
      <w:proofErr w:type="spellStart"/>
      <w:r w:rsidRPr="00B0478C">
        <w:rPr>
          <w:rFonts w:ascii="Arial" w:eastAsia="Arial" w:hAnsi="Arial" w:cs="Arial"/>
          <w:color w:val="000000" w:themeColor="text1"/>
          <w:sz w:val="20"/>
          <w:szCs w:val="20"/>
        </w:rPr>
        <w:t>Giesbers</w:t>
      </w:r>
      <w:proofErr w:type="spellEnd"/>
      <w:r w:rsidRPr="00B0478C">
        <w:rPr>
          <w:rFonts w:ascii="Arial" w:eastAsia="Arial" w:hAnsi="Arial" w:cs="Arial"/>
          <w:color w:val="000000" w:themeColor="text1"/>
          <w:sz w:val="20"/>
          <w:szCs w:val="20"/>
        </w:rPr>
        <w:t xml:space="preserve">, B. (2020). Optimizing students’ mental health and academic performance: AI-enhanced life crafting. </w:t>
      </w:r>
      <w:r w:rsidRPr="00B0478C">
        <w:rPr>
          <w:rFonts w:ascii="Arial" w:eastAsia="Arial" w:hAnsi="Arial" w:cs="Arial"/>
          <w:i/>
          <w:iCs/>
          <w:color w:val="000000" w:themeColor="text1"/>
          <w:sz w:val="20"/>
          <w:szCs w:val="20"/>
        </w:rPr>
        <w:t>Frontiers in Psychology, 11</w:t>
      </w:r>
      <w:r w:rsidRPr="00B0478C">
        <w:rPr>
          <w:rFonts w:ascii="Arial" w:eastAsia="Arial" w:hAnsi="Arial" w:cs="Arial"/>
          <w:color w:val="000000" w:themeColor="text1"/>
          <w:sz w:val="20"/>
          <w:szCs w:val="20"/>
        </w:rPr>
        <w:t xml:space="preserve">, 1063. </w:t>
      </w:r>
      <w:hyperlink r:id="rId22">
        <w:r w:rsidRPr="00B0478C">
          <w:rPr>
            <w:rFonts w:ascii="Arial" w:eastAsia="Arial" w:hAnsi="Arial" w:cs="Arial"/>
            <w:color w:val="000000" w:themeColor="text1"/>
            <w:sz w:val="20"/>
            <w:szCs w:val="20"/>
            <w:u w:val="single"/>
          </w:rPr>
          <w:t>https://doi.org/10.3389/fpsyg.2020.01063</w:t>
        </w:r>
      </w:hyperlink>
    </w:p>
    <w:p w14:paraId="17A7511D"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7" w:name="_heading=h.bn4nbl53dv5z" w:colFirst="0" w:colLast="0"/>
      <w:bookmarkEnd w:id="7"/>
      <w:r w:rsidRPr="00B0478C">
        <w:rPr>
          <w:rFonts w:ascii="Arial" w:eastAsia="Arial" w:hAnsi="Arial" w:cs="Arial"/>
          <w:color w:val="000000" w:themeColor="text1"/>
          <w:sz w:val="20"/>
          <w:szCs w:val="20"/>
        </w:rPr>
        <w:t xml:space="preserve">Du Plooy, E., </w:t>
      </w:r>
      <w:proofErr w:type="spellStart"/>
      <w:r w:rsidRPr="00B0478C">
        <w:rPr>
          <w:rFonts w:ascii="Arial" w:eastAsia="Arial" w:hAnsi="Arial" w:cs="Arial"/>
          <w:color w:val="000000" w:themeColor="text1"/>
          <w:sz w:val="20"/>
          <w:szCs w:val="20"/>
        </w:rPr>
        <w:t>Casteleijn</w:t>
      </w:r>
      <w:proofErr w:type="spellEnd"/>
      <w:r w:rsidRPr="00B0478C">
        <w:rPr>
          <w:rFonts w:ascii="Arial" w:eastAsia="Arial" w:hAnsi="Arial" w:cs="Arial"/>
          <w:color w:val="000000" w:themeColor="text1"/>
          <w:sz w:val="20"/>
          <w:szCs w:val="20"/>
        </w:rPr>
        <w:t xml:space="preserve">, D., &amp; </w:t>
      </w:r>
      <w:proofErr w:type="spellStart"/>
      <w:r w:rsidRPr="00B0478C">
        <w:rPr>
          <w:rFonts w:ascii="Arial" w:eastAsia="Arial" w:hAnsi="Arial" w:cs="Arial"/>
          <w:color w:val="000000" w:themeColor="text1"/>
          <w:sz w:val="20"/>
          <w:szCs w:val="20"/>
        </w:rPr>
        <w:t>Franzsen</w:t>
      </w:r>
      <w:proofErr w:type="spellEnd"/>
      <w:r w:rsidRPr="00B0478C">
        <w:rPr>
          <w:rFonts w:ascii="Arial" w:eastAsia="Arial" w:hAnsi="Arial" w:cs="Arial"/>
          <w:color w:val="000000" w:themeColor="text1"/>
          <w:sz w:val="20"/>
          <w:szCs w:val="20"/>
        </w:rPr>
        <w:t xml:space="preserve">, D. (2024). Personalized adaptive learning in higher education: A scoping review of key characteristics and impact on academic performance and engagement. </w:t>
      </w:r>
      <w:proofErr w:type="spellStart"/>
      <w:r w:rsidRPr="00B0478C">
        <w:rPr>
          <w:rFonts w:ascii="Arial" w:eastAsia="Arial" w:hAnsi="Arial" w:cs="Arial"/>
          <w:i/>
          <w:iCs/>
          <w:color w:val="000000" w:themeColor="text1"/>
          <w:sz w:val="20"/>
          <w:szCs w:val="20"/>
        </w:rPr>
        <w:t>Heliyon</w:t>
      </w:r>
      <w:proofErr w:type="spellEnd"/>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10</w:t>
      </w:r>
      <w:r w:rsidRPr="00B0478C">
        <w:rPr>
          <w:rFonts w:ascii="Arial" w:eastAsia="Arial" w:hAnsi="Arial" w:cs="Arial"/>
          <w:color w:val="000000" w:themeColor="text1"/>
          <w:sz w:val="20"/>
          <w:szCs w:val="20"/>
        </w:rPr>
        <w:t xml:space="preserve">(21), e39630. </w:t>
      </w:r>
      <w:hyperlink r:id="rId23">
        <w:r w:rsidRPr="00B0478C">
          <w:rPr>
            <w:rFonts w:ascii="Arial" w:eastAsia="Arial" w:hAnsi="Arial" w:cs="Arial"/>
            <w:color w:val="000000" w:themeColor="text1"/>
            <w:sz w:val="20"/>
            <w:szCs w:val="20"/>
            <w:u w:val="single"/>
          </w:rPr>
          <w:t>https://doi.org/10.1016/j.heliyon.2024.e39630</w:t>
        </w:r>
      </w:hyperlink>
    </w:p>
    <w:p w14:paraId="08DF8AEC"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8" w:name="_heading=h.z5myzm7dhx3q" w:colFirst="0" w:colLast="0"/>
      <w:bookmarkEnd w:id="8"/>
      <w:proofErr w:type="spellStart"/>
      <w:r w:rsidRPr="00B0478C">
        <w:rPr>
          <w:rFonts w:ascii="Arial" w:eastAsia="Arial" w:hAnsi="Arial" w:cs="Arial"/>
          <w:color w:val="000000" w:themeColor="text1"/>
          <w:sz w:val="20"/>
          <w:szCs w:val="20"/>
        </w:rPr>
        <w:t>Duchi</w:t>
      </w:r>
      <w:proofErr w:type="spellEnd"/>
      <w:r w:rsidRPr="00B0478C">
        <w:rPr>
          <w:rFonts w:ascii="Arial" w:eastAsia="Arial" w:hAnsi="Arial" w:cs="Arial"/>
          <w:color w:val="000000" w:themeColor="text1"/>
          <w:sz w:val="20"/>
          <w:szCs w:val="20"/>
        </w:rPr>
        <w:t xml:space="preserve">, L., </w:t>
      </w:r>
      <w:proofErr w:type="spellStart"/>
      <w:r w:rsidRPr="00B0478C">
        <w:rPr>
          <w:rFonts w:ascii="Arial" w:eastAsia="Arial" w:hAnsi="Arial" w:cs="Arial"/>
          <w:color w:val="000000" w:themeColor="text1"/>
          <w:sz w:val="20"/>
          <w:szCs w:val="20"/>
        </w:rPr>
        <w:t>Wijnia</w:t>
      </w:r>
      <w:proofErr w:type="spellEnd"/>
      <w:r w:rsidRPr="00B0478C">
        <w:rPr>
          <w:rFonts w:ascii="Arial" w:eastAsia="Arial" w:hAnsi="Arial" w:cs="Arial"/>
          <w:color w:val="000000" w:themeColor="text1"/>
          <w:sz w:val="20"/>
          <w:szCs w:val="20"/>
        </w:rPr>
        <w:t xml:space="preserve">, L., </w:t>
      </w:r>
      <w:proofErr w:type="spellStart"/>
      <w:r w:rsidRPr="00B0478C">
        <w:rPr>
          <w:rFonts w:ascii="Arial" w:eastAsia="Arial" w:hAnsi="Arial" w:cs="Arial"/>
          <w:color w:val="000000" w:themeColor="text1"/>
          <w:sz w:val="20"/>
          <w:szCs w:val="20"/>
        </w:rPr>
        <w:t>Loyens</w:t>
      </w:r>
      <w:proofErr w:type="spellEnd"/>
      <w:r w:rsidRPr="00B0478C">
        <w:rPr>
          <w:rFonts w:ascii="Arial" w:eastAsia="Arial" w:hAnsi="Arial" w:cs="Arial"/>
          <w:color w:val="000000" w:themeColor="text1"/>
          <w:sz w:val="20"/>
          <w:szCs w:val="20"/>
        </w:rPr>
        <w:t xml:space="preserve">, S., &amp; </w:t>
      </w:r>
      <w:proofErr w:type="spellStart"/>
      <w:r w:rsidRPr="00B0478C">
        <w:rPr>
          <w:rFonts w:ascii="Arial" w:eastAsia="Arial" w:hAnsi="Arial" w:cs="Arial"/>
          <w:color w:val="000000" w:themeColor="text1"/>
          <w:sz w:val="20"/>
          <w:szCs w:val="20"/>
        </w:rPr>
        <w:t>Paas</w:t>
      </w:r>
      <w:proofErr w:type="spellEnd"/>
      <w:r w:rsidRPr="00B0478C">
        <w:rPr>
          <w:rFonts w:ascii="Arial" w:eastAsia="Arial" w:hAnsi="Arial" w:cs="Arial"/>
          <w:color w:val="000000" w:themeColor="text1"/>
          <w:sz w:val="20"/>
          <w:szCs w:val="20"/>
        </w:rPr>
        <w:t xml:space="preserve">, F. (2024). Redefining education: The role of study crafting in enhancing students’ well-being, self-direction, and academic achievement. </w:t>
      </w:r>
      <w:r w:rsidRPr="00B0478C">
        <w:rPr>
          <w:rFonts w:ascii="Arial" w:eastAsia="Arial" w:hAnsi="Arial" w:cs="Arial"/>
          <w:i/>
          <w:iCs/>
          <w:color w:val="000000" w:themeColor="text1"/>
          <w:sz w:val="20"/>
          <w:szCs w:val="20"/>
        </w:rPr>
        <w:t>Learning and Individual Differences</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118</w:t>
      </w:r>
      <w:r w:rsidRPr="00B0478C">
        <w:rPr>
          <w:rFonts w:ascii="Arial" w:eastAsia="Arial" w:hAnsi="Arial" w:cs="Arial"/>
          <w:color w:val="000000" w:themeColor="text1"/>
          <w:sz w:val="20"/>
          <w:szCs w:val="20"/>
        </w:rPr>
        <w:t xml:space="preserve">, 102608. </w:t>
      </w:r>
      <w:hyperlink r:id="rId24">
        <w:r w:rsidRPr="00B0478C">
          <w:rPr>
            <w:rFonts w:ascii="Arial" w:eastAsia="Arial" w:hAnsi="Arial" w:cs="Arial"/>
            <w:color w:val="000000" w:themeColor="text1"/>
            <w:sz w:val="20"/>
            <w:szCs w:val="20"/>
            <w:u w:val="single"/>
          </w:rPr>
          <w:t>https://doi.org/10.1016/j.lindif.2024.102608</w:t>
        </w:r>
      </w:hyperlink>
    </w:p>
    <w:p w14:paraId="02E13ADB"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Epping-Jordan, J., Harris, R., Brown, F. L., &amp; van Ommeren, M., et al. (2016). Self-Help Plus (SH1): A new WHO stress management package. </w:t>
      </w:r>
      <w:r w:rsidRPr="00B0478C">
        <w:rPr>
          <w:rFonts w:ascii="Arial" w:eastAsia="Arial" w:hAnsi="Arial" w:cs="Arial"/>
          <w:i/>
          <w:iCs/>
          <w:color w:val="000000" w:themeColor="text1"/>
          <w:sz w:val="20"/>
          <w:szCs w:val="20"/>
        </w:rPr>
        <w:t>World Psychiatry, 15</w:t>
      </w:r>
      <w:r w:rsidRPr="00B0478C">
        <w:rPr>
          <w:rFonts w:ascii="Arial" w:eastAsia="Arial" w:hAnsi="Arial" w:cs="Arial"/>
          <w:color w:val="000000" w:themeColor="text1"/>
          <w:sz w:val="20"/>
          <w:szCs w:val="20"/>
        </w:rPr>
        <w:t xml:space="preserve">(3), 295–296. </w:t>
      </w:r>
      <w:hyperlink r:id="rId25">
        <w:r w:rsidRPr="00B0478C">
          <w:rPr>
            <w:rFonts w:ascii="Arial" w:eastAsia="Arial" w:hAnsi="Arial" w:cs="Arial"/>
            <w:color w:val="000000" w:themeColor="text1"/>
            <w:sz w:val="20"/>
            <w:szCs w:val="20"/>
            <w:u w:val="single"/>
          </w:rPr>
          <w:t>https://doi.org/10.1002/wps.20355</w:t>
        </w:r>
      </w:hyperlink>
    </w:p>
    <w:p w14:paraId="159BA31A"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9" w:name="_heading=h.mjez2k15b7zc" w:colFirst="0" w:colLast="0"/>
      <w:bookmarkEnd w:id="9"/>
      <w:r w:rsidRPr="00B0478C">
        <w:rPr>
          <w:rFonts w:ascii="Arial" w:eastAsia="Arial" w:hAnsi="Arial" w:cs="Arial"/>
          <w:color w:val="000000" w:themeColor="text1"/>
          <w:sz w:val="20"/>
          <w:szCs w:val="20"/>
        </w:rPr>
        <w:t xml:space="preserve">Fahey, C. J. (2025). Virtual </w:t>
      </w:r>
      <w:proofErr w:type="spellStart"/>
      <w:r w:rsidRPr="00B0478C">
        <w:rPr>
          <w:rFonts w:ascii="Arial" w:eastAsia="Arial" w:hAnsi="Arial" w:cs="Arial"/>
          <w:color w:val="000000" w:themeColor="text1"/>
          <w:sz w:val="20"/>
          <w:szCs w:val="20"/>
        </w:rPr>
        <w:t>self care</w:t>
      </w:r>
      <w:proofErr w:type="spellEnd"/>
      <w:r w:rsidRPr="00B0478C">
        <w:rPr>
          <w:rFonts w:ascii="Arial" w:eastAsia="Arial" w:hAnsi="Arial" w:cs="Arial"/>
          <w:color w:val="000000" w:themeColor="text1"/>
          <w:sz w:val="20"/>
          <w:szCs w:val="20"/>
        </w:rPr>
        <w:t xml:space="preserve">: Using virtual reality to support adolescent mental health and wellbeing. </w:t>
      </w:r>
      <w:r w:rsidRPr="00B0478C">
        <w:rPr>
          <w:rFonts w:ascii="Arial" w:eastAsia="Arial" w:hAnsi="Arial" w:cs="Arial"/>
          <w:i/>
          <w:iCs/>
          <w:color w:val="000000" w:themeColor="text1"/>
          <w:sz w:val="20"/>
          <w:szCs w:val="20"/>
        </w:rPr>
        <w:t>Telematics and Informatics Reports</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18</w:t>
      </w:r>
      <w:r w:rsidRPr="00B0478C">
        <w:rPr>
          <w:rFonts w:ascii="Arial" w:eastAsia="Arial" w:hAnsi="Arial" w:cs="Arial"/>
          <w:color w:val="000000" w:themeColor="text1"/>
          <w:sz w:val="20"/>
          <w:szCs w:val="20"/>
        </w:rPr>
        <w:t xml:space="preserve">, 100217. </w:t>
      </w:r>
      <w:hyperlink r:id="rId26">
        <w:r w:rsidRPr="00B0478C">
          <w:rPr>
            <w:rFonts w:ascii="Arial" w:eastAsia="Arial" w:hAnsi="Arial" w:cs="Arial"/>
            <w:color w:val="000000" w:themeColor="text1"/>
            <w:sz w:val="20"/>
            <w:szCs w:val="20"/>
            <w:u w:val="single"/>
          </w:rPr>
          <w:t>https://doi.org/10.1016/j.teler.2025.100217</w:t>
        </w:r>
      </w:hyperlink>
    </w:p>
    <w:p w14:paraId="0ECCD120"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10" w:name="_heading=h.sxfpd54fut78" w:colFirst="0" w:colLast="0"/>
      <w:bookmarkEnd w:id="10"/>
      <w:r w:rsidRPr="00B0478C">
        <w:rPr>
          <w:rFonts w:ascii="Arial" w:eastAsia="Arial" w:hAnsi="Arial" w:cs="Arial"/>
          <w:color w:val="000000" w:themeColor="text1"/>
          <w:sz w:val="20"/>
          <w:szCs w:val="20"/>
        </w:rPr>
        <w:lastRenderedPageBreak/>
        <w:t xml:space="preserve">Farzan, M., Ebrahimi, H., </w:t>
      </w:r>
      <w:proofErr w:type="spellStart"/>
      <w:r w:rsidRPr="00B0478C">
        <w:rPr>
          <w:rFonts w:ascii="Arial" w:eastAsia="Arial" w:hAnsi="Arial" w:cs="Arial"/>
          <w:color w:val="000000" w:themeColor="text1"/>
          <w:sz w:val="20"/>
          <w:szCs w:val="20"/>
        </w:rPr>
        <w:t>Pourali</w:t>
      </w:r>
      <w:proofErr w:type="spellEnd"/>
      <w:r w:rsidRPr="00B0478C">
        <w:rPr>
          <w:rFonts w:ascii="Arial" w:eastAsia="Arial" w:hAnsi="Arial" w:cs="Arial"/>
          <w:color w:val="000000" w:themeColor="text1"/>
          <w:sz w:val="20"/>
          <w:szCs w:val="20"/>
        </w:rPr>
        <w:t xml:space="preserve">, M., &amp; </w:t>
      </w:r>
      <w:proofErr w:type="spellStart"/>
      <w:r w:rsidRPr="00B0478C">
        <w:rPr>
          <w:rFonts w:ascii="Arial" w:eastAsia="Arial" w:hAnsi="Arial" w:cs="Arial"/>
          <w:color w:val="000000" w:themeColor="text1"/>
          <w:sz w:val="20"/>
          <w:szCs w:val="20"/>
        </w:rPr>
        <w:t>Sabeti</w:t>
      </w:r>
      <w:proofErr w:type="spellEnd"/>
      <w:r w:rsidRPr="00B0478C">
        <w:rPr>
          <w:rFonts w:ascii="Arial" w:eastAsia="Arial" w:hAnsi="Arial" w:cs="Arial"/>
          <w:color w:val="000000" w:themeColor="text1"/>
          <w:sz w:val="20"/>
          <w:szCs w:val="20"/>
        </w:rPr>
        <w:t xml:space="preserve">, F. (2025). Artificial Intelligence-Powered Cognitive </w:t>
      </w:r>
      <w:proofErr w:type="spellStart"/>
      <w:r w:rsidRPr="00B0478C">
        <w:rPr>
          <w:rFonts w:ascii="Arial" w:eastAsia="Arial" w:hAnsi="Arial" w:cs="Arial"/>
          <w:color w:val="000000" w:themeColor="text1"/>
          <w:sz w:val="20"/>
          <w:szCs w:val="20"/>
        </w:rPr>
        <w:t>Behavioral</w:t>
      </w:r>
      <w:proofErr w:type="spellEnd"/>
      <w:r w:rsidRPr="00B0478C">
        <w:rPr>
          <w:rFonts w:ascii="Arial" w:eastAsia="Arial" w:hAnsi="Arial" w:cs="Arial"/>
          <w:color w:val="000000" w:themeColor="text1"/>
          <w:sz w:val="20"/>
          <w:szCs w:val="20"/>
        </w:rPr>
        <w:t xml:space="preserve"> Therapy Chatbots, a Systematic Review. </w:t>
      </w:r>
      <w:r w:rsidRPr="00B0478C">
        <w:rPr>
          <w:rFonts w:ascii="Arial" w:eastAsia="Arial" w:hAnsi="Arial" w:cs="Arial"/>
          <w:i/>
          <w:iCs/>
          <w:color w:val="000000" w:themeColor="text1"/>
          <w:sz w:val="20"/>
          <w:szCs w:val="20"/>
        </w:rPr>
        <w:t>Iranian journal of psychiatry</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20</w:t>
      </w:r>
      <w:r w:rsidRPr="00B0478C">
        <w:rPr>
          <w:rFonts w:ascii="Arial" w:eastAsia="Arial" w:hAnsi="Arial" w:cs="Arial"/>
          <w:color w:val="000000" w:themeColor="text1"/>
          <w:sz w:val="20"/>
          <w:szCs w:val="20"/>
        </w:rPr>
        <w:t xml:space="preserve">(1), 102–110. </w:t>
      </w:r>
      <w:hyperlink r:id="rId27">
        <w:r w:rsidRPr="00B0478C">
          <w:rPr>
            <w:rFonts w:ascii="Arial" w:eastAsia="Arial" w:hAnsi="Arial" w:cs="Arial"/>
            <w:color w:val="000000" w:themeColor="text1"/>
            <w:sz w:val="20"/>
            <w:szCs w:val="20"/>
            <w:u w:val="single"/>
          </w:rPr>
          <w:t>https://doi.org/10.18502/ijps.v20i1.17395</w:t>
        </w:r>
      </w:hyperlink>
    </w:p>
    <w:p w14:paraId="627F7757"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11" w:name="_heading=h.xyhj5ekbq20w" w:colFirst="0" w:colLast="0"/>
      <w:bookmarkEnd w:id="11"/>
      <w:r w:rsidRPr="00B0478C">
        <w:rPr>
          <w:rFonts w:ascii="Arial" w:eastAsia="Arial" w:hAnsi="Arial" w:cs="Arial"/>
          <w:color w:val="000000" w:themeColor="text1"/>
          <w:sz w:val="20"/>
          <w:szCs w:val="20"/>
        </w:rPr>
        <w:t>Fernández-</w:t>
      </w:r>
      <w:proofErr w:type="spellStart"/>
      <w:r w:rsidRPr="00B0478C">
        <w:rPr>
          <w:rFonts w:ascii="Arial" w:eastAsia="Arial" w:hAnsi="Arial" w:cs="Arial"/>
          <w:color w:val="000000" w:themeColor="text1"/>
          <w:sz w:val="20"/>
          <w:szCs w:val="20"/>
        </w:rPr>
        <w:t>Batanero</w:t>
      </w:r>
      <w:proofErr w:type="spellEnd"/>
      <w:r w:rsidRPr="00B0478C">
        <w:rPr>
          <w:rFonts w:ascii="Arial" w:eastAsia="Arial" w:hAnsi="Arial" w:cs="Arial"/>
          <w:color w:val="000000" w:themeColor="text1"/>
          <w:sz w:val="20"/>
          <w:szCs w:val="20"/>
        </w:rPr>
        <w:t>, J. M., Fernández-</w:t>
      </w:r>
      <w:proofErr w:type="spellStart"/>
      <w:r w:rsidRPr="00B0478C">
        <w:rPr>
          <w:rFonts w:ascii="Arial" w:eastAsia="Arial" w:hAnsi="Arial" w:cs="Arial"/>
          <w:color w:val="000000" w:themeColor="text1"/>
          <w:sz w:val="20"/>
          <w:szCs w:val="20"/>
        </w:rPr>
        <w:t>Cerero</w:t>
      </w:r>
      <w:proofErr w:type="spellEnd"/>
      <w:r w:rsidRPr="00B0478C">
        <w:rPr>
          <w:rFonts w:ascii="Arial" w:eastAsia="Arial" w:hAnsi="Arial" w:cs="Arial"/>
          <w:color w:val="000000" w:themeColor="text1"/>
          <w:sz w:val="20"/>
          <w:szCs w:val="20"/>
        </w:rPr>
        <w:t>, J., Montenegro-Rueda, M., &amp; Fernández-</w:t>
      </w:r>
      <w:proofErr w:type="spellStart"/>
      <w:r w:rsidRPr="00B0478C">
        <w:rPr>
          <w:rFonts w:ascii="Arial" w:eastAsia="Arial" w:hAnsi="Arial" w:cs="Arial"/>
          <w:color w:val="000000" w:themeColor="text1"/>
          <w:sz w:val="20"/>
          <w:szCs w:val="20"/>
        </w:rPr>
        <w:t>Cerero</w:t>
      </w:r>
      <w:proofErr w:type="spellEnd"/>
      <w:r w:rsidRPr="00B0478C">
        <w:rPr>
          <w:rFonts w:ascii="Arial" w:eastAsia="Arial" w:hAnsi="Arial" w:cs="Arial"/>
          <w:color w:val="000000" w:themeColor="text1"/>
          <w:sz w:val="20"/>
          <w:szCs w:val="20"/>
        </w:rPr>
        <w:t>, D. (2025). Effectiveness of Digital Mental Health Interventions for Children and Adolescents. </w:t>
      </w:r>
      <w:r w:rsidRPr="00B0478C">
        <w:rPr>
          <w:rFonts w:ascii="Arial" w:eastAsia="Arial" w:hAnsi="Arial" w:cs="Arial"/>
          <w:i/>
          <w:iCs/>
          <w:color w:val="000000" w:themeColor="text1"/>
          <w:sz w:val="20"/>
          <w:szCs w:val="20"/>
        </w:rPr>
        <w:t>Children (Basel, Switzerland)</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12</w:t>
      </w:r>
      <w:r w:rsidRPr="00B0478C">
        <w:rPr>
          <w:rFonts w:ascii="Arial" w:eastAsia="Arial" w:hAnsi="Arial" w:cs="Arial"/>
          <w:color w:val="000000" w:themeColor="text1"/>
          <w:sz w:val="20"/>
          <w:szCs w:val="20"/>
        </w:rPr>
        <w:t xml:space="preserve">(3), 353. </w:t>
      </w:r>
      <w:hyperlink r:id="rId28">
        <w:r w:rsidRPr="00B0478C">
          <w:rPr>
            <w:rFonts w:ascii="Arial" w:eastAsia="Arial" w:hAnsi="Arial" w:cs="Arial"/>
            <w:color w:val="000000" w:themeColor="text1"/>
            <w:sz w:val="20"/>
            <w:szCs w:val="20"/>
            <w:u w:val="single"/>
          </w:rPr>
          <w:t>https://doi.org/10.3390/children12030353</w:t>
        </w:r>
      </w:hyperlink>
    </w:p>
    <w:p w14:paraId="4F121FB8"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Ferrari, M., Allan, S., Arnold, C., </w:t>
      </w:r>
      <w:proofErr w:type="spellStart"/>
      <w:r w:rsidRPr="00B0478C">
        <w:rPr>
          <w:rFonts w:ascii="Arial" w:eastAsia="Arial" w:hAnsi="Arial" w:cs="Arial"/>
          <w:color w:val="000000" w:themeColor="text1"/>
          <w:sz w:val="20"/>
          <w:szCs w:val="20"/>
        </w:rPr>
        <w:t>Eleftheriadis</w:t>
      </w:r>
      <w:proofErr w:type="spellEnd"/>
      <w:r w:rsidRPr="00B0478C">
        <w:rPr>
          <w:rFonts w:ascii="Arial" w:eastAsia="Arial" w:hAnsi="Arial" w:cs="Arial"/>
          <w:color w:val="000000" w:themeColor="text1"/>
          <w:sz w:val="20"/>
          <w:szCs w:val="20"/>
        </w:rPr>
        <w:t xml:space="preserve">, D., Alvarez-Jimenez, M., </w:t>
      </w:r>
      <w:proofErr w:type="spellStart"/>
      <w:r w:rsidRPr="00B0478C">
        <w:rPr>
          <w:rFonts w:ascii="Arial" w:eastAsia="Arial" w:hAnsi="Arial" w:cs="Arial"/>
          <w:color w:val="000000" w:themeColor="text1"/>
          <w:sz w:val="20"/>
          <w:szCs w:val="20"/>
        </w:rPr>
        <w:t>Gumley</w:t>
      </w:r>
      <w:proofErr w:type="spellEnd"/>
      <w:r w:rsidRPr="00B0478C">
        <w:rPr>
          <w:rFonts w:ascii="Arial" w:eastAsia="Arial" w:hAnsi="Arial" w:cs="Arial"/>
          <w:color w:val="000000" w:themeColor="text1"/>
          <w:sz w:val="20"/>
          <w:szCs w:val="20"/>
        </w:rPr>
        <w:t xml:space="preserve">, A., &amp; Gleeson, J. F. (2022). Digital interventions for psychological well-being in university students: Systematic review and meta-analysis. </w:t>
      </w:r>
      <w:r w:rsidRPr="00B0478C">
        <w:rPr>
          <w:rFonts w:ascii="Arial" w:eastAsia="Arial" w:hAnsi="Arial" w:cs="Arial"/>
          <w:i/>
          <w:iCs/>
          <w:color w:val="000000" w:themeColor="text1"/>
          <w:sz w:val="20"/>
          <w:szCs w:val="20"/>
        </w:rPr>
        <w:t>Journal of Medical Internet Research, 24</w:t>
      </w:r>
      <w:r w:rsidRPr="00B0478C">
        <w:rPr>
          <w:rFonts w:ascii="Arial" w:eastAsia="Arial" w:hAnsi="Arial" w:cs="Arial"/>
          <w:color w:val="000000" w:themeColor="text1"/>
          <w:sz w:val="20"/>
          <w:szCs w:val="20"/>
        </w:rPr>
        <w:t xml:space="preserve">(9), e39686. </w:t>
      </w:r>
      <w:hyperlink r:id="rId29">
        <w:r w:rsidRPr="00B0478C">
          <w:rPr>
            <w:rFonts w:ascii="Arial" w:eastAsia="Arial" w:hAnsi="Arial" w:cs="Arial"/>
            <w:color w:val="000000" w:themeColor="text1"/>
            <w:sz w:val="20"/>
            <w:szCs w:val="20"/>
            <w:u w:val="single"/>
          </w:rPr>
          <w:t>https://doi.org/10.2196/39686</w:t>
        </w:r>
      </w:hyperlink>
    </w:p>
    <w:p w14:paraId="0557AAE4"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12" w:name="_heading=h.se6jdb7eegp5" w:colFirst="0" w:colLast="0"/>
      <w:bookmarkEnd w:id="12"/>
      <w:r w:rsidRPr="00B0478C">
        <w:rPr>
          <w:rFonts w:ascii="Arial" w:eastAsia="Arial" w:hAnsi="Arial" w:cs="Arial"/>
          <w:color w:val="000000" w:themeColor="text1"/>
          <w:sz w:val="20"/>
          <w:szCs w:val="20"/>
        </w:rPr>
        <w:t xml:space="preserve">Fitzpatrick, K. K., Darcy, A., &amp; </w:t>
      </w:r>
      <w:proofErr w:type="spellStart"/>
      <w:r w:rsidRPr="00B0478C">
        <w:rPr>
          <w:rFonts w:ascii="Arial" w:eastAsia="Arial" w:hAnsi="Arial" w:cs="Arial"/>
          <w:color w:val="000000" w:themeColor="text1"/>
          <w:sz w:val="20"/>
          <w:szCs w:val="20"/>
        </w:rPr>
        <w:t>Vierhile</w:t>
      </w:r>
      <w:proofErr w:type="spellEnd"/>
      <w:r w:rsidRPr="00B0478C">
        <w:rPr>
          <w:rFonts w:ascii="Arial" w:eastAsia="Arial" w:hAnsi="Arial" w:cs="Arial"/>
          <w:color w:val="000000" w:themeColor="text1"/>
          <w:sz w:val="20"/>
          <w:szCs w:val="20"/>
        </w:rPr>
        <w:t xml:space="preserve">, M. (2017). Delivering cognitive </w:t>
      </w:r>
      <w:proofErr w:type="spellStart"/>
      <w:r w:rsidRPr="00B0478C">
        <w:rPr>
          <w:rFonts w:ascii="Arial" w:eastAsia="Arial" w:hAnsi="Arial" w:cs="Arial"/>
          <w:color w:val="000000" w:themeColor="text1"/>
          <w:sz w:val="20"/>
          <w:szCs w:val="20"/>
        </w:rPr>
        <w:t>behavior</w:t>
      </w:r>
      <w:proofErr w:type="spellEnd"/>
      <w:r w:rsidRPr="00B0478C">
        <w:rPr>
          <w:rFonts w:ascii="Arial" w:eastAsia="Arial" w:hAnsi="Arial" w:cs="Arial"/>
          <w:color w:val="000000" w:themeColor="text1"/>
          <w:sz w:val="20"/>
          <w:szCs w:val="20"/>
        </w:rPr>
        <w:t xml:space="preserve"> therapy to young adults with symptoms of depression and anxiety using a fully automated conversational agent (</w:t>
      </w:r>
      <w:proofErr w:type="spellStart"/>
      <w:r w:rsidRPr="00B0478C">
        <w:rPr>
          <w:rFonts w:ascii="Arial" w:eastAsia="Arial" w:hAnsi="Arial" w:cs="Arial"/>
          <w:color w:val="000000" w:themeColor="text1"/>
          <w:sz w:val="20"/>
          <w:szCs w:val="20"/>
        </w:rPr>
        <w:t>WoeBot</w:t>
      </w:r>
      <w:proofErr w:type="spellEnd"/>
      <w:r w:rsidRPr="00B0478C">
        <w:rPr>
          <w:rFonts w:ascii="Arial" w:eastAsia="Arial" w:hAnsi="Arial" w:cs="Arial"/>
          <w:color w:val="000000" w:themeColor="text1"/>
          <w:sz w:val="20"/>
          <w:szCs w:val="20"/>
        </w:rPr>
        <w:t xml:space="preserve">): a randomized controlled trial. </w:t>
      </w:r>
      <w:r w:rsidRPr="00B0478C">
        <w:rPr>
          <w:rFonts w:ascii="Arial" w:eastAsia="Arial" w:hAnsi="Arial" w:cs="Arial"/>
          <w:i/>
          <w:iCs/>
          <w:color w:val="000000" w:themeColor="text1"/>
          <w:sz w:val="20"/>
          <w:szCs w:val="20"/>
        </w:rPr>
        <w:t>JMIR Mental Health</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4</w:t>
      </w:r>
      <w:r w:rsidRPr="00B0478C">
        <w:rPr>
          <w:rFonts w:ascii="Arial" w:eastAsia="Arial" w:hAnsi="Arial" w:cs="Arial"/>
          <w:color w:val="000000" w:themeColor="text1"/>
          <w:sz w:val="20"/>
          <w:szCs w:val="20"/>
        </w:rPr>
        <w:t xml:space="preserve">(2), e19. </w:t>
      </w:r>
      <w:hyperlink r:id="rId30">
        <w:r w:rsidRPr="00B0478C">
          <w:rPr>
            <w:rFonts w:ascii="Arial" w:eastAsia="Arial" w:hAnsi="Arial" w:cs="Arial"/>
            <w:color w:val="000000" w:themeColor="text1"/>
            <w:sz w:val="20"/>
            <w:szCs w:val="20"/>
            <w:u w:val="single"/>
          </w:rPr>
          <w:t>https://doi.org/10.2196/mental.7785</w:t>
        </w:r>
      </w:hyperlink>
    </w:p>
    <w:p w14:paraId="0F43A687"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Fu, Y., Wang, Q., Wang, X., Zhong, H., Chen, J., Fei, H., Yao, Y., Xiao, Y., Li, W., &amp; Li, N. (2025). Unlocking academic success: the impact of time management on college students’ study engagement. </w:t>
      </w:r>
      <w:r w:rsidRPr="00B0478C">
        <w:rPr>
          <w:rFonts w:ascii="Arial" w:eastAsia="Arial" w:hAnsi="Arial" w:cs="Arial"/>
          <w:i/>
          <w:iCs/>
          <w:color w:val="000000" w:themeColor="text1"/>
          <w:sz w:val="20"/>
          <w:szCs w:val="20"/>
        </w:rPr>
        <w:t>BMC Psychology</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13</w:t>
      </w:r>
      <w:r w:rsidRPr="00B0478C">
        <w:rPr>
          <w:rFonts w:ascii="Arial" w:eastAsia="Arial" w:hAnsi="Arial" w:cs="Arial"/>
          <w:color w:val="000000" w:themeColor="text1"/>
          <w:sz w:val="20"/>
          <w:szCs w:val="20"/>
        </w:rPr>
        <w:t xml:space="preserve">(1), 323. </w:t>
      </w:r>
      <w:hyperlink r:id="rId31">
        <w:r w:rsidRPr="00B0478C">
          <w:rPr>
            <w:rFonts w:ascii="Arial" w:eastAsia="Arial" w:hAnsi="Arial" w:cs="Arial"/>
            <w:color w:val="000000" w:themeColor="text1"/>
            <w:sz w:val="20"/>
            <w:szCs w:val="20"/>
            <w:u w:val="single"/>
          </w:rPr>
          <w:t>https://doi.org/10.1186/s40359-025-02619-x</w:t>
        </w:r>
      </w:hyperlink>
    </w:p>
    <w:p w14:paraId="31583746"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Garcia-Vazquez, B., Muñoz-</w:t>
      </w:r>
      <w:proofErr w:type="spellStart"/>
      <w:r w:rsidRPr="00B0478C">
        <w:rPr>
          <w:rFonts w:ascii="Arial" w:eastAsia="Arial" w:hAnsi="Arial" w:cs="Arial"/>
          <w:color w:val="000000" w:themeColor="text1"/>
          <w:sz w:val="20"/>
          <w:szCs w:val="20"/>
        </w:rPr>
        <w:t>Sanjosé</w:t>
      </w:r>
      <w:proofErr w:type="spellEnd"/>
      <w:r w:rsidRPr="00B0478C">
        <w:rPr>
          <w:rFonts w:ascii="Arial" w:eastAsia="Arial" w:hAnsi="Arial" w:cs="Arial"/>
          <w:color w:val="000000" w:themeColor="text1"/>
          <w:sz w:val="20"/>
          <w:szCs w:val="20"/>
        </w:rPr>
        <w:t>, A., Fernández-López, A., Pérez-De-</w:t>
      </w:r>
      <w:proofErr w:type="spellStart"/>
      <w:r w:rsidRPr="00B0478C">
        <w:rPr>
          <w:rFonts w:ascii="Arial" w:eastAsia="Arial" w:hAnsi="Arial" w:cs="Arial"/>
          <w:color w:val="000000" w:themeColor="text1"/>
          <w:sz w:val="20"/>
          <w:szCs w:val="20"/>
        </w:rPr>
        <w:t>Ciriza</w:t>
      </w:r>
      <w:proofErr w:type="spellEnd"/>
      <w:r w:rsidRPr="00B0478C">
        <w:rPr>
          <w:rFonts w:ascii="Arial" w:eastAsia="Arial" w:hAnsi="Arial" w:cs="Arial"/>
          <w:color w:val="000000" w:themeColor="text1"/>
          <w:sz w:val="20"/>
          <w:szCs w:val="20"/>
        </w:rPr>
        <w:t xml:space="preserve">, I., </w:t>
      </w:r>
      <w:proofErr w:type="spellStart"/>
      <w:r w:rsidRPr="00B0478C">
        <w:rPr>
          <w:rFonts w:ascii="Arial" w:eastAsia="Arial" w:hAnsi="Arial" w:cs="Arial"/>
          <w:color w:val="000000" w:themeColor="text1"/>
          <w:sz w:val="20"/>
          <w:szCs w:val="20"/>
        </w:rPr>
        <w:t>Nocete</w:t>
      </w:r>
      <w:proofErr w:type="spellEnd"/>
      <w:r w:rsidRPr="00B0478C">
        <w:rPr>
          <w:rFonts w:ascii="Arial" w:eastAsia="Arial" w:hAnsi="Arial" w:cs="Arial"/>
          <w:color w:val="000000" w:themeColor="text1"/>
          <w:sz w:val="20"/>
          <w:szCs w:val="20"/>
        </w:rPr>
        <w:t xml:space="preserve">-Navarro, L., Almaraz-Garzón, E., Martín-Palacios, M. T., Novella, B., Bravo-Ortiz, M. F., </w:t>
      </w:r>
      <w:proofErr w:type="spellStart"/>
      <w:r w:rsidRPr="00B0478C">
        <w:rPr>
          <w:rFonts w:ascii="Arial" w:eastAsia="Arial" w:hAnsi="Arial" w:cs="Arial"/>
          <w:color w:val="000000" w:themeColor="text1"/>
          <w:sz w:val="20"/>
          <w:szCs w:val="20"/>
        </w:rPr>
        <w:t>Ayuso-Mateos</w:t>
      </w:r>
      <w:proofErr w:type="spellEnd"/>
      <w:r w:rsidRPr="00B0478C">
        <w:rPr>
          <w:rFonts w:ascii="Arial" w:eastAsia="Arial" w:hAnsi="Arial" w:cs="Arial"/>
          <w:color w:val="000000" w:themeColor="text1"/>
          <w:sz w:val="20"/>
          <w:szCs w:val="20"/>
        </w:rPr>
        <w:t xml:space="preserve">, J. L., </w:t>
      </w:r>
      <w:proofErr w:type="spellStart"/>
      <w:r w:rsidRPr="00B0478C">
        <w:rPr>
          <w:rFonts w:ascii="Arial" w:eastAsia="Arial" w:hAnsi="Arial" w:cs="Arial"/>
          <w:color w:val="000000" w:themeColor="text1"/>
          <w:sz w:val="20"/>
          <w:szCs w:val="20"/>
        </w:rPr>
        <w:t>Bayón</w:t>
      </w:r>
      <w:proofErr w:type="spellEnd"/>
      <w:r w:rsidRPr="00B0478C">
        <w:rPr>
          <w:rFonts w:ascii="Arial" w:eastAsia="Arial" w:hAnsi="Arial" w:cs="Arial"/>
          <w:color w:val="000000" w:themeColor="text1"/>
          <w:sz w:val="20"/>
          <w:szCs w:val="20"/>
        </w:rPr>
        <w:t xml:space="preserve">, C., &amp; </w:t>
      </w:r>
      <w:proofErr w:type="spellStart"/>
      <w:r w:rsidRPr="00B0478C">
        <w:rPr>
          <w:rFonts w:ascii="Arial" w:eastAsia="Arial" w:hAnsi="Arial" w:cs="Arial"/>
          <w:color w:val="000000" w:themeColor="text1"/>
          <w:sz w:val="20"/>
          <w:szCs w:val="20"/>
        </w:rPr>
        <w:t>Mediavilla</w:t>
      </w:r>
      <w:proofErr w:type="spellEnd"/>
      <w:r w:rsidRPr="00B0478C">
        <w:rPr>
          <w:rFonts w:ascii="Arial" w:eastAsia="Arial" w:hAnsi="Arial" w:cs="Arial"/>
          <w:color w:val="000000" w:themeColor="text1"/>
          <w:sz w:val="20"/>
          <w:szCs w:val="20"/>
        </w:rPr>
        <w:t xml:space="preserve">, R. (2025). A stress-reduction eHealth intervention for healthcare workers in primary care settings: an implementation study. </w:t>
      </w:r>
      <w:r w:rsidRPr="00B0478C">
        <w:rPr>
          <w:rFonts w:ascii="Arial" w:eastAsia="Arial" w:hAnsi="Arial" w:cs="Arial"/>
          <w:i/>
          <w:iCs/>
          <w:color w:val="000000" w:themeColor="text1"/>
          <w:sz w:val="20"/>
          <w:szCs w:val="20"/>
        </w:rPr>
        <w:t>Frontiers in Public Health</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13</w:t>
      </w:r>
      <w:r w:rsidRPr="00B0478C">
        <w:rPr>
          <w:rFonts w:ascii="Arial" w:eastAsia="Arial" w:hAnsi="Arial" w:cs="Arial"/>
          <w:color w:val="000000" w:themeColor="text1"/>
          <w:sz w:val="20"/>
          <w:szCs w:val="20"/>
        </w:rPr>
        <w:t xml:space="preserve">, 1600059. </w:t>
      </w:r>
      <w:hyperlink r:id="rId32">
        <w:r w:rsidRPr="00B0478C">
          <w:rPr>
            <w:rFonts w:ascii="Arial" w:eastAsia="Arial" w:hAnsi="Arial" w:cs="Arial"/>
            <w:color w:val="000000" w:themeColor="text1"/>
            <w:sz w:val="20"/>
            <w:szCs w:val="20"/>
            <w:u w:val="single"/>
          </w:rPr>
          <w:t>https://doi.org/10.3389/fpubh.2025.1600059</w:t>
        </w:r>
      </w:hyperlink>
    </w:p>
    <w:p w14:paraId="204D550B"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13" w:name="_heading=h.b3lbc3bvu0wc" w:colFirst="0" w:colLast="0"/>
      <w:bookmarkEnd w:id="13"/>
      <w:r w:rsidRPr="00B0478C">
        <w:rPr>
          <w:rFonts w:ascii="Arial" w:eastAsia="Arial" w:hAnsi="Arial" w:cs="Arial"/>
          <w:color w:val="000000" w:themeColor="text1"/>
          <w:sz w:val="20"/>
          <w:szCs w:val="20"/>
        </w:rPr>
        <w:t>Gautam, S., Jain, A., Chaudhary, J., Gautam, M., Gaur, M., &amp; Grover, S. (2024). Concept of mental health and mental well-being, it's determinants and coping strategies. </w:t>
      </w:r>
      <w:r w:rsidRPr="00B0478C">
        <w:rPr>
          <w:rFonts w:ascii="Arial" w:eastAsia="Arial" w:hAnsi="Arial" w:cs="Arial"/>
          <w:i/>
          <w:iCs/>
          <w:color w:val="000000" w:themeColor="text1"/>
          <w:sz w:val="20"/>
          <w:szCs w:val="20"/>
        </w:rPr>
        <w:t>Indian journal of psychiatry</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66</w:t>
      </w:r>
      <w:r w:rsidRPr="00B0478C">
        <w:rPr>
          <w:rFonts w:ascii="Arial" w:eastAsia="Arial" w:hAnsi="Arial" w:cs="Arial"/>
          <w:color w:val="000000" w:themeColor="text1"/>
          <w:sz w:val="20"/>
          <w:szCs w:val="20"/>
        </w:rPr>
        <w:t>(</w:t>
      </w:r>
      <w:proofErr w:type="spellStart"/>
      <w:r w:rsidRPr="00B0478C">
        <w:rPr>
          <w:rFonts w:ascii="Arial" w:eastAsia="Arial" w:hAnsi="Arial" w:cs="Arial"/>
          <w:color w:val="000000" w:themeColor="text1"/>
          <w:sz w:val="20"/>
          <w:szCs w:val="20"/>
        </w:rPr>
        <w:t>Suppl</w:t>
      </w:r>
      <w:proofErr w:type="spellEnd"/>
      <w:r w:rsidRPr="00B0478C">
        <w:rPr>
          <w:rFonts w:ascii="Arial" w:eastAsia="Arial" w:hAnsi="Arial" w:cs="Arial"/>
          <w:color w:val="000000" w:themeColor="text1"/>
          <w:sz w:val="20"/>
          <w:szCs w:val="20"/>
        </w:rPr>
        <w:t xml:space="preserve"> 2), S231–S244. </w:t>
      </w:r>
      <w:hyperlink r:id="rId33">
        <w:r w:rsidRPr="00B0478C">
          <w:rPr>
            <w:rFonts w:ascii="Arial" w:eastAsia="Arial" w:hAnsi="Arial" w:cs="Arial"/>
            <w:color w:val="000000" w:themeColor="text1"/>
            <w:sz w:val="20"/>
            <w:szCs w:val="20"/>
            <w:u w:val="single"/>
          </w:rPr>
          <w:t>https://doi.org/10.4103/indianjpsychiatry.indianjpsychiatry_707_23</w:t>
        </w:r>
      </w:hyperlink>
    </w:p>
    <w:p w14:paraId="51C44DF4"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14" w:name="_heading=h.f4azmz6jxjzk" w:colFirst="0" w:colLast="0"/>
      <w:bookmarkEnd w:id="14"/>
      <w:proofErr w:type="spellStart"/>
      <w:r w:rsidRPr="00B0478C">
        <w:rPr>
          <w:rFonts w:ascii="Arial" w:eastAsia="Arial" w:hAnsi="Arial" w:cs="Arial"/>
          <w:color w:val="000000" w:themeColor="text1"/>
          <w:sz w:val="20"/>
          <w:szCs w:val="20"/>
        </w:rPr>
        <w:t>Gbollie</w:t>
      </w:r>
      <w:proofErr w:type="spellEnd"/>
      <w:r w:rsidRPr="00B0478C">
        <w:rPr>
          <w:rFonts w:ascii="Arial" w:eastAsia="Arial" w:hAnsi="Arial" w:cs="Arial"/>
          <w:color w:val="000000" w:themeColor="text1"/>
          <w:sz w:val="20"/>
          <w:szCs w:val="20"/>
        </w:rPr>
        <w:t xml:space="preserve">, E. F., </w:t>
      </w:r>
      <w:proofErr w:type="spellStart"/>
      <w:r w:rsidRPr="00B0478C">
        <w:rPr>
          <w:rFonts w:ascii="Arial" w:eastAsia="Arial" w:hAnsi="Arial" w:cs="Arial"/>
          <w:color w:val="000000" w:themeColor="text1"/>
          <w:sz w:val="20"/>
          <w:szCs w:val="20"/>
        </w:rPr>
        <w:t>Bantjes</w:t>
      </w:r>
      <w:proofErr w:type="spellEnd"/>
      <w:r w:rsidRPr="00B0478C">
        <w:rPr>
          <w:rFonts w:ascii="Arial" w:eastAsia="Arial" w:hAnsi="Arial" w:cs="Arial"/>
          <w:color w:val="000000" w:themeColor="text1"/>
          <w:sz w:val="20"/>
          <w:szCs w:val="20"/>
        </w:rPr>
        <w:t xml:space="preserve">, J., Jarvis, L., </w:t>
      </w:r>
      <w:proofErr w:type="spellStart"/>
      <w:r w:rsidRPr="00B0478C">
        <w:rPr>
          <w:rFonts w:ascii="Arial" w:eastAsia="Arial" w:hAnsi="Arial" w:cs="Arial"/>
          <w:color w:val="000000" w:themeColor="text1"/>
          <w:sz w:val="20"/>
          <w:szCs w:val="20"/>
        </w:rPr>
        <w:t>Swandevelder</w:t>
      </w:r>
      <w:proofErr w:type="spellEnd"/>
      <w:r w:rsidRPr="00B0478C">
        <w:rPr>
          <w:rFonts w:ascii="Arial" w:eastAsia="Arial" w:hAnsi="Arial" w:cs="Arial"/>
          <w:color w:val="000000" w:themeColor="text1"/>
          <w:sz w:val="20"/>
          <w:szCs w:val="20"/>
        </w:rPr>
        <w:t xml:space="preserve">, S., Du Plessis, J., Shadwell, R., </w:t>
      </w:r>
      <w:proofErr w:type="spellStart"/>
      <w:r w:rsidRPr="00B0478C">
        <w:rPr>
          <w:rFonts w:ascii="Arial" w:eastAsia="Arial" w:hAnsi="Arial" w:cs="Arial"/>
          <w:color w:val="000000" w:themeColor="text1"/>
          <w:sz w:val="20"/>
          <w:szCs w:val="20"/>
        </w:rPr>
        <w:t>Davids</w:t>
      </w:r>
      <w:proofErr w:type="spellEnd"/>
      <w:r w:rsidRPr="00B0478C">
        <w:rPr>
          <w:rFonts w:ascii="Arial" w:eastAsia="Arial" w:hAnsi="Arial" w:cs="Arial"/>
          <w:color w:val="000000" w:themeColor="text1"/>
          <w:sz w:val="20"/>
          <w:szCs w:val="20"/>
        </w:rPr>
        <w:t xml:space="preserve">, C., Gerber, R., Holland, N., &amp; Hunt, X. (2023). Intention to use digital mental health solutions: A cross-sectional survey of university </w:t>
      </w:r>
      <w:proofErr w:type="gramStart"/>
      <w:r w:rsidRPr="00B0478C">
        <w:rPr>
          <w:rFonts w:ascii="Arial" w:eastAsia="Arial" w:hAnsi="Arial" w:cs="Arial"/>
          <w:color w:val="000000" w:themeColor="text1"/>
          <w:sz w:val="20"/>
          <w:szCs w:val="20"/>
        </w:rPr>
        <w:t>students</w:t>
      </w:r>
      <w:proofErr w:type="gramEnd"/>
      <w:r w:rsidRPr="00B0478C">
        <w:rPr>
          <w:rFonts w:ascii="Arial" w:eastAsia="Arial" w:hAnsi="Arial" w:cs="Arial"/>
          <w:color w:val="000000" w:themeColor="text1"/>
          <w:sz w:val="20"/>
          <w:szCs w:val="20"/>
        </w:rPr>
        <w:t xml:space="preserve"> attitudes and perceptions toward online therapy, mental health apps, and chatbots. </w:t>
      </w:r>
      <w:r w:rsidRPr="00B0478C">
        <w:rPr>
          <w:rFonts w:ascii="Arial" w:eastAsia="Arial" w:hAnsi="Arial" w:cs="Arial"/>
          <w:i/>
          <w:iCs/>
          <w:color w:val="000000" w:themeColor="text1"/>
          <w:sz w:val="20"/>
          <w:szCs w:val="20"/>
        </w:rPr>
        <w:t>Digital Health</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9</w:t>
      </w:r>
      <w:r w:rsidRPr="00B0478C">
        <w:rPr>
          <w:rFonts w:ascii="Arial" w:eastAsia="Arial" w:hAnsi="Arial" w:cs="Arial"/>
          <w:color w:val="000000" w:themeColor="text1"/>
          <w:sz w:val="20"/>
          <w:szCs w:val="20"/>
        </w:rPr>
        <w:t xml:space="preserve">, 20552076231216559. </w:t>
      </w:r>
      <w:hyperlink r:id="rId34">
        <w:r w:rsidRPr="00B0478C">
          <w:rPr>
            <w:rFonts w:ascii="Arial" w:eastAsia="Arial" w:hAnsi="Arial" w:cs="Arial"/>
            <w:color w:val="000000" w:themeColor="text1"/>
            <w:sz w:val="20"/>
            <w:szCs w:val="20"/>
            <w:u w:val="single"/>
          </w:rPr>
          <w:t>https://doi.org/10.1177/20552076231216559</w:t>
        </w:r>
      </w:hyperlink>
    </w:p>
    <w:p w14:paraId="72EF6400"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15" w:name="_heading=h.cpy6y011xahq" w:colFirst="0" w:colLast="0"/>
      <w:bookmarkEnd w:id="15"/>
      <w:proofErr w:type="spellStart"/>
      <w:r w:rsidRPr="00B0478C">
        <w:rPr>
          <w:rFonts w:ascii="Arial" w:eastAsia="Arial" w:hAnsi="Arial" w:cs="Arial"/>
          <w:color w:val="000000" w:themeColor="text1"/>
          <w:sz w:val="20"/>
          <w:szCs w:val="20"/>
        </w:rPr>
        <w:t>Gkintoni</w:t>
      </w:r>
      <w:proofErr w:type="spellEnd"/>
      <w:r w:rsidRPr="00B0478C">
        <w:rPr>
          <w:rFonts w:ascii="Arial" w:eastAsia="Arial" w:hAnsi="Arial" w:cs="Arial"/>
          <w:color w:val="000000" w:themeColor="text1"/>
          <w:sz w:val="20"/>
          <w:szCs w:val="20"/>
        </w:rPr>
        <w:t>, E., Vassilopoulos, S. P., &amp; Nikolaou, G. (2025). Next-Generation Cognitive-</w:t>
      </w:r>
      <w:proofErr w:type="spellStart"/>
      <w:r w:rsidRPr="00B0478C">
        <w:rPr>
          <w:rFonts w:ascii="Arial" w:eastAsia="Arial" w:hAnsi="Arial" w:cs="Arial"/>
          <w:color w:val="000000" w:themeColor="text1"/>
          <w:sz w:val="20"/>
          <w:szCs w:val="20"/>
        </w:rPr>
        <w:t>Behavioral</w:t>
      </w:r>
      <w:proofErr w:type="spellEnd"/>
      <w:r w:rsidRPr="00B0478C">
        <w:rPr>
          <w:rFonts w:ascii="Arial" w:eastAsia="Arial" w:hAnsi="Arial" w:cs="Arial"/>
          <w:color w:val="000000" w:themeColor="text1"/>
          <w:sz w:val="20"/>
          <w:szCs w:val="20"/>
        </w:rPr>
        <w:t xml:space="preserve"> Therapy for Depression: Integrating Digital Tools, Teletherapy, and Personalization for Enhanced Mental Health Outcomes. </w:t>
      </w:r>
      <w:proofErr w:type="spellStart"/>
      <w:r w:rsidRPr="00B0478C">
        <w:rPr>
          <w:rFonts w:ascii="Arial" w:eastAsia="Arial" w:hAnsi="Arial" w:cs="Arial"/>
          <w:i/>
          <w:iCs/>
          <w:color w:val="000000" w:themeColor="text1"/>
          <w:sz w:val="20"/>
          <w:szCs w:val="20"/>
        </w:rPr>
        <w:t>Medicina</w:t>
      </w:r>
      <w:proofErr w:type="spellEnd"/>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61</w:t>
      </w:r>
      <w:r w:rsidRPr="00B0478C">
        <w:rPr>
          <w:rFonts w:ascii="Arial" w:eastAsia="Arial" w:hAnsi="Arial" w:cs="Arial"/>
          <w:color w:val="000000" w:themeColor="text1"/>
          <w:sz w:val="20"/>
          <w:szCs w:val="20"/>
        </w:rPr>
        <w:t xml:space="preserve">(3), 431. </w:t>
      </w:r>
      <w:hyperlink r:id="rId35">
        <w:r w:rsidRPr="00B0478C">
          <w:rPr>
            <w:rFonts w:ascii="Arial" w:eastAsia="Arial" w:hAnsi="Arial" w:cs="Arial"/>
            <w:color w:val="000000" w:themeColor="text1"/>
            <w:sz w:val="20"/>
            <w:szCs w:val="20"/>
            <w:u w:val="single"/>
          </w:rPr>
          <w:t>https://doi.org/10.3390/medicina61030431</w:t>
        </w:r>
      </w:hyperlink>
    </w:p>
    <w:p w14:paraId="64DC5673"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16" w:name="_heading=h.ig8vjaaaxays" w:colFirst="0" w:colLast="0"/>
      <w:bookmarkEnd w:id="16"/>
      <w:r w:rsidRPr="00B0478C">
        <w:rPr>
          <w:rFonts w:ascii="Arial" w:eastAsia="Arial" w:hAnsi="Arial" w:cs="Arial"/>
          <w:color w:val="000000" w:themeColor="text1"/>
          <w:sz w:val="20"/>
          <w:szCs w:val="20"/>
        </w:rPr>
        <w:t xml:space="preserve">Haleem, A., </w:t>
      </w:r>
      <w:proofErr w:type="spellStart"/>
      <w:r w:rsidRPr="00B0478C">
        <w:rPr>
          <w:rFonts w:ascii="Arial" w:eastAsia="Arial" w:hAnsi="Arial" w:cs="Arial"/>
          <w:color w:val="000000" w:themeColor="text1"/>
          <w:sz w:val="20"/>
          <w:szCs w:val="20"/>
        </w:rPr>
        <w:t>Javaid</w:t>
      </w:r>
      <w:proofErr w:type="spellEnd"/>
      <w:r w:rsidRPr="00B0478C">
        <w:rPr>
          <w:rFonts w:ascii="Arial" w:eastAsia="Arial" w:hAnsi="Arial" w:cs="Arial"/>
          <w:color w:val="000000" w:themeColor="text1"/>
          <w:sz w:val="20"/>
          <w:szCs w:val="20"/>
        </w:rPr>
        <w:t>, M., Singh, R. P., &amp; Suman, R. (2021). Telemedicine for healthcare: Capabilities, features, barriers, and applications. </w:t>
      </w:r>
      <w:r w:rsidRPr="00B0478C">
        <w:rPr>
          <w:rFonts w:ascii="Arial" w:eastAsia="Arial" w:hAnsi="Arial" w:cs="Arial"/>
          <w:i/>
          <w:iCs/>
          <w:color w:val="000000" w:themeColor="text1"/>
          <w:sz w:val="20"/>
          <w:szCs w:val="20"/>
        </w:rPr>
        <w:t>Sensors international</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2</w:t>
      </w:r>
      <w:r w:rsidRPr="00B0478C">
        <w:rPr>
          <w:rFonts w:ascii="Arial" w:eastAsia="Arial" w:hAnsi="Arial" w:cs="Arial"/>
          <w:color w:val="000000" w:themeColor="text1"/>
          <w:sz w:val="20"/>
          <w:szCs w:val="20"/>
        </w:rPr>
        <w:t xml:space="preserve">, 100117. </w:t>
      </w:r>
      <w:hyperlink r:id="rId36">
        <w:r w:rsidRPr="00B0478C">
          <w:rPr>
            <w:rFonts w:ascii="Arial" w:eastAsia="Arial" w:hAnsi="Arial" w:cs="Arial"/>
            <w:color w:val="000000" w:themeColor="text1"/>
            <w:sz w:val="20"/>
            <w:szCs w:val="20"/>
            <w:u w:val="single"/>
          </w:rPr>
          <w:t>https://doi.org/10.1016/j.sintl.2021.100117</w:t>
        </w:r>
      </w:hyperlink>
    </w:p>
    <w:p w14:paraId="73ED5CC1"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proofErr w:type="spellStart"/>
      <w:r w:rsidRPr="00B0478C">
        <w:rPr>
          <w:rFonts w:ascii="Arial" w:eastAsia="Arial" w:hAnsi="Arial" w:cs="Arial"/>
          <w:color w:val="000000" w:themeColor="text1"/>
          <w:sz w:val="20"/>
          <w:szCs w:val="20"/>
        </w:rPr>
        <w:t>Harerimana</w:t>
      </w:r>
      <w:proofErr w:type="spellEnd"/>
      <w:r w:rsidRPr="00B0478C">
        <w:rPr>
          <w:rFonts w:ascii="Arial" w:eastAsia="Arial" w:hAnsi="Arial" w:cs="Arial"/>
          <w:color w:val="000000" w:themeColor="text1"/>
          <w:sz w:val="20"/>
          <w:szCs w:val="20"/>
        </w:rPr>
        <w:t xml:space="preserve">, A., Pillay, J. D., &amp; Mchunu, G. (2025). Mindfulness-based interventions for mental health in refugee and migrant populations: A scoping review. </w:t>
      </w:r>
      <w:r w:rsidRPr="00B0478C">
        <w:rPr>
          <w:rFonts w:ascii="Arial" w:eastAsia="Arial" w:hAnsi="Arial" w:cs="Arial"/>
          <w:i/>
          <w:iCs/>
          <w:color w:val="000000" w:themeColor="text1"/>
          <w:sz w:val="20"/>
          <w:szCs w:val="20"/>
        </w:rPr>
        <w:t>SSM – Mental Health, 8,</w:t>
      </w:r>
      <w:r w:rsidRPr="00B0478C">
        <w:rPr>
          <w:rFonts w:ascii="Arial" w:eastAsia="Arial" w:hAnsi="Arial" w:cs="Arial"/>
          <w:color w:val="000000" w:themeColor="text1"/>
          <w:sz w:val="20"/>
          <w:szCs w:val="20"/>
        </w:rPr>
        <w:t xml:space="preserve"> 100540. </w:t>
      </w:r>
      <w:hyperlink r:id="rId37">
        <w:r w:rsidRPr="00B0478C">
          <w:rPr>
            <w:rFonts w:ascii="Arial" w:eastAsia="Arial" w:hAnsi="Arial" w:cs="Arial"/>
            <w:color w:val="000000" w:themeColor="text1"/>
            <w:sz w:val="20"/>
            <w:szCs w:val="20"/>
            <w:u w:val="single"/>
          </w:rPr>
          <w:t>https://doi.org/10.1016/j.ssmmh.2025.100540</w:t>
        </w:r>
      </w:hyperlink>
    </w:p>
    <w:p w14:paraId="740C564A"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17" w:name="_heading=h.2mge3w7yfgyy" w:colFirst="0" w:colLast="0"/>
      <w:bookmarkEnd w:id="17"/>
      <w:r w:rsidRPr="00B0478C">
        <w:rPr>
          <w:rFonts w:ascii="Arial" w:eastAsia="Arial" w:hAnsi="Arial" w:cs="Arial"/>
          <w:color w:val="000000" w:themeColor="text1"/>
          <w:sz w:val="20"/>
          <w:szCs w:val="20"/>
        </w:rPr>
        <w:t xml:space="preserve">Harith, S., Backhaus, I., </w:t>
      </w:r>
      <w:proofErr w:type="spellStart"/>
      <w:r w:rsidRPr="00B0478C">
        <w:rPr>
          <w:rFonts w:ascii="Arial" w:eastAsia="Arial" w:hAnsi="Arial" w:cs="Arial"/>
          <w:color w:val="000000" w:themeColor="text1"/>
          <w:sz w:val="20"/>
          <w:szCs w:val="20"/>
        </w:rPr>
        <w:t>Mohbin</w:t>
      </w:r>
      <w:proofErr w:type="spellEnd"/>
      <w:r w:rsidRPr="00B0478C">
        <w:rPr>
          <w:rFonts w:ascii="Arial" w:eastAsia="Arial" w:hAnsi="Arial" w:cs="Arial"/>
          <w:color w:val="000000" w:themeColor="text1"/>
          <w:sz w:val="20"/>
          <w:szCs w:val="20"/>
        </w:rPr>
        <w:t xml:space="preserve">, N., &amp; Khoo, S. (2022). Effectiveness of digital mental health interventions for university students: An umbrella review. </w:t>
      </w:r>
      <w:proofErr w:type="spellStart"/>
      <w:r w:rsidRPr="00B0478C">
        <w:rPr>
          <w:rFonts w:ascii="Arial" w:eastAsia="Arial" w:hAnsi="Arial" w:cs="Arial"/>
          <w:i/>
          <w:iCs/>
          <w:color w:val="000000" w:themeColor="text1"/>
          <w:sz w:val="20"/>
          <w:szCs w:val="20"/>
        </w:rPr>
        <w:t>PeerJ</w:t>
      </w:r>
      <w:proofErr w:type="spellEnd"/>
      <w:r w:rsidRPr="00B0478C">
        <w:rPr>
          <w:rFonts w:ascii="Arial" w:eastAsia="Arial" w:hAnsi="Arial" w:cs="Arial"/>
          <w:i/>
          <w:iCs/>
          <w:color w:val="000000" w:themeColor="text1"/>
          <w:sz w:val="20"/>
          <w:szCs w:val="20"/>
        </w:rPr>
        <w:t xml:space="preserve"> Life and Environment, 10</w:t>
      </w:r>
      <w:r w:rsidRPr="00B0478C">
        <w:rPr>
          <w:rFonts w:ascii="Arial" w:eastAsia="Arial" w:hAnsi="Arial" w:cs="Arial"/>
          <w:color w:val="000000" w:themeColor="text1"/>
          <w:sz w:val="20"/>
          <w:szCs w:val="20"/>
        </w:rPr>
        <w:t xml:space="preserve">, e13111. </w:t>
      </w:r>
      <w:hyperlink r:id="rId38">
        <w:r w:rsidRPr="00B0478C">
          <w:rPr>
            <w:rFonts w:ascii="Arial" w:eastAsia="Arial" w:hAnsi="Arial" w:cs="Arial"/>
            <w:color w:val="000000" w:themeColor="text1"/>
            <w:sz w:val="20"/>
            <w:szCs w:val="20"/>
            <w:u w:val="single"/>
          </w:rPr>
          <w:t>https://doi.org/10.7717/peerj.13111</w:t>
        </w:r>
      </w:hyperlink>
    </w:p>
    <w:p w14:paraId="18575098"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18" w:name="_heading=h.snw092whh3o4" w:colFirst="0" w:colLast="0"/>
      <w:bookmarkEnd w:id="18"/>
      <w:proofErr w:type="spellStart"/>
      <w:r w:rsidRPr="00B0478C">
        <w:rPr>
          <w:rFonts w:ascii="Arial" w:eastAsia="Arial" w:hAnsi="Arial" w:cs="Arial"/>
          <w:color w:val="000000" w:themeColor="text1"/>
          <w:sz w:val="20"/>
          <w:szCs w:val="20"/>
        </w:rPr>
        <w:t>Jadhakhan</w:t>
      </w:r>
      <w:proofErr w:type="spellEnd"/>
      <w:r w:rsidRPr="00B0478C">
        <w:rPr>
          <w:rFonts w:ascii="Arial" w:eastAsia="Arial" w:hAnsi="Arial" w:cs="Arial"/>
          <w:color w:val="000000" w:themeColor="text1"/>
          <w:sz w:val="20"/>
          <w:szCs w:val="20"/>
        </w:rPr>
        <w:t xml:space="preserve">, F., Blake, H., </w:t>
      </w:r>
      <w:proofErr w:type="spellStart"/>
      <w:r w:rsidRPr="00B0478C">
        <w:rPr>
          <w:rFonts w:ascii="Arial" w:eastAsia="Arial" w:hAnsi="Arial" w:cs="Arial"/>
          <w:color w:val="000000" w:themeColor="text1"/>
          <w:sz w:val="20"/>
          <w:szCs w:val="20"/>
        </w:rPr>
        <w:t>Hett</w:t>
      </w:r>
      <w:proofErr w:type="spellEnd"/>
      <w:r w:rsidRPr="00B0478C">
        <w:rPr>
          <w:rFonts w:ascii="Arial" w:eastAsia="Arial" w:hAnsi="Arial" w:cs="Arial"/>
          <w:color w:val="000000" w:themeColor="text1"/>
          <w:sz w:val="20"/>
          <w:szCs w:val="20"/>
        </w:rPr>
        <w:t>, D., &amp; Marwaha, S. (2022). Efficacy of digital technologies aimed at enhancing emotion regulation skills: Literature review. </w:t>
      </w:r>
      <w:r w:rsidRPr="00B0478C">
        <w:rPr>
          <w:rFonts w:ascii="Arial" w:eastAsia="Arial" w:hAnsi="Arial" w:cs="Arial"/>
          <w:i/>
          <w:iCs/>
          <w:color w:val="000000" w:themeColor="text1"/>
          <w:sz w:val="20"/>
          <w:szCs w:val="20"/>
        </w:rPr>
        <w:t>Frontiers in psychiatry</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13</w:t>
      </w:r>
      <w:r w:rsidRPr="00B0478C">
        <w:rPr>
          <w:rFonts w:ascii="Arial" w:eastAsia="Arial" w:hAnsi="Arial" w:cs="Arial"/>
          <w:color w:val="000000" w:themeColor="text1"/>
          <w:sz w:val="20"/>
          <w:szCs w:val="20"/>
        </w:rPr>
        <w:t xml:space="preserve">, 809332. </w:t>
      </w:r>
      <w:hyperlink r:id="rId39">
        <w:r w:rsidRPr="00B0478C">
          <w:rPr>
            <w:rFonts w:ascii="Arial" w:eastAsia="Arial" w:hAnsi="Arial" w:cs="Arial"/>
            <w:color w:val="000000" w:themeColor="text1"/>
            <w:sz w:val="20"/>
            <w:szCs w:val="20"/>
            <w:u w:val="single"/>
          </w:rPr>
          <w:t>https://doi.org/10.3389/fpsyt.2022.809332</w:t>
        </w:r>
      </w:hyperlink>
    </w:p>
    <w:p w14:paraId="68BB867F"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proofErr w:type="spellStart"/>
      <w:r w:rsidRPr="00B0478C">
        <w:rPr>
          <w:rFonts w:ascii="Arial" w:eastAsia="Arial" w:hAnsi="Arial" w:cs="Arial"/>
          <w:color w:val="000000" w:themeColor="text1"/>
          <w:sz w:val="20"/>
          <w:szCs w:val="20"/>
        </w:rPr>
        <w:t>Jelassi</w:t>
      </w:r>
      <w:proofErr w:type="spellEnd"/>
      <w:r w:rsidRPr="00B0478C">
        <w:rPr>
          <w:rFonts w:ascii="Arial" w:eastAsia="Arial" w:hAnsi="Arial" w:cs="Arial"/>
          <w:color w:val="000000" w:themeColor="text1"/>
          <w:sz w:val="20"/>
          <w:szCs w:val="20"/>
        </w:rPr>
        <w:t xml:space="preserve">, M., </w:t>
      </w:r>
      <w:proofErr w:type="spellStart"/>
      <w:r w:rsidRPr="00B0478C">
        <w:rPr>
          <w:rFonts w:ascii="Arial" w:eastAsia="Arial" w:hAnsi="Arial" w:cs="Arial"/>
          <w:color w:val="000000" w:themeColor="text1"/>
          <w:sz w:val="20"/>
          <w:szCs w:val="20"/>
        </w:rPr>
        <w:t>Matteli</w:t>
      </w:r>
      <w:proofErr w:type="spellEnd"/>
      <w:r w:rsidRPr="00B0478C">
        <w:rPr>
          <w:rFonts w:ascii="Arial" w:eastAsia="Arial" w:hAnsi="Arial" w:cs="Arial"/>
          <w:color w:val="000000" w:themeColor="text1"/>
          <w:sz w:val="20"/>
          <w:szCs w:val="20"/>
        </w:rPr>
        <w:t xml:space="preserve">, K., Ben </w:t>
      </w:r>
      <w:proofErr w:type="spellStart"/>
      <w:r w:rsidRPr="00B0478C">
        <w:rPr>
          <w:rFonts w:ascii="Arial" w:eastAsia="Arial" w:hAnsi="Arial" w:cs="Arial"/>
          <w:color w:val="000000" w:themeColor="text1"/>
          <w:sz w:val="20"/>
          <w:szCs w:val="20"/>
        </w:rPr>
        <w:t>Khalfallah</w:t>
      </w:r>
      <w:proofErr w:type="spellEnd"/>
      <w:r w:rsidRPr="00B0478C">
        <w:rPr>
          <w:rFonts w:ascii="Arial" w:eastAsia="Arial" w:hAnsi="Arial" w:cs="Arial"/>
          <w:color w:val="000000" w:themeColor="text1"/>
          <w:sz w:val="20"/>
          <w:szCs w:val="20"/>
        </w:rPr>
        <w:t xml:space="preserve">, H., &amp; </w:t>
      </w:r>
      <w:proofErr w:type="spellStart"/>
      <w:r w:rsidRPr="00B0478C">
        <w:rPr>
          <w:rFonts w:ascii="Arial" w:eastAsia="Arial" w:hAnsi="Arial" w:cs="Arial"/>
          <w:color w:val="000000" w:themeColor="text1"/>
          <w:sz w:val="20"/>
          <w:szCs w:val="20"/>
        </w:rPr>
        <w:t>Demongeot</w:t>
      </w:r>
      <w:proofErr w:type="spellEnd"/>
      <w:r w:rsidRPr="00B0478C">
        <w:rPr>
          <w:rFonts w:ascii="Arial" w:eastAsia="Arial" w:hAnsi="Arial" w:cs="Arial"/>
          <w:color w:val="000000" w:themeColor="text1"/>
          <w:sz w:val="20"/>
          <w:szCs w:val="20"/>
        </w:rPr>
        <w:t>, J. (2024). Enhancing Personalized Mental Health Support Through Artificial Intelligence: Advances in Speech and Text Analysis Within Online Therapy Platforms. </w:t>
      </w:r>
      <w:r w:rsidRPr="00B0478C">
        <w:rPr>
          <w:rFonts w:ascii="Arial" w:eastAsia="Arial" w:hAnsi="Arial" w:cs="Arial"/>
          <w:i/>
          <w:iCs/>
          <w:color w:val="000000" w:themeColor="text1"/>
          <w:sz w:val="20"/>
          <w:szCs w:val="20"/>
        </w:rPr>
        <w:t>Information</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15</w:t>
      </w:r>
      <w:r w:rsidRPr="00B0478C">
        <w:rPr>
          <w:rFonts w:ascii="Arial" w:eastAsia="Arial" w:hAnsi="Arial" w:cs="Arial"/>
          <w:color w:val="000000" w:themeColor="text1"/>
          <w:sz w:val="20"/>
          <w:szCs w:val="20"/>
        </w:rPr>
        <w:t xml:space="preserve">(12), 813. </w:t>
      </w:r>
      <w:hyperlink r:id="rId40">
        <w:r w:rsidRPr="00B0478C">
          <w:rPr>
            <w:rFonts w:ascii="Arial" w:eastAsia="Arial" w:hAnsi="Arial" w:cs="Arial"/>
            <w:color w:val="000000" w:themeColor="text1"/>
            <w:sz w:val="20"/>
            <w:szCs w:val="20"/>
            <w:u w:val="single"/>
          </w:rPr>
          <w:t>https://doi.org/10.3390/info15120813</w:t>
        </w:r>
      </w:hyperlink>
    </w:p>
    <w:p w14:paraId="7D23A793"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19" w:name="_heading=h.7biv0twvvsa1" w:colFirst="0" w:colLast="0"/>
      <w:bookmarkEnd w:id="19"/>
      <w:proofErr w:type="spellStart"/>
      <w:r w:rsidRPr="00B0478C">
        <w:rPr>
          <w:rFonts w:ascii="Arial" w:eastAsia="Arial" w:hAnsi="Arial" w:cs="Arial"/>
          <w:color w:val="000000" w:themeColor="text1"/>
          <w:sz w:val="20"/>
          <w:szCs w:val="20"/>
        </w:rPr>
        <w:lastRenderedPageBreak/>
        <w:t>Karkosz</w:t>
      </w:r>
      <w:proofErr w:type="spellEnd"/>
      <w:r w:rsidRPr="00B0478C">
        <w:rPr>
          <w:rFonts w:ascii="Arial" w:eastAsia="Arial" w:hAnsi="Arial" w:cs="Arial"/>
          <w:color w:val="000000" w:themeColor="text1"/>
          <w:sz w:val="20"/>
          <w:szCs w:val="20"/>
        </w:rPr>
        <w:t xml:space="preserve">, S., </w:t>
      </w:r>
      <w:proofErr w:type="spellStart"/>
      <w:r w:rsidRPr="00B0478C">
        <w:rPr>
          <w:rFonts w:ascii="Arial" w:eastAsia="Arial" w:hAnsi="Arial" w:cs="Arial"/>
          <w:color w:val="000000" w:themeColor="text1"/>
          <w:sz w:val="20"/>
          <w:szCs w:val="20"/>
        </w:rPr>
        <w:t>Szymański</w:t>
      </w:r>
      <w:proofErr w:type="spellEnd"/>
      <w:r w:rsidRPr="00B0478C">
        <w:rPr>
          <w:rFonts w:ascii="Arial" w:eastAsia="Arial" w:hAnsi="Arial" w:cs="Arial"/>
          <w:color w:val="000000" w:themeColor="text1"/>
          <w:sz w:val="20"/>
          <w:szCs w:val="20"/>
        </w:rPr>
        <w:t xml:space="preserve">, R., </w:t>
      </w:r>
      <w:proofErr w:type="spellStart"/>
      <w:r w:rsidRPr="00B0478C">
        <w:rPr>
          <w:rFonts w:ascii="Arial" w:eastAsia="Arial" w:hAnsi="Arial" w:cs="Arial"/>
          <w:color w:val="000000" w:themeColor="text1"/>
          <w:sz w:val="20"/>
          <w:szCs w:val="20"/>
        </w:rPr>
        <w:t>Sanna</w:t>
      </w:r>
      <w:proofErr w:type="spellEnd"/>
      <w:r w:rsidRPr="00B0478C">
        <w:rPr>
          <w:rFonts w:ascii="Arial" w:eastAsia="Arial" w:hAnsi="Arial" w:cs="Arial"/>
          <w:color w:val="000000" w:themeColor="text1"/>
          <w:sz w:val="20"/>
          <w:szCs w:val="20"/>
        </w:rPr>
        <w:t xml:space="preserve">, K., &amp; </w:t>
      </w:r>
      <w:proofErr w:type="spellStart"/>
      <w:r w:rsidRPr="00B0478C">
        <w:rPr>
          <w:rFonts w:ascii="Arial" w:eastAsia="Arial" w:hAnsi="Arial" w:cs="Arial"/>
          <w:color w:val="000000" w:themeColor="text1"/>
          <w:sz w:val="20"/>
          <w:szCs w:val="20"/>
        </w:rPr>
        <w:t>Michałowski</w:t>
      </w:r>
      <w:proofErr w:type="spellEnd"/>
      <w:r w:rsidRPr="00B0478C">
        <w:rPr>
          <w:rFonts w:ascii="Arial" w:eastAsia="Arial" w:hAnsi="Arial" w:cs="Arial"/>
          <w:color w:val="000000" w:themeColor="text1"/>
          <w:sz w:val="20"/>
          <w:szCs w:val="20"/>
        </w:rPr>
        <w:t>, J. (2024). Effectiveness of a Web-based and Mobile Therapy Chatbot on Anxiety and Depressive Symptoms in Subclinical Young Adults: Randomized Controlled Trial. </w:t>
      </w:r>
      <w:r w:rsidRPr="00B0478C">
        <w:rPr>
          <w:rFonts w:ascii="Arial" w:eastAsia="Arial" w:hAnsi="Arial" w:cs="Arial"/>
          <w:i/>
          <w:iCs/>
          <w:color w:val="000000" w:themeColor="text1"/>
          <w:sz w:val="20"/>
          <w:szCs w:val="20"/>
        </w:rPr>
        <w:t>JMIR formative research</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8</w:t>
      </w:r>
      <w:r w:rsidRPr="00B0478C">
        <w:rPr>
          <w:rFonts w:ascii="Arial" w:eastAsia="Arial" w:hAnsi="Arial" w:cs="Arial"/>
          <w:color w:val="000000" w:themeColor="text1"/>
          <w:sz w:val="20"/>
          <w:szCs w:val="20"/>
        </w:rPr>
        <w:t xml:space="preserve">, e47960. </w:t>
      </w:r>
      <w:hyperlink r:id="rId41">
        <w:r w:rsidRPr="00B0478C">
          <w:rPr>
            <w:rFonts w:ascii="Arial" w:eastAsia="Arial" w:hAnsi="Arial" w:cs="Arial"/>
            <w:color w:val="000000" w:themeColor="text1"/>
            <w:sz w:val="20"/>
            <w:szCs w:val="20"/>
            <w:u w:val="single"/>
          </w:rPr>
          <w:t>https://doi.org/10.2196/47960</w:t>
        </w:r>
      </w:hyperlink>
    </w:p>
    <w:p w14:paraId="5BE0B2C1"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20" w:name="_heading=h.ufkelenn18wq" w:colFirst="0" w:colLast="0"/>
      <w:bookmarkEnd w:id="20"/>
      <w:r w:rsidRPr="00B0478C">
        <w:rPr>
          <w:rFonts w:ascii="Arial" w:eastAsia="Arial" w:hAnsi="Arial" w:cs="Arial"/>
          <w:color w:val="000000" w:themeColor="text1"/>
          <w:sz w:val="20"/>
          <w:szCs w:val="20"/>
        </w:rPr>
        <w:t xml:space="preserve">Kristensen, S. M., Larsen, T. M. B., </w:t>
      </w:r>
      <w:proofErr w:type="spellStart"/>
      <w:r w:rsidRPr="00B0478C">
        <w:rPr>
          <w:rFonts w:ascii="Arial" w:eastAsia="Arial" w:hAnsi="Arial" w:cs="Arial"/>
          <w:color w:val="000000" w:themeColor="text1"/>
          <w:sz w:val="20"/>
          <w:szCs w:val="20"/>
        </w:rPr>
        <w:t>Urke</w:t>
      </w:r>
      <w:proofErr w:type="spellEnd"/>
      <w:r w:rsidRPr="00B0478C">
        <w:rPr>
          <w:rFonts w:ascii="Arial" w:eastAsia="Arial" w:hAnsi="Arial" w:cs="Arial"/>
          <w:color w:val="000000" w:themeColor="text1"/>
          <w:sz w:val="20"/>
          <w:szCs w:val="20"/>
        </w:rPr>
        <w:t>, H. B., &amp; Danielsen, A. G. (2023). Academic Stress, Academic Self-efficacy, and Psychological Distress: A Moderated Mediation of Within-person Effects. </w:t>
      </w:r>
      <w:r w:rsidRPr="00B0478C">
        <w:rPr>
          <w:rFonts w:ascii="Arial" w:eastAsia="Arial" w:hAnsi="Arial" w:cs="Arial"/>
          <w:i/>
          <w:iCs/>
          <w:color w:val="000000" w:themeColor="text1"/>
          <w:sz w:val="20"/>
          <w:szCs w:val="20"/>
        </w:rPr>
        <w:t>Journal of youth and adolescence</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52</w:t>
      </w:r>
      <w:r w:rsidRPr="00B0478C">
        <w:rPr>
          <w:rFonts w:ascii="Arial" w:eastAsia="Arial" w:hAnsi="Arial" w:cs="Arial"/>
          <w:color w:val="000000" w:themeColor="text1"/>
          <w:sz w:val="20"/>
          <w:szCs w:val="20"/>
        </w:rPr>
        <w:t xml:space="preserve">(7), 1512–1529. </w:t>
      </w:r>
      <w:hyperlink r:id="rId42">
        <w:r w:rsidRPr="00B0478C">
          <w:rPr>
            <w:rFonts w:ascii="Arial" w:eastAsia="Arial" w:hAnsi="Arial" w:cs="Arial"/>
            <w:color w:val="000000" w:themeColor="text1"/>
            <w:sz w:val="20"/>
            <w:szCs w:val="20"/>
            <w:u w:val="single"/>
          </w:rPr>
          <w:t>https://doi.org/10.1007/s10964-023-01770-1</w:t>
        </w:r>
      </w:hyperlink>
    </w:p>
    <w:p w14:paraId="563675CC"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21" w:name="_heading=h.sunxhs5fylkk" w:colFirst="0" w:colLast="0"/>
      <w:bookmarkEnd w:id="21"/>
      <w:proofErr w:type="spellStart"/>
      <w:r w:rsidRPr="00B0478C">
        <w:rPr>
          <w:rFonts w:ascii="Arial" w:eastAsia="Arial" w:hAnsi="Arial" w:cs="Arial"/>
          <w:color w:val="000000" w:themeColor="text1"/>
          <w:sz w:val="20"/>
          <w:szCs w:val="20"/>
        </w:rPr>
        <w:t>Kukharuk</w:t>
      </w:r>
      <w:proofErr w:type="spellEnd"/>
      <w:r w:rsidRPr="00B0478C">
        <w:rPr>
          <w:rFonts w:ascii="Arial" w:eastAsia="Arial" w:hAnsi="Arial" w:cs="Arial"/>
          <w:color w:val="000000" w:themeColor="text1"/>
          <w:sz w:val="20"/>
          <w:szCs w:val="20"/>
        </w:rPr>
        <w:t xml:space="preserve">, O., </w:t>
      </w:r>
      <w:proofErr w:type="spellStart"/>
      <w:r w:rsidRPr="00B0478C">
        <w:rPr>
          <w:rFonts w:ascii="Arial" w:eastAsia="Arial" w:hAnsi="Arial" w:cs="Arial"/>
          <w:color w:val="000000" w:themeColor="text1"/>
          <w:sz w:val="20"/>
          <w:szCs w:val="20"/>
        </w:rPr>
        <w:t>Tkalich</w:t>
      </w:r>
      <w:proofErr w:type="spellEnd"/>
      <w:r w:rsidRPr="00B0478C">
        <w:rPr>
          <w:rFonts w:ascii="Arial" w:eastAsia="Arial" w:hAnsi="Arial" w:cs="Arial"/>
          <w:color w:val="000000" w:themeColor="text1"/>
          <w:sz w:val="20"/>
          <w:szCs w:val="20"/>
        </w:rPr>
        <w:t xml:space="preserve">, K., </w:t>
      </w:r>
      <w:proofErr w:type="spellStart"/>
      <w:r w:rsidRPr="00B0478C">
        <w:rPr>
          <w:rFonts w:ascii="Arial" w:eastAsia="Arial" w:hAnsi="Arial" w:cs="Arial"/>
          <w:color w:val="000000" w:themeColor="text1"/>
          <w:sz w:val="20"/>
          <w:szCs w:val="20"/>
        </w:rPr>
        <w:t>Kamash</w:t>
      </w:r>
      <w:proofErr w:type="spellEnd"/>
      <w:r w:rsidRPr="00B0478C">
        <w:rPr>
          <w:rFonts w:ascii="Arial" w:eastAsia="Arial" w:hAnsi="Arial" w:cs="Arial"/>
          <w:color w:val="000000" w:themeColor="text1"/>
          <w:sz w:val="20"/>
          <w:szCs w:val="20"/>
        </w:rPr>
        <w:t>, N., &amp; Georgiou, O. (2025). Effectiveness of immersive VR therapy in reducing stress-associated symptoms in Ukraine. </w:t>
      </w:r>
      <w:r w:rsidRPr="00B0478C">
        <w:rPr>
          <w:rFonts w:ascii="Arial" w:eastAsia="Arial" w:hAnsi="Arial" w:cs="Arial"/>
          <w:i/>
          <w:iCs/>
          <w:color w:val="000000" w:themeColor="text1"/>
          <w:sz w:val="20"/>
          <w:szCs w:val="20"/>
        </w:rPr>
        <w:t xml:space="preserve">European journal of </w:t>
      </w:r>
      <w:proofErr w:type="spellStart"/>
      <w:r w:rsidRPr="00B0478C">
        <w:rPr>
          <w:rFonts w:ascii="Arial" w:eastAsia="Arial" w:hAnsi="Arial" w:cs="Arial"/>
          <w:i/>
          <w:iCs/>
          <w:color w:val="000000" w:themeColor="text1"/>
          <w:sz w:val="20"/>
          <w:szCs w:val="20"/>
        </w:rPr>
        <w:t>psychotraumatology</w:t>
      </w:r>
      <w:proofErr w:type="spellEnd"/>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16</w:t>
      </w:r>
      <w:r w:rsidRPr="00B0478C">
        <w:rPr>
          <w:rFonts w:ascii="Arial" w:eastAsia="Arial" w:hAnsi="Arial" w:cs="Arial"/>
          <w:color w:val="000000" w:themeColor="text1"/>
          <w:sz w:val="20"/>
          <w:szCs w:val="20"/>
        </w:rPr>
        <w:t xml:space="preserve">(1), 2488097. </w:t>
      </w:r>
      <w:hyperlink r:id="rId43">
        <w:r w:rsidRPr="00B0478C">
          <w:rPr>
            <w:rFonts w:ascii="Arial" w:eastAsia="Arial" w:hAnsi="Arial" w:cs="Arial"/>
            <w:color w:val="000000" w:themeColor="text1"/>
            <w:sz w:val="20"/>
            <w:szCs w:val="20"/>
            <w:u w:val="single"/>
          </w:rPr>
          <w:t>https://doi.org/10.1080/20008066.2025.2488097</w:t>
        </w:r>
      </w:hyperlink>
    </w:p>
    <w:p w14:paraId="0251EB3B"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22" w:name="_heading=h.cf7477tubd6u" w:colFirst="0" w:colLast="0"/>
      <w:bookmarkEnd w:id="22"/>
      <w:r w:rsidRPr="00B0478C">
        <w:rPr>
          <w:rFonts w:ascii="Arial" w:eastAsia="Arial" w:hAnsi="Arial" w:cs="Arial"/>
          <w:color w:val="000000" w:themeColor="text1"/>
          <w:sz w:val="20"/>
          <w:szCs w:val="20"/>
        </w:rPr>
        <w:t xml:space="preserve">LaMonica, H. M., </w:t>
      </w:r>
      <w:proofErr w:type="spellStart"/>
      <w:r w:rsidRPr="00B0478C">
        <w:rPr>
          <w:rFonts w:ascii="Arial" w:eastAsia="Arial" w:hAnsi="Arial" w:cs="Arial"/>
          <w:color w:val="000000" w:themeColor="text1"/>
          <w:sz w:val="20"/>
          <w:szCs w:val="20"/>
        </w:rPr>
        <w:t>Hickie</w:t>
      </w:r>
      <w:proofErr w:type="spellEnd"/>
      <w:r w:rsidRPr="00B0478C">
        <w:rPr>
          <w:rFonts w:ascii="Arial" w:eastAsia="Arial" w:hAnsi="Arial" w:cs="Arial"/>
          <w:color w:val="000000" w:themeColor="text1"/>
          <w:sz w:val="20"/>
          <w:szCs w:val="20"/>
        </w:rPr>
        <w:t xml:space="preserve">, I. B., Capon, W., </w:t>
      </w:r>
      <w:proofErr w:type="spellStart"/>
      <w:r w:rsidRPr="00B0478C">
        <w:rPr>
          <w:rFonts w:ascii="Arial" w:eastAsia="Arial" w:hAnsi="Arial" w:cs="Arial"/>
          <w:color w:val="000000" w:themeColor="text1"/>
          <w:sz w:val="20"/>
          <w:szCs w:val="20"/>
        </w:rPr>
        <w:t>Ahia</w:t>
      </w:r>
      <w:proofErr w:type="spellEnd"/>
      <w:r w:rsidRPr="00B0478C">
        <w:rPr>
          <w:rFonts w:ascii="Arial" w:eastAsia="Arial" w:hAnsi="Arial" w:cs="Arial"/>
          <w:color w:val="000000" w:themeColor="text1"/>
          <w:sz w:val="20"/>
          <w:szCs w:val="20"/>
        </w:rPr>
        <w:t xml:space="preserve">, M., Ewing, L., Lee, W., </w:t>
      </w:r>
      <w:proofErr w:type="spellStart"/>
      <w:r w:rsidRPr="00B0478C">
        <w:rPr>
          <w:rFonts w:ascii="Arial" w:eastAsia="Arial" w:hAnsi="Arial" w:cs="Arial"/>
          <w:color w:val="000000" w:themeColor="text1"/>
          <w:sz w:val="20"/>
          <w:szCs w:val="20"/>
        </w:rPr>
        <w:t>Iorfino</w:t>
      </w:r>
      <w:proofErr w:type="spellEnd"/>
      <w:r w:rsidRPr="00B0478C">
        <w:rPr>
          <w:rFonts w:ascii="Arial" w:eastAsia="Arial" w:hAnsi="Arial" w:cs="Arial"/>
          <w:color w:val="000000" w:themeColor="text1"/>
          <w:sz w:val="20"/>
          <w:szCs w:val="20"/>
        </w:rPr>
        <w:t>, F., Song, Y. J. C., McKenna, S., &amp; Cleverley, K. (2025). Digital Tools to Support Post-Secondary Student Mental Health and Wellbeing. </w:t>
      </w:r>
      <w:r w:rsidRPr="00B0478C">
        <w:rPr>
          <w:rFonts w:ascii="Arial" w:eastAsia="Arial" w:hAnsi="Arial" w:cs="Arial"/>
          <w:i/>
          <w:iCs/>
          <w:color w:val="000000" w:themeColor="text1"/>
          <w:sz w:val="20"/>
          <w:szCs w:val="20"/>
        </w:rPr>
        <w:t>Early intervention in psychiatry</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19</w:t>
      </w:r>
      <w:r w:rsidRPr="00B0478C">
        <w:rPr>
          <w:rFonts w:ascii="Arial" w:eastAsia="Arial" w:hAnsi="Arial" w:cs="Arial"/>
          <w:color w:val="000000" w:themeColor="text1"/>
          <w:sz w:val="20"/>
          <w:szCs w:val="20"/>
        </w:rPr>
        <w:t xml:space="preserve">(10), e70094. </w:t>
      </w:r>
      <w:hyperlink r:id="rId44">
        <w:r w:rsidRPr="00B0478C">
          <w:rPr>
            <w:rFonts w:ascii="Arial" w:eastAsia="Arial" w:hAnsi="Arial" w:cs="Arial"/>
            <w:color w:val="000000" w:themeColor="text1"/>
            <w:sz w:val="20"/>
            <w:szCs w:val="20"/>
            <w:u w:val="single"/>
          </w:rPr>
          <w:t>https://doi.org/10.1111/eip.70094</w:t>
        </w:r>
      </w:hyperlink>
    </w:p>
    <w:p w14:paraId="1BB9DAED"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23" w:name="_heading=h.3fsf6bs3ftgd" w:colFirst="0" w:colLast="0"/>
      <w:bookmarkEnd w:id="23"/>
      <w:proofErr w:type="spellStart"/>
      <w:r w:rsidRPr="00B0478C">
        <w:rPr>
          <w:rFonts w:ascii="Arial" w:eastAsia="Arial" w:hAnsi="Arial" w:cs="Arial"/>
          <w:color w:val="000000" w:themeColor="text1"/>
          <w:sz w:val="20"/>
          <w:szCs w:val="20"/>
        </w:rPr>
        <w:t>Lattie</w:t>
      </w:r>
      <w:proofErr w:type="spellEnd"/>
      <w:r w:rsidRPr="00B0478C">
        <w:rPr>
          <w:rFonts w:ascii="Arial" w:eastAsia="Arial" w:hAnsi="Arial" w:cs="Arial"/>
          <w:color w:val="000000" w:themeColor="text1"/>
          <w:sz w:val="20"/>
          <w:szCs w:val="20"/>
        </w:rPr>
        <w:t xml:space="preserve">, E. G., Adkins, E. C., Winquist, N., Stiles-Shields, C., </w:t>
      </w:r>
      <w:proofErr w:type="spellStart"/>
      <w:r w:rsidRPr="00B0478C">
        <w:rPr>
          <w:rFonts w:ascii="Arial" w:eastAsia="Arial" w:hAnsi="Arial" w:cs="Arial"/>
          <w:color w:val="000000" w:themeColor="text1"/>
          <w:sz w:val="20"/>
          <w:szCs w:val="20"/>
        </w:rPr>
        <w:t>Wafford</w:t>
      </w:r>
      <w:proofErr w:type="spellEnd"/>
      <w:r w:rsidRPr="00B0478C">
        <w:rPr>
          <w:rFonts w:ascii="Arial" w:eastAsia="Arial" w:hAnsi="Arial" w:cs="Arial"/>
          <w:color w:val="000000" w:themeColor="text1"/>
          <w:sz w:val="20"/>
          <w:szCs w:val="20"/>
        </w:rPr>
        <w:t xml:space="preserve">, Q. E., &amp; Graham, A. K. (2019). Digital mental health interventions for depression, anxiety, and enhancement of psychological well-being among college students: Systematic review. </w:t>
      </w:r>
      <w:r w:rsidRPr="00B0478C">
        <w:rPr>
          <w:rFonts w:ascii="Arial" w:eastAsia="Arial" w:hAnsi="Arial" w:cs="Arial"/>
          <w:i/>
          <w:iCs/>
          <w:color w:val="000000" w:themeColor="text1"/>
          <w:sz w:val="20"/>
          <w:szCs w:val="20"/>
        </w:rPr>
        <w:t>Journal of Medical Internet Research, 21</w:t>
      </w:r>
      <w:r w:rsidRPr="00B0478C">
        <w:rPr>
          <w:rFonts w:ascii="Arial" w:eastAsia="Arial" w:hAnsi="Arial" w:cs="Arial"/>
          <w:color w:val="000000" w:themeColor="text1"/>
          <w:sz w:val="20"/>
          <w:szCs w:val="20"/>
        </w:rPr>
        <w:t xml:space="preserve">(7), e12869. </w:t>
      </w:r>
      <w:hyperlink r:id="rId45">
        <w:r w:rsidRPr="00B0478C">
          <w:rPr>
            <w:rFonts w:ascii="Arial" w:eastAsia="Arial" w:hAnsi="Arial" w:cs="Arial"/>
            <w:color w:val="000000" w:themeColor="text1"/>
            <w:sz w:val="20"/>
            <w:szCs w:val="20"/>
            <w:u w:val="single"/>
          </w:rPr>
          <w:t>https://doi.org/10.2196/12869</w:t>
        </w:r>
      </w:hyperlink>
    </w:p>
    <w:p w14:paraId="44107B2F"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Li, K. (2025). Digital mental health support in higher education: Effectiveness, challenges, and student perspectives. </w:t>
      </w:r>
      <w:r w:rsidRPr="00B0478C">
        <w:rPr>
          <w:rFonts w:ascii="Arial" w:eastAsia="Arial" w:hAnsi="Arial" w:cs="Arial"/>
          <w:i/>
          <w:iCs/>
          <w:color w:val="000000" w:themeColor="text1"/>
          <w:sz w:val="20"/>
          <w:szCs w:val="20"/>
        </w:rPr>
        <w:t>Lecture Notes in Education Psychology and Public Media, 99</w:t>
      </w:r>
      <w:r w:rsidRPr="00B0478C">
        <w:rPr>
          <w:rFonts w:ascii="Arial" w:eastAsia="Arial" w:hAnsi="Arial" w:cs="Arial"/>
          <w:color w:val="000000" w:themeColor="text1"/>
          <w:sz w:val="20"/>
          <w:szCs w:val="20"/>
        </w:rPr>
        <w:t xml:space="preserve">(1), 111–117. </w:t>
      </w:r>
      <w:hyperlink r:id="rId46">
        <w:r w:rsidRPr="00B0478C">
          <w:rPr>
            <w:rFonts w:ascii="Arial" w:eastAsia="Arial" w:hAnsi="Arial" w:cs="Arial"/>
            <w:color w:val="000000" w:themeColor="text1"/>
            <w:sz w:val="20"/>
            <w:szCs w:val="20"/>
            <w:u w:val="single"/>
          </w:rPr>
          <w:t>https://doi.org/10.54254/2753-7048/2026.HT28870</w:t>
        </w:r>
      </w:hyperlink>
    </w:p>
    <w:p w14:paraId="475296AF"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24" w:name="_heading=h.e00cm32td8bl" w:colFirst="0" w:colLast="0"/>
      <w:bookmarkEnd w:id="24"/>
      <w:proofErr w:type="spellStart"/>
      <w:r w:rsidRPr="00B0478C">
        <w:rPr>
          <w:rFonts w:ascii="Arial" w:eastAsia="Arial" w:hAnsi="Arial" w:cs="Arial"/>
          <w:color w:val="000000" w:themeColor="text1"/>
          <w:sz w:val="20"/>
          <w:szCs w:val="20"/>
        </w:rPr>
        <w:t>Löchner</w:t>
      </w:r>
      <w:proofErr w:type="spellEnd"/>
      <w:r w:rsidRPr="00B0478C">
        <w:rPr>
          <w:rFonts w:ascii="Arial" w:eastAsia="Arial" w:hAnsi="Arial" w:cs="Arial"/>
          <w:color w:val="000000" w:themeColor="text1"/>
          <w:sz w:val="20"/>
          <w:szCs w:val="20"/>
        </w:rPr>
        <w:t xml:space="preserve">, J., </w:t>
      </w:r>
      <w:proofErr w:type="spellStart"/>
      <w:r w:rsidRPr="00B0478C">
        <w:rPr>
          <w:rFonts w:ascii="Arial" w:eastAsia="Arial" w:hAnsi="Arial" w:cs="Arial"/>
          <w:color w:val="000000" w:themeColor="text1"/>
          <w:sz w:val="20"/>
          <w:szCs w:val="20"/>
        </w:rPr>
        <w:t>Carlbring</w:t>
      </w:r>
      <w:proofErr w:type="spellEnd"/>
      <w:r w:rsidRPr="00B0478C">
        <w:rPr>
          <w:rFonts w:ascii="Arial" w:eastAsia="Arial" w:hAnsi="Arial" w:cs="Arial"/>
          <w:color w:val="000000" w:themeColor="text1"/>
          <w:sz w:val="20"/>
          <w:szCs w:val="20"/>
        </w:rPr>
        <w:t xml:space="preserve">, P., Schuller, B., </w:t>
      </w:r>
      <w:proofErr w:type="spellStart"/>
      <w:r w:rsidRPr="00B0478C">
        <w:rPr>
          <w:rFonts w:ascii="Arial" w:eastAsia="Arial" w:hAnsi="Arial" w:cs="Arial"/>
          <w:color w:val="000000" w:themeColor="text1"/>
          <w:sz w:val="20"/>
          <w:szCs w:val="20"/>
        </w:rPr>
        <w:t>Torous</w:t>
      </w:r>
      <w:proofErr w:type="spellEnd"/>
      <w:r w:rsidRPr="00B0478C">
        <w:rPr>
          <w:rFonts w:ascii="Arial" w:eastAsia="Arial" w:hAnsi="Arial" w:cs="Arial"/>
          <w:color w:val="000000" w:themeColor="text1"/>
          <w:sz w:val="20"/>
          <w:szCs w:val="20"/>
        </w:rPr>
        <w:t xml:space="preserve">, J., &amp; Sander, L. B. (2025). Digital interventions in mental health: An overview and future perspectives. </w:t>
      </w:r>
      <w:r w:rsidRPr="00B0478C">
        <w:rPr>
          <w:rFonts w:ascii="Arial" w:eastAsia="Arial" w:hAnsi="Arial" w:cs="Arial"/>
          <w:i/>
          <w:iCs/>
          <w:color w:val="000000" w:themeColor="text1"/>
          <w:sz w:val="20"/>
          <w:szCs w:val="20"/>
        </w:rPr>
        <w:t>Internet Interventions</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40</w:t>
      </w:r>
      <w:r w:rsidRPr="00B0478C">
        <w:rPr>
          <w:rFonts w:ascii="Arial" w:eastAsia="Arial" w:hAnsi="Arial" w:cs="Arial"/>
          <w:color w:val="000000" w:themeColor="text1"/>
          <w:sz w:val="20"/>
          <w:szCs w:val="20"/>
        </w:rPr>
        <w:t xml:space="preserve">, 100824. </w:t>
      </w:r>
      <w:hyperlink r:id="rId47">
        <w:r w:rsidRPr="00B0478C">
          <w:rPr>
            <w:rFonts w:ascii="Arial" w:eastAsia="Arial" w:hAnsi="Arial" w:cs="Arial"/>
            <w:color w:val="000000" w:themeColor="text1"/>
            <w:sz w:val="20"/>
            <w:szCs w:val="20"/>
            <w:u w:val="single"/>
          </w:rPr>
          <w:t>https://doi.org/10.1016/j.invent.2025.100824</w:t>
        </w:r>
      </w:hyperlink>
    </w:p>
    <w:p w14:paraId="466BA4E5"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Madrid-</w:t>
      </w:r>
      <w:proofErr w:type="spellStart"/>
      <w:r w:rsidRPr="00B0478C">
        <w:rPr>
          <w:rFonts w:ascii="Arial" w:eastAsia="Arial" w:hAnsi="Arial" w:cs="Arial"/>
          <w:color w:val="000000" w:themeColor="text1"/>
          <w:sz w:val="20"/>
          <w:szCs w:val="20"/>
        </w:rPr>
        <w:t>Cagigal</w:t>
      </w:r>
      <w:proofErr w:type="spellEnd"/>
      <w:r w:rsidRPr="00B0478C">
        <w:rPr>
          <w:rFonts w:ascii="Arial" w:eastAsia="Arial" w:hAnsi="Arial" w:cs="Arial"/>
          <w:color w:val="000000" w:themeColor="text1"/>
          <w:sz w:val="20"/>
          <w:szCs w:val="20"/>
        </w:rPr>
        <w:t xml:space="preserve">, A., Kealy, C., Potts, C., </w:t>
      </w:r>
      <w:proofErr w:type="spellStart"/>
      <w:r w:rsidRPr="00B0478C">
        <w:rPr>
          <w:rFonts w:ascii="Arial" w:eastAsia="Arial" w:hAnsi="Arial" w:cs="Arial"/>
          <w:color w:val="000000" w:themeColor="text1"/>
          <w:sz w:val="20"/>
          <w:szCs w:val="20"/>
        </w:rPr>
        <w:t>Mulvenna</w:t>
      </w:r>
      <w:proofErr w:type="spellEnd"/>
      <w:r w:rsidRPr="00B0478C">
        <w:rPr>
          <w:rFonts w:ascii="Arial" w:eastAsia="Arial" w:hAnsi="Arial" w:cs="Arial"/>
          <w:color w:val="000000" w:themeColor="text1"/>
          <w:sz w:val="20"/>
          <w:szCs w:val="20"/>
        </w:rPr>
        <w:t xml:space="preserve">, M. D., Byrne, M., Barry, M. M., &amp; Donohoe, G. (2025). Digital Mental Health Interventions for University Students </w:t>
      </w:r>
      <w:proofErr w:type="gramStart"/>
      <w:r w:rsidRPr="00B0478C">
        <w:rPr>
          <w:rFonts w:ascii="Arial" w:eastAsia="Arial" w:hAnsi="Arial" w:cs="Arial"/>
          <w:color w:val="000000" w:themeColor="text1"/>
          <w:sz w:val="20"/>
          <w:szCs w:val="20"/>
        </w:rPr>
        <w:t>With</w:t>
      </w:r>
      <w:proofErr w:type="gramEnd"/>
      <w:r w:rsidRPr="00B0478C">
        <w:rPr>
          <w:rFonts w:ascii="Arial" w:eastAsia="Arial" w:hAnsi="Arial" w:cs="Arial"/>
          <w:color w:val="000000" w:themeColor="text1"/>
          <w:sz w:val="20"/>
          <w:szCs w:val="20"/>
        </w:rPr>
        <w:t xml:space="preserve"> Mental Health Difficulties: A Systematic Review and Meta-Analysis. </w:t>
      </w:r>
      <w:r w:rsidRPr="00B0478C">
        <w:rPr>
          <w:rFonts w:ascii="Arial" w:eastAsia="Arial" w:hAnsi="Arial" w:cs="Arial"/>
          <w:i/>
          <w:iCs/>
          <w:color w:val="000000" w:themeColor="text1"/>
          <w:sz w:val="20"/>
          <w:szCs w:val="20"/>
        </w:rPr>
        <w:t>Early intervention in psychiatry</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19</w:t>
      </w:r>
      <w:r w:rsidRPr="00B0478C">
        <w:rPr>
          <w:rFonts w:ascii="Arial" w:eastAsia="Arial" w:hAnsi="Arial" w:cs="Arial"/>
          <w:color w:val="000000" w:themeColor="text1"/>
          <w:sz w:val="20"/>
          <w:szCs w:val="20"/>
        </w:rPr>
        <w:t xml:space="preserve">(3), e70017. </w:t>
      </w:r>
      <w:hyperlink r:id="rId48">
        <w:r w:rsidRPr="00B0478C">
          <w:rPr>
            <w:rFonts w:ascii="Arial" w:eastAsia="Arial" w:hAnsi="Arial" w:cs="Arial"/>
            <w:color w:val="000000" w:themeColor="text1"/>
            <w:sz w:val="20"/>
            <w:szCs w:val="20"/>
            <w:u w:val="single"/>
          </w:rPr>
          <w:t>https://doi.org/10.1111/eip.70017</w:t>
        </w:r>
      </w:hyperlink>
    </w:p>
    <w:p w14:paraId="2AA1BF8E"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Matsumoto, K., </w:t>
      </w:r>
      <w:proofErr w:type="spellStart"/>
      <w:r w:rsidRPr="00B0478C">
        <w:rPr>
          <w:rFonts w:ascii="Arial" w:eastAsia="Arial" w:hAnsi="Arial" w:cs="Arial"/>
          <w:color w:val="000000" w:themeColor="text1"/>
          <w:sz w:val="20"/>
          <w:szCs w:val="20"/>
        </w:rPr>
        <w:t>Hamatani</w:t>
      </w:r>
      <w:proofErr w:type="spellEnd"/>
      <w:r w:rsidRPr="00B0478C">
        <w:rPr>
          <w:rFonts w:ascii="Arial" w:eastAsia="Arial" w:hAnsi="Arial" w:cs="Arial"/>
          <w:color w:val="000000" w:themeColor="text1"/>
          <w:sz w:val="20"/>
          <w:szCs w:val="20"/>
        </w:rPr>
        <w:t xml:space="preserve">, S., Shiga, K., </w:t>
      </w:r>
      <w:proofErr w:type="spellStart"/>
      <w:r w:rsidRPr="00B0478C">
        <w:rPr>
          <w:rFonts w:ascii="Arial" w:eastAsia="Arial" w:hAnsi="Arial" w:cs="Arial"/>
          <w:color w:val="000000" w:themeColor="text1"/>
          <w:sz w:val="20"/>
          <w:szCs w:val="20"/>
        </w:rPr>
        <w:t>Iiboshi</w:t>
      </w:r>
      <w:proofErr w:type="spellEnd"/>
      <w:r w:rsidRPr="00B0478C">
        <w:rPr>
          <w:rFonts w:ascii="Arial" w:eastAsia="Arial" w:hAnsi="Arial" w:cs="Arial"/>
          <w:color w:val="000000" w:themeColor="text1"/>
          <w:sz w:val="20"/>
          <w:szCs w:val="20"/>
        </w:rPr>
        <w:t xml:space="preserve">, K., Kasai, M., Kimura, Y., Yokota, S., Watanabe, K., Kubo, Y., &amp; Nakamura, M. (2024). Effectiveness of Unguided Internet-Based Cognitive </w:t>
      </w:r>
      <w:proofErr w:type="spellStart"/>
      <w:r w:rsidRPr="00B0478C">
        <w:rPr>
          <w:rFonts w:ascii="Arial" w:eastAsia="Arial" w:hAnsi="Arial" w:cs="Arial"/>
          <w:color w:val="000000" w:themeColor="text1"/>
          <w:sz w:val="20"/>
          <w:szCs w:val="20"/>
        </w:rPr>
        <w:t>Behavioral</w:t>
      </w:r>
      <w:proofErr w:type="spellEnd"/>
      <w:r w:rsidRPr="00B0478C">
        <w:rPr>
          <w:rFonts w:ascii="Arial" w:eastAsia="Arial" w:hAnsi="Arial" w:cs="Arial"/>
          <w:color w:val="000000" w:themeColor="text1"/>
          <w:sz w:val="20"/>
          <w:szCs w:val="20"/>
        </w:rPr>
        <w:t xml:space="preserve"> therapy for subthreshold social anxiety disorder in adolescents and young adults: </w:t>
      </w:r>
      <w:proofErr w:type="spellStart"/>
      <w:r w:rsidRPr="00B0478C">
        <w:rPr>
          <w:rFonts w:ascii="Arial" w:eastAsia="Arial" w:hAnsi="Arial" w:cs="Arial"/>
          <w:color w:val="000000" w:themeColor="text1"/>
          <w:sz w:val="20"/>
          <w:szCs w:val="20"/>
        </w:rPr>
        <w:t>multicenter</w:t>
      </w:r>
      <w:proofErr w:type="spellEnd"/>
      <w:r w:rsidRPr="00B0478C">
        <w:rPr>
          <w:rFonts w:ascii="Arial" w:eastAsia="Arial" w:hAnsi="Arial" w:cs="Arial"/>
          <w:color w:val="000000" w:themeColor="text1"/>
          <w:sz w:val="20"/>
          <w:szCs w:val="20"/>
        </w:rPr>
        <w:t xml:space="preserve"> randomized controlled trial. </w:t>
      </w:r>
      <w:r w:rsidRPr="00B0478C">
        <w:rPr>
          <w:rFonts w:ascii="Arial" w:eastAsia="Arial" w:hAnsi="Arial" w:cs="Arial"/>
          <w:i/>
          <w:iCs/>
          <w:color w:val="000000" w:themeColor="text1"/>
          <w:sz w:val="20"/>
          <w:szCs w:val="20"/>
        </w:rPr>
        <w:t xml:space="preserve">JMIR </w:t>
      </w:r>
      <w:proofErr w:type="spellStart"/>
      <w:r w:rsidRPr="00B0478C">
        <w:rPr>
          <w:rFonts w:ascii="Arial" w:eastAsia="Arial" w:hAnsi="Arial" w:cs="Arial"/>
          <w:i/>
          <w:iCs/>
          <w:color w:val="000000" w:themeColor="text1"/>
          <w:sz w:val="20"/>
          <w:szCs w:val="20"/>
        </w:rPr>
        <w:t>Pediatrics</w:t>
      </w:r>
      <w:proofErr w:type="spellEnd"/>
      <w:r w:rsidRPr="00B0478C">
        <w:rPr>
          <w:rFonts w:ascii="Arial" w:eastAsia="Arial" w:hAnsi="Arial" w:cs="Arial"/>
          <w:i/>
          <w:iCs/>
          <w:color w:val="000000" w:themeColor="text1"/>
          <w:sz w:val="20"/>
          <w:szCs w:val="20"/>
        </w:rPr>
        <w:t xml:space="preserve"> and Parenting</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7</w:t>
      </w:r>
      <w:r w:rsidRPr="00B0478C">
        <w:rPr>
          <w:rFonts w:ascii="Arial" w:eastAsia="Arial" w:hAnsi="Arial" w:cs="Arial"/>
          <w:color w:val="000000" w:themeColor="text1"/>
          <w:sz w:val="20"/>
          <w:szCs w:val="20"/>
        </w:rPr>
        <w:t xml:space="preserve">, e55786. </w:t>
      </w:r>
      <w:hyperlink r:id="rId49">
        <w:r w:rsidRPr="00B0478C">
          <w:rPr>
            <w:rFonts w:ascii="Arial" w:eastAsia="Arial" w:hAnsi="Arial" w:cs="Arial"/>
            <w:color w:val="000000" w:themeColor="text1"/>
            <w:sz w:val="20"/>
            <w:szCs w:val="20"/>
            <w:u w:val="single"/>
          </w:rPr>
          <w:t>https://doi.org/10.2196/55786</w:t>
        </w:r>
      </w:hyperlink>
    </w:p>
    <w:p w14:paraId="1A3E86AD"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25" w:name="_heading=h.oxfbj4fgdgkl" w:colFirst="0" w:colLast="0"/>
      <w:bookmarkEnd w:id="25"/>
      <w:r w:rsidRPr="00B0478C">
        <w:rPr>
          <w:rFonts w:ascii="Arial" w:eastAsia="Arial" w:hAnsi="Arial" w:cs="Arial"/>
          <w:color w:val="000000" w:themeColor="text1"/>
          <w:sz w:val="20"/>
          <w:szCs w:val="20"/>
        </w:rPr>
        <w:t xml:space="preserve">McCurdy, B. H., Scozzafava, M. D., Bradley, T., </w:t>
      </w:r>
      <w:proofErr w:type="spellStart"/>
      <w:r w:rsidRPr="00B0478C">
        <w:rPr>
          <w:rFonts w:ascii="Arial" w:eastAsia="Arial" w:hAnsi="Arial" w:cs="Arial"/>
          <w:color w:val="000000" w:themeColor="text1"/>
          <w:sz w:val="20"/>
          <w:szCs w:val="20"/>
        </w:rPr>
        <w:t>Matlow</w:t>
      </w:r>
      <w:proofErr w:type="spellEnd"/>
      <w:r w:rsidRPr="00B0478C">
        <w:rPr>
          <w:rFonts w:ascii="Arial" w:eastAsia="Arial" w:hAnsi="Arial" w:cs="Arial"/>
          <w:color w:val="000000" w:themeColor="text1"/>
          <w:sz w:val="20"/>
          <w:szCs w:val="20"/>
        </w:rPr>
        <w:t>, R., Weems, C. F., &amp; Carrion, V. G. (2022). Impact of anxiety and depression on academic achievement among underserved school children: evidence of suppressor effects. </w:t>
      </w:r>
      <w:r w:rsidRPr="00B0478C">
        <w:rPr>
          <w:rFonts w:ascii="Arial" w:eastAsia="Arial" w:hAnsi="Arial" w:cs="Arial"/>
          <w:i/>
          <w:iCs/>
          <w:color w:val="000000" w:themeColor="text1"/>
          <w:sz w:val="20"/>
          <w:szCs w:val="20"/>
        </w:rPr>
        <w:t>Current psychology (New Brunswick, N.J.)</w:t>
      </w:r>
      <w:r w:rsidRPr="00B0478C">
        <w:rPr>
          <w:rFonts w:ascii="Arial" w:eastAsia="Arial" w:hAnsi="Arial" w:cs="Arial"/>
          <w:color w:val="000000" w:themeColor="text1"/>
          <w:sz w:val="20"/>
          <w:szCs w:val="20"/>
        </w:rPr>
        <w:t xml:space="preserve">, 1–9. Advance online publication. </w:t>
      </w:r>
      <w:hyperlink r:id="rId50">
        <w:r w:rsidRPr="00B0478C">
          <w:rPr>
            <w:rFonts w:ascii="Arial" w:eastAsia="Arial" w:hAnsi="Arial" w:cs="Arial"/>
            <w:color w:val="000000" w:themeColor="text1"/>
            <w:sz w:val="20"/>
            <w:szCs w:val="20"/>
            <w:u w:val="single"/>
          </w:rPr>
          <w:t>https://doi.org/10.1007/s12144-022-03801-9</w:t>
        </w:r>
      </w:hyperlink>
    </w:p>
    <w:p w14:paraId="6BC15763"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Mercer, S. O., &amp; De </w:t>
      </w:r>
      <w:proofErr w:type="spellStart"/>
      <w:r w:rsidRPr="00B0478C">
        <w:rPr>
          <w:rFonts w:ascii="Arial" w:eastAsia="Arial" w:hAnsi="Arial" w:cs="Arial"/>
          <w:color w:val="000000" w:themeColor="text1"/>
          <w:sz w:val="20"/>
          <w:szCs w:val="20"/>
        </w:rPr>
        <w:t>Franches</w:t>
      </w:r>
      <w:proofErr w:type="spellEnd"/>
      <w:r w:rsidRPr="00B0478C">
        <w:rPr>
          <w:rFonts w:ascii="Arial" w:eastAsia="Arial" w:hAnsi="Arial" w:cs="Arial"/>
          <w:color w:val="000000" w:themeColor="text1"/>
          <w:sz w:val="20"/>
          <w:szCs w:val="20"/>
        </w:rPr>
        <w:t xml:space="preserve">, G. R. (2025). Biofeedback games in education: A review with implications for teacher training. </w:t>
      </w:r>
      <w:r w:rsidRPr="00B0478C">
        <w:rPr>
          <w:rFonts w:ascii="Arial" w:eastAsia="Arial" w:hAnsi="Arial" w:cs="Arial"/>
          <w:i/>
          <w:iCs/>
          <w:color w:val="000000" w:themeColor="text1"/>
          <w:sz w:val="20"/>
          <w:szCs w:val="20"/>
        </w:rPr>
        <w:t>[Journal name unavailable]</w:t>
      </w:r>
      <w:r w:rsidRPr="00B0478C">
        <w:rPr>
          <w:rFonts w:ascii="Arial" w:eastAsia="Arial" w:hAnsi="Arial" w:cs="Arial"/>
          <w:color w:val="000000" w:themeColor="text1"/>
          <w:sz w:val="20"/>
          <w:szCs w:val="20"/>
        </w:rPr>
        <w:t xml:space="preserve">. </w:t>
      </w:r>
      <w:hyperlink r:id="rId51">
        <w:r w:rsidRPr="00B0478C">
          <w:rPr>
            <w:rFonts w:ascii="Arial" w:eastAsia="Arial" w:hAnsi="Arial" w:cs="Arial"/>
            <w:color w:val="000000" w:themeColor="text1"/>
            <w:sz w:val="20"/>
            <w:szCs w:val="20"/>
            <w:u w:val="single"/>
          </w:rPr>
          <w:t>https://doi.org/10.17471/2499-4324/1395</w:t>
        </w:r>
      </w:hyperlink>
    </w:p>
    <w:p w14:paraId="7342682C"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26" w:name="_heading=h.1ehw33vwqosu" w:colFirst="0" w:colLast="0"/>
      <w:bookmarkEnd w:id="26"/>
      <w:r w:rsidRPr="00B0478C">
        <w:rPr>
          <w:rFonts w:ascii="Arial" w:eastAsia="Arial" w:hAnsi="Arial" w:cs="Arial"/>
          <w:color w:val="000000" w:themeColor="text1"/>
          <w:sz w:val="20"/>
          <w:szCs w:val="20"/>
        </w:rPr>
        <w:t xml:space="preserve">Mishra, V., &amp; Mishra, M. P. (2023). PRISMA for review of management literature – Method, merits, and limitations – An academic review. In </w:t>
      </w:r>
      <w:r w:rsidRPr="00B0478C">
        <w:rPr>
          <w:rFonts w:ascii="Arial" w:eastAsia="Arial" w:hAnsi="Arial" w:cs="Arial"/>
          <w:i/>
          <w:iCs/>
          <w:color w:val="000000" w:themeColor="text1"/>
          <w:sz w:val="20"/>
          <w:szCs w:val="20"/>
        </w:rPr>
        <w:t>Advancing methodologies of conducting literature review in management domain</w:t>
      </w:r>
      <w:r w:rsidRPr="00B0478C">
        <w:rPr>
          <w:rFonts w:ascii="Arial" w:eastAsia="Arial" w:hAnsi="Arial" w:cs="Arial"/>
          <w:color w:val="000000" w:themeColor="text1"/>
          <w:sz w:val="20"/>
          <w:szCs w:val="20"/>
        </w:rPr>
        <w:t xml:space="preserve"> (Vol. 2, pp. 7–?). Emerald Publishing. </w:t>
      </w:r>
      <w:hyperlink r:id="rId52">
        <w:r w:rsidRPr="00B0478C">
          <w:rPr>
            <w:rFonts w:ascii="Arial" w:eastAsia="Arial" w:hAnsi="Arial" w:cs="Arial"/>
            <w:color w:val="000000" w:themeColor="text1"/>
            <w:sz w:val="20"/>
            <w:szCs w:val="20"/>
            <w:u w:val="single"/>
          </w:rPr>
          <w:t>https://doi.org/10.1108/S2754-586520230000002007</w:t>
        </w:r>
      </w:hyperlink>
    </w:p>
    <w:p w14:paraId="55A35FE3"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27" w:name="_heading=h.qyx4h6scbk9s" w:colFirst="0" w:colLast="0"/>
      <w:bookmarkEnd w:id="27"/>
      <w:proofErr w:type="spellStart"/>
      <w:r w:rsidRPr="00B0478C">
        <w:rPr>
          <w:rFonts w:ascii="Arial" w:eastAsia="Arial" w:hAnsi="Arial" w:cs="Arial"/>
          <w:color w:val="000000" w:themeColor="text1"/>
          <w:sz w:val="20"/>
          <w:szCs w:val="20"/>
        </w:rPr>
        <w:t>Mofatteh</w:t>
      </w:r>
      <w:proofErr w:type="spellEnd"/>
      <w:r w:rsidRPr="00B0478C">
        <w:rPr>
          <w:rFonts w:ascii="Arial" w:eastAsia="Arial" w:hAnsi="Arial" w:cs="Arial"/>
          <w:color w:val="000000" w:themeColor="text1"/>
          <w:sz w:val="20"/>
          <w:szCs w:val="20"/>
        </w:rPr>
        <w:t xml:space="preserve"> M. (2020). Risk factors associated with stress, anxiety, and depression among university undergraduate students. </w:t>
      </w:r>
      <w:r w:rsidRPr="00B0478C">
        <w:rPr>
          <w:rFonts w:ascii="Arial" w:eastAsia="Arial" w:hAnsi="Arial" w:cs="Arial"/>
          <w:i/>
          <w:iCs/>
          <w:color w:val="000000" w:themeColor="text1"/>
          <w:sz w:val="20"/>
          <w:szCs w:val="20"/>
        </w:rPr>
        <w:t>AIMS public health</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8</w:t>
      </w:r>
      <w:r w:rsidRPr="00B0478C">
        <w:rPr>
          <w:rFonts w:ascii="Arial" w:eastAsia="Arial" w:hAnsi="Arial" w:cs="Arial"/>
          <w:color w:val="000000" w:themeColor="text1"/>
          <w:sz w:val="20"/>
          <w:szCs w:val="20"/>
        </w:rPr>
        <w:t xml:space="preserve">(1), 36–65. </w:t>
      </w:r>
      <w:hyperlink r:id="rId53">
        <w:r w:rsidRPr="00B0478C">
          <w:rPr>
            <w:rFonts w:ascii="Arial" w:eastAsia="Arial" w:hAnsi="Arial" w:cs="Arial"/>
            <w:color w:val="000000" w:themeColor="text1"/>
            <w:sz w:val="20"/>
            <w:szCs w:val="20"/>
            <w:u w:val="single"/>
          </w:rPr>
          <w:t>https://doi.org/10.3934/publichealth.2021004</w:t>
        </w:r>
      </w:hyperlink>
    </w:p>
    <w:p w14:paraId="77A263B3"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28" w:name="_heading=h.86dieovhsuaz" w:colFirst="0" w:colLast="0"/>
      <w:bookmarkEnd w:id="28"/>
      <w:r w:rsidRPr="00B0478C">
        <w:rPr>
          <w:rFonts w:ascii="Arial" w:eastAsia="Arial" w:hAnsi="Arial" w:cs="Arial"/>
          <w:color w:val="000000" w:themeColor="text1"/>
          <w:sz w:val="20"/>
          <w:szCs w:val="20"/>
        </w:rPr>
        <w:lastRenderedPageBreak/>
        <w:t xml:space="preserve">Nagar, R., Quirk, H. D., &amp; Anderson, P. L. (2023). User experiences of college students using mental health applications to improve self-care: Implications for improving engagement. </w:t>
      </w:r>
      <w:r w:rsidRPr="00B0478C">
        <w:rPr>
          <w:rFonts w:ascii="Arial" w:eastAsia="Arial" w:hAnsi="Arial" w:cs="Arial"/>
          <w:i/>
          <w:iCs/>
          <w:color w:val="000000" w:themeColor="text1"/>
          <w:sz w:val="20"/>
          <w:szCs w:val="20"/>
        </w:rPr>
        <w:t>Internet Interventions</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34</w:t>
      </w:r>
      <w:r w:rsidRPr="00B0478C">
        <w:rPr>
          <w:rFonts w:ascii="Arial" w:eastAsia="Arial" w:hAnsi="Arial" w:cs="Arial"/>
          <w:color w:val="000000" w:themeColor="text1"/>
          <w:sz w:val="20"/>
          <w:szCs w:val="20"/>
        </w:rPr>
        <w:t xml:space="preserve">, 100676. </w:t>
      </w:r>
      <w:hyperlink r:id="rId54">
        <w:r w:rsidRPr="00B0478C">
          <w:rPr>
            <w:rFonts w:ascii="Arial" w:eastAsia="Arial" w:hAnsi="Arial" w:cs="Arial"/>
            <w:color w:val="000000" w:themeColor="text1"/>
            <w:sz w:val="20"/>
            <w:szCs w:val="20"/>
            <w:u w:val="single"/>
          </w:rPr>
          <w:t>https://doi.org/10.1016/j.invent.2023.100676</w:t>
        </w:r>
      </w:hyperlink>
    </w:p>
    <w:p w14:paraId="2BD7BADF"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29" w:name="_heading=h.al16i1lapn1w" w:colFirst="0" w:colLast="0"/>
      <w:bookmarkEnd w:id="29"/>
      <w:proofErr w:type="spellStart"/>
      <w:r w:rsidRPr="00B0478C">
        <w:rPr>
          <w:rFonts w:ascii="Arial" w:eastAsia="Arial" w:hAnsi="Arial" w:cs="Arial"/>
          <w:color w:val="000000" w:themeColor="text1"/>
          <w:sz w:val="20"/>
          <w:szCs w:val="20"/>
        </w:rPr>
        <w:t>Neagu</w:t>
      </w:r>
      <w:proofErr w:type="spellEnd"/>
      <w:r w:rsidRPr="00B0478C">
        <w:rPr>
          <w:rFonts w:ascii="Arial" w:eastAsia="Arial" w:hAnsi="Arial" w:cs="Arial"/>
          <w:color w:val="000000" w:themeColor="text1"/>
          <w:sz w:val="20"/>
          <w:szCs w:val="20"/>
        </w:rPr>
        <w:t xml:space="preserve">, S. N., &amp; </w:t>
      </w:r>
      <w:proofErr w:type="spellStart"/>
      <w:r w:rsidRPr="00B0478C">
        <w:rPr>
          <w:rFonts w:ascii="Arial" w:eastAsia="Arial" w:hAnsi="Arial" w:cs="Arial"/>
          <w:color w:val="000000" w:themeColor="text1"/>
          <w:sz w:val="20"/>
          <w:szCs w:val="20"/>
        </w:rPr>
        <w:t>Vieriu</w:t>
      </w:r>
      <w:proofErr w:type="spellEnd"/>
      <w:r w:rsidRPr="00B0478C">
        <w:rPr>
          <w:rFonts w:ascii="Arial" w:eastAsia="Arial" w:hAnsi="Arial" w:cs="Arial"/>
          <w:color w:val="000000" w:themeColor="text1"/>
          <w:sz w:val="20"/>
          <w:szCs w:val="20"/>
        </w:rPr>
        <w:t>, A. M. (2025). Digital and Psychological Well-Being Among Technical University Students: Exploring the Impact of Digital Engagement in Higher Education. </w:t>
      </w:r>
      <w:r w:rsidRPr="00B0478C">
        <w:rPr>
          <w:rFonts w:ascii="Arial" w:eastAsia="Arial" w:hAnsi="Arial" w:cs="Arial"/>
          <w:i/>
          <w:iCs/>
          <w:color w:val="000000" w:themeColor="text1"/>
          <w:sz w:val="20"/>
          <w:szCs w:val="20"/>
        </w:rPr>
        <w:t>Education Sciences</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15</w:t>
      </w:r>
      <w:r w:rsidRPr="00B0478C">
        <w:rPr>
          <w:rFonts w:ascii="Arial" w:eastAsia="Arial" w:hAnsi="Arial" w:cs="Arial"/>
          <w:color w:val="000000" w:themeColor="text1"/>
          <w:sz w:val="20"/>
          <w:szCs w:val="20"/>
        </w:rPr>
        <w:t xml:space="preserve">(9), 1192. </w:t>
      </w:r>
      <w:hyperlink r:id="rId55">
        <w:r w:rsidRPr="00B0478C">
          <w:rPr>
            <w:rFonts w:ascii="Arial" w:eastAsia="Arial" w:hAnsi="Arial" w:cs="Arial"/>
            <w:color w:val="000000" w:themeColor="text1"/>
            <w:sz w:val="20"/>
            <w:szCs w:val="20"/>
            <w:u w:val="single"/>
          </w:rPr>
          <w:t>https://doi.org/10.3390/educsci15091192</w:t>
        </w:r>
      </w:hyperlink>
    </w:p>
    <w:p w14:paraId="0E28C5C5"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30" w:name="_heading=h.6twh6u16xlam" w:colFirst="0" w:colLast="0"/>
      <w:bookmarkEnd w:id="30"/>
      <w:r w:rsidRPr="00B0478C">
        <w:rPr>
          <w:rFonts w:ascii="Arial" w:eastAsia="Arial" w:hAnsi="Arial" w:cs="Arial"/>
          <w:color w:val="000000" w:themeColor="text1"/>
          <w:sz w:val="20"/>
          <w:szCs w:val="20"/>
        </w:rPr>
        <w:t xml:space="preserve">Nelson, D., </w:t>
      </w:r>
      <w:proofErr w:type="spellStart"/>
      <w:r w:rsidRPr="00B0478C">
        <w:rPr>
          <w:rFonts w:ascii="Arial" w:eastAsia="Arial" w:hAnsi="Arial" w:cs="Arial"/>
          <w:color w:val="000000" w:themeColor="text1"/>
          <w:sz w:val="20"/>
          <w:szCs w:val="20"/>
        </w:rPr>
        <w:t>Inghels</w:t>
      </w:r>
      <w:proofErr w:type="spellEnd"/>
      <w:r w:rsidRPr="00B0478C">
        <w:rPr>
          <w:rFonts w:ascii="Arial" w:eastAsia="Arial" w:hAnsi="Arial" w:cs="Arial"/>
          <w:color w:val="000000" w:themeColor="text1"/>
          <w:sz w:val="20"/>
          <w:szCs w:val="20"/>
        </w:rPr>
        <w:t xml:space="preserve">, M., Kenny, A., Skinner, S., </w:t>
      </w:r>
      <w:proofErr w:type="spellStart"/>
      <w:r w:rsidRPr="00B0478C">
        <w:rPr>
          <w:rFonts w:ascii="Arial" w:eastAsia="Arial" w:hAnsi="Arial" w:cs="Arial"/>
          <w:color w:val="000000" w:themeColor="text1"/>
          <w:sz w:val="20"/>
          <w:szCs w:val="20"/>
        </w:rPr>
        <w:t>McCranor</w:t>
      </w:r>
      <w:proofErr w:type="spellEnd"/>
      <w:r w:rsidRPr="00B0478C">
        <w:rPr>
          <w:rFonts w:ascii="Arial" w:eastAsia="Arial" w:hAnsi="Arial" w:cs="Arial"/>
          <w:color w:val="000000" w:themeColor="text1"/>
          <w:sz w:val="20"/>
          <w:szCs w:val="20"/>
        </w:rPr>
        <w:t xml:space="preserve">, T., Wyatt, S., </w:t>
      </w:r>
      <w:proofErr w:type="spellStart"/>
      <w:r w:rsidRPr="00B0478C">
        <w:rPr>
          <w:rFonts w:ascii="Arial" w:eastAsia="Arial" w:hAnsi="Arial" w:cs="Arial"/>
          <w:color w:val="000000" w:themeColor="text1"/>
          <w:sz w:val="20"/>
          <w:szCs w:val="20"/>
        </w:rPr>
        <w:t>Phull</w:t>
      </w:r>
      <w:proofErr w:type="spellEnd"/>
      <w:r w:rsidRPr="00B0478C">
        <w:rPr>
          <w:rFonts w:ascii="Arial" w:eastAsia="Arial" w:hAnsi="Arial" w:cs="Arial"/>
          <w:color w:val="000000" w:themeColor="text1"/>
          <w:sz w:val="20"/>
          <w:szCs w:val="20"/>
        </w:rPr>
        <w:t xml:space="preserve">, J., </w:t>
      </w:r>
      <w:proofErr w:type="spellStart"/>
      <w:r w:rsidRPr="00B0478C">
        <w:rPr>
          <w:rFonts w:ascii="Arial" w:eastAsia="Arial" w:hAnsi="Arial" w:cs="Arial"/>
          <w:color w:val="000000" w:themeColor="text1"/>
          <w:sz w:val="20"/>
          <w:szCs w:val="20"/>
        </w:rPr>
        <w:t>Nanyonjo</w:t>
      </w:r>
      <w:proofErr w:type="spellEnd"/>
      <w:r w:rsidRPr="00B0478C">
        <w:rPr>
          <w:rFonts w:ascii="Arial" w:eastAsia="Arial" w:hAnsi="Arial" w:cs="Arial"/>
          <w:color w:val="000000" w:themeColor="text1"/>
          <w:sz w:val="20"/>
          <w:szCs w:val="20"/>
        </w:rPr>
        <w:t xml:space="preserve">, A., </w:t>
      </w:r>
      <w:proofErr w:type="spellStart"/>
      <w:r w:rsidRPr="00B0478C">
        <w:rPr>
          <w:rFonts w:ascii="Arial" w:eastAsia="Arial" w:hAnsi="Arial" w:cs="Arial"/>
          <w:color w:val="000000" w:themeColor="text1"/>
          <w:sz w:val="20"/>
          <w:szCs w:val="20"/>
        </w:rPr>
        <w:t>Yusuff</w:t>
      </w:r>
      <w:proofErr w:type="spellEnd"/>
      <w:r w:rsidRPr="00B0478C">
        <w:rPr>
          <w:rFonts w:ascii="Arial" w:eastAsia="Arial" w:hAnsi="Arial" w:cs="Arial"/>
          <w:color w:val="000000" w:themeColor="text1"/>
          <w:sz w:val="20"/>
          <w:szCs w:val="20"/>
        </w:rPr>
        <w:t>, O., &amp; Gussy, M. (2023). Mental health professionals and telehealth in a rural setting: a cross sectional survey. </w:t>
      </w:r>
      <w:r w:rsidRPr="00B0478C">
        <w:rPr>
          <w:rFonts w:ascii="Arial" w:eastAsia="Arial" w:hAnsi="Arial" w:cs="Arial"/>
          <w:i/>
          <w:iCs/>
          <w:color w:val="000000" w:themeColor="text1"/>
          <w:sz w:val="20"/>
          <w:szCs w:val="20"/>
        </w:rPr>
        <w:t>BMC health services research</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23</w:t>
      </w:r>
      <w:r w:rsidRPr="00B0478C">
        <w:rPr>
          <w:rFonts w:ascii="Arial" w:eastAsia="Arial" w:hAnsi="Arial" w:cs="Arial"/>
          <w:color w:val="000000" w:themeColor="text1"/>
          <w:sz w:val="20"/>
          <w:szCs w:val="20"/>
        </w:rPr>
        <w:t xml:space="preserve">(1), 200. </w:t>
      </w:r>
      <w:hyperlink r:id="rId56">
        <w:r w:rsidRPr="00B0478C">
          <w:rPr>
            <w:rFonts w:ascii="Arial" w:eastAsia="Arial" w:hAnsi="Arial" w:cs="Arial"/>
            <w:color w:val="000000" w:themeColor="text1"/>
            <w:sz w:val="20"/>
            <w:szCs w:val="20"/>
            <w:u w:val="single"/>
          </w:rPr>
          <w:t>https://doi.org/10.1186/s12913-023-09083-6</w:t>
        </w:r>
      </w:hyperlink>
    </w:p>
    <w:p w14:paraId="4D37D85A"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31" w:name="_heading=h.1yvg91lpruka" w:colFirst="0" w:colLast="0"/>
      <w:bookmarkEnd w:id="31"/>
      <w:proofErr w:type="spellStart"/>
      <w:r w:rsidRPr="00B0478C">
        <w:rPr>
          <w:rFonts w:ascii="Arial" w:eastAsia="Arial" w:hAnsi="Arial" w:cs="Arial"/>
          <w:color w:val="000000" w:themeColor="text1"/>
          <w:sz w:val="20"/>
          <w:szCs w:val="20"/>
        </w:rPr>
        <w:t>Nosè</w:t>
      </w:r>
      <w:proofErr w:type="spellEnd"/>
      <w:r w:rsidRPr="00B0478C">
        <w:rPr>
          <w:rFonts w:ascii="Arial" w:eastAsia="Arial" w:hAnsi="Arial" w:cs="Arial"/>
          <w:color w:val="000000" w:themeColor="text1"/>
          <w:sz w:val="20"/>
          <w:szCs w:val="20"/>
        </w:rPr>
        <w:t xml:space="preserve">, M., </w:t>
      </w:r>
      <w:proofErr w:type="spellStart"/>
      <w:r w:rsidRPr="00B0478C">
        <w:rPr>
          <w:rFonts w:ascii="Arial" w:eastAsia="Arial" w:hAnsi="Arial" w:cs="Arial"/>
          <w:color w:val="000000" w:themeColor="text1"/>
          <w:sz w:val="20"/>
          <w:szCs w:val="20"/>
        </w:rPr>
        <w:t>Ballette</w:t>
      </w:r>
      <w:proofErr w:type="spellEnd"/>
      <w:r w:rsidRPr="00B0478C">
        <w:rPr>
          <w:rFonts w:ascii="Arial" w:eastAsia="Arial" w:hAnsi="Arial" w:cs="Arial"/>
          <w:color w:val="000000" w:themeColor="text1"/>
          <w:sz w:val="20"/>
          <w:szCs w:val="20"/>
        </w:rPr>
        <w:t xml:space="preserve">, F., </w:t>
      </w:r>
      <w:proofErr w:type="spellStart"/>
      <w:r w:rsidRPr="00B0478C">
        <w:rPr>
          <w:rFonts w:ascii="Arial" w:eastAsia="Arial" w:hAnsi="Arial" w:cs="Arial"/>
          <w:color w:val="000000" w:themeColor="text1"/>
          <w:sz w:val="20"/>
          <w:szCs w:val="20"/>
        </w:rPr>
        <w:t>Bighelli</w:t>
      </w:r>
      <w:proofErr w:type="spellEnd"/>
      <w:r w:rsidRPr="00B0478C">
        <w:rPr>
          <w:rFonts w:ascii="Arial" w:eastAsia="Arial" w:hAnsi="Arial" w:cs="Arial"/>
          <w:color w:val="000000" w:themeColor="text1"/>
          <w:sz w:val="20"/>
          <w:szCs w:val="20"/>
        </w:rPr>
        <w:t xml:space="preserve">, I., </w:t>
      </w:r>
      <w:proofErr w:type="spellStart"/>
      <w:r w:rsidRPr="00B0478C">
        <w:rPr>
          <w:rFonts w:ascii="Arial" w:eastAsia="Arial" w:hAnsi="Arial" w:cs="Arial"/>
          <w:color w:val="000000" w:themeColor="text1"/>
          <w:sz w:val="20"/>
          <w:szCs w:val="20"/>
        </w:rPr>
        <w:t>Turrini</w:t>
      </w:r>
      <w:proofErr w:type="spellEnd"/>
      <w:r w:rsidRPr="00B0478C">
        <w:rPr>
          <w:rFonts w:ascii="Arial" w:eastAsia="Arial" w:hAnsi="Arial" w:cs="Arial"/>
          <w:color w:val="000000" w:themeColor="text1"/>
          <w:sz w:val="20"/>
          <w:szCs w:val="20"/>
        </w:rPr>
        <w:t xml:space="preserve">, G., </w:t>
      </w:r>
      <w:proofErr w:type="spellStart"/>
      <w:r w:rsidRPr="00B0478C">
        <w:rPr>
          <w:rFonts w:ascii="Arial" w:eastAsia="Arial" w:hAnsi="Arial" w:cs="Arial"/>
          <w:color w:val="000000" w:themeColor="text1"/>
          <w:sz w:val="20"/>
          <w:szCs w:val="20"/>
        </w:rPr>
        <w:t>Purgato</w:t>
      </w:r>
      <w:proofErr w:type="spellEnd"/>
      <w:r w:rsidRPr="00B0478C">
        <w:rPr>
          <w:rFonts w:ascii="Arial" w:eastAsia="Arial" w:hAnsi="Arial" w:cs="Arial"/>
          <w:color w:val="000000" w:themeColor="text1"/>
          <w:sz w:val="20"/>
          <w:szCs w:val="20"/>
        </w:rPr>
        <w:t xml:space="preserve">, M., Tol, W., Priebe, S., &amp; </w:t>
      </w:r>
      <w:proofErr w:type="spellStart"/>
      <w:r w:rsidRPr="00B0478C">
        <w:rPr>
          <w:rFonts w:ascii="Arial" w:eastAsia="Arial" w:hAnsi="Arial" w:cs="Arial"/>
          <w:color w:val="000000" w:themeColor="text1"/>
          <w:sz w:val="20"/>
          <w:szCs w:val="20"/>
        </w:rPr>
        <w:t>Barbui</w:t>
      </w:r>
      <w:proofErr w:type="spellEnd"/>
      <w:r w:rsidRPr="00B0478C">
        <w:rPr>
          <w:rFonts w:ascii="Arial" w:eastAsia="Arial" w:hAnsi="Arial" w:cs="Arial"/>
          <w:color w:val="000000" w:themeColor="text1"/>
          <w:sz w:val="20"/>
          <w:szCs w:val="20"/>
        </w:rPr>
        <w:t>, C. (2017). Psychosocial interventions for post-traumatic stress disorder in refugees and asylum seekers resettled in high-income countries: Systematic review and meta-analysis. </w:t>
      </w:r>
      <w:proofErr w:type="spellStart"/>
      <w:r w:rsidRPr="00B0478C">
        <w:rPr>
          <w:rFonts w:ascii="Arial" w:eastAsia="Arial" w:hAnsi="Arial" w:cs="Arial"/>
          <w:i/>
          <w:iCs/>
          <w:color w:val="000000" w:themeColor="text1"/>
          <w:sz w:val="20"/>
          <w:szCs w:val="20"/>
        </w:rPr>
        <w:t>PloS</w:t>
      </w:r>
      <w:proofErr w:type="spellEnd"/>
      <w:r w:rsidRPr="00B0478C">
        <w:rPr>
          <w:rFonts w:ascii="Arial" w:eastAsia="Arial" w:hAnsi="Arial" w:cs="Arial"/>
          <w:i/>
          <w:iCs/>
          <w:color w:val="000000" w:themeColor="text1"/>
          <w:sz w:val="20"/>
          <w:szCs w:val="20"/>
        </w:rPr>
        <w:t xml:space="preserve"> one</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12</w:t>
      </w:r>
      <w:r w:rsidRPr="00B0478C">
        <w:rPr>
          <w:rFonts w:ascii="Arial" w:eastAsia="Arial" w:hAnsi="Arial" w:cs="Arial"/>
          <w:color w:val="000000" w:themeColor="text1"/>
          <w:sz w:val="20"/>
          <w:szCs w:val="20"/>
        </w:rPr>
        <w:t xml:space="preserve">(2), e0171030. </w:t>
      </w:r>
      <w:hyperlink r:id="rId57">
        <w:r w:rsidRPr="00B0478C">
          <w:rPr>
            <w:rFonts w:ascii="Arial" w:eastAsia="Arial" w:hAnsi="Arial" w:cs="Arial"/>
            <w:color w:val="000000" w:themeColor="text1"/>
            <w:sz w:val="20"/>
            <w:szCs w:val="20"/>
            <w:u w:val="single"/>
          </w:rPr>
          <w:t>https://doi.org/10.1371/journal.pone.0171030</w:t>
        </w:r>
      </w:hyperlink>
    </w:p>
    <w:p w14:paraId="7273E0F7"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proofErr w:type="spellStart"/>
      <w:r w:rsidRPr="00B0478C">
        <w:rPr>
          <w:rFonts w:ascii="Arial" w:eastAsia="Arial" w:hAnsi="Arial" w:cs="Arial"/>
          <w:color w:val="000000" w:themeColor="text1"/>
          <w:sz w:val="20"/>
          <w:szCs w:val="20"/>
        </w:rPr>
        <w:t>Nosè</w:t>
      </w:r>
      <w:proofErr w:type="spellEnd"/>
      <w:r w:rsidRPr="00B0478C">
        <w:rPr>
          <w:rFonts w:ascii="Arial" w:eastAsia="Arial" w:hAnsi="Arial" w:cs="Arial"/>
          <w:color w:val="000000" w:themeColor="text1"/>
          <w:sz w:val="20"/>
          <w:szCs w:val="20"/>
        </w:rPr>
        <w:t xml:space="preserve">, M., </w:t>
      </w:r>
      <w:proofErr w:type="spellStart"/>
      <w:r w:rsidRPr="00B0478C">
        <w:rPr>
          <w:rFonts w:ascii="Arial" w:eastAsia="Arial" w:hAnsi="Arial" w:cs="Arial"/>
          <w:color w:val="000000" w:themeColor="text1"/>
          <w:sz w:val="20"/>
          <w:szCs w:val="20"/>
        </w:rPr>
        <w:t>Muriago</w:t>
      </w:r>
      <w:proofErr w:type="spellEnd"/>
      <w:r w:rsidRPr="00B0478C">
        <w:rPr>
          <w:rFonts w:ascii="Arial" w:eastAsia="Arial" w:hAnsi="Arial" w:cs="Arial"/>
          <w:color w:val="000000" w:themeColor="text1"/>
          <w:sz w:val="20"/>
          <w:szCs w:val="20"/>
        </w:rPr>
        <w:t xml:space="preserve">, G., </w:t>
      </w:r>
      <w:proofErr w:type="spellStart"/>
      <w:r w:rsidRPr="00B0478C">
        <w:rPr>
          <w:rFonts w:ascii="Arial" w:eastAsia="Arial" w:hAnsi="Arial" w:cs="Arial"/>
          <w:color w:val="000000" w:themeColor="text1"/>
          <w:sz w:val="20"/>
          <w:szCs w:val="20"/>
        </w:rPr>
        <w:t>Turrini</w:t>
      </w:r>
      <w:proofErr w:type="spellEnd"/>
      <w:r w:rsidRPr="00B0478C">
        <w:rPr>
          <w:rFonts w:ascii="Arial" w:eastAsia="Arial" w:hAnsi="Arial" w:cs="Arial"/>
          <w:color w:val="000000" w:themeColor="text1"/>
          <w:sz w:val="20"/>
          <w:szCs w:val="20"/>
        </w:rPr>
        <w:t xml:space="preserve">, G., Tedeschi, F., </w:t>
      </w:r>
      <w:proofErr w:type="spellStart"/>
      <w:r w:rsidRPr="00B0478C">
        <w:rPr>
          <w:rFonts w:ascii="Arial" w:eastAsia="Arial" w:hAnsi="Arial" w:cs="Arial"/>
          <w:color w:val="000000" w:themeColor="text1"/>
          <w:sz w:val="20"/>
          <w:szCs w:val="20"/>
        </w:rPr>
        <w:t>Forlani</w:t>
      </w:r>
      <w:proofErr w:type="spellEnd"/>
      <w:r w:rsidRPr="00B0478C">
        <w:rPr>
          <w:rFonts w:ascii="Arial" w:eastAsia="Arial" w:hAnsi="Arial" w:cs="Arial"/>
          <w:color w:val="000000" w:themeColor="text1"/>
          <w:sz w:val="20"/>
          <w:szCs w:val="20"/>
        </w:rPr>
        <w:t xml:space="preserve">, O., Sartori, R., </w:t>
      </w:r>
      <w:proofErr w:type="spellStart"/>
      <w:r w:rsidRPr="00B0478C">
        <w:rPr>
          <w:rFonts w:ascii="Arial" w:eastAsia="Arial" w:hAnsi="Arial" w:cs="Arial"/>
          <w:color w:val="000000" w:themeColor="text1"/>
          <w:sz w:val="20"/>
          <w:szCs w:val="20"/>
        </w:rPr>
        <w:t>Badino</w:t>
      </w:r>
      <w:proofErr w:type="spellEnd"/>
      <w:r w:rsidRPr="00B0478C">
        <w:rPr>
          <w:rFonts w:ascii="Arial" w:eastAsia="Arial" w:hAnsi="Arial" w:cs="Arial"/>
          <w:color w:val="000000" w:themeColor="text1"/>
          <w:sz w:val="20"/>
          <w:szCs w:val="20"/>
        </w:rPr>
        <w:t xml:space="preserve">, M., &amp; </w:t>
      </w:r>
      <w:proofErr w:type="spellStart"/>
      <w:r w:rsidRPr="00B0478C">
        <w:rPr>
          <w:rFonts w:ascii="Arial" w:eastAsia="Arial" w:hAnsi="Arial" w:cs="Arial"/>
          <w:color w:val="000000" w:themeColor="text1"/>
          <w:sz w:val="20"/>
          <w:szCs w:val="20"/>
        </w:rPr>
        <w:t>Barbui</w:t>
      </w:r>
      <w:proofErr w:type="spellEnd"/>
      <w:r w:rsidRPr="00B0478C">
        <w:rPr>
          <w:rFonts w:ascii="Arial" w:eastAsia="Arial" w:hAnsi="Arial" w:cs="Arial"/>
          <w:color w:val="000000" w:themeColor="text1"/>
          <w:sz w:val="20"/>
          <w:szCs w:val="20"/>
        </w:rPr>
        <w:t xml:space="preserve">, C. (2025). Effectiveness of a self-guided digital intervention for mental health and psychological well-being in university students: Pre- and postintervention study. </w:t>
      </w:r>
      <w:r w:rsidRPr="00B0478C">
        <w:rPr>
          <w:rFonts w:ascii="Arial" w:eastAsia="Arial" w:hAnsi="Arial" w:cs="Arial"/>
          <w:i/>
          <w:iCs/>
          <w:color w:val="000000" w:themeColor="text1"/>
          <w:sz w:val="20"/>
          <w:szCs w:val="20"/>
        </w:rPr>
        <w:t>Journal of Medical Internet Research, 27</w:t>
      </w:r>
      <w:r w:rsidRPr="00B0478C">
        <w:rPr>
          <w:rFonts w:ascii="Arial" w:eastAsia="Arial" w:hAnsi="Arial" w:cs="Arial"/>
          <w:color w:val="000000" w:themeColor="text1"/>
          <w:sz w:val="20"/>
          <w:szCs w:val="20"/>
        </w:rPr>
        <w:t xml:space="preserve">, e69031. </w:t>
      </w:r>
      <w:hyperlink r:id="rId58">
        <w:r w:rsidRPr="00B0478C">
          <w:rPr>
            <w:rFonts w:ascii="Arial" w:eastAsia="Arial" w:hAnsi="Arial" w:cs="Arial"/>
            <w:color w:val="000000" w:themeColor="text1"/>
            <w:sz w:val="20"/>
            <w:szCs w:val="20"/>
            <w:u w:val="single"/>
          </w:rPr>
          <w:t>https://doi.org/10.2196/69031</w:t>
        </w:r>
      </w:hyperlink>
    </w:p>
    <w:p w14:paraId="628A4FA0"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Page, M. J., McKenzie, J. E., </w:t>
      </w:r>
      <w:proofErr w:type="spellStart"/>
      <w:r w:rsidRPr="00B0478C">
        <w:rPr>
          <w:rFonts w:ascii="Arial" w:eastAsia="Arial" w:hAnsi="Arial" w:cs="Arial"/>
          <w:color w:val="000000" w:themeColor="text1"/>
          <w:sz w:val="20"/>
          <w:szCs w:val="20"/>
        </w:rPr>
        <w:t>Bossuyt</w:t>
      </w:r>
      <w:proofErr w:type="spellEnd"/>
      <w:r w:rsidRPr="00B0478C">
        <w:rPr>
          <w:rFonts w:ascii="Arial" w:eastAsia="Arial" w:hAnsi="Arial" w:cs="Arial"/>
          <w:color w:val="000000" w:themeColor="text1"/>
          <w:sz w:val="20"/>
          <w:szCs w:val="20"/>
        </w:rPr>
        <w:t xml:space="preserve">, P. M., </w:t>
      </w:r>
      <w:proofErr w:type="spellStart"/>
      <w:r w:rsidRPr="00B0478C">
        <w:rPr>
          <w:rFonts w:ascii="Arial" w:eastAsia="Arial" w:hAnsi="Arial" w:cs="Arial"/>
          <w:color w:val="000000" w:themeColor="text1"/>
          <w:sz w:val="20"/>
          <w:szCs w:val="20"/>
        </w:rPr>
        <w:t>Boutron</w:t>
      </w:r>
      <w:proofErr w:type="spellEnd"/>
      <w:r w:rsidRPr="00B0478C">
        <w:rPr>
          <w:rFonts w:ascii="Arial" w:eastAsia="Arial" w:hAnsi="Arial" w:cs="Arial"/>
          <w:color w:val="000000" w:themeColor="text1"/>
          <w:sz w:val="20"/>
          <w:szCs w:val="20"/>
        </w:rPr>
        <w:t xml:space="preserve">, I., Hoffmann, T. C., Mulrow, C. D., </w:t>
      </w:r>
      <w:proofErr w:type="spellStart"/>
      <w:r w:rsidRPr="00B0478C">
        <w:rPr>
          <w:rFonts w:ascii="Arial" w:eastAsia="Arial" w:hAnsi="Arial" w:cs="Arial"/>
          <w:color w:val="000000" w:themeColor="text1"/>
          <w:sz w:val="20"/>
          <w:szCs w:val="20"/>
        </w:rPr>
        <w:t>Shamseer</w:t>
      </w:r>
      <w:proofErr w:type="spellEnd"/>
      <w:r w:rsidRPr="00B0478C">
        <w:rPr>
          <w:rFonts w:ascii="Arial" w:eastAsia="Arial" w:hAnsi="Arial" w:cs="Arial"/>
          <w:color w:val="000000" w:themeColor="text1"/>
          <w:sz w:val="20"/>
          <w:szCs w:val="20"/>
        </w:rPr>
        <w:t xml:space="preserve">, L., </w:t>
      </w:r>
      <w:proofErr w:type="spellStart"/>
      <w:r w:rsidRPr="00B0478C">
        <w:rPr>
          <w:rFonts w:ascii="Arial" w:eastAsia="Arial" w:hAnsi="Arial" w:cs="Arial"/>
          <w:color w:val="000000" w:themeColor="text1"/>
          <w:sz w:val="20"/>
          <w:szCs w:val="20"/>
        </w:rPr>
        <w:t>Tetzlaff</w:t>
      </w:r>
      <w:proofErr w:type="spellEnd"/>
      <w:r w:rsidRPr="00B0478C">
        <w:rPr>
          <w:rFonts w:ascii="Arial" w:eastAsia="Arial" w:hAnsi="Arial" w:cs="Arial"/>
          <w:color w:val="000000" w:themeColor="text1"/>
          <w:sz w:val="20"/>
          <w:szCs w:val="20"/>
        </w:rPr>
        <w:t xml:space="preserve">, J. M., </w:t>
      </w:r>
      <w:proofErr w:type="spellStart"/>
      <w:r w:rsidRPr="00B0478C">
        <w:rPr>
          <w:rFonts w:ascii="Arial" w:eastAsia="Arial" w:hAnsi="Arial" w:cs="Arial"/>
          <w:color w:val="000000" w:themeColor="text1"/>
          <w:sz w:val="20"/>
          <w:szCs w:val="20"/>
        </w:rPr>
        <w:t>Akl</w:t>
      </w:r>
      <w:proofErr w:type="spellEnd"/>
      <w:r w:rsidRPr="00B0478C">
        <w:rPr>
          <w:rFonts w:ascii="Arial" w:eastAsia="Arial" w:hAnsi="Arial" w:cs="Arial"/>
          <w:color w:val="000000" w:themeColor="text1"/>
          <w:sz w:val="20"/>
          <w:szCs w:val="20"/>
        </w:rPr>
        <w:t xml:space="preserve">, E. A., Brennan, S. E., Chou, R., Glanville, J., Grimshaw, J. M., </w:t>
      </w:r>
      <w:proofErr w:type="spellStart"/>
      <w:r w:rsidRPr="00B0478C">
        <w:rPr>
          <w:rFonts w:ascii="Arial" w:eastAsia="Arial" w:hAnsi="Arial" w:cs="Arial"/>
          <w:color w:val="000000" w:themeColor="text1"/>
          <w:sz w:val="20"/>
          <w:szCs w:val="20"/>
        </w:rPr>
        <w:t>Hróbjartsson</w:t>
      </w:r>
      <w:proofErr w:type="spellEnd"/>
      <w:r w:rsidRPr="00B0478C">
        <w:rPr>
          <w:rFonts w:ascii="Arial" w:eastAsia="Arial" w:hAnsi="Arial" w:cs="Arial"/>
          <w:color w:val="000000" w:themeColor="text1"/>
          <w:sz w:val="20"/>
          <w:szCs w:val="20"/>
        </w:rPr>
        <w:t xml:space="preserve">, A., </w:t>
      </w:r>
      <w:proofErr w:type="spellStart"/>
      <w:r w:rsidRPr="00B0478C">
        <w:rPr>
          <w:rFonts w:ascii="Arial" w:eastAsia="Arial" w:hAnsi="Arial" w:cs="Arial"/>
          <w:color w:val="000000" w:themeColor="text1"/>
          <w:sz w:val="20"/>
          <w:szCs w:val="20"/>
        </w:rPr>
        <w:t>Lalu</w:t>
      </w:r>
      <w:proofErr w:type="spellEnd"/>
      <w:r w:rsidRPr="00B0478C">
        <w:rPr>
          <w:rFonts w:ascii="Arial" w:eastAsia="Arial" w:hAnsi="Arial" w:cs="Arial"/>
          <w:color w:val="000000" w:themeColor="text1"/>
          <w:sz w:val="20"/>
          <w:szCs w:val="20"/>
        </w:rPr>
        <w:t xml:space="preserve">, M. M., Li, T., </w:t>
      </w:r>
      <w:proofErr w:type="spellStart"/>
      <w:r w:rsidRPr="00B0478C">
        <w:rPr>
          <w:rFonts w:ascii="Arial" w:eastAsia="Arial" w:hAnsi="Arial" w:cs="Arial"/>
          <w:color w:val="000000" w:themeColor="text1"/>
          <w:sz w:val="20"/>
          <w:szCs w:val="20"/>
        </w:rPr>
        <w:t>Loder</w:t>
      </w:r>
      <w:proofErr w:type="spellEnd"/>
      <w:r w:rsidRPr="00B0478C">
        <w:rPr>
          <w:rFonts w:ascii="Arial" w:eastAsia="Arial" w:hAnsi="Arial" w:cs="Arial"/>
          <w:color w:val="000000" w:themeColor="text1"/>
          <w:sz w:val="20"/>
          <w:szCs w:val="20"/>
        </w:rPr>
        <w:t xml:space="preserve">, E. W., Mayo-Wilson, E., McDonald, S., . . . Moher, D. (2021). The PRISMA 2020 statement: an updated guideline for reporting systematic reviews. </w:t>
      </w:r>
      <w:r w:rsidRPr="00B0478C">
        <w:rPr>
          <w:rFonts w:ascii="Arial" w:eastAsia="Arial" w:hAnsi="Arial" w:cs="Arial"/>
          <w:i/>
          <w:iCs/>
          <w:color w:val="000000" w:themeColor="text1"/>
          <w:sz w:val="20"/>
          <w:szCs w:val="20"/>
        </w:rPr>
        <w:t>Systematic Reviews</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10</w:t>
      </w:r>
      <w:r w:rsidRPr="00B0478C">
        <w:rPr>
          <w:rFonts w:ascii="Arial" w:eastAsia="Arial" w:hAnsi="Arial" w:cs="Arial"/>
          <w:color w:val="000000" w:themeColor="text1"/>
          <w:sz w:val="20"/>
          <w:szCs w:val="20"/>
        </w:rPr>
        <w:t xml:space="preserve">(1), 89. </w:t>
      </w:r>
      <w:hyperlink r:id="rId59">
        <w:r w:rsidRPr="00B0478C">
          <w:rPr>
            <w:rFonts w:ascii="Arial" w:eastAsia="Arial" w:hAnsi="Arial" w:cs="Arial"/>
            <w:color w:val="000000" w:themeColor="text1"/>
            <w:sz w:val="20"/>
            <w:szCs w:val="20"/>
            <w:u w:val="single"/>
          </w:rPr>
          <w:t>https://doi.org/10.1186/s13643-021-01626-4</w:t>
        </w:r>
      </w:hyperlink>
    </w:p>
    <w:p w14:paraId="6F1D9C8A"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32" w:name="_heading=h.mvq4kn58ck86" w:colFirst="0" w:colLast="0"/>
      <w:bookmarkEnd w:id="32"/>
      <w:r w:rsidRPr="00B0478C">
        <w:rPr>
          <w:rFonts w:ascii="Arial" w:eastAsia="Arial" w:hAnsi="Arial" w:cs="Arial"/>
          <w:color w:val="000000" w:themeColor="text1"/>
          <w:sz w:val="20"/>
          <w:szCs w:val="20"/>
        </w:rPr>
        <w:t xml:space="preserve">Poe, L. F., Brooks, N. G., </w:t>
      </w:r>
      <w:proofErr w:type="spellStart"/>
      <w:r w:rsidRPr="00B0478C">
        <w:rPr>
          <w:rFonts w:ascii="Arial" w:eastAsia="Arial" w:hAnsi="Arial" w:cs="Arial"/>
          <w:color w:val="000000" w:themeColor="text1"/>
          <w:sz w:val="20"/>
          <w:szCs w:val="20"/>
        </w:rPr>
        <w:t>Korzaan</w:t>
      </w:r>
      <w:proofErr w:type="spellEnd"/>
      <w:r w:rsidRPr="00B0478C">
        <w:rPr>
          <w:rFonts w:ascii="Arial" w:eastAsia="Arial" w:hAnsi="Arial" w:cs="Arial"/>
          <w:color w:val="000000" w:themeColor="text1"/>
          <w:sz w:val="20"/>
          <w:szCs w:val="20"/>
        </w:rPr>
        <w:t xml:space="preserve">, M., &amp; Woods, D. M. (2021). Promoting positive student outcomes: The use of reflection and planning activities with a growth-mindset focus and SMART goals. </w:t>
      </w:r>
      <w:r w:rsidRPr="00B0478C">
        <w:rPr>
          <w:rFonts w:ascii="Arial" w:eastAsia="Arial" w:hAnsi="Arial" w:cs="Arial"/>
          <w:i/>
          <w:iCs/>
          <w:color w:val="000000" w:themeColor="text1"/>
          <w:sz w:val="20"/>
          <w:szCs w:val="20"/>
        </w:rPr>
        <w:t>Information Systems Education Journal, 19</w:t>
      </w:r>
      <w:r w:rsidRPr="00B0478C">
        <w:rPr>
          <w:rFonts w:ascii="Arial" w:eastAsia="Arial" w:hAnsi="Arial" w:cs="Arial"/>
          <w:color w:val="000000" w:themeColor="text1"/>
          <w:sz w:val="20"/>
          <w:szCs w:val="20"/>
        </w:rPr>
        <w:t>(4), 13.</w:t>
      </w:r>
    </w:p>
    <w:p w14:paraId="5E0B5E28"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Prakash, R. S. (2021). Mindfulness Meditation: Impact on attentional control and emotion Dysregulation. </w:t>
      </w:r>
      <w:r w:rsidRPr="00B0478C">
        <w:rPr>
          <w:rFonts w:ascii="Arial" w:eastAsia="Arial" w:hAnsi="Arial" w:cs="Arial"/>
          <w:i/>
          <w:iCs/>
          <w:color w:val="000000" w:themeColor="text1"/>
          <w:sz w:val="20"/>
          <w:szCs w:val="20"/>
        </w:rPr>
        <w:t>pmc.ncbi.nlm.nih.gov</w:t>
      </w:r>
      <w:r w:rsidRPr="00B0478C">
        <w:rPr>
          <w:rFonts w:ascii="Arial" w:eastAsia="Arial" w:hAnsi="Arial" w:cs="Arial"/>
          <w:color w:val="000000" w:themeColor="text1"/>
          <w:sz w:val="20"/>
          <w:szCs w:val="20"/>
        </w:rPr>
        <w:t xml:space="preserve">. </w:t>
      </w:r>
      <w:hyperlink r:id="rId60">
        <w:r w:rsidRPr="00B0478C">
          <w:rPr>
            <w:rFonts w:ascii="Arial" w:eastAsia="Arial" w:hAnsi="Arial" w:cs="Arial"/>
            <w:color w:val="000000" w:themeColor="text1"/>
            <w:sz w:val="20"/>
            <w:szCs w:val="20"/>
            <w:u w:val="single"/>
          </w:rPr>
          <w:t>https://doi.org/10.1093/arclin/acab053</w:t>
        </w:r>
      </w:hyperlink>
    </w:p>
    <w:p w14:paraId="75280077"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Rafiq, S., Iqbal, S., &amp; Afzal, A. (2024). The impact of digital tools and online learning platforms on higher education learning outcomes. </w:t>
      </w:r>
      <w:r w:rsidRPr="00B0478C">
        <w:rPr>
          <w:rFonts w:ascii="Arial" w:eastAsia="Arial" w:hAnsi="Arial" w:cs="Arial"/>
          <w:i/>
          <w:iCs/>
          <w:color w:val="000000" w:themeColor="text1"/>
          <w:sz w:val="20"/>
          <w:szCs w:val="20"/>
        </w:rPr>
        <w:t>Al-Mahdi Research Journal, 5</w:t>
      </w:r>
      <w:r w:rsidRPr="00B0478C">
        <w:rPr>
          <w:rFonts w:ascii="Arial" w:eastAsia="Arial" w:hAnsi="Arial" w:cs="Arial"/>
          <w:color w:val="000000" w:themeColor="text1"/>
          <w:sz w:val="20"/>
          <w:szCs w:val="20"/>
        </w:rPr>
        <w:t xml:space="preserve">(4), 359–370. </w:t>
      </w:r>
      <w:hyperlink r:id="rId61">
        <w:r w:rsidRPr="00B0478C">
          <w:rPr>
            <w:rFonts w:ascii="Arial" w:eastAsia="Arial" w:hAnsi="Arial" w:cs="Arial"/>
            <w:color w:val="000000" w:themeColor="text1"/>
            <w:sz w:val="20"/>
            <w:szCs w:val="20"/>
            <w:u w:val="single"/>
          </w:rPr>
          <w:t>https://ojs.mrj.com.pk/index.php/MRJ/issue/view/14</w:t>
        </w:r>
      </w:hyperlink>
    </w:p>
    <w:p w14:paraId="1AA6D091"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Ramos-</w:t>
      </w:r>
      <w:proofErr w:type="spellStart"/>
      <w:r w:rsidRPr="00B0478C">
        <w:rPr>
          <w:rFonts w:ascii="Arial" w:eastAsia="Arial" w:hAnsi="Arial" w:cs="Arial"/>
          <w:color w:val="000000" w:themeColor="text1"/>
          <w:sz w:val="20"/>
          <w:szCs w:val="20"/>
        </w:rPr>
        <w:t>Monsivais</w:t>
      </w:r>
      <w:proofErr w:type="spellEnd"/>
      <w:r w:rsidRPr="00B0478C">
        <w:rPr>
          <w:rFonts w:ascii="Arial" w:eastAsia="Arial" w:hAnsi="Arial" w:cs="Arial"/>
          <w:color w:val="000000" w:themeColor="text1"/>
          <w:sz w:val="20"/>
          <w:szCs w:val="20"/>
        </w:rPr>
        <w:t xml:space="preserve">, C. L., Rodríguez-Cano, S., </w:t>
      </w:r>
      <w:proofErr w:type="spellStart"/>
      <w:r w:rsidRPr="00B0478C">
        <w:rPr>
          <w:rFonts w:ascii="Arial" w:eastAsia="Arial" w:hAnsi="Arial" w:cs="Arial"/>
          <w:color w:val="000000" w:themeColor="text1"/>
          <w:sz w:val="20"/>
          <w:szCs w:val="20"/>
        </w:rPr>
        <w:t>Lema</w:t>
      </w:r>
      <w:proofErr w:type="spellEnd"/>
      <w:r w:rsidRPr="00B0478C">
        <w:rPr>
          <w:rFonts w:ascii="Arial" w:eastAsia="Arial" w:hAnsi="Arial" w:cs="Arial"/>
          <w:color w:val="000000" w:themeColor="text1"/>
          <w:sz w:val="20"/>
          <w:szCs w:val="20"/>
        </w:rPr>
        <w:t xml:space="preserve">-Moreira, E., &amp; Delgado-Benito, V. (2024). Relationship between mental health and students’ academic performance through a literature review. </w:t>
      </w:r>
      <w:r w:rsidRPr="00B0478C">
        <w:rPr>
          <w:rFonts w:ascii="Arial" w:eastAsia="Arial" w:hAnsi="Arial" w:cs="Arial"/>
          <w:i/>
          <w:iCs/>
          <w:color w:val="000000" w:themeColor="text1"/>
          <w:sz w:val="20"/>
          <w:szCs w:val="20"/>
        </w:rPr>
        <w:t>Discover Psychology</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4</w:t>
      </w:r>
      <w:r w:rsidRPr="00B0478C">
        <w:rPr>
          <w:rFonts w:ascii="Arial" w:eastAsia="Arial" w:hAnsi="Arial" w:cs="Arial"/>
          <w:color w:val="000000" w:themeColor="text1"/>
          <w:sz w:val="20"/>
          <w:szCs w:val="20"/>
        </w:rPr>
        <w:t xml:space="preserve">(1). </w:t>
      </w:r>
      <w:hyperlink r:id="rId62">
        <w:r w:rsidRPr="00B0478C">
          <w:rPr>
            <w:rFonts w:ascii="Arial" w:eastAsia="Arial" w:hAnsi="Arial" w:cs="Arial"/>
            <w:color w:val="000000" w:themeColor="text1"/>
            <w:sz w:val="20"/>
            <w:szCs w:val="20"/>
            <w:u w:val="single"/>
          </w:rPr>
          <w:t>https://doi.org/10.1007/s44202-024-00240-4</w:t>
        </w:r>
      </w:hyperlink>
    </w:p>
    <w:p w14:paraId="0C9BFD8E"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Rashid, F., </w:t>
      </w:r>
      <w:proofErr w:type="spellStart"/>
      <w:r w:rsidRPr="00B0478C">
        <w:rPr>
          <w:rFonts w:ascii="Arial" w:eastAsia="Arial" w:hAnsi="Arial" w:cs="Arial"/>
          <w:color w:val="000000" w:themeColor="text1"/>
          <w:sz w:val="20"/>
          <w:szCs w:val="20"/>
        </w:rPr>
        <w:t>Zareen</w:t>
      </w:r>
      <w:proofErr w:type="spellEnd"/>
      <w:r w:rsidRPr="00B0478C">
        <w:rPr>
          <w:rFonts w:ascii="Arial" w:eastAsia="Arial" w:hAnsi="Arial" w:cs="Arial"/>
          <w:color w:val="000000" w:themeColor="text1"/>
          <w:sz w:val="20"/>
          <w:szCs w:val="20"/>
        </w:rPr>
        <w:t xml:space="preserve">, N., </w:t>
      </w:r>
      <w:proofErr w:type="spellStart"/>
      <w:r w:rsidRPr="00B0478C">
        <w:rPr>
          <w:rFonts w:ascii="Arial" w:eastAsia="Arial" w:hAnsi="Arial" w:cs="Arial"/>
          <w:color w:val="000000" w:themeColor="text1"/>
          <w:sz w:val="20"/>
          <w:szCs w:val="20"/>
        </w:rPr>
        <w:t>Alvi</w:t>
      </w:r>
      <w:proofErr w:type="spellEnd"/>
      <w:r w:rsidRPr="00B0478C">
        <w:rPr>
          <w:rFonts w:ascii="Arial" w:eastAsia="Arial" w:hAnsi="Arial" w:cs="Arial"/>
          <w:color w:val="000000" w:themeColor="text1"/>
          <w:sz w:val="20"/>
          <w:szCs w:val="20"/>
        </w:rPr>
        <w:t xml:space="preserve">, T., &amp; Siddiqui, H. R. (2025). Effectiveness of digital interventions on mental health and psychological well-being of college and university students. </w:t>
      </w:r>
      <w:r w:rsidRPr="00B0478C">
        <w:rPr>
          <w:rFonts w:ascii="Arial" w:eastAsia="Arial" w:hAnsi="Arial" w:cs="Arial"/>
          <w:i/>
          <w:iCs/>
          <w:color w:val="000000" w:themeColor="text1"/>
          <w:sz w:val="20"/>
          <w:szCs w:val="20"/>
        </w:rPr>
        <w:t>Pak J Med Sci, 41</w:t>
      </w:r>
      <w:r w:rsidRPr="00B0478C">
        <w:rPr>
          <w:rFonts w:ascii="Arial" w:eastAsia="Arial" w:hAnsi="Arial" w:cs="Arial"/>
          <w:color w:val="000000" w:themeColor="text1"/>
          <w:sz w:val="20"/>
          <w:szCs w:val="20"/>
        </w:rPr>
        <w:t xml:space="preserve">(9), 2667–2675. </w:t>
      </w:r>
      <w:hyperlink r:id="rId63">
        <w:r w:rsidRPr="00B0478C">
          <w:rPr>
            <w:rFonts w:ascii="Arial" w:eastAsia="Arial" w:hAnsi="Arial" w:cs="Arial"/>
            <w:color w:val="000000" w:themeColor="text1"/>
            <w:sz w:val="20"/>
            <w:szCs w:val="20"/>
            <w:u w:val="single"/>
          </w:rPr>
          <w:t>https://doi.org/10.12669/pjms.41.9.12009</w:t>
        </w:r>
      </w:hyperlink>
    </w:p>
    <w:p w14:paraId="575AF0E0"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proofErr w:type="spellStart"/>
      <w:r w:rsidRPr="00B0478C">
        <w:rPr>
          <w:rFonts w:ascii="Arial" w:eastAsia="Arial" w:hAnsi="Arial" w:cs="Arial"/>
          <w:color w:val="000000" w:themeColor="text1"/>
          <w:sz w:val="20"/>
          <w:szCs w:val="20"/>
        </w:rPr>
        <w:t>Regmi</w:t>
      </w:r>
      <w:proofErr w:type="spellEnd"/>
      <w:r w:rsidRPr="00B0478C">
        <w:rPr>
          <w:rFonts w:ascii="Arial" w:eastAsia="Arial" w:hAnsi="Arial" w:cs="Arial"/>
          <w:color w:val="000000" w:themeColor="text1"/>
          <w:sz w:val="20"/>
          <w:szCs w:val="20"/>
        </w:rPr>
        <w:t xml:space="preserve">, D., &amp; Cohen, H. L. (2025). Mindfulness and relaxation response: a strategy to mitigate burnout and enhance well-being in radiologists. </w:t>
      </w:r>
      <w:r w:rsidRPr="00B0478C">
        <w:rPr>
          <w:rFonts w:ascii="Arial" w:eastAsia="Arial" w:hAnsi="Arial" w:cs="Arial"/>
          <w:i/>
          <w:iCs/>
          <w:color w:val="000000" w:themeColor="text1"/>
          <w:sz w:val="20"/>
          <w:szCs w:val="20"/>
        </w:rPr>
        <w:t>The Egyptian Journal of Radiology and Nuclear Medicine</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56</w:t>
      </w:r>
      <w:r w:rsidRPr="00B0478C">
        <w:rPr>
          <w:rFonts w:ascii="Arial" w:eastAsia="Arial" w:hAnsi="Arial" w:cs="Arial"/>
          <w:color w:val="000000" w:themeColor="text1"/>
          <w:sz w:val="20"/>
          <w:szCs w:val="20"/>
        </w:rPr>
        <w:t xml:space="preserve">(1). </w:t>
      </w:r>
      <w:hyperlink r:id="rId64">
        <w:r w:rsidRPr="00B0478C">
          <w:rPr>
            <w:rFonts w:ascii="Arial" w:eastAsia="Arial" w:hAnsi="Arial" w:cs="Arial"/>
            <w:color w:val="000000" w:themeColor="text1"/>
            <w:sz w:val="20"/>
            <w:szCs w:val="20"/>
            <w:u w:val="single"/>
          </w:rPr>
          <w:t>https://doi.org/10.1186/s43055-025-01571-5</w:t>
        </w:r>
      </w:hyperlink>
    </w:p>
    <w:p w14:paraId="56D7955E"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33" w:name="_heading=h.cd7fjrtgidgn" w:colFirst="0" w:colLast="0"/>
      <w:bookmarkEnd w:id="33"/>
      <w:proofErr w:type="spellStart"/>
      <w:r w:rsidRPr="00B0478C">
        <w:rPr>
          <w:rFonts w:ascii="Arial" w:eastAsia="Arial" w:hAnsi="Arial" w:cs="Arial"/>
          <w:color w:val="000000" w:themeColor="text1"/>
          <w:sz w:val="20"/>
          <w:szCs w:val="20"/>
        </w:rPr>
        <w:t>Rezai</w:t>
      </w:r>
      <w:proofErr w:type="spellEnd"/>
      <w:r w:rsidRPr="00B0478C">
        <w:rPr>
          <w:rFonts w:ascii="Arial" w:eastAsia="Arial" w:hAnsi="Arial" w:cs="Arial"/>
          <w:color w:val="000000" w:themeColor="text1"/>
          <w:sz w:val="20"/>
          <w:szCs w:val="20"/>
        </w:rPr>
        <w:t xml:space="preserve">, A., Ahmadi, R., </w:t>
      </w:r>
      <w:proofErr w:type="spellStart"/>
      <w:r w:rsidRPr="00B0478C">
        <w:rPr>
          <w:rFonts w:ascii="Arial" w:eastAsia="Arial" w:hAnsi="Arial" w:cs="Arial"/>
          <w:color w:val="000000" w:themeColor="text1"/>
          <w:sz w:val="20"/>
          <w:szCs w:val="20"/>
        </w:rPr>
        <w:t>Ashkani</w:t>
      </w:r>
      <w:proofErr w:type="spellEnd"/>
      <w:r w:rsidRPr="00B0478C">
        <w:rPr>
          <w:rFonts w:ascii="Arial" w:eastAsia="Arial" w:hAnsi="Arial" w:cs="Arial"/>
          <w:color w:val="000000" w:themeColor="text1"/>
          <w:sz w:val="20"/>
          <w:szCs w:val="20"/>
        </w:rPr>
        <w:t xml:space="preserve">, P., &amp; Hosseini, G. H. (2025). Implementing active learning approach to promote motivation, reduce anxiety, and shape positive attitudes: A case study of EFL learners. </w:t>
      </w:r>
      <w:r w:rsidRPr="00B0478C">
        <w:rPr>
          <w:rFonts w:ascii="Arial" w:eastAsia="Arial" w:hAnsi="Arial" w:cs="Arial"/>
          <w:i/>
          <w:iCs/>
          <w:color w:val="000000" w:themeColor="text1"/>
          <w:sz w:val="20"/>
          <w:szCs w:val="20"/>
        </w:rPr>
        <w:t xml:space="preserve">Acta </w:t>
      </w:r>
      <w:proofErr w:type="spellStart"/>
      <w:r w:rsidRPr="00B0478C">
        <w:rPr>
          <w:rFonts w:ascii="Arial" w:eastAsia="Arial" w:hAnsi="Arial" w:cs="Arial"/>
          <w:i/>
          <w:iCs/>
          <w:color w:val="000000" w:themeColor="text1"/>
          <w:sz w:val="20"/>
          <w:szCs w:val="20"/>
        </w:rPr>
        <w:t>Psychologica</w:t>
      </w:r>
      <w:proofErr w:type="spellEnd"/>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253</w:t>
      </w:r>
      <w:r w:rsidRPr="00B0478C">
        <w:rPr>
          <w:rFonts w:ascii="Arial" w:eastAsia="Arial" w:hAnsi="Arial" w:cs="Arial"/>
          <w:color w:val="000000" w:themeColor="text1"/>
          <w:sz w:val="20"/>
          <w:szCs w:val="20"/>
        </w:rPr>
        <w:t xml:space="preserve">, 104704. </w:t>
      </w:r>
      <w:hyperlink r:id="rId65">
        <w:r w:rsidRPr="00B0478C">
          <w:rPr>
            <w:rFonts w:ascii="Arial" w:eastAsia="Arial" w:hAnsi="Arial" w:cs="Arial"/>
            <w:color w:val="000000" w:themeColor="text1"/>
            <w:sz w:val="20"/>
            <w:szCs w:val="20"/>
            <w:u w:val="single"/>
          </w:rPr>
          <w:t>https://doi.org/10.1016/j.actpsy.2025.104704</w:t>
        </w:r>
      </w:hyperlink>
    </w:p>
    <w:p w14:paraId="278A28BE"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34" w:name="_heading=h.a70lgu699a5y" w:colFirst="0" w:colLast="0"/>
      <w:bookmarkEnd w:id="34"/>
      <w:proofErr w:type="spellStart"/>
      <w:r w:rsidRPr="00B0478C">
        <w:rPr>
          <w:rFonts w:ascii="Arial" w:eastAsia="Arial" w:hAnsi="Arial" w:cs="Arial"/>
          <w:color w:val="000000" w:themeColor="text1"/>
          <w:sz w:val="20"/>
          <w:szCs w:val="20"/>
        </w:rPr>
        <w:t>Riboldi</w:t>
      </w:r>
      <w:proofErr w:type="spellEnd"/>
      <w:r w:rsidRPr="00B0478C">
        <w:rPr>
          <w:rFonts w:ascii="Arial" w:eastAsia="Arial" w:hAnsi="Arial" w:cs="Arial"/>
          <w:color w:val="000000" w:themeColor="text1"/>
          <w:sz w:val="20"/>
          <w:szCs w:val="20"/>
        </w:rPr>
        <w:t xml:space="preserve">, I., Calabrese, A., </w:t>
      </w:r>
      <w:proofErr w:type="spellStart"/>
      <w:r w:rsidRPr="00B0478C">
        <w:rPr>
          <w:rFonts w:ascii="Arial" w:eastAsia="Arial" w:hAnsi="Arial" w:cs="Arial"/>
          <w:color w:val="000000" w:themeColor="text1"/>
          <w:sz w:val="20"/>
          <w:szCs w:val="20"/>
        </w:rPr>
        <w:t>Piacenti</w:t>
      </w:r>
      <w:proofErr w:type="spellEnd"/>
      <w:r w:rsidRPr="00B0478C">
        <w:rPr>
          <w:rFonts w:ascii="Arial" w:eastAsia="Arial" w:hAnsi="Arial" w:cs="Arial"/>
          <w:color w:val="000000" w:themeColor="text1"/>
          <w:sz w:val="20"/>
          <w:szCs w:val="20"/>
        </w:rPr>
        <w:t xml:space="preserve">, S., </w:t>
      </w:r>
      <w:proofErr w:type="spellStart"/>
      <w:r w:rsidRPr="00B0478C">
        <w:rPr>
          <w:rFonts w:ascii="Arial" w:eastAsia="Arial" w:hAnsi="Arial" w:cs="Arial"/>
          <w:color w:val="000000" w:themeColor="text1"/>
          <w:sz w:val="20"/>
          <w:szCs w:val="20"/>
        </w:rPr>
        <w:t>Capogrosso</w:t>
      </w:r>
      <w:proofErr w:type="spellEnd"/>
      <w:r w:rsidRPr="00B0478C">
        <w:rPr>
          <w:rFonts w:ascii="Arial" w:eastAsia="Arial" w:hAnsi="Arial" w:cs="Arial"/>
          <w:color w:val="000000" w:themeColor="text1"/>
          <w:sz w:val="20"/>
          <w:szCs w:val="20"/>
        </w:rPr>
        <w:t xml:space="preserve">, C. A., </w:t>
      </w:r>
      <w:proofErr w:type="spellStart"/>
      <w:r w:rsidRPr="00B0478C">
        <w:rPr>
          <w:rFonts w:ascii="Arial" w:eastAsia="Arial" w:hAnsi="Arial" w:cs="Arial"/>
          <w:color w:val="000000" w:themeColor="text1"/>
          <w:sz w:val="20"/>
          <w:szCs w:val="20"/>
        </w:rPr>
        <w:t>Paioni</w:t>
      </w:r>
      <w:proofErr w:type="spellEnd"/>
      <w:r w:rsidRPr="00B0478C">
        <w:rPr>
          <w:rFonts w:ascii="Arial" w:eastAsia="Arial" w:hAnsi="Arial" w:cs="Arial"/>
          <w:color w:val="000000" w:themeColor="text1"/>
          <w:sz w:val="20"/>
          <w:szCs w:val="20"/>
        </w:rPr>
        <w:t xml:space="preserve">, S. L., Bartoli, F., </w:t>
      </w:r>
      <w:proofErr w:type="spellStart"/>
      <w:r w:rsidRPr="00B0478C">
        <w:rPr>
          <w:rFonts w:ascii="Arial" w:eastAsia="Arial" w:hAnsi="Arial" w:cs="Arial"/>
          <w:color w:val="000000" w:themeColor="text1"/>
          <w:sz w:val="20"/>
          <w:szCs w:val="20"/>
        </w:rPr>
        <w:t>Carrà</w:t>
      </w:r>
      <w:proofErr w:type="spellEnd"/>
      <w:r w:rsidRPr="00B0478C">
        <w:rPr>
          <w:rFonts w:ascii="Arial" w:eastAsia="Arial" w:hAnsi="Arial" w:cs="Arial"/>
          <w:color w:val="000000" w:themeColor="text1"/>
          <w:sz w:val="20"/>
          <w:szCs w:val="20"/>
        </w:rPr>
        <w:t xml:space="preserve">, G., </w:t>
      </w:r>
      <w:proofErr w:type="spellStart"/>
      <w:r w:rsidRPr="00B0478C">
        <w:rPr>
          <w:rFonts w:ascii="Arial" w:eastAsia="Arial" w:hAnsi="Arial" w:cs="Arial"/>
          <w:color w:val="000000" w:themeColor="text1"/>
          <w:sz w:val="20"/>
          <w:szCs w:val="20"/>
        </w:rPr>
        <w:t>Armes</w:t>
      </w:r>
      <w:proofErr w:type="spellEnd"/>
      <w:r w:rsidRPr="00B0478C">
        <w:rPr>
          <w:rFonts w:ascii="Arial" w:eastAsia="Arial" w:hAnsi="Arial" w:cs="Arial"/>
          <w:color w:val="000000" w:themeColor="text1"/>
          <w:sz w:val="20"/>
          <w:szCs w:val="20"/>
        </w:rPr>
        <w:t xml:space="preserve">, J., Taylor, C., &amp; </w:t>
      </w:r>
      <w:proofErr w:type="spellStart"/>
      <w:r w:rsidRPr="00B0478C">
        <w:rPr>
          <w:rFonts w:ascii="Arial" w:eastAsia="Arial" w:hAnsi="Arial" w:cs="Arial"/>
          <w:color w:val="000000" w:themeColor="text1"/>
          <w:sz w:val="20"/>
          <w:szCs w:val="20"/>
        </w:rPr>
        <w:t>Crocamo</w:t>
      </w:r>
      <w:proofErr w:type="spellEnd"/>
      <w:r w:rsidRPr="00B0478C">
        <w:rPr>
          <w:rFonts w:ascii="Arial" w:eastAsia="Arial" w:hAnsi="Arial" w:cs="Arial"/>
          <w:color w:val="000000" w:themeColor="text1"/>
          <w:sz w:val="20"/>
          <w:szCs w:val="20"/>
        </w:rPr>
        <w:t>, C. (2024). Understanding University Students' Perspectives towards Digital Tools for Mental Health Support: A Cross-country Study. </w:t>
      </w:r>
      <w:r w:rsidRPr="00B0478C">
        <w:rPr>
          <w:rFonts w:ascii="Arial" w:eastAsia="Arial" w:hAnsi="Arial" w:cs="Arial"/>
          <w:i/>
          <w:iCs/>
          <w:color w:val="000000" w:themeColor="text1"/>
          <w:sz w:val="20"/>
          <w:szCs w:val="20"/>
        </w:rPr>
        <w:t xml:space="preserve">Clinical practice and epidemiology in mental </w:t>
      </w:r>
      <w:proofErr w:type="gramStart"/>
      <w:r w:rsidRPr="00B0478C">
        <w:rPr>
          <w:rFonts w:ascii="Arial" w:eastAsia="Arial" w:hAnsi="Arial" w:cs="Arial"/>
          <w:i/>
          <w:iCs/>
          <w:color w:val="000000" w:themeColor="text1"/>
          <w:sz w:val="20"/>
          <w:szCs w:val="20"/>
        </w:rPr>
        <w:t>health :</w:t>
      </w:r>
      <w:proofErr w:type="gramEnd"/>
      <w:r w:rsidRPr="00B0478C">
        <w:rPr>
          <w:rFonts w:ascii="Arial" w:eastAsia="Arial" w:hAnsi="Arial" w:cs="Arial"/>
          <w:i/>
          <w:iCs/>
          <w:color w:val="000000" w:themeColor="text1"/>
          <w:sz w:val="20"/>
          <w:szCs w:val="20"/>
        </w:rPr>
        <w:t xml:space="preserve"> CP &amp; EMH</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20</w:t>
      </w:r>
      <w:r w:rsidRPr="00B0478C">
        <w:rPr>
          <w:rFonts w:ascii="Arial" w:eastAsia="Arial" w:hAnsi="Arial" w:cs="Arial"/>
          <w:color w:val="000000" w:themeColor="text1"/>
          <w:sz w:val="20"/>
          <w:szCs w:val="20"/>
        </w:rPr>
        <w:t xml:space="preserve">, e17450179271467. </w:t>
      </w:r>
      <w:hyperlink r:id="rId66">
        <w:r w:rsidRPr="00B0478C">
          <w:rPr>
            <w:rFonts w:ascii="Arial" w:eastAsia="Arial" w:hAnsi="Arial" w:cs="Arial"/>
            <w:color w:val="000000" w:themeColor="text1"/>
            <w:sz w:val="20"/>
            <w:szCs w:val="20"/>
            <w:u w:val="single"/>
          </w:rPr>
          <w:t>https://doi.org/10.2174/0117450179271467231231060255</w:t>
        </w:r>
      </w:hyperlink>
    </w:p>
    <w:p w14:paraId="7A49C295"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35" w:name="_heading=h.esu3u35uwo5w" w:colFirst="0" w:colLast="0"/>
      <w:bookmarkEnd w:id="35"/>
      <w:proofErr w:type="spellStart"/>
      <w:r w:rsidRPr="00B0478C">
        <w:rPr>
          <w:rFonts w:ascii="Arial" w:eastAsia="Arial" w:hAnsi="Arial" w:cs="Arial"/>
          <w:color w:val="000000" w:themeColor="text1"/>
          <w:sz w:val="20"/>
          <w:szCs w:val="20"/>
        </w:rPr>
        <w:lastRenderedPageBreak/>
        <w:t>Riboldi</w:t>
      </w:r>
      <w:proofErr w:type="spellEnd"/>
      <w:r w:rsidRPr="00B0478C">
        <w:rPr>
          <w:rFonts w:ascii="Arial" w:eastAsia="Arial" w:hAnsi="Arial" w:cs="Arial"/>
          <w:color w:val="000000" w:themeColor="text1"/>
          <w:sz w:val="20"/>
          <w:szCs w:val="20"/>
        </w:rPr>
        <w:t xml:space="preserve">, I., Calabrese, A., </w:t>
      </w:r>
      <w:proofErr w:type="spellStart"/>
      <w:r w:rsidRPr="00B0478C">
        <w:rPr>
          <w:rFonts w:ascii="Arial" w:eastAsia="Arial" w:hAnsi="Arial" w:cs="Arial"/>
          <w:color w:val="000000" w:themeColor="text1"/>
          <w:sz w:val="20"/>
          <w:szCs w:val="20"/>
        </w:rPr>
        <w:t>Piacenti</w:t>
      </w:r>
      <w:proofErr w:type="spellEnd"/>
      <w:r w:rsidRPr="00B0478C">
        <w:rPr>
          <w:rFonts w:ascii="Arial" w:eastAsia="Arial" w:hAnsi="Arial" w:cs="Arial"/>
          <w:color w:val="000000" w:themeColor="text1"/>
          <w:sz w:val="20"/>
          <w:szCs w:val="20"/>
        </w:rPr>
        <w:t xml:space="preserve">, S., </w:t>
      </w:r>
      <w:proofErr w:type="spellStart"/>
      <w:r w:rsidRPr="00B0478C">
        <w:rPr>
          <w:rFonts w:ascii="Arial" w:eastAsia="Arial" w:hAnsi="Arial" w:cs="Arial"/>
          <w:color w:val="000000" w:themeColor="text1"/>
          <w:sz w:val="20"/>
          <w:szCs w:val="20"/>
        </w:rPr>
        <w:t>Capogrosso</w:t>
      </w:r>
      <w:proofErr w:type="spellEnd"/>
      <w:r w:rsidRPr="00B0478C">
        <w:rPr>
          <w:rFonts w:ascii="Arial" w:eastAsia="Arial" w:hAnsi="Arial" w:cs="Arial"/>
          <w:color w:val="000000" w:themeColor="text1"/>
          <w:sz w:val="20"/>
          <w:szCs w:val="20"/>
        </w:rPr>
        <w:t xml:space="preserve">, C. A., </w:t>
      </w:r>
      <w:proofErr w:type="spellStart"/>
      <w:r w:rsidRPr="00B0478C">
        <w:rPr>
          <w:rFonts w:ascii="Arial" w:eastAsia="Arial" w:hAnsi="Arial" w:cs="Arial"/>
          <w:color w:val="000000" w:themeColor="text1"/>
          <w:sz w:val="20"/>
          <w:szCs w:val="20"/>
        </w:rPr>
        <w:t>Paioni</w:t>
      </w:r>
      <w:proofErr w:type="spellEnd"/>
      <w:r w:rsidRPr="00B0478C">
        <w:rPr>
          <w:rFonts w:ascii="Arial" w:eastAsia="Arial" w:hAnsi="Arial" w:cs="Arial"/>
          <w:color w:val="000000" w:themeColor="text1"/>
          <w:sz w:val="20"/>
          <w:szCs w:val="20"/>
        </w:rPr>
        <w:t xml:space="preserve">, S. L., Bartoli, F., </w:t>
      </w:r>
      <w:proofErr w:type="spellStart"/>
      <w:r w:rsidRPr="00B0478C">
        <w:rPr>
          <w:rFonts w:ascii="Arial" w:eastAsia="Arial" w:hAnsi="Arial" w:cs="Arial"/>
          <w:color w:val="000000" w:themeColor="text1"/>
          <w:sz w:val="20"/>
          <w:szCs w:val="20"/>
        </w:rPr>
        <w:t>Carrà</w:t>
      </w:r>
      <w:proofErr w:type="spellEnd"/>
      <w:r w:rsidRPr="00B0478C">
        <w:rPr>
          <w:rFonts w:ascii="Arial" w:eastAsia="Arial" w:hAnsi="Arial" w:cs="Arial"/>
          <w:color w:val="000000" w:themeColor="text1"/>
          <w:sz w:val="20"/>
          <w:szCs w:val="20"/>
        </w:rPr>
        <w:t xml:space="preserve">, G., </w:t>
      </w:r>
      <w:proofErr w:type="spellStart"/>
      <w:r w:rsidRPr="00B0478C">
        <w:rPr>
          <w:rFonts w:ascii="Arial" w:eastAsia="Arial" w:hAnsi="Arial" w:cs="Arial"/>
          <w:color w:val="000000" w:themeColor="text1"/>
          <w:sz w:val="20"/>
          <w:szCs w:val="20"/>
        </w:rPr>
        <w:t>Armes</w:t>
      </w:r>
      <w:proofErr w:type="spellEnd"/>
      <w:r w:rsidRPr="00B0478C">
        <w:rPr>
          <w:rFonts w:ascii="Arial" w:eastAsia="Arial" w:hAnsi="Arial" w:cs="Arial"/>
          <w:color w:val="000000" w:themeColor="text1"/>
          <w:sz w:val="20"/>
          <w:szCs w:val="20"/>
        </w:rPr>
        <w:t xml:space="preserve">, J., Taylor, C., &amp; </w:t>
      </w:r>
      <w:proofErr w:type="spellStart"/>
      <w:r w:rsidRPr="00B0478C">
        <w:rPr>
          <w:rFonts w:ascii="Arial" w:eastAsia="Arial" w:hAnsi="Arial" w:cs="Arial"/>
          <w:color w:val="000000" w:themeColor="text1"/>
          <w:sz w:val="20"/>
          <w:szCs w:val="20"/>
        </w:rPr>
        <w:t>Crocamo</w:t>
      </w:r>
      <w:proofErr w:type="spellEnd"/>
      <w:r w:rsidRPr="00B0478C">
        <w:rPr>
          <w:rFonts w:ascii="Arial" w:eastAsia="Arial" w:hAnsi="Arial" w:cs="Arial"/>
          <w:color w:val="000000" w:themeColor="text1"/>
          <w:sz w:val="20"/>
          <w:szCs w:val="20"/>
        </w:rPr>
        <w:t>, C. (2024). Understanding University Students' Perspectives towards Digital Tools for Mental Health Support: A Cross-country Study. </w:t>
      </w:r>
      <w:r w:rsidRPr="00B0478C">
        <w:rPr>
          <w:rFonts w:ascii="Arial" w:eastAsia="Arial" w:hAnsi="Arial" w:cs="Arial"/>
          <w:i/>
          <w:iCs/>
          <w:color w:val="000000" w:themeColor="text1"/>
          <w:sz w:val="20"/>
          <w:szCs w:val="20"/>
        </w:rPr>
        <w:t xml:space="preserve">Clinical practice and epidemiology in mental </w:t>
      </w:r>
      <w:proofErr w:type="gramStart"/>
      <w:r w:rsidRPr="00B0478C">
        <w:rPr>
          <w:rFonts w:ascii="Arial" w:eastAsia="Arial" w:hAnsi="Arial" w:cs="Arial"/>
          <w:i/>
          <w:iCs/>
          <w:color w:val="000000" w:themeColor="text1"/>
          <w:sz w:val="20"/>
          <w:szCs w:val="20"/>
        </w:rPr>
        <w:t>health :</w:t>
      </w:r>
      <w:proofErr w:type="gramEnd"/>
      <w:r w:rsidRPr="00B0478C">
        <w:rPr>
          <w:rFonts w:ascii="Arial" w:eastAsia="Arial" w:hAnsi="Arial" w:cs="Arial"/>
          <w:i/>
          <w:iCs/>
          <w:color w:val="000000" w:themeColor="text1"/>
          <w:sz w:val="20"/>
          <w:szCs w:val="20"/>
        </w:rPr>
        <w:t xml:space="preserve"> CP &amp; EMH</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20</w:t>
      </w:r>
      <w:r w:rsidRPr="00B0478C">
        <w:rPr>
          <w:rFonts w:ascii="Arial" w:eastAsia="Arial" w:hAnsi="Arial" w:cs="Arial"/>
          <w:color w:val="000000" w:themeColor="text1"/>
          <w:sz w:val="20"/>
          <w:szCs w:val="20"/>
        </w:rPr>
        <w:t xml:space="preserve">, e17450179271467. </w:t>
      </w:r>
      <w:hyperlink r:id="rId67">
        <w:r w:rsidRPr="00B0478C">
          <w:rPr>
            <w:rFonts w:ascii="Arial" w:eastAsia="Arial" w:hAnsi="Arial" w:cs="Arial"/>
            <w:color w:val="000000" w:themeColor="text1"/>
            <w:sz w:val="20"/>
            <w:szCs w:val="20"/>
            <w:u w:val="single"/>
          </w:rPr>
          <w:t>https://doi.org/10.2174/0117450179271467231231060255</w:t>
        </w:r>
      </w:hyperlink>
    </w:p>
    <w:p w14:paraId="7ABACBDB"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36" w:name="_heading=h.qcfcig4bc5dh" w:colFirst="0" w:colLast="0"/>
      <w:bookmarkEnd w:id="36"/>
      <w:proofErr w:type="spellStart"/>
      <w:r w:rsidRPr="00B0478C">
        <w:rPr>
          <w:rFonts w:ascii="Arial" w:eastAsia="Arial" w:hAnsi="Arial" w:cs="Arial"/>
          <w:color w:val="000000" w:themeColor="text1"/>
          <w:sz w:val="20"/>
          <w:szCs w:val="20"/>
        </w:rPr>
        <w:t>Rožman</w:t>
      </w:r>
      <w:proofErr w:type="spellEnd"/>
      <w:r w:rsidRPr="00B0478C">
        <w:rPr>
          <w:rFonts w:ascii="Arial" w:eastAsia="Arial" w:hAnsi="Arial" w:cs="Arial"/>
          <w:color w:val="000000" w:themeColor="text1"/>
          <w:sz w:val="20"/>
          <w:szCs w:val="20"/>
        </w:rPr>
        <w:t xml:space="preserve">, M., </w:t>
      </w:r>
      <w:proofErr w:type="spellStart"/>
      <w:r w:rsidRPr="00B0478C">
        <w:rPr>
          <w:rFonts w:ascii="Arial" w:eastAsia="Arial" w:hAnsi="Arial" w:cs="Arial"/>
          <w:color w:val="000000" w:themeColor="text1"/>
          <w:sz w:val="20"/>
          <w:szCs w:val="20"/>
        </w:rPr>
        <w:t>Vrečko</w:t>
      </w:r>
      <w:proofErr w:type="spellEnd"/>
      <w:r w:rsidRPr="00B0478C">
        <w:rPr>
          <w:rFonts w:ascii="Arial" w:eastAsia="Arial" w:hAnsi="Arial" w:cs="Arial"/>
          <w:color w:val="000000" w:themeColor="text1"/>
          <w:sz w:val="20"/>
          <w:szCs w:val="20"/>
        </w:rPr>
        <w:t xml:space="preserve">, I., &amp; </w:t>
      </w:r>
      <w:proofErr w:type="spellStart"/>
      <w:r w:rsidRPr="00B0478C">
        <w:rPr>
          <w:rFonts w:ascii="Arial" w:eastAsia="Arial" w:hAnsi="Arial" w:cs="Arial"/>
          <w:color w:val="000000" w:themeColor="text1"/>
          <w:sz w:val="20"/>
          <w:szCs w:val="20"/>
        </w:rPr>
        <w:t>Tominc</w:t>
      </w:r>
      <w:proofErr w:type="spellEnd"/>
      <w:r w:rsidRPr="00B0478C">
        <w:rPr>
          <w:rFonts w:ascii="Arial" w:eastAsia="Arial" w:hAnsi="Arial" w:cs="Arial"/>
          <w:color w:val="000000" w:themeColor="text1"/>
          <w:sz w:val="20"/>
          <w:szCs w:val="20"/>
        </w:rPr>
        <w:t>, P. (2025). Psychological Factors Impacting Academic Performance Among Business Studies’ Students. </w:t>
      </w:r>
      <w:r w:rsidRPr="00B0478C">
        <w:rPr>
          <w:rFonts w:ascii="Arial" w:eastAsia="Arial" w:hAnsi="Arial" w:cs="Arial"/>
          <w:i/>
          <w:iCs/>
          <w:color w:val="000000" w:themeColor="text1"/>
          <w:sz w:val="20"/>
          <w:szCs w:val="20"/>
        </w:rPr>
        <w:t>Education Sciences</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15</w:t>
      </w:r>
      <w:r w:rsidRPr="00B0478C">
        <w:rPr>
          <w:rFonts w:ascii="Arial" w:eastAsia="Arial" w:hAnsi="Arial" w:cs="Arial"/>
          <w:color w:val="000000" w:themeColor="text1"/>
          <w:sz w:val="20"/>
          <w:szCs w:val="20"/>
        </w:rPr>
        <w:t xml:space="preserve">(2), 121. </w:t>
      </w:r>
      <w:hyperlink r:id="rId68">
        <w:r w:rsidRPr="00B0478C">
          <w:rPr>
            <w:rFonts w:ascii="Arial" w:eastAsia="Arial" w:hAnsi="Arial" w:cs="Arial"/>
            <w:color w:val="000000" w:themeColor="text1"/>
            <w:sz w:val="20"/>
            <w:szCs w:val="20"/>
            <w:u w:val="single"/>
          </w:rPr>
          <w:t>https://doi.org/10.3390/educsci15020121</w:t>
        </w:r>
      </w:hyperlink>
    </w:p>
    <w:p w14:paraId="6B2B88F7"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proofErr w:type="spellStart"/>
      <w:r w:rsidRPr="00B0478C">
        <w:rPr>
          <w:rFonts w:ascii="Arial" w:eastAsia="Arial" w:hAnsi="Arial" w:cs="Arial"/>
          <w:color w:val="000000" w:themeColor="text1"/>
          <w:sz w:val="20"/>
          <w:szCs w:val="20"/>
        </w:rPr>
        <w:t>Sarafraz</w:t>
      </w:r>
      <w:proofErr w:type="spellEnd"/>
      <w:r w:rsidRPr="00B0478C">
        <w:rPr>
          <w:rFonts w:ascii="Arial" w:eastAsia="Arial" w:hAnsi="Arial" w:cs="Arial"/>
          <w:color w:val="000000" w:themeColor="text1"/>
          <w:sz w:val="20"/>
          <w:szCs w:val="20"/>
        </w:rPr>
        <w:t xml:space="preserve">, M. R., </w:t>
      </w:r>
      <w:proofErr w:type="spellStart"/>
      <w:r w:rsidRPr="00B0478C">
        <w:rPr>
          <w:rFonts w:ascii="Arial" w:eastAsia="Arial" w:hAnsi="Arial" w:cs="Arial"/>
          <w:color w:val="000000" w:themeColor="text1"/>
          <w:sz w:val="20"/>
          <w:szCs w:val="20"/>
        </w:rPr>
        <w:t>Chavoshi</w:t>
      </w:r>
      <w:proofErr w:type="spellEnd"/>
      <w:r w:rsidRPr="00B0478C">
        <w:rPr>
          <w:rFonts w:ascii="Arial" w:eastAsia="Arial" w:hAnsi="Arial" w:cs="Arial"/>
          <w:color w:val="000000" w:themeColor="text1"/>
          <w:sz w:val="20"/>
          <w:szCs w:val="20"/>
        </w:rPr>
        <w:t xml:space="preserve">, H., &amp; </w:t>
      </w:r>
      <w:proofErr w:type="spellStart"/>
      <w:r w:rsidRPr="00B0478C">
        <w:rPr>
          <w:rFonts w:ascii="Arial" w:eastAsia="Arial" w:hAnsi="Arial" w:cs="Arial"/>
          <w:color w:val="000000" w:themeColor="text1"/>
          <w:sz w:val="20"/>
          <w:szCs w:val="20"/>
        </w:rPr>
        <w:t>Alinaghi</w:t>
      </w:r>
      <w:proofErr w:type="spellEnd"/>
      <w:r w:rsidRPr="00B0478C">
        <w:rPr>
          <w:rFonts w:ascii="Arial" w:eastAsia="Arial" w:hAnsi="Arial" w:cs="Arial"/>
          <w:color w:val="000000" w:themeColor="text1"/>
          <w:sz w:val="20"/>
          <w:szCs w:val="20"/>
        </w:rPr>
        <w:t xml:space="preserve">, M. (2019). Social networks and students: Educational performance, psychological well-being, and mental health. </w:t>
      </w:r>
      <w:r w:rsidRPr="00B0478C">
        <w:rPr>
          <w:rFonts w:ascii="Arial" w:eastAsia="Arial" w:hAnsi="Arial" w:cs="Arial"/>
          <w:i/>
          <w:iCs/>
          <w:color w:val="000000" w:themeColor="text1"/>
          <w:sz w:val="20"/>
          <w:szCs w:val="20"/>
        </w:rPr>
        <w:t>International Journal of School Health, 6</w:t>
      </w:r>
      <w:r w:rsidRPr="00B0478C">
        <w:rPr>
          <w:rFonts w:ascii="Arial" w:eastAsia="Arial" w:hAnsi="Arial" w:cs="Arial"/>
          <w:color w:val="000000" w:themeColor="text1"/>
          <w:sz w:val="20"/>
          <w:szCs w:val="20"/>
        </w:rPr>
        <w:t xml:space="preserve">(3), e82609. </w:t>
      </w:r>
      <w:hyperlink r:id="rId69">
        <w:r w:rsidRPr="00B0478C">
          <w:rPr>
            <w:rFonts w:ascii="Arial" w:eastAsia="Arial" w:hAnsi="Arial" w:cs="Arial"/>
            <w:color w:val="000000" w:themeColor="text1"/>
            <w:sz w:val="20"/>
            <w:szCs w:val="20"/>
            <w:u w:val="single"/>
          </w:rPr>
          <w:t>https://doi.org/10.5812/intjsh.82609</w:t>
        </w:r>
      </w:hyperlink>
    </w:p>
    <w:p w14:paraId="0032680A"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Schippers, M. C., &amp; Ziegler, N. (2019). Life Crafting as a Way to Find Purpose and Meaning in Life. </w:t>
      </w:r>
      <w:r w:rsidRPr="00B0478C">
        <w:rPr>
          <w:rFonts w:ascii="Arial" w:eastAsia="Arial" w:hAnsi="Arial" w:cs="Arial"/>
          <w:i/>
          <w:iCs/>
          <w:color w:val="000000" w:themeColor="text1"/>
          <w:sz w:val="20"/>
          <w:szCs w:val="20"/>
        </w:rPr>
        <w:t>Frontiers in psychology</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10</w:t>
      </w:r>
      <w:r w:rsidRPr="00B0478C">
        <w:rPr>
          <w:rFonts w:ascii="Arial" w:eastAsia="Arial" w:hAnsi="Arial" w:cs="Arial"/>
          <w:color w:val="000000" w:themeColor="text1"/>
          <w:sz w:val="20"/>
          <w:szCs w:val="20"/>
        </w:rPr>
        <w:t xml:space="preserve">, 2778. </w:t>
      </w:r>
      <w:hyperlink r:id="rId70">
        <w:r w:rsidRPr="00B0478C">
          <w:rPr>
            <w:rFonts w:ascii="Arial" w:eastAsia="Arial" w:hAnsi="Arial" w:cs="Arial"/>
            <w:color w:val="000000" w:themeColor="text1"/>
            <w:sz w:val="20"/>
            <w:szCs w:val="20"/>
            <w:u w:val="single"/>
          </w:rPr>
          <w:t>https://doi.org/10.3389/fpsyg.2019.02778</w:t>
        </w:r>
      </w:hyperlink>
    </w:p>
    <w:p w14:paraId="28CE084C"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37" w:name="_heading=h.kma2z8sf62w6" w:colFirst="0" w:colLast="0"/>
      <w:bookmarkEnd w:id="37"/>
      <w:proofErr w:type="spellStart"/>
      <w:r w:rsidRPr="00B0478C">
        <w:rPr>
          <w:rFonts w:ascii="Arial" w:eastAsia="Arial" w:hAnsi="Arial" w:cs="Arial"/>
          <w:color w:val="000000" w:themeColor="text1"/>
          <w:sz w:val="20"/>
          <w:szCs w:val="20"/>
        </w:rPr>
        <w:t>Sinval</w:t>
      </w:r>
      <w:proofErr w:type="spellEnd"/>
      <w:r w:rsidRPr="00B0478C">
        <w:rPr>
          <w:rFonts w:ascii="Arial" w:eastAsia="Arial" w:hAnsi="Arial" w:cs="Arial"/>
          <w:color w:val="000000" w:themeColor="text1"/>
          <w:sz w:val="20"/>
          <w:szCs w:val="20"/>
        </w:rPr>
        <w:t xml:space="preserve">, J., Oliveira, P., </w:t>
      </w:r>
      <w:proofErr w:type="spellStart"/>
      <w:r w:rsidRPr="00B0478C">
        <w:rPr>
          <w:rFonts w:ascii="Arial" w:eastAsia="Arial" w:hAnsi="Arial" w:cs="Arial"/>
          <w:color w:val="000000" w:themeColor="text1"/>
          <w:sz w:val="20"/>
          <w:szCs w:val="20"/>
        </w:rPr>
        <w:t>Novais</w:t>
      </w:r>
      <w:proofErr w:type="spellEnd"/>
      <w:r w:rsidRPr="00B0478C">
        <w:rPr>
          <w:rFonts w:ascii="Arial" w:eastAsia="Arial" w:hAnsi="Arial" w:cs="Arial"/>
          <w:color w:val="000000" w:themeColor="text1"/>
          <w:sz w:val="20"/>
          <w:szCs w:val="20"/>
        </w:rPr>
        <w:t xml:space="preserve">, F., Almeida, C. M., &amp; </w:t>
      </w:r>
      <w:proofErr w:type="spellStart"/>
      <w:r w:rsidRPr="00B0478C">
        <w:rPr>
          <w:rFonts w:ascii="Arial" w:eastAsia="Arial" w:hAnsi="Arial" w:cs="Arial"/>
          <w:color w:val="000000" w:themeColor="text1"/>
          <w:sz w:val="20"/>
          <w:szCs w:val="20"/>
        </w:rPr>
        <w:t>Telles</w:t>
      </w:r>
      <w:proofErr w:type="spellEnd"/>
      <w:r w:rsidRPr="00B0478C">
        <w:rPr>
          <w:rFonts w:ascii="Arial" w:eastAsia="Arial" w:hAnsi="Arial" w:cs="Arial"/>
          <w:color w:val="000000" w:themeColor="text1"/>
          <w:sz w:val="20"/>
          <w:szCs w:val="20"/>
        </w:rPr>
        <w:t xml:space="preserve">-Correia, D. (2024). Exploring the impact of depression, anxiety, stress, academic engagement, and dropout intention on medical students’ academic performance: A prospective study. </w:t>
      </w:r>
      <w:r w:rsidRPr="00B0478C">
        <w:rPr>
          <w:rFonts w:ascii="Arial" w:eastAsia="Arial" w:hAnsi="Arial" w:cs="Arial"/>
          <w:i/>
          <w:iCs/>
          <w:color w:val="000000" w:themeColor="text1"/>
          <w:sz w:val="20"/>
          <w:szCs w:val="20"/>
        </w:rPr>
        <w:t>Journal of Affective Disorders</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368</w:t>
      </w:r>
      <w:r w:rsidRPr="00B0478C">
        <w:rPr>
          <w:rFonts w:ascii="Arial" w:eastAsia="Arial" w:hAnsi="Arial" w:cs="Arial"/>
          <w:color w:val="000000" w:themeColor="text1"/>
          <w:sz w:val="20"/>
          <w:szCs w:val="20"/>
        </w:rPr>
        <w:t xml:space="preserve">, 665–673. </w:t>
      </w:r>
      <w:hyperlink r:id="rId71">
        <w:r w:rsidRPr="00B0478C">
          <w:rPr>
            <w:rFonts w:ascii="Arial" w:eastAsia="Arial" w:hAnsi="Arial" w:cs="Arial"/>
            <w:color w:val="000000" w:themeColor="text1"/>
            <w:sz w:val="20"/>
            <w:szCs w:val="20"/>
            <w:u w:val="single"/>
          </w:rPr>
          <w:t>https://doi.org/10.1016/j.jad.2024.09.116</w:t>
        </w:r>
      </w:hyperlink>
    </w:p>
    <w:p w14:paraId="03211C16"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Song, C., Xia, Y., Zhang, Z., &amp; Liu, R. (2024). Harnessing digital strategies to manage emotional health among students of Gen Z. </w:t>
      </w:r>
      <w:r w:rsidRPr="00B0478C">
        <w:rPr>
          <w:rFonts w:ascii="Arial" w:eastAsia="Arial" w:hAnsi="Arial" w:cs="Arial"/>
          <w:i/>
          <w:iCs/>
          <w:color w:val="000000" w:themeColor="text1"/>
          <w:sz w:val="20"/>
          <w:szCs w:val="20"/>
        </w:rPr>
        <w:t>Metaverse, 5</w:t>
      </w:r>
      <w:r w:rsidRPr="00B0478C">
        <w:rPr>
          <w:rFonts w:ascii="Arial" w:eastAsia="Arial" w:hAnsi="Arial" w:cs="Arial"/>
          <w:color w:val="000000" w:themeColor="text1"/>
          <w:sz w:val="20"/>
          <w:szCs w:val="20"/>
        </w:rPr>
        <w:t xml:space="preserve">(1), 2707. </w:t>
      </w:r>
      <w:hyperlink r:id="rId72">
        <w:r w:rsidRPr="00B0478C">
          <w:rPr>
            <w:rFonts w:ascii="Arial" w:eastAsia="Arial" w:hAnsi="Arial" w:cs="Arial"/>
            <w:color w:val="000000" w:themeColor="text1"/>
            <w:sz w:val="20"/>
            <w:szCs w:val="20"/>
            <w:u w:val="single"/>
          </w:rPr>
          <w:t>https://doi.org/10.54517/m.v5i1.2707</w:t>
        </w:r>
      </w:hyperlink>
    </w:p>
    <w:p w14:paraId="283F3D01"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38" w:name="_heading=h.gwnv2a3c8uuj" w:colFirst="0" w:colLast="0"/>
      <w:bookmarkEnd w:id="38"/>
      <w:proofErr w:type="spellStart"/>
      <w:r w:rsidRPr="00B0478C">
        <w:rPr>
          <w:rFonts w:ascii="Arial" w:eastAsia="Arial" w:hAnsi="Arial" w:cs="Arial"/>
          <w:color w:val="000000" w:themeColor="text1"/>
          <w:sz w:val="20"/>
          <w:szCs w:val="20"/>
        </w:rPr>
        <w:t>Spytska</w:t>
      </w:r>
      <w:proofErr w:type="spellEnd"/>
      <w:r w:rsidRPr="00B0478C">
        <w:rPr>
          <w:rFonts w:ascii="Arial" w:eastAsia="Arial" w:hAnsi="Arial" w:cs="Arial"/>
          <w:color w:val="000000" w:themeColor="text1"/>
          <w:sz w:val="20"/>
          <w:szCs w:val="20"/>
        </w:rPr>
        <w:t xml:space="preserve"> L. (2025). The use of artificial intelligence in psychotherapy: development of intelligent therapeutic systems. </w:t>
      </w:r>
      <w:r w:rsidRPr="00B0478C">
        <w:rPr>
          <w:rFonts w:ascii="Arial" w:eastAsia="Arial" w:hAnsi="Arial" w:cs="Arial"/>
          <w:i/>
          <w:iCs/>
          <w:color w:val="000000" w:themeColor="text1"/>
          <w:sz w:val="20"/>
          <w:szCs w:val="20"/>
        </w:rPr>
        <w:t>BMC psychology</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13</w:t>
      </w:r>
      <w:r w:rsidRPr="00B0478C">
        <w:rPr>
          <w:rFonts w:ascii="Arial" w:eastAsia="Arial" w:hAnsi="Arial" w:cs="Arial"/>
          <w:color w:val="000000" w:themeColor="text1"/>
          <w:sz w:val="20"/>
          <w:szCs w:val="20"/>
        </w:rPr>
        <w:t xml:space="preserve">(1), 175. </w:t>
      </w:r>
      <w:hyperlink r:id="rId73">
        <w:r w:rsidRPr="00B0478C">
          <w:rPr>
            <w:rFonts w:ascii="Arial" w:eastAsia="Arial" w:hAnsi="Arial" w:cs="Arial"/>
            <w:color w:val="000000" w:themeColor="text1"/>
            <w:sz w:val="20"/>
            <w:szCs w:val="20"/>
            <w:u w:val="single"/>
          </w:rPr>
          <w:t>https://doi.org/10.1186/s40359-025-02491-9</w:t>
        </w:r>
      </w:hyperlink>
    </w:p>
    <w:p w14:paraId="1D140E02"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39" w:name="_heading=h.lu1vygmu52ws" w:colFirst="0" w:colLast="0"/>
      <w:bookmarkEnd w:id="39"/>
      <w:r w:rsidRPr="00B0478C">
        <w:rPr>
          <w:rFonts w:ascii="Arial" w:eastAsia="Arial" w:hAnsi="Arial" w:cs="Arial"/>
          <w:color w:val="000000" w:themeColor="text1"/>
          <w:sz w:val="20"/>
          <w:szCs w:val="20"/>
        </w:rPr>
        <w:t xml:space="preserve">Ter </w:t>
      </w:r>
      <w:proofErr w:type="spellStart"/>
      <w:r w:rsidRPr="00B0478C">
        <w:rPr>
          <w:rFonts w:ascii="Arial" w:eastAsia="Arial" w:hAnsi="Arial" w:cs="Arial"/>
          <w:color w:val="000000" w:themeColor="text1"/>
          <w:sz w:val="20"/>
          <w:szCs w:val="20"/>
        </w:rPr>
        <w:t>Harmsel</w:t>
      </w:r>
      <w:proofErr w:type="spellEnd"/>
      <w:r w:rsidRPr="00B0478C">
        <w:rPr>
          <w:rFonts w:ascii="Arial" w:eastAsia="Arial" w:hAnsi="Arial" w:cs="Arial"/>
          <w:color w:val="000000" w:themeColor="text1"/>
          <w:sz w:val="20"/>
          <w:szCs w:val="20"/>
        </w:rPr>
        <w:t xml:space="preserve">, J., </w:t>
      </w:r>
      <w:proofErr w:type="spellStart"/>
      <w:r w:rsidRPr="00B0478C">
        <w:rPr>
          <w:rFonts w:ascii="Arial" w:eastAsia="Arial" w:hAnsi="Arial" w:cs="Arial"/>
          <w:color w:val="000000" w:themeColor="text1"/>
          <w:sz w:val="20"/>
          <w:szCs w:val="20"/>
        </w:rPr>
        <w:t>Noordzij</w:t>
      </w:r>
      <w:proofErr w:type="spellEnd"/>
      <w:r w:rsidRPr="00B0478C">
        <w:rPr>
          <w:rFonts w:ascii="Arial" w:eastAsia="Arial" w:hAnsi="Arial" w:cs="Arial"/>
          <w:color w:val="000000" w:themeColor="text1"/>
          <w:sz w:val="20"/>
          <w:szCs w:val="20"/>
        </w:rPr>
        <w:t xml:space="preserve">, M., </w:t>
      </w:r>
      <w:proofErr w:type="spellStart"/>
      <w:r w:rsidRPr="00B0478C">
        <w:rPr>
          <w:rFonts w:ascii="Arial" w:eastAsia="Arial" w:hAnsi="Arial" w:cs="Arial"/>
          <w:color w:val="000000" w:themeColor="text1"/>
          <w:sz w:val="20"/>
          <w:szCs w:val="20"/>
        </w:rPr>
        <w:t>Goudriaan</w:t>
      </w:r>
      <w:proofErr w:type="spellEnd"/>
      <w:r w:rsidRPr="00B0478C">
        <w:rPr>
          <w:rFonts w:ascii="Arial" w:eastAsia="Arial" w:hAnsi="Arial" w:cs="Arial"/>
          <w:color w:val="000000" w:themeColor="text1"/>
          <w:sz w:val="20"/>
          <w:szCs w:val="20"/>
        </w:rPr>
        <w:t xml:space="preserve">, A., Dekker, J., </w:t>
      </w:r>
      <w:proofErr w:type="spellStart"/>
      <w:r w:rsidRPr="00B0478C">
        <w:rPr>
          <w:rFonts w:ascii="Arial" w:eastAsia="Arial" w:hAnsi="Arial" w:cs="Arial"/>
          <w:color w:val="000000" w:themeColor="text1"/>
          <w:sz w:val="20"/>
          <w:szCs w:val="20"/>
        </w:rPr>
        <w:t>Swinkels</w:t>
      </w:r>
      <w:proofErr w:type="spellEnd"/>
      <w:r w:rsidRPr="00B0478C">
        <w:rPr>
          <w:rFonts w:ascii="Arial" w:eastAsia="Arial" w:hAnsi="Arial" w:cs="Arial"/>
          <w:color w:val="000000" w:themeColor="text1"/>
          <w:sz w:val="20"/>
          <w:szCs w:val="20"/>
        </w:rPr>
        <w:t xml:space="preserve">, L., Van Der Pol, T., &amp; </w:t>
      </w:r>
      <w:proofErr w:type="spellStart"/>
      <w:r w:rsidRPr="00B0478C">
        <w:rPr>
          <w:rFonts w:ascii="Arial" w:eastAsia="Arial" w:hAnsi="Arial" w:cs="Arial"/>
          <w:color w:val="000000" w:themeColor="text1"/>
          <w:sz w:val="20"/>
          <w:szCs w:val="20"/>
        </w:rPr>
        <w:t>Popma</w:t>
      </w:r>
      <w:proofErr w:type="spellEnd"/>
      <w:r w:rsidRPr="00B0478C">
        <w:rPr>
          <w:rFonts w:ascii="Arial" w:eastAsia="Arial" w:hAnsi="Arial" w:cs="Arial"/>
          <w:color w:val="000000" w:themeColor="text1"/>
          <w:sz w:val="20"/>
          <w:szCs w:val="20"/>
        </w:rPr>
        <w:t xml:space="preserve">, A. (2020). </w:t>
      </w:r>
      <w:proofErr w:type="spellStart"/>
      <w:r w:rsidRPr="00B0478C">
        <w:rPr>
          <w:rFonts w:ascii="Arial" w:eastAsia="Arial" w:hAnsi="Arial" w:cs="Arial"/>
          <w:color w:val="000000" w:themeColor="text1"/>
          <w:sz w:val="20"/>
          <w:szCs w:val="20"/>
        </w:rPr>
        <w:t>Biocueing</w:t>
      </w:r>
      <w:proofErr w:type="spellEnd"/>
      <w:r w:rsidRPr="00B0478C">
        <w:rPr>
          <w:rFonts w:ascii="Arial" w:eastAsia="Arial" w:hAnsi="Arial" w:cs="Arial"/>
          <w:color w:val="000000" w:themeColor="text1"/>
          <w:sz w:val="20"/>
          <w:szCs w:val="20"/>
        </w:rPr>
        <w:t xml:space="preserve"> and ambulatory biofeedback to enhance emotion regulation: A review of studies investigating non-psychiatric and psychiatric populations. </w:t>
      </w:r>
      <w:r w:rsidRPr="00B0478C">
        <w:rPr>
          <w:rFonts w:ascii="Arial" w:eastAsia="Arial" w:hAnsi="Arial" w:cs="Arial"/>
          <w:i/>
          <w:iCs/>
          <w:color w:val="000000" w:themeColor="text1"/>
          <w:sz w:val="20"/>
          <w:szCs w:val="20"/>
        </w:rPr>
        <w:t>International Journal of Psychophysiology</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159</w:t>
      </w:r>
      <w:r w:rsidRPr="00B0478C">
        <w:rPr>
          <w:rFonts w:ascii="Arial" w:eastAsia="Arial" w:hAnsi="Arial" w:cs="Arial"/>
          <w:color w:val="000000" w:themeColor="text1"/>
          <w:sz w:val="20"/>
          <w:szCs w:val="20"/>
        </w:rPr>
        <w:t xml:space="preserve">, 94–106. </w:t>
      </w:r>
      <w:hyperlink r:id="rId74">
        <w:r w:rsidRPr="00B0478C">
          <w:rPr>
            <w:rFonts w:ascii="Arial" w:eastAsia="Arial" w:hAnsi="Arial" w:cs="Arial"/>
            <w:color w:val="000000" w:themeColor="text1"/>
            <w:sz w:val="20"/>
            <w:szCs w:val="20"/>
            <w:u w:val="single"/>
          </w:rPr>
          <w:t>https://doi.org/10.1016/j.ijpsycho.2020.11.009</w:t>
        </w:r>
      </w:hyperlink>
    </w:p>
    <w:p w14:paraId="256A2783"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40" w:name="_heading=h.a91jdx7bmg47" w:colFirst="0" w:colLast="0"/>
      <w:bookmarkEnd w:id="40"/>
      <w:proofErr w:type="spellStart"/>
      <w:r w:rsidRPr="00B0478C">
        <w:rPr>
          <w:rFonts w:ascii="Arial" w:eastAsia="Arial" w:hAnsi="Arial" w:cs="Arial"/>
          <w:color w:val="000000" w:themeColor="text1"/>
          <w:sz w:val="20"/>
          <w:szCs w:val="20"/>
        </w:rPr>
        <w:t>Thew</w:t>
      </w:r>
      <w:proofErr w:type="spellEnd"/>
      <w:r w:rsidRPr="00B0478C">
        <w:rPr>
          <w:rFonts w:ascii="Arial" w:eastAsia="Arial" w:hAnsi="Arial" w:cs="Arial"/>
          <w:color w:val="000000" w:themeColor="text1"/>
          <w:sz w:val="20"/>
          <w:szCs w:val="20"/>
        </w:rPr>
        <w:t xml:space="preserve">, G. R., </w:t>
      </w:r>
      <w:proofErr w:type="spellStart"/>
      <w:r w:rsidRPr="00B0478C">
        <w:rPr>
          <w:rFonts w:ascii="Arial" w:eastAsia="Arial" w:hAnsi="Arial" w:cs="Arial"/>
          <w:color w:val="000000" w:themeColor="text1"/>
          <w:sz w:val="20"/>
          <w:szCs w:val="20"/>
        </w:rPr>
        <w:t>Rozental</w:t>
      </w:r>
      <w:proofErr w:type="spellEnd"/>
      <w:r w:rsidRPr="00B0478C">
        <w:rPr>
          <w:rFonts w:ascii="Arial" w:eastAsia="Arial" w:hAnsi="Arial" w:cs="Arial"/>
          <w:color w:val="000000" w:themeColor="text1"/>
          <w:sz w:val="20"/>
          <w:szCs w:val="20"/>
        </w:rPr>
        <w:t xml:space="preserve">, A., &amp; </w:t>
      </w:r>
      <w:proofErr w:type="spellStart"/>
      <w:r w:rsidRPr="00B0478C">
        <w:rPr>
          <w:rFonts w:ascii="Arial" w:eastAsia="Arial" w:hAnsi="Arial" w:cs="Arial"/>
          <w:color w:val="000000" w:themeColor="text1"/>
          <w:sz w:val="20"/>
          <w:szCs w:val="20"/>
        </w:rPr>
        <w:t>Hadjistavropoulos</w:t>
      </w:r>
      <w:proofErr w:type="spellEnd"/>
      <w:r w:rsidRPr="00B0478C">
        <w:rPr>
          <w:rFonts w:ascii="Arial" w:eastAsia="Arial" w:hAnsi="Arial" w:cs="Arial"/>
          <w:color w:val="000000" w:themeColor="text1"/>
          <w:sz w:val="20"/>
          <w:szCs w:val="20"/>
        </w:rPr>
        <w:t xml:space="preserve">, H. D. (2022). Advances in digital CBT: where are we now, and where </w:t>
      </w:r>
      <w:proofErr w:type="gramStart"/>
      <w:r w:rsidRPr="00B0478C">
        <w:rPr>
          <w:rFonts w:ascii="Arial" w:eastAsia="Arial" w:hAnsi="Arial" w:cs="Arial"/>
          <w:color w:val="000000" w:themeColor="text1"/>
          <w:sz w:val="20"/>
          <w:szCs w:val="20"/>
        </w:rPr>
        <w:t>next?.</w:t>
      </w:r>
      <w:proofErr w:type="gramEnd"/>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Cognitive behaviour therapist</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15</w:t>
      </w:r>
      <w:r w:rsidRPr="00B0478C">
        <w:rPr>
          <w:rFonts w:ascii="Arial" w:eastAsia="Arial" w:hAnsi="Arial" w:cs="Arial"/>
          <w:color w:val="000000" w:themeColor="text1"/>
          <w:sz w:val="20"/>
          <w:szCs w:val="20"/>
        </w:rPr>
        <w:t xml:space="preserve">, E44. </w:t>
      </w:r>
      <w:hyperlink r:id="rId75">
        <w:r w:rsidRPr="00B0478C">
          <w:rPr>
            <w:rFonts w:ascii="Arial" w:eastAsia="Arial" w:hAnsi="Arial" w:cs="Arial"/>
            <w:color w:val="000000" w:themeColor="text1"/>
            <w:sz w:val="20"/>
            <w:szCs w:val="20"/>
            <w:u w:val="single"/>
          </w:rPr>
          <w:t>https://doi.org/10.1017/S1754470X22000423</w:t>
        </w:r>
      </w:hyperlink>
    </w:p>
    <w:p w14:paraId="747A9CAF"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proofErr w:type="spellStart"/>
      <w:r w:rsidRPr="00B0478C">
        <w:rPr>
          <w:rFonts w:ascii="Arial" w:eastAsia="Arial" w:hAnsi="Arial" w:cs="Arial"/>
          <w:color w:val="000000" w:themeColor="text1"/>
          <w:sz w:val="20"/>
          <w:szCs w:val="20"/>
        </w:rPr>
        <w:t>Topooco</w:t>
      </w:r>
      <w:proofErr w:type="spellEnd"/>
      <w:r w:rsidRPr="00B0478C">
        <w:rPr>
          <w:rFonts w:ascii="Arial" w:eastAsia="Arial" w:hAnsi="Arial" w:cs="Arial"/>
          <w:color w:val="000000" w:themeColor="text1"/>
          <w:sz w:val="20"/>
          <w:szCs w:val="20"/>
        </w:rPr>
        <w:t xml:space="preserve">, N., Fowler, L. A., Fitzsimmons-Craft, E. E., </w:t>
      </w:r>
      <w:proofErr w:type="spellStart"/>
      <w:r w:rsidRPr="00B0478C">
        <w:rPr>
          <w:rFonts w:ascii="Arial" w:eastAsia="Arial" w:hAnsi="Arial" w:cs="Arial"/>
          <w:color w:val="000000" w:themeColor="text1"/>
          <w:sz w:val="20"/>
          <w:szCs w:val="20"/>
        </w:rPr>
        <w:t>DePietro</w:t>
      </w:r>
      <w:proofErr w:type="spellEnd"/>
      <w:r w:rsidRPr="00B0478C">
        <w:rPr>
          <w:rFonts w:ascii="Arial" w:eastAsia="Arial" w:hAnsi="Arial" w:cs="Arial"/>
          <w:color w:val="000000" w:themeColor="text1"/>
          <w:sz w:val="20"/>
          <w:szCs w:val="20"/>
        </w:rPr>
        <w:t xml:space="preserve">, B., Vázquez, M. M., Firebaugh, M. L., </w:t>
      </w:r>
      <w:proofErr w:type="spellStart"/>
      <w:r w:rsidRPr="00B0478C">
        <w:rPr>
          <w:rFonts w:ascii="Arial" w:eastAsia="Arial" w:hAnsi="Arial" w:cs="Arial"/>
          <w:color w:val="000000" w:themeColor="text1"/>
          <w:sz w:val="20"/>
          <w:szCs w:val="20"/>
        </w:rPr>
        <w:t>Ceglarek</w:t>
      </w:r>
      <w:proofErr w:type="spellEnd"/>
      <w:r w:rsidRPr="00B0478C">
        <w:rPr>
          <w:rFonts w:ascii="Arial" w:eastAsia="Arial" w:hAnsi="Arial" w:cs="Arial"/>
          <w:color w:val="000000" w:themeColor="text1"/>
          <w:sz w:val="20"/>
          <w:szCs w:val="20"/>
        </w:rPr>
        <w:t xml:space="preserve">, P., </w:t>
      </w:r>
      <w:proofErr w:type="spellStart"/>
      <w:r w:rsidRPr="00B0478C">
        <w:rPr>
          <w:rFonts w:ascii="Arial" w:eastAsia="Arial" w:hAnsi="Arial" w:cs="Arial"/>
          <w:color w:val="000000" w:themeColor="text1"/>
          <w:sz w:val="20"/>
          <w:szCs w:val="20"/>
        </w:rPr>
        <w:t>Monterubio</w:t>
      </w:r>
      <w:proofErr w:type="spellEnd"/>
      <w:r w:rsidRPr="00B0478C">
        <w:rPr>
          <w:rFonts w:ascii="Arial" w:eastAsia="Arial" w:hAnsi="Arial" w:cs="Arial"/>
          <w:color w:val="000000" w:themeColor="text1"/>
          <w:sz w:val="20"/>
          <w:szCs w:val="20"/>
        </w:rPr>
        <w:t>, G., Newman, M. G., Eisenberg, D., Wilfley, D. E., &amp; Taylor, C. B. (2022). Digital interventions to address mental health needs in colleges: Perspectives of student stakeholders. </w:t>
      </w:r>
      <w:r w:rsidRPr="00B0478C">
        <w:rPr>
          <w:rFonts w:ascii="Arial" w:eastAsia="Arial" w:hAnsi="Arial" w:cs="Arial"/>
          <w:i/>
          <w:iCs/>
          <w:color w:val="000000" w:themeColor="text1"/>
          <w:sz w:val="20"/>
          <w:szCs w:val="20"/>
        </w:rPr>
        <w:t>Internet interventions</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28</w:t>
      </w:r>
      <w:r w:rsidRPr="00B0478C">
        <w:rPr>
          <w:rFonts w:ascii="Arial" w:eastAsia="Arial" w:hAnsi="Arial" w:cs="Arial"/>
          <w:color w:val="000000" w:themeColor="text1"/>
          <w:sz w:val="20"/>
          <w:szCs w:val="20"/>
        </w:rPr>
        <w:t xml:space="preserve">, 100528. </w:t>
      </w:r>
      <w:hyperlink r:id="rId76">
        <w:r w:rsidRPr="00B0478C">
          <w:rPr>
            <w:rFonts w:ascii="Arial" w:eastAsia="Arial" w:hAnsi="Arial" w:cs="Arial"/>
            <w:color w:val="000000" w:themeColor="text1"/>
            <w:sz w:val="20"/>
            <w:szCs w:val="20"/>
            <w:u w:val="single"/>
          </w:rPr>
          <w:t>https://doi.org/10.1016/j.invent.2022.100528</w:t>
        </w:r>
      </w:hyperlink>
    </w:p>
    <w:p w14:paraId="1ED9EC73"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proofErr w:type="spellStart"/>
      <w:r w:rsidRPr="00B0478C">
        <w:rPr>
          <w:rFonts w:ascii="Arial" w:eastAsia="Arial" w:hAnsi="Arial" w:cs="Arial"/>
          <w:color w:val="000000" w:themeColor="text1"/>
          <w:sz w:val="20"/>
          <w:szCs w:val="20"/>
        </w:rPr>
        <w:t>Torous</w:t>
      </w:r>
      <w:proofErr w:type="spellEnd"/>
      <w:r w:rsidRPr="00B0478C">
        <w:rPr>
          <w:rFonts w:ascii="Arial" w:eastAsia="Arial" w:hAnsi="Arial" w:cs="Arial"/>
          <w:color w:val="000000" w:themeColor="text1"/>
          <w:sz w:val="20"/>
          <w:szCs w:val="20"/>
        </w:rPr>
        <w:t xml:space="preserve">, J., </w:t>
      </w:r>
      <w:proofErr w:type="spellStart"/>
      <w:r w:rsidRPr="00B0478C">
        <w:rPr>
          <w:rFonts w:ascii="Arial" w:eastAsia="Arial" w:hAnsi="Arial" w:cs="Arial"/>
          <w:color w:val="000000" w:themeColor="text1"/>
          <w:sz w:val="20"/>
          <w:szCs w:val="20"/>
        </w:rPr>
        <w:t>Linardon</w:t>
      </w:r>
      <w:proofErr w:type="spellEnd"/>
      <w:r w:rsidRPr="00B0478C">
        <w:rPr>
          <w:rFonts w:ascii="Arial" w:eastAsia="Arial" w:hAnsi="Arial" w:cs="Arial"/>
          <w:color w:val="000000" w:themeColor="text1"/>
          <w:sz w:val="20"/>
          <w:szCs w:val="20"/>
        </w:rPr>
        <w:t>, J., Goldberg, S. B., Sun, S., Bell, I., Nicholas, J., Hassan, L., Hua, Y., Milton, A., &amp; Firth, J. (2025). The evolving field of digital mental health: current evidence and implementation issues for smartphone apps, generative artificial intelligence, and virtual reality. </w:t>
      </w:r>
      <w:r w:rsidRPr="00B0478C">
        <w:rPr>
          <w:rFonts w:ascii="Arial" w:eastAsia="Arial" w:hAnsi="Arial" w:cs="Arial"/>
          <w:i/>
          <w:iCs/>
          <w:color w:val="000000" w:themeColor="text1"/>
          <w:sz w:val="20"/>
          <w:szCs w:val="20"/>
        </w:rPr>
        <w:t xml:space="preserve">World </w:t>
      </w:r>
      <w:proofErr w:type="gramStart"/>
      <w:r w:rsidRPr="00B0478C">
        <w:rPr>
          <w:rFonts w:ascii="Arial" w:eastAsia="Arial" w:hAnsi="Arial" w:cs="Arial"/>
          <w:i/>
          <w:iCs/>
          <w:color w:val="000000" w:themeColor="text1"/>
          <w:sz w:val="20"/>
          <w:szCs w:val="20"/>
        </w:rPr>
        <w:t>psychiatry :</w:t>
      </w:r>
      <w:proofErr w:type="gramEnd"/>
      <w:r w:rsidRPr="00B0478C">
        <w:rPr>
          <w:rFonts w:ascii="Arial" w:eastAsia="Arial" w:hAnsi="Arial" w:cs="Arial"/>
          <w:i/>
          <w:iCs/>
          <w:color w:val="000000" w:themeColor="text1"/>
          <w:sz w:val="20"/>
          <w:szCs w:val="20"/>
        </w:rPr>
        <w:t xml:space="preserve"> official journal of the World Psychiatric Association (WPA)</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24</w:t>
      </w:r>
      <w:r w:rsidRPr="00B0478C">
        <w:rPr>
          <w:rFonts w:ascii="Arial" w:eastAsia="Arial" w:hAnsi="Arial" w:cs="Arial"/>
          <w:color w:val="000000" w:themeColor="text1"/>
          <w:sz w:val="20"/>
          <w:szCs w:val="20"/>
        </w:rPr>
        <w:t xml:space="preserve">(2), 156–174. </w:t>
      </w:r>
      <w:hyperlink r:id="rId77">
        <w:r w:rsidRPr="00B0478C">
          <w:rPr>
            <w:rFonts w:ascii="Arial" w:eastAsia="Arial" w:hAnsi="Arial" w:cs="Arial"/>
            <w:color w:val="000000" w:themeColor="text1"/>
            <w:sz w:val="20"/>
            <w:szCs w:val="20"/>
            <w:u w:val="single"/>
          </w:rPr>
          <w:t>https://doi.org/10.1002/wps.21299</w:t>
        </w:r>
      </w:hyperlink>
    </w:p>
    <w:p w14:paraId="2950A975"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41" w:name="_heading=h.z61raqinn7un" w:colFirst="0" w:colLast="0"/>
      <w:bookmarkEnd w:id="41"/>
      <w:proofErr w:type="spellStart"/>
      <w:r w:rsidRPr="00B0478C">
        <w:rPr>
          <w:rFonts w:ascii="Arial" w:eastAsia="Arial" w:hAnsi="Arial" w:cs="Arial"/>
          <w:color w:val="000000" w:themeColor="text1"/>
          <w:sz w:val="20"/>
          <w:szCs w:val="20"/>
        </w:rPr>
        <w:t>Torous</w:t>
      </w:r>
      <w:proofErr w:type="spellEnd"/>
      <w:r w:rsidRPr="00B0478C">
        <w:rPr>
          <w:rFonts w:ascii="Arial" w:eastAsia="Arial" w:hAnsi="Arial" w:cs="Arial"/>
          <w:color w:val="000000" w:themeColor="text1"/>
          <w:sz w:val="20"/>
          <w:szCs w:val="20"/>
        </w:rPr>
        <w:t xml:space="preserve">, J., </w:t>
      </w:r>
      <w:proofErr w:type="spellStart"/>
      <w:r w:rsidRPr="00B0478C">
        <w:rPr>
          <w:rFonts w:ascii="Arial" w:eastAsia="Arial" w:hAnsi="Arial" w:cs="Arial"/>
          <w:color w:val="000000" w:themeColor="text1"/>
          <w:sz w:val="20"/>
          <w:szCs w:val="20"/>
        </w:rPr>
        <w:t>Linardon</w:t>
      </w:r>
      <w:proofErr w:type="spellEnd"/>
      <w:r w:rsidRPr="00B0478C">
        <w:rPr>
          <w:rFonts w:ascii="Arial" w:eastAsia="Arial" w:hAnsi="Arial" w:cs="Arial"/>
          <w:color w:val="000000" w:themeColor="text1"/>
          <w:sz w:val="20"/>
          <w:szCs w:val="20"/>
        </w:rPr>
        <w:t>, J., Goldberg, S. B., Sun, S., Bell, I., Nicholas, J., Hassan, L., Hua, Y., Milton, A., &amp; Firth, J. (2025). The evolving field of digital mental health: current evidence and implementation issues for smartphone apps, generative artificial intelligence, and virtual reality. </w:t>
      </w:r>
      <w:r w:rsidRPr="00B0478C">
        <w:rPr>
          <w:rFonts w:ascii="Arial" w:eastAsia="Arial" w:hAnsi="Arial" w:cs="Arial"/>
          <w:i/>
          <w:iCs/>
          <w:color w:val="000000" w:themeColor="text1"/>
          <w:sz w:val="20"/>
          <w:szCs w:val="20"/>
        </w:rPr>
        <w:t xml:space="preserve">World </w:t>
      </w:r>
      <w:proofErr w:type="gramStart"/>
      <w:r w:rsidRPr="00B0478C">
        <w:rPr>
          <w:rFonts w:ascii="Arial" w:eastAsia="Arial" w:hAnsi="Arial" w:cs="Arial"/>
          <w:i/>
          <w:iCs/>
          <w:color w:val="000000" w:themeColor="text1"/>
          <w:sz w:val="20"/>
          <w:szCs w:val="20"/>
        </w:rPr>
        <w:t>psychiatry :</w:t>
      </w:r>
      <w:proofErr w:type="gramEnd"/>
      <w:r w:rsidRPr="00B0478C">
        <w:rPr>
          <w:rFonts w:ascii="Arial" w:eastAsia="Arial" w:hAnsi="Arial" w:cs="Arial"/>
          <w:i/>
          <w:iCs/>
          <w:color w:val="000000" w:themeColor="text1"/>
          <w:sz w:val="20"/>
          <w:szCs w:val="20"/>
        </w:rPr>
        <w:t xml:space="preserve"> official journal of the World Psychiatric Association (WPA)</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24</w:t>
      </w:r>
      <w:r w:rsidRPr="00B0478C">
        <w:rPr>
          <w:rFonts w:ascii="Arial" w:eastAsia="Arial" w:hAnsi="Arial" w:cs="Arial"/>
          <w:color w:val="000000" w:themeColor="text1"/>
          <w:sz w:val="20"/>
          <w:szCs w:val="20"/>
        </w:rPr>
        <w:t xml:space="preserve">(2), 156–174. </w:t>
      </w:r>
      <w:hyperlink r:id="rId78">
        <w:r w:rsidRPr="00B0478C">
          <w:rPr>
            <w:rFonts w:ascii="Arial" w:eastAsia="Arial" w:hAnsi="Arial" w:cs="Arial"/>
            <w:color w:val="000000" w:themeColor="text1"/>
            <w:sz w:val="20"/>
            <w:szCs w:val="20"/>
            <w:u w:val="single"/>
          </w:rPr>
          <w:t>https://doi.org/10.1002/wps.21299</w:t>
        </w:r>
      </w:hyperlink>
    </w:p>
    <w:p w14:paraId="1681B164"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42" w:name="_heading=h.ljq1t9ck4vna" w:colFirst="0" w:colLast="0"/>
      <w:bookmarkEnd w:id="42"/>
      <w:proofErr w:type="spellStart"/>
      <w:r w:rsidRPr="00B0478C">
        <w:rPr>
          <w:rFonts w:ascii="Arial" w:eastAsia="Arial" w:hAnsi="Arial" w:cs="Arial"/>
          <w:color w:val="000000" w:themeColor="text1"/>
          <w:sz w:val="20"/>
          <w:szCs w:val="20"/>
        </w:rPr>
        <w:t>Uzorka</w:t>
      </w:r>
      <w:proofErr w:type="spellEnd"/>
      <w:r w:rsidRPr="00B0478C">
        <w:rPr>
          <w:rFonts w:ascii="Arial" w:eastAsia="Arial" w:hAnsi="Arial" w:cs="Arial"/>
          <w:color w:val="000000" w:themeColor="text1"/>
          <w:sz w:val="20"/>
          <w:szCs w:val="20"/>
        </w:rPr>
        <w:t xml:space="preserve">, A., &amp; </w:t>
      </w:r>
      <w:proofErr w:type="spellStart"/>
      <w:r w:rsidRPr="00B0478C">
        <w:rPr>
          <w:rFonts w:ascii="Arial" w:eastAsia="Arial" w:hAnsi="Arial" w:cs="Arial"/>
          <w:color w:val="000000" w:themeColor="text1"/>
          <w:sz w:val="20"/>
          <w:szCs w:val="20"/>
        </w:rPr>
        <w:t>Odebiyi</w:t>
      </w:r>
      <w:proofErr w:type="spellEnd"/>
      <w:r w:rsidRPr="00B0478C">
        <w:rPr>
          <w:rFonts w:ascii="Arial" w:eastAsia="Arial" w:hAnsi="Arial" w:cs="Arial"/>
          <w:color w:val="000000" w:themeColor="text1"/>
          <w:sz w:val="20"/>
          <w:szCs w:val="20"/>
        </w:rPr>
        <w:t xml:space="preserve">, O. (2025). Impact of digital learning tools on student engagement and achievement. </w:t>
      </w:r>
      <w:r w:rsidRPr="00B0478C">
        <w:rPr>
          <w:rFonts w:ascii="Arial" w:eastAsia="Arial" w:hAnsi="Arial" w:cs="Arial"/>
          <w:i/>
          <w:iCs/>
          <w:color w:val="000000" w:themeColor="text1"/>
          <w:sz w:val="20"/>
          <w:szCs w:val="20"/>
        </w:rPr>
        <w:t>Journal of Digital Learning and Distance Education, 4</w:t>
      </w:r>
      <w:r w:rsidRPr="00B0478C">
        <w:rPr>
          <w:rFonts w:ascii="Arial" w:eastAsia="Arial" w:hAnsi="Arial" w:cs="Arial"/>
          <w:color w:val="000000" w:themeColor="text1"/>
          <w:sz w:val="20"/>
          <w:szCs w:val="20"/>
        </w:rPr>
        <w:t xml:space="preserve">(1), 1436–1445. </w:t>
      </w:r>
      <w:hyperlink r:id="rId79">
        <w:r w:rsidRPr="00B0478C">
          <w:rPr>
            <w:rFonts w:ascii="Arial" w:eastAsia="Arial" w:hAnsi="Arial" w:cs="Arial"/>
            <w:color w:val="000000" w:themeColor="text1"/>
            <w:sz w:val="20"/>
            <w:szCs w:val="20"/>
            <w:u w:val="single"/>
          </w:rPr>
          <w:t>https://doi.org/10.56778/jdlde.v4i1.511</w:t>
        </w:r>
      </w:hyperlink>
    </w:p>
    <w:p w14:paraId="087F1289"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43" w:name="_heading=h.8eotq8vx21x" w:colFirst="0" w:colLast="0"/>
      <w:bookmarkEnd w:id="43"/>
      <w:r w:rsidRPr="00B0478C">
        <w:rPr>
          <w:rFonts w:ascii="Arial" w:eastAsia="Arial" w:hAnsi="Arial" w:cs="Arial"/>
          <w:color w:val="000000" w:themeColor="text1"/>
          <w:sz w:val="20"/>
          <w:szCs w:val="20"/>
        </w:rPr>
        <w:t>Watkins, E. R., Phillips, D., Choueiri, H., Ford, A., Cook, H., Taylor, G., &amp; Kessler, R. C. (2025). A randomized controlled trial of Internet-delivered guided and unguided cognitive behaviour therapy for treating depression and anxiety in UK university students: study protocol for the Nurture-U Internet CBT trial. </w:t>
      </w:r>
      <w:r w:rsidRPr="00B0478C">
        <w:rPr>
          <w:rFonts w:ascii="Arial" w:eastAsia="Arial" w:hAnsi="Arial" w:cs="Arial"/>
          <w:i/>
          <w:iCs/>
          <w:color w:val="000000" w:themeColor="text1"/>
          <w:sz w:val="20"/>
          <w:szCs w:val="20"/>
        </w:rPr>
        <w:t>Trials</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26</w:t>
      </w:r>
      <w:r w:rsidRPr="00B0478C">
        <w:rPr>
          <w:rFonts w:ascii="Arial" w:eastAsia="Arial" w:hAnsi="Arial" w:cs="Arial"/>
          <w:color w:val="000000" w:themeColor="text1"/>
          <w:sz w:val="20"/>
          <w:szCs w:val="20"/>
        </w:rPr>
        <w:t xml:space="preserve">(1), 366. </w:t>
      </w:r>
      <w:hyperlink r:id="rId80">
        <w:r w:rsidRPr="00B0478C">
          <w:rPr>
            <w:rFonts w:ascii="Arial" w:eastAsia="Arial" w:hAnsi="Arial" w:cs="Arial"/>
            <w:color w:val="000000" w:themeColor="text1"/>
            <w:sz w:val="20"/>
            <w:szCs w:val="20"/>
            <w:u w:val="single"/>
          </w:rPr>
          <w:t>https://doi.org/10.1186/s13063-025-09023-1</w:t>
        </w:r>
      </w:hyperlink>
    </w:p>
    <w:p w14:paraId="0DF6D702"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44" w:name="_heading=h.6r7kagvhcbe2" w:colFirst="0" w:colLast="0"/>
      <w:bookmarkEnd w:id="44"/>
      <w:proofErr w:type="spellStart"/>
      <w:r w:rsidRPr="00B0478C">
        <w:rPr>
          <w:rFonts w:ascii="Arial" w:eastAsia="Arial" w:hAnsi="Arial" w:cs="Arial"/>
          <w:color w:val="000000" w:themeColor="text1"/>
          <w:sz w:val="20"/>
          <w:szCs w:val="20"/>
        </w:rPr>
        <w:lastRenderedPageBreak/>
        <w:t>Weerdmeester</w:t>
      </w:r>
      <w:proofErr w:type="spellEnd"/>
      <w:r w:rsidRPr="00B0478C">
        <w:rPr>
          <w:rFonts w:ascii="Arial" w:eastAsia="Arial" w:hAnsi="Arial" w:cs="Arial"/>
          <w:color w:val="000000" w:themeColor="text1"/>
          <w:sz w:val="20"/>
          <w:szCs w:val="20"/>
        </w:rPr>
        <w:t xml:space="preserve">, J., Van </w:t>
      </w:r>
      <w:proofErr w:type="spellStart"/>
      <w:r w:rsidRPr="00B0478C">
        <w:rPr>
          <w:rFonts w:ascii="Arial" w:eastAsia="Arial" w:hAnsi="Arial" w:cs="Arial"/>
          <w:color w:val="000000" w:themeColor="text1"/>
          <w:sz w:val="20"/>
          <w:szCs w:val="20"/>
        </w:rPr>
        <w:t>Rooij</w:t>
      </w:r>
      <w:proofErr w:type="spellEnd"/>
      <w:r w:rsidRPr="00B0478C">
        <w:rPr>
          <w:rFonts w:ascii="Arial" w:eastAsia="Arial" w:hAnsi="Arial" w:cs="Arial"/>
          <w:color w:val="000000" w:themeColor="text1"/>
          <w:sz w:val="20"/>
          <w:szCs w:val="20"/>
        </w:rPr>
        <w:t xml:space="preserve">, M. M., Engels, R. C., &amp; </w:t>
      </w:r>
      <w:proofErr w:type="spellStart"/>
      <w:r w:rsidRPr="00B0478C">
        <w:rPr>
          <w:rFonts w:ascii="Arial" w:eastAsia="Arial" w:hAnsi="Arial" w:cs="Arial"/>
          <w:color w:val="000000" w:themeColor="text1"/>
          <w:sz w:val="20"/>
          <w:szCs w:val="20"/>
        </w:rPr>
        <w:t>Granic</w:t>
      </w:r>
      <w:proofErr w:type="spellEnd"/>
      <w:r w:rsidRPr="00B0478C">
        <w:rPr>
          <w:rFonts w:ascii="Arial" w:eastAsia="Arial" w:hAnsi="Arial" w:cs="Arial"/>
          <w:color w:val="000000" w:themeColor="text1"/>
          <w:sz w:val="20"/>
          <w:szCs w:val="20"/>
        </w:rPr>
        <w:t xml:space="preserve">, I. (2020). An Integrative model for the Effectiveness of biofeedback interventions for anxiety regulation: Viewpoint. </w:t>
      </w:r>
      <w:r w:rsidRPr="00B0478C">
        <w:rPr>
          <w:rFonts w:ascii="Arial" w:eastAsia="Arial" w:hAnsi="Arial" w:cs="Arial"/>
          <w:i/>
          <w:iCs/>
          <w:color w:val="000000" w:themeColor="text1"/>
          <w:sz w:val="20"/>
          <w:szCs w:val="20"/>
        </w:rPr>
        <w:t>Journal of Medical Internet Research</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22</w:t>
      </w:r>
      <w:r w:rsidRPr="00B0478C">
        <w:rPr>
          <w:rFonts w:ascii="Arial" w:eastAsia="Arial" w:hAnsi="Arial" w:cs="Arial"/>
          <w:color w:val="000000" w:themeColor="text1"/>
          <w:sz w:val="20"/>
          <w:szCs w:val="20"/>
        </w:rPr>
        <w:t xml:space="preserve">(7), e14958. </w:t>
      </w:r>
      <w:hyperlink r:id="rId81">
        <w:r w:rsidRPr="00B0478C">
          <w:rPr>
            <w:rFonts w:ascii="Arial" w:eastAsia="Arial" w:hAnsi="Arial" w:cs="Arial"/>
            <w:color w:val="000000" w:themeColor="text1"/>
            <w:sz w:val="20"/>
            <w:szCs w:val="20"/>
            <w:u w:val="single"/>
          </w:rPr>
          <w:t>https://doi.org/10.2196/14958</w:t>
        </w:r>
      </w:hyperlink>
    </w:p>
    <w:p w14:paraId="51A314E8"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r w:rsidRPr="00B0478C">
        <w:rPr>
          <w:rFonts w:ascii="Arial" w:eastAsia="Arial" w:hAnsi="Arial" w:cs="Arial"/>
          <w:color w:val="000000" w:themeColor="text1"/>
          <w:sz w:val="20"/>
          <w:szCs w:val="20"/>
        </w:rPr>
        <w:t xml:space="preserve">Yu, L., </w:t>
      </w:r>
      <w:proofErr w:type="spellStart"/>
      <w:r w:rsidRPr="00B0478C">
        <w:rPr>
          <w:rFonts w:ascii="Arial" w:eastAsia="Arial" w:hAnsi="Arial" w:cs="Arial"/>
          <w:color w:val="000000" w:themeColor="text1"/>
          <w:sz w:val="20"/>
          <w:szCs w:val="20"/>
        </w:rPr>
        <w:t>Shek</w:t>
      </w:r>
      <w:proofErr w:type="spellEnd"/>
      <w:r w:rsidRPr="00B0478C">
        <w:rPr>
          <w:rFonts w:ascii="Arial" w:eastAsia="Arial" w:hAnsi="Arial" w:cs="Arial"/>
          <w:color w:val="000000" w:themeColor="text1"/>
          <w:sz w:val="20"/>
          <w:szCs w:val="20"/>
        </w:rPr>
        <w:t>, D. T. L., &amp; Zhu, X. (2018). The Influence of Personal Well-Being on Learning Achievement in University Students Over Time: Mediating or Moderating Effects of Internal and External University Engagement. </w:t>
      </w:r>
      <w:r w:rsidRPr="00B0478C">
        <w:rPr>
          <w:rFonts w:ascii="Arial" w:eastAsia="Arial" w:hAnsi="Arial" w:cs="Arial"/>
          <w:i/>
          <w:iCs/>
          <w:color w:val="000000" w:themeColor="text1"/>
          <w:sz w:val="20"/>
          <w:szCs w:val="20"/>
        </w:rPr>
        <w:t>Frontiers in psychology</w:t>
      </w:r>
      <w:r w:rsidRPr="00B0478C">
        <w:rPr>
          <w:rFonts w:ascii="Arial" w:eastAsia="Arial" w:hAnsi="Arial" w:cs="Arial"/>
          <w:color w:val="000000" w:themeColor="text1"/>
          <w:sz w:val="20"/>
          <w:szCs w:val="20"/>
        </w:rPr>
        <w:t>, </w:t>
      </w:r>
      <w:r w:rsidRPr="00B0478C">
        <w:rPr>
          <w:rFonts w:ascii="Arial" w:eastAsia="Arial" w:hAnsi="Arial" w:cs="Arial"/>
          <w:i/>
          <w:iCs/>
          <w:color w:val="000000" w:themeColor="text1"/>
          <w:sz w:val="20"/>
          <w:szCs w:val="20"/>
        </w:rPr>
        <w:t>8</w:t>
      </w:r>
      <w:r w:rsidRPr="00B0478C">
        <w:rPr>
          <w:rFonts w:ascii="Arial" w:eastAsia="Arial" w:hAnsi="Arial" w:cs="Arial"/>
          <w:color w:val="000000" w:themeColor="text1"/>
          <w:sz w:val="20"/>
          <w:szCs w:val="20"/>
        </w:rPr>
        <w:t xml:space="preserve">, 2287. </w:t>
      </w:r>
      <w:hyperlink r:id="rId82">
        <w:r w:rsidRPr="00B0478C">
          <w:rPr>
            <w:rFonts w:ascii="Arial" w:eastAsia="Arial" w:hAnsi="Arial" w:cs="Arial"/>
            <w:color w:val="000000" w:themeColor="text1"/>
            <w:sz w:val="20"/>
            <w:szCs w:val="20"/>
            <w:u w:val="single"/>
          </w:rPr>
          <w:t>https://doi.org/10.3389/fpsyg.2017.02287</w:t>
        </w:r>
      </w:hyperlink>
    </w:p>
    <w:p w14:paraId="7865F66C" w14:textId="77777777" w:rsidR="000E1A6B" w:rsidRPr="00B0478C" w:rsidRDefault="00175F13" w:rsidP="00B0478C">
      <w:pPr>
        <w:pStyle w:val="ListParagraph"/>
        <w:numPr>
          <w:ilvl w:val="0"/>
          <w:numId w:val="3"/>
        </w:numPr>
        <w:spacing w:line="276" w:lineRule="auto"/>
        <w:jc w:val="both"/>
        <w:rPr>
          <w:rFonts w:ascii="Arial" w:eastAsia="Arial" w:hAnsi="Arial" w:cs="Arial"/>
          <w:color w:val="000000" w:themeColor="text1"/>
          <w:sz w:val="20"/>
          <w:szCs w:val="20"/>
        </w:rPr>
      </w:pPr>
      <w:bookmarkStart w:id="45" w:name="_heading=h.dytteyprlprm" w:colFirst="0" w:colLast="0"/>
      <w:bookmarkEnd w:id="45"/>
      <w:r w:rsidRPr="00B0478C">
        <w:rPr>
          <w:rFonts w:ascii="Arial" w:eastAsia="Arial" w:hAnsi="Arial" w:cs="Arial"/>
          <w:color w:val="000000" w:themeColor="text1"/>
          <w:sz w:val="20"/>
          <w:szCs w:val="20"/>
        </w:rPr>
        <w:t xml:space="preserve">Zhang, Q., Peng, A., He, L., &amp; Li, X. (2025). Virtual reality gaming: A tool for reducing fear and anxiety in university students. </w:t>
      </w:r>
      <w:r w:rsidRPr="00B0478C">
        <w:rPr>
          <w:rFonts w:ascii="Arial" w:eastAsia="Arial" w:hAnsi="Arial" w:cs="Arial"/>
          <w:i/>
          <w:iCs/>
          <w:color w:val="000000" w:themeColor="text1"/>
          <w:sz w:val="20"/>
          <w:szCs w:val="20"/>
        </w:rPr>
        <w:t>Frontiers in Psychology</w:t>
      </w:r>
      <w:r w:rsidRPr="00B0478C">
        <w:rPr>
          <w:rFonts w:ascii="Arial" w:eastAsia="Arial" w:hAnsi="Arial" w:cs="Arial"/>
          <w:color w:val="000000" w:themeColor="text1"/>
          <w:sz w:val="20"/>
          <w:szCs w:val="20"/>
        </w:rPr>
        <w:t xml:space="preserve">, </w:t>
      </w:r>
      <w:r w:rsidRPr="00B0478C">
        <w:rPr>
          <w:rFonts w:ascii="Arial" w:eastAsia="Arial" w:hAnsi="Arial" w:cs="Arial"/>
          <w:i/>
          <w:iCs/>
          <w:color w:val="000000" w:themeColor="text1"/>
          <w:sz w:val="20"/>
          <w:szCs w:val="20"/>
        </w:rPr>
        <w:t>16</w:t>
      </w:r>
      <w:r w:rsidRPr="00B0478C">
        <w:rPr>
          <w:rFonts w:ascii="Arial" w:eastAsia="Arial" w:hAnsi="Arial" w:cs="Arial"/>
          <w:color w:val="000000" w:themeColor="text1"/>
          <w:sz w:val="20"/>
          <w:szCs w:val="20"/>
        </w:rPr>
        <w:t xml:space="preserve">, 1532753. </w:t>
      </w:r>
      <w:hyperlink r:id="rId83">
        <w:r w:rsidRPr="00B0478C">
          <w:rPr>
            <w:rFonts w:ascii="Arial" w:eastAsia="Arial" w:hAnsi="Arial" w:cs="Arial"/>
            <w:color w:val="000000" w:themeColor="text1"/>
            <w:sz w:val="20"/>
            <w:szCs w:val="20"/>
            <w:u w:val="single"/>
          </w:rPr>
          <w:t>https://doi.org/10.3389/fpsyg.2025.1532753</w:t>
        </w:r>
      </w:hyperlink>
    </w:p>
    <w:p w14:paraId="7AAB8DE2" w14:textId="77777777" w:rsidR="000E1A6B" w:rsidRPr="00B954DA" w:rsidRDefault="000E1A6B">
      <w:pPr>
        <w:spacing w:line="276" w:lineRule="auto"/>
        <w:ind w:hanging="720"/>
        <w:jc w:val="both"/>
        <w:rPr>
          <w:rFonts w:ascii="Arial" w:eastAsia="Arial" w:hAnsi="Arial" w:cs="Arial"/>
          <w:color w:val="000000" w:themeColor="text1"/>
          <w:sz w:val="20"/>
          <w:szCs w:val="20"/>
        </w:rPr>
      </w:pPr>
    </w:p>
    <w:sectPr w:rsidR="000E1A6B" w:rsidRPr="00B954D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1AD3A" w14:textId="77777777" w:rsidR="0004284C" w:rsidRDefault="0004284C" w:rsidP="006A4671">
      <w:pPr>
        <w:spacing w:after="0" w:line="240" w:lineRule="auto"/>
      </w:pPr>
      <w:r>
        <w:separator/>
      </w:r>
    </w:p>
  </w:endnote>
  <w:endnote w:type="continuationSeparator" w:id="0">
    <w:p w14:paraId="194A53F7" w14:textId="77777777" w:rsidR="0004284C" w:rsidRDefault="0004284C" w:rsidP="006A4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3B2A952-F0AF-41B5-A069-C56239DE32B5}"/>
    <w:embedBold r:id="rId2" w:fontKey="{3023A7A8-082C-4AD3-A7F3-F32AF3E84D14}"/>
    <w:embedItalic r:id="rId3" w:fontKey="{FC433AD2-77D0-4B23-BBB4-EB756B4B85BA}"/>
  </w:font>
  <w:font w:name="Calibri Light">
    <w:panose1 w:val="020F0302020204030204"/>
    <w:charset w:val="00"/>
    <w:family w:val="swiss"/>
    <w:pitch w:val="variable"/>
    <w:sig w:usb0="E4002EFF" w:usb1="C000247B" w:usb2="00000009" w:usb3="00000000" w:csb0="000001FF" w:csb1="00000000"/>
    <w:embedRegular r:id="rId4" w:fontKey="{0F78CA04-B7EA-46EC-BB18-8AE5BE96547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C1AA" w14:textId="77777777" w:rsidR="006A4671" w:rsidRDefault="006A4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03110" w14:textId="77777777" w:rsidR="006A4671" w:rsidRDefault="006A4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D4FD9" w14:textId="77777777" w:rsidR="006A4671" w:rsidRDefault="006A4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7F963" w14:textId="77777777" w:rsidR="0004284C" w:rsidRDefault="0004284C" w:rsidP="006A4671">
      <w:pPr>
        <w:spacing w:after="0" w:line="240" w:lineRule="auto"/>
      </w:pPr>
      <w:r>
        <w:separator/>
      </w:r>
    </w:p>
  </w:footnote>
  <w:footnote w:type="continuationSeparator" w:id="0">
    <w:p w14:paraId="3D7025D1" w14:textId="77777777" w:rsidR="0004284C" w:rsidRDefault="0004284C" w:rsidP="006A46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FC3E5" w14:textId="429F5BB0" w:rsidR="006A4671" w:rsidRDefault="0004284C">
    <w:pPr>
      <w:pStyle w:val="Header"/>
    </w:pPr>
    <w:r>
      <w:rPr>
        <w:noProof/>
      </w:rPr>
      <w:pict w14:anchorId="35060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0566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A1599" w14:textId="6D58A83B" w:rsidR="006A4671" w:rsidRDefault="0004284C">
    <w:pPr>
      <w:pStyle w:val="Header"/>
    </w:pPr>
    <w:r>
      <w:rPr>
        <w:noProof/>
      </w:rPr>
      <w:pict w14:anchorId="67817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0566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193D4" w14:textId="28E20199" w:rsidR="006A4671" w:rsidRDefault="0004284C">
    <w:pPr>
      <w:pStyle w:val="Header"/>
    </w:pPr>
    <w:r>
      <w:rPr>
        <w:noProof/>
      </w:rPr>
      <w:pict w14:anchorId="2D296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0566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D58A0"/>
    <w:multiLevelType w:val="hybridMultilevel"/>
    <w:tmpl w:val="85DA6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242FF3"/>
    <w:multiLevelType w:val="multilevel"/>
    <w:tmpl w:val="976819F8"/>
    <w:lvl w:ilvl="0">
      <w:start w:val="1"/>
      <w:numFmt w:val="decimal"/>
      <w:lvlText w:val="%1"/>
      <w:lvlJc w:val="left"/>
      <w:pPr>
        <w:ind w:left="360" w:hanging="360"/>
      </w:pPr>
      <w:rPr>
        <w:sz w:val="22"/>
        <w:szCs w:val="22"/>
      </w:rPr>
    </w:lvl>
    <w:lvl w:ilvl="1">
      <w:start w:val="3"/>
      <w:numFmt w:val="decimal"/>
      <w:lvlText w:val="%1.%2"/>
      <w:lvlJc w:val="left"/>
      <w:pPr>
        <w:ind w:left="360" w:hanging="360"/>
      </w:pPr>
      <w:rPr>
        <w:sz w:val="22"/>
        <w:szCs w:val="22"/>
      </w:rPr>
    </w:lvl>
    <w:lvl w:ilvl="2">
      <w:start w:val="1"/>
      <w:numFmt w:val="decimal"/>
      <w:lvlText w:val="%1.%2.%3"/>
      <w:lvlJc w:val="left"/>
      <w:pPr>
        <w:ind w:left="720" w:hanging="720"/>
      </w:pPr>
      <w:rPr>
        <w:sz w:val="22"/>
        <w:szCs w:val="22"/>
      </w:rPr>
    </w:lvl>
    <w:lvl w:ilvl="3">
      <w:start w:val="1"/>
      <w:numFmt w:val="decimal"/>
      <w:lvlText w:val="%1.%2.%3.%4"/>
      <w:lvlJc w:val="left"/>
      <w:pPr>
        <w:ind w:left="720" w:hanging="720"/>
      </w:pPr>
      <w:rPr>
        <w:sz w:val="22"/>
        <w:szCs w:val="22"/>
      </w:rPr>
    </w:lvl>
    <w:lvl w:ilvl="4">
      <w:start w:val="1"/>
      <w:numFmt w:val="decimal"/>
      <w:lvlText w:val="%1.%2.%3.%4.%5"/>
      <w:lvlJc w:val="left"/>
      <w:pPr>
        <w:ind w:left="1080" w:hanging="1080"/>
      </w:pPr>
      <w:rPr>
        <w:sz w:val="22"/>
        <w:szCs w:val="22"/>
      </w:rPr>
    </w:lvl>
    <w:lvl w:ilvl="5">
      <w:start w:val="1"/>
      <w:numFmt w:val="decimal"/>
      <w:lvlText w:val="%1.%2.%3.%4.%5.%6"/>
      <w:lvlJc w:val="left"/>
      <w:pPr>
        <w:ind w:left="1080" w:hanging="1080"/>
      </w:pPr>
      <w:rPr>
        <w:sz w:val="22"/>
        <w:szCs w:val="22"/>
      </w:rPr>
    </w:lvl>
    <w:lvl w:ilvl="6">
      <w:start w:val="1"/>
      <w:numFmt w:val="decimal"/>
      <w:lvlText w:val="%1.%2.%3.%4.%5.%6.%7"/>
      <w:lvlJc w:val="left"/>
      <w:pPr>
        <w:ind w:left="1440" w:hanging="1440"/>
      </w:pPr>
      <w:rPr>
        <w:sz w:val="22"/>
        <w:szCs w:val="22"/>
      </w:rPr>
    </w:lvl>
    <w:lvl w:ilvl="7">
      <w:start w:val="1"/>
      <w:numFmt w:val="decimal"/>
      <w:lvlText w:val="%1.%2.%3.%4.%5.%6.%7.%8"/>
      <w:lvlJc w:val="left"/>
      <w:pPr>
        <w:ind w:left="1440" w:hanging="1440"/>
      </w:pPr>
      <w:rPr>
        <w:sz w:val="22"/>
        <w:szCs w:val="22"/>
      </w:rPr>
    </w:lvl>
    <w:lvl w:ilvl="8">
      <w:start w:val="1"/>
      <w:numFmt w:val="decimal"/>
      <w:lvlText w:val="%1.%2.%3.%4.%5.%6.%7.%8.%9"/>
      <w:lvlJc w:val="left"/>
      <w:pPr>
        <w:ind w:left="1800" w:hanging="1800"/>
      </w:pPr>
      <w:rPr>
        <w:sz w:val="22"/>
        <w:szCs w:val="22"/>
      </w:rPr>
    </w:lvl>
  </w:abstractNum>
  <w:abstractNum w:abstractNumId="2" w15:restartNumberingAfterBreak="0">
    <w:nsid w:val="753546BA"/>
    <w:multiLevelType w:val="multilevel"/>
    <w:tmpl w:val="238E650A"/>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A6B"/>
    <w:rsid w:val="0004284C"/>
    <w:rsid w:val="000428AB"/>
    <w:rsid w:val="00082694"/>
    <w:rsid w:val="000E1A6B"/>
    <w:rsid w:val="00145359"/>
    <w:rsid w:val="00175F13"/>
    <w:rsid w:val="001D3E62"/>
    <w:rsid w:val="001F04BF"/>
    <w:rsid w:val="00216EEE"/>
    <w:rsid w:val="002A5C3E"/>
    <w:rsid w:val="002C0ACE"/>
    <w:rsid w:val="002E44C6"/>
    <w:rsid w:val="002F0E8E"/>
    <w:rsid w:val="00347BDB"/>
    <w:rsid w:val="00375777"/>
    <w:rsid w:val="003B4F16"/>
    <w:rsid w:val="003E7AC4"/>
    <w:rsid w:val="004F7FE9"/>
    <w:rsid w:val="0052709D"/>
    <w:rsid w:val="00592AA4"/>
    <w:rsid w:val="005A5641"/>
    <w:rsid w:val="006012F7"/>
    <w:rsid w:val="00661E52"/>
    <w:rsid w:val="00674F9F"/>
    <w:rsid w:val="006A4671"/>
    <w:rsid w:val="006C3EE9"/>
    <w:rsid w:val="006C794C"/>
    <w:rsid w:val="006F6FAD"/>
    <w:rsid w:val="00721094"/>
    <w:rsid w:val="007439E4"/>
    <w:rsid w:val="00846C07"/>
    <w:rsid w:val="00862FFD"/>
    <w:rsid w:val="00871248"/>
    <w:rsid w:val="008B3EF5"/>
    <w:rsid w:val="008C6A2A"/>
    <w:rsid w:val="008E7A95"/>
    <w:rsid w:val="00932162"/>
    <w:rsid w:val="00990A56"/>
    <w:rsid w:val="00991729"/>
    <w:rsid w:val="009946DE"/>
    <w:rsid w:val="00A65189"/>
    <w:rsid w:val="00A7411B"/>
    <w:rsid w:val="00A87882"/>
    <w:rsid w:val="00AC4844"/>
    <w:rsid w:val="00B0478C"/>
    <w:rsid w:val="00B35C92"/>
    <w:rsid w:val="00B91B16"/>
    <w:rsid w:val="00B954DA"/>
    <w:rsid w:val="00BA02FD"/>
    <w:rsid w:val="00BC045D"/>
    <w:rsid w:val="00C92F51"/>
    <w:rsid w:val="00CD1392"/>
    <w:rsid w:val="00CD7056"/>
    <w:rsid w:val="00CE2C10"/>
    <w:rsid w:val="00CE7BE1"/>
    <w:rsid w:val="00D67E4A"/>
    <w:rsid w:val="00DC6C86"/>
    <w:rsid w:val="00DD5F74"/>
    <w:rsid w:val="00E341E2"/>
    <w:rsid w:val="00E40B3F"/>
    <w:rsid w:val="00E410C2"/>
    <w:rsid w:val="00E4313D"/>
    <w:rsid w:val="00EE23B8"/>
    <w:rsid w:val="00EF0D4F"/>
    <w:rsid w:val="00F34549"/>
    <w:rsid w:val="00F43927"/>
    <w:rsid w:val="00F850C9"/>
    <w:rsid w:val="00FA47C4"/>
    <w:rsid w:val="00FB713D"/>
    <w:rsid w:val="00FC2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A9747B"/>
  <w15:docId w15:val="{2D41D24E-5560-436C-8DC9-C7F52BFC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43E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3E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3E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43E31"/>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E43E31"/>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E43E31"/>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E43E31"/>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E43E31"/>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E43E31"/>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43E31"/>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43E31"/>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43E31"/>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E43E31"/>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E43E31"/>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43E31"/>
    <w:pPr>
      <w:spacing w:before="160"/>
      <w:jc w:val="center"/>
    </w:pPr>
    <w:rPr>
      <w:i/>
      <w:iCs/>
      <w:color w:val="404040" w:themeColor="text1" w:themeTint="BF"/>
    </w:rPr>
  </w:style>
  <w:style w:type="character" w:customStyle="1" w:styleId="QuoteChar">
    <w:name w:val="Quote Char"/>
    <w:basedOn w:val="DefaultParagraphFont"/>
    <w:link w:val="Quote"/>
    <w:uiPriority w:val="29"/>
    <w:rsid w:val="00E43E31"/>
    <w:rPr>
      <w:i/>
      <w:iCs/>
      <w:color w:val="404040" w:themeColor="text1" w:themeTint="BF"/>
      <w:lang w:val="en-GB"/>
    </w:rPr>
  </w:style>
  <w:style w:type="paragraph" w:styleId="ListParagraph">
    <w:name w:val="List Paragraph"/>
    <w:basedOn w:val="Normal"/>
    <w:uiPriority w:val="34"/>
    <w:qFormat/>
    <w:rsid w:val="00E43E31"/>
    <w:pPr>
      <w:ind w:left="720"/>
      <w:contextualSpacing/>
    </w:pPr>
  </w:style>
  <w:style w:type="character" w:styleId="IntenseEmphasis">
    <w:name w:val="Intense Emphasis"/>
    <w:basedOn w:val="DefaultParagraphFont"/>
    <w:uiPriority w:val="21"/>
    <w:qFormat/>
    <w:rsid w:val="00E43E31"/>
    <w:rPr>
      <w:i/>
      <w:iCs/>
      <w:color w:val="2F5496" w:themeColor="accent1" w:themeShade="BF"/>
    </w:rPr>
  </w:style>
  <w:style w:type="paragraph" w:styleId="IntenseQuote">
    <w:name w:val="Intense Quote"/>
    <w:basedOn w:val="Normal"/>
    <w:next w:val="Normal"/>
    <w:link w:val="IntenseQuoteChar"/>
    <w:uiPriority w:val="30"/>
    <w:qFormat/>
    <w:rsid w:val="00E43E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3E31"/>
    <w:rPr>
      <w:i/>
      <w:iCs/>
      <w:color w:val="2F5496" w:themeColor="accent1" w:themeShade="BF"/>
      <w:lang w:val="en-GB"/>
    </w:rPr>
  </w:style>
  <w:style w:type="character" w:styleId="IntenseReference">
    <w:name w:val="Intense Reference"/>
    <w:basedOn w:val="DefaultParagraphFont"/>
    <w:uiPriority w:val="32"/>
    <w:qFormat/>
    <w:rsid w:val="00E43E31"/>
    <w:rPr>
      <w:b/>
      <w:bCs/>
      <w:smallCaps/>
      <w:color w:val="2F5496" w:themeColor="accent1" w:themeShade="BF"/>
      <w:spacing w:val="5"/>
    </w:rPr>
  </w:style>
  <w:style w:type="character" w:styleId="Hyperlink">
    <w:name w:val="Hyperlink"/>
    <w:basedOn w:val="DefaultParagraphFont"/>
    <w:uiPriority w:val="99"/>
    <w:unhideWhenUsed/>
    <w:rsid w:val="008B6210"/>
    <w:rPr>
      <w:color w:val="0563C1" w:themeColor="hyperlink"/>
      <w:u w:val="single"/>
    </w:rPr>
  </w:style>
  <w:style w:type="character" w:customStyle="1" w:styleId="UnresolvedMention1">
    <w:name w:val="Unresolved Mention1"/>
    <w:basedOn w:val="DefaultParagraphFont"/>
    <w:uiPriority w:val="99"/>
    <w:semiHidden/>
    <w:unhideWhenUsed/>
    <w:rsid w:val="008B6210"/>
    <w:rPr>
      <w:color w:val="605E5C"/>
      <w:shd w:val="clear" w:color="auto" w:fill="E1DFDD"/>
    </w:rPr>
  </w:style>
  <w:style w:type="table" w:styleId="TableGrid">
    <w:name w:val="Table Grid"/>
    <w:basedOn w:val="TableNormal"/>
    <w:uiPriority w:val="39"/>
    <w:rsid w:val="001F6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4DAC"/>
    <w:rPr>
      <w:rFonts w:ascii="Times New Roman" w:hAnsi="Times New Roman" w:cs="Times New Roman"/>
      <w:sz w:val="24"/>
      <w:szCs w:val="24"/>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customStyle="1" w:styleId="go">
    <w:name w:val="go"/>
    <w:basedOn w:val="DefaultParagraphFont"/>
    <w:rsid w:val="00175F13"/>
  </w:style>
  <w:style w:type="paragraph" w:styleId="Header">
    <w:name w:val="header"/>
    <w:basedOn w:val="Normal"/>
    <w:link w:val="HeaderChar"/>
    <w:uiPriority w:val="99"/>
    <w:unhideWhenUsed/>
    <w:rsid w:val="006A4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671"/>
  </w:style>
  <w:style w:type="paragraph" w:styleId="Footer">
    <w:name w:val="footer"/>
    <w:basedOn w:val="Normal"/>
    <w:link w:val="FooterChar"/>
    <w:uiPriority w:val="99"/>
    <w:unhideWhenUsed/>
    <w:rsid w:val="006A46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6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743598">
      <w:bodyDiv w:val="1"/>
      <w:marLeft w:val="0"/>
      <w:marRight w:val="0"/>
      <w:marTop w:val="0"/>
      <w:marBottom w:val="0"/>
      <w:divBdr>
        <w:top w:val="none" w:sz="0" w:space="0" w:color="auto"/>
        <w:left w:val="none" w:sz="0" w:space="0" w:color="auto"/>
        <w:bottom w:val="none" w:sz="0" w:space="0" w:color="auto"/>
        <w:right w:val="none" w:sz="0" w:space="0" w:color="auto"/>
      </w:divBdr>
    </w:div>
    <w:div w:id="1788967609">
      <w:bodyDiv w:val="1"/>
      <w:marLeft w:val="0"/>
      <w:marRight w:val="0"/>
      <w:marTop w:val="0"/>
      <w:marBottom w:val="0"/>
      <w:divBdr>
        <w:top w:val="none" w:sz="0" w:space="0" w:color="auto"/>
        <w:left w:val="none" w:sz="0" w:space="0" w:color="auto"/>
        <w:bottom w:val="none" w:sz="0" w:space="0" w:color="auto"/>
        <w:right w:val="none" w:sz="0" w:space="0" w:color="auto"/>
      </w:divBdr>
    </w:div>
    <w:div w:id="2118867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teler.2025.100217" TargetMode="External"/><Relationship Id="rId21" Type="http://schemas.openxmlformats.org/officeDocument/2006/relationships/hyperlink" Target="https://doi.org/10.1016/j.nedt.2025.106571" TargetMode="External"/><Relationship Id="rId42" Type="http://schemas.openxmlformats.org/officeDocument/2006/relationships/hyperlink" Target="https://doi.org/10.1007/s10964-023-01770-1" TargetMode="External"/><Relationship Id="rId47" Type="http://schemas.openxmlformats.org/officeDocument/2006/relationships/hyperlink" Target="https://doi.org/10.1016/j.invent.2025.100824" TargetMode="External"/><Relationship Id="rId63" Type="http://schemas.openxmlformats.org/officeDocument/2006/relationships/hyperlink" Target="https://doi.org/10.12669/pjms.41.9.12009" TargetMode="External"/><Relationship Id="rId68" Type="http://schemas.openxmlformats.org/officeDocument/2006/relationships/hyperlink" Target="https://doi.org/10.3390/educsci15020121" TargetMode="External"/><Relationship Id="rId84" Type="http://schemas.openxmlformats.org/officeDocument/2006/relationships/fontTable" Target="fontTable.xml"/><Relationship Id="rId16" Type="http://schemas.openxmlformats.org/officeDocument/2006/relationships/hyperlink" Target="https://doi.org/10.3390/psychiatryint2040032" TargetMode="External"/><Relationship Id="rId11" Type="http://schemas.openxmlformats.org/officeDocument/2006/relationships/footer" Target="footer1.xml"/><Relationship Id="rId32" Type="http://schemas.openxmlformats.org/officeDocument/2006/relationships/hyperlink" Target="https://doi.org/10.3389/fpubh.2025.1600059" TargetMode="External"/><Relationship Id="rId37" Type="http://schemas.openxmlformats.org/officeDocument/2006/relationships/hyperlink" Target="https://doi.org/10.1016/j.ssmmh.2025.100540" TargetMode="External"/><Relationship Id="rId53" Type="http://schemas.openxmlformats.org/officeDocument/2006/relationships/hyperlink" Target="https://doi.org/10.3934/publichealth.2021004" TargetMode="External"/><Relationship Id="rId58" Type="http://schemas.openxmlformats.org/officeDocument/2006/relationships/hyperlink" Target="https://doi.org/10.2196/69031" TargetMode="External"/><Relationship Id="rId74" Type="http://schemas.openxmlformats.org/officeDocument/2006/relationships/hyperlink" Target="https://doi.org/10.1016/j.ijpsycho.2020.11.009" TargetMode="External"/><Relationship Id="rId79" Type="http://schemas.openxmlformats.org/officeDocument/2006/relationships/hyperlink" Target="https://doi.org/10.56778/jdlde.v4i1.511" TargetMode="External"/><Relationship Id="rId5" Type="http://schemas.openxmlformats.org/officeDocument/2006/relationships/settings" Target="settings.xml"/><Relationship Id="rId19" Type="http://schemas.openxmlformats.org/officeDocument/2006/relationships/hyperlink" Target="https://doi.org/10.1002/mpr.1938" TargetMode="External"/><Relationship Id="rId14" Type="http://schemas.openxmlformats.org/officeDocument/2006/relationships/footer" Target="footer3.xml"/><Relationship Id="rId22" Type="http://schemas.openxmlformats.org/officeDocument/2006/relationships/hyperlink" Target="https://doi.org/10.3389/fpsyg.2020.01063" TargetMode="External"/><Relationship Id="rId27" Type="http://schemas.openxmlformats.org/officeDocument/2006/relationships/hyperlink" Target="https://doi.org/10.18502/ijps.v20i1.17395" TargetMode="External"/><Relationship Id="rId30" Type="http://schemas.openxmlformats.org/officeDocument/2006/relationships/hyperlink" Target="https://doi.org/10.2196/mental.7785" TargetMode="External"/><Relationship Id="rId35" Type="http://schemas.openxmlformats.org/officeDocument/2006/relationships/hyperlink" Target="https://doi.org/10.3390/medicina61030431" TargetMode="External"/><Relationship Id="rId43" Type="http://schemas.openxmlformats.org/officeDocument/2006/relationships/hyperlink" Target="https://doi.org/10.1080/20008066.2025.2488097" TargetMode="External"/><Relationship Id="rId48" Type="http://schemas.openxmlformats.org/officeDocument/2006/relationships/hyperlink" Target="https://doi.org/10.1111/eip.70017" TargetMode="External"/><Relationship Id="rId56" Type="http://schemas.openxmlformats.org/officeDocument/2006/relationships/hyperlink" Target="https://doi.org/10.1186/s12913-023-09083-6" TargetMode="External"/><Relationship Id="rId64" Type="http://schemas.openxmlformats.org/officeDocument/2006/relationships/hyperlink" Target="https://doi.org/10.1186/s43055-025-01571-5" TargetMode="External"/><Relationship Id="rId69" Type="http://schemas.openxmlformats.org/officeDocument/2006/relationships/hyperlink" Target="https://doi.org/10.5812/intjsh.82609" TargetMode="External"/><Relationship Id="rId77" Type="http://schemas.openxmlformats.org/officeDocument/2006/relationships/hyperlink" Target="https://doi.org/10.1002/wps.21299" TargetMode="External"/><Relationship Id="rId8" Type="http://schemas.openxmlformats.org/officeDocument/2006/relationships/endnotes" Target="endnotes.xml"/><Relationship Id="rId51" Type="http://schemas.openxmlformats.org/officeDocument/2006/relationships/hyperlink" Target="https://doi.org/10.17471/2499-4324/1395" TargetMode="External"/><Relationship Id="rId72" Type="http://schemas.openxmlformats.org/officeDocument/2006/relationships/hyperlink" Target="https://doi.org/10.54517/m.v5i1.2707" TargetMode="External"/><Relationship Id="rId80" Type="http://schemas.openxmlformats.org/officeDocument/2006/relationships/hyperlink" Target="https://doi.org/10.1186/s13063-025-09023-1"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doi.org/10.54660/IJPGRR.2025.2.1.28-38" TargetMode="External"/><Relationship Id="rId25" Type="http://schemas.openxmlformats.org/officeDocument/2006/relationships/hyperlink" Target="https://doi.org/10.1002/wps.20355" TargetMode="External"/><Relationship Id="rId33" Type="http://schemas.openxmlformats.org/officeDocument/2006/relationships/hyperlink" Target="https://doi.org/10.4103/indianjpsychiatry.indianjpsychiatry_707_23" TargetMode="External"/><Relationship Id="rId38" Type="http://schemas.openxmlformats.org/officeDocument/2006/relationships/hyperlink" Target="https://doi.org/10.7717/peerj.13111" TargetMode="External"/><Relationship Id="rId46" Type="http://schemas.openxmlformats.org/officeDocument/2006/relationships/hyperlink" Target="https://doi.org/10.54254/2753-7048/2026.HT28870" TargetMode="External"/><Relationship Id="rId59" Type="http://schemas.openxmlformats.org/officeDocument/2006/relationships/hyperlink" Target="https://doi.org/10.1186/s13643-021-01626-4" TargetMode="External"/><Relationship Id="rId67" Type="http://schemas.openxmlformats.org/officeDocument/2006/relationships/hyperlink" Target="https://doi.org/10.2174/0117450179271467231231060255" TargetMode="External"/><Relationship Id="rId20" Type="http://schemas.openxmlformats.org/officeDocument/2006/relationships/hyperlink" Target="https://doi.org/10.1016/j.infoh.2024.07.003" TargetMode="External"/><Relationship Id="rId41" Type="http://schemas.openxmlformats.org/officeDocument/2006/relationships/hyperlink" Target="https://doi.org/10.2196/47960" TargetMode="External"/><Relationship Id="rId54" Type="http://schemas.openxmlformats.org/officeDocument/2006/relationships/hyperlink" Target="https://doi.org/10.1016/j.invent.2023.100676" TargetMode="External"/><Relationship Id="rId62" Type="http://schemas.openxmlformats.org/officeDocument/2006/relationships/hyperlink" Target="https://doi.org/10.1007/s44202-024-00240-4" TargetMode="External"/><Relationship Id="rId70" Type="http://schemas.openxmlformats.org/officeDocument/2006/relationships/hyperlink" Target="https://doi.org/10.3389/fpsyg.2019.02778" TargetMode="External"/><Relationship Id="rId75" Type="http://schemas.openxmlformats.org/officeDocument/2006/relationships/hyperlink" Target="https://doi.org/10.1017/S1754470X22000423" TargetMode="External"/><Relationship Id="rId83" Type="http://schemas.openxmlformats.org/officeDocument/2006/relationships/hyperlink" Target="https://doi.org/10.3389/fpsyg.2025.153275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31478/202206e" TargetMode="External"/><Relationship Id="rId23" Type="http://schemas.openxmlformats.org/officeDocument/2006/relationships/hyperlink" Target="https://doi.org/10.1016/j.heliyon.2024.e39630" TargetMode="External"/><Relationship Id="rId28" Type="http://schemas.openxmlformats.org/officeDocument/2006/relationships/hyperlink" Target="https://doi.org/10.3390/children12030353" TargetMode="External"/><Relationship Id="rId36" Type="http://schemas.openxmlformats.org/officeDocument/2006/relationships/hyperlink" Target="https://doi.org/10.1016/j.sintl.2021.100117" TargetMode="External"/><Relationship Id="rId49" Type="http://schemas.openxmlformats.org/officeDocument/2006/relationships/hyperlink" Target="https://doi.org/10.2196/55786" TargetMode="External"/><Relationship Id="rId57" Type="http://schemas.openxmlformats.org/officeDocument/2006/relationships/hyperlink" Target="https://doi.org/10.1371/journal.pone.0171030" TargetMode="External"/><Relationship Id="rId10" Type="http://schemas.openxmlformats.org/officeDocument/2006/relationships/header" Target="header2.xml"/><Relationship Id="rId31" Type="http://schemas.openxmlformats.org/officeDocument/2006/relationships/hyperlink" Target="https://doi.org/10.1186/s40359-025-02619-x" TargetMode="External"/><Relationship Id="rId44" Type="http://schemas.openxmlformats.org/officeDocument/2006/relationships/hyperlink" Target="https://doi.org/10.1111/eip.70094" TargetMode="External"/><Relationship Id="rId52" Type="http://schemas.openxmlformats.org/officeDocument/2006/relationships/hyperlink" Target="https://doi.org/10.1108/S2754-586520230000002007" TargetMode="External"/><Relationship Id="rId60" Type="http://schemas.openxmlformats.org/officeDocument/2006/relationships/hyperlink" Target="https://doi.org/10.1093/arclin/acab053" TargetMode="External"/><Relationship Id="rId65" Type="http://schemas.openxmlformats.org/officeDocument/2006/relationships/hyperlink" Target="https://doi.org/10.1016/j.actpsy.2025.104704" TargetMode="External"/><Relationship Id="rId73" Type="http://schemas.openxmlformats.org/officeDocument/2006/relationships/hyperlink" Target="https://doi.org/10.1186/s40359-025-02491-9" TargetMode="External"/><Relationship Id="rId78" Type="http://schemas.openxmlformats.org/officeDocument/2006/relationships/hyperlink" Target="https://doi.org/10.1002/wps.21299" TargetMode="External"/><Relationship Id="rId81" Type="http://schemas.openxmlformats.org/officeDocument/2006/relationships/hyperlink" Target="https://doi.org/10.2196/14958"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doi.org/10.2196/27400" TargetMode="External"/><Relationship Id="rId39" Type="http://schemas.openxmlformats.org/officeDocument/2006/relationships/hyperlink" Target="https://doi.org/10.3389/fpsyt.2022.809332" TargetMode="External"/><Relationship Id="rId34" Type="http://schemas.openxmlformats.org/officeDocument/2006/relationships/hyperlink" Target="https://doi.org/10.1177/20552076231216559" TargetMode="External"/><Relationship Id="rId50" Type="http://schemas.openxmlformats.org/officeDocument/2006/relationships/hyperlink" Target="https://doi.org/10.1007/s12144-022-03801-9" TargetMode="External"/><Relationship Id="rId55" Type="http://schemas.openxmlformats.org/officeDocument/2006/relationships/hyperlink" Target="https://doi.org/10.3390/educsci15091192" TargetMode="External"/><Relationship Id="rId76" Type="http://schemas.openxmlformats.org/officeDocument/2006/relationships/hyperlink" Target="https://doi.org/10.1016/j.invent.2022.100528" TargetMode="External"/><Relationship Id="rId7" Type="http://schemas.openxmlformats.org/officeDocument/2006/relationships/footnotes" Target="footnotes.xml"/><Relationship Id="rId71" Type="http://schemas.openxmlformats.org/officeDocument/2006/relationships/hyperlink" Target="https://doi.org/10.1016/j.jad.2024.09.116" TargetMode="External"/><Relationship Id="rId2" Type="http://schemas.openxmlformats.org/officeDocument/2006/relationships/customXml" Target="../customXml/item2.xml"/><Relationship Id="rId29" Type="http://schemas.openxmlformats.org/officeDocument/2006/relationships/hyperlink" Target="https://doi.org/10.2196/39686" TargetMode="External"/><Relationship Id="rId24" Type="http://schemas.openxmlformats.org/officeDocument/2006/relationships/hyperlink" Target="https://doi.org/10.1016/j.lindif.2024.102608" TargetMode="External"/><Relationship Id="rId40" Type="http://schemas.openxmlformats.org/officeDocument/2006/relationships/hyperlink" Target="https://doi.org/10.3390/info15120813" TargetMode="External"/><Relationship Id="rId45" Type="http://schemas.openxmlformats.org/officeDocument/2006/relationships/hyperlink" Target="https://doi.org/10.2196/12869" TargetMode="External"/><Relationship Id="rId66" Type="http://schemas.openxmlformats.org/officeDocument/2006/relationships/hyperlink" Target="https://doi.org/10.2174/0117450179271467231231060255" TargetMode="External"/><Relationship Id="rId61" Type="http://schemas.openxmlformats.org/officeDocument/2006/relationships/hyperlink" Target="https://ojs.mrj.com.pk/index.php/MRJ/issue/view/14" TargetMode="External"/><Relationship Id="rId82" Type="http://schemas.openxmlformats.org/officeDocument/2006/relationships/hyperlink" Target="https://doi.org/10.3389/fpsyg.2017.0228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ClV+Nni3aj3OALNENWkV3iFq7Q==">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9FE3FF-1959-4854-AA7C-223693BD3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21</Pages>
  <Words>10431</Words>
  <Characters>59458</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60</cp:revision>
  <dcterms:created xsi:type="dcterms:W3CDTF">2025-11-25T08:32:00Z</dcterms:created>
  <dcterms:modified xsi:type="dcterms:W3CDTF">2026-02-07T05:57:00Z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d18493dc-c057-4153-b87a-35b508d475b1</vt:lpwstr>
  </property>
</Properties>
</file>