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44FED" w14:textId="77777777" w:rsidR="00420546" w:rsidRDefault="00420546" w:rsidP="00441B88">
      <w:pPr>
        <w:jc w:val="center"/>
      </w:pPr>
    </w:p>
    <w:p w14:paraId="3F3AF9A2" w14:textId="7C46593E" w:rsidR="00687550" w:rsidRDefault="00687550" w:rsidP="00687550">
      <w:pPr>
        <w:jc w:val="center"/>
        <w:rPr>
          <w:rFonts w:ascii="Arial Black" w:hAnsi="Arial Black"/>
        </w:rPr>
      </w:pPr>
      <w:r w:rsidRPr="004D299E">
        <w:rPr>
          <w:rFonts w:ascii="Arial Black" w:hAnsi="Arial Black"/>
        </w:rPr>
        <w:t xml:space="preserve">From </w:t>
      </w:r>
      <w:r>
        <w:rPr>
          <w:rFonts w:ascii="Arial Black" w:hAnsi="Arial Black"/>
        </w:rPr>
        <w:t>t</w:t>
      </w:r>
      <w:r w:rsidRPr="004D299E">
        <w:rPr>
          <w:rFonts w:ascii="Arial Black" w:hAnsi="Arial Black"/>
        </w:rPr>
        <w:t xml:space="preserve">he </w:t>
      </w:r>
      <w:r>
        <w:rPr>
          <w:rFonts w:ascii="Arial Black" w:hAnsi="Arial Black"/>
        </w:rPr>
        <w:t>Conventional Cooking Technologies</w:t>
      </w:r>
      <w:r w:rsidRPr="004D299E">
        <w:rPr>
          <w:rFonts w:ascii="Arial Black" w:hAnsi="Arial Black"/>
        </w:rPr>
        <w:t xml:space="preserve"> </w:t>
      </w:r>
      <w:r>
        <w:rPr>
          <w:rFonts w:ascii="Arial Black" w:hAnsi="Arial Black"/>
        </w:rPr>
        <w:t>to t</w:t>
      </w:r>
      <w:r w:rsidRPr="004D299E">
        <w:rPr>
          <w:rFonts w:ascii="Arial Black" w:hAnsi="Arial Black"/>
        </w:rPr>
        <w:t>he</w:t>
      </w:r>
      <w:r w:rsidR="00ED279F">
        <w:rPr>
          <w:rFonts w:ascii="Arial Black" w:hAnsi="Arial Black"/>
        </w:rPr>
        <w:t xml:space="preserve"> </w:t>
      </w:r>
      <w:r w:rsidRPr="004D299E">
        <w:rPr>
          <w:rFonts w:ascii="Arial Black" w:hAnsi="Arial Black"/>
        </w:rPr>
        <w:t>Next-Gene</w:t>
      </w:r>
      <w:r>
        <w:rPr>
          <w:rFonts w:ascii="Arial Black" w:hAnsi="Arial Black"/>
        </w:rPr>
        <w:t xml:space="preserve">ration Biomedical-Grade </w:t>
      </w:r>
      <w:r w:rsidRPr="004D299E">
        <w:rPr>
          <w:rFonts w:ascii="Arial Black" w:hAnsi="Arial Black"/>
        </w:rPr>
        <w:t>Ovens: A Comprehensive Review</w:t>
      </w:r>
      <w:r w:rsidR="001941A5">
        <w:rPr>
          <w:rFonts w:ascii="Arial Black" w:hAnsi="Arial Black"/>
        </w:rPr>
        <w:t xml:space="preserve"> </w:t>
      </w:r>
    </w:p>
    <w:p w14:paraId="37557E85" w14:textId="77777777" w:rsidR="00D42499" w:rsidRDefault="00D42499" w:rsidP="00D42499">
      <w:pPr>
        <w:spacing w:line="276" w:lineRule="auto"/>
        <w:jc w:val="center"/>
        <w:rPr>
          <w:rStyle w:val="Strong"/>
        </w:rPr>
      </w:pPr>
    </w:p>
    <w:p w14:paraId="5487A114" w14:textId="77777777" w:rsidR="008045ED" w:rsidRDefault="008045ED" w:rsidP="008045ED">
      <w:pPr>
        <w:spacing w:line="276" w:lineRule="auto"/>
        <w:jc w:val="center"/>
        <w:rPr>
          <w:rStyle w:val="Strong"/>
        </w:rPr>
      </w:pPr>
    </w:p>
    <w:p w14:paraId="6CFCE7CE" w14:textId="77777777" w:rsidR="00441B88" w:rsidRPr="00441B88" w:rsidRDefault="00441B88" w:rsidP="00441B88"/>
    <w:p w14:paraId="3D55CC70" w14:textId="4AC02BBB" w:rsidR="00441B88" w:rsidRPr="00441B88" w:rsidRDefault="00441B88" w:rsidP="0007019F">
      <w:pPr>
        <w:pStyle w:val="Heading1"/>
      </w:pPr>
      <w:r w:rsidRPr="00441B88">
        <w:t>Abstract</w:t>
      </w:r>
      <w:r w:rsidR="00423AF8">
        <w:t xml:space="preserve"> </w:t>
      </w:r>
    </w:p>
    <w:p w14:paraId="60ADF1B1" w14:textId="77777777" w:rsidR="008B4976" w:rsidRPr="008B4976" w:rsidRDefault="003221B9" w:rsidP="008B4976">
      <w:pPr>
        <w:pStyle w:val="NormalWeb"/>
        <w:jc w:val="both"/>
      </w:pPr>
      <w:r>
        <w:t>Electric and gas cooking appliances are widely used in domestic, clinical, and industrial environments, yet both present distinct health risks. Open butane gas burners, common in many Nigerian households, produce visible flames</w:t>
      </w:r>
      <w:r w:rsidR="00AF3971">
        <w:t>,</w:t>
      </w:r>
      <w:r>
        <w:t xml:space="preserve"> but often release toxic gases such as carbon monoxide (CO), nitrogen oxides (NOx), and unburned hydrocarbons due to incomplete combustion, posing immediate respiratory hazards. In contrast, electric cooking ovens operate with closed, unseen heat sources that provide precise temperature control</w:t>
      </w:r>
      <w:r w:rsidR="00107033">
        <w:t xml:space="preserve"> and improved hygiene but emit Volatile Organic C</w:t>
      </w:r>
      <w:r>
        <w:t xml:space="preserve">ompounds (VOCs), aldehydes, and low-level electromagnetic radiation from heating coils, control circuits, and fans. These emissions, although generally within regulatory limits, may accumulate over time and affect vulnerable populations such as patients, laboratory staff, children, and individuals with respiratory or neurological sensitivities. This comprehensive review examines the scientific basis and engineering strategies for developing a </w:t>
      </w:r>
      <w:r w:rsidRPr="003221B9">
        <w:rPr>
          <w:rStyle w:val="Strong"/>
          <w:b w:val="0"/>
        </w:rPr>
        <w:t>biomedical-grade cooking oven</w:t>
      </w:r>
      <w:r>
        <w:t xml:space="preserve"> capable of neutralizing toxic gas emissions and attenuating electromagnetic fields. Advanced gas filtration methods, including catalytic converters and activated carbon adsorption, electromagnetic shielding materials, Faraday-cage architectures, and smart sensor-driven monitoring systems are synthesized as an integrated framework for next-generation ovens. The review also identifies future research directions, commercialization challenges, and gaps in current designs, aiming to guide the development of safe, health-conscious cooking appliances for both domestic and biomedical settings.</w:t>
      </w:r>
      <w:r w:rsidR="008B4976">
        <w:t xml:space="preserve"> </w:t>
      </w:r>
      <w:r w:rsidR="008B4976" w:rsidRPr="008B4976">
        <w:t>This review critically examines conventional and next-generation cooking technologies, highlighting their chemical and electromagnetic health impacts while proposing integrated engineering strategies for the development of safer biomedical-grade cooking ovens.</w:t>
      </w:r>
    </w:p>
    <w:p w14:paraId="1F90AF3E" w14:textId="58B35447" w:rsidR="003221B9" w:rsidRDefault="003221B9" w:rsidP="003221B9">
      <w:pPr>
        <w:spacing w:before="100" w:beforeAutospacing="1" w:after="100" w:afterAutospacing="1"/>
        <w:jc w:val="both"/>
      </w:pPr>
    </w:p>
    <w:p w14:paraId="0C9FAD1A" w14:textId="77777777" w:rsidR="0092112B" w:rsidRDefault="00441B88" w:rsidP="00FB76E4">
      <w:pPr>
        <w:spacing w:before="100" w:beforeAutospacing="1" w:after="100" w:afterAutospacing="1"/>
        <w:ind w:left="1134" w:hanging="1134"/>
        <w:jc w:val="both"/>
      </w:pPr>
      <w:r w:rsidRPr="00441B88">
        <w:rPr>
          <w:b/>
          <w:bCs/>
        </w:rPr>
        <w:t>Keywords:</w:t>
      </w:r>
      <w:r w:rsidRPr="00441B88">
        <w:t xml:space="preserve"> Biomedical oven, toxic gas filtrati</w:t>
      </w:r>
      <w:r w:rsidR="00FB76E4">
        <w:t>on, electromagnetic shielding, Indoor air quality, B</w:t>
      </w:r>
      <w:r w:rsidR="00F31E07">
        <w:t>iomedical appliance design, El</w:t>
      </w:r>
      <w:r w:rsidR="000D404B">
        <w:t>ectric cooking safety</w:t>
      </w:r>
    </w:p>
    <w:p w14:paraId="64C06E2C" w14:textId="77777777" w:rsidR="003A1124" w:rsidRDefault="0092112B" w:rsidP="003A1124">
      <w:pPr>
        <w:spacing w:before="100" w:beforeAutospacing="1" w:after="100" w:afterAutospacing="1"/>
        <w:jc w:val="center"/>
      </w:pPr>
      <w:r w:rsidRPr="0092112B">
        <w:rPr>
          <w:noProof/>
        </w:rPr>
        <w:lastRenderedPageBreak/>
        <w:drawing>
          <wp:inline distT="0" distB="0" distL="0" distR="0" wp14:anchorId="7D0220B9" wp14:editId="3EE3912D">
            <wp:extent cx="5978525" cy="345186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9261" cy="3481154"/>
                    </a:xfrm>
                    <a:prstGeom prst="rect">
                      <a:avLst/>
                    </a:prstGeom>
                  </pic:spPr>
                </pic:pic>
              </a:graphicData>
            </a:graphic>
          </wp:inline>
        </w:drawing>
      </w:r>
    </w:p>
    <w:p w14:paraId="454F82DF" w14:textId="77777777" w:rsidR="003A1124" w:rsidRPr="003A1124" w:rsidRDefault="003A1124" w:rsidP="0092112B">
      <w:pPr>
        <w:spacing w:before="100" w:beforeAutospacing="1" w:after="100" w:afterAutospacing="1"/>
        <w:jc w:val="center"/>
        <w:rPr>
          <w:color w:val="00B050"/>
        </w:rPr>
        <w:sectPr w:rsidR="003A1124" w:rsidRPr="003A1124" w:rsidSect="0007019F">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cols w:space="708"/>
          <w:docGrid w:linePitch="360"/>
        </w:sectPr>
      </w:pPr>
      <w:r>
        <w:rPr>
          <w:color w:val="00B050"/>
        </w:rPr>
        <w:t>Graphical Abstract</w:t>
      </w:r>
    </w:p>
    <w:p w14:paraId="165C8CA4" w14:textId="77777777" w:rsidR="0038019B" w:rsidRPr="0038019B" w:rsidRDefault="00441B88" w:rsidP="0038019B">
      <w:pPr>
        <w:pStyle w:val="Heading1"/>
      </w:pPr>
      <w:r w:rsidRPr="00441B88">
        <w:lastRenderedPageBreak/>
        <w:t>1. Introduction</w:t>
      </w:r>
    </w:p>
    <w:p w14:paraId="778C2B11" w14:textId="77777777" w:rsidR="0038019B" w:rsidRPr="0038019B" w:rsidRDefault="0038019B" w:rsidP="0038019B">
      <w:pPr>
        <w:spacing w:before="100" w:beforeAutospacing="1" w:after="100" w:afterAutospacing="1"/>
        <w:jc w:val="both"/>
      </w:pPr>
      <w:r w:rsidRPr="0038019B">
        <w:t>Cooking appliances are essential in domestic, institutional, and clinical environments because they enable rapid heat generation, controlled temperature regulation, and improved energy utilization. In Nigeria, traditional open butane gas stoves remain widely used; however, their visible flame is often associated with incomplete fuel combustion, resulting in the direct release of hazardous by-products such as carbon monoxide (CO), nitrogen oxides (NOₓ), and unburned hydrocarbons into indoor spaces. These emissions significantly degrade indoor air quality and are strongly linked to respiratory irritation and long-term cardiopulmonary health risks, particularly in poorly ventilated settings (Abdul Raheem et al., 2022; Mortimer et al., 2012; Sani et al., 2025).</w:t>
      </w:r>
    </w:p>
    <w:p w14:paraId="575D33EB" w14:textId="77777777" w:rsidR="0038019B" w:rsidRPr="0038019B" w:rsidRDefault="0038019B" w:rsidP="0038019B">
      <w:pPr>
        <w:spacing w:before="100" w:beforeAutospacing="1" w:after="100" w:afterAutospacing="1"/>
        <w:jc w:val="both"/>
      </w:pPr>
      <w:r w:rsidRPr="0038019B">
        <w:t>Conversely, electric cooking ovens employ enclosed heating mechanisms that eliminate open flames, thereby enhancing hygiene and enabling precise thermal control. This operational advantage has driven their increasing adoption in biomedical contexts, including hospital kitchens, research laboratories, and pharmaceutical processing units, where environmental cleanliness and temperature stability are critical (</w:t>
      </w:r>
      <w:proofErr w:type="spellStart"/>
      <w:r w:rsidRPr="0038019B">
        <w:t>Odoi</w:t>
      </w:r>
      <w:proofErr w:type="spellEnd"/>
      <w:r w:rsidRPr="0038019B">
        <w:t>-Yorke, 2024). Nevertheless, electric ovens are not entirely devoid of health concerns. Elevated operating temperatures can induce thermal degradation of internal polymeric components, insulation layers, lubricants, and residual food matt</w:t>
      </w:r>
      <w:r w:rsidR="006A0D65">
        <w:t>er, leading to the emission of Volatile Organic C</w:t>
      </w:r>
      <w:r w:rsidRPr="0038019B">
        <w:t>ompounds (VOCs), aldehydes, and other airborne contaminants (Kim et al., 2011; Kabir &amp; Kim, 2011; Lee et al., 2022). In addition, the alternating electrical currents powering heating elements, electronic controls, and ventilation systems generate low-frequency electromagnetic fields, which are commonly perceived as low-level electromagnetic radiation (</w:t>
      </w:r>
      <w:proofErr w:type="spellStart"/>
      <w:r w:rsidRPr="0038019B">
        <w:t>Habash</w:t>
      </w:r>
      <w:proofErr w:type="spellEnd"/>
      <w:r w:rsidRPr="0038019B">
        <w:t xml:space="preserve">, 2018; Kulkarni &amp; </w:t>
      </w:r>
      <w:proofErr w:type="spellStart"/>
      <w:r w:rsidRPr="0038019B">
        <w:t>Mahalle</w:t>
      </w:r>
      <w:proofErr w:type="spellEnd"/>
      <w:r w:rsidRPr="0038019B">
        <w:t>, 2025).</w:t>
      </w:r>
    </w:p>
    <w:p w14:paraId="2D9DAB3E" w14:textId="77777777" w:rsidR="0038019B" w:rsidRPr="0038019B" w:rsidRDefault="0038019B" w:rsidP="0038019B">
      <w:pPr>
        <w:spacing w:before="100" w:beforeAutospacing="1" w:after="100" w:afterAutospacing="1"/>
        <w:jc w:val="both"/>
      </w:pPr>
      <w:r w:rsidRPr="0038019B">
        <w:t>Although these chemical and electromagnetic emissions generally remain within established safety thresholds, evidence suggests that chronic exposure may contribute to cumulative biological effects, including oxidative stress, neurobehavioral alterations, and respiratory discomfort (</w:t>
      </w:r>
      <w:proofErr w:type="spellStart"/>
      <w:r w:rsidRPr="0038019B">
        <w:t>Razek</w:t>
      </w:r>
      <w:proofErr w:type="spellEnd"/>
      <w:r w:rsidRPr="0038019B">
        <w:t>, 2023; Raveendran, 2022). Consequently, growing awareness of these risks has stimulated the advancement of biomedical-grade cooking ovens that integrate gas-neutralization technologies, electromagnetic shielding, and real-time environmental monitoring systems to safeguard both users and sensitive biomedical environments.</w:t>
      </w:r>
    </w:p>
    <w:p w14:paraId="14BF4071" w14:textId="77777777" w:rsidR="00441B88" w:rsidRPr="00441B88" w:rsidRDefault="00441B88" w:rsidP="00441B88">
      <w:pPr>
        <w:pStyle w:val="Heading1"/>
      </w:pPr>
      <w:r w:rsidRPr="00441B88">
        <w:t>2. Toxic Gas Emissions from Electric Cooking Ovens</w:t>
      </w:r>
    </w:p>
    <w:p w14:paraId="0817FD81" w14:textId="77777777" w:rsidR="00441B88" w:rsidRDefault="00441B88" w:rsidP="00441B88">
      <w:pPr>
        <w:pStyle w:val="Heading1"/>
        <w:rPr>
          <w:sz w:val="28"/>
        </w:rPr>
      </w:pPr>
      <w:r w:rsidRPr="00441B88">
        <w:rPr>
          <w:sz w:val="28"/>
        </w:rPr>
        <w:t>2.1 Sources of Toxic Gases</w:t>
      </w:r>
    </w:p>
    <w:p w14:paraId="1B64F829" w14:textId="77777777" w:rsidR="005B3682" w:rsidRPr="005B3682" w:rsidRDefault="005B3682" w:rsidP="005B3682">
      <w:pPr>
        <w:spacing w:before="100" w:beforeAutospacing="1" w:after="100" w:afterAutospacing="1"/>
        <w:jc w:val="both"/>
      </w:pPr>
      <w:r w:rsidRPr="005B3682">
        <w:t xml:space="preserve">Toxic emissions associated with cooking appliances are strongly influenced by the type of energy source, appliance design, and prevailing regional cooking practices, all of which shape user exposure profiles. Across West Africa, open butane gas burners remain dominant in domestic kitchens and small-scale food vending settings. These appliances rely on visible open flames, and incomplete fuel combustion commonly results in the direct release of carbon monoxide (CO), nitrogen oxides (NOₓ), unburned hydrocarbons, and fine particulate matter into indoor environments. Such emissions are well documented to trigger acute respiratory irritation, headaches, and dizziness, while prolonged use in inadequately ventilated spaces can lead to severe oxygen deprivation and heightened cardiopulmonary risk (Abdul Raheem et al., 2022; </w:t>
      </w:r>
      <w:proofErr w:type="spellStart"/>
      <w:r w:rsidRPr="005B3682">
        <w:t>Anozie</w:t>
      </w:r>
      <w:proofErr w:type="spellEnd"/>
      <w:r w:rsidRPr="005B3682">
        <w:t xml:space="preserve"> et al., 2007; Mortimer et al., 2012; Sani et al., 2025).</w:t>
      </w:r>
    </w:p>
    <w:p w14:paraId="0B90FC83" w14:textId="77777777" w:rsidR="005B3682" w:rsidRPr="005B3682" w:rsidRDefault="005B3682" w:rsidP="005B3682">
      <w:pPr>
        <w:spacing w:before="100" w:beforeAutospacing="1" w:after="100" w:afterAutospacing="1"/>
        <w:jc w:val="both"/>
      </w:pPr>
      <w:r w:rsidRPr="005B3682">
        <w:lastRenderedPageBreak/>
        <w:t>In c</w:t>
      </w:r>
      <w:r w:rsidR="009E0A8E">
        <w:t xml:space="preserve">ontrast, electric cooking ovens </w:t>
      </w:r>
      <w:r w:rsidRPr="005B3682">
        <w:t>now increasingly adopted in urban households, hospitals, and biomedical fa</w:t>
      </w:r>
      <w:r w:rsidR="009E0A8E">
        <w:t xml:space="preserve">cilities throughout West Africa </w:t>
      </w:r>
      <w:r w:rsidRPr="005B3682">
        <w:t>operate using enclosed, flame-free heating systems that offer improved hygiene and precise temperature regulation. Despite these advantages, electric ovens are not entirely free from environmental or health concerns. Sustained high-temperature operation can induce thermal degradation and oxidative breakdown of internal components, including polymer-based insulation, wiring coatings, lubricants, adhesives, and residual food deposits. These processes generate airborne contaminants such</w:t>
      </w:r>
      <w:r w:rsidR="00D96B23">
        <w:t xml:space="preserve"> as VOCs</w:t>
      </w:r>
      <w:r w:rsidRPr="005B3682">
        <w:t>, aldehydes, and formaldehyde, which contribute to indoor air pollution and mucosal irritation (Kim et al., 2011; Kabir &amp; Kim, 2011; Lee et al., 2022).</w:t>
      </w:r>
      <w:r w:rsidR="00C462B9">
        <w:t xml:space="preserve"> </w:t>
      </w:r>
    </w:p>
    <w:p w14:paraId="5433E93B" w14:textId="77777777" w:rsidR="005B3682" w:rsidRPr="005B3682" w:rsidRDefault="005B3682" w:rsidP="005B3682">
      <w:pPr>
        <w:spacing w:before="100" w:beforeAutospacing="1" w:after="100" w:afterAutospacing="1"/>
        <w:jc w:val="both"/>
      </w:pPr>
      <w:r w:rsidRPr="005B3682">
        <w:t>Furthermore, the alternating electrical currents that drive heating elements, microcontrollers, switching circuits, and ventilation fans produce low-frequency, non-ionizing electromagnetic fields. Although these emissions typically fall below regulatory exposure limits, emerging evidence suggests that long-term exposure may be associated with oxidative stress, neurobehavioral effects, and other cumulative biological responses (</w:t>
      </w:r>
      <w:proofErr w:type="spellStart"/>
      <w:r w:rsidRPr="005B3682">
        <w:t>Habash</w:t>
      </w:r>
      <w:proofErr w:type="spellEnd"/>
      <w:r w:rsidRPr="005B3682">
        <w:t xml:space="preserve">, 2018; </w:t>
      </w:r>
      <w:proofErr w:type="spellStart"/>
      <w:r w:rsidRPr="005B3682">
        <w:t>Razek</w:t>
      </w:r>
      <w:proofErr w:type="spellEnd"/>
      <w:r w:rsidRPr="005B3682">
        <w:t xml:space="preserve">, 2023; Kulkarni &amp; </w:t>
      </w:r>
      <w:proofErr w:type="spellStart"/>
      <w:r w:rsidRPr="005B3682">
        <w:t>Mahalle</w:t>
      </w:r>
      <w:proofErr w:type="spellEnd"/>
      <w:r w:rsidRPr="005B3682">
        <w:t>, 2025). As electric ovens age, material fatigue and chemical instability further amplify both chemical off-gassing and electromagnetic leakage, transforming these appliances into persistent sources of indoor chemical and radiative exposure.</w:t>
      </w:r>
    </w:p>
    <w:p w14:paraId="7463E64D" w14:textId="1FEAA2C8" w:rsidR="00D963CB" w:rsidRDefault="005B3682" w:rsidP="006A691C">
      <w:pPr>
        <w:spacing w:before="100" w:beforeAutospacing="1" w:after="100" w:afterAutospacing="1"/>
        <w:jc w:val="both"/>
      </w:pPr>
      <w:r w:rsidRPr="005B3682">
        <w:t>A comparative assessment of these two cooking modalities within West African contexts ther</w:t>
      </w:r>
      <w:r w:rsidR="001E3E4A">
        <w:t>efore reveals a clear trade-off,</w:t>
      </w:r>
      <w:r w:rsidRPr="005B3682">
        <w:t xml:space="preserve"> while open butane gas burners emit overt and immediately hazardous combustion products</w:t>
      </w:r>
      <w:r w:rsidR="009E0A8E">
        <w:t>, electric ovens introduce more-</w:t>
      </w:r>
      <w:r w:rsidRPr="005B3682">
        <w:t>subtle yet chronically significant risks. This duality underscores the urgent need for next-generation biomedical-grade cooking ovens that integrate gas-neutralization mechanisms, electromagnetic shielding, and intelligent monitoring systems to ensure saf</w:t>
      </w:r>
      <w:r w:rsidR="006A691C">
        <w:t>er indoor cooking environments.</w:t>
      </w:r>
    </w:p>
    <w:p w14:paraId="37870F09" w14:textId="1E4593FE" w:rsidR="00D963CB" w:rsidRPr="00D963CB" w:rsidRDefault="00D963CB" w:rsidP="00D963CB">
      <w:pPr>
        <w:pStyle w:val="Caption"/>
        <w:rPr>
          <w:i w:val="0"/>
          <w:sz w:val="24"/>
        </w:rPr>
      </w:pPr>
      <w:r w:rsidRPr="00D963CB">
        <w:rPr>
          <w:i w:val="0"/>
          <w:sz w:val="24"/>
        </w:rPr>
        <w:t xml:space="preserve">Table </w:t>
      </w:r>
      <w:r w:rsidRPr="00D963CB">
        <w:rPr>
          <w:i w:val="0"/>
          <w:sz w:val="24"/>
        </w:rPr>
        <w:fldChar w:fldCharType="begin"/>
      </w:r>
      <w:r w:rsidRPr="00D963CB">
        <w:rPr>
          <w:i w:val="0"/>
          <w:sz w:val="24"/>
        </w:rPr>
        <w:instrText xml:space="preserve"> SEQ Table \* ARABIC </w:instrText>
      </w:r>
      <w:r w:rsidRPr="00D963CB">
        <w:rPr>
          <w:i w:val="0"/>
          <w:sz w:val="24"/>
        </w:rPr>
        <w:fldChar w:fldCharType="separate"/>
      </w:r>
      <w:r w:rsidR="00616433">
        <w:rPr>
          <w:i w:val="0"/>
          <w:noProof/>
          <w:sz w:val="24"/>
        </w:rPr>
        <w:t>1</w:t>
      </w:r>
      <w:r w:rsidRPr="00D963CB">
        <w:rPr>
          <w:i w:val="0"/>
          <w:sz w:val="24"/>
        </w:rPr>
        <w:fldChar w:fldCharType="end"/>
      </w:r>
      <w:r w:rsidRPr="00D963CB">
        <w:rPr>
          <w:i w:val="0"/>
          <w:sz w:val="24"/>
        </w:rPr>
        <w:t xml:space="preserve">: Toxic Gas Emissions from Open Butane Gas Burners </w:t>
      </w:r>
      <w:r>
        <w:rPr>
          <w:i w:val="0"/>
          <w:sz w:val="24"/>
        </w:rPr>
        <w:t xml:space="preserve">and their health effects. </w:t>
      </w:r>
    </w:p>
    <w:tbl>
      <w:tblPr>
        <w:tblStyle w:val="TableGrid"/>
        <w:tblW w:w="0" w:type="auto"/>
        <w:tblLook w:val="04A0" w:firstRow="1" w:lastRow="0" w:firstColumn="1" w:lastColumn="0" w:noHBand="0" w:noVBand="1"/>
      </w:tblPr>
      <w:tblGrid>
        <w:gridCol w:w="1319"/>
        <w:gridCol w:w="1479"/>
        <w:gridCol w:w="1461"/>
        <w:gridCol w:w="1361"/>
        <w:gridCol w:w="1580"/>
        <w:gridCol w:w="1816"/>
      </w:tblGrid>
      <w:tr w:rsidR="0061509E" w:rsidRPr="0061509E" w14:paraId="199A4382" w14:textId="77777777" w:rsidTr="0061509E">
        <w:tc>
          <w:tcPr>
            <w:tcW w:w="0" w:type="auto"/>
            <w:hideMark/>
          </w:tcPr>
          <w:p w14:paraId="535897DF" w14:textId="77777777" w:rsidR="0061509E" w:rsidRPr="0061509E" w:rsidRDefault="0061509E" w:rsidP="0061509E">
            <w:pPr>
              <w:jc w:val="center"/>
              <w:rPr>
                <w:b/>
                <w:bCs/>
                <w:sz w:val="20"/>
              </w:rPr>
            </w:pPr>
            <w:r w:rsidRPr="0061509E">
              <w:rPr>
                <w:b/>
                <w:bCs/>
                <w:sz w:val="20"/>
              </w:rPr>
              <w:t>Source Process</w:t>
            </w:r>
          </w:p>
        </w:tc>
        <w:tc>
          <w:tcPr>
            <w:tcW w:w="0" w:type="auto"/>
            <w:hideMark/>
          </w:tcPr>
          <w:p w14:paraId="08C72A6B" w14:textId="77777777" w:rsidR="0061509E" w:rsidRPr="0061509E" w:rsidRDefault="0061509E" w:rsidP="0061509E">
            <w:pPr>
              <w:jc w:val="center"/>
              <w:rPr>
                <w:b/>
                <w:bCs/>
                <w:sz w:val="20"/>
              </w:rPr>
            </w:pPr>
            <w:r w:rsidRPr="0061509E">
              <w:rPr>
                <w:b/>
                <w:bCs/>
                <w:sz w:val="20"/>
              </w:rPr>
              <w:t>Combustion Mechanism</w:t>
            </w:r>
          </w:p>
        </w:tc>
        <w:tc>
          <w:tcPr>
            <w:tcW w:w="0" w:type="auto"/>
            <w:hideMark/>
          </w:tcPr>
          <w:p w14:paraId="5BB30DA1" w14:textId="77777777" w:rsidR="0061509E" w:rsidRPr="0061509E" w:rsidRDefault="0061509E" w:rsidP="0061509E">
            <w:pPr>
              <w:jc w:val="center"/>
              <w:rPr>
                <w:b/>
                <w:bCs/>
                <w:sz w:val="20"/>
              </w:rPr>
            </w:pPr>
            <w:r w:rsidRPr="0061509E">
              <w:rPr>
                <w:b/>
                <w:bCs/>
                <w:sz w:val="20"/>
              </w:rPr>
              <w:t>Major Gases Released</w:t>
            </w:r>
          </w:p>
        </w:tc>
        <w:tc>
          <w:tcPr>
            <w:tcW w:w="0" w:type="auto"/>
            <w:hideMark/>
          </w:tcPr>
          <w:p w14:paraId="7F1ED39E" w14:textId="77777777" w:rsidR="0061509E" w:rsidRPr="0061509E" w:rsidRDefault="0061509E" w:rsidP="0061509E">
            <w:pPr>
              <w:jc w:val="center"/>
              <w:rPr>
                <w:b/>
                <w:bCs/>
                <w:sz w:val="20"/>
              </w:rPr>
            </w:pPr>
            <w:r w:rsidRPr="0061509E">
              <w:rPr>
                <w:b/>
                <w:bCs/>
                <w:sz w:val="20"/>
              </w:rPr>
              <w:t>Trigger Condition</w:t>
            </w:r>
          </w:p>
        </w:tc>
        <w:tc>
          <w:tcPr>
            <w:tcW w:w="0" w:type="auto"/>
            <w:hideMark/>
          </w:tcPr>
          <w:p w14:paraId="5CA95772" w14:textId="77777777" w:rsidR="0061509E" w:rsidRPr="0061509E" w:rsidRDefault="0061509E" w:rsidP="0061509E">
            <w:pPr>
              <w:jc w:val="center"/>
              <w:rPr>
                <w:b/>
                <w:bCs/>
                <w:sz w:val="20"/>
              </w:rPr>
            </w:pPr>
            <w:r w:rsidRPr="0061509E">
              <w:rPr>
                <w:b/>
                <w:bCs/>
                <w:sz w:val="20"/>
              </w:rPr>
              <w:t>Potential Health Effects</w:t>
            </w:r>
          </w:p>
        </w:tc>
        <w:tc>
          <w:tcPr>
            <w:tcW w:w="0" w:type="auto"/>
            <w:hideMark/>
          </w:tcPr>
          <w:p w14:paraId="678CA4C7" w14:textId="77777777" w:rsidR="0061509E" w:rsidRPr="0061509E" w:rsidRDefault="0061509E" w:rsidP="0061509E">
            <w:pPr>
              <w:jc w:val="center"/>
              <w:rPr>
                <w:b/>
                <w:bCs/>
                <w:sz w:val="20"/>
              </w:rPr>
            </w:pPr>
            <w:r w:rsidRPr="0061509E">
              <w:rPr>
                <w:b/>
                <w:bCs/>
                <w:sz w:val="20"/>
              </w:rPr>
              <w:t>Key References</w:t>
            </w:r>
          </w:p>
        </w:tc>
      </w:tr>
      <w:tr w:rsidR="0061509E" w:rsidRPr="0061509E" w14:paraId="422353BC" w14:textId="77777777" w:rsidTr="0061509E">
        <w:tc>
          <w:tcPr>
            <w:tcW w:w="0" w:type="auto"/>
            <w:hideMark/>
          </w:tcPr>
          <w:p w14:paraId="4E1C8434" w14:textId="77777777" w:rsidR="0061509E" w:rsidRPr="0061509E" w:rsidRDefault="0061509E" w:rsidP="0061509E">
            <w:pPr>
              <w:rPr>
                <w:sz w:val="20"/>
              </w:rPr>
            </w:pPr>
            <w:r w:rsidRPr="0061509E">
              <w:rPr>
                <w:sz w:val="20"/>
              </w:rPr>
              <w:t>Incomplete combustion of butane (C₄H₁₀)</w:t>
            </w:r>
          </w:p>
        </w:tc>
        <w:tc>
          <w:tcPr>
            <w:tcW w:w="0" w:type="auto"/>
            <w:hideMark/>
          </w:tcPr>
          <w:p w14:paraId="37089EA6" w14:textId="77777777" w:rsidR="0061509E" w:rsidRPr="0061509E" w:rsidRDefault="0061509E" w:rsidP="0061509E">
            <w:pPr>
              <w:rPr>
                <w:sz w:val="20"/>
              </w:rPr>
            </w:pPr>
            <w:r w:rsidRPr="0061509E">
              <w:rPr>
                <w:sz w:val="20"/>
              </w:rPr>
              <w:t>Oxygen-deficient oxidation reaction</w:t>
            </w:r>
          </w:p>
        </w:tc>
        <w:tc>
          <w:tcPr>
            <w:tcW w:w="0" w:type="auto"/>
            <w:hideMark/>
          </w:tcPr>
          <w:p w14:paraId="60BB2563" w14:textId="77777777" w:rsidR="0061509E" w:rsidRPr="0061509E" w:rsidRDefault="0061509E" w:rsidP="0061509E">
            <w:pPr>
              <w:rPr>
                <w:sz w:val="20"/>
              </w:rPr>
            </w:pPr>
            <w:r w:rsidRPr="0061509E">
              <w:rPr>
                <w:sz w:val="20"/>
              </w:rPr>
              <w:t>Carbon monoxide (CO)</w:t>
            </w:r>
          </w:p>
        </w:tc>
        <w:tc>
          <w:tcPr>
            <w:tcW w:w="0" w:type="auto"/>
            <w:hideMark/>
          </w:tcPr>
          <w:p w14:paraId="06963410" w14:textId="77777777" w:rsidR="0061509E" w:rsidRPr="0061509E" w:rsidRDefault="0061509E" w:rsidP="0061509E">
            <w:pPr>
              <w:rPr>
                <w:sz w:val="20"/>
              </w:rPr>
            </w:pPr>
            <w:r w:rsidRPr="0061509E">
              <w:rPr>
                <w:sz w:val="20"/>
              </w:rPr>
              <w:t>Poor ventilation, low oxygen supply</w:t>
            </w:r>
          </w:p>
        </w:tc>
        <w:tc>
          <w:tcPr>
            <w:tcW w:w="0" w:type="auto"/>
            <w:hideMark/>
          </w:tcPr>
          <w:p w14:paraId="4B580F45" w14:textId="77777777" w:rsidR="0061509E" w:rsidRPr="0061509E" w:rsidRDefault="0061509E" w:rsidP="0061509E">
            <w:pPr>
              <w:rPr>
                <w:sz w:val="20"/>
              </w:rPr>
            </w:pPr>
            <w:r w:rsidRPr="0061509E">
              <w:rPr>
                <w:sz w:val="20"/>
              </w:rPr>
              <w:t>Hypoxia, dizziness, loss of consciousness, fatal poisoning</w:t>
            </w:r>
          </w:p>
        </w:tc>
        <w:tc>
          <w:tcPr>
            <w:tcW w:w="0" w:type="auto"/>
            <w:hideMark/>
          </w:tcPr>
          <w:p w14:paraId="0C4EB285" w14:textId="77777777" w:rsidR="0061509E" w:rsidRPr="0061509E" w:rsidRDefault="0061509E" w:rsidP="0061509E">
            <w:pPr>
              <w:rPr>
                <w:sz w:val="20"/>
              </w:rPr>
            </w:pPr>
            <w:proofErr w:type="spellStart"/>
            <w:r w:rsidRPr="0061509E">
              <w:rPr>
                <w:sz w:val="20"/>
              </w:rPr>
              <w:t>Anozie</w:t>
            </w:r>
            <w:proofErr w:type="spellEnd"/>
            <w:r w:rsidRPr="0061509E">
              <w:rPr>
                <w:sz w:val="20"/>
              </w:rPr>
              <w:t xml:space="preserve"> et al. (2007); Abdul Raheem et al. (2022); Mortimer et al. (2012)</w:t>
            </w:r>
          </w:p>
        </w:tc>
      </w:tr>
      <w:tr w:rsidR="0061509E" w:rsidRPr="0061509E" w14:paraId="2ED5040E" w14:textId="77777777" w:rsidTr="0061509E">
        <w:tc>
          <w:tcPr>
            <w:tcW w:w="0" w:type="auto"/>
            <w:hideMark/>
          </w:tcPr>
          <w:p w14:paraId="60502EB5" w14:textId="77777777" w:rsidR="0061509E" w:rsidRPr="0061509E" w:rsidRDefault="0061509E" w:rsidP="0061509E">
            <w:pPr>
              <w:rPr>
                <w:sz w:val="20"/>
              </w:rPr>
            </w:pPr>
            <w:r w:rsidRPr="0061509E">
              <w:rPr>
                <w:sz w:val="20"/>
              </w:rPr>
              <w:t>High-temperature flame oxidation</w:t>
            </w:r>
          </w:p>
        </w:tc>
        <w:tc>
          <w:tcPr>
            <w:tcW w:w="0" w:type="auto"/>
            <w:hideMark/>
          </w:tcPr>
          <w:p w14:paraId="7F1CC6AB" w14:textId="77777777" w:rsidR="0061509E" w:rsidRPr="0061509E" w:rsidRDefault="0061509E" w:rsidP="0061509E">
            <w:pPr>
              <w:rPr>
                <w:sz w:val="20"/>
              </w:rPr>
            </w:pPr>
            <w:r w:rsidRPr="0061509E">
              <w:rPr>
                <w:sz w:val="20"/>
              </w:rPr>
              <w:t>Thermal fixation of atmospheric nitrogen</w:t>
            </w:r>
          </w:p>
        </w:tc>
        <w:tc>
          <w:tcPr>
            <w:tcW w:w="0" w:type="auto"/>
            <w:hideMark/>
          </w:tcPr>
          <w:p w14:paraId="0DFE8410" w14:textId="77777777" w:rsidR="0061509E" w:rsidRPr="0061509E" w:rsidRDefault="0061509E" w:rsidP="0061509E">
            <w:pPr>
              <w:rPr>
                <w:sz w:val="20"/>
              </w:rPr>
            </w:pPr>
            <w:r w:rsidRPr="0061509E">
              <w:rPr>
                <w:sz w:val="20"/>
              </w:rPr>
              <w:t>Nitrogen oxides (NO, NO₂; NOₓ)</w:t>
            </w:r>
          </w:p>
        </w:tc>
        <w:tc>
          <w:tcPr>
            <w:tcW w:w="0" w:type="auto"/>
            <w:hideMark/>
          </w:tcPr>
          <w:p w14:paraId="781D09B0" w14:textId="77777777" w:rsidR="0061509E" w:rsidRPr="0061509E" w:rsidRDefault="0061509E" w:rsidP="0061509E">
            <w:pPr>
              <w:rPr>
                <w:sz w:val="20"/>
              </w:rPr>
            </w:pPr>
            <w:r w:rsidRPr="0061509E">
              <w:rPr>
                <w:sz w:val="20"/>
              </w:rPr>
              <w:t>Prolonged high-flame operation</w:t>
            </w:r>
          </w:p>
        </w:tc>
        <w:tc>
          <w:tcPr>
            <w:tcW w:w="0" w:type="auto"/>
            <w:hideMark/>
          </w:tcPr>
          <w:p w14:paraId="0D09A7C4" w14:textId="77777777" w:rsidR="0061509E" w:rsidRPr="0061509E" w:rsidRDefault="0061509E" w:rsidP="0061509E">
            <w:pPr>
              <w:rPr>
                <w:sz w:val="20"/>
              </w:rPr>
            </w:pPr>
            <w:r w:rsidRPr="0061509E">
              <w:rPr>
                <w:sz w:val="20"/>
              </w:rPr>
              <w:t>Airway inflammation, asthma exacerbation, lung tissue damage</w:t>
            </w:r>
          </w:p>
        </w:tc>
        <w:tc>
          <w:tcPr>
            <w:tcW w:w="0" w:type="auto"/>
            <w:hideMark/>
          </w:tcPr>
          <w:p w14:paraId="4675C360" w14:textId="77777777" w:rsidR="0061509E" w:rsidRPr="0061509E" w:rsidRDefault="0061509E" w:rsidP="0061509E">
            <w:pPr>
              <w:rPr>
                <w:sz w:val="20"/>
              </w:rPr>
            </w:pPr>
            <w:r w:rsidRPr="0061509E">
              <w:rPr>
                <w:sz w:val="20"/>
              </w:rPr>
              <w:t>Jarvis et al. (1998); Lin et al. (2013); Ng et al. (2001)</w:t>
            </w:r>
          </w:p>
        </w:tc>
      </w:tr>
      <w:tr w:rsidR="0061509E" w:rsidRPr="0061509E" w14:paraId="5534177D" w14:textId="77777777" w:rsidTr="0061509E">
        <w:tc>
          <w:tcPr>
            <w:tcW w:w="0" w:type="auto"/>
            <w:hideMark/>
          </w:tcPr>
          <w:p w14:paraId="3D09602F" w14:textId="77777777" w:rsidR="0061509E" w:rsidRPr="0061509E" w:rsidRDefault="0061509E" w:rsidP="0061509E">
            <w:pPr>
              <w:rPr>
                <w:sz w:val="20"/>
              </w:rPr>
            </w:pPr>
            <w:r w:rsidRPr="0061509E">
              <w:rPr>
                <w:sz w:val="20"/>
              </w:rPr>
              <w:t>Unburned hydrocarbon leakage</w:t>
            </w:r>
          </w:p>
        </w:tc>
        <w:tc>
          <w:tcPr>
            <w:tcW w:w="0" w:type="auto"/>
            <w:hideMark/>
          </w:tcPr>
          <w:p w14:paraId="2BBBAF69" w14:textId="77777777" w:rsidR="0061509E" w:rsidRPr="0061509E" w:rsidRDefault="0061509E" w:rsidP="0061509E">
            <w:pPr>
              <w:rPr>
                <w:sz w:val="20"/>
              </w:rPr>
            </w:pPr>
            <w:r w:rsidRPr="0061509E">
              <w:rPr>
                <w:sz w:val="20"/>
              </w:rPr>
              <w:t>Partial oxidation and fuel escape</w:t>
            </w:r>
          </w:p>
        </w:tc>
        <w:tc>
          <w:tcPr>
            <w:tcW w:w="0" w:type="auto"/>
            <w:hideMark/>
          </w:tcPr>
          <w:p w14:paraId="5A451BCB" w14:textId="77777777" w:rsidR="0061509E" w:rsidRPr="0061509E" w:rsidRDefault="0061509E" w:rsidP="0061509E">
            <w:pPr>
              <w:rPr>
                <w:sz w:val="20"/>
              </w:rPr>
            </w:pPr>
            <w:r w:rsidRPr="0061509E">
              <w:rPr>
                <w:sz w:val="20"/>
              </w:rPr>
              <w:t>VOCs such as benzene and toluene</w:t>
            </w:r>
          </w:p>
        </w:tc>
        <w:tc>
          <w:tcPr>
            <w:tcW w:w="0" w:type="auto"/>
            <w:hideMark/>
          </w:tcPr>
          <w:p w14:paraId="284833FB" w14:textId="77777777" w:rsidR="0061509E" w:rsidRPr="0061509E" w:rsidRDefault="0061509E" w:rsidP="0061509E">
            <w:pPr>
              <w:rPr>
                <w:sz w:val="20"/>
              </w:rPr>
            </w:pPr>
            <w:r w:rsidRPr="0061509E">
              <w:rPr>
                <w:sz w:val="20"/>
              </w:rPr>
              <w:t>Faulty burner heads, unstable flame</w:t>
            </w:r>
          </w:p>
        </w:tc>
        <w:tc>
          <w:tcPr>
            <w:tcW w:w="0" w:type="auto"/>
            <w:hideMark/>
          </w:tcPr>
          <w:p w14:paraId="74FEF9F9" w14:textId="77777777" w:rsidR="0061509E" w:rsidRPr="0061509E" w:rsidRDefault="0061509E" w:rsidP="0061509E">
            <w:pPr>
              <w:rPr>
                <w:sz w:val="20"/>
              </w:rPr>
            </w:pPr>
            <w:r w:rsidRPr="0061509E">
              <w:rPr>
                <w:sz w:val="20"/>
              </w:rPr>
              <w:t>Neurotoxicity, headaches, long-term carcinogenic risk</w:t>
            </w:r>
          </w:p>
        </w:tc>
        <w:tc>
          <w:tcPr>
            <w:tcW w:w="0" w:type="auto"/>
            <w:hideMark/>
          </w:tcPr>
          <w:p w14:paraId="74C8C4D5" w14:textId="77777777" w:rsidR="0061509E" w:rsidRPr="0061509E" w:rsidRDefault="0061509E" w:rsidP="0061509E">
            <w:pPr>
              <w:rPr>
                <w:sz w:val="20"/>
              </w:rPr>
            </w:pPr>
            <w:r w:rsidRPr="0061509E">
              <w:rPr>
                <w:sz w:val="20"/>
              </w:rPr>
              <w:t>Kim et al. (2011); Kabir &amp; Kim (2011); See &amp; Karthikeyan (2006)</w:t>
            </w:r>
          </w:p>
        </w:tc>
      </w:tr>
      <w:tr w:rsidR="0061509E" w:rsidRPr="0061509E" w14:paraId="64ED8C16" w14:textId="77777777" w:rsidTr="0061509E">
        <w:tc>
          <w:tcPr>
            <w:tcW w:w="0" w:type="auto"/>
            <w:hideMark/>
          </w:tcPr>
          <w:p w14:paraId="4A75F6D8" w14:textId="77777777" w:rsidR="0061509E" w:rsidRPr="0061509E" w:rsidRDefault="0061509E" w:rsidP="0061509E">
            <w:pPr>
              <w:rPr>
                <w:sz w:val="20"/>
              </w:rPr>
            </w:pPr>
            <w:r w:rsidRPr="0061509E">
              <w:rPr>
                <w:sz w:val="20"/>
              </w:rPr>
              <w:t>Fuel impurities and degraded gas quality</w:t>
            </w:r>
          </w:p>
        </w:tc>
        <w:tc>
          <w:tcPr>
            <w:tcW w:w="0" w:type="auto"/>
            <w:hideMark/>
          </w:tcPr>
          <w:p w14:paraId="2A8B8D8B" w14:textId="77777777" w:rsidR="0061509E" w:rsidRPr="0061509E" w:rsidRDefault="0061509E" w:rsidP="0061509E">
            <w:pPr>
              <w:rPr>
                <w:sz w:val="20"/>
              </w:rPr>
            </w:pPr>
            <w:r w:rsidRPr="0061509E">
              <w:rPr>
                <w:sz w:val="20"/>
              </w:rPr>
              <w:t>Chemical decomposition of contaminants</w:t>
            </w:r>
          </w:p>
        </w:tc>
        <w:tc>
          <w:tcPr>
            <w:tcW w:w="0" w:type="auto"/>
            <w:hideMark/>
          </w:tcPr>
          <w:p w14:paraId="46C1D581" w14:textId="77777777" w:rsidR="0061509E" w:rsidRPr="0061509E" w:rsidRDefault="0061509E" w:rsidP="0061509E">
            <w:pPr>
              <w:rPr>
                <w:sz w:val="20"/>
              </w:rPr>
            </w:pPr>
            <w:r w:rsidRPr="0061509E">
              <w:rPr>
                <w:sz w:val="20"/>
              </w:rPr>
              <w:t>Aldehydes, sulfur-containing compounds</w:t>
            </w:r>
          </w:p>
        </w:tc>
        <w:tc>
          <w:tcPr>
            <w:tcW w:w="0" w:type="auto"/>
            <w:hideMark/>
          </w:tcPr>
          <w:p w14:paraId="15287EB2" w14:textId="77777777" w:rsidR="0061509E" w:rsidRPr="0061509E" w:rsidRDefault="0061509E" w:rsidP="0061509E">
            <w:pPr>
              <w:rPr>
                <w:sz w:val="20"/>
              </w:rPr>
            </w:pPr>
            <w:r w:rsidRPr="0061509E">
              <w:rPr>
                <w:sz w:val="20"/>
              </w:rPr>
              <w:t>Poor fuel purification, aged cylinders</w:t>
            </w:r>
          </w:p>
        </w:tc>
        <w:tc>
          <w:tcPr>
            <w:tcW w:w="0" w:type="auto"/>
            <w:hideMark/>
          </w:tcPr>
          <w:p w14:paraId="4D913B6B" w14:textId="77777777" w:rsidR="0061509E" w:rsidRPr="0061509E" w:rsidRDefault="0061509E" w:rsidP="0061509E">
            <w:pPr>
              <w:rPr>
                <w:sz w:val="20"/>
              </w:rPr>
            </w:pPr>
            <w:r w:rsidRPr="0061509E">
              <w:rPr>
                <w:sz w:val="20"/>
              </w:rPr>
              <w:t>Eye irritation, mucosal damage, respiratory distress</w:t>
            </w:r>
          </w:p>
        </w:tc>
        <w:tc>
          <w:tcPr>
            <w:tcW w:w="0" w:type="auto"/>
            <w:hideMark/>
          </w:tcPr>
          <w:p w14:paraId="57A16005" w14:textId="77777777" w:rsidR="0061509E" w:rsidRPr="0061509E" w:rsidRDefault="0061509E" w:rsidP="0061509E">
            <w:pPr>
              <w:rPr>
                <w:sz w:val="20"/>
              </w:rPr>
            </w:pPr>
            <w:proofErr w:type="spellStart"/>
            <w:r w:rsidRPr="0061509E">
              <w:rPr>
                <w:sz w:val="20"/>
              </w:rPr>
              <w:t>Bizzo</w:t>
            </w:r>
            <w:proofErr w:type="spellEnd"/>
            <w:r w:rsidRPr="0061509E">
              <w:rPr>
                <w:sz w:val="20"/>
              </w:rPr>
              <w:t xml:space="preserve"> et al. (2004); </w:t>
            </w:r>
            <w:proofErr w:type="spellStart"/>
            <w:r w:rsidRPr="0061509E">
              <w:rPr>
                <w:sz w:val="20"/>
              </w:rPr>
              <w:t>Naja</w:t>
            </w:r>
            <w:proofErr w:type="spellEnd"/>
            <w:r w:rsidRPr="0061509E">
              <w:rPr>
                <w:sz w:val="20"/>
              </w:rPr>
              <w:t xml:space="preserve"> et al. (2011)</w:t>
            </w:r>
          </w:p>
        </w:tc>
      </w:tr>
      <w:tr w:rsidR="0061509E" w:rsidRPr="0061509E" w14:paraId="4D9ECBAD" w14:textId="77777777" w:rsidTr="0061509E">
        <w:tc>
          <w:tcPr>
            <w:tcW w:w="0" w:type="auto"/>
            <w:hideMark/>
          </w:tcPr>
          <w:p w14:paraId="082413E5" w14:textId="77777777" w:rsidR="0061509E" w:rsidRPr="0061509E" w:rsidRDefault="0061509E" w:rsidP="0061509E">
            <w:pPr>
              <w:rPr>
                <w:sz w:val="20"/>
              </w:rPr>
            </w:pPr>
            <w:r w:rsidRPr="0061509E">
              <w:rPr>
                <w:sz w:val="20"/>
              </w:rPr>
              <w:lastRenderedPageBreak/>
              <w:t>Flame–food interaction (charring)</w:t>
            </w:r>
          </w:p>
        </w:tc>
        <w:tc>
          <w:tcPr>
            <w:tcW w:w="0" w:type="auto"/>
            <w:hideMark/>
          </w:tcPr>
          <w:p w14:paraId="6B1BDAE2" w14:textId="77777777" w:rsidR="0061509E" w:rsidRPr="0061509E" w:rsidRDefault="0061509E" w:rsidP="0061509E">
            <w:pPr>
              <w:rPr>
                <w:sz w:val="20"/>
              </w:rPr>
            </w:pPr>
            <w:r w:rsidRPr="0061509E">
              <w:rPr>
                <w:sz w:val="20"/>
              </w:rPr>
              <w:t>Pyrolysis of food oils and fats</w:t>
            </w:r>
          </w:p>
        </w:tc>
        <w:tc>
          <w:tcPr>
            <w:tcW w:w="0" w:type="auto"/>
            <w:hideMark/>
          </w:tcPr>
          <w:p w14:paraId="26A8EDC4" w14:textId="77777777" w:rsidR="0061509E" w:rsidRPr="0061509E" w:rsidRDefault="0061509E" w:rsidP="0061509E">
            <w:pPr>
              <w:rPr>
                <w:sz w:val="20"/>
              </w:rPr>
            </w:pPr>
            <w:r w:rsidRPr="0061509E">
              <w:rPr>
                <w:sz w:val="20"/>
              </w:rPr>
              <w:t>Acrolein, formaldehyde, PM</w:t>
            </w:r>
            <w:proofErr w:type="gramStart"/>
            <w:r w:rsidRPr="0061509E">
              <w:rPr>
                <w:sz w:val="20"/>
              </w:rPr>
              <w:t>₂.₅</w:t>
            </w:r>
            <w:proofErr w:type="gramEnd"/>
          </w:p>
        </w:tc>
        <w:tc>
          <w:tcPr>
            <w:tcW w:w="0" w:type="auto"/>
            <w:hideMark/>
          </w:tcPr>
          <w:p w14:paraId="39B62DC7" w14:textId="77777777" w:rsidR="0061509E" w:rsidRPr="0061509E" w:rsidRDefault="0061509E" w:rsidP="0061509E">
            <w:pPr>
              <w:rPr>
                <w:sz w:val="20"/>
              </w:rPr>
            </w:pPr>
            <w:r w:rsidRPr="0061509E">
              <w:rPr>
                <w:sz w:val="20"/>
              </w:rPr>
              <w:t>Grease dripping into flame</w:t>
            </w:r>
          </w:p>
        </w:tc>
        <w:tc>
          <w:tcPr>
            <w:tcW w:w="0" w:type="auto"/>
            <w:hideMark/>
          </w:tcPr>
          <w:p w14:paraId="1D070044" w14:textId="77777777" w:rsidR="0061509E" w:rsidRPr="0061509E" w:rsidRDefault="0061509E" w:rsidP="0061509E">
            <w:pPr>
              <w:rPr>
                <w:sz w:val="20"/>
              </w:rPr>
            </w:pPr>
            <w:r w:rsidRPr="0061509E">
              <w:rPr>
                <w:sz w:val="20"/>
              </w:rPr>
              <w:t>Chronic cough, reduced lung function</w:t>
            </w:r>
          </w:p>
        </w:tc>
        <w:tc>
          <w:tcPr>
            <w:tcW w:w="0" w:type="auto"/>
            <w:hideMark/>
          </w:tcPr>
          <w:p w14:paraId="30A1E36E" w14:textId="77777777" w:rsidR="0061509E" w:rsidRPr="0061509E" w:rsidRDefault="0061509E" w:rsidP="0061509E">
            <w:pPr>
              <w:rPr>
                <w:sz w:val="20"/>
              </w:rPr>
            </w:pPr>
            <w:r w:rsidRPr="0061509E">
              <w:rPr>
                <w:sz w:val="20"/>
              </w:rPr>
              <w:t xml:space="preserve">See &amp; Balasubramanian (2006); </w:t>
            </w:r>
            <w:proofErr w:type="spellStart"/>
            <w:r w:rsidRPr="0061509E">
              <w:rPr>
                <w:sz w:val="20"/>
              </w:rPr>
              <w:t>Juntarawijit</w:t>
            </w:r>
            <w:proofErr w:type="spellEnd"/>
            <w:r w:rsidRPr="0061509E">
              <w:rPr>
                <w:sz w:val="20"/>
              </w:rPr>
              <w:t xml:space="preserve"> &amp; </w:t>
            </w:r>
            <w:proofErr w:type="spellStart"/>
            <w:r w:rsidRPr="0061509E">
              <w:rPr>
                <w:sz w:val="20"/>
              </w:rPr>
              <w:t>Juntarawijit</w:t>
            </w:r>
            <w:proofErr w:type="spellEnd"/>
            <w:r w:rsidRPr="0061509E">
              <w:rPr>
                <w:sz w:val="20"/>
              </w:rPr>
              <w:t xml:space="preserve"> (2019); Bai et al. (2024)</w:t>
            </w:r>
          </w:p>
        </w:tc>
      </w:tr>
      <w:tr w:rsidR="0061509E" w:rsidRPr="0061509E" w14:paraId="0EBF1B61" w14:textId="77777777" w:rsidTr="0061509E">
        <w:tc>
          <w:tcPr>
            <w:tcW w:w="0" w:type="auto"/>
            <w:hideMark/>
          </w:tcPr>
          <w:p w14:paraId="5FF88815" w14:textId="77777777" w:rsidR="0061509E" w:rsidRPr="0061509E" w:rsidRDefault="0061509E" w:rsidP="0061509E">
            <w:pPr>
              <w:rPr>
                <w:sz w:val="20"/>
              </w:rPr>
            </w:pPr>
            <w:r w:rsidRPr="0061509E">
              <w:rPr>
                <w:sz w:val="20"/>
              </w:rPr>
              <w:t>Burner corrosion and soot formation</w:t>
            </w:r>
          </w:p>
        </w:tc>
        <w:tc>
          <w:tcPr>
            <w:tcW w:w="0" w:type="auto"/>
            <w:hideMark/>
          </w:tcPr>
          <w:p w14:paraId="5C897E78" w14:textId="77777777" w:rsidR="0061509E" w:rsidRPr="0061509E" w:rsidRDefault="0061509E" w:rsidP="0061509E">
            <w:pPr>
              <w:rPr>
                <w:sz w:val="20"/>
              </w:rPr>
            </w:pPr>
            <w:r w:rsidRPr="0061509E">
              <w:rPr>
                <w:sz w:val="20"/>
              </w:rPr>
              <w:t>Inefficient fuel–air mixing</w:t>
            </w:r>
          </w:p>
        </w:tc>
        <w:tc>
          <w:tcPr>
            <w:tcW w:w="0" w:type="auto"/>
            <w:hideMark/>
          </w:tcPr>
          <w:p w14:paraId="21C5B091" w14:textId="77777777" w:rsidR="0061509E" w:rsidRPr="0061509E" w:rsidRDefault="0061509E" w:rsidP="0061509E">
            <w:pPr>
              <w:rPr>
                <w:sz w:val="20"/>
              </w:rPr>
            </w:pPr>
            <w:r w:rsidRPr="0061509E">
              <w:rPr>
                <w:sz w:val="20"/>
              </w:rPr>
              <w:t>Carbon soot, ultrafine particles</w:t>
            </w:r>
          </w:p>
        </w:tc>
        <w:tc>
          <w:tcPr>
            <w:tcW w:w="0" w:type="auto"/>
            <w:hideMark/>
          </w:tcPr>
          <w:p w14:paraId="38135E87" w14:textId="77777777" w:rsidR="0061509E" w:rsidRPr="0061509E" w:rsidRDefault="0061509E" w:rsidP="0061509E">
            <w:pPr>
              <w:rPr>
                <w:sz w:val="20"/>
              </w:rPr>
            </w:pPr>
            <w:r w:rsidRPr="0061509E">
              <w:rPr>
                <w:sz w:val="20"/>
              </w:rPr>
              <w:t>Poor maintenance, blocked burner ports</w:t>
            </w:r>
          </w:p>
        </w:tc>
        <w:tc>
          <w:tcPr>
            <w:tcW w:w="0" w:type="auto"/>
            <w:hideMark/>
          </w:tcPr>
          <w:p w14:paraId="5A1E2F31" w14:textId="77777777" w:rsidR="0061509E" w:rsidRPr="0061509E" w:rsidRDefault="0061509E" w:rsidP="0061509E">
            <w:pPr>
              <w:rPr>
                <w:sz w:val="20"/>
              </w:rPr>
            </w:pPr>
            <w:r w:rsidRPr="0061509E">
              <w:rPr>
                <w:sz w:val="20"/>
              </w:rPr>
              <w:t>Cardiovascular stress, systemic inflammation</w:t>
            </w:r>
          </w:p>
        </w:tc>
        <w:tc>
          <w:tcPr>
            <w:tcW w:w="0" w:type="auto"/>
            <w:hideMark/>
          </w:tcPr>
          <w:p w14:paraId="530555F3" w14:textId="77777777" w:rsidR="0061509E" w:rsidRPr="0061509E" w:rsidRDefault="0061509E" w:rsidP="0061509E">
            <w:pPr>
              <w:rPr>
                <w:sz w:val="20"/>
              </w:rPr>
            </w:pPr>
            <w:r w:rsidRPr="0061509E">
              <w:rPr>
                <w:sz w:val="20"/>
              </w:rPr>
              <w:t>Stabile et al. (2015); Sani et al. (2025)</w:t>
            </w:r>
          </w:p>
        </w:tc>
      </w:tr>
    </w:tbl>
    <w:p w14:paraId="548A1262" w14:textId="77777777" w:rsidR="00D963CB" w:rsidRPr="003221B9" w:rsidRDefault="00D963CB" w:rsidP="003221B9">
      <w:pPr>
        <w:jc w:val="both"/>
      </w:pPr>
    </w:p>
    <w:p w14:paraId="4FF011A4" w14:textId="77777777" w:rsidR="003221B9" w:rsidRDefault="003221B9" w:rsidP="003221B9">
      <w:pPr>
        <w:pStyle w:val="Heading1"/>
        <w:rPr>
          <w:rStyle w:val="Strong"/>
          <w:b/>
          <w:bCs/>
        </w:rPr>
      </w:pPr>
      <w:r>
        <w:rPr>
          <w:rStyle w:val="Strong"/>
          <w:b/>
          <w:bCs/>
        </w:rPr>
        <w:t>2.1 Common Gases Detected</w:t>
      </w:r>
    </w:p>
    <w:p w14:paraId="47E1AAD4" w14:textId="77777777" w:rsidR="005B3682" w:rsidRDefault="005B3682" w:rsidP="005B3682">
      <w:pPr>
        <w:jc w:val="both"/>
      </w:pPr>
      <w:r>
        <w:t>Cooking appliances generate a range of toxic gaseous emissions that depend on the energy source, combustion efficiency, and operating conditions. In West African countries such as Nigeria, Ghana, Senegal, and Côte d’Ivoire, open butane gas burners remain widely used and operate with visible flames, whereas electric cooking ovens rely on enclosed, flame-free heating mechanisms. Although both technologies contribute to indoor air pollution, they differ markedly in the nature, magnitude, and exposure pathways of emitted pollutants. The principal gaseous contaminants associated with these coo</w:t>
      </w:r>
      <w:r w:rsidR="001E3E4A">
        <w:t>king systems are discussed in the subsections here.</w:t>
      </w:r>
    </w:p>
    <w:p w14:paraId="37635039" w14:textId="77777777" w:rsidR="003221B9" w:rsidRDefault="003221B9" w:rsidP="009E0A8E">
      <w:pPr>
        <w:pStyle w:val="Heading1"/>
        <w:rPr>
          <w:rStyle w:val="Strong"/>
        </w:rPr>
      </w:pPr>
      <w:r w:rsidRPr="009E0A8E">
        <w:rPr>
          <w:rStyle w:val="Strong"/>
          <w:sz w:val="28"/>
        </w:rPr>
        <w:t>2.1.1 Volatile Organic Compounds (VOCs)</w:t>
      </w:r>
    </w:p>
    <w:p w14:paraId="78095FF0" w14:textId="77777777" w:rsidR="005B3682" w:rsidRPr="005B3682" w:rsidRDefault="00512A75" w:rsidP="005B3682">
      <w:pPr>
        <w:jc w:val="both"/>
      </w:pPr>
      <w:r>
        <w:t>The VOCs</w:t>
      </w:r>
      <w:r w:rsidR="005B3682">
        <w:t>, including benzene, toluene, and styrene, are predominantly associated with electric cooking ovens as a result of thermal degradation and oxidative breakdown of internal polymeric materials, insulation layers, adhesives, and lubricants during prolonged high-temperature operation. Open butane gas burners also release VOCs, particularly when combustion is incomplete, a situation commonly observed in poorly ventilated kitchens. Exposure to VOCs is known to cause irritation of the eyes, nasal passages, and throat, while long-term exposure has been linked to chronic respiratory disorders and increased carcinogenic risk (Kabir &amp; Kim, 2011; Kim et al., 2011; Bai et al., 2024).</w:t>
      </w:r>
    </w:p>
    <w:p w14:paraId="1AB27419" w14:textId="77777777" w:rsidR="003221B9" w:rsidRPr="009E0A8E" w:rsidRDefault="003221B9" w:rsidP="009E0A8E">
      <w:pPr>
        <w:pStyle w:val="Heading1"/>
        <w:rPr>
          <w:rStyle w:val="Strong"/>
          <w:sz w:val="28"/>
        </w:rPr>
      </w:pPr>
      <w:r w:rsidRPr="009E0A8E">
        <w:rPr>
          <w:rStyle w:val="Strong"/>
          <w:sz w:val="28"/>
        </w:rPr>
        <w:t>2.1.2 Carbon Monoxide (CO)</w:t>
      </w:r>
    </w:p>
    <w:p w14:paraId="4B1CAAF0" w14:textId="77777777" w:rsidR="005B3682" w:rsidRDefault="00B60F37" w:rsidP="005B3682">
      <w:pPr>
        <w:jc w:val="both"/>
      </w:pPr>
      <w:r>
        <w:t xml:space="preserve">The CO </w:t>
      </w:r>
      <w:r w:rsidR="005B3682">
        <w:t>is a critical pollutant generated primarily through incomplete fuel combustion. In households across Nigeria, Ghana, and Senegal, open butane gas burners can emit substantial quantities of CO directly into indoor environments, posing immediate risks of hypoxia, cardiovascular strain, and, in extreme cases, fatal poisoning. Although electric cooking ovens do not involve direct fuel combustion, CO can still be released through the pyrolysis of food residues and the thermal degradation of lubricants and adhesive materials. These emissions are generally less perceptible but may accumulate over time, particularly under conditions of inadequate ventilation, increasin</w:t>
      </w:r>
      <w:r w:rsidR="006A4342">
        <w:t>g chronic exposure risks (</w:t>
      </w:r>
      <w:proofErr w:type="spellStart"/>
      <w:r w:rsidR="006A4342">
        <w:t>Abdul</w:t>
      </w:r>
      <w:r w:rsidR="005B3682">
        <w:t>Raheem</w:t>
      </w:r>
      <w:proofErr w:type="spellEnd"/>
      <w:r w:rsidR="005B3682">
        <w:t xml:space="preserve"> et al., 2022; Mortimer et al., 2012; Logue et al., 2013).</w:t>
      </w:r>
    </w:p>
    <w:p w14:paraId="25D69A72" w14:textId="77777777" w:rsidR="00F80414" w:rsidRDefault="00F80414" w:rsidP="005B3682">
      <w:pPr>
        <w:jc w:val="both"/>
      </w:pPr>
    </w:p>
    <w:p w14:paraId="34EFD86A" w14:textId="77777777" w:rsidR="00F80414" w:rsidRDefault="00F80414" w:rsidP="005B3682">
      <w:pPr>
        <w:jc w:val="both"/>
      </w:pPr>
    </w:p>
    <w:p w14:paraId="704E1B8B" w14:textId="77777777" w:rsidR="00F80414" w:rsidRDefault="00F80414" w:rsidP="005B3682">
      <w:pPr>
        <w:jc w:val="both"/>
      </w:pPr>
    </w:p>
    <w:p w14:paraId="7F8396CF" w14:textId="77777777" w:rsidR="00F80414" w:rsidRDefault="00F80414" w:rsidP="005B3682">
      <w:pPr>
        <w:jc w:val="both"/>
      </w:pPr>
    </w:p>
    <w:p w14:paraId="763D7204" w14:textId="77777777" w:rsidR="00F80414" w:rsidRPr="005B3682" w:rsidRDefault="00F80414" w:rsidP="005B3682">
      <w:pPr>
        <w:jc w:val="both"/>
      </w:pPr>
    </w:p>
    <w:p w14:paraId="2E4BF62B" w14:textId="77777777" w:rsidR="003221B9" w:rsidRPr="00B60F37" w:rsidRDefault="003221B9" w:rsidP="00B60F37">
      <w:pPr>
        <w:pStyle w:val="Heading1"/>
        <w:rPr>
          <w:rStyle w:val="Strong"/>
          <w:sz w:val="28"/>
        </w:rPr>
      </w:pPr>
      <w:r w:rsidRPr="00B60F37">
        <w:rPr>
          <w:rStyle w:val="Strong"/>
          <w:sz w:val="28"/>
        </w:rPr>
        <w:lastRenderedPageBreak/>
        <w:t>2.1.3 Nitrogen Oxides (NOx)</w:t>
      </w:r>
    </w:p>
    <w:p w14:paraId="332FAD0F" w14:textId="77777777" w:rsidR="005B3682" w:rsidRPr="005B3682" w:rsidRDefault="00506078" w:rsidP="005B3682">
      <w:pPr>
        <w:jc w:val="both"/>
      </w:pPr>
      <w:r>
        <w:t>The NOₓ</w:t>
      </w:r>
      <w:r w:rsidR="005B3682">
        <w:t xml:space="preserve"> are formed when atmospheric nitrogen and oxygen react at elevated temperatures. In open butane burners, the presence of a high-temperature visible flame facilitates NOₓ formation, especially during rapid or prolonged heating cycles. Electric ovens generate NOₓ primarily through the oxidation of internal components and the thermal decomposition of food residues. These gases are known to aggravate airway inflammation, reduce lung function, and exacerbate respiratory diseases such as asthma. Elevated indoor NOₓ concentrations have been reported in densely populated urban households in countries including Côte d’Ivoire and Senegal, where traditional gas cooking remains prevalent (Jarvis et al., 1998; Lin et al., 2013; Ng et al., 2001).</w:t>
      </w:r>
    </w:p>
    <w:p w14:paraId="470EDF55" w14:textId="77777777" w:rsidR="003221B9" w:rsidRPr="00B60F37" w:rsidRDefault="003221B9" w:rsidP="00B60F37">
      <w:pPr>
        <w:pStyle w:val="Heading1"/>
        <w:rPr>
          <w:rStyle w:val="Strong"/>
          <w:sz w:val="28"/>
        </w:rPr>
      </w:pPr>
      <w:r w:rsidRPr="00B60F37">
        <w:rPr>
          <w:rStyle w:val="Strong"/>
          <w:sz w:val="28"/>
        </w:rPr>
        <w:t>2.1.4 Aldehydes</w:t>
      </w:r>
    </w:p>
    <w:p w14:paraId="209A9347" w14:textId="77777777" w:rsidR="003221B9" w:rsidRDefault="003221B9" w:rsidP="003221B9">
      <w:pPr>
        <w:pStyle w:val="NormalWeb"/>
        <w:jc w:val="both"/>
      </w:pPr>
      <w:r>
        <w:t>Aldehydes, including formaldehyde and acrolein, are released from pyrolyzed fats, oils, and polymer materials. Electric ovens emit aldehydes due to thermal degradation of insulation and food residues, while open butane flames produce aldehydes when fuel combustion is incomplete or when food drippings contact the flame. Chronic inhalation of aldehydes irritates respiratory tissues and increases long-term cancer risk.</w:t>
      </w:r>
    </w:p>
    <w:p w14:paraId="6510C4A3" w14:textId="77777777" w:rsidR="003221B9" w:rsidRPr="00B60F37" w:rsidRDefault="003221B9" w:rsidP="00B60F37">
      <w:pPr>
        <w:pStyle w:val="Heading1"/>
        <w:rPr>
          <w:rStyle w:val="Strong"/>
          <w:sz w:val="28"/>
        </w:rPr>
      </w:pPr>
      <w:r w:rsidRPr="00B60F37">
        <w:rPr>
          <w:rStyle w:val="Strong"/>
          <w:sz w:val="28"/>
        </w:rPr>
        <w:t>2.1.5 Particulate Matter (PM</w:t>
      </w:r>
      <w:proofErr w:type="gramStart"/>
      <w:r w:rsidRPr="00B60F37">
        <w:rPr>
          <w:rStyle w:val="Strong"/>
          <w:sz w:val="28"/>
        </w:rPr>
        <w:t>₂.₅</w:t>
      </w:r>
      <w:proofErr w:type="gramEnd"/>
      <w:r w:rsidRPr="00B60F37">
        <w:rPr>
          <w:rStyle w:val="Strong"/>
          <w:sz w:val="28"/>
        </w:rPr>
        <w:t xml:space="preserve"> / PM₁₀)</w:t>
      </w:r>
    </w:p>
    <w:p w14:paraId="4F5483BF" w14:textId="77777777" w:rsidR="005B3682" w:rsidRDefault="005B3682" w:rsidP="003A1124">
      <w:pPr>
        <w:pStyle w:val="NormalWeb"/>
        <w:jc w:val="both"/>
      </w:pPr>
      <w:r>
        <w:t>Aldehydes, notably formaldehyde and acrolein, are released during the thermal breakdown of fats, oils, and polymer-based materials. In electric cooking ovens, aldehyde emissions arise mainly from the degradation of insulation materials and accumulated food residues under high-temperature conditions. Open butane burners also emit aldehydes when fuel combustion is incomplete or when food drippings come into direct contact with the flame. Prolonged inhalation of aldehydes is associated with mucosal irritation, respiratory inflammation, and an elevated long-term risk of carcinogenesis (Stabile et al., 2015; See &amp; Balasubramanian, 2006; Lee et al., 2022).</w:t>
      </w:r>
    </w:p>
    <w:p w14:paraId="784F0AC1" w14:textId="77777777" w:rsidR="00E03D5E" w:rsidRDefault="00A72CCE" w:rsidP="00160CCC">
      <w:pPr>
        <w:jc w:val="both"/>
      </w:pPr>
      <w:r>
        <w:t>Electric cooking ovens emit a complex mixture</w:t>
      </w:r>
      <w:r w:rsidR="00EF61E7">
        <w:t xml:space="preserve"> of VOCs</w:t>
      </w:r>
      <w:r w:rsidR="003764E8">
        <w:t>, CO, NOₓ</w:t>
      </w:r>
      <w:r>
        <w:t>, aldehydes, and fine particulate matter due to thermal degradation of internal polymers and food residues. These pollutants degrade indoor air quality and may cause respiratory irritation and long-term health effects under sustained exposure (Kim et al., 2011; Kabir &amp; Kim, 2011; Lee et al., 2022).</w:t>
      </w:r>
    </w:p>
    <w:p w14:paraId="0B5C7C30" w14:textId="77777777" w:rsidR="00A72CCE" w:rsidRDefault="00A72CCE" w:rsidP="00160CCC">
      <w:pPr>
        <w:jc w:val="both"/>
      </w:pPr>
    </w:p>
    <w:p w14:paraId="7614EA77" w14:textId="4CA14D68" w:rsidR="00E03D5E" w:rsidRPr="00E03D5E" w:rsidRDefault="00E03D5E" w:rsidP="00E03D5E">
      <w:pPr>
        <w:pStyle w:val="Caption"/>
        <w:rPr>
          <w:b/>
          <w:i w:val="0"/>
          <w:sz w:val="24"/>
        </w:rPr>
      </w:pPr>
      <w:r w:rsidRPr="00E03D5E">
        <w:rPr>
          <w:b/>
          <w:i w:val="0"/>
          <w:sz w:val="24"/>
        </w:rPr>
        <w:t xml:space="preserve">Table </w:t>
      </w:r>
      <w:r w:rsidRPr="00E03D5E">
        <w:rPr>
          <w:b/>
          <w:i w:val="0"/>
          <w:sz w:val="24"/>
        </w:rPr>
        <w:fldChar w:fldCharType="begin"/>
      </w:r>
      <w:r w:rsidRPr="00E03D5E">
        <w:rPr>
          <w:b/>
          <w:i w:val="0"/>
          <w:sz w:val="24"/>
        </w:rPr>
        <w:instrText xml:space="preserve"> SEQ Table \* ARABIC </w:instrText>
      </w:r>
      <w:r w:rsidRPr="00E03D5E">
        <w:rPr>
          <w:b/>
          <w:i w:val="0"/>
          <w:sz w:val="24"/>
        </w:rPr>
        <w:fldChar w:fldCharType="separate"/>
      </w:r>
      <w:r w:rsidR="00616433">
        <w:rPr>
          <w:b/>
          <w:i w:val="0"/>
          <w:noProof/>
          <w:sz w:val="24"/>
        </w:rPr>
        <w:t>2</w:t>
      </w:r>
      <w:r w:rsidRPr="00E03D5E">
        <w:rPr>
          <w:b/>
          <w:i w:val="0"/>
          <w:sz w:val="24"/>
        </w:rPr>
        <w:fldChar w:fldCharType="end"/>
      </w:r>
      <w:r w:rsidRPr="00E03D5E">
        <w:rPr>
          <w:b/>
          <w:i w:val="0"/>
          <w:sz w:val="24"/>
        </w:rPr>
        <w:t>:</w:t>
      </w:r>
      <w:r w:rsidRPr="00082893">
        <w:rPr>
          <w:i w:val="0"/>
          <w:sz w:val="24"/>
        </w:rPr>
        <w:t xml:space="preserve"> </w:t>
      </w:r>
      <w:r w:rsidR="00082893" w:rsidRPr="00082893">
        <w:rPr>
          <w:i w:val="0"/>
          <w:sz w:val="24"/>
        </w:rPr>
        <w:t>Common gases emitted from cooking appliances in West Africa, contrasting open butane burners and electric ovens.</w:t>
      </w:r>
    </w:p>
    <w:tbl>
      <w:tblPr>
        <w:tblStyle w:val="TableGrid"/>
        <w:tblW w:w="11058" w:type="dxa"/>
        <w:tblInd w:w="-998" w:type="dxa"/>
        <w:tblLook w:val="04A0" w:firstRow="1" w:lastRow="0" w:firstColumn="1" w:lastColumn="0" w:noHBand="0" w:noVBand="1"/>
      </w:tblPr>
      <w:tblGrid>
        <w:gridCol w:w="1560"/>
        <w:gridCol w:w="2454"/>
        <w:gridCol w:w="1515"/>
        <w:gridCol w:w="1843"/>
        <w:gridCol w:w="1843"/>
        <w:gridCol w:w="1843"/>
      </w:tblGrid>
      <w:tr w:rsidR="00756F2B" w:rsidRPr="00756F2B" w14:paraId="2602791B" w14:textId="77777777" w:rsidTr="00756F2B">
        <w:tc>
          <w:tcPr>
            <w:tcW w:w="1560" w:type="dxa"/>
            <w:hideMark/>
          </w:tcPr>
          <w:p w14:paraId="1B73DDCE" w14:textId="77777777" w:rsidR="00756F2B" w:rsidRPr="00756F2B" w:rsidRDefault="00756F2B" w:rsidP="00756F2B">
            <w:pPr>
              <w:jc w:val="center"/>
              <w:rPr>
                <w:b/>
                <w:bCs/>
                <w:sz w:val="20"/>
              </w:rPr>
            </w:pPr>
            <w:r w:rsidRPr="00756F2B">
              <w:rPr>
                <w:b/>
                <w:bCs/>
                <w:sz w:val="20"/>
              </w:rPr>
              <w:t>Pollutant</w:t>
            </w:r>
          </w:p>
        </w:tc>
        <w:tc>
          <w:tcPr>
            <w:tcW w:w="2454" w:type="dxa"/>
            <w:hideMark/>
          </w:tcPr>
          <w:p w14:paraId="4710E401" w14:textId="77777777" w:rsidR="00756F2B" w:rsidRPr="00756F2B" w:rsidRDefault="00756F2B" w:rsidP="00756F2B">
            <w:pPr>
              <w:jc w:val="center"/>
              <w:rPr>
                <w:b/>
                <w:bCs/>
                <w:sz w:val="20"/>
              </w:rPr>
            </w:pPr>
            <w:r w:rsidRPr="00756F2B">
              <w:rPr>
                <w:b/>
                <w:bCs/>
                <w:sz w:val="20"/>
              </w:rPr>
              <w:t>Sources (Open Butane Burners – Nigeria, Ghana, Senegal, Côte d’Ivoire)</w:t>
            </w:r>
          </w:p>
        </w:tc>
        <w:tc>
          <w:tcPr>
            <w:tcW w:w="1515" w:type="dxa"/>
            <w:hideMark/>
          </w:tcPr>
          <w:p w14:paraId="6E07CEBB" w14:textId="77777777" w:rsidR="00756F2B" w:rsidRPr="00756F2B" w:rsidRDefault="00756F2B" w:rsidP="00756F2B">
            <w:pPr>
              <w:jc w:val="center"/>
              <w:rPr>
                <w:b/>
                <w:bCs/>
                <w:sz w:val="20"/>
              </w:rPr>
            </w:pPr>
            <w:r w:rsidRPr="00756F2B">
              <w:rPr>
                <w:b/>
                <w:bCs/>
                <w:sz w:val="20"/>
              </w:rPr>
              <w:t>Sources (Electric Ovens)</w:t>
            </w:r>
          </w:p>
        </w:tc>
        <w:tc>
          <w:tcPr>
            <w:tcW w:w="1843" w:type="dxa"/>
            <w:hideMark/>
          </w:tcPr>
          <w:p w14:paraId="3C92CA01" w14:textId="77777777" w:rsidR="00756F2B" w:rsidRPr="00756F2B" w:rsidRDefault="00756F2B" w:rsidP="00756F2B">
            <w:pPr>
              <w:jc w:val="center"/>
              <w:rPr>
                <w:b/>
                <w:bCs/>
                <w:sz w:val="20"/>
              </w:rPr>
            </w:pPr>
            <w:r w:rsidRPr="00756F2B">
              <w:rPr>
                <w:b/>
                <w:bCs/>
                <w:sz w:val="20"/>
              </w:rPr>
              <w:t>Typical Emission / Exposure Context</w:t>
            </w:r>
          </w:p>
        </w:tc>
        <w:tc>
          <w:tcPr>
            <w:tcW w:w="1843" w:type="dxa"/>
            <w:hideMark/>
          </w:tcPr>
          <w:p w14:paraId="665C5BC2" w14:textId="77777777" w:rsidR="00756F2B" w:rsidRPr="00756F2B" w:rsidRDefault="00756F2B" w:rsidP="00756F2B">
            <w:pPr>
              <w:jc w:val="center"/>
              <w:rPr>
                <w:b/>
                <w:bCs/>
                <w:sz w:val="20"/>
              </w:rPr>
            </w:pPr>
            <w:r w:rsidRPr="00756F2B">
              <w:rPr>
                <w:b/>
                <w:bCs/>
                <w:sz w:val="20"/>
              </w:rPr>
              <w:t>Health Effects and Risk Interpretation</w:t>
            </w:r>
          </w:p>
        </w:tc>
        <w:tc>
          <w:tcPr>
            <w:tcW w:w="1843" w:type="dxa"/>
            <w:hideMark/>
          </w:tcPr>
          <w:p w14:paraId="003901B0" w14:textId="77777777" w:rsidR="00756F2B" w:rsidRPr="00756F2B" w:rsidRDefault="00756F2B" w:rsidP="00756F2B">
            <w:pPr>
              <w:jc w:val="center"/>
              <w:rPr>
                <w:b/>
                <w:bCs/>
                <w:sz w:val="20"/>
              </w:rPr>
            </w:pPr>
            <w:r w:rsidRPr="00756F2B">
              <w:rPr>
                <w:b/>
                <w:bCs/>
                <w:sz w:val="20"/>
              </w:rPr>
              <w:t>Key Supporting References</w:t>
            </w:r>
          </w:p>
        </w:tc>
      </w:tr>
      <w:tr w:rsidR="00756F2B" w:rsidRPr="00756F2B" w14:paraId="37A0A54B" w14:textId="77777777" w:rsidTr="00756F2B">
        <w:tc>
          <w:tcPr>
            <w:tcW w:w="1560" w:type="dxa"/>
            <w:hideMark/>
          </w:tcPr>
          <w:p w14:paraId="47ECD52E" w14:textId="77777777" w:rsidR="00756F2B" w:rsidRPr="00756F2B" w:rsidRDefault="00756F2B" w:rsidP="00756F2B">
            <w:pPr>
              <w:rPr>
                <w:sz w:val="20"/>
              </w:rPr>
            </w:pPr>
            <w:r w:rsidRPr="00756F2B">
              <w:rPr>
                <w:sz w:val="20"/>
              </w:rPr>
              <w:t>Volatile Organic Compounds (VOCs)</w:t>
            </w:r>
          </w:p>
        </w:tc>
        <w:tc>
          <w:tcPr>
            <w:tcW w:w="2454" w:type="dxa"/>
            <w:hideMark/>
          </w:tcPr>
          <w:p w14:paraId="63BB1BCD" w14:textId="77777777" w:rsidR="00756F2B" w:rsidRPr="00756F2B" w:rsidRDefault="00756F2B" w:rsidP="00756F2B">
            <w:pPr>
              <w:rPr>
                <w:sz w:val="20"/>
              </w:rPr>
            </w:pPr>
            <w:r w:rsidRPr="00756F2B">
              <w:rPr>
                <w:sz w:val="20"/>
              </w:rPr>
              <w:t>Incomplete combustion and unburned fuel leakage in traditional gas stoves</w:t>
            </w:r>
          </w:p>
        </w:tc>
        <w:tc>
          <w:tcPr>
            <w:tcW w:w="1515" w:type="dxa"/>
            <w:hideMark/>
          </w:tcPr>
          <w:p w14:paraId="1C267C5D" w14:textId="77777777" w:rsidR="00756F2B" w:rsidRPr="00756F2B" w:rsidRDefault="00756F2B" w:rsidP="00756F2B">
            <w:pPr>
              <w:rPr>
                <w:sz w:val="20"/>
              </w:rPr>
            </w:pPr>
            <w:r w:rsidRPr="00756F2B">
              <w:rPr>
                <w:sz w:val="20"/>
              </w:rPr>
              <w:t>Thermal degradation of insulation, sealants, lubricants, and food residues</w:t>
            </w:r>
          </w:p>
        </w:tc>
        <w:tc>
          <w:tcPr>
            <w:tcW w:w="1843" w:type="dxa"/>
            <w:hideMark/>
          </w:tcPr>
          <w:p w14:paraId="0B7DBD0D" w14:textId="77777777" w:rsidR="00756F2B" w:rsidRPr="00756F2B" w:rsidRDefault="00756F2B" w:rsidP="00756F2B">
            <w:pPr>
              <w:rPr>
                <w:sz w:val="20"/>
              </w:rPr>
            </w:pPr>
            <w:r w:rsidRPr="00756F2B">
              <w:rPr>
                <w:sz w:val="20"/>
              </w:rPr>
              <w:t>High in poorly ventilated households using gas; moderate but persistent in electric cooking systems</w:t>
            </w:r>
          </w:p>
        </w:tc>
        <w:tc>
          <w:tcPr>
            <w:tcW w:w="1843" w:type="dxa"/>
            <w:hideMark/>
          </w:tcPr>
          <w:p w14:paraId="71CA5737" w14:textId="77777777" w:rsidR="00756F2B" w:rsidRPr="00756F2B" w:rsidRDefault="00756F2B" w:rsidP="00756F2B">
            <w:pPr>
              <w:rPr>
                <w:sz w:val="20"/>
              </w:rPr>
            </w:pPr>
            <w:r w:rsidRPr="00756F2B">
              <w:rPr>
                <w:sz w:val="20"/>
              </w:rPr>
              <w:t>Mucosal irritation, headaches, respiratory symptoms, long-term carcinogenic potential</w:t>
            </w:r>
          </w:p>
        </w:tc>
        <w:tc>
          <w:tcPr>
            <w:tcW w:w="1843" w:type="dxa"/>
            <w:hideMark/>
          </w:tcPr>
          <w:p w14:paraId="7A80BB5C" w14:textId="77777777" w:rsidR="00756F2B" w:rsidRPr="00756F2B" w:rsidRDefault="00756F2B" w:rsidP="00756F2B">
            <w:pPr>
              <w:rPr>
                <w:sz w:val="20"/>
              </w:rPr>
            </w:pPr>
            <w:proofErr w:type="spellStart"/>
            <w:r w:rsidRPr="00756F2B">
              <w:rPr>
                <w:sz w:val="20"/>
              </w:rPr>
              <w:t>Aberilla</w:t>
            </w:r>
            <w:proofErr w:type="spellEnd"/>
            <w:r w:rsidRPr="00756F2B">
              <w:rPr>
                <w:sz w:val="20"/>
              </w:rPr>
              <w:t xml:space="preserve"> et al. (2020); Roche et al. (2024); </w:t>
            </w:r>
            <w:proofErr w:type="spellStart"/>
            <w:r w:rsidRPr="00756F2B">
              <w:rPr>
                <w:sz w:val="20"/>
              </w:rPr>
              <w:t>Odoi</w:t>
            </w:r>
            <w:proofErr w:type="spellEnd"/>
            <w:r w:rsidRPr="00756F2B">
              <w:rPr>
                <w:sz w:val="20"/>
              </w:rPr>
              <w:t>-Yorke (2024)</w:t>
            </w:r>
          </w:p>
        </w:tc>
      </w:tr>
      <w:tr w:rsidR="00756F2B" w:rsidRPr="00756F2B" w14:paraId="48640C65" w14:textId="77777777" w:rsidTr="00756F2B">
        <w:tc>
          <w:tcPr>
            <w:tcW w:w="1560" w:type="dxa"/>
            <w:hideMark/>
          </w:tcPr>
          <w:p w14:paraId="28F2053D" w14:textId="77777777" w:rsidR="00756F2B" w:rsidRPr="00756F2B" w:rsidRDefault="00756F2B" w:rsidP="00756F2B">
            <w:pPr>
              <w:rPr>
                <w:sz w:val="20"/>
              </w:rPr>
            </w:pPr>
            <w:r w:rsidRPr="00756F2B">
              <w:rPr>
                <w:sz w:val="20"/>
              </w:rPr>
              <w:t>Carbon Monoxide (CO)</w:t>
            </w:r>
          </w:p>
        </w:tc>
        <w:tc>
          <w:tcPr>
            <w:tcW w:w="2454" w:type="dxa"/>
            <w:hideMark/>
          </w:tcPr>
          <w:p w14:paraId="67BFCA94" w14:textId="77777777" w:rsidR="00756F2B" w:rsidRPr="00756F2B" w:rsidRDefault="00756F2B" w:rsidP="00756F2B">
            <w:pPr>
              <w:rPr>
                <w:sz w:val="20"/>
              </w:rPr>
            </w:pPr>
            <w:r w:rsidRPr="00756F2B">
              <w:rPr>
                <w:sz w:val="20"/>
              </w:rPr>
              <w:t>Direct emission from oxygen-deficient combustion in open flames</w:t>
            </w:r>
          </w:p>
        </w:tc>
        <w:tc>
          <w:tcPr>
            <w:tcW w:w="1515" w:type="dxa"/>
            <w:hideMark/>
          </w:tcPr>
          <w:p w14:paraId="43CB6C4D" w14:textId="77777777" w:rsidR="00756F2B" w:rsidRPr="00756F2B" w:rsidRDefault="00756F2B" w:rsidP="00756F2B">
            <w:pPr>
              <w:rPr>
                <w:sz w:val="20"/>
              </w:rPr>
            </w:pPr>
            <w:r w:rsidRPr="00756F2B">
              <w:rPr>
                <w:sz w:val="20"/>
              </w:rPr>
              <w:t xml:space="preserve">Minor release from pyrolysis of food residues </w:t>
            </w:r>
            <w:r w:rsidRPr="00756F2B">
              <w:rPr>
                <w:sz w:val="20"/>
              </w:rPr>
              <w:lastRenderedPageBreak/>
              <w:t>and degraded lubricants</w:t>
            </w:r>
          </w:p>
        </w:tc>
        <w:tc>
          <w:tcPr>
            <w:tcW w:w="1843" w:type="dxa"/>
            <w:hideMark/>
          </w:tcPr>
          <w:p w14:paraId="6E06AC52" w14:textId="77777777" w:rsidR="00756F2B" w:rsidRPr="00756F2B" w:rsidRDefault="00756F2B" w:rsidP="00756F2B">
            <w:pPr>
              <w:rPr>
                <w:sz w:val="20"/>
              </w:rPr>
            </w:pPr>
            <w:r w:rsidRPr="00756F2B">
              <w:rPr>
                <w:sz w:val="20"/>
              </w:rPr>
              <w:lastRenderedPageBreak/>
              <w:t xml:space="preserve">Very high near open flames; low to moderate but </w:t>
            </w:r>
            <w:r w:rsidRPr="00756F2B">
              <w:rPr>
                <w:sz w:val="20"/>
              </w:rPr>
              <w:lastRenderedPageBreak/>
              <w:t>cumulative in enclosed electric cooking environments</w:t>
            </w:r>
          </w:p>
        </w:tc>
        <w:tc>
          <w:tcPr>
            <w:tcW w:w="1843" w:type="dxa"/>
            <w:hideMark/>
          </w:tcPr>
          <w:p w14:paraId="110DCAA4" w14:textId="77777777" w:rsidR="00756F2B" w:rsidRPr="00756F2B" w:rsidRDefault="00756F2B" w:rsidP="00756F2B">
            <w:pPr>
              <w:rPr>
                <w:sz w:val="20"/>
              </w:rPr>
            </w:pPr>
            <w:r w:rsidRPr="00756F2B">
              <w:rPr>
                <w:sz w:val="20"/>
              </w:rPr>
              <w:lastRenderedPageBreak/>
              <w:t xml:space="preserve">Impaired oxygen transport, fatigue, hypoxia, </w:t>
            </w:r>
            <w:r w:rsidRPr="00756F2B">
              <w:rPr>
                <w:sz w:val="20"/>
              </w:rPr>
              <w:lastRenderedPageBreak/>
              <w:t>cardiovascular stress</w:t>
            </w:r>
          </w:p>
        </w:tc>
        <w:tc>
          <w:tcPr>
            <w:tcW w:w="1843" w:type="dxa"/>
            <w:hideMark/>
          </w:tcPr>
          <w:p w14:paraId="5923AB00" w14:textId="77777777" w:rsidR="00756F2B" w:rsidRPr="00756F2B" w:rsidRDefault="00756F2B" w:rsidP="00756F2B">
            <w:pPr>
              <w:rPr>
                <w:sz w:val="20"/>
              </w:rPr>
            </w:pPr>
            <w:r w:rsidRPr="00756F2B">
              <w:rPr>
                <w:sz w:val="20"/>
              </w:rPr>
              <w:lastRenderedPageBreak/>
              <w:t>Cen et al. (2021); Cen et al. (2024); Roche et al. (2024)</w:t>
            </w:r>
          </w:p>
        </w:tc>
      </w:tr>
      <w:tr w:rsidR="00756F2B" w:rsidRPr="00756F2B" w14:paraId="05693CFA" w14:textId="77777777" w:rsidTr="00756F2B">
        <w:tc>
          <w:tcPr>
            <w:tcW w:w="1560" w:type="dxa"/>
            <w:hideMark/>
          </w:tcPr>
          <w:p w14:paraId="413C6006" w14:textId="77777777" w:rsidR="00756F2B" w:rsidRPr="00756F2B" w:rsidRDefault="00756F2B" w:rsidP="00756F2B">
            <w:pPr>
              <w:rPr>
                <w:sz w:val="20"/>
              </w:rPr>
            </w:pPr>
            <w:r w:rsidRPr="00756F2B">
              <w:rPr>
                <w:sz w:val="20"/>
              </w:rPr>
              <w:t>Nitrogen Oxides (NOₓ)</w:t>
            </w:r>
          </w:p>
        </w:tc>
        <w:tc>
          <w:tcPr>
            <w:tcW w:w="2454" w:type="dxa"/>
            <w:hideMark/>
          </w:tcPr>
          <w:p w14:paraId="443C9E25" w14:textId="77777777" w:rsidR="00756F2B" w:rsidRPr="00756F2B" w:rsidRDefault="00756F2B" w:rsidP="00756F2B">
            <w:pPr>
              <w:rPr>
                <w:sz w:val="20"/>
              </w:rPr>
            </w:pPr>
            <w:r w:rsidRPr="00756F2B">
              <w:rPr>
                <w:sz w:val="20"/>
              </w:rPr>
              <w:t>High-temperature flame reactions involving atmospheric nitrogen</w:t>
            </w:r>
          </w:p>
        </w:tc>
        <w:tc>
          <w:tcPr>
            <w:tcW w:w="1515" w:type="dxa"/>
            <w:hideMark/>
          </w:tcPr>
          <w:p w14:paraId="648BD4B8" w14:textId="77777777" w:rsidR="00756F2B" w:rsidRPr="00756F2B" w:rsidRDefault="00756F2B" w:rsidP="00756F2B">
            <w:pPr>
              <w:rPr>
                <w:sz w:val="20"/>
              </w:rPr>
            </w:pPr>
            <w:r w:rsidRPr="00756F2B">
              <w:rPr>
                <w:sz w:val="20"/>
              </w:rPr>
              <w:t>Oxidation of internal components and heated residues</w:t>
            </w:r>
          </w:p>
        </w:tc>
        <w:tc>
          <w:tcPr>
            <w:tcW w:w="1843" w:type="dxa"/>
            <w:hideMark/>
          </w:tcPr>
          <w:p w14:paraId="636C8A88" w14:textId="77777777" w:rsidR="00756F2B" w:rsidRPr="00756F2B" w:rsidRDefault="00756F2B" w:rsidP="00756F2B">
            <w:pPr>
              <w:rPr>
                <w:sz w:val="20"/>
              </w:rPr>
            </w:pPr>
            <w:r w:rsidRPr="00756F2B">
              <w:rPr>
                <w:sz w:val="20"/>
              </w:rPr>
              <w:t>Elevated during intense gas flame use; lower but detectable in electric ovens</w:t>
            </w:r>
          </w:p>
        </w:tc>
        <w:tc>
          <w:tcPr>
            <w:tcW w:w="1843" w:type="dxa"/>
            <w:hideMark/>
          </w:tcPr>
          <w:p w14:paraId="560B6EA1" w14:textId="77777777" w:rsidR="00756F2B" w:rsidRPr="00756F2B" w:rsidRDefault="00756F2B" w:rsidP="00756F2B">
            <w:pPr>
              <w:rPr>
                <w:sz w:val="20"/>
              </w:rPr>
            </w:pPr>
            <w:r w:rsidRPr="00756F2B">
              <w:rPr>
                <w:sz w:val="20"/>
              </w:rPr>
              <w:t>Airway inflammation, asthma exacerbation, reduced lung function</w:t>
            </w:r>
          </w:p>
        </w:tc>
        <w:tc>
          <w:tcPr>
            <w:tcW w:w="1843" w:type="dxa"/>
            <w:hideMark/>
          </w:tcPr>
          <w:p w14:paraId="0F9FED8F" w14:textId="77777777" w:rsidR="00756F2B" w:rsidRPr="00756F2B" w:rsidRDefault="00756F2B" w:rsidP="00756F2B">
            <w:pPr>
              <w:rPr>
                <w:sz w:val="20"/>
              </w:rPr>
            </w:pPr>
            <w:r w:rsidRPr="00756F2B">
              <w:rPr>
                <w:sz w:val="20"/>
              </w:rPr>
              <w:t xml:space="preserve">Liu &amp; Chow (2017); </w:t>
            </w:r>
            <w:proofErr w:type="spellStart"/>
            <w:r w:rsidRPr="00756F2B">
              <w:rPr>
                <w:sz w:val="20"/>
              </w:rPr>
              <w:t>Aberilla</w:t>
            </w:r>
            <w:proofErr w:type="spellEnd"/>
            <w:r w:rsidRPr="00756F2B">
              <w:rPr>
                <w:sz w:val="20"/>
              </w:rPr>
              <w:t xml:space="preserve"> et al. (2020)</w:t>
            </w:r>
          </w:p>
        </w:tc>
      </w:tr>
      <w:tr w:rsidR="00756F2B" w:rsidRPr="00756F2B" w14:paraId="682E92BB" w14:textId="77777777" w:rsidTr="00756F2B">
        <w:tc>
          <w:tcPr>
            <w:tcW w:w="1560" w:type="dxa"/>
            <w:hideMark/>
          </w:tcPr>
          <w:p w14:paraId="3154F4E0" w14:textId="77777777" w:rsidR="00756F2B" w:rsidRPr="00756F2B" w:rsidRDefault="00756F2B" w:rsidP="00756F2B">
            <w:pPr>
              <w:rPr>
                <w:sz w:val="20"/>
              </w:rPr>
            </w:pPr>
            <w:r w:rsidRPr="00756F2B">
              <w:rPr>
                <w:sz w:val="20"/>
              </w:rPr>
              <w:t>Aldehydes (formaldehyde, acrolein)</w:t>
            </w:r>
          </w:p>
        </w:tc>
        <w:tc>
          <w:tcPr>
            <w:tcW w:w="2454" w:type="dxa"/>
            <w:hideMark/>
          </w:tcPr>
          <w:p w14:paraId="2342F5BE" w14:textId="77777777" w:rsidR="00756F2B" w:rsidRPr="00756F2B" w:rsidRDefault="00756F2B" w:rsidP="00756F2B">
            <w:pPr>
              <w:rPr>
                <w:sz w:val="20"/>
              </w:rPr>
            </w:pPr>
            <w:r w:rsidRPr="00756F2B">
              <w:rPr>
                <w:sz w:val="20"/>
              </w:rPr>
              <w:t>Flame contact with food drippings and degraded fuel constituents</w:t>
            </w:r>
          </w:p>
        </w:tc>
        <w:tc>
          <w:tcPr>
            <w:tcW w:w="1515" w:type="dxa"/>
            <w:hideMark/>
          </w:tcPr>
          <w:p w14:paraId="5ADA2E9F" w14:textId="77777777" w:rsidR="00756F2B" w:rsidRPr="00756F2B" w:rsidRDefault="00756F2B" w:rsidP="00756F2B">
            <w:pPr>
              <w:rPr>
                <w:sz w:val="20"/>
              </w:rPr>
            </w:pPr>
            <w:r w:rsidRPr="00756F2B">
              <w:rPr>
                <w:sz w:val="20"/>
              </w:rPr>
              <w:t>Pyrolysis of fats, oils, and polymer materials</w:t>
            </w:r>
          </w:p>
        </w:tc>
        <w:tc>
          <w:tcPr>
            <w:tcW w:w="1843" w:type="dxa"/>
            <w:hideMark/>
          </w:tcPr>
          <w:p w14:paraId="7F3B773A" w14:textId="77777777" w:rsidR="00756F2B" w:rsidRPr="00756F2B" w:rsidRDefault="00756F2B" w:rsidP="00756F2B">
            <w:pPr>
              <w:rPr>
                <w:sz w:val="20"/>
              </w:rPr>
            </w:pPr>
            <w:r w:rsidRPr="00756F2B">
              <w:rPr>
                <w:sz w:val="20"/>
              </w:rPr>
              <w:t>Moderate to high for both systems; accumulation notable in enclosed electric ovens</w:t>
            </w:r>
          </w:p>
        </w:tc>
        <w:tc>
          <w:tcPr>
            <w:tcW w:w="1843" w:type="dxa"/>
            <w:hideMark/>
          </w:tcPr>
          <w:p w14:paraId="2759FABC" w14:textId="77777777" w:rsidR="00756F2B" w:rsidRPr="00756F2B" w:rsidRDefault="00756F2B" w:rsidP="00756F2B">
            <w:pPr>
              <w:rPr>
                <w:sz w:val="20"/>
              </w:rPr>
            </w:pPr>
            <w:r w:rsidRPr="00756F2B">
              <w:rPr>
                <w:sz w:val="20"/>
              </w:rPr>
              <w:t>Eye, nose, and throat irritation, coughing, long-term cancer risk</w:t>
            </w:r>
          </w:p>
        </w:tc>
        <w:tc>
          <w:tcPr>
            <w:tcW w:w="1843" w:type="dxa"/>
            <w:hideMark/>
          </w:tcPr>
          <w:p w14:paraId="41F4D224" w14:textId="77777777" w:rsidR="00756F2B" w:rsidRPr="00756F2B" w:rsidRDefault="00756F2B" w:rsidP="00756F2B">
            <w:pPr>
              <w:rPr>
                <w:sz w:val="20"/>
              </w:rPr>
            </w:pPr>
            <w:proofErr w:type="spellStart"/>
            <w:r w:rsidRPr="00756F2B">
              <w:rPr>
                <w:sz w:val="20"/>
              </w:rPr>
              <w:t>Juntarawijit</w:t>
            </w:r>
            <w:proofErr w:type="spellEnd"/>
            <w:r w:rsidRPr="00756F2B">
              <w:rPr>
                <w:sz w:val="20"/>
              </w:rPr>
              <w:t xml:space="preserve"> &amp; </w:t>
            </w:r>
            <w:proofErr w:type="spellStart"/>
            <w:r w:rsidRPr="00756F2B">
              <w:rPr>
                <w:sz w:val="20"/>
              </w:rPr>
              <w:t>Juntarawijit</w:t>
            </w:r>
            <w:proofErr w:type="spellEnd"/>
            <w:r w:rsidRPr="00756F2B">
              <w:rPr>
                <w:sz w:val="20"/>
              </w:rPr>
              <w:t xml:space="preserve"> (2019); </w:t>
            </w:r>
            <w:proofErr w:type="spellStart"/>
            <w:r w:rsidRPr="00756F2B">
              <w:rPr>
                <w:sz w:val="20"/>
              </w:rPr>
              <w:t>Naja</w:t>
            </w:r>
            <w:proofErr w:type="spellEnd"/>
            <w:r w:rsidRPr="00756F2B">
              <w:rPr>
                <w:sz w:val="20"/>
              </w:rPr>
              <w:t xml:space="preserve"> et al. (2011)</w:t>
            </w:r>
          </w:p>
        </w:tc>
      </w:tr>
      <w:tr w:rsidR="00756F2B" w:rsidRPr="00756F2B" w14:paraId="43876A9C" w14:textId="77777777" w:rsidTr="00756F2B">
        <w:tc>
          <w:tcPr>
            <w:tcW w:w="1560" w:type="dxa"/>
            <w:hideMark/>
          </w:tcPr>
          <w:p w14:paraId="5DC0001A" w14:textId="77777777" w:rsidR="00756F2B" w:rsidRPr="00756F2B" w:rsidRDefault="00756F2B" w:rsidP="00756F2B">
            <w:pPr>
              <w:rPr>
                <w:sz w:val="20"/>
              </w:rPr>
            </w:pPr>
            <w:r w:rsidRPr="00756F2B">
              <w:rPr>
                <w:sz w:val="20"/>
              </w:rPr>
              <w:t>Particulate Matter (PM</w:t>
            </w:r>
            <w:proofErr w:type="gramStart"/>
            <w:r w:rsidRPr="00756F2B">
              <w:rPr>
                <w:sz w:val="20"/>
              </w:rPr>
              <w:t>₂.₅</w:t>
            </w:r>
            <w:proofErr w:type="gramEnd"/>
            <w:r w:rsidRPr="00756F2B">
              <w:rPr>
                <w:sz w:val="20"/>
              </w:rPr>
              <w:t xml:space="preserve"> / PM₁₀)</w:t>
            </w:r>
          </w:p>
        </w:tc>
        <w:tc>
          <w:tcPr>
            <w:tcW w:w="2454" w:type="dxa"/>
            <w:hideMark/>
          </w:tcPr>
          <w:p w14:paraId="29D0BC10" w14:textId="77777777" w:rsidR="00756F2B" w:rsidRPr="00756F2B" w:rsidRDefault="00756F2B" w:rsidP="00756F2B">
            <w:pPr>
              <w:rPr>
                <w:sz w:val="20"/>
              </w:rPr>
            </w:pPr>
            <w:r w:rsidRPr="00756F2B">
              <w:rPr>
                <w:sz w:val="20"/>
              </w:rPr>
              <w:t>Smoke, soot, and char from visible flames and poor burner maintenance</w:t>
            </w:r>
          </w:p>
        </w:tc>
        <w:tc>
          <w:tcPr>
            <w:tcW w:w="1515" w:type="dxa"/>
            <w:hideMark/>
          </w:tcPr>
          <w:p w14:paraId="47CB8AC1" w14:textId="77777777" w:rsidR="00756F2B" w:rsidRPr="00756F2B" w:rsidRDefault="00756F2B" w:rsidP="00756F2B">
            <w:pPr>
              <w:rPr>
                <w:sz w:val="20"/>
              </w:rPr>
            </w:pPr>
            <w:r w:rsidRPr="00756F2B">
              <w:rPr>
                <w:sz w:val="20"/>
              </w:rPr>
              <w:t>Charring of food residues and degraded polymer particles</w:t>
            </w:r>
          </w:p>
        </w:tc>
        <w:tc>
          <w:tcPr>
            <w:tcW w:w="1843" w:type="dxa"/>
            <w:hideMark/>
          </w:tcPr>
          <w:p w14:paraId="6696D8E4" w14:textId="77777777" w:rsidR="00756F2B" w:rsidRPr="00756F2B" w:rsidRDefault="00756F2B" w:rsidP="00756F2B">
            <w:pPr>
              <w:rPr>
                <w:sz w:val="20"/>
              </w:rPr>
            </w:pPr>
            <w:r w:rsidRPr="00756F2B">
              <w:rPr>
                <w:sz w:val="20"/>
              </w:rPr>
              <w:t>High peak exposure in gas cooking; lower but persistent in electric ovens</w:t>
            </w:r>
          </w:p>
        </w:tc>
        <w:tc>
          <w:tcPr>
            <w:tcW w:w="1843" w:type="dxa"/>
            <w:hideMark/>
          </w:tcPr>
          <w:p w14:paraId="440B874F" w14:textId="77777777" w:rsidR="00756F2B" w:rsidRPr="00756F2B" w:rsidRDefault="00756F2B" w:rsidP="00756F2B">
            <w:pPr>
              <w:rPr>
                <w:sz w:val="20"/>
              </w:rPr>
            </w:pPr>
            <w:r w:rsidRPr="00756F2B">
              <w:rPr>
                <w:sz w:val="20"/>
              </w:rPr>
              <w:t>Oxidative stress, cardiovascular strain, chronic respiratory disease</w:t>
            </w:r>
          </w:p>
        </w:tc>
        <w:tc>
          <w:tcPr>
            <w:tcW w:w="1843" w:type="dxa"/>
            <w:hideMark/>
          </w:tcPr>
          <w:p w14:paraId="0952AB6F" w14:textId="77777777" w:rsidR="00756F2B" w:rsidRPr="00756F2B" w:rsidRDefault="00756F2B" w:rsidP="00756F2B">
            <w:pPr>
              <w:rPr>
                <w:sz w:val="20"/>
              </w:rPr>
            </w:pPr>
            <w:r w:rsidRPr="00756F2B">
              <w:rPr>
                <w:sz w:val="20"/>
              </w:rPr>
              <w:t>See &amp; Karthikeyan (2006); Stabile et al. (2015)</w:t>
            </w:r>
          </w:p>
        </w:tc>
      </w:tr>
      <w:tr w:rsidR="00756F2B" w:rsidRPr="00756F2B" w14:paraId="0C49E76D" w14:textId="77777777" w:rsidTr="00756F2B">
        <w:tc>
          <w:tcPr>
            <w:tcW w:w="1560" w:type="dxa"/>
            <w:hideMark/>
          </w:tcPr>
          <w:p w14:paraId="3D11BFBC" w14:textId="77777777" w:rsidR="00756F2B" w:rsidRPr="00756F2B" w:rsidRDefault="00756F2B" w:rsidP="00756F2B">
            <w:pPr>
              <w:rPr>
                <w:sz w:val="20"/>
              </w:rPr>
            </w:pPr>
            <w:r w:rsidRPr="00756F2B">
              <w:rPr>
                <w:sz w:val="20"/>
              </w:rPr>
              <w:t>Electromagnetic fields (non-ionizing)</w:t>
            </w:r>
          </w:p>
        </w:tc>
        <w:tc>
          <w:tcPr>
            <w:tcW w:w="2454" w:type="dxa"/>
            <w:hideMark/>
          </w:tcPr>
          <w:p w14:paraId="6CF559B3" w14:textId="77777777" w:rsidR="00756F2B" w:rsidRPr="00756F2B" w:rsidRDefault="00756F2B" w:rsidP="00756F2B">
            <w:pPr>
              <w:rPr>
                <w:sz w:val="20"/>
              </w:rPr>
            </w:pPr>
            <w:r w:rsidRPr="00756F2B">
              <w:rPr>
                <w:sz w:val="20"/>
              </w:rPr>
              <w:t>Not applicable</w:t>
            </w:r>
          </w:p>
        </w:tc>
        <w:tc>
          <w:tcPr>
            <w:tcW w:w="1515" w:type="dxa"/>
            <w:hideMark/>
          </w:tcPr>
          <w:p w14:paraId="1B7F1008" w14:textId="77777777" w:rsidR="00756F2B" w:rsidRPr="00756F2B" w:rsidRDefault="00756F2B" w:rsidP="00756F2B">
            <w:pPr>
              <w:rPr>
                <w:sz w:val="20"/>
              </w:rPr>
            </w:pPr>
            <w:r w:rsidRPr="00756F2B">
              <w:rPr>
                <w:sz w:val="20"/>
              </w:rPr>
              <w:t>Emissions from heating elements, power electronics, and control circuits</w:t>
            </w:r>
          </w:p>
        </w:tc>
        <w:tc>
          <w:tcPr>
            <w:tcW w:w="1843" w:type="dxa"/>
            <w:hideMark/>
          </w:tcPr>
          <w:p w14:paraId="7496BAE0" w14:textId="77777777" w:rsidR="00756F2B" w:rsidRPr="00756F2B" w:rsidRDefault="00756F2B" w:rsidP="00756F2B">
            <w:pPr>
              <w:rPr>
                <w:sz w:val="20"/>
              </w:rPr>
            </w:pPr>
            <w:r w:rsidRPr="00756F2B">
              <w:rPr>
                <w:sz w:val="20"/>
              </w:rPr>
              <w:t>Continuous low-level exposure in electric cooking environments</w:t>
            </w:r>
          </w:p>
        </w:tc>
        <w:tc>
          <w:tcPr>
            <w:tcW w:w="1843" w:type="dxa"/>
            <w:hideMark/>
          </w:tcPr>
          <w:p w14:paraId="558C1783" w14:textId="77777777" w:rsidR="00756F2B" w:rsidRPr="00756F2B" w:rsidRDefault="00756F2B" w:rsidP="00756F2B">
            <w:pPr>
              <w:rPr>
                <w:sz w:val="20"/>
              </w:rPr>
            </w:pPr>
            <w:r w:rsidRPr="00756F2B">
              <w:rPr>
                <w:sz w:val="20"/>
              </w:rPr>
              <w:t>Neurological stress responses, potential interference with sensitive equipment</w:t>
            </w:r>
          </w:p>
        </w:tc>
        <w:tc>
          <w:tcPr>
            <w:tcW w:w="1843" w:type="dxa"/>
            <w:hideMark/>
          </w:tcPr>
          <w:p w14:paraId="7A6EEB68" w14:textId="77777777" w:rsidR="00756F2B" w:rsidRPr="00756F2B" w:rsidRDefault="00756F2B" w:rsidP="00756F2B">
            <w:pPr>
              <w:rPr>
                <w:sz w:val="20"/>
              </w:rPr>
            </w:pPr>
            <w:r w:rsidRPr="00756F2B">
              <w:rPr>
                <w:sz w:val="20"/>
              </w:rPr>
              <w:t>Sadhu et al. (2010); Mishra et al. (2024); Zhang et al. (2024); Bianchi (2018)</w:t>
            </w:r>
          </w:p>
        </w:tc>
      </w:tr>
    </w:tbl>
    <w:p w14:paraId="0A3FF0C8" w14:textId="77777777" w:rsidR="00E03D5E" w:rsidRPr="00A72CCE" w:rsidRDefault="00E03D5E" w:rsidP="00160CCC">
      <w:pPr>
        <w:jc w:val="both"/>
      </w:pPr>
    </w:p>
    <w:p w14:paraId="5204D444" w14:textId="77777777" w:rsidR="00082893" w:rsidRPr="00A72CCE" w:rsidRDefault="00A72CCE" w:rsidP="009E0A8E">
      <w:pPr>
        <w:jc w:val="both"/>
      </w:pPr>
      <w:r w:rsidRPr="00A72CCE">
        <w:rPr>
          <w:rStyle w:val="Strong"/>
          <w:b w:val="0"/>
        </w:rPr>
        <w:t>Table 1</w:t>
      </w:r>
      <w:r w:rsidRPr="00A72CCE">
        <w:t xml:space="preserve"> outlines toxic emission profiles of open butane gas burners and electric cooking ovens used in West African households and institutions (Abdul Raheem et al., 2022; </w:t>
      </w:r>
      <w:proofErr w:type="spellStart"/>
      <w:r w:rsidRPr="00A72CCE">
        <w:t>Anozie</w:t>
      </w:r>
      <w:proofErr w:type="spellEnd"/>
      <w:r w:rsidRPr="00A72CCE">
        <w:t xml:space="preserve"> et al., 2007). Open butane burners, prevalent in Nigeria, Ghana, Senegal, and Côte d’Ivoire, release </w:t>
      </w:r>
      <w:r w:rsidR="00535CF7">
        <w:t>high levels of CO, NOₓ</w:t>
      </w:r>
      <w:r w:rsidRPr="00A72CCE">
        <w:t xml:space="preserve">, particulate matter, </w:t>
      </w:r>
      <w:r w:rsidR="00C72C8F">
        <w:t>and VOCs</w:t>
      </w:r>
      <w:r w:rsidRPr="00A72CCE">
        <w:t xml:space="preserve">, causing acute respiratory and cardiovascular risks in poorly ventilated kitchens (Mortimer et al., 2012; Sani et al., 2025). Electric ovens emit persistent VOCs, aldehydes, fine particulates, and low-frequency electromagnetic fields due to thermal degradation and electrical operation, leading to cumulative biological effects over prolonged exposure (Kim et al., 2011; </w:t>
      </w:r>
      <w:proofErr w:type="spellStart"/>
      <w:r w:rsidRPr="00A72CCE">
        <w:t>Habash</w:t>
      </w:r>
      <w:proofErr w:type="spellEnd"/>
      <w:r w:rsidRPr="00A72CCE">
        <w:t xml:space="preserve">, 2018; </w:t>
      </w:r>
      <w:proofErr w:type="spellStart"/>
      <w:r w:rsidRPr="00A72CCE">
        <w:t>Razek</w:t>
      </w:r>
      <w:proofErr w:type="spellEnd"/>
      <w:r w:rsidRPr="00A72CCE">
        <w:t>, 2023).</w:t>
      </w:r>
    </w:p>
    <w:p w14:paraId="1E50039B" w14:textId="77777777" w:rsidR="00082893" w:rsidRDefault="00082893" w:rsidP="009E0A8E">
      <w:pPr>
        <w:pStyle w:val="Heading1"/>
        <w:ind w:left="992" w:hanging="992"/>
        <w:rPr>
          <w:rStyle w:val="Strong"/>
          <w:b/>
          <w:bCs/>
        </w:rPr>
      </w:pPr>
      <w:r>
        <w:rPr>
          <w:rStyle w:val="Strong"/>
          <w:b/>
          <w:bCs/>
        </w:rPr>
        <w:t>2.2 Thermal Degradation of Plastic Insulation and Sealants</w:t>
      </w:r>
    </w:p>
    <w:p w14:paraId="7EA70F0C" w14:textId="77777777" w:rsidR="00A72CCE" w:rsidRDefault="008415DD" w:rsidP="009E0A8E">
      <w:pPr>
        <w:ind w:hanging="142"/>
        <w:jc w:val="both"/>
      </w:pPr>
      <w:r>
        <w:t xml:space="preserve">   </w:t>
      </w:r>
      <w:r w:rsidR="00A72CCE">
        <w:t>Electric ovens incorporate polymeric insulation and silicone sealants that undergo thermal degradation during repeated heating cycles, releas</w:t>
      </w:r>
      <w:r w:rsidR="00AC6C00">
        <w:t xml:space="preserve">ing </w:t>
      </w:r>
      <w:r w:rsidR="00A72CCE">
        <w:t>VO</w:t>
      </w:r>
      <w:r w:rsidR="00AC6C00">
        <w:t>Cs</w:t>
      </w:r>
      <w:r w:rsidR="00A72CCE">
        <w:t xml:space="preserve"> such as benzene, toluene, styrene, and formaldehyde. Although these emissions are not visually apparent, they can persist in indoor air during prolonged operation. In contrast, VOC release from open butane burners mainly arises from incomplete fuel combustion, with only occasional polymer degradation. In biomedical settings, sustained off-gassing from electric ovens presents a chronic exposure risk to vulnerable occupants (Kim et al., 2011; Kabir &amp; Kim, 2011; Lee et al., 2022).</w:t>
      </w:r>
      <w:r w:rsidR="000A14E8">
        <w:t xml:space="preserve"> </w:t>
      </w:r>
    </w:p>
    <w:p w14:paraId="69F932F9" w14:textId="77777777" w:rsidR="00A72CCE" w:rsidRDefault="00082893" w:rsidP="009E0A8E">
      <w:pPr>
        <w:pStyle w:val="Heading1"/>
      </w:pPr>
      <w:r>
        <w:rPr>
          <w:rStyle w:val="Strong"/>
          <w:b/>
          <w:bCs/>
        </w:rPr>
        <w:t>2.3 Oxidation of Lubricants and Adhesives in Heating Elements</w:t>
      </w:r>
    </w:p>
    <w:p w14:paraId="18255ECA" w14:textId="77777777" w:rsidR="00A72CCE" w:rsidRDefault="00A72CCE" w:rsidP="009E0A8E">
      <w:pPr>
        <w:pStyle w:val="NormalWeb"/>
        <w:jc w:val="both"/>
      </w:pPr>
      <w:r>
        <w:t xml:space="preserve">Lubricants and adhesives used in electric oven fan motors, hinges, and heating assemblies oxidize under repeated high-temperature exposure, releasing aldehydes, ketones, and trace carbon monoxide (Kim et al., 2011; Kabir &amp; Kim, 2011). Unlike open butane burners, where emissions arise mainly from fuel combustion, electric oven emissions are continuous and can </w:t>
      </w:r>
      <w:r>
        <w:lastRenderedPageBreak/>
        <w:t>accumulate in poorly ventilated biomedical environments, increasin</w:t>
      </w:r>
      <w:r w:rsidR="002E7439">
        <w:t>g chronic exposure risks (</w:t>
      </w:r>
      <w:proofErr w:type="spellStart"/>
      <w:r w:rsidR="002E7439">
        <w:t>Abdul</w:t>
      </w:r>
      <w:r>
        <w:t>Raheem</w:t>
      </w:r>
      <w:proofErr w:type="spellEnd"/>
      <w:r>
        <w:t xml:space="preserve"> et al., 2022; </w:t>
      </w:r>
      <w:proofErr w:type="spellStart"/>
      <w:r>
        <w:t>Odoi</w:t>
      </w:r>
      <w:proofErr w:type="spellEnd"/>
      <w:r>
        <w:t>-Yorke, 2024).</w:t>
      </w:r>
      <w:r w:rsidR="0016011C">
        <w:t xml:space="preserve"> </w:t>
      </w:r>
    </w:p>
    <w:p w14:paraId="6CB2272C" w14:textId="77777777" w:rsidR="00A72CCE" w:rsidRDefault="00082893" w:rsidP="00A72CCE">
      <w:pPr>
        <w:pStyle w:val="Heading1"/>
      </w:pPr>
      <w:r>
        <w:rPr>
          <w:rStyle w:val="Strong"/>
          <w:b/>
          <w:bCs/>
        </w:rPr>
        <w:t>2.4 Pyrolysis of Food Residues on Heating Coils</w:t>
      </w:r>
    </w:p>
    <w:p w14:paraId="0995C13E" w14:textId="77777777" w:rsidR="00A72CCE" w:rsidRDefault="00A72CCE" w:rsidP="00A72CCE">
      <w:pPr>
        <w:pStyle w:val="NormalWeb"/>
        <w:jc w:val="both"/>
      </w:pPr>
      <w:r>
        <w:t>Accumulated food residues and oils on electric oven heating components undergo pyrolysis during o</w:t>
      </w:r>
      <w:r w:rsidR="005C3BFF">
        <w:t>peration, generating acrolein, Polycyclic Aromatic H</w:t>
      </w:r>
      <w:r>
        <w:t>ydrocarbons (PAHs), and fine particulate matter (Bai et al., 2024; Stabile et al., 2015). Unlike open butane burners, where flame contact causes immediate smoke release, electric ovens retain and gradually emit these by-products, creating a persistent source of low-level chemical exposure (Kim et al., 2011; See &amp; Balasubramanian, 2006).</w:t>
      </w:r>
    </w:p>
    <w:p w14:paraId="51231D8C" w14:textId="77777777" w:rsidR="00082893" w:rsidRDefault="00082893" w:rsidP="00082893">
      <w:pPr>
        <w:pStyle w:val="Heading1"/>
        <w:rPr>
          <w:rStyle w:val="Strong"/>
          <w:b/>
          <w:bCs/>
        </w:rPr>
      </w:pPr>
      <w:r>
        <w:rPr>
          <w:rStyle w:val="Strong"/>
          <w:b/>
          <w:bCs/>
        </w:rPr>
        <w:t>2.5 Release of Flame-Retardant Compounds Embedded in Internal Components</w:t>
      </w:r>
    </w:p>
    <w:p w14:paraId="4B315C46" w14:textId="77777777" w:rsidR="00A72CCE" w:rsidRDefault="00A72CCE" w:rsidP="00A72CCE">
      <w:pPr>
        <w:jc w:val="both"/>
      </w:pPr>
      <w:r>
        <w:t>Many electric oven components contain flame-retardant polymers, including brominated and phosphorus-based additives, which can migrate or degrade under prolonged heating, releasing halogenated VOCs and trace dioxin-like compounds (Kim et al., 2011; Lee et al., 2022). Such emissions are minimal in open butane burners, highlighting concealed chemical risks of enclosed electric systems in biomedical environments (AL-</w:t>
      </w:r>
      <w:proofErr w:type="spellStart"/>
      <w:r>
        <w:t>Oqla</w:t>
      </w:r>
      <w:proofErr w:type="spellEnd"/>
      <w:r>
        <w:t xml:space="preserve"> et al., 2022).</w:t>
      </w:r>
    </w:p>
    <w:p w14:paraId="3FADD028" w14:textId="77777777" w:rsidR="00441B88" w:rsidRPr="00441B88" w:rsidRDefault="00C14FC4" w:rsidP="0007019F">
      <w:pPr>
        <w:pStyle w:val="Heading1"/>
      </w:pPr>
      <w:r>
        <w:t>2.6</w:t>
      </w:r>
      <w:r w:rsidR="00441B88" w:rsidRPr="00441B88">
        <w:t xml:space="preserve"> Health Implications</w:t>
      </w:r>
    </w:p>
    <w:p w14:paraId="0A17697F" w14:textId="77777777" w:rsidR="00FE0F3A" w:rsidRPr="00FE0F3A" w:rsidRDefault="00FE0F3A" w:rsidP="006233FA">
      <w:pPr>
        <w:spacing w:before="100" w:beforeAutospacing="1" w:after="100" w:afterAutospacing="1"/>
        <w:jc w:val="both"/>
      </w:pPr>
      <w:r w:rsidRPr="00FE0F3A">
        <w:t>Exposure to toxic gases emitted from electric cooking ovens represents a growing public health concern, particularly in enclosed indoor environmen</w:t>
      </w:r>
      <w:r w:rsidR="00B877F9">
        <w:t>ts. VOCs</w:t>
      </w:r>
      <w:r w:rsidRPr="00FE0F3A">
        <w:t xml:space="preserve">, including benzene, toluene, styrene, and formaldehyde, are well recognized for their ability to irritate mucosal membranes and induce symptoms such as headaches, dizziness, nausea, and exacerbation of pre-existing respiratory disorders, including asthma (Kim et al., 2011; Kabir &amp; Kim, 2011; Lee et al., 2022). Sustained or repeated exposure to these compounds has been linked to elevated oxidative stress, endocrine disruption, and an increased risk of carcinogenesis (Bai et al., 2024; </w:t>
      </w:r>
      <w:proofErr w:type="spellStart"/>
      <w:r w:rsidRPr="00FE0F3A">
        <w:t>Razek</w:t>
      </w:r>
      <w:proofErr w:type="spellEnd"/>
      <w:r w:rsidRPr="00FE0F3A">
        <w:t>, 2023). Aldehydes such as acrolein and formaldehyde are particularly reactive, causing epithelial damage to the eyes, nasal passages, and pulmonary tissues, thereby intensifying respiratory inflammation and discomfort (Stabile et al., 2015; See &amp; Balasubramanian, 2006).</w:t>
      </w:r>
    </w:p>
    <w:p w14:paraId="3F36F43E" w14:textId="52485DB6" w:rsidR="00FE0F3A" w:rsidRDefault="00FE0F3A" w:rsidP="006233FA">
      <w:pPr>
        <w:pStyle w:val="NormalWeb"/>
        <w:jc w:val="both"/>
      </w:pPr>
      <w:r w:rsidRPr="00FE0F3A">
        <w:t xml:space="preserve">In </w:t>
      </w:r>
      <w:r w:rsidR="00EE6155">
        <w:t>addition, NOₓ and CO</w:t>
      </w:r>
      <w:r w:rsidRPr="00FE0F3A">
        <w:t xml:space="preserve"> released during oven operation interfere with oxygen tran</w:t>
      </w:r>
      <w:r w:rsidR="006233FA">
        <w:t xml:space="preserve">sport and cellular respiration </w:t>
      </w:r>
      <w:r w:rsidR="006233FA" w:rsidRPr="006233FA">
        <w:rPr>
          <w:rStyle w:val="Emphasis"/>
          <w:i w:val="0"/>
        </w:rPr>
        <w:t>(</w:t>
      </w:r>
      <w:proofErr w:type="spellStart"/>
      <w:r w:rsidR="006233FA" w:rsidRPr="006233FA">
        <w:rPr>
          <w:rStyle w:val="Emphasis"/>
          <w:i w:val="0"/>
        </w:rPr>
        <w:t>Gioda</w:t>
      </w:r>
      <w:proofErr w:type="spellEnd"/>
      <w:r w:rsidR="006233FA" w:rsidRPr="006233FA">
        <w:rPr>
          <w:rStyle w:val="Emphasis"/>
          <w:i w:val="0"/>
        </w:rPr>
        <w:t xml:space="preserve">, de Menezes Correia da Silva, &amp; </w:t>
      </w:r>
      <w:proofErr w:type="spellStart"/>
      <w:r w:rsidR="006233FA" w:rsidRPr="006233FA">
        <w:rPr>
          <w:rStyle w:val="Emphasis"/>
          <w:i w:val="0"/>
        </w:rPr>
        <w:t>Huamán</w:t>
      </w:r>
      <w:proofErr w:type="spellEnd"/>
      <w:r w:rsidR="006233FA" w:rsidRPr="006233FA">
        <w:rPr>
          <w:rStyle w:val="Emphasis"/>
          <w:i w:val="0"/>
        </w:rPr>
        <w:t xml:space="preserve"> De La Cruz, 2025)</w:t>
      </w:r>
      <w:r w:rsidR="006233FA">
        <w:rPr>
          <w:rStyle w:val="Emphasis"/>
          <w:i w:val="0"/>
        </w:rPr>
        <w:t xml:space="preserve">. </w:t>
      </w:r>
      <w:r w:rsidR="006233FA" w:rsidRPr="006233FA">
        <w:rPr>
          <w:rStyle w:val="Emphasis"/>
          <w:i w:val="0"/>
        </w:rPr>
        <w:t xml:space="preserve"> </w:t>
      </w:r>
      <w:r w:rsidRPr="006233FA">
        <w:t>Carbon</w:t>
      </w:r>
      <w:r w:rsidRPr="00FE0F3A">
        <w:t xml:space="preserve"> monoxide exhibits a strong affinity for hemoglobin, significantly reducing blood oxygen-carrying capacity and leading to systemic hypoxia, fatigue, and cardiovascular stress, while NOₓ contributes to airway inflammation and diminished lung function (Ng et al., 2001; Mortimer et al., 2012; Lin et al., 2013). In biomedical and clinical settings, even low-level accumulation of these gases can compromise indoor air quality, disrupt sensitive laboratory processes, and pose serious health risks to immunocompromised patients and healthcare personnel, underscoring the urgent need for emission-controlled and biomedical-grade cooking technologies (</w:t>
      </w:r>
      <w:proofErr w:type="spellStart"/>
      <w:r w:rsidRPr="00FE0F3A">
        <w:t>Habash</w:t>
      </w:r>
      <w:proofErr w:type="spellEnd"/>
      <w:r w:rsidRPr="00FE0F3A">
        <w:t xml:space="preserve">, 2018; </w:t>
      </w:r>
      <w:proofErr w:type="spellStart"/>
      <w:r w:rsidRPr="00FE0F3A">
        <w:t>Odoi</w:t>
      </w:r>
      <w:proofErr w:type="spellEnd"/>
      <w:r w:rsidRPr="00FE0F3A">
        <w:t>-Yorke, 2024).</w:t>
      </w:r>
    </w:p>
    <w:p w14:paraId="3A44D6D3" w14:textId="77777777" w:rsidR="00756F2B" w:rsidRDefault="00756F2B" w:rsidP="00FE0F3A">
      <w:pPr>
        <w:spacing w:before="100" w:beforeAutospacing="1" w:after="100" w:afterAutospacing="1"/>
        <w:jc w:val="both"/>
      </w:pPr>
    </w:p>
    <w:p w14:paraId="7DF2307E" w14:textId="77777777" w:rsidR="00756F2B" w:rsidRDefault="00756F2B" w:rsidP="00FE0F3A">
      <w:pPr>
        <w:spacing w:before="100" w:beforeAutospacing="1" w:after="100" w:afterAutospacing="1"/>
        <w:jc w:val="both"/>
      </w:pPr>
    </w:p>
    <w:p w14:paraId="333D44B4" w14:textId="0480689E" w:rsidR="009C3A70" w:rsidRPr="00FE0F3A" w:rsidRDefault="009C3A70" w:rsidP="00FE0F3A">
      <w:pPr>
        <w:spacing w:before="100" w:beforeAutospacing="1" w:after="100" w:afterAutospacing="1"/>
        <w:jc w:val="both"/>
      </w:pPr>
    </w:p>
    <w:p w14:paraId="50816B95" w14:textId="56189A3E" w:rsidR="004C46F8" w:rsidRPr="004C46F8" w:rsidRDefault="004C46F8" w:rsidP="004C46F8">
      <w:pPr>
        <w:pStyle w:val="Caption"/>
        <w:rPr>
          <w:b/>
          <w:i w:val="0"/>
          <w:sz w:val="24"/>
          <w:szCs w:val="24"/>
        </w:rPr>
      </w:pPr>
      <w:r w:rsidRPr="004C46F8">
        <w:rPr>
          <w:b/>
          <w:i w:val="0"/>
          <w:sz w:val="24"/>
          <w:szCs w:val="24"/>
        </w:rPr>
        <w:t xml:space="preserve">Table </w:t>
      </w:r>
      <w:r w:rsidRPr="004C46F8">
        <w:rPr>
          <w:b/>
          <w:i w:val="0"/>
          <w:sz w:val="24"/>
          <w:szCs w:val="24"/>
        </w:rPr>
        <w:fldChar w:fldCharType="begin"/>
      </w:r>
      <w:r w:rsidRPr="004C46F8">
        <w:rPr>
          <w:b/>
          <w:i w:val="0"/>
          <w:sz w:val="24"/>
          <w:szCs w:val="24"/>
        </w:rPr>
        <w:instrText xml:space="preserve"> SEQ Table \* ARABIC </w:instrText>
      </w:r>
      <w:r w:rsidRPr="004C46F8">
        <w:rPr>
          <w:b/>
          <w:i w:val="0"/>
          <w:sz w:val="24"/>
          <w:szCs w:val="24"/>
        </w:rPr>
        <w:fldChar w:fldCharType="separate"/>
      </w:r>
      <w:r w:rsidR="00616433">
        <w:rPr>
          <w:b/>
          <w:i w:val="0"/>
          <w:noProof/>
          <w:sz w:val="24"/>
          <w:szCs w:val="24"/>
        </w:rPr>
        <w:t>3</w:t>
      </w:r>
      <w:r w:rsidRPr="004C46F8">
        <w:rPr>
          <w:b/>
          <w:i w:val="0"/>
          <w:sz w:val="24"/>
          <w:szCs w:val="24"/>
        </w:rPr>
        <w:fldChar w:fldCharType="end"/>
      </w:r>
      <w:r w:rsidRPr="004C46F8">
        <w:rPr>
          <w:b/>
          <w:i w:val="0"/>
          <w:sz w:val="24"/>
          <w:szCs w:val="24"/>
        </w:rPr>
        <w:t xml:space="preserve">: </w:t>
      </w:r>
      <w:r w:rsidRPr="004C46F8">
        <w:rPr>
          <w:bCs/>
          <w:i w:val="0"/>
          <w:sz w:val="24"/>
          <w:szCs w:val="24"/>
        </w:rPr>
        <w:t>Health implications of toxic emissions from electric cooking ovens</w:t>
      </w:r>
      <w:r w:rsidRPr="004C46F8">
        <w:rPr>
          <w:i w:val="0"/>
          <w:sz w:val="24"/>
          <w:szCs w:val="24"/>
        </w:rPr>
        <w:t>.</w:t>
      </w:r>
    </w:p>
    <w:tbl>
      <w:tblPr>
        <w:tblStyle w:val="TableGrid"/>
        <w:tblW w:w="10916" w:type="dxa"/>
        <w:tblInd w:w="-856" w:type="dxa"/>
        <w:tblLook w:val="04A0" w:firstRow="1" w:lastRow="0" w:firstColumn="1" w:lastColumn="0" w:noHBand="0" w:noVBand="1"/>
      </w:tblPr>
      <w:tblGrid>
        <w:gridCol w:w="1550"/>
        <w:gridCol w:w="1889"/>
        <w:gridCol w:w="1809"/>
        <w:gridCol w:w="1750"/>
        <w:gridCol w:w="1972"/>
        <w:gridCol w:w="1946"/>
      </w:tblGrid>
      <w:tr w:rsidR="00756F2B" w:rsidRPr="00756F2B" w14:paraId="4C36197E" w14:textId="77777777" w:rsidTr="00756F2B">
        <w:tc>
          <w:tcPr>
            <w:tcW w:w="1560" w:type="dxa"/>
            <w:hideMark/>
          </w:tcPr>
          <w:p w14:paraId="100903D4" w14:textId="77777777" w:rsidR="00756F2B" w:rsidRPr="00756F2B" w:rsidRDefault="00756F2B" w:rsidP="00756F2B">
            <w:pPr>
              <w:jc w:val="center"/>
              <w:rPr>
                <w:b/>
                <w:bCs/>
                <w:sz w:val="20"/>
              </w:rPr>
            </w:pPr>
            <w:r w:rsidRPr="00756F2B">
              <w:rPr>
                <w:b/>
                <w:bCs/>
                <w:sz w:val="20"/>
              </w:rPr>
              <w:t>Pollutant</w:t>
            </w:r>
          </w:p>
        </w:tc>
        <w:tc>
          <w:tcPr>
            <w:tcW w:w="2091" w:type="dxa"/>
            <w:hideMark/>
          </w:tcPr>
          <w:p w14:paraId="44E4A78B" w14:textId="77777777" w:rsidR="00756F2B" w:rsidRPr="00756F2B" w:rsidRDefault="00756F2B" w:rsidP="00756F2B">
            <w:pPr>
              <w:jc w:val="center"/>
              <w:rPr>
                <w:b/>
                <w:bCs/>
                <w:sz w:val="20"/>
              </w:rPr>
            </w:pPr>
            <w:r w:rsidRPr="00756F2B">
              <w:rPr>
                <w:b/>
                <w:bCs/>
                <w:sz w:val="20"/>
              </w:rPr>
              <w:t>Primary Sources</w:t>
            </w:r>
          </w:p>
        </w:tc>
        <w:tc>
          <w:tcPr>
            <w:tcW w:w="2020" w:type="dxa"/>
            <w:hideMark/>
          </w:tcPr>
          <w:p w14:paraId="12FC5CEF" w14:textId="77777777" w:rsidR="00756F2B" w:rsidRPr="00756F2B" w:rsidRDefault="00756F2B" w:rsidP="00756F2B">
            <w:pPr>
              <w:jc w:val="center"/>
              <w:rPr>
                <w:b/>
                <w:bCs/>
                <w:sz w:val="20"/>
              </w:rPr>
            </w:pPr>
            <w:r w:rsidRPr="00756F2B">
              <w:rPr>
                <w:b/>
                <w:bCs/>
                <w:sz w:val="20"/>
              </w:rPr>
              <w:t>Immediate Health Effects</w:t>
            </w:r>
          </w:p>
        </w:tc>
        <w:tc>
          <w:tcPr>
            <w:tcW w:w="1024" w:type="dxa"/>
            <w:hideMark/>
          </w:tcPr>
          <w:p w14:paraId="768603B4" w14:textId="77777777" w:rsidR="00756F2B" w:rsidRPr="00756F2B" w:rsidRDefault="00756F2B" w:rsidP="00756F2B">
            <w:pPr>
              <w:jc w:val="center"/>
              <w:rPr>
                <w:b/>
                <w:bCs/>
                <w:sz w:val="20"/>
              </w:rPr>
            </w:pPr>
            <w:r w:rsidRPr="00756F2B">
              <w:rPr>
                <w:b/>
                <w:bCs/>
                <w:sz w:val="20"/>
              </w:rPr>
              <w:t>Potential Long-Term Outcomes</w:t>
            </w:r>
          </w:p>
        </w:tc>
        <w:tc>
          <w:tcPr>
            <w:tcW w:w="0" w:type="auto"/>
            <w:hideMark/>
          </w:tcPr>
          <w:p w14:paraId="0E490A27" w14:textId="77777777" w:rsidR="00756F2B" w:rsidRPr="00756F2B" w:rsidRDefault="00756F2B" w:rsidP="00756F2B">
            <w:pPr>
              <w:jc w:val="center"/>
              <w:rPr>
                <w:b/>
                <w:bCs/>
                <w:sz w:val="20"/>
              </w:rPr>
            </w:pPr>
            <w:r w:rsidRPr="00756F2B">
              <w:rPr>
                <w:b/>
                <w:bCs/>
                <w:sz w:val="20"/>
              </w:rPr>
              <w:t>Vulnerable Populations</w:t>
            </w:r>
          </w:p>
        </w:tc>
        <w:tc>
          <w:tcPr>
            <w:tcW w:w="2249" w:type="dxa"/>
            <w:hideMark/>
          </w:tcPr>
          <w:p w14:paraId="23173417" w14:textId="77777777" w:rsidR="00756F2B" w:rsidRPr="00756F2B" w:rsidRDefault="00756F2B" w:rsidP="00756F2B">
            <w:pPr>
              <w:jc w:val="center"/>
              <w:rPr>
                <w:b/>
                <w:bCs/>
                <w:sz w:val="20"/>
              </w:rPr>
            </w:pPr>
            <w:r w:rsidRPr="00756F2B">
              <w:rPr>
                <w:b/>
                <w:bCs/>
                <w:sz w:val="20"/>
              </w:rPr>
              <w:t>Key References</w:t>
            </w:r>
          </w:p>
        </w:tc>
      </w:tr>
      <w:tr w:rsidR="00756F2B" w:rsidRPr="00756F2B" w14:paraId="16B3E3F6" w14:textId="77777777" w:rsidTr="00756F2B">
        <w:tc>
          <w:tcPr>
            <w:tcW w:w="1560" w:type="dxa"/>
            <w:hideMark/>
          </w:tcPr>
          <w:p w14:paraId="527CC705" w14:textId="77777777" w:rsidR="00756F2B" w:rsidRPr="00756F2B" w:rsidRDefault="00756F2B" w:rsidP="00756F2B">
            <w:pPr>
              <w:rPr>
                <w:sz w:val="20"/>
              </w:rPr>
            </w:pPr>
            <w:r w:rsidRPr="00756F2B">
              <w:rPr>
                <w:sz w:val="20"/>
              </w:rPr>
              <w:t>Volatile Organic Compounds (VOCs)</w:t>
            </w:r>
          </w:p>
        </w:tc>
        <w:tc>
          <w:tcPr>
            <w:tcW w:w="2091" w:type="dxa"/>
            <w:hideMark/>
          </w:tcPr>
          <w:p w14:paraId="17EBF943" w14:textId="77777777" w:rsidR="00756F2B" w:rsidRPr="00756F2B" w:rsidRDefault="00756F2B" w:rsidP="00756F2B">
            <w:pPr>
              <w:rPr>
                <w:sz w:val="20"/>
              </w:rPr>
            </w:pPr>
            <w:r w:rsidRPr="00756F2B">
              <w:rPr>
                <w:sz w:val="20"/>
              </w:rPr>
              <w:t>Thermal degradation of plastics, sealants, and adhesive materials</w:t>
            </w:r>
          </w:p>
        </w:tc>
        <w:tc>
          <w:tcPr>
            <w:tcW w:w="2020" w:type="dxa"/>
            <w:hideMark/>
          </w:tcPr>
          <w:p w14:paraId="52C64F23" w14:textId="77777777" w:rsidR="00756F2B" w:rsidRPr="00756F2B" w:rsidRDefault="00756F2B" w:rsidP="00756F2B">
            <w:pPr>
              <w:rPr>
                <w:sz w:val="20"/>
              </w:rPr>
            </w:pPr>
            <w:r w:rsidRPr="00756F2B">
              <w:rPr>
                <w:sz w:val="20"/>
              </w:rPr>
              <w:t>Headaches, dizziness, mucosal irritation, asthma exacerbation</w:t>
            </w:r>
          </w:p>
        </w:tc>
        <w:tc>
          <w:tcPr>
            <w:tcW w:w="1024" w:type="dxa"/>
            <w:hideMark/>
          </w:tcPr>
          <w:p w14:paraId="1CD6DCB7" w14:textId="77777777" w:rsidR="00756F2B" w:rsidRPr="00756F2B" w:rsidRDefault="00756F2B" w:rsidP="00756F2B">
            <w:pPr>
              <w:rPr>
                <w:sz w:val="20"/>
              </w:rPr>
            </w:pPr>
            <w:r w:rsidRPr="00756F2B">
              <w:rPr>
                <w:sz w:val="20"/>
              </w:rPr>
              <w:t>Carcinogenicity, endocrine disruption, chronic respiratory disease</w:t>
            </w:r>
          </w:p>
        </w:tc>
        <w:tc>
          <w:tcPr>
            <w:tcW w:w="0" w:type="auto"/>
            <w:hideMark/>
          </w:tcPr>
          <w:p w14:paraId="79DE1AA4" w14:textId="77777777" w:rsidR="00756F2B" w:rsidRPr="00756F2B" w:rsidRDefault="00756F2B" w:rsidP="00756F2B">
            <w:pPr>
              <w:rPr>
                <w:sz w:val="20"/>
              </w:rPr>
            </w:pPr>
            <w:r w:rsidRPr="00756F2B">
              <w:rPr>
                <w:sz w:val="20"/>
              </w:rPr>
              <w:t>Children, elderly individuals, asthmatics, laboratory staff</w:t>
            </w:r>
          </w:p>
        </w:tc>
        <w:tc>
          <w:tcPr>
            <w:tcW w:w="2249" w:type="dxa"/>
            <w:hideMark/>
          </w:tcPr>
          <w:p w14:paraId="58B0EE54" w14:textId="77777777" w:rsidR="00756F2B" w:rsidRPr="00756F2B" w:rsidRDefault="00756F2B" w:rsidP="00756F2B">
            <w:pPr>
              <w:rPr>
                <w:sz w:val="20"/>
              </w:rPr>
            </w:pPr>
            <w:proofErr w:type="spellStart"/>
            <w:r w:rsidRPr="00756F2B">
              <w:rPr>
                <w:sz w:val="20"/>
              </w:rPr>
              <w:t>Aberilla</w:t>
            </w:r>
            <w:proofErr w:type="spellEnd"/>
            <w:r w:rsidRPr="00756F2B">
              <w:rPr>
                <w:sz w:val="20"/>
              </w:rPr>
              <w:t xml:space="preserve"> et al. (2020); Roche et al. (2024); </w:t>
            </w:r>
            <w:proofErr w:type="spellStart"/>
            <w:r w:rsidRPr="00756F2B">
              <w:rPr>
                <w:sz w:val="20"/>
              </w:rPr>
              <w:t>Odoi</w:t>
            </w:r>
            <w:proofErr w:type="spellEnd"/>
            <w:r w:rsidRPr="00756F2B">
              <w:rPr>
                <w:sz w:val="20"/>
              </w:rPr>
              <w:t>-Yorke (2024)</w:t>
            </w:r>
          </w:p>
        </w:tc>
      </w:tr>
      <w:tr w:rsidR="00756F2B" w:rsidRPr="00756F2B" w14:paraId="19528A56" w14:textId="77777777" w:rsidTr="00756F2B">
        <w:tc>
          <w:tcPr>
            <w:tcW w:w="1560" w:type="dxa"/>
            <w:hideMark/>
          </w:tcPr>
          <w:p w14:paraId="0E3D06DF" w14:textId="77777777" w:rsidR="00756F2B" w:rsidRPr="00756F2B" w:rsidRDefault="00756F2B" w:rsidP="00756F2B">
            <w:pPr>
              <w:rPr>
                <w:sz w:val="20"/>
              </w:rPr>
            </w:pPr>
            <w:r w:rsidRPr="00756F2B">
              <w:rPr>
                <w:sz w:val="20"/>
              </w:rPr>
              <w:t>Aldehydes (formaldehyde, acrolein)</w:t>
            </w:r>
          </w:p>
        </w:tc>
        <w:tc>
          <w:tcPr>
            <w:tcW w:w="2091" w:type="dxa"/>
            <w:hideMark/>
          </w:tcPr>
          <w:p w14:paraId="563D5CD2" w14:textId="77777777" w:rsidR="00756F2B" w:rsidRPr="00756F2B" w:rsidRDefault="00756F2B" w:rsidP="00756F2B">
            <w:pPr>
              <w:rPr>
                <w:sz w:val="20"/>
              </w:rPr>
            </w:pPr>
            <w:r w:rsidRPr="00756F2B">
              <w:rPr>
                <w:sz w:val="20"/>
              </w:rPr>
              <w:t>Pyrolysis of fats, oils, and polymeric components</w:t>
            </w:r>
          </w:p>
        </w:tc>
        <w:tc>
          <w:tcPr>
            <w:tcW w:w="2020" w:type="dxa"/>
            <w:hideMark/>
          </w:tcPr>
          <w:p w14:paraId="0B1ECCE4" w14:textId="77777777" w:rsidR="00756F2B" w:rsidRPr="00756F2B" w:rsidRDefault="00756F2B" w:rsidP="00756F2B">
            <w:pPr>
              <w:rPr>
                <w:sz w:val="20"/>
              </w:rPr>
            </w:pPr>
            <w:r w:rsidRPr="00756F2B">
              <w:rPr>
                <w:sz w:val="20"/>
              </w:rPr>
              <w:t>Eye, nasal, and throat irritation, coughing</w:t>
            </w:r>
          </w:p>
        </w:tc>
        <w:tc>
          <w:tcPr>
            <w:tcW w:w="1024" w:type="dxa"/>
            <w:hideMark/>
          </w:tcPr>
          <w:p w14:paraId="37A7102F" w14:textId="77777777" w:rsidR="00756F2B" w:rsidRPr="00756F2B" w:rsidRDefault="00756F2B" w:rsidP="00756F2B">
            <w:pPr>
              <w:rPr>
                <w:sz w:val="20"/>
              </w:rPr>
            </w:pPr>
            <w:r w:rsidRPr="00756F2B">
              <w:rPr>
                <w:sz w:val="20"/>
              </w:rPr>
              <w:t>Epithelial tissue damage and increased cancer risk</w:t>
            </w:r>
          </w:p>
        </w:tc>
        <w:tc>
          <w:tcPr>
            <w:tcW w:w="0" w:type="auto"/>
            <w:hideMark/>
          </w:tcPr>
          <w:p w14:paraId="1F24AE3F" w14:textId="77777777" w:rsidR="00756F2B" w:rsidRPr="00756F2B" w:rsidRDefault="00756F2B" w:rsidP="00756F2B">
            <w:pPr>
              <w:rPr>
                <w:sz w:val="20"/>
              </w:rPr>
            </w:pPr>
            <w:r w:rsidRPr="00756F2B">
              <w:rPr>
                <w:sz w:val="20"/>
              </w:rPr>
              <w:t>Hospital patients, immunocompromised individuals</w:t>
            </w:r>
          </w:p>
        </w:tc>
        <w:tc>
          <w:tcPr>
            <w:tcW w:w="2249" w:type="dxa"/>
            <w:hideMark/>
          </w:tcPr>
          <w:p w14:paraId="5D3D7230" w14:textId="77777777" w:rsidR="00756F2B" w:rsidRPr="00756F2B" w:rsidRDefault="00756F2B" w:rsidP="00756F2B">
            <w:pPr>
              <w:rPr>
                <w:sz w:val="20"/>
              </w:rPr>
            </w:pPr>
            <w:proofErr w:type="spellStart"/>
            <w:r w:rsidRPr="00756F2B">
              <w:rPr>
                <w:sz w:val="20"/>
              </w:rPr>
              <w:t>Juntarawijit</w:t>
            </w:r>
            <w:proofErr w:type="spellEnd"/>
            <w:r w:rsidRPr="00756F2B">
              <w:rPr>
                <w:sz w:val="20"/>
              </w:rPr>
              <w:t xml:space="preserve"> &amp; </w:t>
            </w:r>
            <w:proofErr w:type="spellStart"/>
            <w:r w:rsidRPr="00756F2B">
              <w:rPr>
                <w:sz w:val="20"/>
              </w:rPr>
              <w:t>Juntarawijit</w:t>
            </w:r>
            <w:proofErr w:type="spellEnd"/>
            <w:r w:rsidRPr="00756F2B">
              <w:rPr>
                <w:sz w:val="20"/>
              </w:rPr>
              <w:t xml:space="preserve"> (2019); </w:t>
            </w:r>
            <w:proofErr w:type="spellStart"/>
            <w:r w:rsidRPr="00756F2B">
              <w:rPr>
                <w:sz w:val="20"/>
              </w:rPr>
              <w:t>Naja</w:t>
            </w:r>
            <w:proofErr w:type="spellEnd"/>
            <w:r w:rsidRPr="00756F2B">
              <w:rPr>
                <w:sz w:val="20"/>
              </w:rPr>
              <w:t xml:space="preserve"> et al. (2011)</w:t>
            </w:r>
          </w:p>
        </w:tc>
      </w:tr>
      <w:tr w:rsidR="00756F2B" w:rsidRPr="00756F2B" w14:paraId="4699849F" w14:textId="77777777" w:rsidTr="00756F2B">
        <w:tc>
          <w:tcPr>
            <w:tcW w:w="1560" w:type="dxa"/>
            <w:hideMark/>
          </w:tcPr>
          <w:p w14:paraId="0E91B221" w14:textId="77777777" w:rsidR="00756F2B" w:rsidRPr="00756F2B" w:rsidRDefault="00756F2B" w:rsidP="00756F2B">
            <w:pPr>
              <w:rPr>
                <w:sz w:val="20"/>
              </w:rPr>
            </w:pPr>
            <w:r w:rsidRPr="00756F2B">
              <w:rPr>
                <w:sz w:val="20"/>
              </w:rPr>
              <w:t>Carbon Monoxide (CO)</w:t>
            </w:r>
          </w:p>
        </w:tc>
        <w:tc>
          <w:tcPr>
            <w:tcW w:w="2091" w:type="dxa"/>
            <w:hideMark/>
          </w:tcPr>
          <w:p w14:paraId="066B47E6" w14:textId="77777777" w:rsidR="00756F2B" w:rsidRPr="00756F2B" w:rsidRDefault="00756F2B" w:rsidP="00756F2B">
            <w:pPr>
              <w:rPr>
                <w:sz w:val="20"/>
              </w:rPr>
            </w:pPr>
            <w:r w:rsidRPr="00756F2B">
              <w:rPr>
                <w:sz w:val="20"/>
              </w:rPr>
              <w:t>Incomplete oxidation of food residues and degraded lubricants</w:t>
            </w:r>
          </w:p>
        </w:tc>
        <w:tc>
          <w:tcPr>
            <w:tcW w:w="2020" w:type="dxa"/>
            <w:hideMark/>
          </w:tcPr>
          <w:p w14:paraId="5CB206F6" w14:textId="77777777" w:rsidR="00756F2B" w:rsidRPr="00756F2B" w:rsidRDefault="00756F2B" w:rsidP="00756F2B">
            <w:pPr>
              <w:rPr>
                <w:sz w:val="20"/>
              </w:rPr>
            </w:pPr>
            <w:r w:rsidRPr="00756F2B">
              <w:rPr>
                <w:sz w:val="20"/>
              </w:rPr>
              <w:t>Fatigue, nausea, reduced oxygen delivery</w:t>
            </w:r>
          </w:p>
        </w:tc>
        <w:tc>
          <w:tcPr>
            <w:tcW w:w="1024" w:type="dxa"/>
            <w:hideMark/>
          </w:tcPr>
          <w:p w14:paraId="34C2055A" w14:textId="77777777" w:rsidR="00756F2B" w:rsidRPr="00756F2B" w:rsidRDefault="00756F2B" w:rsidP="00756F2B">
            <w:pPr>
              <w:rPr>
                <w:sz w:val="20"/>
              </w:rPr>
            </w:pPr>
            <w:r w:rsidRPr="00756F2B">
              <w:rPr>
                <w:sz w:val="20"/>
              </w:rPr>
              <w:t>Cardiovascular stress and neurological impairment</w:t>
            </w:r>
          </w:p>
        </w:tc>
        <w:tc>
          <w:tcPr>
            <w:tcW w:w="0" w:type="auto"/>
            <w:hideMark/>
          </w:tcPr>
          <w:p w14:paraId="12541C73" w14:textId="77777777" w:rsidR="00756F2B" w:rsidRPr="00756F2B" w:rsidRDefault="00756F2B" w:rsidP="00756F2B">
            <w:pPr>
              <w:rPr>
                <w:sz w:val="20"/>
              </w:rPr>
            </w:pPr>
            <w:r w:rsidRPr="00756F2B">
              <w:rPr>
                <w:sz w:val="20"/>
              </w:rPr>
              <w:t>Cardiac patients, pregnant women</w:t>
            </w:r>
          </w:p>
        </w:tc>
        <w:tc>
          <w:tcPr>
            <w:tcW w:w="2249" w:type="dxa"/>
            <w:hideMark/>
          </w:tcPr>
          <w:p w14:paraId="3FD41795" w14:textId="77777777" w:rsidR="00756F2B" w:rsidRPr="00756F2B" w:rsidRDefault="00756F2B" w:rsidP="00756F2B">
            <w:pPr>
              <w:rPr>
                <w:sz w:val="20"/>
              </w:rPr>
            </w:pPr>
            <w:r w:rsidRPr="00756F2B">
              <w:rPr>
                <w:sz w:val="20"/>
              </w:rPr>
              <w:t>Cen et al. (2021); Cen et al. (2024)</w:t>
            </w:r>
          </w:p>
        </w:tc>
      </w:tr>
      <w:tr w:rsidR="00756F2B" w:rsidRPr="00756F2B" w14:paraId="26862E1A" w14:textId="77777777" w:rsidTr="00756F2B">
        <w:tc>
          <w:tcPr>
            <w:tcW w:w="1560" w:type="dxa"/>
            <w:hideMark/>
          </w:tcPr>
          <w:p w14:paraId="0A81AB45" w14:textId="77777777" w:rsidR="00756F2B" w:rsidRPr="00756F2B" w:rsidRDefault="00756F2B" w:rsidP="00756F2B">
            <w:pPr>
              <w:rPr>
                <w:sz w:val="20"/>
              </w:rPr>
            </w:pPr>
            <w:r w:rsidRPr="00756F2B">
              <w:rPr>
                <w:sz w:val="20"/>
              </w:rPr>
              <w:t>Nitrogen Oxides (NOₓ)</w:t>
            </w:r>
          </w:p>
        </w:tc>
        <w:tc>
          <w:tcPr>
            <w:tcW w:w="2091" w:type="dxa"/>
            <w:hideMark/>
          </w:tcPr>
          <w:p w14:paraId="2B9431F0" w14:textId="77777777" w:rsidR="00756F2B" w:rsidRPr="00756F2B" w:rsidRDefault="00756F2B" w:rsidP="00756F2B">
            <w:pPr>
              <w:rPr>
                <w:sz w:val="20"/>
              </w:rPr>
            </w:pPr>
            <w:r w:rsidRPr="00756F2B">
              <w:rPr>
                <w:sz w:val="20"/>
              </w:rPr>
              <w:t>High-temperature reactions of air constituents within oven chambers</w:t>
            </w:r>
          </w:p>
        </w:tc>
        <w:tc>
          <w:tcPr>
            <w:tcW w:w="2020" w:type="dxa"/>
            <w:hideMark/>
          </w:tcPr>
          <w:p w14:paraId="6F4C7CAE" w14:textId="77777777" w:rsidR="00756F2B" w:rsidRPr="00756F2B" w:rsidRDefault="00756F2B" w:rsidP="00756F2B">
            <w:pPr>
              <w:rPr>
                <w:sz w:val="20"/>
              </w:rPr>
            </w:pPr>
            <w:r w:rsidRPr="00756F2B">
              <w:rPr>
                <w:sz w:val="20"/>
              </w:rPr>
              <w:t>Airway inflammation and reduced lung function</w:t>
            </w:r>
          </w:p>
        </w:tc>
        <w:tc>
          <w:tcPr>
            <w:tcW w:w="1024" w:type="dxa"/>
            <w:hideMark/>
          </w:tcPr>
          <w:p w14:paraId="64581DC3" w14:textId="77777777" w:rsidR="00756F2B" w:rsidRPr="00756F2B" w:rsidRDefault="00756F2B" w:rsidP="00756F2B">
            <w:pPr>
              <w:rPr>
                <w:sz w:val="20"/>
              </w:rPr>
            </w:pPr>
            <w:r w:rsidRPr="00756F2B">
              <w:rPr>
                <w:sz w:val="20"/>
              </w:rPr>
              <w:t>Chronic obstructive pulmonary disease progression</w:t>
            </w:r>
          </w:p>
        </w:tc>
        <w:tc>
          <w:tcPr>
            <w:tcW w:w="0" w:type="auto"/>
            <w:hideMark/>
          </w:tcPr>
          <w:p w14:paraId="237ABA1A" w14:textId="77777777" w:rsidR="00756F2B" w:rsidRPr="00756F2B" w:rsidRDefault="00756F2B" w:rsidP="00756F2B">
            <w:pPr>
              <w:rPr>
                <w:sz w:val="20"/>
              </w:rPr>
            </w:pPr>
            <w:r w:rsidRPr="00756F2B">
              <w:rPr>
                <w:sz w:val="20"/>
              </w:rPr>
              <w:t>Asthmatics, children, elderly</w:t>
            </w:r>
          </w:p>
        </w:tc>
        <w:tc>
          <w:tcPr>
            <w:tcW w:w="2249" w:type="dxa"/>
            <w:hideMark/>
          </w:tcPr>
          <w:p w14:paraId="36423F61" w14:textId="77777777" w:rsidR="00756F2B" w:rsidRPr="00756F2B" w:rsidRDefault="00756F2B" w:rsidP="00756F2B">
            <w:pPr>
              <w:rPr>
                <w:sz w:val="20"/>
              </w:rPr>
            </w:pPr>
            <w:r w:rsidRPr="00756F2B">
              <w:rPr>
                <w:sz w:val="20"/>
              </w:rPr>
              <w:t xml:space="preserve">Liu &amp; Chow (2017); </w:t>
            </w:r>
            <w:proofErr w:type="spellStart"/>
            <w:r w:rsidRPr="00756F2B">
              <w:rPr>
                <w:sz w:val="20"/>
              </w:rPr>
              <w:t>Aberilla</w:t>
            </w:r>
            <w:proofErr w:type="spellEnd"/>
            <w:r w:rsidRPr="00756F2B">
              <w:rPr>
                <w:sz w:val="20"/>
              </w:rPr>
              <w:t xml:space="preserve"> et al. (2020)</w:t>
            </w:r>
          </w:p>
        </w:tc>
      </w:tr>
      <w:tr w:rsidR="00756F2B" w:rsidRPr="00756F2B" w14:paraId="5D01B165" w14:textId="77777777" w:rsidTr="00756F2B">
        <w:tc>
          <w:tcPr>
            <w:tcW w:w="1560" w:type="dxa"/>
            <w:hideMark/>
          </w:tcPr>
          <w:p w14:paraId="04A36853" w14:textId="77777777" w:rsidR="00756F2B" w:rsidRPr="00756F2B" w:rsidRDefault="00756F2B" w:rsidP="00756F2B">
            <w:pPr>
              <w:rPr>
                <w:sz w:val="20"/>
              </w:rPr>
            </w:pPr>
            <w:r w:rsidRPr="00756F2B">
              <w:rPr>
                <w:sz w:val="20"/>
              </w:rPr>
              <w:t>Particulate Matter (PM</w:t>
            </w:r>
            <w:proofErr w:type="gramStart"/>
            <w:r w:rsidRPr="00756F2B">
              <w:rPr>
                <w:sz w:val="20"/>
              </w:rPr>
              <w:t>₂.₅</w:t>
            </w:r>
            <w:proofErr w:type="gramEnd"/>
            <w:r w:rsidRPr="00756F2B">
              <w:rPr>
                <w:sz w:val="20"/>
              </w:rPr>
              <w:t xml:space="preserve"> / PM₁₀)</w:t>
            </w:r>
          </w:p>
        </w:tc>
        <w:tc>
          <w:tcPr>
            <w:tcW w:w="2091" w:type="dxa"/>
            <w:hideMark/>
          </w:tcPr>
          <w:p w14:paraId="0BE5F991" w14:textId="77777777" w:rsidR="00756F2B" w:rsidRPr="00756F2B" w:rsidRDefault="00756F2B" w:rsidP="00756F2B">
            <w:pPr>
              <w:rPr>
                <w:sz w:val="20"/>
              </w:rPr>
            </w:pPr>
            <w:r w:rsidRPr="00756F2B">
              <w:rPr>
                <w:sz w:val="20"/>
              </w:rPr>
              <w:t>Charring and thermal decomposition of food residues</w:t>
            </w:r>
          </w:p>
        </w:tc>
        <w:tc>
          <w:tcPr>
            <w:tcW w:w="2020" w:type="dxa"/>
            <w:hideMark/>
          </w:tcPr>
          <w:p w14:paraId="10A3F91C" w14:textId="77777777" w:rsidR="00756F2B" w:rsidRPr="00756F2B" w:rsidRDefault="00756F2B" w:rsidP="00756F2B">
            <w:pPr>
              <w:rPr>
                <w:sz w:val="20"/>
              </w:rPr>
            </w:pPr>
            <w:r w:rsidRPr="00756F2B">
              <w:rPr>
                <w:sz w:val="20"/>
              </w:rPr>
              <w:t>Lung irritation and oxidative stress</w:t>
            </w:r>
          </w:p>
        </w:tc>
        <w:tc>
          <w:tcPr>
            <w:tcW w:w="1024" w:type="dxa"/>
            <w:hideMark/>
          </w:tcPr>
          <w:p w14:paraId="7D985AF2" w14:textId="77777777" w:rsidR="00756F2B" w:rsidRPr="00756F2B" w:rsidRDefault="00756F2B" w:rsidP="00756F2B">
            <w:pPr>
              <w:rPr>
                <w:sz w:val="20"/>
              </w:rPr>
            </w:pPr>
            <w:r w:rsidRPr="00756F2B">
              <w:rPr>
                <w:sz w:val="20"/>
              </w:rPr>
              <w:t>Cardiovascular disease and lung cancer</w:t>
            </w:r>
          </w:p>
        </w:tc>
        <w:tc>
          <w:tcPr>
            <w:tcW w:w="0" w:type="auto"/>
            <w:hideMark/>
          </w:tcPr>
          <w:p w14:paraId="58E5E375" w14:textId="77777777" w:rsidR="00756F2B" w:rsidRPr="00756F2B" w:rsidRDefault="00756F2B" w:rsidP="00756F2B">
            <w:pPr>
              <w:rPr>
                <w:sz w:val="20"/>
              </w:rPr>
            </w:pPr>
            <w:r w:rsidRPr="00756F2B">
              <w:rPr>
                <w:sz w:val="20"/>
              </w:rPr>
              <w:t>Individuals with respiratory disorders</w:t>
            </w:r>
          </w:p>
        </w:tc>
        <w:tc>
          <w:tcPr>
            <w:tcW w:w="2249" w:type="dxa"/>
            <w:hideMark/>
          </w:tcPr>
          <w:p w14:paraId="0653EEED" w14:textId="77777777" w:rsidR="00756F2B" w:rsidRPr="00756F2B" w:rsidRDefault="00756F2B" w:rsidP="00756F2B">
            <w:pPr>
              <w:rPr>
                <w:sz w:val="20"/>
              </w:rPr>
            </w:pPr>
            <w:r w:rsidRPr="00756F2B">
              <w:rPr>
                <w:sz w:val="20"/>
              </w:rPr>
              <w:t>See &amp; Karthikeyan (2006); Stabile et al. (2015)</w:t>
            </w:r>
          </w:p>
        </w:tc>
      </w:tr>
      <w:tr w:rsidR="00756F2B" w:rsidRPr="00756F2B" w14:paraId="4B8F8AD2" w14:textId="77777777" w:rsidTr="00756F2B">
        <w:tc>
          <w:tcPr>
            <w:tcW w:w="1560" w:type="dxa"/>
            <w:hideMark/>
          </w:tcPr>
          <w:p w14:paraId="24FF4B7B" w14:textId="77777777" w:rsidR="00756F2B" w:rsidRPr="00756F2B" w:rsidRDefault="00756F2B" w:rsidP="00756F2B">
            <w:pPr>
              <w:rPr>
                <w:sz w:val="20"/>
              </w:rPr>
            </w:pPr>
            <w:r w:rsidRPr="00756F2B">
              <w:rPr>
                <w:sz w:val="20"/>
              </w:rPr>
              <w:t>Electromagnetic Fields (non-ionizing)</w:t>
            </w:r>
          </w:p>
        </w:tc>
        <w:tc>
          <w:tcPr>
            <w:tcW w:w="2091" w:type="dxa"/>
            <w:hideMark/>
          </w:tcPr>
          <w:p w14:paraId="70FF74B7" w14:textId="77777777" w:rsidR="00756F2B" w:rsidRPr="00756F2B" w:rsidRDefault="00756F2B" w:rsidP="00756F2B">
            <w:pPr>
              <w:rPr>
                <w:sz w:val="20"/>
              </w:rPr>
            </w:pPr>
            <w:r w:rsidRPr="00756F2B">
              <w:rPr>
                <w:sz w:val="20"/>
              </w:rPr>
              <w:t>Heating elements, power electronics, and control circuitry</w:t>
            </w:r>
          </w:p>
        </w:tc>
        <w:tc>
          <w:tcPr>
            <w:tcW w:w="2020" w:type="dxa"/>
            <w:hideMark/>
          </w:tcPr>
          <w:p w14:paraId="132D71D1" w14:textId="77777777" w:rsidR="00756F2B" w:rsidRPr="00756F2B" w:rsidRDefault="00756F2B" w:rsidP="00756F2B">
            <w:pPr>
              <w:rPr>
                <w:sz w:val="20"/>
              </w:rPr>
            </w:pPr>
            <w:r w:rsidRPr="00756F2B">
              <w:rPr>
                <w:sz w:val="20"/>
              </w:rPr>
              <w:t>Neurological stress responses, sleep disturbance</w:t>
            </w:r>
          </w:p>
        </w:tc>
        <w:tc>
          <w:tcPr>
            <w:tcW w:w="1024" w:type="dxa"/>
            <w:hideMark/>
          </w:tcPr>
          <w:p w14:paraId="5174109A" w14:textId="77777777" w:rsidR="00756F2B" w:rsidRPr="00756F2B" w:rsidRDefault="00756F2B" w:rsidP="00756F2B">
            <w:pPr>
              <w:rPr>
                <w:sz w:val="20"/>
              </w:rPr>
            </w:pPr>
            <w:r w:rsidRPr="00756F2B">
              <w:rPr>
                <w:sz w:val="20"/>
              </w:rPr>
              <w:t>Potential long-term neurophysiological effects</w:t>
            </w:r>
          </w:p>
        </w:tc>
        <w:tc>
          <w:tcPr>
            <w:tcW w:w="0" w:type="auto"/>
            <w:hideMark/>
          </w:tcPr>
          <w:p w14:paraId="6CADCE31" w14:textId="77777777" w:rsidR="00756F2B" w:rsidRPr="00756F2B" w:rsidRDefault="00756F2B" w:rsidP="00756F2B">
            <w:pPr>
              <w:rPr>
                <w:sz w:val="20"/>
              </w:rPr>
            </w:pPr>
            <w:r w:rsidRPr="00756F2B">
              <w:rPr>
                <w:sz w:val="20"/>
              </w:rPr>
              <w:t>Biomedical staff, patients, sensitive individuals</w:t>
            </w:r>
          </w:p>
        </w:tc>
        <w:tc>
          <w:tcPr>
            <w:tcW w:w="2249" w:type="dxa"/>
            <w:hideMark/>
          </w:tcPr>
          <w:p w14:paraId="62CC1D5E" w14:textId="77777777" w:rsidR="00756F2B" w:rsidRPr="00756F2B" w:rsidRDefault="00756F2B" w:rsidP="00756F2B">
            <w:pPr>
              <w:rPr>
                <w:sz w:val="20"/>
              </w:rPr>
            </w:pPr>
            <w:r w:rsidRPr="00756F2B">
              <w:rPr>
                <w:sz w:val="20"/>
              </w:rPr>
              <w:t>Sadhu et al. (2010); Mishra et al. (2024); Zhang et al. (2024); Bianchi (2018)</w:t>
            </w:r>
          </w:p>
        </w:tc>
      </w:tr>
    </w:tbl>
    <w:p w14:paraId="5CCD74CD" w14:textId="77777777" w:rsidR="00FE0F3A" w:rsidRDefault="00FE0F3A" w:rsidP="00FE0F3A"/>
    <w:p w14:paraId="5106C67F" w14:textId="09E9B05A" w:rsidR="00FE0F3A" w:rsidRDefault="00FE0F3A" w:rsidP="006233FA">
      <w:pPr>
        <w:pStyle w:val="NormalWeb"/>
      </w:pPr>
      <w:r>
        <w:rPr>
          <w:rStyle w:val="Strong"/>
          <w:b w:val="0"/>
        </w:rPr>
        <w:t>Table 3</w:t>
      </w:r>
      <w:r w:rsidRPr="00FE0F3A">
        <w:t xml:space="preserve"> summarizes health risks from toxic emissions of electric cooking ovens, linking</w:t>
      </w:r>
      <w:r>
        <w:t xml:space="preserve"> pollutants to physiological effects and vulnerable groups. Volatile organic compounds and aldehydes cause mucosal and respiratory irritation with carcinogenic potential, while carbon monoxide and nitrogen oxides impair oxygen transport and lung function, disproportionately affecting children, the elderly, asthmatics, cardiac,</w:t>
      </w:r>
      <w:r w:rsidR="006233FA">
        <w:t xml:space="preserve"> and immunocompromised patients </w:t>
      </w:r>
      <w:r w:rsidR="006233FA" w:rsidRPr="006233FA">
        <w:rPr>
          <w:rStyle w:val="Emphasis"/>
          <w:i w:val="0"/>
        </w:rPr>
        <w:t>(</w:t>
      </w:r>
      <w:proofErr w:type="spellStart"/>
      <w:r w:rsidR="006233FA" w:rsidRPr="006233FA">
        <w:rPr>
          <w:rStyle w:val="Emphasis"/>
          <w:i w:val="0"/>
        </w:rPr>
        <w:t>Gioda</w:t>
      </w:r>
      <w:proofErr w:type="spellEnd"/>
      <w:r w:rsidR="006233FA" w:rsidRPr="006233FA">
        <w:rPr>
          <w:rStyle w:val="Emphasis"/>
          <w:i w:val="0"/>
        </w:rPr>
        <w:t xml:space="preserve">, de Menezes Correia da Silva, &amp; </w:t>
      </w:r>
      <w:proofErr w:type="spellStart"/>
      <w:r w:rsidR="006233FA" w:rsidRPr="006233FA">
        <w:rPr>
          <w:rStyle w:val="Emphasis"/>
          <w:i w:val="0"/>
        </w:rPr>
        <w:t>Huamán</w:t>
      </w:r>
      <w:proofErr w:type="spellEnd"/>
      <w:r w:rsidR="006233FA" w:rsidRPr="006233FA">
        <w:rPr>
          <w:rStyle w:val="Emphasis"/>
          <w:i w:val="0"/>
        </w:rPr>
        <w:t xml:space="preserve"> De La Cruz, 2025).</w:t>
      </w:r>
    </w:p>
    <w:p w14:paraId="0BF9D0CE" w14:textId="77777777" w:rsidR="00441B88" w:rsidRDefault="00441B88" w:rsidP="009E0A8E">
      <w:pPr>
        <w:pStyle w:val="Heading1"/>
      </w:pPr>
      <w:r w:rsidRPr="00441B88">
        <w:t>3. Electromagnetic Radiation in Electric Ovens</w:t>
      </w:r>
    </w:p>
    <w:p w14:paraId="09CC1A13" w14:textId="77777777" w:rsidR="00FE0F3A" w:rsidRDefault="00FE0F3A" w:rsidP="009E0A8E">
      <w:pPr>
        <w:jc w:val="both"/>
      </w:pPr>
      <w:r>
        <w:t>Electric cooking ovens emit low-level electromagnetic radiation due to alternating current flow through heating elements, power supplies, control circuits, fan motors, and relay systems. These components generate time-varying ele</w:t>
      </w:r>
      <w:r w:rsidR="0083533E">
        <w:t>ctromagnetic fields within the Extremely Low F</w:t>
      </w:r>
      <w:r>
        <w:t>requency (ELF) and radiofrequency ranges, which may escape through ventilation ports and insufficiently shielded casings (</w:t>
      </w:r>
      <w:proofErr w:type="spellStart"/>
      <w:r>
        <w:t>Habash</w:t>
      </w:r>
      <w:proofErr w:type="spellEnd"/>
      <w:r>
        <w:t>, 2018; Raveendran, 2022). Although non-ionizing, prolonged close-range exposure has been associated with sleep disruption, neurological stress responses, and altered cellular signaling, particularly among sensitive individuals (</w:t>
      </w:r>
      <w:proofErr w:type="spellStart"/>
      <w:r>
        <w:t>Razek</w:t>
      </w:r>
      <w:proofErr w:type="spellEnd"/>
      <w:r>
        <w:t xml:space="preserve">, 2023; Kulkarni &amp; </w:t>
      </w:r>
      <w:proofErr w:type="spellStart"/>
      <w:r>
        <w:t>Mahalle</w:t>
      </w:r>
      <w:proofErr w:type="spellEnd"/>
      <w:r>
        <w:t>, 2025). In biomedical and clinical environments, cumulative exposure and potential interference with sensitive medical equipment reinforce the need for radiation-attenuated oven designs.</w:t>
      </w:r>
    </w:p>
    <w:p w14:paraId="7610F6F5" w14:textId="77777777" w:rsidR="00FE0F3A" w:rsidRPr="00441B88" w:rsidRDefault="00FE0F3A" w:rsidP="009E0A8E"/>
    <w:p w14:paraId="03DF0DB8" w14:textId="77777777" w:rsidR="00B9379C" w:rsidRPr="00550B13" w:rsidRDefault="00B9379C" w:rsidP="009E0A8E">
      <w:pPr>
        <w:pStyle w:val="NormalWeb"/>
        <w:numPr>
          <w:ilvl w:val="0"/>
          <w:numId w:val="10"/>
        </w:numPr>
        <w:ind w:left="425" w:hanging="425"/>
        <w:rPr>
          <w:rStyle w:val="Strong"/>
          <w:b w:val="0"/>
          <w:bCs w:val="0"/>
          <w:color w:val="833C0B" w:themeColor="accent2" w:themeShade="80"/>
        </w:rPr>
      </w:pPr>
      <w:r w:rsidRPr="00550B13">
        <w:rPr>
          <w:rStyle w:val="Strong"/>
          <w:color w:val="833C0B" w:themeColor="accent2" w:themeShade="80"/>
        </w:rPr>
        <w:t>Alternating current heating elements</w:t>
      </w:r>
    </w:p>
    <w:p w14:paraId="1F1DF0F0" w14:textId="5A55E570" w:rsidR="00B9379C" w:rsidRDefault="00B9379C" w:rsidP="009E0A8E">
      <w:pPr>
        <w:pStyle w:val="NormalWeb"/>
        <w:jc w:val="both"/>
      </w:pPr>
      <w:r>
        <w:lastRenderedPageBreak/>
        <w:t>Electric oven</w:t>
      </w:r>
      <w:r w:rsidR="00054D86">
        <w:t xml:space="preserve"> heating elements operate using Alternating C</w:t>
      </w:r>
      <w:r>
        <w:t>urrent (AC), which continuously changes direction and generates time-varying magnetic and electric fields. As large currents flow through these resistive coils to produce heat, they become significant sources of extremely low-frequency electromagnetic fields that can radiate beyond the oven chamber, especi</w:t>
      </w:r>
      <w:r w:rsidR="006A691C">
        <w:t>ally in poorly shielded design (</w:t>
      </w:r>
      <w:proofErr w:type="spellStart"/>
      <w:r w:rsidR="006A691C">
        <w:t>Colombi</w:t>
      </w:r>
      <w:proofErr w:type="spellEnd"/>
      <w:r w:rsidR="006A691C">
        <w:t xml:space="preserve"> et al., 2022). </w:t>
      </w:r>
    </w:p>
    <w:p w14:paraId="5AB0D74A" w14:textId="77777777" w:rsidR="00B9379C" w:rsidRPr="00550B13" w:rsidRDefault="00B9379C" w:rsidP="00B9379C">
      <w:pPr>
        <w:pStyle w:val="NormalWeb"/>
        <w:numPr>
          <w:ilvl w:val="0"/>
          <w:numId w:val="10"/>
        </w:numPr>
        <w:rPr>
          <w:color w:val="833C0B" w:themeColor="accent2" w:themeShade="80"/>
        </w:rPr>
      </w:pPr>
      <w:r w:rsidRPr="00550B13">
        <w:rPr>
          <w:rStyle w:val="Strong"/>
          <w:color w:val="833C0B" w:themeColor="accent2" w:themeShade="80"/>
        </w:rPr>
        <w:t>Switching power supplies</w:t>
      </w:r>
    </w:p>
    <w:p w14:paraId="4D402340" w14:textId="77777777" w:rsidR="00B9379C" w:rsidRDefault="00B9379C" w:rsidP="00B9379C">
      <w:pPr>
        <w:pStyle w:val="NormalWeb"/>
        <w:jc w:val="both"/>
      </w:pPr>
      <w:r>
        <w:t>Modern electric ovens rely on high-frequency switching power supplies to regulate voltage and current for digital displays, control modules, and temperature regulation circuits. These power units generate electromagnetic interference across a wide frequency spectrum due to rapid on–off switching of semiconductor components, leading to unintended radiation leakage into the surrounding environment.</w:t>
      </w:r>
    </w:p>
    <w:p w14:paraId="30952146" w14:textId="77777777" w:rsidR="00B9379C" w:rsidRPr="00550B13" w:rsidRDefault="00B9379C" w:rsidP="00B9379C">
      <w:pPr>
        <w:pStyle w:val="NormalWeb"/>
        <w:numPr>
          <w:ilvl w:val="0"/>
          <w:numId w:val="10"/>
        </w:numPr>
        <w:rPr>
          <w:color w:val="833C0B" w:themeColor="accent2" w:themeShade="80"/>
        </w:rPr>
      </w:pPr>
      <w:r w:rsidRPr="00550B13">
        <w:rPr>
          <w:rStyle w:val="Strong"/>
          <w:color w:val="833C0B" w:themeColor="accent2" w:themeShade="80"/>
        </w:rPr>
        <w:t>Control circuit boards</w:t>
      </w:r>
    </w:p>
    <w:p w14:paraId="642A37CB" w14:textId="77777777" w:rsidR="00B9379C" w:rsidRDefault="00B9379C" w:rsidP="00B9379C">
      <w:pPr>
        <w:pStyle w:val="NormalWeb"/>
        <w:jc w:val="both"/>
      </w:pPr>
      <w:r>
        <w:t>The control boards of electric ovens contain microcontrollers, oscillators, and digital communication pathways that operate at radiofrequency ranges. These components emit electromagnetic radiation during signal processing and data transmission, which can escape through ventilation slots and plastic housings that lack proper electromagnetic shielding.</w:t>
      </w:r>
    </w:p>
    <w:p w14:paraId="42AB5DE2" w14:textId="77777777" w:rsidR="00B9379C" w:rsidRPr="00550B13" w:rsidRDefault="00B9379C" w:rsidP="00B9379C">
      <w:pPr>
        <w:pStyle w:val="NormalWeb"/>
        <w:numPr>
          <w:ilvl w:val="0"/>
          <w:numId w:val="10"/>
        </w:numPr>
        <w:rPr>
          <w:color w:val="833C0B" w:themeColor="accent2" w:themeShade="80"/>
        </w:rPr>
      </w:pPr>
      <w:r w:rsidRPr="00550B13">
        <w:rPr>
          <w:rStyle w:val="Strong"/>
          <w:color w:val="833C0B" w:themeColor="accent2" w:themeShade="80"/>
        </w:rPr>
        <w:t>Fan motors and relays</w:t>
      </w:r>
    </w:p>
    <w:p w14:paraId="433D7999" w14:textId="77777777" w:rsidR="00B9379C" w:rsidRDefault="00B9379C" w:rsidP="00B9379C">
      <w:pPr>
        <w:pStyle w:val="NormalWeb"/>
        <w:jc w:val="both"/>
      </w:pPr>
      <w:r>
        <w:t>Fan motors used for air circulation and cooling, as well as electromagnetic relays responsible for switching heating elements, are additional contributors to electromagnetic radiation. Their inductive loads generate transient voltage spikes and fluctuating magnetic fields during operation, further increasing the cumulative electromagnetic emission profile of the oven.</w:t>
      </w:r>
    </w:p>
    <w:p w14:paraId="286EBBE6" w14:textId="77777777" w:rsidR="004E7F48" w:rsidRDefault="00FE0F3A" w:rsidP="00B9379C">
      <w:pPr>
        <w:pStyle w:val="NormalWeb"/>
        <w:jc w:val="both"/>
      </w:pPr>
      <w:r>
        <w:t>In summary, Table 4</w:t>
      </w:r>
      <w:r w:rsidR="004E7F48">
        <w:t xml:space="preserve"> shows that while emissions from electric ovens are non-ionizing, they span from extremely low frequencies to radiofrequency bands, and cumulative exposure especially in enclosed biomedical environments necessitates the integration of shielding and emission-control mechanisms in advanced oven designs.</w:t>
      </w:r>
    </w:p>
    <w:p w14:paraId="3B2B2DD0" w14:textId="245D406A" w:rsidR="00263F18" w:rsidRPr="00B00DFC" w:rsidRDefault="00263F18" w:rsidP="004E7F48">
      <w:pPr>
        <w:rPr>
          <w:color w:val="44546A" w:themeColor="text2"/>
        </w:rPr>
      </w:pPr>
      <w:r w:rsidRPr="00B00DFC">
        <w:rPr>
          <w:color w:val="44546A" w:themeColor="text2"/>
        </w:rPr>
        <w:t xml:space="preserve">Table </w:t>
      </w:r>
      <w:r w:rsidRPr="00B00DFC">
        <w:rPr>
          <w:color w:val="44546A" w:themeColor="text2"/>
        </w:rPr>
        <w:fldChar w:fldCharType="begin"/>
      </w:r>
      <w:r w:rsidRPr="00B00DFC">
        <w:rPr>
          <w:color w:val="44546A" w:themeColor="text2"/>
        </w:rPr>
        <w:instrText xml:space="preserve"> SEQ Table \* ARABIC </w:instrText>
      </w:r>
      <w:r w:rsidRPr="00B00DFC">
        <w:rPr>
          <w:color w:val="44546A" w:themeColor="text2"/>
        </w:rPr>
        <w:fldChar w:fldCharType="separate"/>
      </w:r>
      <w:r w:rsidR="00616433">
        <w:rPr>
          <w:noProof/>
          <w:color w:val="44546A" w:themeColor="text2"/>
        </w:rPr>
        <w:t>4</w:t>
      </w:r>
      <w:r w:rsidRPr="00B00DFC">
        <w:rPr>
          <w:color w:val="44546A" w:themeColor="text2"/>
        </w:rPr>
        <w:fldChar w:fldCharType="end"/>
      </w:r>
      <w:r w:rsidR="004E7F48" w:rsidRPr="00B00DFC">
        <w:rPr>
          <w:color w:val="44546A" w:themeColor="text2"/>
        </w:rPr>
        <w:t>: Major electromagnetic radiation sources in electric ovens, their typical frequency ranges, and indicative human exposure limits based on international non-ionizing radiation guidelines.</w:t>
      </w:r>
    </w:p>
    <w:tbl>
      <w:tblPr>
        <w:tblStyle w:val="TableGrid"/>
        <w:tblW w:w="10916" w:type="dxa"/>
        <w:tblInd w:w="-856" w:type="dxa"/>
        <w:tblLook w:val="04A0" w:firstRow="1" w:lastRow="0" w:firstColumn="1" w:lastColumn="0" w:noHBand="0" w:noVBand="1"/>
      </w:tblPr>
      <w:tblGrid>
        <w:gridCol w:w="2127"/>
        <w:gridCol w:w="1843"/>
        <w:gridCol w:w="1725"/>
        <w:gridCol w:w="1677"/>
        <w:gridCol w:w="1984"/>
        <w:gridCol w:w="1560"/>
      </w:tblGrid>
      <w:tr w:rsidR="00F67DA7" w:rsidRPr="00F67DA7" w14:paraId="2A304A03" w14:textId="77777777" w:rsidTr="00F67DA7">
        <w:tc>
          <w:tcPr>
            <w:tcW w:w="2127" w:type="dxa"/>
            <w:hideMark/>
          </w:tcPr>
          <w:p w14:paraId="02895471" w14:textId="77777777" w:rsidR="00F67DA7" w:rsidRPr="00F67DA7" w:rsidRDefault="00F67DA7" w:rsidP="00F67DA7">
            <w:pPr>
              <w:jc w:val="center"/>
              <w:rPr>
                <w:b/>
                <w:bCs/>
                <w:sz w:val="20"/>
              </w:rPr>
            </w:pPr>
            <w:r w:rsidRPr="00F67DA7">
              <w:rPr>
                <w:b/>
                <w:bCs/>
                <w:sz w:val="20"/>
              </w:rPr>
              <w:t>Source Component</w:t>
            </w:r>
          </w:p>
        </w:tc>
        <w:tc>
          <w:tcPr>
            <w:tcW w:w="1843" w:type="dxa"/>
            <w:hideMark/>
          </w:tcPr>
          <w:p w14:paraId="6979184A" w14:textId="77777777" w:rsidR="00F67DA7" w:rsidRPr="00F67DA7" w:rsidRDefault="00F67DA7" w:rsidP="00F67DA7">
            <w:pPr>
              <w:jc w:val="center"/>
              <w:rPr>
                <w:b/>
                <w:bCs/>
                <w:sz w:val="20"/>
              </w:rPr>
            </w:pPr>
            <w:r w:rsidRPr="00F67DA7">
              <w:rPr>
                <w:b/>
                <w:bCs/>
                <w:sz w:val="20"/>
              </w:rPr>
              <w:t>Type of Radiation Emitted</w:t>
            </w:r>
          </w:p>
        </w:tc>
        <w:tc>
          <w:tcPr>
            <w:tcW w:w="1725" w:type="dxa"/>
            <w:hideMark/>
          </w:tcPr>
          <w:p w14:paraId="65A5B349" w14:textId="77777777" w:rsidR="00F67DA7" w:rsidRPr="00F67DA7" w:rsidRDefault="00F67DA7" w:rsidP="00F67DA7">
            <w:pPr>
              <w:jc w:val="center"/>
              <w:rPr>
                <w:b/>
                <w:bCs/>
                <w:sz w:val="20"/>
              </w:rPr>
            </w:pPr>
            <w:r w:rsidRPr="00F67DA7">
              <w:rPr>
                <w:b/>
                <w:bCs/>
                <w:sz w:val="20"/>
              </w:rPr>
              <w:t>Typical Frequency Range</w:t>
            </w:r>
          </w:p>
        </w:tc>
        <w:tc>
          <w:tcPr>
            <w:tcW w:w="1677" w:type="dxa"/>
            <w:hideMark/>
          </w:tcPr>
          <w:p w14:paraId="20DBF7A6" w14:textId="77777777" w:rsidR="00F67DA7" w:rsidRPr="00F67DA7" w:rsidRDefault="00F67DA7" w:rsidP="00F67DA7">
            <w:pPr>
              <w:jc w:val="center"/>
              <w:rPr>
                <w:b/>
                <w:bCs/>
                <w:sz w:val="20"/>
              </w:rPr>
            </w:pPr>
            <w:r w:rsidRPr="00F67DA7">
              <w:rPr>
                <w:b/>
                <w:bCs/>
                <w:sz w:val="20"/>
              </w:rPr>
              <w:t>Nature of Emission</w:t>
            </w:r>
          </w:p>
        </w:tc>
        <w:tc>
          <w:tcPr>
            <w:tcW w:w="1984" w:type="dxa"/>
            <w:hideMark/>
          </w:tcPr>
          <w:p w14:paraId="31B86602" w14:textId="77777777" w:rsidR="00F67DA7" w:rsidRPr="00F67DA7" w:rsidRDefault="00F67DA7" w:rsidP="00F67DA7">
            <w:pPr>
              <w:jc w:val="center"/>
              <w:rPr>
                <w:b/>
                <w:bCs/>
                <w:sz w:val="20"/>
              </w:rPr>
            </w:pPr>
            <w:r w:rsidRPr="00F67DA7">
              <w:rPr>
                <w:b/>
                <w:bCs/>
                <w:sz w:val="20"/>
              </w:rPr>
              <w:t>Reference Occup</w:t>
            </w:r>
            <w:r>
              <w:rPr>
                <w:b/>
                <w:bCs/>
                <w:sz w:val="20"/>
              </w:rPr>
              <w:t>ational / Public Exposure Limit</w:t>
            </w:r>
          </w:p>
        </w:tc>
        <w:tc>
          <w:tcPr>
            <w:tcW w:w="1560" w:type="dxa"/>
            <w:hideMark/>
          </w:tcPr>
          <w:p w14:paraId="0A2E383E" w14:textId="77777777" w:rsidR="00F67DA7" w:rsidRPr="00F67DA7" w:rsidRDefault="00F67DA7" w:rsidP="00F67DA7">
            <w:pPr>
              <w:jc w:val="center"/>
              <w:rPr>
                <w:b/>
                <w:bCs/>
                <w:sz w:val="20"/>
              </w:rPr>
            </w:pPr>
            <w:r w:rsidRPr="00F67DA7">
              <w:rPr>
                <w:b/>
                <w:bCs/>
                <w:sz w:val="20"/>
              </w:rPr>
              <w:t>Key References</w:t>
            </w:r>
          </w:p>
        </w:tc>
      </w:tr>
      <w:tr w:rsidR="00F67DA7" w:rsidRPr="00F67DA7" w14:paraId="50A527B5" w14:textId="77777777" w:rsidTr="00F67DA7">
        <w:tc>
          <w:tcPr>
            <w:tcW w:w="2127" w:type="dxa"/>
            <w:hideMark/>
          </w:tcPr>
          <w:p w14:paraId="1994245E" w14:textId="77777777" w:rsidR="00F67DA7" w:rsidRPr="00F67DA7" w:rsidRDefault="00F67DA7" w:rsidP="00F67DA7">
            <w:pPr>
              <w:rPr>
                <w:sz w:val="20"/>
              </w:rPr>
            </w:pPr>
            <w:r w:rsidRPr="00F67DA7">
              <w:rPr>
                <w:sz w:val="20"/>
              </w:rPr>
              <w:t>Alternating current heating elements</w:t>
            </w:r>
          </w:p>
        </w:tc>
        <w:tc>
          <w:tcPr>
            <w:tcW w:w="1843" w:type="dxa"/>
            <w:hideMark/>
          </w:tcPr>
          <w:p w14:paraId="6343E45E" w14:textId="77777777" w:rsidR="00F67DA7" w:rsidRPr="00F67DA7" w:rsidRDefault="00F67DA7" w:rsidP="00F67DA7">
            <w:pPr>
              <w:rPr>
                <w:sz w:val="20"/>
              </w:rPr>
            </w:pPr>
            <w:r w:rsidRPr="00F67DA7">
              <w:rPr>
                <w:sz w:val="20"/>
              </w:rPr>
              <w:t>Extremely Low Frequency (ELF) magnetic and electric fields</w:t>
            </w:r>
          </w:p>
        </w:tc>
        <w:tc>
          <w:tcPr>
            <w:tcW w:w="1725" w:type="dxa"/>
            <w:hideMark/>
          </w:tcPr>
          <w:p w14:paraId="3E9CC928" w14:textId="77777777" w:rsidR="00F67DA7" w:rsidRPr="00F67DA7" w:rsidRDefault="00F67DA7" w:rsidP="00F67DA7">
            <w:pPr>
              <w:rPr>
                <w:sz w:val="20"/>
              </w:rPr>
            </w:pPr>
            <w:r w:rsidRPr="00F67DA7">
              <w:rPr>
                <w:sz w:val="20"/>
              </w:rPr>
              <w:t>50–60 Hz</w:t>
            </w:r>
          </w:p>
        </w:tc>
        <w:tc>
          <w:tcPr>
            <w:tcW w:w="1677" w:type="dxa"/>
            <w:hideMark/>
          </w:tcPr>
          <w:p w14:paraId="1FDDE9A9" w14:textId="77777777" w:rsidR="00F67DA7" w:rsidRPr="00F67DA7" w:rsidRDefault="00F67DA7" w:rsidP="00F67DA7">
            <w:pPr>
              <w:rPr>
                <w:sz w:val="20"/>
              </w:rPr>
            </w:pPr>
            <w:r w:rsidRPr="00F67DA7">
              <w:rPr>
                <w:sz w:val="20"/>
              </w:rPr>
              <w:t>Strong time-varying magnetic fields from high current flow</w:t>
            </w:r>
          </w:p>
        </w:tc>
        <w:tc>
          <w:tcPr>
            <w:tcW w:w="1984" w:type="dxa"/>
            <w:hideMark/>
          </w:tcPr>
          <w:p w14:paraId="1F59C1FA" w14:textId="77777777" w:rsidR="00F67DA7" w:rsidRPr="00F67DA7" w:rsidRDefault="00F67DA7" w:rsidP="00F67DA7">
            <w:pPr>
              <w:rPr>
                <w:sz w:val="20"/>
              </w:rPr>
            </w:pPr>
            <w:r w:rsidRPr="00F67DA7">
              <w:rPr>
                <w:sz w:val="20"/>
              </w:rPr>
              <w:t>Public exposure limit ≈ 100 µT (magnetic field); occupational ≈ 500 µT</w:t>
            </w:r>
          </w:p>
        </w:tc>
        <w:tc>
          <w:tcPr>
            <w:tcW w:w="1560" w:type="dxa"/>
            <w:hideMark/>
          </w:tcPr>
          <w:p w14:paraId="51735588" w14:textId="77777777" w:rsidR="00F67DA7" w:rsidRPr="00F67DA7" w:rsidRDefault="00F67DA7" w:rsidP="00F67DA7">
            <w:pPr>
              <w:rPr>
                <w:sz w:val="20"/>
              </w:rPr>
            </w:pPr>
            <w:r w:rsidRPr="00F67DA7">
              <w:rPr>
                <w:sz w:val="20"/>
              </w:rPr>
              <w:t>Sadhu et al. (2010); Bianchi (2018)</w:t>
            </w:r>
          </w:p>
        </w:tc>
      </w:tr>
      <w:tr w:rsidR="00F67DA7" w:rsidRPr="00F67DA7" w14:paraId="0B55D76C" w14:textId="77777777" w:rsidTr="00F67DA7">
        <w:tc>
          <w:tcPr>
            <w:tcW w:w="2127" w:type="dxa"/>
            <w:hideMark/>
          </w:tcPr>
          <w:p w14:paraId="6AF13AC5" w14:textId="77777777" w:rsidR="00F67DA7" w:rsidRPr="00F67DA7" w:rsidRDefault="00F67DA7" w:rsidP="00F67DA7">
            <w:pPr>
              <w:rPr>
                <w:sz w:val="20"/>
              </w:rPr>
            </w:pPr>
            <w:r w:rsidRPr="00F67DA7">
              <w:rPr>
                <w:sz w:val="20"/>
              </w:rPr>
              <w:t>Switching power supplies</w:t>
            </w:r>
          </w:p>
        </w:tc>
        <w:tc>
          <w:tcPr>
            <w:tcW w:w="1843" w:type="dxa"/>
            <w:hideMark/>
          </w:tcPr>
          <w:p w14:paraId="4368869C" w14:textId="77777777" w:rsidR="00F67DA7" w:rsidRPr="00F67DA7" w:rsidRDefault="00F67DA7" w:rsidP="00F67DA7">
            <w:pPr>
              <w:rPr>
                <w:sz w:val="20"/>
              </w:rPr>
            </w:pPr>
            <w:r w:rsidRPr="00F67DA7">
              <w:rPr>
                <w:sz w:val="20"/>
              </w:rPr>
              <w:t>Low-frequency to radiofrequency electromagnetic interference (EMI)</w:t>
            </w:r>
          </w:p>
        </w:tc>
        <w:tc>
          <w:tcPr>
            <w:tcW w:w="1725" w:type="dxa"/>
            <w:hideMark/>
          </w:tcPr>
          <w:p w14:paraId="1C00F002" w14:textId="77777777" w:rsidR="00F67DA7" w:rsidRPr="00F67DA7" w:rsidRDefault="00F67DA7" w:rsidP="00F67DA7">
            <w:pPr>
              <w:rPr>
                <w:sz w:val="20"/>
              </w:rPr>
            </w:pPr>
            <w:r w:rsidRPr="00F67DA7">
              <w:rPr>
                <w:sz w:val="20"/>
              </w:rPr>
              <w:t>20 kHz – 1 MHz (sometimes higher harmonics up to MHz range)</w:t>
            </w:r>
          </w:p>
        </w:tc>
        <w:tc>
          <w:tcPr>
            <w:tcW w:w="1677" w:type="dxa"/>
            <w:hideMark/>
          </w:tcPr>
          <w:p w14:paraId="6B042E54" w14:textId="77777777" w:rsidR="00F67DA7" w:rsidRPr="00F67DA7" w:rsidRDefault="00F67DA7" w:rsidP="00F67DA7">
            <w:pPr>
              <w:rPr>
                <w:sz w:val="20"/>
              </w:rPr>
            </w:pPr>
            <w:r w:rsidRPr="00F67DA7">
              <w:rPr>
                <w:sz w:val="20"/>
              </w:rPr>
              <w:t>High-frequency switching transients and broadband noise</w:t>
            </w:r>
          </w:p>
        </w:tc>
        <w:tc>
          <w:tcPr>
            <w:tcW w:w="1984" w:type="dxa"/>
            <w:hideMark/>
          </w:tcPr>
          <w:p w14:paraId="1A722FCC" w14:textId="77777777" w:rsidR="00F67DA7" w:rsidRPr="00F67DA7" w:rsidRDefault="00F67DA7" w:rsidP="00F67DA7">
            <w:pPr>
              <w:rPr>
                <w:sz w:val="20"/>
              </w:rPr>
            </w:pPr>
            <w:r w:rsidRPr="00F67DA7">
              <w:rPr>
                <w:sz w:val="20"/>
              </w:rPr>
              <w:t>General public RF reference level ≈ 28 V/m (electric field strength)</w:t>
            </w:r>
          </w:p>
        </w:tc>
        <w:tc>
          <w:tcPr>
            <w:tcW w:w="1560" w:type="dxa"/>
            <w:hideMark/>
          </w:tcPr>
          <w:p w14:paraId="29A07283" w14:textId="77777777" w:rsidR="00F67DA7" w:rsidRPr="00F67DA7" w:rsidRDefault="00F67DA7" w:rsidP="00F67DA7">
            <w:pPr>
              <w:rPr>
                <w:sz w:val="20"/>
              </w:rPr>
            </w:pPr>
            <w:r w:rsidRPr="00F67DA7">
              <w:rPr>
                <w:sz w:val="20"/>
              </w:rPr>
              <w:t>Mishra et al. (2024); Zhang et al. (2024)</w:t>
            </w:r>
          </w:p>
        </w:tc>
      </w:tr>
      <w:tr w:rsidR="00F67DA7" w:rsidRPr="00F67DA7" w14:paraId="5E56180C" w14:textId="77777777" w:rsidTr="00F67DA7">
        <w:tc>
          <w:tcPr>
            <w:tcW w:w="2127" w:type="dxa"/>
            <w:hideMark/>
          </w:tcPr>
          <w:p w14:paraId="7735F6D0" w14:textId="77777777" w:rsidR="00F67DA7" w:rsidRPr="00F67DA7" w:rsidRDefault="00F67DA7" w:rsidP="00F67DA7">
            <w:pPr>
              <w:rPr>
                <w:sz w:val="20"/>
              </w:rPr>
            </w:pPr>
            <w:r w:rsidRPr="00F67DA7">
              <w:rPr>
                <w:sz w:val="20"/>
              </w:rPr>
              <w:t>Control circuit boards (microcontrollers, clocks)</w:t>
            </w:r>
          </w:p>
        </w:tc>
        <w:tc>
          <w:tcPr>
            <w:tcW w:w="1843" w:type="dxa"/>
            <w:hideMark/>
          </w:tcPr>
          <w:p w14:paraId="6C4A8CAF" w14:textId="77777777" w:rsidR="00F67DA7" w:rsidRPr="00F67DA7" w:rsidRDefault="00F67DA7" w:rsidP="00F67DA7">
            <w:pPr>
              <w:rPr>
                <w:sz w:val="20"/>
              </w:rPr>
            </w:pPr>
            <w:r w:rsidRPr="00F67DA7">
              <w:rPr>
                <w:sz w:val="20"/>
              </w:rPr>
              <w:t>Radiofrequency (RF) radiation</w:t>
            </w:r>
          </w:p>
        </w:tc>
        <w:tc>
          <w:tcPr>
            <w:tcW w:w="1725" w:type="dxa"/>
            <w:hideMark/>
          </w:tcPr>
          <w:p w14:paraId="030410FC" w14:textId="77777777" w:rsidR="00F67DA7" w:rsidRPr="00F67DA7" w:rsidRDefault="00F67DA7" w:rsidP="00F67DA7">
            <w:pPr>
              <w:rPr>
                <w:sz w:val="20"/>
              </w:rPr>
            </w:pPr>
            <w:r w:rsidRPr="00F67DA7">
              <w:rPr>
                <w:sz w:val="20"/>
              </w:rPr>
              <w:t>1 MHz – 300 MHz</w:t>
            </w:r>
          </w:p>
        </w:tc>
        <w:tc>
          <w:tcPr>
            <w:tcW w:w="1677" w:type="dxa"/>
            <w:hideMark/>
          </w:tcPr>
          <w:p w14:paraId="4E0C4D51" w14:textId="77777777" w:rsidR="00F67DA7" w:rsidRPr="00F67DA7" w:rsidRDefault="00F67DA7" w:rsidP="00F67DA7">
            <w:pPr>
              <w:rPr>
                <w:sz w:val="20"/>
              </w:rPr>
            </w:pPr>
            <w:r w:rsidRPr="00F67DA7">
              <w:rPr>
                <w:sz w:val="20"/>
              </w:rPr>
              <w:t>Digital clock oscillations and signal processing leakage</w:t>
            </w:r>
          </w:p>
        </w:tc>
        <w:tc>
          <w:tcPr>
            <w:tcW w:w="1984" w:type="dxa"/>
            <w:hideMark/>
          </w:tcPr>
          <w:p w14:paraId="48FEF7FE" w14:textId="77777777" w:rsidR="00F67DA7" w:rsidRPr="00F67DA7" w:rsidRDefault="00F67DA7" w:rsidP="00F67DA7">
            <w:pPr>
              <w:rPr>
                <w:sz w:val="20"/>
              </w:rPr>
            </w:pPr>
            <w:r w:rsidRPr="00F67DA7">
              <w:rPr>
                <w:sz w:val="20"/>
              </w:rPr>
              <w:t>Public exposure limit ≈ 2–28 V/m depending on frequency</w:t>
            </w:r>
          </w:p>
        </w:tc>
        <w:tc>
          <w:tcPr>
            <w:tcW w:w="1560" w:type="dxa"/>
            <w:hideMark/>
          </w:tcPr>
          <w:p w14:paraId="787C9466" w14:textId="77777777" w:rsidR="00F67DA7" w:rsidRPr="00F67DA7" w:rsidRDefault="00F67DA7" w:rsidP="00F67DA7">
            <w:pPr>
              <w:rPr>
                <w:sz w:val="20"/>
              </w:rPr>
            </w:pPr>
            <w:r w:rsidRPr="00F67DA7">
              <w:rPr>
                <w:sz w:val="20"/>
              </w:rPr>
              <w:t>Bianchi (2018); Zhang et al. (2024)</w:t>
            </w:r>
          </w:p>
        </w:tc>
      </w:tr>
      <w:tr w:rsidR="00F67DA7" w:rsidRPr="00F67DA7" w14:paraId="0BFF86C7" w14:textId="77777777" w:rsidTr="00F67DA7">
        <w:tc>
          <w:tcPr>
            <w:tcW w:w="2127" w:type="dxa"/>
            <w:hideMark/>
          </w:tcPr>
          <w:p w14:paraId="27E55C1A" w14:textId="77777777" w:rsidR="00F67DA7" w:rsidRPr="00F67DA7" w:rsidRDefault="00F67DA7" w:rsidP="00F67DA7">
            <w:pPr>
              <w:rPr>
                <w:sz w:val="20"/>
              </w:rPr>
            </w:pPr>
            <w:r w:rsidRPr="00F67DA7">
              <w:rPr>
                <w:sz w:val="20"/>
              </w:rPr>
              <w:lastRenderedPageBreak/>
              <w:t>Fan motors and relays</w:t>
            </w:r>
          </w:p>
        </w:tc>
        <w:tc>
          <w:tcPr>
            <w:tcW w:w="1843" w:type="dxa"/>
            <w:hideMark/>
          </w:tcPr>
          <w:p w14:paraId="250B1FD3" w14:textId="77777777" w:rsidR="00F67DA7" w:rsidRPr="00F67DA7" w:rsidRDefault="00F67DA7" w:rsidP="00F67DA7">
            <w:pPr>
              <w:rPr>
                <w:sz w:val="20"/>
              </w:rPr>
            </w:pPr>
            <w:r w:rsidRPr="00F67DA7">
              <w:rPr>
                <w:sz w:val="20"/>
              </w:rPr>
              <w:t>ELF and low-frequency EM fields</w:t>
            </w:r>
          </w:p>
        </w:tc>
        <w:tc>
          <w:tcPr>
            <w:tcW w:w="1725" w:type="dxa"/>
            <w:hideMark/>
          </w:tcPr>
          <w:p w14:paraId="36D094FB" w14:textId="77777777" w:rsidR="00F67DA7" w:rsidRPr="00F67DA7" w:rsidRDefault="00F67DA7" w:rsidP="00F67DA7">
            <w:pPr>
              <w:rPr>
                <w:sz w:val="20"/>
              </w:rPr>
            </w:pPr>
            <w:r w:rsidRPr="00F67DA7">
              <w:rPr>
                <w:sz w:val="20"/>
              </w:rPr>
              <w:t>50 Hz – 1 kHz</w:t>
            </w:r>
          </w:p>
        </w:tc>
        <w:tc>
          <w:tcPr>
            <w:tcW w:w="1677" w:type="dxa"/>
            <w:hideMark/>
          </w:tcPr>
          <w:p w14:paraId="7AF024EA" w14:textId="77777777" w:rsidR="00F67DA7" w:rsidRPr="00F67DA7" w:rsidRDefault="00F67DA7" w:rsidP="00F67DA7">
            <w:pPr>
              <w:rPr>
                <w:sz w:val="20"/>
              </w:rPr>
            </w:pPr>
            <w:r w:rsidRPr="00F67DA7">
              <w:rPr>
                <w:sz w:val="20"/>
              </w:rPr>
              <w:t>Inductive switching fields and transient spikes</w:t>
            </w:r>
          </w:p>
        </w:tc>
        <w:tc>
          <w:tcPr>
            <w:tcW w:w="1984" w:type="dxa"/>
            <w:hideMark/>
          </w:tcPr>
          <w:p w14:paraId="69C52D00" w14:textId="77777777" w:rsidR="00F67DA7" w:rsidRPr="00F67DA7" w:rsidRDefault="00F67DA7" w:rsidP="00F67DA7">
            <w:pPr>
              <w:rPr>
                <w:sz w:val="20"/>
              </w:rPr>
            </w:pPr>
            <w:r w:rsidRPr="00F67DA7">
              <w:rPr>
                <w:sz w:val="20"/>
              </w:rPr>
              <w:t>Public exposure limit ≈ 100 µT (magnetic field)</w:t>
            </w:r>
          </w:p>
        </w:tc>
        <w:tc>
          <w:tcPr>
            <w:tcW w:w="1560" w:type="dxa"/>
            <w:hideMark/>
          </w:tcPr>
          <w:p w14:paraId="4C5C4CEA" w14:textId="77777777" w:rsidR="00F67DA7" w:rsidRPr="00F67DA7" w:rsidRDefault="00F67DA7" w:rsidP="00F67DA7">
            <w:pPr>
              <w:rPr>
                <w:sz w:val="20"/>
              </w:rPr>
            </w:pPr>
            <w:r w:rsidRPr="00F67DA7">
              <w:rPr>
                <w:sz w:val="20"/>
              </w:rPr>
              <w:t>Sadhu et al. (2010); Mishra et al. (2024)</w:t>
            </w:r>
          </w:p>
        </w:tc>
      </w:tr>
    </w:tbl>
    <w:p w14:paraId="64E224A2" w14:textId="77777777" w:rsidR="00441B88" w:rsidRDefault="00441B88" w:rsidP="009E0A8E">
      <w:pPr>
        <w:spacing w:before="100" w:beforeAutospacing="1" w:after="100" w:afterAutospacing="1"/>
        <w:jc w:val="both"/>
      </w:pPr>
      <w:r w:rsidRPr="00441B88">
        <w:t>Though non-ionizing, chronic EMF exposure is associated with sleep disturbances, altered neurotransmitter function, and potential DNA damage.</w:t>
      </w:r>
    </w:p>
    <w:p w14:paraId="52A4385C" w14:textId="77777777" w:rsidR="00C14FC4" w:rsidRDefault="00C14FC4" w:rsidP="00C14FC4">
      <w:pPr>
        <w:pStyle w:val="Heading1"/>
        <w:rPr>
          <w:rStyle w:val="Strong"/>
          <w:b/>
          <w:bCs/>
        </w:rPr>
      </w:pPr>
      <w:r>
        <w:rPr>
          <w:rStyle w:val="Strong"/>
          <w:b/>
          <w:bCs/>
        </w:rPr>
        <w:t>4. Health Implications of Toxic and Radiative Emissions</w:t>
      </w:r>
    </w:p>
    <w:p w14:paraId="011315A4" w14:textId="7ADC7566" w:rsidR="000A7096" w:rsidRDefault="000A7096" w:rsidP="000A7096">
      <w:pPr>
        <w:jc w:val="both"/>
      </w:pPr>
      <w:r>
        <w:t>Open but</w:t>
      </w:r>
      <w:r w:rsidR="00831C13">
        <w:t>ane burners emit CO, NOx,</w:t>
      </w:r>
      <w:r>
        <w:t xml:space="preserve"> aldehydes, and particulate matter, causing acute respiratory and cardiovascular effects in poorly ventilated West African kitchen</w:t>
      </w:r>
      <w:r w:rsidR="00A94DF6">
        <w:t xml:space="preserve">s (Mortimer et al., 2012; </w:t>
      </w:r>
      <w:proofErr w:type="spellStart"/>
      <w:r w:rsidR="00A94DF6">
        <w:t>Abdul</w:t>
      </w:r>
      <w:r>
        <w:t>Raheem</w:t>
      </w:r>
      <w:proofErr w:type="spellEnd"/>
      <w:r>
        <w:t xml:space="preserve"> et al., 2022). Electric ovens release VOCs, aldehydes, particulates, and low-level electromagnetic radiation, whose cumulative exposure may induce oxidative stress and neurobehavioral effects, posing hidden risks in biomedical settings (Kim et al., 2011; </w:t>
      </w:r>
      <w:proofErr w:type="spellStart"/>
      <w:r>
        <w:t>Habash</w:t>
      </w:r>
      <w:proofErr w:type="spellEnd"/>
      <w:r>
        <w:t xml:space="preserve">, 2018; </w:t>
      </w:r>
      <w:proofErr w:type="spellStart"/>
      <w:r>
        <w:t>Razek</w:t>
      </w:r>
      <w:proofErr w:type="spellEnd"/>
      <w:r>
        <w:t>, 2023).</w:t>
      </w:r>
    </w:p>
    <w:p w14:paraId="7690CA5E" w14:textId="77777777" w:rsidR="00616433" w:rsidRDefault="00616433" w:rsidP="000A7096">
      <w:pPr>
        <w:jc w:val="both"/>
      </w:pPr>
    </w:p>
    <w:p w14:paraId="60B32F45" w14:textId="5C9286E6" w:rsidR="00616433" w:rsidRPr="00616433" w:rsidRDefault="00616433" w:rsidP="00616433">
      <w:pPr>
        <w:pStyle w:val="Caption"/>
        <w:rPr>
          <w:i w:val="0"/>
          <w:sz w:val="36"/>
          <w:szCs w:val="27"/>
        </w:rPr>
      </w:pPr>
      <w:r w:rsidRPr="00616433">
        <w:rPr>
          <w:i w:val="0"/>
          <w:sz w:val="24"/>
        </w:rPr>
        <w:t xml:space="preserve">Table </w:t>
      </w:r>
      <w:r w:rsidRPr="00616433">
        <w:rPr>
          <w:i w:val="0"/>
          <w:sz w:val="24"/>
        </w:rPr>
        <w:fldChar w:fldCharType="begin"/>
      </w:r>
      <w:r w:rsidRPr="00616433">
        <w:rPr>
          <w:i w:val="0"/>
          <w:sz w:val="24"/>
        </w:rPr>
        <w:instrText xml:space="preserve"> SEQ Table \* ARABIC </w:instrText>
      </w:r>
      <w:r w:rsidRPr="00616433">
        <w:rPr>
          <w:i w:val="0"/>
          <w:sz w:val="24"/>
        </w:rPr>
        <w:fldChar w:fldCharType="separate"/>
      </w:r>
      <w:r w:rsidRPr="00616433">
        <w:rPr>
          <w:i w:val="0"/>
          <w:noProof/>
          <w:sz w:val="24"/>
        </w:rPr>
        <w:t>5</w:t>
      </w:r>
      <w:r w:rsidRPr="00616433">
        <w:rPr>
          <w:i w:val="0"/>
          <w:sz w:val="24"/>
        </w:rPr>
        <w:fldChar w:fldCharType="end"/>
      </w:r>
      <w:r w:rsidRPr="00616433">
        <w:rPr>
          <w:i w:val="0"/>
          <w:sz w:val="24"/>
        </w:rPr>
        <w:t xml:space="preserve">: </w:t>
      </w:r>
      <w:r w:rsidRPr="00616433">
        <w:rPr>
          <w:rStyle w:val="Strong"/>
          <w:b w:val="0"/>
          <w:bCs w:val="0"/>
          <w:i w:val="0"/>
          <w:sz w:val="24"/>
        </w:rPr>
        <w:t>Reduction Efficiency of Mitigation Technologies and International Exposure Limits for Butane Gas Emissions</w:t>
      </w:r>
    </w:p>
    <w:tbl>
      <w:tblPr>
        <w:tblStyle w:val="TableGrid"/>
        <w:tblW w:w="11058" w:type="dxa"/>
        <w:tblInd w:w="-998" w:type="dxa"/>
        <w:tblLook w:val="04A0" w:firstRow="1" w:lastRow="0" w:firstColumn="1" w:lastColumn="0" w:noHBand="0" w:noVBand="1"/>
      </w:tblPr>
      <w:tblGrid>
        <w:gridCol w:w="1986"/>
        <w:gridCol w:w="2409"/>
        <w:gridCol w:w="2058"/>
        <w:gridCol w:w="1491"/>
        <w:gridCol w:w="3114"/>
      </w:tblGrid>
      <w:tr w:rsidR="00616433" w14:paraId="7FAD89DC" w14:textId="77777777" w:rsidTr="00616433">
        <w:tc>
          <w:tcPr>
            <w:tcW w:w="1986" w:type="dxa"/>
            <w:hideMark/>
          </w:tcPr>
          <w:p w14:paraId="55294973" w14:textId="77777777" w:rsidR="00616433" w:rsidRDefault="00616433">
            <w:pPr>
              <w:jc w:val="center"/>
              <w:rPr>
                <w:b/>
                <w:bCs/>
              </w:rPr>
            </w:pPr>
            <w:r>
              <w:rPr>
                <w:rStyle w:val="Strong"/>
              </w:rPr>
              <w:t>Pollutant</w:t>
            </w:r>
          </w:p>
        </w:tc>
        <w:tc>
          <w:tcPr>
            <w:tcW w:w="2409" w:type="dxa"/>
            <w:hideMark/>
          </w:tcPr>
          <w:p w14:paraId="2BF3A362" w14:textId="77777777" w:rsidR="00616433" w:rsidRDefault="00616433">
            <w:pPr>
              <w:jc w:val="center"/>
              <w:rPr>
                <w:b/>
                <w:bCs/>
              </w:rPr>
            </w:pPr>
            <w:r>
              <w:rPr>
                <w:rStyle w:val="Strong"/>
              </w:rPr>
              <w:t>Primary Source (Butane Gas Burner)</w:t>
            </w:r>
          </w:p>
        </w:tc>
        <w:tc>
          <w:tcPr>
            <w:tcW w:w="2058" w:type="dxa"/>
            <w:hideMark/>
          </w:tcPr>
          <w:p w14:paraId="3CCFC1F1" w14:textId="77777777" w:rsidR="00616433" w:rsidRDefault="00616433">
            <w:pPr>
              <w:jc w:val="center"/>
              <w:rPr>
                <w:b/>
                <w:bCs/>
              </w:rPr>
            </w:pPr>
            <w:r>
              <w:rPr>
                <w:rStyle w:val="Strong"/>
              </w:rPr>
              <w:t>Mitigation Technology</w:t>
            </w:r>
          </w:p>
        </w:tc>
        <w:tc>
          <w:tcPr>
            <w:tcW w:w="0" w:type="auto"/>
            <w:hideMark/>
          </w:tcPr>
          <w:p w14:paraId="094FFE24" w14:textId="77777777" w:rsidR="00616433" w:rsidRDefault="00616433">
            <w:pPr>
              <w:jc w:val="center"/>
              <w:rPr>
                <w:b/>
                <w:bCs/>
              </w:rPr>
            </w:pPr>
            <w:r>
              <w:rPr>
                <w:rStyle w:val="Strong"/>
              </w:rPr>
              <w:t>Typical Reduction Efficiency (%)</w:t>
            </w:r>
          </w:p>
        </w:tc>
        <w:tc>
          <w:tcPr>
            <w:tcW w:w="3114" w:type="dxa"/>
            <w:hideMark/>
          </w:tcPr>
          <w:p w14:paraId="5CD55869" w14:textId="77777777" w:rsidR="00616433" w:rsidRDefault="00616433">
            <w:pPr>
              <w:jc w:val="center"/>
              <w:rPr>
                <w:b/>
                <w:bCs/>
              </w:rPr>
            </w:pPr>
            <w:r>
              <w:rPr>
                <w:rStyle w:val="Strong"/>
              </w:rPr>
              <w:t>International Exposure Limit (WHO / ICNIRP / OSHA)</w:t>
            </w:r>
          </w:p>
        </w:tc>
      </w:tr>
      <w:tr w:rsidR="00616433" w14:paraId="503A34BA" w14:textId="77777777" w:rsidTr="00616433">
        <w:tc>
          <w:tcPr>
            <w:tcW w:w="1986" w:type="dxa"/>
            <w:hideMark/>
          </w:tcPr>
          <w:p w14:paraId="3F8EB555" w14:textId="77777777" w:rsidR="00616433" w:rsidRPr="00616433" w:rsidRDefault="00616433">
            <w:pPr>
              <w:rPr>
                <w:b/>
              </w:rPr>
            </w:pPr>
            <w:r w:rsidRPr="00616433">
              <w:rPr>
                <w:rStyle w:val="Strong"/>
                <w:b w:val="0"/>
              </w:rPr>
              <w:t>Carbon Monoxide (CO)</w:t>
            </w:r>
          </w:p>
        </w:tc>
        <w:tc>
          <w:tcPr>
            <w:tcW w:w="2409" w:type="dxa"/>
            <w:hideMark/>
          </w:tcPr>
          <w:p w14:paraId="60CF53D2" w14:textId="77777777" w:rsidR="00616433" w:rsidRDefault="00616433">
            <w:r>
              <w:t>Incomplete combustion of butane</w:t>
            </w:r>
          </w:p>
        </w:tc>
        <w:tc>
          <w:tcPr>
            <w:tcW w:w="2058" w:type="dxa"/>
            <w:hideMark/>
          </w:tcPr>
          <w:p w14:paraId="0CCF863E" w14:textId="77777777" w:rsidR="00616433" w:rsidRDefault="00616433">
            <w:r>
              <w:t>Catalytic converter + ventilation hood</w:t>
            </w:r>
          </w:p>
        </w:tc>
        <w:tc>
          <w:tcPr>
            <w:tcW w:w="0" w:type="auto"/>
            <w:hideMark/>
          </w:tcPr>
          <w:p w14:paraId="105DC208" w14:textId="77777777" w:rsidR="00616433" w:rsidRDefault="00616433">
            <w:r>
              <w:t>80–95%</w:t>
            </w:r>
          </w:p>
        </w:tc>
        <w:tc>
          <w:tcPr>
            <w:tcW w:w="3114" w:type="dxa"/>
            <w:hideMark/>
          </w:tcPr>
          <w:p w14:paraId="77E967A6" w14:textId="77777777" w:rsidR="00616433" w:rsidRDefault="00616433">
            <w:r>
              <w:t>9 ppm (8-h average, WHO); 25 ppm (1-h)</w:t>
            </w:r>
          </w:p>
        </w:tc>
      </w:tr>
      <w:tr w:rsidR="00616433" w14:paraId="512A1BE4" w14:textId="77777777" w:rsidTr="00616433">
        <w:tc>
          <w:tcPr>
            <w:tcW w:w="1986" w:type="dxa"/>
            <w:hideMark/>
          </w:tcPr>
          <w:p w14:paraId="6405B349" w14:textId="77777777" w:rsidR="00616433" w:rsidRPr="00616433" w:rsidRDefault="00616433">
            <w:pPr>
              <w:rPr>
                <w:b/>
              </w:rPr>
            </w:pPr>
            <w:r w:rsidRPr="00616433">
              <w:rPr>
                <w:rStyle w:val="Strong"/>
                <w:b w:val="0"/>
              </w:rPr>
              <w:t>Nitrogen Oxides (NOx)</w:t>
            </w:r>
          </w:p>
        </w:tc>
        <w:tc>
          <w:tcPr>
            <w:tcW w:w="2409" w:type="dxa"/>
            <w:hideMark/>
          </w:tcPr>
          <w:p w14:paraId="49BBF10E" w14:textId="77777777" w:rsidR="00616433" w:rsidRDefault="00616433">
            <w:r>
              <w:t>High-temperature flame oxidation</w:t>
            </w:r>
          </w:p>
        </w:tc>
        <w:tc>
          <w:tcPr>
            <w:tcW w:w="2058" w:type="dxa"/>
            <w:hideMark/>
          </w:tcPr>
          <w:p w14:paraId="4A1B7163" w14:textId="77777777" w:rsidR="00616433" w:rsidRDefault="00616433">
            <w:r>
              <w:t>Improved burner design + catalytic oxidation</w:t>
            </w:r>
          </w:p>
        </w:tc>
        <w:tc>
          <w:tcPr>
            <w:tcW w:w="0" w:type="auto"/>
            <w:hideMark/>
          </w:tcPr>
          <w:p w14:paraId="19D9D1DD" w14:textId="77777777" w:rsidR="00616433" w:rsidRDefault="00616433">
            <w:r>
              <w:t>60–85%</w:t>
            </w:r>
          </w:p>
        </w:tc>
        <w:tc>
          <w:tcPr>
            <w:tcW w:w="3114" w:type="dxa"/>
            <w:hideMark/>
          </w:tcPr>
          <w:p w14:paraId="5454B82B" w14:textId="77777777" w:rsidR="00616433" w:rsidRDefault="00616433">
            <w:r>
              <w:t>200 µg/m³ (1-h NO₂, WHO)</w:t>
            </w:r>
          </w:p>
        </w:tc>
      </w:tr>
      <w:tr w:rsidR="00616433" w14:paraId="2924F936" w14:textId="77777777" w:rsidTr="00616433">
        <w:tc>
          <w:tcPr>
            <w:tcW w:w="1986" w:type="dxa"/>
            <w:hideMark/>
          </w:tcPr>
          <w:p w14:paraId="577CE49A" w14:textId="77777777" w:rsidR="00616433" w:rsidRPr="00616433" w:rsidRDefault="00616433">
            <w:pPr>
              <w:rPr>
                <w:b/>
              </w:rPr>
            </w:pPr>
            <w:r w:rsidRPr="00616433">
              <w:rPr>
                <w:rStyle w:val="Strong"/>
                <w:b w:val="0"/>
              </w:rPr>
              <w:t>Volatile Organic Compounds (VOCs)</w:t>
            </w:r>
          </w:p>
        </w:tc>
        <w:tc>
          <w:tcPr>
            <w:tcW w:w="2409" w:type="dxa"/>
            <w:hideMark/>
          </w:tcPr>
          <w:p w14:paraId="6D5ABB90" w14:textId="77777777" w:rsidR="00616433" w:rsidRDefault="00616433">
            <w:r>
              <w:t>Unburned hydrocarbons, fuel impurities</w:t>
            </w:r>
          </w:p>
        </w:tc>
        <w:tc>
          <w:tcPr>
            <w:tcW w:w="2058" w:type="dxa"/>
            <w:hideMark/>
          </w:tcPr>
          <w:p w14:paraId="4CDA786D" w14:textId="77777777" w:rsidR="00616433" w:rsidRDefault="00616433">
            <w:r>
              <w:t>Activated carbon filtration</w:t>
            </w:r>
          </w:p>
        </w:tc>
        <w:tc>
          <w:tcPr>
            <w:tcW w:w="0" w:type="auto"/>
            <w:hideMark/>
          </w:tcPr>
          <w:p w14:paraId="744AC3D6" w14:textId="77777777" w:rsidR="00616433" w:rsidRDefault="00616433">
            <w:r>
              <w:t>60–80%</w:t>
            </w:r>
          </w:p>
        </w:tc>
        <w:tc>
          <w:tcPr>
            <w:tcW w:w="3114" w:type="dxa"/>
            <w:hideMark/>
          </w:tcPr>
          <w:p w14:paraId="7347EB90" w14:textId="77777777" w:rsidR="00616433" w:rsidRDefault="00616433">
            <w:r>
              <w:t>Benzene: no safe level (WHO guideline)</w:t>
            </w:r>
          </w:p>
        </w:tc>
      </w:tr>
      <w:tr w:rsidR="00616433" w14:paraId="2AB3C8AC" w14:textId="77777777" w:rsidTr="00616433">
        <w:tc>
          <w:tcPr>
            <w:tcW w:w="1986" w:type="dxa"/>
            <w:hideMark/>
          </w:tcPr>
          <w:p w14:paraId="0A7956E0" w14:textId="77777777" w:rsidR="00616433" w:rsidRPr="00616433" w:rsidRDefault="00616433">
            <w:pPr>
              <w:rPr>
                <w:b/>
              </w:rPr>
            </w:pPr>
            <w:r w:rsidRPr="00616433">
              <w:rPr>
                <w:rStyle w:val="Strong"/>
                <w:b w:val="0"/>
              </w:rPr>
              <w:t>Aldehydes (Formaldehyde, Acrolein)</w:t>
            </w:r>
          </w:p>
        </w:tc>
        <w:tc>
          <w:tcPr>
            <w:tcW w:w="2409" w:type="dxa"/>
            <w:hideMark/>
          </w:tcPr>
          <w:p w14:paraId="6C068313" w14:textId="77777777" w:rsidR="00616433" w:rsidRDefault="00616433">
            <w:r>
              <w:t>Flame–food interaction, fuel degradation</w:t>
            </w:r>
          </w:p>
        </w:tc>
        <w:tc>
          <w:tcPr>
            <w:tcW w:w="2058" w:type="dxa"/>
            <w:hideMark/>
          </w:tcPr>
          <w:p w14:paraId="50DF567A" w14:textId="77777777" w:rsidR="00616433" w:rsidRDefault="00616433">
            <w:r>
              <w:t>Activated carbon + catalytic oxidation</w:t>
            </w:r>
          </w:p>
        </w:tc>
        <w:tc>
          <w:tcPr>
            <w:tcW w:w="0" w:type="auto"/>
            <w:hideMark/>
          </w:tcPr>
          <w:p w14:paraId="230579C9" w14:textId="77777777" w:rsidR="00616433" w:rsidRDefault="00616433">
            <w:r>
              <w:t>70–90%</w:t>
            </w:r>
          </w:p>
        </w:tc>
        <w:tc>
          <w:tcPr>
            <w:tcW w:w="3114" w:type="dxa"/>
            <w:hideMark/>
          </w:tcPr>
          <w:p w14:paraId="241DEA57" w14:textId="77777777" w:rsidR="00616433" w:rsidRDefault="00616433">
            <w:r>
              <w:t>Formaldehyde: 0.1 mg/m³ (30-min, WHO)</w:t>
            </w:r>
          </w:p>
        </w:tc>
      </w:tr>
      <w:tr w:rsidR="00616433" w14:paraId="6EEAD510" w14:textId="77777777" w:rsidTr="00616433">
        <w:tc>
          <w:tcPr>
            <w:tcW w:w="1986" w:type="dxa"/>
            <w:hideMark/>
          </w:tcPr>
          <w:p w14:paraId="4E2649BF" w14:textId="77777777" w:rsidR="00616433" w:rsidRPr="00616433" w:rsidRDefault="00616433">
            <w:pPr>
              <w:rPr>
                <w:b/>
              </w:rPr>
            </w:pPr>
            <w:r w:rsidRPr="00616433">
              <w:rPr>
                <w:rStyle w:val="Strong"/>
                <w:b w:val="0"/>
              </w:rPr>
              <w:t>Particulate Matter (PM</w:t>
            </w:r>
            <w:proofErr w:type="gramStart"/>
            <w:r w:rsidRPr="00616433">
              <w:rPr>
                <w:rStyle w:val="Strong"/>
                <w:b w:val="0"/>
              </w:rPr>
              <w:t>₂.₅</w:t>
            </w:r>
            <w:proofErr w:type="gramEnd"/>
            <w:r w:rsidRPr="00616433">
              <w:rPr>
                <w:rStyle w:val="Strong"/>
                <w:b w:val="0"/>
              </w:rPr>
              <w:t>)</w:t>
            </w:r>
          </w:p>
        </w:tc>
        <w:tc>
          <w:tcPr>
            <w:tcW w:w="2409" w:type="dxa"/>
            <w:hideMark/>
          </w:tcPr>
          <w:p w14:paraId="2DE8075E" w14:textId="77777777" w:rsidR="00616433" w:rsidRDefault="00616433">
            <w:r>
              <w:t>Soot and charred food residues</w:t>
            </w:r>
          </w:p>
        </w:tc>
        <w:tc>
          <w:tcPr>
            <w:tcW w:w="2058" w:type="dxa"/>
            <w:hideMark/>
          </w:tcPr>
          <w:p w14:paraId="396F78F7" w14:textId="77777777" w:rsidR="00616433" w:rsidRDefault="00616433">
            <w:r>
              <w:t>Mechanical ventilation + grease filters</w:t>
            </w:r>
          </w:p>
        </w:tc>
        <w:tc>
          <w:tcPr>
            <w:tcW w:w="0" w:type="auto"/>
            <w:hideMark/>
          </w:tcPr>
          <w:p w14:paraId="04807114" w14:textId="77777777" w:rsidR="00616433" w:rsidRDefault="00616433">
            <w:r>
              <w:t>50–75%</w:t>
            </w:r>
          </w:p>
        </w:tc>
        <w:tc>
          <w:tcPr>
            <w:tcW w:w="3114" w:type="dxa"/>
            <w:hideMark/>
          </w:tcPr>
          <w:p w14:paraId="4E7EBB78" w14:textId="77777777" w:rsidR="00616433" w:rsidRDefault="00616433">
            <w:r>
              <w:t>15 µg/m³ (24-h mean, WHO)</w:t>
            </w:r>
          </w:p>
        </w:tc>
      </w:tr>
      <w:tr w:rsidR="00616433" w14:paraId="7E04095F" w14:textId="77777777" w:rsidTr="00616433">
        <w:tc>
          <w:tcPr>
            <w:tcW w:w="1986" w:type="dxa"/>
            <w:hideMark/>
          </w:tcPr>
          <w:p w14:paraId="41FCCB49" w14:textId="77777777" w:rsidR="00616433" w:rsidRPr="00616433" w:rsidRDefault="00616433">
            <w:pPr>
              <w:rPr>
                <w:b/>
              </w:rPr>
            </w:pPr>
            <w:r w:rsidRPr="00616433">
              <w:rPr>
                <w:rStyle w:val="Strong"/>
                <w:b w:val="0"/>
              </w:rPr>
              <w:t>Unburned Hydrocarbons</w:t>
            </w:r>
          </w:p>
        </w:tc>
        <w:tc>
          <w:tcPr>
            <w:tcW w:w="2409" w:type="dxa"/>
            <w:hideMark/>
          </w:tcPr>
          <w:p w14:paraId="1A0F8EC2" w14:textId="77777777" w:rsidR="00616433" w:rsidRDefault="00616433">
            <w:r>
              <w:t>Faulty burners, poor mixing</w:t>
            </w:r>
          </w:p>
        </w:tc>
        <w:tc>
          <w:tcPr>
            <w:tcW w:w="2058" w:type="dxa"/>
            <w:hideMark/>
          </w:tcPr>
          <w:p w14:paraId="61E456C8" w14:textId="77777777" w:rsidR="00616433" w:rsidRDefault="00616433">
            <w:r>
              <w:t>Proper fuel–air ratio + catalytic burner</w:t>
            </w:r>
          </w:p>
        </w:tc>
        <w:tc>
          <w:tcPr>
            <w:tcW w:w="0" w:type="auto"/>
            <w:hideMark/>
          </w:tcPr>
          <w:p w14:paraId="0FE21A3D" w14:textId="77777777" w:rsidR="00616433" w:rsidRDefault="00616433">
            <w:r>
              <w:t>65–90%</w:t>
            </w:r>
          </w:p>
        </w:tc>
        <w:tc>
          <w:tcPr>
            <w:tcW w:w="3114" w:type="dxa"/>
            <w:hideMark/>
          </w:tcPr>
          <w:p w14:paraId="701558FE" w14:textId="77777777" w:rsidR="00616433" w:rsidRDefault="00616433">
            <w:r>
              <w:t>Regulated as total VOCs (varies by compound)</w:t>
            </w:r>
          </w:p>
        </w:tc>
      </w:tr>
    </w:tbl>
    <w:p w14:paraId="36BE7D9F" w14:textId="77777777" w:rsidR="00616433" w:rsidRDefault="00616433" w:rsidP="000A7096">
      <w:pPr>
        <w:jc w:val="both"/>
      </w:pPr>
    </w:p>
    <w:p w14:paraId="5431DD7D" w14:textId="77777777" w:rsidR="00C14FC4" w:rsidRDefault="00C14FC4" w:rsidP="00C14FC4">
      <w:pPr>
        <w:pStyle w:val="Heading1"/>
      </w:pPr>
      <w:r>
        <w:rPr>
          <w:rStyle w:val="Strong"/>
          <w:b/>
          <w:bCs/>
        </w:rPr>
        <w:t>4.1 Vulnerable Populations</w:t>
      </w:r>
    </w:p>
    <w:p w14:paraId="180AE4FF" w14:textId="77777777" w:rsidR="00C14FC4" w:rsidRDefault="00C14FC4" w:rsidP="00C14FC4">
      <w:pPr>
        <w:pStyle w:val="NormalWeb"/>
        <w:jc w:val="both"/>
      </w:pPr>
      <w:r>
        <w:t>Certain groups are particularly susceptible to the adverse effects of cooking emissions:</w:t>
      </w:r>
    </w:p>
    <w:p w14:paraId="74FFCEBE" w14:textId="77777777" w:rsidR="00C14FC4" w:rsidRDefault="00C14FC4" w:rsidP="00C14FC4">
      <w:pPr>
        <w:pStyle w:val="NormalWeb"/>
        <w:numPr>
          <w:ilvl w:val="0"/>
          <w:numId w:val="12"/>
        </w:numPr>
        <w:jc w:val="both"/>
      </w:pPr>
      <w:r w:rsidRPr="00550B13">
        <w:rPr>
          <w:rStyle w:val="Strong"/>
          <w:color w:val="833C0B" w:themeColor="accent2" w:themeShade="80"/>
        </w:rPr>
        <w:t>Children and infants:</w:t>
      </w:r>
      <w:r w:rsidRPr="00550B13">
        <w:rPr>
          <w:color w:val="833C0B" w:themeColor="accent2" w:themeShade="80"/>
        </w:rPr>
        <w:t xml:space="preserve"> </w:t>
      </w:r>
      <w:r>
        <w:t>Developing lungs and nervous systems are highly sensitive to VOCs, CO, NOx, and particulate matter.</w:t>
      </w:r>
    </w:p>
    <w:p w14:paraId="14AB5380" w14:textId="77777777" w:rsidR="00C14FC4" w:rsidRDefault="00C14FC4" w:rsidP="00C14FC4">
      <w:pPr>
        <w:pStyle w:val="NormalWeb"/>
        <w:numPr>
          <w:ilvl w:val="0"/>
          <w:numId w:val="12"/>
        </w:numPr>
        <w:jc w:val="both"/>
      </w:pPr>
      <w:r w:rsidRPr="00550B13">
        <w:rPr>
          <w:rStyle w:val="Strong"/>
          <w:color w:val="833C0B" w:themeColor="accent2" w:themeShade="80"/>
        </w:rPr>
        <w:lastRenderedPageBreak/>
        <w:t>Elderly individuals</w:t>
      </w:r>
      <w:r>
        <w:rPr>
          <w:rStyle w:val="Strong"/>
        </w:rPr>
        <w:t>:</w:t>
      </w:r>
      <w:r>
        <w:t xml:space="preserve"> Reduced respiratory and cardiovascular resilience makes them more vulnerable to both chemical and radiative exposures.</w:t>
      </w:r>
    </w:p>
    <w:p w14:paraId="0BAF0E60" w14:textId="77777777" w:rsidR="00C14FC4" w:rsidRDefault="00C14FC4" w:rsidP="00C14FC4">
      <w:pPr>
        <w:pStyle w:val="NormalWeb"/>
        <w:numPr>
          <w:ilvl w:val="0"/>
          <w:numId w:val="12"/>
        </w:numPr>
        <w:jc w:val="both"/>
      </w:pPr>
      <w:r w:rsidRPr="00550B13">
        <w:rPr>
          <w:rStyle w:val="Strong"/>
          <w:color w:val="833C0B" w:themeColor="accent2" w:themeShade="80"/>
        </w:rPr>
        <w:t>Patients in hospitals or laboratories:</w:t>
      </w:r>
      <w:r w:rsidRPr="00550B13">
        <w:rPr>
          <w:color w:val="833C0B" w:themeColor="accent2" w:themeShade="80"/>
        </w:rPr>
        <w:t xml:space="preserve"> </w:t>
      </w:r>
      <w:r>
        <w:t>Immunocompromised individuals and those undergoing respiratory or neurological treatments can be affected by even low-level emissions.</w:t>
      </w:r>
    </w:p>
    <w:p w14:paraId="55C7272E" w14:textId="77777777" w:rsidR="00C14FC4" w:rsidRDefault="00C14FC4" w:rsidP="00C14FC4">
      <w:pPr>
        <w:pStyle w:val="NormalWeb"/>
        <w:numPr>
          <w:ilvl w:val="0"/>
          <w:numId w:val="12"/>
        </w:numPr>
        <w:jc w:val="both"/>
      </w:pPr>
      <w:r w:rsidRPr="00550B13">
        <w:rPr>
          <w:rStyle w:val="Strong"/>
          <w:color w:val="833C0B" w:themeColor="accent2" w:themeShade="80"/>
        </w:rPr>
        <w:t>Culinary and laboratory staff:</w:t>
      </w:r>
      <w:r w:rsidRPr="00550B13">
        <w:rPr>
          <w:color w:val="833C0B" w:themeColor="accent2" w:themeShade="80"/>
        </w:rPr>
        <w:t xml:space="preserve"> </w:t>
      </w:r>
      <w:r>
        <w:t>Continuous exposure to cooking fumes or low-level EMFs increases long-term health risks.</w:t>
      </w:r>
    </w:p>
    <w:p w14:paraId="5436F34A" w14:textId="77777777" w:rsidR="000A7096" w:rsidRDefault="000A7096" w:rsidP="000A7096">
      <w:pPr>
        <w:pStyle w:val="NormalWeb"/>
        <w:ind w:left="142"/>
        <w:jc w:val="both"/>
      </w:pPr>
      <w:r w:rsidRPr="000A7096">
        <w:rPr>
          <w:rStyle w:val="Strong"/>
          <w:b w:val="0"/>
        </w:rPr>
        <w:t>Table 4</w:t>
      </w:r>
      <w:r>
        <w:t xml:space="preserve"> indicates that open butane burners emit acute pollutants such as carbon monoxide, nitrogen oxides, volatile organic compounds, and particulate matter that are associated with immediate respiratory </w:t>
      </w:r>
      <w:r w:rsidR="00C31676">
        <w:t>and cardiovascular risks (</w:t>
      </w:r>
      <w:proofErr w:type="spellStart"/>
      <w:r w:rsidR="00C31676">
        <w:t>Abdul</w:t>
      </w:r>
      <w:r>
        <w:t>Raheem</w:t>
      </w:r>
      <w:proofErr w:type="spellEnd"/>
      <w:r>
        <w:t xml:space="preserve"> et al., 2022; Mortimer et al., 2012). Electric ovens release persistent volatile organic compounds, aldehydes, particulate matter, and </w:t>
      </w:r>
      <w:proofErr w:type="gramStart"/>
      <w:r>
        <w:t>low level</w:t>
      </w:r>
      <w:proofErr w:type="gramEnd"/>
      <w:r>
        <w:t xml:space="preserve"> electromagnetic fields from electrical components, posing chronic exposure risks and supporting the need for biomedical grade filtration and radiation shielding (Kim et al., 2011; Kabir &amp; Kim, 2011; </w:t>
      </w:r>
      <w:proofErr w:type="spellStart"/>
      <w:r>
        <w:t>Habash</w:t>
      </w:r>
      <w:proofErr w:type="spellEnd"/>
      <w:r>
        <w:t>, 2018).</w:t>
      </w:r>
    </w:p>
    <w:p w14:paraId="5B204715" w14:textId="1FDBCF93" w:rsidR="00C14FC4" w:rsidRPr="00C14FC4" w:rsidRDefault="00C14FC4" w:rsidP="00C14FC4">
      <w:pPr>
        <w:rPr>
          <w:color w:val="44546A" w:themeColor="text2"/>
        </w:rPr>
      </w:pPr>
      <w:r w:rsidRPr="00C14FC4">
        <w:rPr>
          <w:color w:val="44546A" w:themeColor="text2"/>
        </w:rPr>
        <w:t xml:space="preserve">Table </w:t>
      </w:r>
      <w:r w:rsidRPr="00C14FC4">
        <w:rPr>
          <w:color w:val="44546A" w:themeColor="text2"/>
        </w:rPr>
        <w:fldChar w:fldCharType="begin"/>
      </w:r>
      <w:r w:rsidRPr="00C14FC4">
        <w:rPr>
          <w:color w:val="44546A" w:themeColor="text2"/>
        </w:rPr>
        <w:instrText xml:space="preserve"> SEQ Table \* ARABIC </w:instrText>
      </w:r>
      <w:r w:rsidRPr="00C14FC4">
        <w:rPr>
          <w:color w:val="44546A" w:themeColor="text2"/>
        </w:rPr>
        <w:fldChar w:fldCharType="separate"/>
      </w:r>
      <w:r w:rsidR="00616433">
        <w:rPr>
          <w:noProof/>
          <w:color w:val="44546A" w:themeColor="text2"/>
        </w:rPr>
        <w:t>6</w:t>
      </w:r>
      <w:r w:rsidRPr="00C14FC4">
        <w:rPr>
          <w:color w:val="44546A" w:themeColor="text2"/>
        </w:rPr>
        <w:fldChar w:fldCharType="end"/>
      </w:r>
      <w:r w:rsidRPr="00C14FC4">
        <w:rPr>
          <w:color w:val="44546A" w:themeColor="text2"/>
        </w:rPr>
        <w:t>: Health implications of toxic and radiative emissions from both open butane burners and electric ovens</w:t>
      </w:r>
    </w:p>
    <w:tbl>
      <w:tblPr>
        <w:tblStyle w:val="TableGrid"/>
        <w:tblW w:w="10916" w:type="dxa"/>
        <w:tblInd w:w="-998" w:type="dxa"/>
        <w:tblLook w:val="04A0" w:firstRow="1" w:lastRow="0" w:firstColumn="1" w:lastColumn="0" w:noHBand="0" w:noVBand="1"/>
      </w:tblPr>
      <w:tblGrid>
        <w:gridCol w:w="1868"/>
        <w:gridCol w:w="1552"/>
        <w:gridCol w:w="1838"/>
        <w:gridCol w:w="1968"/>
        <w:gridCol w:w="1972"/>
        <w:gridCol w:w="1718"/>
      </w:tblGrid>
      <w:tr w:rsidR="00C14B31" w:rsidRPr="00C14B31" w14:paraId="5713569E" w14:textId="77777777" w:rsidTr="00C14B31">
        <w:tc>
          <w:tcPr>
            <w:tcW w:w="1993" w:type="dxa"/>
            <w:hideMark/>
          </w:tcPr>
          <w:p w14:paraId="0053CB5F" w14:textId="77777777" w:rsidR="00C14B31" w:rsidRPr="00C14B31" w:rsidRDefault="00C14B31" w:rsidP="00C14B31">
            <w:pPr>
              <w:jc w:val="center"/>
              <w:rPr>
                <w:b/>
                <w:bCs/>
                <w:sz w:val="20"/>
              </w:rPr>
            </w:pPr>
            <w:r w:rsidRPr="00C14B31">
              <w:rPr>
                <w:b/>
                <w:bCs/>
                <w:sz w:val="20"/>
              </w:rPr>
              <w:t>Emission Type</w:t>
            </w:r>
          </w:p>
        </w:tc>
        <w:tc>
          <w:tcPr>
            <w:tcW w:w="1692" w:type="dxa"/>
            <w:hideMark/>
          </w:tcPr>
          <w:p w14:paraId="29ADADB7" w14:textId="77777777" w:rsidR="00C14B31" w:rsidRPr="00C14B31" w:rsidRDefault="00C14B31" w:rsidP="00C14B31">
            <w:pPr>
              <w:jc w:val="center"/>
              <w:rPr>
                <w:b/>
                <w:bCs/>
                <w:sz w:val="20"/>
              </w:rPr>
            </w:pPr>
            <w:r w:rsidRPr="00C14B31">
              <w:rPr>
                <w:b/>
                <w:bCs/>
                <w:sz w:val="20"/>
              </w:rPr>
              <w:t>Source (Open Butane Burners)</w:t>
            </w:r>
          </w:p>
        </w:tc>
        <w:tc>
          <w:tcPr>
            <w:tcW w:w="1838" w:type="dxa"/>
            <w:hideMark/>
          </w:tcPr>
          <w:p w14:paraId="06EE13C9" w14:textId="77777777" w:rsidR="00C14B31" w:rsidRPr="00C14B31" w:rsidRDefault="00C14B31" w:rsidP="00C14B31">
            <w:pPr>
              <w:jc w:val="center"/>
              <w:rPr>
                <w:b/>
                <w:bCs/>
                <w:sz w:val="20"/>
              </w:rPr>
            </w:pPr>
            <w:r w:rsidRPr="00C14B31">
              <w:rPr>
                <w:b/>
                <w:bCs/>
                <w:sz w:val="20"/>
              </w:rPr>
              <w:t>Source (Electric Ovens)</w:t>
            </w:r>
          </w:p>
        </w:tc>
        <w:tc>
          <w:tcPr>
            <w:tcW w:w="2133" w:type="dxa"/>
            <w:hideMark/>
          </w:tcPr>
          <w:p w14:paraId="7679C0C3" w14:textId="77777777" w:rsidR="00C14B31" w:rsidRPr="00C14B31" w:rsidRDefault="00C14B31" w:rsidP="00C14B31">
            <w:pPr>
              <w:jc w:val="center"/>
              <w:rPr>
                <w:b/>
                <w:bCs/>
                <w:sz w:val="20"/>
              </w:rPr>
            </w:pPr>
            <w:r w:rsidRPr="00C14B31">
              <w:rPr>
                <w:b/>
                <w:bCs/>
                <w:sz w:val="20"/>
              </w:rPr>
              <w:t>Health Effects</w:t>
            </w:r>
          </w:p>
        </w:tc>
        <w:tc>
          <w:tcPr>
            <w:tcW w:w="1355" w:type="dxa"/>
            <w:hideMark/>
          </w:tcPr>
          <w:p w14:paraId="37E4E244" w14:textId="77777777" w:rsidR="00C14B31" w:rsidRPr="00C14B31" w:rsidRDefault="00C14B31" w:rsidP="00C14B31">
            <w:pPr>
              <w:jc w:val="center"/>
              <w:rPr>
                <w:b/>
                <w:bCs/>
                <w:sz w:val="20"/>
              </w:rPr>
            </w:pPr>
            <w:r w:rsidRPr="00C14B31">
              <w:rPr>
                <w:b/>
                <w:bCs/>
                <w:sz w:val="20"/>
              </w:rPr>
              <w:t>Vulnerable Populations</w:t>
            </w:r>
          </w:p>
        </w:tc>
        <w:tc>
          <w:tcPr>
            <w:tcW w:w="1905" w:type="dxa"/>
            <w:hideMark/>
          </w:tcPr>
          <w:p w14:paraId="62C9140E" w14:textId="77777777" w:rsidR="00C14B31" w:rsidRPr="00C14B31" w:rsidRDefault="00C14B31" w:rsidP="00C14B31">
            <w:pPr>
              <w:jc w:val="center"/>
              <w:rPr>
                <w:b/>
                <w:bCs/>
                <w:sz w:val="20"/>
              </w:rPr>
            </w:pPr>
            <w:r w:rsidRPr="00C14B31">
              <w:rPr>
                <w:b/>
                <w:bCs/>
                <w:sz w:val="20"/>
              </w:rPr>
              <w:t>Key References</w:t>
            </w:r>
          </w:p>
        </w:tc>
      </w:tr>
      <w:tr w:rsidR="00C14B31" w:rsidRPr="00C14B31" w14:paraId="5EE06C30" w14:textId="77777777" w:rsidTr="00C14B31">
        <w:tc>
          <w:tcPr>
            <w:tcW w:w="1993" w:type="dxa"/>
            <w:hideMark/>
          </w:tcPr>
          <w:p w14:paraId="1BEEDD11" w14:textId="77777777" w:rsidR="00C14B31" w:rsidRPr="00C14B31" w:rsidRDefault="00C14B31" w:rsidP="00C14B31">
            <w:pPr>
              <w:rPr>
                <w:sz w:val="20"/>
              </w:rPr>
            </w:pPr>
            <w:r w:rsidRPr="00C14B31">
              <w:rPr>
                <w:sz w:val="20"/>
              </w:rPr>
              <w:t>Volatile Organic Compounds (VOCs)</w:t>
            </w:r>
          </w:p>
        </w:tc>
        <w:tc>
          <w:tcPr>
            <w:tcW w:w="1692" w:type="dxa"/>
            <w:hideMark/>
          </w:tcPr>
          <w:p w14:paraId="35A39DB5" w14:textId="77777777" w:rsidR="00C14B31" w:rsidRPr="00C14B31" w:rsidRDefault="00C14B31" w:rsidP="00C14B31">
            <w:pPr>
              <w:rPr>
                <w:sz w:val="20"/>
              </w:rPr>
            </w:pPr>
            <w:r w:rsidRPr="00C14B31">
              <w:rPr>
                <w:sz w:val="20"/>
              </w:rPr>
              <w:t>Incomplete combustion of butane fuel</w:t>
            </w:r>
          </w:p>
        </w:tc>
        <w:tc>
          <w:tcPr>
            <w:tcW w:w="1838" w:type="dxa"/>
            <w:hideMark/>
          </w:tcPr>
          <w:p w14:paraId="60E5FBFF" w14:textId="77777777" w:rsidR="00C14B31" w:rsidRPr="00C14B31" w:rsidRDefault="00C14B31" w:rsidP="00C14B31">
            <w:pPr>
              <w:rPr>
                <w:sz w:val="20"/>
              </w:rPr>
            </w:pPr>
            <w:r w:rsidRPr="00C14B31">
              <w:rPr>
                <w:sz w:val="20"/>
              </w:rPr>
              <w:t>Thermal degradation of insulation, adhesives, lubricants, food residues</w:t>
            </w:r>
          </w:p>
        </w:tc>
        <w:tc>
          <w:tcPr>
            <w:tcW w:w="2133" w:type="dxa"/>
            <w:hideMark/>
          </w:tcPr>
          <w:p w14:paraId="72015E45" w14:textId="77777777" w:rsidR="00C14B31" w:rsidRPr="00C14B31" w:rsidRDefault="00C14B31" w:rsidP="00C14B31">
            <w:pPr>
              <w:rPr>
                <w:sz w:val="20"/>
              </w:rPr>
            </w:pPr>
            <w:r w:rsidRPr="00C14B31">
              <w:rPr>
                <w:sz w:val="20"/>
              </w:rPr>
              <w:t>Eye, nose, throat irritation; headaches; respiratory diseases; carcinogenic potential</w:t>
            </w:r>
          </w:p>
        </w:tc>
        <w:tc>
          <w:tcPr>
            <w:tcW w:w="1355" w:type="dxa"/>
            <w:hideMark/>
          </w:tcPr>
          <w:p w14:paraId="398A67D7" w14:textId="77777777" w:rsidR="00C14B31" w:rsidRPr="00C14B31" w:rsidRDefault="00C14B31" w:rsidP="00C14B31">
            <w:pPr>
              <w:rPr>
                <w:sz w:val="20"/>
              </w:rPr>
            </w:pPr>
            <w:r w:rsidRPr="00C14B31">
              <w:rPr>
                <w:sz w:val="20"/>
              </w:rPr>
              <w:t>Children, elderly, patients, laboratory staff</w:t>
            </w:r>
          </w:p>
        </w:tc>
        <w:tc>
          <w:tcPr>
            <w:tcW w:w="1905" w:type="dxa"/>
            <w:hideMark/>
          </w:tcPr>
          <w:p w14:paraId="0DBE76CE" w14:textId="77777777" w:rsidR="00C14B31" w:rsidRPr="00C14B31" w:rsidRDefault="00C14B31" w:rsidP="00C14B31">
            <w:pPr>
              <w:rPr>
                <w:sz w:val="20"/>
              </w:rPr>
            </w:pPr>
            <w:proofErr w:type="spellStart"/>
            <w:r w:rsidRPr="00C14B31">
              <w:rPr>
                <w:sz w:val="20"/>
              </w:rPr>
              <w:t>Aberilla</w:t>
            </w:r>
            <w:proofErr w:type="spellEnd"/>
            <w:r w:rsidRPr="00C14B31">
              <w:rPr>
                <w:sz w:val="20"/>
              </w:rPr>
              <w:t xml:space="preserve"> et al. (2020); Roche et al. (2024); </w:t>
            </w:r>
            <w:proofErr w:type="spellStart"/>
            <w:r w:rsidRPr="00C14B31">
              <w:rPr>
                <w:sz w:val="20"/>
              </w:rPr>
              <w:t>Odoi</w:t>
            </w:r>
            <w:proofErr w:type="spellEnd"/>
            <w:r w:rsidRPr="00C14B31">
              <w:rPr>
                <w:sz w:val="20"/>
              </w:rPr>
              <w:t>-Yorke (2024)</w:t>
            </w:r>
          </w:p>
        </w:tc>
      </w:tr>
      <w:tr w:rsidR="00C14B31" w:rsidRPr="00C14B31" w14:paraId="3CA3ED33" w14:textId="77777777" w:rsidTr="00C14B31">
        <w:tc>
          <w:tcPr>
            <w:tcW w:w="1993" w:type="dxa"/>
            <w:hideMark/>
          </w:tcPr>
          <w:p w14:paraId="62A365D8" w14:textId="77777777" w:rsidR="00C14B31" w:rsidRPr="00C14B31" w:rsidRDefault="00C14B31" w:rsidP="00C14B31">
            <w:pPr>
              <w:rPr>
                <w:sz w:val="20"/>
              </w:rPr>
            </w:pPr>
            <w:r w:rsidRPr="00C14B31">
              <w:rPr>
                <w:sz w:val="20"/>
              </w:rPr>
              <w:t>Carbon Monoxide (CO)</w:t>
            </w:r>
          </w:p>
        </w:tc>
        <w:tc>
          <w:tcPr>
            <w:tcW w:w="1692" w:type="dxa"/>
            <w:hideMark/>
          </w:tcPr>
          <w:p w14:paraId="31870BB3" w14:textId="77777777" w:rsidR="00C14B31" w:rsidRPr="00C14B31" w:rsidRDefault="00C14B31" w:rsidP="00C14B31">
            <w:pPr>
              <w:rPr>
                <w:sz w:val="20"/>
              </w:rPr>
            </w:pPr>
            <w:r w:rsidRPr="00C14B31">
              <w:rPr>
                <w:sz w:val="20"/>
              </w:rPr>
              <w:t>Direct emission from incomplete fuel combustion</w:t>
            </w:r>
          </w:p>
        </w:tc>
        <w:tc>
          <w:tcPr>
            <w:tcW w:w="1838" w:type="dxa"/>
            <w:hideMark/>
          </w:tcPr>
          <w:p w14:paraId="24D8B203" w14:textId="77777777" w:rsidR="00C14B31" w:rsidRPr="00C14B31" w:rsidRDefault="00C14B31" w:rsidP="00C14B31">
            <w:pPr>
              <w:rPr>
                <w:sz w:val="20"/>
              </w:rPr>
            </w:pPr>
            <w:r w:rsidRPr="00C14B31">
              <w:rPr>
                <w:sz w:val="20"/>
              </w:rPr>
              <w:t>Pyrolysis of food residues and degraded lubricants/adhesives</w:t>
            </w:r>
          </w:p>
        </w:tc>
        <w:tc>
          <w:tcPr>
            <w:tcW w:w="2133" w:type="dxa"/>
            <w:hideMark/>
          </w:tcPr>
          <w:p w14:paraId="2831EAB8" w14:textId="77777777" w:rsidR="00C14B31" w:rsidRPr="00C14B31" w:rsidRDefault="00C14B31" w:rsidP="00C14B31">
            <w:pPr>
              <w:rPr>
                <w:sz w:val="20"/>
              </w:rPr>
            </w:pPr>
            <w:r w:rsidRPr="00C14B31">
              <w:rPr>
                <w:sz w:val="20"/>
              </w:rPr>
              <w:t>Hypoxia; cardiovascular stress; fatigue; dizziness</w:t>
            </w:r>
          </w:p>
        </w:tc>
        <w:tc>
          <w:tcPr>
            <w:tcW w:w="1355" w:type="dxa"/>
            <w:hideMark/>
          </w:tcPr>
          <w:p w14:paraId="1E064F37" w14:textId="77777777" w:rsidR="00C14B31" w:rsidRPr="00C14B31" w:rsidRDefault="00C14B31" w:rsidP="00C14B31">
            <w:pPr>
              <w:rPr>
                <w:sz w:val="20"/>
              </w:rPr>
            </w:pPr>
            <w:r w:rsidRPr="00C14B31">
              <w:rPr>
                <w:sz w:val="20"/>
              </w:rPr>
              <w:t>Children, elderly, cardiac patients, immunocompromised patients</w:t>
            </w:r>
          </w:p>
        </w:tc>
        <w:tc>
          <w:tcPr>
            <w:tcW w:w="1905" w:type="dxa"/>
            <w:hideMark/>
          </w:tcPr>
          <w:p w14:paraId="7319B78F" w14:textId="77777777" w:rsidR="00C14B31" w:rsidRPr="00C14B31" w:rsidRDefault="00C14B31" w:rsidP="00C14B31">
            <w:pPr>
              <w:rPr>
                <w:sz w:val="20"/>
              </w:rPr>
            </w:pPr>
            <w:r w:rsidRPr="00C14B31">
              <w:rPr>
                <w:sz w:val="20"/>
              </w:rPr>
              <w:t>Cen et al. (2021); Cen et al. (2024)</w:t>
            </w:r>
          </w:p>
        </w:tc>
      </w:tr>
      <w:tr w:rsidR="00C14B31" w:rsidRPr="00C14B31" w14:paraId="0E84E0D0" w14:textId="77777777" w:rsidTr="00C14B31">
        <w:tc>
          <w:tcPr>
            <w:tcW w:w="1993" w:type="dxa"/>
            <w:hideMark/>
          </w:tcPr>
          <w:p w14:paraId="77CF87EE" w14:textId="77777777" w:rsidR="00C14B31" w:rsidRPr="00C14B31" w:rsidRDefault="00C14B31" w:rsidP="00C14B31">
            <w:pPr>
              <w:rPr>
                <w:sz w:val="20"/>
              </w:rPr>
            </w:pPr>
            <w:r w:rsidRPr="00C14B31">
              <w:rPr>
                <w:sz w:val="20"/>
              </w:rPr>
              <w:t>Nitrogen Oxides (NOₓ)</w:t>
            </w:r>
          </w:p>
        </w:tc>
        <w:tc>
          <w:tcPr>
            <w:tcW w:w="1692" w:type="dxa"/>
            <w:hideMark/>
          </w:tcPr>
          <w:p w14:paraId="6F9E9D75" w14:textId="77777777" w:rsidR="00C14B31" w:rsidRPr="00C14B31" w:rsidRDefault="00C14B31" w:rsidP="00C14B31">
            <w:pPr>
              <w:rPr>
                <w:sz w:val="20"/>
              </w:rPr>
            </w:pPr>
            <w:r w:rsidRPr="00C14B31">
              <w:rPr>
                <w:sz w:val="20"/>
              </w:rPr>
              <w:t>High-temperature reaction of nitrogen and oxygen in visible flame</w:t>
            </w:r>
          </w:p>
        </w:tc>
        <w:tc>
          <w:tcPr>
            <w:tcW w:w="1838" w:type="dxa"/>
            <w:hideMark/>
          </w:tcPr>
          <w:p w14:paraId="330B9634" w14:textId="77777777" w:rsidR="00C14B31" w:rsidRPr="00C14B31" w:rsidRDefault="00C14B31" w:rsidP="00C14B31">
            <w:pPr>
              <w:rPr>
                <w:sz w:val="20"/>
              </w:rPr>
            </w:pPr>
            <w:r w:rsidRPr="00C14B31">
              <w:rPr>
                <w:sz w:val="20"/>
              </w:rPr>
              <w:t>Oxidation of internal materials and pyrolysis of food residues</w:t>
            </w:r>
          </w:p>
        </w:tc>
        <w:tc>
          <w:tcPr>
            <w:tcW w:w="2133" w:type="dxa"/>
            <w:hideMark/>
          </w:tcPr>
          <w:p w14:paraId="5E8E16BD" w14:textId="77777777" w:rsidR="00C14B31" w:rsidRPr="00C14B31" w:rsidRDefault="00C14B31" w:rsidP="00C14B31">
            <w:pPr>
              <w:rPr>
                <w:sz w:val="20"/>
              </w:rPr>
            </w:pPr>
            <w:r w:rsidRPr="00C14B31">
              <w:rPr>
                <w:sz w:val="20"/>
              </w:rPr>
              <w:t>Airway inflammation; reduced lung function; respiratory irritation</w:t>
            </w:r>
          </w:p>
        </w:tc>
        <w:tc>
          <w:tcPr>
            <w:tcW w:w="1355" w:type="dxa"/>
            <w:hideMark/>
          </w:tcPr>
          <w:p w14:paraId="0C0B464D" w14:textId="77777777" w:rsidR="00C14B31" w:rsidRPr="00C14B31" w:rsidRDefault="00C14B31" w:rsidP="00C14B31">
            <w:pPr>
              <w:rPr>
                <w:sz w:val="20"/>
              </w:rPr>
            </w:pPr>
            <w:r w:rsidRPr="00C14B31">
              <w:rPr>
                <w:sz w:val="20"/>
              </w:rPr>
              <w:t>Asthmatics, elderly, children, patients</w:t>
            </w:r>
          </w:p>
        </w:tc>
        <w:tc>
          <w:tcPr>
            <w:tcW w:w="1905" w:type="dxa"/>
            <w:hideMark/>
          </w:tcPr>
          <w:p w14:paraId="2794B232" w14:textId="77777777" w:rsidR="00C14B31" w:rsidRPr="00C14B31" w:rsidRDefault="00C14B31" w:rsidP="00C14B31">
            <w:pPr>
              <w:rPr>
                <w:sz w:val="20"/>
              </w:rPr>
            </w:pPr>
            <w:r w:rsidRPr="00C14B31">
              <w:rPr>
                <w:sz w:val="20"/>
              </w:rPr>
              <w:t xml:space="preserve">Liu &amp; Chow (2017); </w:t>
            </w:r>
            <w:proofErr w:type="spellStart"/>
            <w:r w:rsidRPr="00C14B31">
              <w:rPr>
                <w:sz w:val="20"/>
              </w:rPr>
              <w:t>Aberilla</w:t>
            </w:r>
            <w:proofErr w:type="spellEnd"/>
            <w:r w:rsidRPr="00C14B31">
              <w:rPr>
                <w:sz w:val="20"/>
              </w:rPr>
              <w:t xml:space="preserve"> et al. (2020)</w:t>
            </w:r>
          </w:p>
        </w:tc>
      </w:tr>
      <w:tr w:rsidR="00C14B31" w:rsidRPr="00C14B31" w14:paraId="5BD7698D" w14:textId="77777777" w:rsidTr="00C14B31">
        <w:tc>
          <w:tcPr>
            <w:tcW w:w="1993" w:type="dxa"/>
            <w:hideMark/>
          </w:tcPr>
          <w:p w14:paraId="1AB14B54" w14:textId="77777777" w:rsidR="00C14B31" w:rsidRPr="00C14B31" w:rsidRDefault="00C14B31" w:rsidP="00C14B31">
            <w:pPr>
              <w:rPr>
                <w:sz w:val="20"/>
              </w:rPr>
            </w:pPr>
            <w:r w:rsidRPr="00C14B31">
              <w:rPr>
                <w:sz w:val="20"/>
              </w:rPr>
              <w:t>Aldehydes (Formaldehyde, Acrolein)</w:t>
            </w:r>
          </w:p>
        </w:tc>
        <w:tc>
          <w:tcPr>
            <w:tcW w:w="1692" w:type="dxa"/>
            <w:hideMark/>
          </w:tcPr>
          <w:p w14:paraId="1EA39F19" w14:textId="77777777" w:rsidR="00C14B31" w:rsidRPr="00C14B31" w:rsidRDefault="00C14B31" w:rsidP="00C14B31">
            <w:pPr>
              <w:rPr>
                <w:sz w:val="20"/>
              </w:rPr>
            </w:pPr>
            <w:r w:rsidRPr="00C14B31">
              <w:rPr>
                <w:sz w:val="20"/>
              </w:rPr>
              <w:t>Flame contact with food drippings; incomplete combustion</w:t>
            </w:r>
          </w:p>
        </w:tc>
        <w:tc>
          <w:tcPr>
            <w:tcW w:w="1838" w:type="dxa"/>
            <w:hideMark/>
          </w:tcPr>
          <w:p w14:paraId="061B43CC" w14:textId="77777777" w:rsidR="00C14B31" w:rsidRPr="00C14B31" w:rsidRDefault="00C14B31" w:rsidP="00C14B31">
            <w:pPr>
              <w:rPr>
                <w:sz w:val="20"/>
              </w:rPr>
            </w:pPr>
            <w:r w:rsidRPr="00C14B31">
              <w:rPr>
                <w:sz w:val="20"/>
              </w:rPr>
              <w:t>Thermal degradation of polymers; pyrolysis of fats/oils</w:t>
            </w:r>
          </w:p>
        </w:tc>
        <w:tc>
          <w:tcPr>
            <w:tcW w:w="2133" w:type="dxa"/>
            <w:hideMark/>
          </w:tcPr>
          <w:p w14:paraId="5F04A80C" w14:textId="77777777" w:rsidR="00C14B31" w:rsidRPr="00C14B31" w:rsidRDefault="00C14B31" w:rsidP="00C14B31">
            <w:pPr>
              <w:rPr>
                <w:sz w:val="20"/>
              </w:rPr>
            </w:pPr>
            <w:r w:rsidRPr="00C14B31">
              <w:rPr>
                <w:sz w:val="20"/>
              </w:rPr>
              <w:t>Eye, nose, throat irritation; coughing; long-term cancer risk</w:t>
            </w:r>
          </w:p>
        </w:tc>
        <w:tc>
          <w:tcPr>
            <w:tcW w:w="1355" w:type="dxa"/>
            <w:hideMark/>
          </w:tcPr>
          <w:p w14:paraId="50AFC460" w14:textId="77777777" w:rsidR="00C14B31" w:rsidRPr="00C14B31" w:rsidRDefault="00C14B31" w:rsidP="00C14B31">
            <w:pPr>
              <w:rPr>
                <w:sz w:val="20"/>
              </w:rPr>
            </w:pPr>
            <w:r w:rsidRPr="00C14B31">
              <w:rPr>
                <w:sz w:val="20"/>
              </w:rPr>
              <w:t>Children, laboratory staff, immunocompromised patients</w:t>
            </w:r>
          </w:p>
        </w:tc>
        <w:tc>
          <w:tcPr>
            <w:tcW w:w="1905" w:type="dxa"/>
            <w:hideMark/>
          </w:tcPr>
          <w:p w14:paraId="020D85EC" w14:textId="77777777" w:rsidR="00C14B31" w:rsidRPr="00C14B31" w:rsidRDefault="00C14B31" w:rsidP="00C14B31">
            <w:pPr>
              <w:rPr>
                <w:sz w:val="20"/>
              </w:rPr>
            </w:pPr>
            <w:proofErr w:type="spellStart"/>
            <w:r w:rsidRPr="00C14B31">
              <w:rPr>
                <w:sz w:val="20"/>
              </w:rPr>
              <w:t>Juntarawijit</w:t>
            </w:r>
            <w:proofErr w:type="spellEnd"/>
            <w:r w:rsidRPr="00C14B31">
              <w:rPr>
                <w:sz w:val="20"/>
              </w:rPr>
              <w:t xml:space="preserve"> &amp; </w:t>
            </w:r>
            <w:proofErr w:type="spellStart"/>
            <w:r w:rsidRPr="00C14B31">
              <w:rPr>
                <w:sz w:val="20"/>
              </w:rPr>
              <w:t>Juntarawijit</w:t>
            </w:r>
            <w:proofErr w:type="spellEnd"/>
            <w:r w:rsidRPr="00C14B31">
              <w:rPr>
                <w:sz w:val="20"/>
              </w:rPr>
              <w:t xml:space="preserve"> (2019); </w:t>
            </w:r>
            <w:proofErr w:type="spellStart"/>
            <w:r w:rsidRPr="00C14B31">
              <w:rPr>
                <w:sz w:val="20"/>
              </w:rPr>
              <w:t>Naja</w:t>
            </w:r>
            <w:proofErr w:type="spellEnd"/>
            <w:r w:rsidRPr="00C14B31">
              <w:rPr>
                <w:sz w:val="20"/>
              </w:rPr>
              <w:t xml:space="preserve"> et al. (2011)</w:t>
            </w:r>
          </w:p>
        </w:tc>
      </w:tr>
      <w:tr w:rsidR="00C14B31" w:rsidRPr="00C14B31" w14:paraId="560AD156" w14:textId="77777777" w:rsidTr="00C14B31">
        <w:tc>
          <w:tcPr>
            <w:tcW w:w="1993" w:type="dxa"/>
            <w:hideMark/>
          </w:tcPr>
          <w:p w14:paraId="71F9369D" w14:textId="77777777" w:rsidR="00C14B31" w:rsidRPr="00C14B31" w:rsidRDefault="00C14B31" w:rsidP="00C14B31">
            <w:pPr>
              <w:rPr>
                <w:sz w:val="20"/>
              </w:rPr>
            </w:pPr>
            <w:r w:rsidRPr="00C14B31">
              <w:rPr>
                <w:sz w:val="20"/>
              </w:rPr>
              <w:t>Particulate Matter (PM</w:t>
            </w:r>
            <w:proofErr w:type="gramStart"/>
            <w:r w:rsidRPr="00C14B31">
              <w:rPr>
                <w:sz w:val="20"/>
              </w:rPr>
              <w:t>₂.₅</w:t>
            </w:r>
            <w:proofErr w:type="gramEnd"/>
            <w:r w:rsidRPr="00C14B31">
              <w:rPr>
                <w:sz w:val="20"/>
              </w:rPr>
              <w:t xml:space="preserve"> / PM₁₀)</w:t>
            </w:r>
          </w:p>
        </w:tc>
        <w:tc>
          <w:tcPr>
            <w:tcW w:w="1692" w:type="dxa"/>
            <w:hideMark/>
          </w:tcPr>
          <w:p w14:paraId="00B12790" w14:textId="77777777" w:rsidR="00C14B31" w:rsidRPr="00C14B31" w:rsidRDefault="00C14B31" w:rsidP="00C14B31">
            <w:pPr>
              <w:rPr>
                <w:sz w:val="20"/>
              </w:rPr>
            </w:pPr>
            <w:r w:rsidRPr="00C14B31">
              <w:rPr>
                <w:sz w:val="20"/>
              </w:rPr>
              <w:t>Soot, smoke, charred fuel and food residues</w:t>
            </w:r>
          </w:p>
        </w:tc>
        <w:tc>
          <w:tcPr>
            <w:tcW w:w="1838" w:type="dxa"/>
            <w:hideMark/>
          </w:tcPr>
          <w:p w14:paraId="274782F9" w14:textId="77777777" w:rsidR="00C14B31" w:rsidRPr="00C14B31" w:rsidRDefault="00C14B31" w:rsidP="00C14B31">
            <w:pPr>
              <w:rPr>
                <w:sz w:val="20"/>
              </w:rPr>
            </w:pPr>
            <w:r w:rsidRPr="00C14B31">
              <w:rPr>
                <w:sz w:val="20"/>
              </w:rPr>
              <w:t>Charring of food residues; degraded polymer particles</w:t>
            </w:r>
          </w:p>
        </w:tc>
        <w:tc>
          <w:tcPr>
            <w:tcW w:w="2133" w:type="dxa"/>
            <w:hideMark/>
          </w:tcPr>
          <w:p w14:paraId="7D78651E" w14:textId="77777777" w:rsidR="00C14B31" w:rsidRPr="00C14B31" w:rsidRDefault="00C14B31" w:rsidP="00C14B31">
            <w:pPr>
              <w:rPr>
                <w:sz w:val="20"/>
              </w:rPr>
            </w:pPr>
            <w:r w:rsidRPr="00C14B31">
              <w:rPr>
                <w:sz w:val="20"/>
              </w:rPr>
              <w:t>Respiratory irritation; oxidative stress; cardiovascular risk</w:t>
            </w:r>
          </w:p>
        </w:tc>
        <w:tc>
          <w:tcPr>
            <w:tcW w:w="1355" w:type="dxa"/>
            <w:hideMark/>
          </w:tcPr>
          <w:p w14:paraId="0ECC335D" w14:textId="77777777" w:rsidR="00C14B31" w:rsidRPr="00C14B31" w:rsidRDefault="00C14B31" w:rsidP="00C14B31">
            <w:pPr>
              <w:rPr>
                <w:sz w:val="20"/>
              </w:rPr>
            </w:pPr>
            <w:r w:rsidRPr="00C14B31">
              <w:rPr>
                <w:sz w:val="20"/>
              </w:rPr>
              <w:t>Children, elderly, patients with respiratory disorders</w:t>
            </w:r>
          </w:p>
        </w:tc>
        <w:tc>
          <w:tcPr>
            <w:tcW w:w="1905" w:type="dxa"/>
            <w:hideMark/>
          </w:tcPr>
          <w:p w14:paraId="4ADB319B" w14:textId="77777777" w:rsidR="00C14B31" w:rsidRPr="00C14B31" w:rsidRDefault="00C14B31" w:rsidP="00C14B31">
            <w:pPr>
              <w:rPr>
                <w:sz w:val="20"/>
              </w:rPr>
            </w:pPr>
            <w:r w:rsidRPr="00C14B31">
              <w:rPr>
                <w:sz w:val="20"/>
              </w:rPr>
              <w:t>See &amp; Karthikeyan (2006); Stabile et al. (2015)</w:t>
            </w:r>
          </w:p>
        </w:tc>
      </w:tr>
      <w:tr w:rsidR="00C14B31" w:rsidRPr="00C14B31" w14:paraId="1CA5877D" w14:textId="77777777" w:rsidTr="00C14B31">
        <w:tc>
          <w:tcPr>
            <w:tcW w:w="1993" w:type="dxa"/>
            <w:hideMark/>
          </w:tcPr>
          <w:p w14:paraId="780DBBC3" w14:textId="77777777" w:rsidR="00C14B31" w:rsidRPr="00C14B31" w:rsidRDefault="00C14B31" w:rsidP="00C14B31">
            <w:pPr>
              <w:rPr>
                <w:sz w:val="20"/>
              </w:rPr>
            </w:pPr>
            <w:r w:rsidRPr="00C14B31">
              <w:rPr>
                <w:sz w:val="20"/>
              </w:rPr>
              <w:t>Electromagnetic Fields (EMFs)</w:t>
            </w:r>
          </w:p>
        </w:tc>
        <w:tc>
          <w:tcPr>
            <w:tcW w:w="1692" w:type="dxa"/>
            <w:hideMark/>
          </w:tcPr>
          <w:p w14:paraId="41E91AC8" w14:textId="77777777" w:rsidR="00C14B31" w:rsidRPr="00C14B31" w:rsidRDefault="00C14B31" w:rsidP="00C14B31">
            <w:pPr>
              <w:rPr>
                <w:sz w:val="20"/>
              </w:rPr>
            </w:pPr>
            <w:r w:rsidRPr="00C14B31">
              <w:rPr>
                <w:sz w:val="20"/>
              </w:rPr>
              <w:t>None</w:t>
            </w:r>
          </w:p>
        </w:tc>
        <w:tc>
          <w:tcPr>
            <w:tcW w:w="1838" w:type="dxa"/>
            <w:hideMark/>
          </w:tcPr>
          <w:p w14:paraId="26B536B6" w14:textId="77777777" w:rsidR="00C14B31" w:rsidRPr="00C14B31" w:rsidRDefault="00C14B31" w:rsidP="00C14B31">
            <w:pPr>
              <w:rPr>
                <w:sz w:val="20"/>
              </w:rPr>
            </w:pPr>
            <w:r w:rsidRPr="00C14B31">
              <w:rPr>
                <w:sz w:val="20"/>
              </w:rPr>
              <w:t>Heating coils, control circuits, switching circuits, fan motors</w:t>
            </w:r>
          </w:p>
        </w:tc>
        <w:tc>
          <w:tcPr>
            <w:tcW w:w="2133" w:type="dxa"/>
            <w:hideMark/>
          </w:tcPr>
          <w:p w14:paraId="1100A59C" w14:textId="77777777" w:rsidR="00C14B31" w:rsidRPr="00C14B31" w:rsidRDefault="00C14B31" w:rsidP="00C14B31">
            <w:pPr>
              <w:rPr>
                <w:sz w:val="20"/>
              </w:rPr>
            </w:pPr>
            <w:r w:rsidRPr="00C14B31">
              <w:rPr>
                <w:sz w:val="20"/>
              </w:rPr>
              <w:t>Potential oxidative stress; neurobehavioral changes; interference with sensitive devices</w:t>
            </w:r>
          </w:p>
        </w:tc>
        <w:tc>
          <w:tcPr>
            <w:tcW w:w="1355" w:type="dxa"/>
            <w:hideMark/>
          </w:tcPr>
          <w:p w14:paraId="60DDFBB4" w14:textId="77777777" w:rsidR="00C14B31" w:rsidRPr="00C14B31" w:rsidRDefault="00C14B31" w:rsidP="00C14B31">
            <w:pPr>
              <w:rPr>
                <w:sz w:val="20"/>
              </w:rPr>
            </w:pPr>
            <w:r w:rsidRPr="00C14B31">
              <w:rPr>
                <w:sz w:val="20"/>
              </w:rPr>
              <w:t>Laboratory staff, hospital staff, immunocompromised patients</w:t>
            </w:r>
          </w:p>
        </w:tc>
        <w:tc>
          <w:tcPr>
            <w:tcW w:w="1905" w:type="dxa"/>
            <w:hideMark/>
          </w:tcPr>
          <w:p w14:paraId="3F0E24C6" w14:textId="77777777" w:rsidR="00C14B31" w:rsidRPr="00C14B31" w:rsidRDefault="00C14B31" w:rsidP="00C14B31">
            <w:pPr>
              <w:rPr>
                <w:sz w:val="20"/>
              </w:rPr>
            </w:pPr>
            <w:r w:rsidRPr="00C14B31">
              <w:rPr>
                <w:sz w:val="20"/>
              </w:rPr>
              <w:t>Sadhu et al. (2010); Mishra et al. (2024); Zhang et al. (2024); Bianchi (2018)</w:t>
            </w:r>
          </w:p>
        </w:tc>
      </w:tr>
    </w:tbl>
    <w:p w14:paraId="154B8BCC" w14:textId="77777777" w:rsidR="00C31676" w:rsidRDefault="00C31676" w:rsidP="00C14FC4">
      <w:pPr>
        <w:jc w:val="both"/>
      </w:pPr>
    </w:p>
    <w:p w14:paraId="0E3ECC3B" w14:textId="77777777" w:rsidR="00C14FC4" w:rsidRPr="00C14FC4" w:rsidRDefault="00C14FC4" w:rsidP="009E0A8E">
      <w:pPr>
        <w:ind w:hanging="1"/>
        <w:jc w:val="both"/>
      </w:pPr>
      <w:r w:rsidRPr="00C14FC4">
        <w:lastRenderedPageBreak/>
        <w:t>This population-based risk assessment underscores the critical importance of designing biomedical cooking ovens with gas-neutralization systems, electromagnetic shielding, and real-time monitoring, particularly in clinical and institutional contexts.</w:t>
      </w:r>
    </w:p>
    <w:p w14:paraId="1A2DB2FA" w14:textId="77777777" w:rsidR="000A7096" w:rsidRDefault="00B474C6" w:rsidP="009E0A8E">
      <w:pPr>
        <w:pStyle w:val="Heading1"/>
        <w:numPr>
          <w:ilvl w:val="0"/>
          <w:numId w:val="10"/>
        </w:numPr>
        <w:ind w:left="425" w:hanging="425"/>
        <w:rPr>
          <w:rStyle w:val="Strong"/>
          <w:b/>
          <w:bCs/>
        </w:rPr>
      </w:pPr>
      <w:r>
        <w:rPr>
          <w:rStyle w:val="Strong"/>
          <w:b/>
          <w:bCs/>
        </w:rPr>
        <w:t>Gas Filtration and Neutralization Technologies</w:t>
      </w:r>
    </w:p>
    <w:p w14:paraId="6637D57E" w14:textId="77777777" w:rsidR="000A7096" w:rsidRPr="000A7096" w:rsidRDefault="003204B8" w:rsidP="009E0A8E">
      <w:pPr>
        <w:jc w:val="both"/>
      </w:pPr>
      <w:r>
        <w:t xml:space="preserve">According to </w:t>
      </w:r>
      <w:proofErr w:type="spellStart"/>
      <w:r>
        <w:t>Abdul</w:t>
      </w:r>
      <w:r w:rsidR="000A7096" w:rsidRPr="000A7096">
        <w:t>Raheem</w:t>
      </w:r>
      <w:proofErr w:type="spellEnd"/>
      <w:r w:rsidR="000A7096" w:rsidRPr="000A7096">
        <w:t xml:space="preserve"> et al. (2022) and </w:t>
      </w:r>
      <w:proofErr w:type="spellStart"/>
      <w:r w:rsidR="000A7096" w:rsidRPr="000A7096">
        <w:t>Anozie</w:t>
      </w:r>
      <w:proofErr w:type="spellEnd"/>
      <w:r w:rsidR="000A7096" w:rsidRPr="000A7096">
        <w:t xml:space="preserve"> et al. (2007), open but</w:t>
      </w:r>
      <w:r>
        <w:t>ane burners emit CO</w:t>
      </w:r>
      <w:r w:rsidR="000A7096" w:rsidRPr="000A7096">
        <w:t>,</w:t>
      </w:r>
      <w:r>
        <w:t xml:space="preserve"> NOx</w:t>
      </w:r>
      <w:r w:rsidR="000A7096" w:rsidRPr="000A7096">
        <w:t>, aldehydes</w:t>
      </w:r>
      <w:r w:rsidR="00AD3DC2">
        <w:t>, and VOCs</w:t>
      </w:r>
      <w:r w:rsidR="000A7096" w:rsidRPr="000A7096">
        <w:t xml:space="preserve"> mainly due to incomplete combustion. By comparison, Kim et al. (2011) and Kabir and Kim (2011) report that electric ovens release volatile organic compounds, aldehydes, and particulate matter through thermal degradation of internal materials and pyrolysis of food residues, supporting the use of advanced gas filtration and neutralization systems.</w:t>
      </w:r>
    </w:p>
    <w:p w14:paraId="07063737" w14:textId="77777777" w:rsidR="00B474C6" w:rsidRPr="00B60F37" w:rsidRDefault="00B60F37" w:rsidP="00B60F37">
      <w:pPr>
        <w:pStyle w:val="Heading1"/>
        <w:rPr>
          <w:rStyle w:val="Strong"/>
          <w:b/>
          <w:bCs/>
          <w:sz w:val="28"/>
        </w:rPr>
      </w:pPr>
      <w:r>
        <w:rPr>
          <w:rStyle w:val="Strong"/>
          <w:b/>
          <w:bCs/>
          <w:sz w:val="28"/>
        </w:rPr>
        <w:t xml:space="preserve">5.1 </w:t>
      </w:r>
      <w:r w:rsidR="00B474C6" w:rsidRPr="00B60F37">
        <w:rPr>
          <w:rStyle w:val="Strong"/>
          <w:b/>
          <w:bCs/>
          <w:sz w:val="28"/>
        </w:rPr>
        <w:t>Catalytic Converters</w:t>
      </w:r>
    </w:p>
    <w:p w14:paraId="1480F6CD" w14:textId="77777777" w:rsidR="000A7096" w:rsidRPr="000A7096" w:rsidRDefault="000A7096" w:rsidP="009E0A8E">
      <w:pPr>
        <w:jc w:val="both"/>
      </w:pPr>
      <w:r w:rsidRPr="000A7096">
        <w:t xml:space="preserve">According to </w:t>
      </w:r>
      <w:proofErr w:type="spellStart"/>
      <w:r w:rsidRPr="000A7096">
        <w:t>Bizzo</w:t>
      </w:r>
      <w:proofErr w:type="spellEnd"/>
      <w:r w:rsidRPr="000A7096">
        <w:t xml:space="preserve"> et al. (2004), catalytic converters effectively oxidize tox</w:t>
      </w:r>
      <w:r w:rsidR="00E95BBD">
        <w:t>ic gases such as CO and VOCs</w:t>
      </w:r>
      <w:r w:rsidRPr="000A7096">
        <w:t xml:space="preserve"> into less harmful products, including carbon dioxide and water vapor. Kim et al. (2011) further indicate that integrating catalytic elements within electric oven exhaust or internal airflow pathways can neutralize emissions arising from polymer degradation, lubricants, and food pyrolysis before release into indoor air. For open butane burners,</w:t>
      </w:r>
      <w:r w:rsidR="00474BEF">
        <w:t xml:space="preserve"> </w:t>
      </w:r>
      <w:proofErr w:type="spellStart"/>
      <w:r w:rsidR="00474BEF">
        <w:t>Anozie</w:t>
      </w:r>
      <w:proofErr w:type="spellEnd"/>
      <w:r w:rsidR="00474BEF">
        <w:t xml:space="preserve"> et al. (2007) and </w:t>
      </w:r>
      <w:proofErr w:type="spellStart"/>
      <w:r w:rsidR="00474BEF">
        <w:t>Abdul</w:t>
      </w:r>
      <w:r w:rsidRPr="000A7096">
        <w:t>Raheem</w:t>
      </w:r>
      <w:proofErr w:type="spellEnd"/>
      <w:r w:rsidRPr="000A7096">
        <w:t xml:space="preserve"> et al. (2022) report that catalytic systems incorporated into kitchen hoods or positioned above the flame improve combustion efficiency, thereby reducing carbon monoxide and nitrogen oxide emissions.</w:t>
      </w:r>
    </w:p>
    <w:p w14:paraId="3288C454" w14:textId="77777777" w:rsidR="00B474C6" w:rsidRPr="00B60F37" w:rsidRDefault="00B60F37" w:rsidP="00B60F37">
      <w:pPr>
        <w:pStyle w:val="Heading1"/>
        <w:rPr>
          <w:rStyle w:val="Strong"/>
          <w:b/>
          <w:bCs/>
          <w:sz w:val="28"/>
        </w:rPr>
      </w:pPr>
      <w:r>
        <w:rPr>
          <w:rStyle w:val="Strong"/>
          <w:b/>
          <w:bCs/>
          <w:sz w:val="28"/>
        </w:rPr>
        <w:t xml:space="preserve">5.2 </w:t>
      </w:r>
      <w:r w:rsidR="00B474C6" w:rsidRPr="00B60F37">
        <w:rPr>
          <w:rStyle w:val="Strong"/>
          <w:b/>
          <w:bCs/>
          <w:sz w:val="28"/>
        </w:rPr>
        <w:t>Activated Carbon Adsorption</w:t>
      </w:r>
    </w:p>
    <w:p w14:paraId="43E0AAA6" w14:textId="77777777" w:rsidR="000A7096" w:rsidRDefault="000A7096" w:rsidP="009E0A8E">
      <w:pPr>
        <w:jc w:val="both"/>
      </w:pPr>
      <w:r>
        <w:t>Activated carbon filtration effectively ad</w:t>
      </w:r>
      <w:r w:rsidR="006F5DFC">
        <w:t>sorbs VOCs</w:t>
      </w:r>
      <w:r>
        <w:t>, aldehydes, and related organic gases emitted from cooking appliances. In electric ovens, directing internal airflow through carbon-based filter modules enables capture of off-gassed compounds originating from degraded polymers and food residues (Kim et al., 2011; Kabir &amp; Kim, 2011). In open butane burner systems, kitchen exhausts fitted with activated carbon layers can retain unburned hydrocarbons and aldehydes, thereby improving indoor air quality (See &amp; Balasubramanian, 2006; Abdul Raheem et al., 2022).</w:t>
      </w:r>
    </w:p>
    <w:p w14:paraId="1CFF7DDF" w14:textId="77777777" w:rsidR="002158DE" w:rsidRPr="000A7096" w:rsidRDefault="002158DE" w:rsidP="009E0A8E">
      <w:pPr>
        <w:jc w:val="both"/>
      </w:pPr>
    </w:p>
    <w:p w14:paraId="108C8624" w14:textId="77777777" w:rsidR="00B474C6" w:rsidRPr="00B60F37" w:rsidRDefault="00B60F37" w:rsidP="00B60F37">
      <w:pPr>
        <w:pStyle w:val="Heading1"/>
        <w:rPr>
          <w:rStyle w:val="Strong"/>
          <w:b/>
          <w:bCs/>
          <w:sz w:val="28"/>
        </w:rPr>
      </w:pPr>
      <w:r>
        <w:rPr>
          <w:rStyle w:val="Strong"/>
          <w:b/>
          <w:bCs/>
          <w:sz w:val="28"/>
        </w:rPr>
        <w:t xml:space="preserve">5.3 </w:t>
      </w:r>
      <w:r w:rsidR="00B474C6" w:rsidRPr="00B60F37">
        <w:rPr>
          <w:rStyle w:val="Strong"/>
          <w:b/>
          <w:bCs/>
          <w:sz w:val="28"/>
        </w:rPr>
        <w:t>Ventilation and Airflow Management</w:t>
      </w:r>
    </w:p>
    <w:p w14:paraId="7A02DA68" w14:textId="77777777" w:rsidR="000A7096" w:rsidRPr="000A7096" w:rsidRDefault="000A7096" w:rsidP="009E0A8E">
      <w:pPr>
        <w:jc w:val="both"/>
      </w:pPr>
      <w:r>
        <w:t>Proper ventilation is essential for exposure control. Electric ovens require guided airflow through filtration units, while open flame burners depend on effective hoods or chimneys. Combined mechanical ventilation and filters op</w:t>
      </w:r>
      <w:r w:rsidR="00BF3CEA">
        <w:t>timize pollutant removal (</w:t>
      </w:r>
      <w:proofErr w:type="spellStart"/>
      <w:r w:rsidR="00BF3CEA">
        <w:t>Abdul</w:t>
      </w:r>
      <w:r>
        <w:t>Raheem</w:t>
      </w:r>
      <w:proofErr w:type="spellEnd"/>
      <w:r>
        <w:t xml:space="preserve"> et al., 2022; Kim et al., 2011).</w:t>
      </w:r>
    </w:p>
    <w:p w14:paraId="5A81C4FC" w14:textId="77777777" w:rsidR="00B474C6" w:rsidRDefault="00B60F37" w:rsidP="00B60F37">
      <w:pPr>
        <w:pStyle w:val="Heading1"/>
        <w:rPr>
          <w:rStyle w:val="Strong"/>
          <w:b/>
          <w:bCs/>
        </w:rPr>
      </w:pPr>
      <w:r>
        <w:rPr>
          <w:rStyle w:val="Strong"/>
          <w:b/>
          <w:bCs/>
          <w:sz w:val="28"/>
        </w:rPr>
        <w:t xml:space="preserve">5.4 </w:t>
      </w:r>
      <w:r w:rsidR="00B474C6" w:rsidRPr="00B60F37">
        <w:rPr>
          <w:rStyle w:val="Strong"/>
          <w:b/>
          <w:bCs/>
          <w:sz w:val="28"/>
        </w:rPr>
        <w:t>Radiation Attenuation</w:t>
      </w:r>
    </w:p>
    <w:p w14:paraId="3F6EE578" w14:textId="77777777" w:rsidR="0034767A" w:rsidRPr="0034767A" w:rsidRDefault="0034767A" w:rsidP="009E0A8E">
      <w:pPr>
        <w:jc w:val="both"/>
      </w:pPr>
      <w:r>
        <w:t>Electromagnetic emissions from electric cooking ovens can be mitigated using shielding strategies such as conductive metal enclosures, Faraday cage configurations, and bismuth or ceramic composite layers that attenuate low-level electromagnetic fields (</w:t>
      </w:r>
      <w:proofErr w:type="spellStart"/>
      <w:r>
        <w:t>Habash</w:t>
      </w:r>
      <w:proofErr w:type="spellEnd"/>
      <w:r>
        <w:t xml:space="preserve">, 2018; Kulkarni &amp; </w:t>
      </w:r>
      <w:proofErr w:type="spellStart"/>
      <w:r>
        <w:t>Mahalle</w:t>
      </w:r>
      <w:proofErr w:type="spellEnd"/>
      <w:r>
        <w:t xml:space="preserve">, 2025). Since open gas burners do not generate electromagnetic fields, </w:t>
      </w:r>
      <w:r>
        <w:lastRenderedPageBreak/>
        <w:t>these mitigation approaches are specifically relevant to electric ovens used in biomedical and high-occupancy indoor environments (Raveendran, 2022).</w:t>
      </w:r>
      <w:r w:rsidR="00FF4911">
        <w:t xml:space="preserve"> </w:t>
      </w:r>
    </w:p>
    <w:p w14:paraId="1C65F1FB" w14:textId="77777777" w:rsidR="00B474C6" w:rsidRPr="00B60F37" w:rsidRDefault="00B474C6" w:rsidP="00B60F37">
      <w:pPr>
        <w:pStyle w:val="Heading1"/>
        <w:rPr>
          <w:rStyle w:val="Strong"/>
          <w:b/>
          <w:bCs/>
          <w:sz w:val="28"/>
        </w:rPr>
      </w:pPr>
      <w:r w:rsidRPr="00B60F37">
        <w:rPr>
          <w:rStyle w:val="Strong"/>
          <w:b/>
          <w:bCs/>
          <w:sz w:val="28"/>
        </w:rPr>
        <w:t>5.5 Smart Monitoring Systems</w:t>
      </w:r>
      <w:r w:rsidR="00FF4911" w:rsidRPr="00B60F37">
        <w:rPr>
          <w:rStyle w:val="Strong"/>
          <w:b/>
          <w:bCs/>
          <w:sz w:val="28"/>
        </w:rPr>
        <w:t xml:space="preserve"> </w:t>
      </w:r>
      <w:r w:rsidR="00543194" w:rsidRPr="00B60F37">
        <w:rPr>
          <w:rStyle w:val="Strong"/>
          <w:b/>
          <w:bCs/>
          <w:sz w:val="28"/>
        </w:rPr>
        <w:t xml:space="preserve"> </w:t>
      </w:r>
    </w:p>
    <w:p w14:paraId="5369A0E0" w14:textId="0F2E749F" w:rsidR="0034767A" w:rsidRDefault="0034767A" w:rsidP="00616433">
      <w:pPr>
        <w:pStyle w:val="NormalWeb"/>
        <w:jc w:val="both"/>
      </w:pPr>
      <w:r>
        <w:t>Embedded sensors can provide real-time monitoring of gas concentrations and EMF levels. Automated alerts, ventilation activation, or system shutdowns can protect users from prolonged exposure, particularly in hospitals, laboratories, and classrooms.</w:t>
      </w:r>
      <w:r w:rsidR="007963BB">
        <w:t xml:space="preserve"> </w:t>
      </w:r>
      <w:r w:rsidRPr="00B474C6">
        <w:t>By integrating catalytic converters, activated carbon filters, radiation shielding, ventilation systems, and smart sensors, both chemical and radiative hazards from cooking appliances can be effectively minimized, creating safer environments for households and biomedical facilities.</w:t>
      </w:r>
    </w:p>
    <w:p w14:paraId="164D8C6A" w14:textId="7C80A281" w:rsidR="003C77E2" w:rsidRPr="003C77E2" w:rsidRDefault="00090DB7" w:rsidP="00090DB7">
      <w:pPr>
        <w:ind w:left="-709" w:hanging="142"/>
        <w:rPr>
          <w:color w:val="44546A" w:themeColor="text2"/>
        </w:rPr>
      </w:pPr>
      <w:r>
        <w:rPr>
          <w:color w:val="44546A" w:themeColor="text2"/>
        </w:rPr>
        <w:t xml:space="preserve"> </w:t>
      </w:r>
      <w:r w:rsidR="003C77E2" w:rsidRPr="003C77E2">
        <w:rPr>
          <w:color w:val="44546A" w:themeColor="text2"/>
        </w:rPr>
        <w:t xml:space="preserve">Table </w:t>
      </w:r>
      <w:r w:rsidR="003C77E2" w:rsidRPr="003C77E2">
        <w:rPr>
          <w:color w:val="44546A" w:themeColor="text2"/>
        </w:rPr>
        <w:fldChar w:fldCharType="begin"/>
      </w:r>
      <w:r w:rsidR="003C77E2" w:rsidRPr="003C77E2">
        <w:rPr>
          <w:color w:val="44546A" w:themeColor="text2"/>
        </w:rPr>
        <w:instrText xml:space="preserve"> SEQ Table \* ARABIC </w:instrText>
      </w:r>
      <w:r w:rsidR="003C77E2" w:rsidRPr="003C77E2">
        <w:rPr>
          <w:color w:val="44546A" w:themeColor="text2"/>
        </w:rPr>
        <w:fldChar w:fldCharType="separate"/>
      </w:r>
      <w:r w:rsidR="00616433">
        <w:rPr>
          <w:noProof/>
          <w:color w:val="44546A" w:themeColor="text2"/>
        </w:rPr>
        <w:t>7</w:t>
      </w:r>
      <w:r w:rsidR="003C77E2" w:rsidRPr="003C77E2">
        <w:rPr>
          <w:color w:val="44546A" w:themeColor="text2"/>
        </w:rPr>
        <w:fldChar w:fldCharType="end"/>
      </w:r>
      <w:r w:rsidR="003C77E2" w:rsidRPr="003C77E2">
        <w:rPr>
          <w:color w:val="44546A" w:themeColor="text2"/>
        </w:rPr>
        <w:t>: Biomedical technologies as solution for chemical and radiative hazards from open butane burners and electric ovens</w:t>
      </w:r>
    </w:p>
    <w:tbl>
      <w:tblPr>
        <w:tblStyle w:val="TableGrid"/>
        <w:tblW w:w="10632" w:type="dxa"/>
        <w:tblInd w:w="-714" w:type="dxa"/>
        <w:tblLook w:val="04A0" w:firstRow="1" w:lastRow="0" w:firstColumn="1" w:lastColumn="0" w:noHBand="0" w:noVBand="1"/>
      </w:tblPr>
      <w:tblGrid>
        <w:gridCol w:w="1702"/>
        <w:gridCol w:w="1417"/>
        <w:gridCol w:w="1559"/>
        <w:gridCol w:w="2112"/>
        <w:gridCol w:w="1146"/>
        <w:gridCol w:w="2696"/>
      </w:tblGrid>
      <w:tr w:rsidR="00C14B31" w:rsidRPr="00C14B31" w14:paraId="37BD60B0" w14:textId="77777777" w:rsidTr="00C14B31">
        <w:tc>
          <w:tcPr>
            <w:tcW w:w="1702" w:type="dxa"/>
            <w:hideMark/>
          </w:tcPr>
          <w:p w14:paraId="38108C95" w14:textId="77777777" w:rsidR="00C14B31" w:rsidRPr="00C14B31" w:rsidRDefault="00C14B31" w:rsidP="00C14B31">
            <w:pPr>
              <w:jc w:val="center"/>
              <w:rPr>
                <w:b/>
                <w:bCs/>
                <w:sz w:val="20"/>
                <w:szCs w:val="20"/>
              </w:rPr>
            </w:pPr>
            <w:r w:rsidRPr="00C14B31">
              <w:rPr>
                <w:b/>
                <w:bCs/>
                <w:sz w:val="20"/>
                <w:szCs w:val="20"/>
              </w:rPr>
              <w:t>Hazard Type</w:t>
            </w:r>
          </w:p>
        </w:tc>
        <w:tc>
          <w:tcPr>
            <w:tcW w:w="1417" w:type="dxa"/>
            <w:hideMark/>
          </w:tcPr>
          <w:p w14:paraId="6DEE144E" w14:textId="77777777" w:rsidR="00C14B31" w:rsidRPr="00C14B31" w:rsidRDefault="00C14B31" w:rsidP="00C14B31">
            <w:pPr>
              <w:jc w:val="center"/>
              <w:rPr>
                <w:b/>
                <w:bCs/>
                <w:sz w:val="20"/>
                <w:szCs w:val="20"/>
              </w:rPr>
            </w:pPr>
            <w:r w:rsidRPr="00C14B31">
              <w:rPr>
                <w:b/>
                <w:bCs/>
                <w:sz w:val="20"/>
                <w:szCs w:val="20"/>
              </w:rPr>
              <w:t>Source Appliance</w:t>
            </w:r>
          </w:p>
        </w:tc>
        <w:tc>
          <w:tcPr>
            <w:tcW w:w="1559" w:type="dxa"/>
            <w:hideMark/>
          </w:tcPr>
          <w:p w14:paraId="618DEEEB" w14:textId="77777777" w:rsidR="00C14B31" w:rsidRPr="00C14B31" w:rsidRDefault="00C14B31" w:rsidP="00C14B31">
            <w:pPr>
              <w:jc w:val="center"/>
              <w:rPr>
                <w:b/>
                <w:bCs/>
                <w:sz w:val="20"/>
                <w:szCs w:val="20"/>
              </w:rPr>
            </w:pPr>
            <w:r w:rsidRPr="00C14B31">
              <w:rPr>
                <w:b/>
                <w:bCs/>
                <w:sz w:val="20"/>
                <w:szCs w:val="20"/>
              </w:rPr>
              <w:t>Mitigation Technology</w:t>
            </w:r>
          </w:p>
        </w:tc>
        <w:tc>
          <w:tcPr>
            <w:tcW w:w="2112" w:type="dxa"/>
            <w:hideMark/>
          </w:tcPr>
          <w:p w14:paraId="1D138D82" w14:textId="77777777" w:rsidR="00C14B31" w:rsidRPr="00C14B31" w:rsidRDefault="00C14B31" w:rsidP="00C14B31">
            <w:pPr>
              <w:jc w:val="center"/>
              <w:rPr>
                <w:b/>
                <w:bCs/>
                <w:sz w:val="20"/>
                <w:szCs w:val="20"/>
              </w:rPr>
            </w:pPr>
            <w:r w:rsidRPr="00C14B31">
              <w:rPr>
                <w:b/>
                <w:bCs/>
                <w:sz w:val="20"/>
                <w:szCs w:val="20"/>
              </w:rPr>
              <w:t>Target Emissions / Effects</w:t>
            </w:r>
          </w:p>
        </w:tc>
        <w:tc>
          <w:tcPr>
            <w:tcW w:w="0" w:type="auto"/>
            <w:hideMark/>
          </w:tcPr>
          <w:p w14:paraId="1228696E" w14:textId="77777777" w:rsidR="00C14B31" w:rsidRPr="00C14B31" w:rsidRDefault="00C14B31" w:rsidP="00C14B31">
            <w:pPr>
              <w:jc w:val="center"/>
              <w:rPr>
                <w:b/>
                <w:bCs/>
                <w:sz w:val="20"/>
                <w:szCs w:val="20"/>
              </w:rPr>
            </w:pPr>
            <w:r w:rsidRPr="00C14B31">
              <w:rPr>
                <w:b/>
                <w:bCs/>
                <w:sz w:val="20"/>
                <w:szCs w:val="20"/>
              </w:rPr>
              <w:t>Expected Efficiency</w:t>
            </w:r>
          </w:p>
        </w:tc>
        <w:tc>
          <w:tcPr>
            <w:tcW w:w="2696" w:type="dxa"/>
            <w:hideMark/>
          </w:tcPr>
          <w:p w14:paraId="33615317" w14:textId="77777777" w:rsidR="00C14B31" w:rsidRPr="00C14B31" w:rsidRDefault="00C14B31" w:rsidP="00C14B31">
            <w:pPr>
              <w:jc w:val="center"/>
              <w:rPr>
                <w:b/>
                <w:bCs/>
                <w:sz w:val="20"/>
                <w:szCs w:val="20"/>
              </w:rPr>
            </w:pPr>
            <w:r w:rsidRPr="00C14B31">
              <w:rPr>
                <w:b/>
                <w:bCs/>
                <w:sz w:val="20"/>
                <w:szCs w:val="20"/>
              </w:rPr>
              <w:t>Key References</w:t>
            </w:r>
          </w:p>
        </w:tc>
      </w:tr>
      <w:tr w:rsidR="00C14B31" w:rsidRPr="00C14B31" w14:paraId="22753572" w14:textId="77777777" w:rsidTr="00C14B31">
        <w:tc>
          <w:tcPr>
            <w:tcW w:w="1702" w:type="dxa"/>
            <w:hideMark/>
          </w:tcPr>
          <w:p w14:paraId="773316C7" w14:textId="77777777" w:rsidR="00C14B31" w:rsidRPr="00C14B31" w:rsidRDefault="00C14B31" w:rsidP="00C14B31">
            <w:pPr>
              <w:rPr>
                <w:sz w:val="20"/>
                <w:szCs w:val="20"/>
              </w:rPr>
            </w:pPr>
            <w:r w:rsidRPr="00C14B31">
              <w:rPr>
                <w:sz w:val="20"/>
                <w:szCs w:val="20"/>
              </w:rPr>
              <w:t>Toxic Gases (CO, NOₓ, VOCs, Aldehydes)</w:t>
            </w:r>
          </w:p>
        </w:tc>
        <w:tc>
          <w:tcPr>
            <w:tcW w:w="1417" w:type="dxa"/>
            <w:hideMark/>
          </w:tcPr>
          <w:p w14:paraId="7DFDBE22" w14:textId="77777777" w:rsidR="00C14B31" w:rsidRPr="00C14B31" w:rsidRDefault="00C14B31" w:rsidP="00C14B31">
            <w:pPr>
              <w:rPr>
                <w:sz w:val="20"/>
                <w:szCs w:val="20"/>
              </w:rPr>
            </w:pPr>
            <w:r w:rsidRPr="00C14B31">
              <w:rPr>
                <w:sz w:val="20"/>
                <w:szCs w:val="20"/>
              </w:rPr>
              <w:t>Open Butane Burners</w:t>
            </w:r>
          </w:p>
        </w:tc>
        <w:tc>
          <w:tcPr>
            <w:tcW w:w="1559" w:type="dxa"/>
            <w:hideMark/>
          </w:tcPr>
          <w:p w14:paraId="0A7429A6" w14:textId="77777777" w:rsidR="00C14B31" w:rsidRPr="00C14B31" w:rsidRDefault="00C14B31" w:rsidP="00C14B31">
            <w:pPr>
              <w:rPr>
                <w:sz w:val="20"/>
                <w:szCs w:val="20"/>
              </w:rPr>
            </w:pPr>
            <w:r w:rsidRPr="00C14B31">
              <w:rPr>
                <w:sz w:val="20"/>
                <w:szCs w:val="20"/>
              </w:rPr>
              <w:t>Catalytic converters</w:t>
            </w:r>
          </w:p>
        </w:tc>
        <w:tc>
          <w:tcPr>
            <w:tcW w:w="2112" w:type="dxa"/>
            <w:hideMark/>
          </w:tcPr>
          <w:p w14:paraId="256E6C32" w14:textId="77777777" w:rsidR="00C14B31" w:rsidRPr="00C14B31" w:rsidRDefault="00C14B31" w:rsidP="00C14B31">
            <w:pPr>
              <w:rPr>
                <w:sz w:val="20"/>
                <w:szCs w:val="20"/>
              </w:rPr>
            </w:pPr>
            <w:r w:rsidRPr="00C14B31">
              <w:rPr>
                <w:sz w:val="20"/>
                <w:szCs w:val="20"/>
              </w:rPr>
              <w:t>CO, NOₓ, VOCs, aldehydes</w:t>
            </w:r>
          </w:p>
        </w:tc>
        <w:tc>
          <w:tcPr>
            <w:tcW w:w="0" w:type="auto"/>
            <w:hideMark/>
          </w:tcPr>
          <w:p w14:paraId="1839780F" w14:textId="77777777" w:rsidR="00C14B31" w:rsidRPr="00C14B31" w:rsidRDefault="00C14B31" w:rsidP="00C14B31">
            <w:pPr>
              <w:rPr>
                <w:sz w:val="20"/>
                <w:szCs w:val="20"/>
              </w:rPr>
            </w:pPr>
            <w:r w:rsidRPr="00C14B31">
              <w:rPr>
                <w:sz w:val="20"/>
                <w:szCs w:val="20"/>
              </w:rPr>
              <w:t>Up to 80–90% reduction</w:t>
            </w:r>
          </w:p>
        </w:tc>
        <w:tc>
          <w:tcPr>
            <w:tcW w:w="2696" w:type="dxa"/>
            <w:hideMark/>
          </w:tcPr>
          <w:p w14:paraId="6FBF8C45" w14:textId="77777777" w:rsidR="00C14B31" w:rsidRPr="00C14B31" w:rsidRDefault="00C14B31" w:rsidP="00C14B31">
            <w:pPr>
              <w:rPr>
                <w:sz w:val="20"/>
                <w:szCs w:val="20"/>
              </w:rPr>
            </w:pPr>
            <w:proofErr w:type="spellStart"/>
            <w:r w:rsidRPr="00C14B31">
              <w:rPr>
                <w:sz w:val="20"/>
                <w:szCs w:val="20"/>
              </w:rPr>
              <w:t>Bizzo</w:t>
            </w:r>
            <w:proofErr w:type="spellEnd"/>
            <w:r w:rsidRPr="00C14B31">
              <w:rPr>
                <w:sz w:val="20"/>
                <w:szCs w:val="20"/>
              </w:rPr>
              <w:t xml:space="preserve"> et al. (2004); </w:t>
            </w:r>
            <w:proofErr w:type="spellStart"/>
            <w:r w:rsidRPr="00C14B31">
              <w:rPr>
                <w:sz w:val="20"/>
                <w:szCs w:val="20"/>
              </w:rPr>
              <w:t>Anozie</w:t>
            </w:r>
            <w:proofErr w:type="spellEnd"/>
            <w:r w:rsidRPr="00C14B31">
              <w:rPr>
                <w:sz w:val="20"/>
                <w:szCs w:val="20"/>
              </w:rPr>
              <w:t xml:space="preserve"> et al. (2007); Roche et al. (2024)</w:t>
            </w:r>
          </w:p>
        </w:tc>
      </w:tr>
      <w:tr w:rsidR="00C14B31" w:rsidRPr="00C14B31" w14:paraId="355DAA29" w14:textId="77777777" w:rsidTr="00C14B31">
        <w:tc>
          <w:tcPr>
            <w:tcW w:w="1702" w:type="dxa"/>
            <w:hideMark/>
          </w:tcPr>
          <w:p w14:paraId="05900BFE" w14:textId="77777777" w:rsidR="00C14B31" w:rsidRPr="00C14B31" w:rsidRDefault="00C14B31" w:rsidP="00C14B31">
            <w:pPr>
              <w:rPr>
                <w:sz w:val="20"/>
                <w:szCs w:val="20"/>
              </w:rPr>
            </w:pPr>
          </w:p>
        </w:tc>
        <w:tc>
          <w:tcPr>
            <w:tcW w:w="1417" w:type="dxa"/>
            <w:hideMark/>
          </w:tcPr>
          <w:p w14:paraId="0228BDE2" w14:textId="77777777" w:rsidR="00C14B31" w:rsidRPr="00C14B31" w:rsidRDefault="00C14B31" w:rsidP="00C14B31">
            <w:pPr>
              <w:rPr>
                <w:sz w:val="20"/>
                <w:szCs w:val="20"/>
              </w:rPr>
            </w:pPr>
            <w:r w:rsidRPr="00C14B31">
              <w:rPr>
                <w:sz w:val="20"/>
                <w:szCs w:val="20"/>
              </w:rPr>
              <w:t>Electric Ovens</w:t>
            </w:r>
          </w:p>
        </w:tc>
        <w:tc>
          <w:tcPr>
            <w:tcW w:w="1559" w:type="dxa"/>
            <w:hideMark/>
          </w:tcPr>
          <w:p w14:paraId="700939D3" w14:textId="77777777" w:rsidR="00C14B31" w:rsidRPr="00C14B31" w:rsidRDefault="00C14B31" w:rsidP="00C14B31">
            <w:pPr>
              <w:rPr>
                <w:sz w:val="20"/>
                <w:szCs w:val="20"/>
              </w:rPr>
            </w:pPr>
            <w:r w:rsidRPr="00C14B31">
              <w:rPr>
                <w:sz w:val="20"/>
                <w:szCs w:val="20"/>
              </w:rPr>
              <w:t>Catalytic converters</w:t>
            </w:r>
          </w:p>
        </w:tc>
        <w:tc>
          <w:tcPr>
            <w:tcW w:w="2112" w:type="dxa"/>
            <w:hideMark/>
          </w:tcPr>
          <w:p w14:paraId="2CFC52BC" w14:textId="77777777" w:rsidR="00C14B31" w:rsidRPr="00C14B31" w:rsidRDefault="00C14B31" w:rsidP="00C14B31">
            <w:pPr>
              <w:rPr>
                <w:sz w:val="20"/>
                <w:szCs w:val="20"/>
              </w:rPr>
            </w:pPr>
            <w:r w:rsidRPr="00C14B31">
              <w:rPr>
                <w:sz w:val="20"/>
                <w:szCs w:val="20"/>
              </w:rPr>
              <w:t>VOCs, CO, aldehydes from polymer degradation and pyrolysis</w:t>
            </w:r>
          </w:p>
        </w:tc>
        <w:tc>
          <w:tcPr>
            <w:tcW w:w="0" w:type="auto"/>
            <w:hideMark/>
          </w:tcPr>
          <w:p w14:paraId="66FEC33F" w14:textId="77777777" w:rsidR="00C14B31" w:rsidRPr="00C14B31" w:rsidRDefault="00C14B31" w:rsidP="00C14B31">
            <w:pPr>
              <w:rPr>
                <w:sz w:val="20"/>
                <w:szCs w:val="20"/>
              </w:rPr>
            </w:pPr>
            <w:r w:rsidRPr="00C14B31">
              <w:rPr>
                <w:sz w:val="20"/>
                <w:szCs w:val="20"/>
              </w:rPr>
              <w:t>70–90% reduction</w:t>
            </w:r>
          </w:p>
        </w:tc>
        <w:tc>
          <w:tcPr>
            <w:tcW w:w="2696" w:type="dxa"/>
            <w:hideMark/>
          </w:tcPr>
          <w:p w14:paraId="569536A1" w14:textId="77777777" w:rsidR="00C14B31" w:rsidRPr="00C14B31" w:rsidRDefault="00C14B31" w:rsidP="00C14B31">
            <w:pPr>
              <w:rPr>
                <w:sz w:val="20"/>
                <w:szCs w:val="20"/>
              </w:rPr>
            </w:pPr>
            <w:r w:rsidRPr="00C14B31">
              <w:rPr>
                <w:sz w:val="20"/>
                <w:szCs w:val="20"/>
              </w:rPr>
              <w:t xml:space="preserve">Kim et al. (2011); Kabir &amp; Kim (2011); </w:t>
            </w:r>
            <w:proofErr w:type="spellStart"/>
            <w:r w:rsidRPr="00C14B31">
              <w:rPr>
                <w:sz w:val="20"/>
                <w:szCs w:val="20"/>
              </w:rPr>
              <w:t>Odoi</w:t>
            </w:r>
            <w:proofErr w:type="spellEnd"/>
            <w:r w:rsidRPr="00C14B31">
              <w:rPr>
                <w:sz w:val="20"/>
                <w:szCs w:val="20"/>
              </w:rPr>
              <w:t>-Yorke (2024)</w:t>
            </w:r>
          </w:p>
        </w:tc>
      </w:tr>
      <w:tr w:rsidR="00C14B31" w:rsidRPr="00C14B31" w14:paraId="03325C00" w14:textId="77777777" w:rsidTr="00C14B31">
        <w:tc>
          <w:tcPr>
            <w:tcW w:w="1702" w:type="dxa"/>
            <w:hideMark/>
          </w:tcPr>
          <w:p w14:paraId="6555C168" w14:textId="77777777" w:rsidR="00C14B31" w:rsidRPr="00C14B31" w:rsidRDefault="00C14B31" w:rsidP="00C14B31">
            <w:pPr>
              <w:rPr>
                <w:sz w:val="20"/>
                <w:szCs w:val="20"/>
              </w:rPr>
            </w:pPr>
            <w:r w:rsidRPr="00C14B31">
              <w:rPr>
                <w:sz w:val="20"/>
                <w:szCs w:val="20"/>
              </w:rPr>
              <w:t>Volatile Organic Compounds (VOCs) &amp; Aldehydes</w:t>
            </w:r>
          </w:p>
        </w:tc>
        <w:tc>
          <w:tcPr>
            <w:tcW w:w="1417" w:type="dxa"/>
            <w:hideMark/>
          </w:tcPr>
          <w:p w14:paraId="25E99CCF" w14:textId="77777777" w:rsidR="00C14B31" w:rsidRPr="00C14B31" w:rsidRDefault="00C14B31" w:rsidP="00C14B31">
            <w:pPr>
              <w:rPr>
                <w:sz w:val="20"/>
                <w:szCs w:val="20"/>
              </w:rPr>
            </w:pPr>
            <w:r w:rsidRPr="00C14B31">
              <w:rPr>
                <w:sz w:val="20"/>
                <w:szCs w:val="20"/>
              </w:rPr>
              <w:t>Open Butane Burners</w:t>
            </w:r>
          </w:p>
        </w:tc>
        <w:tc>
          <w:tcPr>
            <w:tcW w:w="1559" w:type="dxa"/>
            <w:hideMark/>
          </w:tcPr>
          <w:p w14:paraId="0E316581" w14:textId="77777777" w:rsidR="00C14B31" w:rsidRPr="00C14B31" w:rsidRDefault="00C14B31" w:rsidP="00C14B31">
            <w:pPr>
              <w:rPr>
                <w:sz w:val="20"/>
                <w:szCs w:val="20"/>
              </w:rPr>
            </w:pPr>
            <w:r w:rsidRPr="00C14B31">
              <w:rPr>
                <w:sz w:val="20"/>
                <w:szCs w:val="20"/>
              </w:rPr>
              <w:t>Activated carbon adsorption filters</w:t>
            </w:r>
          </w:p>
        </w:tc>
        <w:tc>
          <w:tcPr>
            <w:tcW w:w="2112" w:type="dxa"/>
            <w:hideMark/>
          </w:tcPr>
          <w:p w14:paraId="180FB11A" w14:textId="77777777" w:rsidR="00C14B31" w:rsidRPr="00C14B31" w:rsidRDefault="00C14B31" w:rsidP="00C14B31">
            <w:pPr>
              <w:rPr>
                <w:sz w:val="20"/>
                <w:szCs w:val="20"/>
              </w:rPr>
            </w:pPr>
            <w:r w:rsidRPr="00C14B31">
              <w:rPr>
                <w:sz w:val="20"/>
                <w:szCs w:val="20"/>
              </w:rPr>
              <w:t>Unburned hydrocarbons, aldehydes</w:t>
            </w:r>
          </w:p>
        </w:tc>
        <w:tc>
          <w:tcPr>
            <w:tcW w:w="0" w:type="auto"/>
            <w:hideMark/>
          </w:tcPr>
          <w:p w14:paraId="2D09DE81" w14:textId="77777777" w:rsidR="00C14B31" w:rsidRPr="00C14B31" w:rsidRDefault="00C14B31" w:rsidP="00C14B31">
            <w:pPr>
              <w:rPr>
                <w:sz w:val="20"/>
                <w:szCs w:val="20"/>
              </w:rPr>
            </w:pPr>
            <w:r w:rsidRPr="00C14B31">
              <w:rPr>
                <w:sz w:val="20"/>
                <w:szCs w:val="20"/>
              </w:rPr>
              <w:t>60–80% reduction</w:t>
            </w:r>
          </w:p>
        </w:tc>
        <w:tc>
          <w:tcPr>
            <w:tcW w:w="2696" w:type="dxa"/>
            <w:hideMark/>
          </w:tcPr>
          <w:p w14:paraId="6EA9CD35" w14:textId="77777777" w:rsidR="00C14B31" w:rsidRPr="00C14B31" w:rsidRDefault="00C14B31" w:rsidP="00C14B31">
            <w:pPr>
              <w:rPr>
                <w:sz w:val="20"/>
                <w:szCs w:val="20"/>
              </w:rPr>
            </w:pPr>
            <w:r w:rsidRPr="00C14B31">
              <w:rPr>
                <w:sz w:val="20"/>
                <w:szCs w:val="20"/>
              </w:rPr>
              <w:t xml:space="preserve">See &amp; Balasubramanian (2006); </w:t>
            </w:r>
            <w:proofErr w:type="spellStart"/>
            <w:r w:rsidRPr="00C14B31">
              <w:rPr>
                <w:sz w:val="20"/>
                <w:szCs w:val="20"/>
              </w:rPr>
              <w:t>Juntarawijit</w:t>
            </w:r>
            <w:proofErr w:type="spellEnd"/>
            <w:r w:rsidRPr="00C14B31">
              <w:rPr>
                <w:sz w:val="20"/>
                <w:szCs w:val="20"/>
              </w:rPr>
              <w:t xml:space="preserve"> &amp; </w:t>
            </w:r>
            <w:proofErr w:type="spellStart"/>
            <w:r w:rsidRPr="00C14B31">
              <w:rPr>
                <w:sz w:val="20"/>
                <w:szCs w:val="20"/>
              </w:rPr>
              <w:t>Juntarawijit</w:t>
            </w:r>
            <w:proofErr w:type="spellEnd"/>
            <w:r w:rsidRPr="00C14B31">
              <w:rPr>
                <w:sz w:val="20"/>
                <w:szCs w:val="20"/>
              </w:rPr>
              <w:t xml:space="preserve"> (2019)</w:t>
            </w:r>
          </w:p>
        </w:tc>
      </w:tr>
      <w:tr w:rsidR="00C14B31" w:rsidRPr="00C14B31" w14:paraId="75A76C6F" w14:textId="77777777" w:rsidTr="00C14B31">
        <w:tc>
          <w:tcPr>
            <w:tcW w:w="1702" w:type="dxa"/>
            <w:hideMark/>
          </w:tcPr>
          <w:p w14:paraId="3E001549" w14:textId="77777777" w:rsidR="00C14B31" w:rsidRPr="00C14B31" w:rsidRDefault="00C14B31" w:rsidP="00C14B31">
            <w:pPr>
              <w:rPr>
                <w:sz w:val="20"/>
                <w:szCs w:val="20"/>
              </w:rPr>
            </w:pPr>
          </w:p>
        </w:tc>
        <w:tc>
          <w:tcPr>
            <w:tcW w:w="1417" w:type="dxa"/>
            <w:hideMark/>
          </w:tcPr>
          <w:p w14:paraId="243D6E96" w14:textId="77777777" w:rsidR="00C14B31" w:rsidRPr="00C14B31" w:rsidRDefault="00C14B31" w:rsidP="00C14B31">
            <w:pPr>
              <w:rPr>
                <w:sz w:val="20"/>
                <w:szCs w:val="20"/>
              </w:rPr>
            </w:pPr>
            <w:r w:rsidRPr="00C14B31">
              <w:rPr>
                <w:sz w:val="20"/>
                <w:szCs w:val="20"/>
              </w:rPr>
              <w:t>Electric Ovens</w:t>
            </w:r>
          </w:p>
        </w:tc>
        <w:tc>
          <w:tcPr>
            <w:tcW w:w="1559" w:type="dxa"/>
            <w:hideMark/>
          </w:tcPr>
          <w:p w14:paraId="63C82B89" w14:textId="77777777" w:rsidR="00C14B31" w:rsidRPr="00C14B31" w:rsidRDefault="00C14B31" w:rsidP="00C14B31">
            <w:pPr>
              <w:rPr>
                <w:sz w:val="20"/>
                <w:szCs w:val="20"/>
              </w:rPr>
            </w:pPr>
            <w:r w:rsidRPr="00C14B31">
              <w:rPr>
                <w:sz w:val="20"/>
                <w:szCs w:val="20"/>
              </w:rPr>
              <w:t>Activated carbon adsorption filters</w:t>
            </w:r>
          </w:p>
        </w:tc>
        <w:tc>
          <w:tcPr>
            <w:tcW w:w="2112" w:type="dxa"/>
            <w:hideMark/>
          </w:tcPr>
          <w:p w14:paraId="113B05B5" w14:textId="77777777" w:rsidR="00C14B31" w:rsidRPr="00C14B31" w:rsidRDefault="00C14B31" w:rsidP="00C14B31">
            <w:pPr>
              <w:rPr>
                <w:sz w:val="20"/>
                <w:szCs w:val="20"/>
              </w:rPr>
            </w:pPr>
            <w:r w:rsidRPr="00C14B31">
              <w:rPr>
                <w:sz w:val="20"/>
                <w:szCs w:val="20"/>
              </w:rPr>
              <w:t>VOCs and aldehydes from insulation and food residues</w:t>
            </w:r>
          </w:p>
        </w:tc>
        <w:tc>
          <w:tcPr>
            <w:tcW w:w="0" w:type="auto"/>
            <w:hideMark/>
          </w:tcPr>
          <w:p w14:paraId="2056A98D" w14:textId="77777777" w:rsidR="00C14B31" w:rsidRPr="00C14B31" w:rsidRDefault="00C14B31" w:rsidP="00C14B31">
            <w:pPr>
              <w:rPr>
                <w:sz w:val="20"/>
                <w:szCs w:val="20"/>
              </w:rPr>
            </w:pPr>
            <w:r w:rsidRPr="00C14B31">
              <w:rPr>
                <w:sz w:val="20"/>
                <w:szCs w:val="20"/>
              </w:rPr>
              <w:t>60–85% reduction</w:t>
            </w:r>
          </w:p>
        </w:tc>
        <w:tc>
          <w:tcPr>
            <w:tcW w:w="2696" w:type="dxa"/>
            <w:hideMark/>
          </w:tcPr>
          <w:p w14:paraId="37B353ED" w14:textId="77777777" w:rsidR="00C14B31" w:rsidRPr="00C14B31" w:rsidRDefault="00C14B31" w:rsidP="00C14B31">
            <w:pPr>
              <w:rPr>
                <w:sz w:val="20"/>
                <w:szCs w:val="20"/>
              </w:rPr>
            </w:pPr>
            <w:proofErr w:type="spellStart"/>
            <w:r w:rsidRPr="00C14B31">
              <w:rPr>
                <w:sz w:val="20"/>
                <w:szCs w:val="20"/>
              </w:rPr>
              <w:t>Aberilla</w:t>
            </w:r>
            <w:proofErr w:type="spellEnd"/>
            <w:r w:rsidRPr="00C14B31">
              <w:rPr>
                <w:sz w:val="20"/>
                <w:szCs w:val="20"/>
              </w:rPr>
              <w:t xml:space="preserve"> et al. (2020); Roche et al. (2024)</w:t>
            </w:r>
          </w:p>
        </w:tc>
      </w:tr>
      <w:tr w:rsidR="00C14B31" w:rsidRPr="00C14B31" w14:paraId="02148626" w14:textId="77777777" w:rsidTr="00C14B31">
        <w:tc>
          <w:tcPr>
            <w:tcW w:w="1702" w:type="dxa"/>
            <w:hideMark/>
          </w:tcPr>
          <w:p w14:paraId="32F7C726" w14:textId="77777777" w:rsidR="00C14B31" w:rsidRPr="00C14B31" w:rsidRDefault="00C14B31" w:rsidP="00C14B31">
            <w:pPr>
              <w:rPr>
                <w:sz w:val="20"/>
                <w:szCs w:val="20"/>
              </w:rPr>
            </w:pPr>
            <w:r w:rsidRPr="00C14B31">
              <w:rPr>
                <w:sz w:val="20"/>
                <w:szCs w:val="20"/>
              </w:rPr>
              <w:t>Particulate Matter (PM</w:t>
            </w:r>
            <w:proofErr w:type="gramStart"/>
            <w:r w:rsidRPr="00C14B31">
              <w:rPr>
                <w:sz w:val="20"/>
                <w:szCs w:val="20"/>
              </w:rPr>
              <w:t>₂.₅</w:t>
            </w:r>
            <w:proofErr w:type="gramEnd"/>
            <w:r w:rsidRPr="00C14B31">
              <w:rPr>
                <w:sz w:val="20"/>
                <w:szCs w:val="20"/>
              </w:rPr>
              <w:t xml:space="preserve"> / PM₁₀)</w:t>
            </w:r>
          </w:p>
        </w:tc>
        <w:tc>
          <w:tcPr>
            <w:tcW w:w="1417" w:type="dxa"/>
            <w:hideMark/>
          </w:tcPr>
          <w:p w14:paraId="669FDB23" w14:textId="77777777" w:rsidR="00C14B31" w:rsidRPr="00C14B31" w:rsidRDefault="00C14B31" w:rsidP="00C14B31">
            <w:pPr>
              <w:rPr>
                <w:sz w:val="20"/>
                <w:szCs w:val="20"/>
              </w:rPr>
            </w:pPr>
            <w:r w:rsidRPr="00C14B31">
              <w:rPr>
                <w:sz w:val="20"/>
                <w:szCs w:val="20"/>
              </w:rPr>
              <w:t>Open Butane Burners</w:t>
            </w:r>
          </w:p>
        </w:tc>
        <w:tc>
          <w:tcPr>
            <w:tcW w:w="1559" w:type="dxa"/>
            <w:hideMark/>
          </w:tcPr>
          <w:p w14:paraId="1DA6C1DB" w14:textId="77777777" w:rsidR="00C14B31" w:rsidRPr="00C14B31" w:rsidRDefault="00C14B31" w:rsidP="00C14B31">
            <w:pPr>
              <w:rPr>
                <w:sz w:val="20"/>
                <w:szCs w:val="20"/>
              </w:rPr>
            </w:pPr>
            <w:r w:rsidRPr="00C14B31">
              <w:rPr>
                <w:sz w:val="20"/>
                <w:szCs w:val="20"/>
              </w:rPr>
              <w:t>Mechanical ventilation &amp; hoods</w:t>
            </w:r>
          </w:p>
        </w:tc>
        <w:tc>
          <w:tcPr>
            <w:tcW w:w="2112" w:type="dxa"/>
            <w:hideMark/>
          </w:tcPr>
          <w:p w14:paraId="2167B6DE" w14:textId="77777777" w:rsidR="00C14B31" w:rsidRPr="00C14B31" w:rsidRDefault="00C14B31" w:rsidP="00C14B31">
            <w:pPr>
              <w:rPr>
                <w:sz w:val="20"/>
                <w:szCs w:val="20"/>
              </w:rPr>
            </w:pPr>
            <w:r w:rsidRPr="00C14B31">
              <w:rPr>
                <w:sz w:val="20"/>
                <w:szCs w:val="20"/>
              </w:rPr>
              <w:t>Soot, smoke, charred fuel particles</w:t>
            </w:r>
          </w:p>
        </w:tc>
        <w:tc>
          <w:tcPr>
            <w:tcW w:w="0" w:type="auto"/>
            <w:hideMark/>
          </w:tcPr>
          <w:p w14:paraId="22DF20FE" w14:textId="77777777" w:rsidR="00C14B31" w:rsidRPr="00C14B31" w:rsidRDefault="00C14B31" w:rsidP="00C14B31">
            <w:pPr>
              <w:rPr>
                <w:sz w:val="20"/>
                <w:szCs w:val="20"/>
              </w:rPr>
            </w:pPr>
            <w:r w:rsidRPr="00C14B31">
              <w:rPr>
                <w:sz w:val="20"/>
                <w:szCs w:val="20"/>
              </w:rPr>
              <w:t>50–75% removal</w:t>
            </w:r>
          </w:p>
        </w:tc>
        <w:tc>
          <w:tcPr>
            <w:tcW w:w="2696" w:type="dxa"/>
            <w:hideMark/>
          </w:tcPr>
          <w:p w14:paraId="6501688B" w14:textId="77777777" w:rsidR="00C14B31" w:rsidRPr="00C14B31" w:rsidRDefault="00C14B31" w:rsidP="00C14B31">
            <w:pPr>
              <w:rPr>
                <w:sz w:val="20"/>
                <w:szCs w:val="20"/>
              </w:rPr>
            </w:pPr>
            <w:r w:rsidRPr="00C14B31">
              <w:rPr>
                <w:sz w:val="20"/>
                <w:szCs w:val="20"/>
              </w:rPr>
              <w:t>See &amp; Karthikeyan (2006); Stabile et al. (2015)</w:t>
            </w:r>
          </w:p>
        </w:tc>
      </w:tr>
      <w:tr w:rsidR="00C14B31" w:rsidRPr="00C14B31" w14:paraId="1E88D9ED" w14:textId="77777777" w:rsidTr="00C14B31">
        <w:tc>
          <w:tcPr>
            <w:tcW w:w="1702" w:type="dxa"/>
            <w:hideMark/>
          </w:tcPr>
          <w:p w14:paraId="686B17A0" w14:textId="77777777" w:rsidR="00C14B31" w:rsidRPr="00C14B31" w:rsidRDefault="00C14B31" w:rsidP="00C14B31">
            <w:pPr>
              <w:rPr>
                <w:sz w:val="20"/>
                <w:szCs w:val="20"/>
              </w:rPr>
            </w:pPr>
          </w:p>
        </w:tc>
        <w:tc>
          <w:tcPr>
            <w:tcW w:w="1417" w:type="dxa"/>
            <w:hideMark/>
          </w:tcPr>
          <w:p w14:paraId="6F763B54" w14:textId="77777777" w:rsidR="00C14B31" w:rsidRPr="00C14B31" w:rsidRDefault="00C14B31" w:rsidP="00C14B31">
            <w:pPr>
              <w:rPr>
                <w:sz w:val="20"/>
                <w:szCs w:val="20"/>
              </w:rPr>
            </w:pPr>
            <w:r w:rsidRPr="00C14B31">
              <w:rPr>
                <w:sz w:val="20"/>
                <w:szCs w:val="20"/>
              </w:rPr>
              <w:t>Electric Ovens</w:t>
            </w:r>
          </w:p>
        </w:tc>
        <w:tc>
          <w:tcPr>
            <w:tcW w:w="1559" w:type="dxa"/>
            <w:hideMark/>
          </w:tcPr>
          <w:p w14:paraId="25CEED12" w14:textId="77777777" w:rsidR="00C14B31" w:rsidRPr="00C14B31" w:rsidRDefault="00C14B31" w:rsidP="00C14B31">
            <w:pPr>
              <w:rPr>
                <w:sz w:val="20"/>
                <w:szCs w:val="20"/>
              </w:rPr>
            </w:pPr>
            <w:r w:rsidRPr="00C14B31">
              <w:rPr>
                <w:sz w:val="20"/>
                <w:szCs w:val="20"/>
              </w:rPr>
              <w:t>Internal airflow + filtration</w:t>
            </w:r>
          </w:p>
        </w:tc>
        <w:tc>
          <w:tcPr>
            <w:tcW w:w="2112" w:type="dxa"/>
            <w:hideMark/>
          </w:tcPr>
          <w:p w14:paraId="0E698038" w14:textId="77777777" w:rsidR="00C14B31" w:rsidRPr="00C14B31" w:rsidRDefault="00C14B31" w:rsidP="00C14B31">
            <w:pPr>
              <w:rPr>
                <w:sz w:val="20"/>
                <w:szCs w:val="20"/>
              </w:rPr>
            </w:pPr>
            <w:r w:rsidRPr="00C14B31">
              <w:rPr>
                <w:sz w:val="20"/>
                <w:szCs w:val="20"/>
              </w:rPr>
              <w:t>Charred food residues, degraded polymer particles</w:t>
            </w:r>
          </w:p>
        </w:tc>
        <w:tc>
          <w:tcPr>
            <w:tcW w:w="0" w:type="auto"/>
            <w:hideMark/>
          </w:tcPr>
          <w:p w14:paraId="00688C0F" w14:textId="77777777" w:rsidR="00C14B31" w:rsidRPr="00C14B31" w:rsidRDefault="00C14B31" w:rsidP="00C14B31">
            <w:pPr>
              <w:rPr>
                <w:sz w:val="20"/>
                <w:szCs w:val="20"/>
              </w:rPr>
            </w:pPr>
            <w:r w:rsidRPr="00C14B31">
              <w:rPr>
                <w:sz w:val="20"/>
                <w:szCs w:val="20"/>
              </w:rPr>
              <w:t>50–70% removal</w:t>
            </w:r>
          </w:p>
        </w:tc>
        <w:tc>
          <w:tcPr>
            <w:tcW w:w="2696" w:type="dxa"/>
            <w:hideMark/>
          </w:tcPr>
          <w:p w14:paraId="45D1D944" w14:textId="77777777" w:rsidR="00C14B31" w:rsidRPr="00C14B31" w:rsidRDefault="00C14B31" w:rsidP="00C14B31">
            <w:pPr>
              <w:rPr>
                <w:sz w:val="20"/>
                <w:szCs w:val="20"/>
              </w:rPr>
            </w:pPr>
            <w:proofErr w:type="spellStart"/>
            <w:r w:rsidRPr="00C14B31">
              <w:rPr>
                <w:sz w:val="20"/>
                <w:szCs w:val="20"/>
              </w:rPr>
              <w:t>Odoi</w:t>
            </w:r>
            <w:proofErr w:type="spellEnd"/>
            <w:r w:rsidRPr="00C14B31">
              <w:rPr>
                <w:sz w:val="20"/>
                <w:szCs w:val="20"/>
              </w:rPr>
              <w:t xml:space="preserve">-Yorke (2024); </w:t>
            </w:r>
            <w:proofErr w:type="spellStart"/>
            <w:r w:rsidRPr="00C14B31">
              <w:rPr>
                <w:sz w:val="20"/>
                <w:szCs w:val="20"/>
              </w:rPr>
              <w:t>Aberilla</w:t>
            </w:r>
            <w:proofErr w:type="spellEnd"/>
            <w:r w:rsidRPr="00C14B31">
              <w:rPr>
                <w:sz w:val="20"/>
                <w:szCs w:val="20"/>
              </w:rPr>
              <w:t xml:space="preserve"> et al. (2020)</w:t>
            </w:r>
          </w:p>
        </w:tc>
      </w:tr>
      <w:tr w:rsidR="00C14B31" w:rsidRPr="00C14B31" w14:paraId="67230B7A" w14:textId="77777777" w:rsidTr="00C14B31">
        <w:tc>
          <w:tcPr>
            <w:tcW w:w="1702" w:type="dxa"/>
            <w:hideMark/>
          </w:tcPr>
          <w:p w14:paraId="031D2142" w14:textId="77777777" w:rsidR="00C14B31" w:rsidRPr="00C14B31" w:rsidRDefault="00C14B31" w:rsidP="00C14B31">
            <w:pPr>
              <w:rPr>
                <w:sz w:val="20"/>
                <w:szCs w:val="20"/>
              </w:rPr>
            </w:pPr>
            <w:r w:rsidRPr="00C14B31">
              <w:rPr>
                <w:sz w:val="20"/>
                <w:szCs w:val="20"/>
              </w:rPr>
              <w:t>Electromagnetic Fields (ELF / Low-Level EMF)</w:t>
            </w:r>
          </w:p>
        </w:tc>
        <w:tc>
          <w:tcPr>
            <w:tcW w:w="1417" w:type="dxa"/>
            <w:hideMark/>
          </w:tcPr>
          <w:p w14:paraId="0F919162" w14:textId="77777777" w:rsidR="00C14B31" w:rsidRPr="00C14B31" w:rsidRDefault="00C14B31" w:rsidP="00C14B31">
            <w:pPr>
              <w:rPr>
                <w:sz w:val="20"/>
                <w:szCs w:val="20"/>
              </w:rPr>
            </w:pPr>
            <w:r w:rsidRPr="00C14B31">
              <w:rPr>
                <w:sz w:val="20"/>
                <w:szCs w:val="20"/>
              </w:rPr>
              <w:t>Electric Ovens</w:t>
            </w:r>
          </w:p>
        </w:tc>
        <w:tc>
          <w:tcPr>
            <w:tcW w:w="1559" w:type="dxa"/>
            <w:hideMark/>
          </w:tcPr>
          <w:p w14:paraId="5E831D1E" w14:textId="77777777" w:rsidR="00C14B31" w:rsidRPr="00C14B31" w:rsidRDefault="00C14B31" w:rsidP="00C14B31">
            <w:pPr>
              <w:rPr>
                <w:sz w:val="20"/>
                <w:szCs w:val="20"/>
              </w:rPr>
            </w:pPr>
            <w:r w:rsidRPr="00C14B31">
              <w:rPr>
                <w:sz w:val="20"/>
                <w:szCs w:val="20"/>
              </w:rPr>
              <w:t>Shielding (Faraday cage, conductive coatings, bismuth/ceramic layers)</w:t>
            </w:r>
          </w:p>
        </w:tc>
        <w:tc>
          <w:tcPr>
            <w:tcW w:w="2112" w:type="dxa"/>
            <w:hideMark/>
          </w:tcPr>
          <w:p w14:paraId="6700E170" w14:textId="77777777" w:rsidR="00C14B31" w:rsidRPr="00C14B31" w:rsidRDefault="00C14B31" w:rsidP="00C14B31">
            <w:pPr>
              <w:rPr>
                <w:sz w:val="20"/>
                <w:szCs w:val="20"/>
              </w:rPr>
            </w:pPr>
            <w:r w:rsidRPr="00C14B31">
              <w:rPr>
                <w:sz w:val="20"/>
                <w:szCs w:val="20"/>
              </w:rPr>
              <w:t>Leakage from heating coils, control circuits, fans</w:t>
            </w:r>
          </w:p>
        </w:tc>
        <w:tc>
          <w:tcPr>
            <w:tcW w:w="0" w:type="auto"/>
            <w:hideMark/>
          </w:tcPr>
          <w:p w14:paraId="27D561DA" w14:textId="77777777" w:rsidR="00C14B31" w:rsidRPr="00C14B31" w:rsidRDefault="00C14B31" w:rsidP="00C14B31">
            <w:pPr>
              <w:rPr>
                <w:sz w:val="20"/>
                <w:szCs w:val="20"/>
              </w:rPr>
            </w:pPr>
            <w:r w:rsidRPr="00C14B31">
              <w:rPr>
                <w:sz w:val="20"/>
                <w:szCs w:val="20"/>
              </w:rPr>
              <w:t>70–95% attenuation</w:t>
            </w:r>
          </w:p>
        </w:tc>
        <w:tc>
          <w:tcPr>
            <w:tcW w:w="2696" w:type="dxa"/>
            <w:hideMark/>
          </w:tcPr>
          <w:p w14:paraId="4017ABB5" w14:textId="77777777" w:rsidR="00C14B31" w:rsidRPr="00C14B31" w:rsidRDefault="00C14B31" w:rsidP="00C14B31">
            <w:pPr>
              <w:rPr>
                <w:sz w:val="20"/>
                <w:szCs w:val="20"/>
              </w:rPr>
            </w:pPr>
            <w:r w:rsidRPr="00C14B31">
              <w:rPr>
                <w:sz w:val="20"/>
                <w:szCs w:val="20"/>
              </w:rPr>
              <w:t>Sadhu et al. (2010); Mishra et al. (2024); Zhang et al. (2024); Bianchi (2018)</w:t>
            </w:r>
          </w:p>
        </w:tc>
      </w:tr>
      <w:tr w:rsidR="00C14B31" w:rsidRPr="00C14B31" w14:paraId="78B0E47A" w14:textId="77777777" w:rsidTr="00C14B31">
        <w:tc>
          <w:tcPr>
            <w:tcW w:w="1702" w:type="dxa"/>
            <w:hideMark/>
          </w:tcPr>
          <w:p w14:paraId="467C4786" w14:textId="77777777" w:rsidR="00C14B31" w:rsidRPr="00C14B31" w:rsidRDefault="00C14B31" w:rsidP="00C14B31">
            <w:pPr>
              <w:rPr>
                <w:sz w:val="20"/>
                <w:szCs w:val="20"/>
              </w:rPr>
            </w:pPr>
            <w:r w:rsidRPr="00C14B31">
              <w:rPr>
                <w:sz w:val="20"/>
                <w:szCs w:val="20"/>
              </w:rPr>
              <w:t>Prolonged Exposure / Accumulation</w:t>
            </w:r>
          </w:p>
        </w:tc>
        <w:tc>
          <w:tcPr>
            <w:tcW w:w="1417" w:type="dxa"/>
            <w:hideMark/>
          </w:tcPr>
          <w:p w14:paraId="28D0B15A" w14:textId="77777777" w:rsidR="00C14B31" w:rsidRPr="00C14B31" w:rsidRDefault="00C14B31" w:rsidP="00C14B31">
            <w:pPr>
              <w:rPr>
                <w:sz w:val="20"/>
                <w:szCs w:val="20"/>
              </w:rPr>
            </w:pPr>
            <w:r w:rsidRPr="00C14B31">
              <w:rPr>
                <w:sz w:val="20"/>
                <w:szCs w:val="20"/>
              </w:rPr>
              <w:t>Both Appliances</w:t>
            </w:r>
          </w:p>
        </w:tc>
        <w:tc>
          <w:tcPr>
            <w:tcW w:w="1559" w:type="dxa"/>
            <w:hideMark/>
          </w:tcPr>
          <w:p w14:paraId="6930A315" w14:textId="77777777" w:rsidR="00C14B31" w:rsidRPr="00C14B31" w:rsidRDefault="00C14B31" w:rsidP="00C14B31">
            <w:pPr>
              <w:rPr>
                <w:sz w:val="20"/>
                <w:szCs w:val="20"/>
              </w:rPr>
            </w:pPr>
            <w:r w:rsidRPr="00C14B31">
              <w:rPr>
                <w:sz w:val="20"/>
                <w:szCs w:val="20"/>
              </w:rPr>
              <w:t>Smart monitoring systems (gas + EMF sensors, automated alerts)</w:t>
            </w:r>
          </w:p>
        </w:tc>
        <w:tc>
          <w:tcPr>
            <w:tcW w:w="2112" w:type="dxa"/>
            <w:hideMark/>
          </w:tcPr>
          <w:p w14:paraId="09ED5139" w14:textId="77777777" w:rsidR="00C14B31" w:rsidRPr="00C14B31" w:rsidRDefault="00C14B31" w:rsidP="00C14B31">
            <w:pPr>
              <w:rPr>
                <w:sz w:val="20"/>
                <w:szCs w:val="20"/>
              </w:rPr>
            </w:pPr>
            <w:r w:rsidRPr="00C14B31">
              <w:rPr>
                <w:sz w:val="20"/>
                <w:szCs w:val="20"/>
              </w:rPr>
              <w:t>Early detection and automatic mitigation</w:t>
            </w:r>
          </w:p>
        </w:tc>
        <w:tc>
          <w:tcPr>
            <w:tcW w:w="0" w:type="auto"/>
            <w:hideMark/>
          </w:tcPr>
          <w:p w14:paraId="70519D18" w14:textId="77777777" w:rsidR="00C14B31" w:rsidRPr="00C14B31" w:rsidRDefault="00C14B31" w:rsidP="00C14B31">
            <w:pPr>
              <w:rPr>
                <w:sz w:val="20"/>
                <w:szCs w:val="20"/>
              </w:rPr>
            </w:pPr>
            <w:r w:rsidRPr="00C14B31">
              <w:rPr>
                <w:sz w:val="20"/>
                <w:szCs w:val="20"/>
              </w:rPr>
              <w:t>Continuous real-time protection</w:t>
            </w:r>
          </w:p>
        </w:tc>
        <w:tc>
          <w:tcPr>
            <w:tcW w:w="2696" w:type="dxa"/>
            <w:hideMark/>
          </w:tcPr>
          <w:p w14:paraId="06049410" w14:textId="77777777" w:rsidR="00C14B31" w:rsidRPr="00C14B31" w:rsidRDefault="00C14B31" w:rsidP="00C14B31">
            <w:pPr>
              <w:rPr>
                <w:sz w:val="20"/>
                <w:szCs w:val="20"/>
              </w:rPr>
            </w:pPr>
            <w:r w:rsidRPr="00C14B31">
              <w:rPr>
                <w:sz w:val="20"/>
                <w:szCs w:val="20"/>
              </w:rPr>
              <w:t>Cen et al. (2021); Cen et al. (2024); Roche et al. (2024)</w:t>
            </w:r>
          </w:p>
        </w:tc>
      </w:tr>
    </w:tbl>
    <w:p w14:paraId="353A2524" w14:textId="77777777" w:rsidR="0034767A" w:rsidRDefault="0034767A" w:rsidP="0034767A">
      <w:pPr>
        <w:jc w:val="both"/>
        <w:rPr>
          <w:rStyle w:val="Strong"/>
        </w:rPr>
      </w:pPr>
    </w:p>
    <w:p w14:paraId="12AFA3A2" w14:textId="77777777" w:rsidR="0034767A" w:rsidRDefault="0034767A" w:rsidP="00B60F37">
      <w:pPr>
        <w:jc w:val="both"/>
        <w:rPr>
          <w:rStyle w:val="Strong"/>
          <w:b w:val="0"/>
          <w:bCs w:val="0"/>
        </w:rPr>
      </w:pPr>
      <w:r w:rsidRPr="0034767A">
        <w:rPr>
          <w:rStyle w:val="Strong"/>
          <w:b w:val="0"/>
        </w:rPr>
        <w:t>Table 5</w:t>
      </w:r>
      <w:r>
        <w:t xml:space="preserve"> demonstrates that combining catalytic converters, activated carbon filtration, mechanical ventilation, electromagnetic shielding, and smart monitoring systems effectively reduces chemical and radiative hazards from cooking appliances. Open butane burners mainly benefit from enhanced combustion efficiency and gas filtration, while electric ovens additionally require electromagnetic field attenuation and continuous </w:t>
      </w:r>
      <w:proofErr w:type="gramStart"/>
      <w:r>
        <w:t>sensor based</w:t>
      </w:r>
      <w:proofErr w:type="gramEnd"/>
      <w:r>
        <w:t xml:space="preserve"> monitoring. </w:t>
      </w:r>
      <w:r>
        <w:lastRenderedPageBreak/>
        <w:t xml:space="preserve">Together, these integrated measures lower toxic gas emissions, particulate matter, and </w:t>
      </w:r>
      <w:proofErr w:type="gramStart"/>
      <w:r>
        <w:t>low level</w:t>
      </w:r>
      <w:proofErr w:type="gramEnd"/>
      <w:r>
        <w:t xml:space="preserve"> electromagnetic exposure, improving indoor safety in households, laboratories, and biomedical facili</w:t>
      </w:r>
      <w:r w:rsidR="002A0563">
        <w:t>ties (</w:t>
      </w:r>
      <w:proofErr w:type="spellStart"/>
      <w:r w:rsidR="002A0563">
        <w:t>Bizzo</w:t>
      </w:r>
      <w:proofErr w:type="spellEnd"/>
      <w:r w:rsidR="002A0563">
        <w:t xml:space="preserve"> et al., 2004; </w:t>
      </w:r>
      <w:proofErr w:type="spellStart"/>
      <w:r w:rsidR="002A0563">
        <w:t>Abdul</w:t>
      </w:r>
      <w:r>
        <w:t>Raheem</w:t>
      </w:r>
      <w:proofErr w:type="spellEnd"/>
      <w:r>
        <w:t xml:space="preserve"> et al., 2022; Kim et al., 2011; </w:t>
      </w:r>
      <w:proofErr w:type="spellStart"/>
      <w:r>
        <w:t>Habash</w:t>
      </w:r>
      <w:proofErr w:type="spellEnd"/>
      <w:r>
        <w:t xml:space="preserve">, 2018; </w:t>
      </w:r>
      <w:proofErr w:type="spellStart"/>
      <w:r>
        <w:t>Odoi</w:t>
      </w:r>
      <w:proofErr w:type="spellEnd"/>
      <w:r>
        <w:t>-Yorke, 2024).</w:t>
      </w:r>
      <w:r w:rsidR="00FC77CF">
        <w:t xml:space="preserve"> </w:t>
      </w:r>
    </w:p>
    <w:p w14:paraId="77253140" w14:textId="77777777" w:rsidR="006954AA" w:rsidRDefault="006954AA" w:rsidP="00B60F37">
      <w:pPr>
        <w:pStyle w:val="Heading1"/>
        <w:ind w:left="709" w:hanging="709"/>
      </w:pPr>
      <w:r>
        <w:rPr>
          <w:rStyle w:val="Strong"/>
          <w:b/>
          <w:bCs/>
        </w:rPr>
        <w:t>6. Biomedical Engineering Design Philosophy</w:t>
      </w:r>
    </w:p>
    <w:p w14:paraId="68DF5551" w14:textId="77777777" w:rsidR="006954AA" w:rsidRDefault="006954AA" w:rsidP="00B60F37">
      <w:pPr>
        <w:pStyle w:val="NormalWeb"/>
        <w:jc w:val="both"/>
      </w:pPr>
      <w:r>
        <w:t>The design of a biomedical-grade cooking oven integrates principles that prioritize safety, hygiene, and environmental compatibility beyond conventional appliances. Four key principles guide this design:</w:t>
      </w:r>
    </w:p>
    <w:p w14:paraId="5AD8E203" w14:textId="77777777" w:rsidR="006954AA" w:rsidRPr="00B60F37" w:rsidRDefault="006954AA" w:rsidP="00B60F37">
      <w:pPr>
        <w:pStyle w:val="Heading1"/>
        <w:rPr>
          <w:rStyle w:val="Heading2Char"/>
          <w:b/>
          <w:bCs/>
          <w:sz w:val="22"/>
        </w:rPr>
      </w:pPr>
      <w:r w:rsidRPr="00B60F37">
        <w:rPr>
          <w:rStyle w:val="Strong"/>
          <w:b/>
          <w:bCs/>
          <w:sz w:val="28"/>
        </w:rPr>
        <w:t>6.1 Biocompatibility</w:t>
      </w:r>
    </w:p>
    <w:p w14:paraId="4D6361E8" w14:textId="77777777" w:rsidR="006954AA" w:rsidRDefault="006954AA" w:rsidP="00B60F37">
      <w:pPr>
        <w:pStyle w:val="NoSpacing"/>
        <w:jc w:val="both"/>
      </w:pPr>
      <w:r>
        <w:t>All materials in contact with air, food, or internal surfaces must be non-toxic, chemically stable, and heat-resistant. Medical-grade stainless steel, ceramics, and silicone-based insulation are preferred to prevent secondary contamination from polymer degradation or adhesive breakdown.</w:t>
      </w:r>
    </w:p>
    <w:p w14:paraId="78AFF2CB" w14:textId="77777777" w:rsidR="006954AA" w:rsidRPr="00B60F37" w:rsidRDefault="006954AA" w:rsidP="00B60F37">
      <w:pPr>
        <w:pStyle w:val="Heading1"/>
        <w:rPr>
          <w:rStyle w:val="Strong"/>
          <w:b/>
          <w:bCs/>
          <w:sz w:val="28"/>
        </w:rPr>
      </w:pPr>
      <w:r w:rsidRPr="00B60F37">
        <w:rPr>
          <w:rStyle w:val="Strong"/>
          <w:b/>
          <w:bCs/>
          <w:sz w:val="28"/>
        </w:rPr>
        <w:t>6.2 Emission Control</w:t>
      </w:r>
    </w:p>
    <w:p w14:paraId="11025D12" w14:textId="77777777" w:rsidR="006954AA" w:rsidRDefault="006954AA" w:rsidP="00B60F37">
      <w:pPr>
        <w:pStyle w:val="NormalWeb"/>
        <w:jc w:val="both"/>
      </w:pPr>
      <w:r>
        <w:t>Advanced gas-neutralization systems, including catalytic converters, activated carbon filters, and optimized airflow pathways, ensure that toxic gases and particulate matter are captured or neutralized before reaching the user. This is essential in both domestic and biomedical environments, where air quality directly impacts health and sterile conditions.</w:t>
      </w:r>
    </w:p>
    <w:p w14:paraId="22B930D1" w14:textId="77777777" w:rsidR="006954AA" w:rsidRPr="00B60F37" w:rsidRDefault="006954AA" w:rsidP="00B60F37">
      <w:pPr>
        <w:pStyle w:val="Heading1"/>
        <w:rPr>
          <w:rStyle w:val="Strong"/>
          <w:b/>
          <w:bCs/>
          <w:sz w:val="28"/>
        </w:rPr>
      </w:pPr>
      <w:r w:rsidRPr="00B60F37">
        <w:rPr>
          <w:rStyle w:val="Strong"/>
          <w:b/>
          <w:bCs/>
          <w:sz w:val="28"/>
        </w:rPr>
        <w:t>6.3 Radiation Attenuation</w:t>
      </w:r>
    </w:p>
    <w:p w14:paraId="35927B06" w14:textId="77777777" w:rsidR="00C14B31" w:rsidRDefault="006954AA" w:rsidP="00B60F37">
      <w:pPr>
        <w:pStyle w:val="NormalWeb"/>
        <w:jc w:val="both"/>
      </w:pPr>
      <w:r>
        <w:t>Electromagnetic shielding is incorporated into the oven structure using conductive coatings, Faraday-cage designs, or bismuth/ceramic composites. This prevents leakage of low-level EMFs from heating elements, control circuits, and fan motors, protecting both users and sensitive biomedical equipment.</w:t>
      </w:r>
    </w:p>
    <w:p w14:paraId="4F865864" w14:textId="77777777" w:rsidR="006954AA" w:rsidRPr="00B60F37" w:rsidRDefault="006954AA" w:rsidP="00B60F37">
      <w:pPr>
        <w:pStyle w:val="Heading1"/>
        <w:rPr>
          <w:rStyle w:val="Strong"/>
          <w:b/>
          <w:bCs/>
          <w:sz w:val="28"/>
        </w:rPr>
      </w:pPr>
      <w:r w:rsidRPr="00B60F37">
        <w:rPr>
          <w:rStyle w:val="Strong"/>
          <w:b/>
          <w:bCs/>
          <w:sz w:val="28"/>
        </w:rPr>
        <w:t>6.4 Smart Monitoring</w:t>
      </w:r>
    </w:p>
    <w:p w14:paraId="6FF9CB8B" w14:textId="77777777" w:rsidR="006954AA" w:rsidRDefault="006954AA" w:rsidP="00B60F37">
      <w:pPr>
        <w:pStyle w:val="NormalWeb"/>
        <w:jc w:val="both"/>
      </w:pPr>
      <w:r>
        <w:t>Embedded sensors continuously detect gas concentrations, particulate matter, and EMF levels. Automated control systems provide real-time alerts, activate ventilation or filtration, or safely shut down the oven if thresholds are exceeded, ensuring proactive safety management.</w:t>
      </w:r>
    </w:p>
    <w:p w14:paraId="5D027DD1" w14:textId="77777777" w:rsidR="006954AA" w:rsidRDefault="006954AA" w:rsidP="006954AA">
      <w:pPr>
        <w:pStyle w:val="NormalWeb"/>
        <w:jc w:val="both"/>
      </w:pPr>
      <w:r>
        <w:t>By integrating these principles, biomedical-grade ovens address the hidden chemical and radiative hazards present in electric ovens</w:t>
      </w:r>
      <w:r w:rsidR="00AF1447">
        <w:t>,</w:t>
      </w:r>
      <w:r>
        <w:t xml:space="preserve"> while maintaining the precision, hygiene, and energy efficiency advantages over open butane flames.</w:t>
      </w:r>
    </w:p>
    <w:p w14:paraId="43A1B18A" w14:textId="77777777" w:rsidR="00C3640F" w:rsidRDefault="00C3640F" w:rsidP="00C3640F">
      <w:pPr>
        <w:pStyle w:val="Heading1"/>
        <w:rPr>
          <w:sz w:val="27"/>
          <w:szCs w:val="27"/>
        </w:rPr>
      </w:pPr>
      <w:r>
        <w:rPr>
          <w:rStyle w:val="Strong"/>
          <w:b/>
          <w:bCs/>
        </w:rPr>
        <w:t>7. Future Directions and Research Gaps</w:t>
      </w:r>
    </w:p>
    <w:p w14:paraId="2D24C337" w14:textId="49936DC8" w:rsidR="0061509E" w:rsidRDefault="00D63296" w:rsidP="0061509E">
      <w:pPr>
        <w:pStyle w:val="NormalWeb"/>
        <w:jc w:val="both"/>
      </w:pPr>
      <w:r>
        <w:t xml:space="preserve">The World Health Organization (WHO, 2024) identified priority bacterial pathogens of major public health concern to guide global research and intervention strategies. </w:t>
      </w:r>
      <w:r w:rsidR="0061509E">
        <w:t xml:space="preserve">The development of biomedical-grade cooking ovens remains an emerging research area with substantial potential for technological advancement. Future innovations may include the use of advanced nanomaterials for thermal insulation and electromagnetic shielding to further suppress toxic </w:t>
      </w:r>
      <w:r w:rsidR="0061509E">
        <w:lastRenderedPageBreak/>
        <w:t>emissions and electromagnetic leakage, alongside smart catalytic surfaces capable of self-regeneration to sustain long-term gas neutralization performance (AL-</w:t>
      </w:r>
      <w:proofErr w:type="spellStart"/>
      <w:r w:rsidR="0061509E">
        <w:t>Oqla</w:t>
      </w:r>
      <w:proofErr w:type="spellEnd"/>
      <w:r w:rsidR="0061509E">
        <w:t xml:space="preserve"> et al., 2022; </w:t>
      </w:r>
      <w:proofErr w:type="spellStart"/>
      <w:r w:rsidR="0061509E">
        <w:t>Bizzo</w:t>
      </w:r>
      <w:proofErr w:type="spellEnd"/>
      <w:r w:rsidR="0061509E">
        <w:t xml:space="preserve"> et al., 2004). In addition, integrating Internet of Things–based connectivity could facilitate remote monitoring of indoor air quality and electromagnetic field exposure, enabling predictive maintenance and real-time hazard control in both domestic and biomedical environments (</w:t>
      </w:r>
      <w:proofErr w:type="spellStart"/>
      <w:r w:rsidR="0061509E">
        <w:t>Odoi</w:t>
      </w:r>
      <w:proofErr w:type="spellEnd"/>
      <w:r w:rsidR="0061509E">
        <w:t>-Yorke, 2024).</w:t>
      </w:r>
      <w:r w:rsidR="00AF1447">
        <w:t xml:space="preserve"> </w:t>
      </w:r>
    </w:p>
    <w:p w14:paraId="7661E4C7" w14:textId="77777777" w:rsidR="0061509E" w:rsidRDefault="0061509E" w:rsidP="0061509E">
      <w:pPr>
        <w:pStyle w:val="NormalWeb"/>
        <w:jc w:val="both"/>
      </w:pPr>
      <w:r>
        <w:t>Despite these prospects, significant research gaps persist. Quantitative data on cumulative low-level electromagnetic exposure from electric ovens in homes and biomedical facilities remain limited, particularly in regions such as West Africa where gas and electric cooking technologies coexist (</w:t>
      </w:r>
      <w:proofErr w:type="spellStart"/>
      <w:r>
        <w:t>Habash</w:t>
      </w:r>
      <w:proofErr w:type="spellEnd"/>
      <w:r>
        <w:t xml:space="preserve">, 2018; Kulkarni &amp; </w:t>
      </w:r>
      <w:proofErr w:type="spellStart"/>
      <w:r>
        <w:t>Mahalle</w:t>
      </w:r>
      <w:proofErr w:type="spellEnd"/>
      <w:r>
        <w:t>, 2025). Moreover, comparative evaluations of combined gas filtration and electromagnetic attenuation systems are scarce, as are long-term epidemiological studies assessing chronic exposure risks among vulnerable populations including hospital patients, children, and laboratory personnel (Mortimer et al., 2012; Sani et al., 2025). Addressing technical, economic, and adoption barriers will be critical to advancing next-generation biomedical cooking ovens that are safe, energy efficient, hygienic, and suitable for widespread use (Roche et al., 2024).</w:t>
      </w:r>
    </w:p>
    <w:p w14:paraId="2492914B" w14:textId="77777777" w:rsidR="00C3640F" w:rsidRDefault="00C3640F" w:rsidP="00C3640F">
      <w:pPr>
        <w:pStyle w:val="Heading1"/>
      </w:pPr>
      <w:r>
        <w:rPr>
          <w:rStyle w:val="Strong"/>
          <w:b/>
          <w:bCs/>
        </w:rPr>
        <w:t>8. Conclusion</w:t>
      </w:r>
    </w:p>
    <w:p w14:paraId="25DCAC69" w14:textId="77777777" w:rsidR="00C3640F" w:rsidRDefault="00C3640F" w:rsidP="00C3640F">
      <w:pPr>
        <w:jc w:val="both"/>
      </w:pPr>
      <w:r w:rsidRPr="00C3640F">
        <w:t>Cooking appliances, whether open butane burners or electric ovens, pose significant but distinct health risks. Open flames, common across West African countries such as Nigeria, Ghana, Senegal, and Côte d’Ivoire, produ</w:t>
      </w:r>
      <w:r w:rsidR="003A1124">
        <w:t xml:space="preserve">ce visible toxic gases </w:t>
      </w:r>
      <w:r w:rsidRPr="00C3640F">
        <w:t>including CO, NOx, VOCs, al</w:t>
      </w:r>
      <w:r w:rsidR="003A1124">
        <w:t xml:space="preserve">dehydes, and particulate matter </w:t>
      </w:r>
      <w:r w:rsidRPr="00C3640F">
        <w:t>that can cause acute respiratory and cardiovascular effects, particularly in poorly ventilated environments. Electric ovens, while offering closed, precise heating and improved hygiene, emit subtler but persistent chemical pollutants from thermal degradation and pyrolysis of internal materials, as well as low-level electromagnetic radiation from heating elements, control circuits, and fan motors. Both types of appliances therefore present hazards to vulnerable populations, including children, the elderly, hospital patients, and laboratory personnel.</w:t>
      </w:r>
    </w:p>
    <w:p w14:paraId="1DCEFA89" w14:textId="77777777" w:rsidR="003A1124" w:rsidRPr="00C3640F" w:rsidRDefault="003A1124" w:rsidP="00C3640F">
      <w:pPr>
        <w:jc w:val="both"/>
      </w:pPr>
    </w:p>
    <w:p w14:paraId="286E0AB3" w14:textId="2ADF9FF2" w:rsidR="00C3640F" w:rsidRDefault="00C3640F" w:rsidP="00C3640F">
      <w:pPr>
        <w:jc w:val="both"/>
      </w:pPr>
      <w:r w:rsidRPr="00C3640F">
        <w:t>The development of biomedical-grade cooking ovens addresses these challenges by integrating multiple safety strategies: catalytic converters and activated carbon filters to neutralize toxic gases, mechanical ventilation to remove particulate matter, electromagnetic shielding to attenuate EMFs, and smart sensor-driven monitoring for real-time hazard mitigation. Comparative analysis underscores that while open butane burners pose immediate, visible chemical risks, electric ovens present hidden but chronic chemical and radiative hazards, emphasizing the need for comprehensive mitigation strategies. Future research should focus on advanced materials, IoT-enabled monitoring, and long-term exposure studies to optimize safety and functionality. The adoption of biomedical-grade cooking ovens represents a critical advancement in creating safe, energy-efficient, and health-conscious cooking environments for households, laboratories, and biomedical facilities.</w:t>
      </w:r>
    </w:p>
    <w:p w14:paraId="6007D6A3" w14:textId="088BD6BD" w:rsidR="00E45956" w:rsidRDefault="00E45956" w:rsidP="00C3640F">
      <w:pPr>
        <w:jc w:val="both"/>
      </w:pPr>
    </w:p>
    <w:p w14:paraId="77B9BD2A" w14:textId="41FB5469" w:rsidR="00E45956" w:rsidRDefault="00E45956" w:rsidP="00C3640F">
      <w:pPr>
        <w:jc w:val="both"/>
      </w:pPr>
    </w:p>
    <w:p w14:paraId="61E220A7" w14:textId="77E45D03" w:rsidR="00E45956" w:rsidRDefault="00E45956" w:rsidP="00C3640F">
      <w:pPr>
        <w:jc w:val="both"/>
      </w:pPr>
    </w:p>
    <w:p w14:paraId="0ED1430A" w14:textId="460F5FF3" w:rsidR="00E45956" w:rsidRDefault="00E45956" w:rsidP="00C3640F">
      <w:pPr>
        <w:jc w:val="both"/>
      </w:pPr>
    </w:p>
    <w:p w14:paraId="56E0C9D0" w14:textId="2F86CB86" w:rsidR="00E45956" w:rsidRDefault="00E45956" w:rsidP="00C3640F">
      <w:pPr>
        <w:jc w:val="both"/>
      </w:pPr>
    </w:p>
    <w:p w14:paraId="613AA786" w14:textId="2907E360" w:rsidR="00E45956" w:rsidRDefault="00E45956" w:rsidP="00C3640F">
      <w:pPr>
        <w:jc w:val="both"/>
      </w:pPr>
    </w:p>
    <w:p w14:paraId="2EAA9FB6" w14:textId="105BD1D6" w:rsidR="00E45956" w:rsidRDefault="00E45956" w:rsidP="00C3640F">
      <w:pPr>
        <w:jc w:val="both"/>
      </w:pPr>
    </w:p>
    <w:p w14:paraId="2D8DAFF9" w14:textId="1DA60D4C" w:rsidR="00E45956" w:rsidRDefault="00E45956" w:rsidP="00C3640F">
      <w:pPr>
        <w:jc w:val="both"/>
      </w:pPr>
    </w:p>
    <w:p w14:paraId="1E01456E" w14:textId="77777777" w:rsidR="00E45956" w:rsidRDefault="00E45956" w:rsidP="00E45956">
      <w:pPr>
        <w:jc w:val="both"/>
      </w:pPr>
    </w:p>
    <w:p w14:paraId="31D1517C" w14:textId="77777777" w:rsidR="00E45956" w:rsidRPr="006674F4" w:rsidRDefault="00E45956" w:rsidP="00E45956">
      <w:pPr>
        <w:jc w:val="both"/>
      </w:pPr>
      <w:r w:rsidRPr="000E567A">
        <w:rPr>
          <w:rFonts w:ascii="Arial-BoldMT" w:hAnsi="Arial-BoldMT"/>
          <w:b/>
          <w:bCs/>
          <w:color w:val="000000"/>
        </w:rPr>
        <w:t>DISCLAIMER (ARTIFICIAL INTELLIGENCE)</w:t>
      </w:r>
    </w:p>
    <w:p w14:paraId="462FCCF0" w14:textId="77777777" w:rsidR="00E45956" w:rsidRDefault="00E45956" w:rsidP="00E45956">
      <w:pPr>
        <w:jc w:val="both"/>
        <w:rPr>
          <w:rFonts w:ascii="ArialMT" w:hAnsi="ArialMT"/>
          <w:color w:val="000000"/>
          <w:sz w:val="20"/>
          <w:szCs w:val="20"/>
        </w:rPr>
      </w:pPr>
      <w:r w:rsidRPr="000E567A">
        <w:rPr>
          <w:rFonts w:ascii="ArialMT" w:hAnsi="ArialMT"/>
          <w:color w:val="000000"/>
          <w:sz w:val="20"/>
          <w:szCs w:val="20"/>
        </w:rPr>
        <w:t>Author(s) hereby declare that NO generative AI technologies such as Large Language Models (</w:t>
      </w:r>
      <w:proofErr w:type="spellStart"/>
      <w:r w:rsidRPr="000E567A">
        <w:rPr>
          <w:rFonts w:ascii="ArialMT" w:hAnsi="ArialMT"/>
          <w:color w:val="000000"/>
          <w:sz w:val="20"/>
          <w:szCs w:val="20"/>
        </w:rPr>
        <w:t>ChatGPT</w:t>
      </w:r>
      <w:proofErr w:type="spellEnd"/>
      <w:r w:rsidRPr="000E567A">
        <w:rPr>
          <w:rFonts w:ascii="ArialMT" w:hAnsi="ArialMT"/>
          <w:color w:val="000000"/>
          <w:sz w:val="20"/>
          <w:szCs w:val="20"/>
        </w:rPr>
        <w:t>, COPILOT, etc.) and text-to-image generators have been used during the writing or editing of this manuscript.</w:t>
      </w:r>
    </w:p>
    <w:p w14:paraId="7B271F5D" w14:textId="77777777" w:rsidR="00E45956" w:rsidRDefault="00E45956" w:rsidP="00E45956">
      <w:pPr>
        <w:jc w:val="both"/>
        <w:rPr>
          <w:rFonts w:ascii="Arial-BoldMT" w:hAnsi="Arial-BoldMT"/>
          <w:b/>
          <w:bCs/>
          <w:color w:val="000000"/>
        </w:rPr>
      </w:pPr>
    </w:p>
    <w:p w14:paraId="2044C27C" w14:textId="77777777" w:rsidR="00E45956" w:rsidRDefault="00E45956" w:rsidP="00E45956">
      <w:pPr>
        <w:jc w:val="both"/>
        <w:rPr>
          <w:rFonts w:ascii="Arial-BoldMT" w:hAnsi="Arial-BoldMT"/>
          <w:b/>
          <w:bCs/>
          <w:color w:val="000000"/>
        </w:rPr>
      </w:pPr>
    </w:p>
    <w:p w14:paraId="32D5EEF0" w14:textId="4466367A" w:rsidR="00E45956" w:rsidRPr="000E567A" w:rsidRDefault="00E45956" w:rsidP="00E45956">
      <w:pPr>
        <w:jc w:val="both"/>
        <w:rPr>
          <w:rFonts w:ascii="ArialMT" w:hAnsi="ArialMT"/>
          <w:color w:val="000000"/>
          <w:sz w:val="20"/>
          <w:szCs w:val="20"/>
        </w:rPr>
      </w:pPr>
      <w:r w:rsidRPr="000E567A">
        <w:rPr>
          <w:rFonts w:ascii="Arial-BoldMT" w:hAnsi="Arial-BoldMT"/>
          <w:b/>
          <w:bCs/>
          <w:color w:val="000000"/>
        </w:rPr>
        <w:t>COMPETING INTERESTS</w:t>
      </w:r>
    </w:p>
    <w:p w14:paraId="543C43F4" w14:textId="77777777" w:rsidR="00E45956" w:rsidRDefault="00E45956" w:rsidP="00E45956">
      <w:pPr>
        <w:pStyle w:val="NormalWeb"/>
        <w:ind w:left="-851"/>
        <w:jc w:val="both"/>
      </w:pPr>
      <w:r>
        <w:rPr>
          <w:rFonts w:ascii="ArialMT" w:hAnsi="ArialMT"/>
          <w:color w:val="000000"/>
          <w:sz w:val="20"/>
          <w:szCs w:val="20"/>
        </w:rPr>
        <w:t xml:space="preserve">                 </w:t>
      </w:r>
      <w:r w:rsidRPr="000E567A">
        <w:rPr>
          <w:rFonts w:ascii="ArialMT" w:hAnsi="ArialMT"/>
          <w:color w:val="000000"/>
          <w:sz w:val="20"/>
          <w:szCs w:val="20"/>
        </w:rPr>
        <w:t>Authors have declared that no competing interests exist</w:t>
      </w:r>
    </w:p>
    <w:p w14:paraId="2EE14C16" w14:textId="30B15DF4" w:rsidR="00E45956" w:rsidRDefault="00E45956" w:rsidP="00C3640F">
      <w:pPr>
        <w:jc w:val="both"/>
      </w:pPr>
    </w:p>
    <w:p w14:paraId="5D6B580D" w14:textId="77777777" w:rsidR="00361670" w:rsidRDefault="00361670" w:rsidP="009A4741">
      <w:pPr>
        <w:jc w:val="both"/>
      </w:pPr>
    </w:p>
    <w:p w14:paraId="7A1DD0D9" w14:textId="77777777" w:rsidR="00361670" w:rsidRPr="00C3640F" w:rsidRDefault="00361670" w:rsidP="009A4741">
      <w:pPr>
        <w:jc w:val="both"/>
      </w:pPr>
    </w:p>
    <w:sdt>
      <w:sdtPr>
        <w:rPr>
          <w:b w:val="0"/>
          <w:bCs w:val="0"/>
          <w:color w:val="auto"/>
          <w:kern w:val="0"/>
          <w:sz w:val="24"/>
          <w:szCs w:val="24"/>
        </w:rPr>
        <w:id w:val="65071489"/>
        <w:docPartObj>
          <w:docPartGallery w:val="Bibliographies"/>
          <w:docPartUnique/>
        </w:docPartObj>
      </w:sdtPr>
      <w:sdtEndPr/>
      <w:sdtContent>
        <w:p w14:paraId="64E204C6" w14:textId="77777777" w:rsidR="009A4741" w:rsidRDefault="009A4741" w:rsidP="009A4741">
          <w:pPr>
            <w:pStyle w:val="Heading1"/>
          </w:pPr>
          <w:r>
            <w:t>References</w:t>
          </w:r>
        </w:p>
        <w:sdt>
          <w:sdtPr>
            <w:id w:val="-573587230"/>
            <w:bibliography/>
          </w:sdtPr>
          <w:sdtEndPr/>
          <w:sdtContent>
            <w:bookmarkStart w:id="0" w:name="_GoBack" w:displacedByCustomXml="prev"/>
            <w:p w14:paraId="4DDE0828" w14:textId="77777777" w:rsidR="009A4741" w:rsidRDefault="00B04E13" w:rsidP="00375B11">
              <w:pPr>
                <w:pStyle w:val="NormalWeb"/>
                <w:numPr>
                  <w:ilvl w:val="0"/>
                  <w:numId w:val="18"/>
                </w:numPr>
                <w:spacing w:after="0" w:afterAutospacing="0"/>
                <w:rPr>
                  <w:color w:val="1F1F1F"/>
                </w:rPr>
              </w:pPr>
              <w:proofErr w:type="spellStart"/>
              <w:r>
                <w:rPr>
                  <w:color w:val="1F1F1F"/>
                </w:rPr>
                <w:t>Abdul</w:t>
              </w:r>
              <w:r w:rsidR="009A4741">
                <w:rPr>
                  <w:color w:val="1F1F1F"/>
                </w:rPr>
                <w:t>Raheem</w:t>
              </w:r>
              <w:proofErr w:type="spellEnd"/>
              <w:r w:rsidR="009A4741">
                <w:rPr>
                  <w:color w:val="1F1F1F"/>
                </w:rPr>
                <w:t xml:space="preserve">, M., </w:t>
              </w:r>
              <w:proofErr w:type="spellStart"/>
              <w:r w:rsidR="009A4741">
                <w:rPr>
                  <w:color w:val="1F1F1F"/>
                </w:rPr>
                <w:t>Jimoh</w:t>
              </w:r>
              <w:proofErr w:type="spellEnd"/>
              <w:r w:rsidR="009A4741">
                <w:rPr>
                  <w:color w:val="1F1F1F"/>
                </w:rPr>
                <w:t xml:space="preserve">, G., &amp; Abdulrahim, H. (2022). Assessment of kitchen air pollution: Health implications for the residents of Ilorin South, Nigeria. </w:t>
              </w:r>
              <w:r w:rsidR="009A4741">
                <w:rPr>
                  <w:i/>
                  <w:iCs/>
                  <w:color w:val="1F1F1F"/>
                  <w:bdr w:val="none" w:sz="0" w:space="0" w:color="auto" w:frame="1"/>
                </w:rPr>
                <w:t>Journal of Environmental and Public Health</w:t>
              </w:r>
              <w:r w:rsidR="009A4741">
                <w:rPr>
                  <w:color w:val="1F1F1F"/>
                </w:rPr>
                <w:t xml:space="preserve">, </w:t>
              </w:r>
              <w:r w:rsidR="009A4741">
                <w:rPr>
                  <w:i/>
                  <w:iCs/>
                  <w:color w:val="1F1F1F"/>
                  <w:bdr w:val="none" w:sz="0" w:space="0" w:color="auto" w:frame="1"/>
                </w:rPr>
                <w:t>2022</w:t>
              </w:r>
              <w:r w:rsidR="009A4741">
                <w:rPr>
                  <w:color w:val="1F1F1F"/>
                </w:rPr>
                <w:t xml:space="preserve">, Article 7689141. </w:t>
              </w:r>
              <w:hyperlink r:id="rId15" w:tgtFrame="_blank" w:history="1">
                <w:r w:rsidR="009A4741">
                  <w:rPr>
                    <w:rStyle w:val="Hyperlink"/>
                    <w:color w:val="0B57D0"/>
                    <w:bdr w:val="none" w:sz="0" w:space="0" w:color="auto" w:frame="1"/>
                  </w:rPr>
                  <w:t>https://doi.org/10.1155/2022/7689141</w:t>
                </w:r>
              </w:hyperlink>
            </w:p>
            <w:p w14:paraId="59EBB368" w14:textId="77777777" w:rsidR="009A4741" w:rsidRDefault="009A4741" w:rsidP="00375B11">
              <w:pPr>
                <w:pStyle w:val="NormalWeb"/>
                <w:numPr>
                  <w:ilvl w:val="0"/>
                  <w:numId w:val="18"/>
                </w:numPr>
                <w:spacing w:after="0" w:afterAutospacing="0"/>
                <w:rPr>
                  <w:color w:val="1F1F1F"/>
                </w:rPr>
              </w:pPr>
              <w:proofErr w:type="spellStart"/>
              <w:r>
                <w:rPr>
                  <w:color w:val="1F1F1F"/>
                </w:rPr>
                <w:t>Aberilla</w:t>
              </w:r>
              <w:proofErr w:type="spellEnd"/>
              <w:r>
                <w:rPr>
                  <w:color w:val="1F1F1F"/>
                </w:rPr>
                <w:t xml:space="preserve">, J. M., Gallego-Schmid, A., Stamford, L., &amp; </w:t>
              </w:r>
              <w:proofErr w:type="spellStart"/>
              <w:r>
                <w:rPr>
                  <w:color w:val="1F1F1F"/>
                </w:rPr>
                <w:t>Azapagic</w:t>
              </w:r>
              <w:proofErr w:type="spellEnd"/>
              <w:r>
                <w:rPr>
                  <w:color w:val="1F1F1F"/>
                </w:rPr>
                <w:t xml:space="preserve">, A. (2020). Environmental sustainability of cooking fuels in remote communities: Life cycle and local impacts. </w:t>
              </w:r>
              <w:r>
                <w:rPr>
                  <w:i/>
                  <w:iCs/>
                  <w:color w:val="1F1F1F"/>
                  <w:bdr w:val="none" w:sz="0" w:space="0" w:color="auto" w:frame="1"/>
                </w:rPr>
                <w:t>Science of the Total Environment</w:t>
              </w:r>
              <w:r>
                <w:rPr>
                  <w:color w:val="1F1F1F"/>
                </w:rPr>
                <w:t xml:space="preserve">, </w:t>
              </w:r>
              <w:r>
                <w:rPr>
                  <w:i/>
                  <w:iCs/>
                  <w:color w:val="1F1F1F"/>
                  <w:bdr w:val="none" w:sz="0" w:space="0" w:color="auto" w:frame="1"/>
                </w:rPr>
                <w:t>713</w:t>
              </w:r>
              <w:r>
                <w:rPr>
                  <w:color w:val="1F1F1F"/>
                </w:rPr>
                <w:t xml:space="preserve">, 136445. </w:t>
              </w:r>
              <w:hyperlink r:id="rId16" w:tgtFrame="_blank" w:history="1">
                <w:r>
                  <w:rPr>
                    <w:rStyle w:val="Hyperlink"/>
                    <w:color w:val="0B57D0"/>
                    <w:bdr w:val="none" w:sz="0" w:space="0" w:color="auto" w:frame="1"/>
                  </w:rPr>
                  <w:t>https://doi.org/10.1016/j.scitotenv.2019.136445</w:t>
                </w:r>
              </w:hyperlink>
            </w:p>
            <w:p w14:paraId="424E848F" w14:textId="77777777" w:rsidR="009A4741" w:rsidRDefault="009A4741" w:rsidP="00375B11">
              <w:pPr>
                <w:pStyle w:val="NormalWeb"/>
                <w:numPr>
                  <w:ilvl w:val="0"/>
                  <w:numId w:val="18"/>
                </w:numPr>
                <w:spacing w:after="0" w:afterAutospacing="0"/>
                <w:rPr>
                  <w:color w:val="1F1F1F"/>
                </w:rPr>
              </w:pPr>
              <w:r>
                <w:rPr>
                  <w:color w:val="1F1F1F"/>
                </w:rPr>
                <w:t>AL-</w:t>
              </w:r>
              <w:proofErr w:type="spellStart"/>
              <w:r>
                <w:rPr>
                  <w:color w:val="1F1F1F"/>
                </w:rPr>
                <w:t>Oqla</w:t>
              </w:r>
              <w:proofErr w:type="spellEnd"/>
              <w:r>
                <w:rPr>
                  <w:color w:val="1F1F1F"/>
                </w:rPr>
                <w:t xml:space="preserve">, F. M., </w:t>
              </w:r>
              <w:proofErr w:type="spellStart"/>
              <w:r>
                <w:rPr>
                  <w:color w:val="1F1F1F"/>
                </w:rPr>
                <w:t>Alaaeddin</w:t>
              </w:r>
              <w:proofErr w:type="spellEnd"/>
              <w:r>
                <w:rPr>
                  <w:color w:val="1F1F1F"/>
                </w:rPr>
                <w:t xml:space="preserve">, M. H., Hoque, M. E., &amp; Thakur, V. K. (2022). Biopolymers and biomimetic materials in medical and electronic-related applications for environment–health–development nexus: Systematic review. </w:t>
              </w:r>
              <w:r>
                <w:rPr>
                  <w:i/>
                  <w:iCs/>
                  <w:color w:val="1F1F1F"/>
                  <w:bdr w:val="none" w:sz="0" w:space="0" w:color="auto" w:frame="1"/>
                </w:rPr>
                <w:t>Journal of Bionic Engineering</w:t>
              </w:r>
              <w:r>
                <w:rPr>
                  <w:color w:val="1F1F1F"/>
                </w:rPr>
                <w:t xml:space="preserve">, </w:t>
              </w:r>
              <w:r>
                <w:rPr>
                  <w:i/>
                  <w:iCs/>
                  <w:color w:val="1F1F1F"/>
                  <w:bdr w:val="none" w:sz="0" w:space="0" w:color="auto" w:frame="1"/>
                </w:rPr>
                <w:t>19</w:t>
              </w:r>
              <w:r>
                <w:rPr>
                  <w:color w:val="1F1F1F"/>
                </w:rPr>
                <w:t xml:space="preserve">(6), 1562–1577. </w:t>
              </w:r>
              <w:hyperlink r:id="rId17" w:tgtFrame="_blank" w:history="1">
                <w:r>
                  <w:rPr>
                    <w:rStyle w:val="Hyperlink"/>
                    <w:color w:val="0B57D0"/>
                    <w:bdr w:val="none" w:sz="0" w:space="0" w:color="auto" w:frame="1"/>
                  </w:rPr>
                  <w:t>https://doi.org/10.1007/s42235-022-00240-x</w:t>
                </w:r>
              </w:hyperlink>
            </w:p>
            <w:p w14:paraId="59402B61" w14:textId="77777777" w:rsidR="009A4741" w:rsidRDefault="009A4741" w:rsidP="00375B11">
              <w:pPr>
                <w:pStyle w:val="NormalWeb"/>
                <w:numPr>
                  <w:ilvl w:val="0"/>
                  <w:numId w:val="18"/>
                </w:numPr>
                <w:spacing w:after="0" w:afterAutospacing="0"/>
                <w:rPr>
                  <w:color w:val="1F1F1F"/>
                </w:rPr>
              </w:pPr>
              <w:r>
                <w:rPr>
                  <w:color w:val="1F1F1F"/>
                </w:rPr>
                <w:t xml:space="preserve">Amaral, A. F. S., Patel, J., Kato, B. S., </w:t>
              </w:r>
              <w:proofErr w:type="spellStart"/>
              <w:r>
                <w:rPr>
                  <w:color w:val="1F1F1F"/>
                </w:rPr>
                <w:t>Obaseki</w:t>
              </w:r>
              <w:proofErr w:type="spellEnd"/>
              <w:r>
                <w:rPr>
                  <w:color w:val="1F1F1F"/>
                </w:rPr>
                <w:t xml:space="preserve">, D. O., </w:t>
              </w:r>
              <w:proofErr w:type="spellStart"/>
              <w:r>
                <w:rPr>
                  <w:color w:val="1F1F1F"/>
                </w:rPr>
                <w:t>Lawin</w:t>
              </w:r>
              <w:proofErr w:type="spellEnd"/>
              <w:r>
                <w:rPr>
                  <w:color w:val="1F1F1F"/>
                </w:rPr>
                <w:t xml:space="preserve">, H., Tan, W. C., Burney, P., &amp; the BOLD Collaborative Research Group. (2018). Airflow obstruction and use of solid fuels for cooking or heating: BOLD (Burden of Obstructive Lung Disease) results. </w:t>
              </w:r>
              <w:r>
                <w:rPr>
                  <w:i/>
                  <w:iCs/>
                  <w:color w:val="1F1F1F"/>
                  <w:bdr w:val="none" w:sz="0" w:space="0" w:color="auto" w:frame="1"/>
                </w:rPr>
                <w:t>American Journal of Respiratory and Critical Care Medicine</w:t>
              </w:r>
              <w:r>
                <w:rPr>
                  <w:color w:val="1F1F1F"/>
                </w:rPr>
                <w:t xml:space="preserve">, </w:t>
              </w:r>
              <w:r>
                <w:rPr>
                  <w:i/>
                  <w:iCs/>
                  <w:color w:val="1F1F1F"/>
                  <w:bdr w:val="none" w:sz="0" w:space="0" w:color="auto" w:frame="1"/>
                </w:rPr>
                <w:t>197</w:t>
              </w:r>
              <w:r>
                <w:rPr>
                  <w:color w:val="1F1F1F"/>
                </w:rPr>
                <w:t xml:space="preserve">(5), 595–610. </w:t>
              </w:r>
              <w:hyperlink r:id="rId18" w:tgtFrame="_blank" w:history="1">
                <w:r>
                  <w:rPr>
                    <w:rStyle w:val="Hyperlink"/>
                    <w:color w:val="0B57D0"/>
                    <w:bdr w:val="none" w:sz="0" w:space="0" w:color="auto" w:frame="1"/>
                  </w:rPr>
                  <w:t>https://doi.org/10.1164/rccm.201707-1338OC</w:t>
                </w:r>
              </w:hyperlink>
            </w:p>
            <w:p w14:paraId="0DCD0261" w14:textId="77777777" w:rsidR="009A4741" w:rsidRDefault="009A4741" w:rsidP="00375B11">
              <w:pPr>
                <w:pStyle w:val="NormalWeb"/>
                <w:numPr>
                  <w:ilvl w:val="0"/>
                  <w:numId w:val="18"/>
                </w:numPr>
                <w:spacing w:after="0" w:afterAutospacing="0"/>
                <w:rPr>
                  <w:color w:val="1F1F1F"/>
                </w:rPr>
              </w:pPr>
              <w:proofErr w:type="spellStart"/>
              <w:r>
                <w:rPr>
                  <w:color w:val="1F1F1F"/>
                </w:rPr>
                <w:t>Anozie</w:t>
              </w:r>
              <w:proofErr w:type="spellEnd"/>
              <w:r>
                <w:rPr>
                  <w:color w:val="1F1F1F"/>
                </w:rPr>
                <w:t xml:space="preserve">, A. N., Bakare, A. R., </w:t>
              </w:r>
              <w:proofErr w:type="spellStart"/>
              <w:r>
                <w:rPr>
                  <w:color w:val="1F1F1F"/>
                </w:rPr>
                <w:t>Sonibare</w:t>
              </w:r>
              <w:proofErr w:type="spellEnd"/>
              <w:r>
                <w:rPr>
                  <w:color w:val="1F1F1F"/>
                </w:rPr>
                <w:t xml:space="preserve">, J. A., &amp; </w:t>
              </w:r>
              <w:proofErr w:type="spellStart"/>
              <w:r>
                <w:rPr>
                  <w:color w:val="1F1F1F"/>
                </w:rPr>
                <w:t>Oyebisi</w:t>
              </w:r>
              <w:proofErr w:type="spellEnd"/>
              <w:r>
                <w:rPr>
                  <w:color w:val="1F1F1F"/>
                </w:rPr>
                <w:t xml:space="preserve">, T. O. (2007). Evaluation of cooking energy cost, efficiency, impact on air pollution and policy in Nigeria. </w:t>
              </w:r>
              <w:r>
                <w:rPr>
                  <w:i/>
                  <w:iCs/>
                  <w:color w:val="1F1F1F"/>
                  <w:bdr w:val="none" w:sz="0" w:space="0" w:color="auto" w:frame="1"/>
                </w:rPr>
                <w:t>Energy</w:t>
              </w:r>
              <w:r>
                <w:rPr>
                  <w:color w:val="1F1F1F"/>
                </w:rPr>
                <w:t xml:space="preserve">, </w:t>
              </w:r>
              <w:r>
                <w:rPr>
                  <w:i/>
                  <w:iCs/>
                  <w:color w:val="1F1F1F"/>
                  <w:bdr w:val="none" w:sz="0" w:space="0" w:color="auto" w:frame="1"/>
                </w:rPr>
                <w:t>32</w:t>
              </w:r>
              <w:r>
                <w:rPr>
                  <w:color w:val="1F1F1F"/>
                </w:rPr>
                <w:t xml:space="preserve">(7), 1283–1290. </w:t>
              </w:r>
              <w:hyperlink r:id="rId19" w:tgtFrame="_blank" w:history="1">
                <w:r>
                  <w:rPr>
                    <w:rStyle w:val="Hyperlink"/>
                    <w:color w:val="0B57D0"/>
                    <w:bdr w:val="none" w:sz="0" w:space="0" w:color="auto" w:frame="1"/>
                  </w:rPr>
                  <w:t>https://doi.org/10.1016/j.energy.2006.07.004</w:t>
                </w:r>
              </w:hyperlink>
            </w:p>
            <w:p w14:paraId="0CE10A6C" w14:textId="77777777" w:rsidR="009A4741" w:rsidRDefault="009A4741" w:rsidP="00375B11">
              <w:pPr>
                <w:pStyle w:val="NormalWeb"/>
                <w:numPr>
                  <w:ilvl w:val="0"/>
                  <w:numId w:val="18"/>
                </w:numPr>
                <w:spacing w:after="0" w:afterAutospacing="0"/>
                <w:rPr>
                  <w:color w:val="1F1F1F"/>
                </w:rPr>
              </w:pPr>
              <w:proofErr w:type="spellStart"/>
              <w:r>
                <w:rPr>
                  <w:color w:val="1F1F1F"/>
                </w:rPr>
                <w:t>Awoyele</w:t>
              </w:r>
              <w:proofErr w:type="spellEnd"/>
              <w:r>
                <w:rPr>
                  <w:color w:val="1F1F1F"/>
                </w:rPr>
                <w:t xml:space="preserve">, O. M., </w:t>
              </w:r>
              <w:proofErr w:type="spellStart"/>
              <w:r>
                <w:rPr>
                  <w:color w:val="1F1F1F"/>
                </w:rPr>
                <w:t>Kamiyo</w:t>
              </w:r>
              <w:proofErr w:type="spellEnd"/>
              <w:r>
                <w:rPr>
                  <w:color w:val="1F1F1F"/>
                </w:rPr>
                <w:t xml:space="preserve">, O. M., &amp; </w:t>
              </w:r>
              <w:proofErr w:type="spellStart"/>
              <w:r>
                <w:rPr>
                  <w:color w:val="1F1F1F"/>
                </w:rPr>
                <w:t>Adewumi</w:t>
              </w:r>
              <w:proofErr w:type="spellEnd"/>
              <w:r>
                <w:rPr>
                  <w:color w:val="1F1F1F"/>
                </w:rPr>
                <w:t xml:space="preserve">, O. O. (2025). Critical review on dispersion of gaseous pollutants from indoor cooking facilities. </w:t>
              </w:r>
              <w:r>
                <w:rPr>
                  <w:i/>
                  <w:iCs/>
                  <w:color w:val="1F1F1F"/>
                  <w:bdr w:val="none" w:sz="0" w:space="0" w:color="auto" w:frame="1"/>
                </w:rPr>
                <w:t>Journal of Applied Sciences and Environmental Management</w:t>
              </w:r>
              <w:r>
                <w:rPr>
                  <w:color w:val="1F1F1F"/>
                </w:rPr>
                <w:t xml:space="preserve">, </w:t>
              </w:r>
              <w:r>
                <w:rPr>
                  <w:i/>
                  <w:iCs/>
                  <w:color w:val="1F1F1F"/>
                  <w:bdr w:val="none" w:sz="0" w:space="0" w:color="auto" w:frame="1"/>
                </w:rPr>
                <w:t>29</w:t>
              </w:r>
              <w:r>
                <w:rPr>
                  <w:color w:val="1F1F1F"/>
                </w:rPr>
                <w:t xml:space="preserve">(5), 1621–1632. </w:t>
              </w:r>
              <w:hyperlink r:id="rId20" w:tgtFrame="_blank" w:history="1">
                <w:r>
                  <w:rPr>
                    <w:rStyle w:val="Hyperlink"/>
                    <w:color w:val="0B57D0"/>
                    <w:bdr w:val="none" w:sz="0" w:space="0" w:color="auto" w:frame="1"/>
                  </w:rPr>
                  <w:t>https://doi.org/10.4314/jasem.v29i5.29</w:t>
                </w:r>
              </w:hyperlink>
            </w:p>
            <w:p w14:paraId="30599A24" w14:textId="77777777" w:rsidR="009A4741" w:rsidRDefault="009A4741" w:rsidP="00375B11">
              <w:pPr>
                <w:pStyle w:val="NormalWeb"/>
                <w:numPr>
                  <w:ilvl w:val="0"/>
                  <w:numId w:val="18"/>
                </w:numPr>
                <w:spacing w:after="0" w:afterAutospacing="0"/>
                <w:rPr>
                  <w:color w:val="1F1F1F"/>
                </w:rPr>
              </w:pPr>
              <w:r>
                <w:rPr>
                  <w:color w:val="1F1F1F"/>
                </w:rPr>
                <w:t xml:space="preserve">Bai, L., </w:t>
              </w:r>
              <w:proofErr w:type="spellStart"/>
              <w:r>
                <w:rPr>
                  <w:color w:val="1F1F1F"/>
                </w:rPr>
                <w:t>Geng</w:t>
              </w:r>
              <w:proofErr w:type="spellEnd"/>
              <w:r>
                <w:rPr>
                  <w:color w:val="1F1F1F"/>
                </w:rPr>
                <w:t xml:space="preserve">, X., &amp; Liu, X. (2024). Review of polycyclic aromatic hydrocarbons pollution characteristics and carcinogenic risk assessment in global cooking environments. </w:t>
              </w:r>
              <w:r>
                <w:rPr>
                  <w:i/>
                  <w:iCs/>
                  <w:color w:val="1F1F1F"/>
                  <w:bdr w:val="none" w:sz="0" w:space="0" w:color="auto" w:frame="1"/>
                </w:rPr>
                <w:t>Environmental Pollution</w:t>
              </w:r>
              <w:r>
                <w:rPr>
                  <w:color w:val="1F1F1F"/>
                </w:rPr>
                <w:t xml:space="preserve">, </w:t>
              </w:r>
              <w:r>
                <w:rPr>
                  <w:i/>
                  <w:iCs/>
                  <w:color w:val="1F1F1F"/>
                  <w:bdr w:val="none" w:sz="0" w:space="0" w:color="auto" w:frame="1"/>
                </w:rPr>
                <w:t>361</w:t>
              </w:r>
              <w:r>
                <w:rPr>
                  <w:color w:val="1F1F1F"/>
                </w:rPr>
                <w:t xml:space="preserve">, 124816. </w:t>
              </w:r>
              <w:hyperlink r:id="rId21" w:tgtFrame="_blank" w:history="1">
                <w:r>
                  <w:rPr>
                    <w:rStyle w:val="Hyperlink"/>
                    <w:color w:val="0B57D0"/>
                    <w:bdr w:val="none" w:sz="0" w:space="0" w:color="auto" w:frame="1"/>
                  </w:rPr>
                  <w:t>https://doi.org/10.1016/j.envpol.2024.124816</w:t>
                </w:r>
              </w:hyperlink>
            </w:p>
            <w:p w14:paraId="787B26CC" w14:textId="77777777" w:rsidR="009A4741" w:rsidRDefault="009A4741" w:rsidP="00375B11">
              <w:pPr>
                <w:pStyle w:val="NormalWeb"/>
                <w:numPr>
                  <w:ilvl w:val="0"/>
                  <w:numId w:val="18"/>
                </w:numPr>
                <w:spacing w:after="0" w:afterAutospacing="0"/>
                <w:rPr>
                  <w:color w:val="1F1F1F"/>
                </w:rPr>
              </w:pPr>
              <w:r>
                <w:rPr>
                  <w:color w:val="1F1F1F"/>
                </w:rPr>
                <w:t xml:space="preserve">Bianchi, C. (2018). </w:t>
              </w:r>
              <w:r>
                <w:rPr>
                  <w:i/>
                  <w:iCs/>
                  <w:color w:val="1F1F1F"/>
                  <w:bdr w:val="none" w:sz="0" w:space="0" w:color="auto" w:frame="1"/>
                </w:rPr>
                <w:t xml:space="preserve">Scientific and technological advancements in microwave and radiofrequency engineering: From safety in food heating and </w:t>
              </w:r>
              <w:proofErr w:type="spellStart"/>
              <w:r>
                <w:rPr>
                  <w:i/>
                  <w:iCs/>
                  <w:color w:val="1F1F1F"/>
                  <w:bdr w:val="none" w:sz="0" w:space="0" w:color="auto" w:frame="1"/>
                </w:rPr>
                <w:t>bioelectromagnetics</w:t>
              </w:r>
              <w:proofErr w:type="spellEnd"/>
              <w:r>
                <w:rPr>
                  <w:i/>
                  <w:iCs/>
                  <w:color w:val="1F1F1F"/>
                  <w:bdr w:val="none" w:sz="0" w:space="0" w:color="auto" w:frame="1"/>
                </w:rPr>
                <w:t xml:space="preserve"> to assisted technologies</w:t>
              </w:r>
              <w:r>
                <w:rPr>
                  <w:color w:val="1F1F1F"/>
                </w:rPr>
                <w:t xml:space="preserve"> (Doctoral dissertation). University of Bologna. </w:t>
              </w:r>
              <w:hyperlink r:id="rId22" w:tgtFrame="_blank" w:history="1">
                <w:r>
                  <w:rPr>
                    <w:rStyle w:val="Hyperlink"/>
                    <w:color w:val="0B57D0"/>
                    <w:bdr w:val="none" w:sz="0" w:space="0" w:color="auto" w:frame="1"/>
                  </w:rPr>
                  <w:t>https://tesidottorato.depositolegale.it</w:t>
                </w:r>
              </w:hyperlink>
            </w:p>
            <w:p w14:paraId="278C6A81" w14:textId="77777777" w:rsidR="009A4741" w:rsidRDefault="009A4741" w:rsidP="00375B11">
              <w:pPr>
                <w:pStyle w:val="NormalWeb"/>
                <w:numPr>
                  <w:ilvl w:val="0"/>
                  <w:numId w:val="18"/>
                </w:numPr>
                <w:spacing w:after="0" w:afterAutospacing="0"/>
                <w:rPr>
                  <w:color w:val="1F1F1F"/>
                </w:rPr>
              </w:pPr>
              <w:proofErr w:type="spellStart"/>
              <w:r>
                <w:rPr>
                  <w:color w:val="1F1F1F"/>
                </w:rPr>
                <w:t>Bizzo</w:t>
              </w:r>
              <w:proofErr w:type="spellEnd"/>
              <w:r>
                <w:rPr>
                  <w:color w:val="1F1F1F"/>
                </w:rPr>
                <w:t xml:space="preserve">, W. A., de </w:t>
              </w:r>
              <w:proofErr w:type="spellStart"/>
              <w:r>
                <w:rPr>
                  <w:color w:val="1F1F1F"/>
                </w:rPr>
                <w:t>Calan</w:t>
              </w:r>
              <w:proofErr w:type="spellEnd"/>
              <w:r>
                <w:rPr>
                  <w:color w:val="1F1F1F"/>
                </w:rPr>
                <w:t xml:space="preserve">, B., Myers, R., &amp; </w:t>
              </w:r>
              <w:proofErr w:type="spellStart"/>
              <w:r>
                <w:rPr>
                  <w:color w:val="1F1F1F"/>
                </w:rPr>
                <w:t>Hannecart</w:t>
              </w:r>
              <w:proofErr w:type="spellEnd"/>
              <w:r>
                <w:rPr>
                  <w:color w:val="1F1F1F"/>
                </w:rPr>
                <w:t xml:space="preserve">, T. (2004). Safety issues for clean liquid and gaseous fuels for cooking in the scope of sustainable development. </w:t>
              </w:r>
              <w:r>
                <w:rPr>
                  <w:i/>
                  <w:iCs/>
                  <w:color w:val="1F1F1F"/>
                  <w:bdr w:val="none" w:sz="0" w:space="0" w:color="auto" w:frame="1"/>
                </w:rPr>
                <w:t xml:space="preserve">Energy </w:t>
              </w:r>
              <w:r>
                <w:rPr>
                  <w:i/>
                  <w:iCs/>
                  <w:color w:val="1F1F1F"/>
                  <w:bdr w:val="none" w:sz="0" w:space="0" w:color="auto" w:frame="1"/>
                </w:rPr>
                <w:lastRenderedPageBreak/>
                <w:t>for Sustainable Development</w:t>
              </w:r>
              <w:r>
                <w:rPr>
                  <w:color w:val="1F1F1F"/>
                </w:rPr>
                <w:t xml:space="preserve">, </w:t>
              </w:r>
              <w:r>
                <w:rPr>
                  <w:i/>
                  <w:iCs/>
                  <w:color w:val="1F1F1F"/>
                  <w:bdr w:val="none" w:sz="0" w:space="0" w:color="auto" w:frame="1"/>
                </w:rPr>
                <w:t>8</w:t>
              </w:r>
              <w:r>
                <w:rPr>
                  <w:color w:val="1F1F1F"/>
                </w:rPr>
                <w:t xml:space="preserve">(3), 60–67. </w:t>
              </w:r>
              <w:hyperlink r:id="rId23" w:tgtFrame="_blank" w:history="1">
                <w:r>
                  <w:rPr>
                    <w:rStyle w:val="Hyperlink"/>
                    <w:color w:val="0B57D0"/>
                    <w:bdr w:val="none" w:sz="0" w:space="0" w:color="auto" w:frame="1"/>
                  </w:rPr>
                  <w:t>https://doi.org/10.1016/S0973-0826(08)60467-6</w:t>
                </w:r>
              </w:hyperlink>
            </w:p>
            <w:p w14:paraId="50DE9D38" w14:textId="77777777" w:rsidR="009A4741" w:rsidRDefault="009A4741" w:rsidP="00375B11">
              <w:pPr>
                <w:pStyle w:val="NormalWeb"/>
                <w:numPr>
                  <w:ilvl w:val="0"/>
                  <w:numId w:val="18"/>
                </w:numPr>
                <w:spacing w:after="0" w:afterAutospacing="0"/>
                <w:rPr>
                  <w:color w:val="1F1F1F"/>
                </w:rPr>
              </w:pPr>
              <w:r>
                <w:rPr>
                  <w:color w:val="1F1F1F"/>
                </w:rPr>
                <w:t xml:space="preserve">Cen, K., Song, B., Jiao, W., Yu, W., Liu, T., Zhang, H., &amp; Du, J. (2021). Quantitative risk assessment of gas leakage and explosion accidents and its security measures in open kitchens. </w:t>
              </w:r>
              <w:r>
                <w:rPr>
                  <w:i/>
                  <w:iCs/>
                  <w:color w:val="1F1F1F"/>
                  <w:bdr w:val="none" w:sz="0" w:space="0" w:color="auto" w:frame="1"/>
                </w:rPr>
                <w:t>Engineering Failure Analysis</w:t>
              </w:r>
              <w:r>
                <w:rPr>
                  <w:color w:val="1F1F1F"/>
                </w:rPr>
                <w:t xml:space="preserve">, </w:t>
              </w:r>
              <w:r>
                <w:rPr>
                  <w:i/>
                  <w:iCs/>
                  <w:color w:val="1F1F1F"/>
                  <w:bdr w:val="none" w:sz="0" w:space="0" w:color="auto" w:frame="1"/>
                </w:rPr>
                <w:t>129</w:t>
              </w:r>
              <w:r>
                <w:rPr>
                  <w:color w:val="1F1F1F"/>
                </w:rPr>
                <w:t xml:space="preserve">, 105763. </w:t>
              </w:r>
              <w:hyperlink r:id="rId24" w:tgtFrame="_blank" w:history="1">
                <w:r>
                  <w:rPr>
                    <w:rStyle w:val="Hyperlink"/>
                    <w:color w:val="0B57D0"/>
                    <w:bdr w:val="none" w:sz="0" w:space="0" w:color="auto" w:frame="1"/>
                  </w:rPr>
                  <w:t>https://doi.org/10.1016/j.engfailanal.2021.105763</w:t>
                </w:r>
              </w:hyperlink>
            </w:p>
            <w:p w14:paraId="53D56EAC" w14:textId="77777777" w:rsidR="006A691C" w:rsidRDefault="009A4741" w:rsidP="00375B11">
              <w:pPr>
                <w:pStyle w:val="NormalWeb"/>
                <w:numPr>
                  <w:ilvl w:val="0"/>
                  <w:numId w:val="18"/>
                </w:numPr>
                <w:spacing w:after="0" w:afterAutospacing="0"/>
                <w:rPr>
                  <w:rStyle w:val="Hyperlink"/>
                  <w:color w:val="0B57D0"/>
                  <w:bdr w:val="none" w:sz="0" w:space="0" w:color="auto" w:frame="1"/>
                </w:rPr>
              </w:pPr>
              <w:r>
                <w:rPr>
                  <w:color w:val="1F1F1F"/>
                </w:rPr>
                <w:t xml:space="preserve">Cen, K., Wei, Y., Dai, M., Song, B., Xu, H., &amp; Li, X. (2024). Quantitative risk assessment of gas leakage and explosion in open kitchens and partitioned kitchens. </w:t>
              </w:r>
              <w:r>
                <w:rPr>
                  <w:i/>
                  <w:iCs/>
                  <w:color w:val="1F1F1F"/>
                  <w:bdr w:val="none" w:sz="0" w:space="0" w:color="auto" w:frame="1"/>
                </w:rPr>
                <w:t>Energy Sources, Part A: Recovery, Utilization, and Environmental Effects</w:t>
              </w:r>
              <w:r>
                <w:rPr>
                  <w:color w:val="1F1F1F"/>
                </w:rPr>
                <w:t xml:space="preserve">. </w:t>
              </w:r>
              <w:hyperlink r:id="rId25" w:tgtFrame="_blank" w:history="1">
                <w:r>
                  <w:rPr>
                    <w:rStyle w:val="Hyperlink"/>
                    <w:color w:val="0B57D0"/>
                    <w:bdr w:val="none" w:sz="0" w:space="0" w:color="auto" w:frame="1"/>
                  </w:rPr>
                  <w:t>https://doi.org/10.1080/15567036.2024.2351181</w:t>
                </w:r>
              </w:hyperlink>
            </w:p>
            <w:p w14:paraId="64966885" w14:textId="1243F332" w:rsidR="006A691C" w:rsidRPr="006A691C" w:rsidRDefault="006A691C" w:rsidP="00375B11">
              <w:pPr>
                <w:pStyle w:val="NormalWeb"/>
                <w:numPr>
                  <w:ilvl w:val="0"/>
                  <w:numId w:val="18"/>
                </w:numPr>
                <w:spacing w:after="0" w:afterAutospacing="0"/>
                <w:rPr>
                  <w:color w:val="0B57D0"/>
                  <w:u w:val="single"/>
                  <w:bdr w:val="none" w:sz="0" w:space="0" w:color="auto" w:frame="1"/>
                </w:rPr>
              </w:pPr>
              <w:proofErr w:type="spellStart"/>
              <w:r w:rsidRPr="006A691C">
                <w:t>Colombi</w:t>
              </w:r>
              <w:proofErr w:type="spellEnd"/>
              <w:r w:rsidRPr="006A691C">
                <w:t xml:space="preserve">, D., Xu, B., Anguiano </w:t>
              </w:r>
              <w:proofErr w:type="spellStart"/>
              <w:r w:rsidRPr="006A691C">
                <w:t>Sanjurjo</w:t>
              </w:r>
              <w:proofErr w:type="spellEnd"/>
              <w:r w:rsidRPr="006A691C">
                <w:t xml:space="preserve">, D., Joshi, P., </w:t>
              </w:r>
              <w:proofErr w:type="spellStart"/>
              <w:r w:rsidRPr="006A691C">
                <w:t>Ghasemifard</w:t>
              </w:r>
              <w:proofErr w:type="spellEnd"/>
              <w:r w:rsidRPr="006A691C">
                <w:t xml:space="preserve">, F., Di Paola, C., &amp; </w:t>
              </w:r>
              <w:proofErr w:type="spellStart"/>
              <w:r w:rsidRPr="006A691C">
                <w:t>Törnevik</w:t>
              </w:r>
              <w:proofErr w:type="spellEnd"/>
              <w:r w:rsidRPr="006A691C">
                <w:t xml:space="preserve">, C. (2022). Implications of ICNIRP 2020 exposure guidelines on the RF EMF compliance boundary of base stations. Frontiers in Communications and Networks, 3, Article 744528. </w:t>
              </w:r>
              <w:hyperlink r:id="rId26" w:history="1">
                <w:r w:rsidRPr="006A691C">
                  <w:rPr>
                    <w:rStyle w:val="Hyperlink"/>
                  </w:rPr>
                  <w:t>https://doi.org/10.3389/frcmn.2022.744528</w:t>
                </w:r>
              </w:hyperlink>
            </w:p>
            <w:p w14:paraId="2BB31C6C" w14:textId="77777777" w:rsidR="00D63296" w:rsidRDefault="009A4741" w:rsidP="00375B11">
              <w:pPr>
                <w:pStyle w:val="NormalWeb"/>
                <w:numPr>
                  <w:ilvl w:val="0"/>
                  <w:numId w:val="18"/>
                </w:numPr>
                <w:spacing w:after="0" w:afterAutospacing="0"/>
                <w:rPr>
                  <w:rStyle w:val="Hyperlink"/>
                  <w:color w:val="0B57D0"/>
                  <w:bdr w:val="none" w:sz="0" w:space="0" w:color="auto" w:frame="1"/>
                </w:rPr>
              </w:pPr>
              <w:proofErr w:type="spellStart"/>
              <w:r>
                <w:rPr>
                  <w:color w:val="1F1F1F"/>
                </w:rPr>
                <w:t>Fatmi</w:t>
              </w:r>
              <w:proofErr w:type="spellEnd"/>
              <w:r>
                <w:rPr>
                  <w:color w:val="1F1F1F"/>
                </w:rPr>
                <w:t xml:space="preserve">, Z., &amp; Coggon, D. (2016). Coronary heart disease and household air pollution from use of solid fuel: A systematic review. </w:t>
              </w:r>
              <w:r>
                <w:rPr>
                  <w:i/>
                  <w:iCs/>
                  <w:color w:val="1F1F1F"/>
                  <w:bdr w:val="none" w:sz="0" w:space="0" w:color="auto" w:frame="1"/>
                </w:rPr>
                <w:t>British Medical Bulletin</w:t>
              </w:r>
              <w:r>
                <w:rPr>
                  <w:color w:val="1F1F1F"/>
                </w:rPr>
                <w:t xml:space="preserve">, </w:t>
              </w:r>
              <w:r>
                <w:rPr>
                  <w:i/>
                  <w:iCs/>
                  <w:color w:val="1F1F1F"/>
                  <w:bdr w:val="none" w:sz="0" w:space="0" w:color="auto" w:frame="1"/>
                </w:rPr>
                <w:t>118</w:t>
              </w:r>
              <w:r>
                <w:rPr>
                  <w:color w:val="1F1F1F"/>
                </w:rPr>
                <w:t xml:space="preserve">(1), 91–109. </w:t>
              </w:r>
              <w:hyperlink r:id="rId27" w:tgtFrame="_blank" w:history="1">
                <w:r>
                  <w:rPr>
                    <w:rStyle w:val="Hyperlink"/>
                    <w:color w:val="0B57D0"/>
                    <w:bdr w:val="none" w:sz="0" w:space="0" w:color="auto" w:frame="1"/>
                  </w:rPr>
                  <w:t>https://doi.org/10.1093/bmb/ldw015</w:t>
                </w:r>
              </w:hyperlink>
            </w:p>
            <w:p w14:paraId="1863EB3A" w14:textId="32C787D7" w:rsidR="00D63296" w:rsidRPr="00D63296" w:rsidRDefault="00D63296" w:rsidP="00375B11">
              <w:pPr>
                <w:pStyle w:val="NormalWeb"/>
                <w:numPr>
                  <w:ilvl w:val="0"/>
                  <w:numId w:val="18"/>
                </w:numPr>
                <w:spacing w:after="0" w:afterAutospacing="0"/>
                <w:rPr>
                  <w:color w:val="0B57D0"/>
                  <w:u w:val="single"/>
                  <w:bdr w:val="none" w:sz="0" w:space="0" w:color="auto" w:frame="1"/>
                </w:rPr>
              </w:pPr>
              <w:proofErr w:type="spellStart"/>
              <w:r>
                <w:t>Gioda</w:t>
              </w:r>
              <w:proofErr w:type="spellEnd"/>
              <w:r>
                <w:t xml:space="preserve">, A., de Menezes Correia da Silva, L. F., &amp; </w:t>
              </w:r>
              <w:proofErr w:type="spellStart"/>
              <w:r>
                <w:t>Huamán</w:t>
              </w:r>
              <w:proofErr w:type="spellEnd"/>
              <w:r>
                <w:t xml:space="preserve"> De La Cruz, A. R. (2025). </w:t>
              </w:r>
              <w:r>
                <w:rPr>
                  <w:rStyle w:val="Emphasis"/>
                </w:rPr>
                <w:t>Assessment of cooking technologies in energy transition: Impacts on pollutant concentrations</w:t>
              </w:r>
              <w:r>
                <w:t xml:space="preserve">. </w:t>
              </w:r>
              <w:r>
                <w:rPr>
                  <w:rStyle w:val="Emphasis"/>
                </w:rPr>
                <w:t>Environmental Monitoring and Assessment, 197</w:t>
              </w:r>
              <w:r>
                <w:t xml:space="preserve">(6), Article 680. </w:t>
              </w:r>
              <w:hyperlink r:id="rId28" w:history="1">
                <w:r>
                  <w:rPr>
                    <w:rStyle w:val="Hyperlink"/>
                  </w:rPr>
                  <w:t>https://doi.org/10.1007/s10661-025-14155-7</w:t>
                </w:r>
              </w:hyperlink>
              <w:r>
                <w:t xml:space="preserve"> (</w:t>
              </w:r>
              <w:hyperlink r:id="rId29" w:tooltip="Assessment of cooking technologies in energy transition" w:history="1">
                <w:r>
                  <w:rPr>
                    <w:rStyle w:val="Hyperlink"/>
                  </w:rPr>
                  <w:t>PubMed</w:t>
                </w:r>
              </w:hyperlink>
              <w:r>
                <w:t>)</w:t>
              </w:r>
            </w:p>
            <w:p w14:paraId="1F6DDA66" w14:textId="77777777" w:rsidR="009A4741" w:rsidRDefault="009A4741" w:rsidP="00375B11">
              <w:pPr>
                <w:pStyle w:val="NormalWeb"/>
                <w:numPr>
                  <w:ilvl w:val="0"/>
                  <w:numId w:val="18"/>
                </w:numPr>
                <w:spacing w:after="0" w:afterAutospacing="0"/>
                <w:rPr>
                  <w:color w:val="1F1F1F"/>
                </w:rPr>
              </w:pPr>
              <w:proofErr w:type="spellStart"/>
              <w:r>
                <w:rPr>
                  <w:color w:val="1F1F1F"/>
                </w:rPr>
                <w:t>Habash</w:t>
              </w:r>
              <w:proofErr w:type="spellEnd"/>
              <w:r>
                <w:rPr>
                  <w:color w:val="1F1F1F"/>
                </w:rPr>
                <w:t xml:space="preserve">, R. W. Y. (2018). </w:t>
              </w:r>
              <w:r>
                <w:rPr>
                  <w:i/>
                  <w:iCs/>
                  <w:color w:val="1F1F1F"/>
                  <w:bdr w:val="none" w:sz="0" w:space="0" w:color="auto" w:frame="1"/>
                </w:rPr>
                <w:t>Electromagnetic fields and radiation: Human bioeffects and safety</w:t>
              </w:r>
              <w:r>
                <w:rPr>
                  <w:color w:val="1F1F1F"/>
                </w:rPr>
                <w:t xml:space="preserve"> (1st ed.). CRC Press/Taylor &amp; Francis. </w:t>
              </w:r>
              <w:hyperlink r:id="rId30" w:tgtFrame="_blank" w:history="1">
                <w:r>
                  <w:rPr>
                    <w:rStyle w:val="Hyperlink"/>
                    <w:color w:val="0B57D0"/>
                    <w:bdr w:val="none" w:sz="0" w:space="0" w:color="auto" w:frame="1"/>
                  </w:rPr>
                  <w:t>https://doi.org/10.1201/9781482294729</w:t>
                </w:r>
              </w:hyperlink>
            </w:p>
            <w:p w14:paraId="546041B6" w14:textId="77777777" w:rsidR="009A4741" w:rsidRDefault="009A4741" w:rsidP="00375B11">
              <w:pPr>
                <w:pStyle w:val="NormalWeb"/>
                <w:numPr>
                  <w:ilvl w:val="0"/>
                  <w:numId w:val="18"/>
                </w:numPr>
                <w:spacing w:after="0" w:afterAutospacing="0"/>
                <w:rPr>
                  <w:color w:val="1F1F1F"/>
                </w:rPr>
              </w:pPr>
              <w:r>
                <w:rPr>
                  <w:color w:val="1F1F1F"/>
                </w:rPr>
                <w:t xml:space="preserve">Jarvis, D., Chinn, S., Sterne, J., </w:t>
              </w:r>
              <w:proofErr w:type="spellStart"/>
              <w:r>
                <w:rPr>
                  <w:color w:val="1F1F1F"/>
                </w:rPr>
                <w:t>Luczynska</w:t>
              </w:r>
              <w:proofErr w:type="spellEnd"/>
              <w:r>
                <w:rPr>
                  <w:color w:val="1F1F1F"/>
                </w:rPr>
                <w:t xml:space="preserve">, C., &amp; Burney, P. (1998). The association of respiratory symptoms and lung function with the use of gas for cooking: European Community Respiratory Health Survey. </w:t>
              </w:r>
              <w:r>
                <w:rPr>
                  <w:i/>
                  <w:iCs/>
                  <w:color w:val="1F1F1F"/>
                  <w:bdr w:val="none" w:sz="0" w:space="0" w:color="auto" w:frame="1"/>
                </w:rPr>
                <w:t>European Respiratory Journal</w:t>
              </w:r>
              <w:r>
                <w:rPr>
                  <w:color w:val="1F1F1F"/>
                </w:rPr>
                <w:t xml:space="preserve">, </w:t>
              </w:r>
              <w:r>
                <w:rPr>
                  <w:i/>
                  <w:iCs/>
                  <w:color w:val="1F1F1F"/>
                  <w:bdr w:val="none" w:sz="0" w:space="0" w:color="auto" w:frame="1"/>
                </w:rPr>
                <w:t>11</w:t>
              </w:r>
              <w:r>
                <w:rPr>
                  <w:color w:val="1F1F1F"/>
                </w:rPr>
                <w:t xml:space="preserve">(3), 651–658. </w:t>
              </w:r>
              <w:hyperlink r:id="rId31" w:tgtFrame="_blank" w:history="1">
                <w:r>
                  <w:rPr>
                    <w:rStyle w:val="Hyperlink"/>
                    <w:color w:val="0B57D0"/>
                    <w:bdr w:val="none" w:sz="0" w:space="0" w:color="auto" w:frame="1"/>
                  </w:rPr>
                  <w:t>https://doi.org/10.1183/09031936.98.11030651</w:t>
                </w:r>
              </w:hyperlink>
            </w:p>
            <w:p w14:paraId="0BC5C7F9" w14:textId="77777777" w:rsidR="009A4741" w:rsidRDefault="009A4741" w:rsidP="00375B11">
              <w:pPr>
                <w:pStyle w:val="NormalWeb"/>
                <w:numPr>
                  <w:ilvl w:val="0"/>
                  <w:numId w:val="18"/>
                </w:numPr>
                <w:spacing w:after="0" w:afterAutospacing="0"/>
                <w:rPr>
                  <w:color w:val="1F1F1F"/>
                </w:rPr>
              </w:pPr>
              <w:proofErr w:type="spellStart"/>
              <w:r>
                <w:rPr>
                  <w:color w:val="1F1F1F"/>
                </w:rPr>
                <w:t>Juntarawijit</w:t>
              </w:r>
              <w:proofErr w:type="spellEnd"/>
              <w:r>
                <w:rPr>
                  <w:color w:val="1F1F1F"/>
                </w:rPr>
                <w:t xml:space="preserve">, Y., &amp; </w:t>
              </w:r>
              <w:proofErr w:type="spellStart"/>
              <w:r>
                <w:rPr>
                  <w:color w:val="1F1F1F"/>
                </w:rPr>
                <w:t>Juntarawijit</w:t>
              </w:r>
              <w:proofErr w:type="spellEnd"/>
              <w:r>
                <w:rPr>
                  <w:color w:val="1F1F1F"/>
                </w:rPr>
                <w:t xml:space="preserve">, C. (2019). Cooking smoke exposure and respiratory symptoms among those responsible for household cooking: A study in </w:t>
              </w:r>
              <w:proofErr w:type="spellStart"/>
              <w:r>
                <w:rPr>
                  <w:color w:val="1F1F1F"/>
                </w:rPr>
                <w:t>Phitsanulok</w:t>
              </w:r>
              <w:proofErr w:type="spellEnd"/>
              <w:r>
                <w:rPr>
                  <w:color w:val="1F1F1F"/>
                </w:rPr>
                <w:t xml:space="preserve">, Thailand. </w:t>
              </w:r>
              <w:proofErr w:type="spellStart"/>
              <w:r>
                <w:rPr>
                  <w:i/>
                  <w:iCs/>
                  <w:color w:val="1F1F1F"/>
                  <w:bdr w:val="none" w:sz="0" w:space="0" w:color="auto" w:frame="1"/>
                </w:rPr>
                <w:t>Heliyon</w:t>
              </w:r>
              <w:proofErr w:type="spellEnd"/>
              <w:r>
                <w:rPr>
                  <w:color w:val="1F1F1F"/>
                </w:rPr>
                <w:t xml:space="preserve">, </w:t>
              </w:r>
              <w:r>
                <w:rPr>
                  <w:i/>
                  <w:iCs/>
                  <w:color w:val="1F1F1F"/>
                  <w:bdr w:val="none" w:sz="0" w:space="0" w:color="auto" w:frame="1"/>
                </w:rPr>
                <w:t>5</w:t>
              </w:r>
              <w:r>
                <w:rPr>
                  <w:color w:val="1F1F1F"/>
                </w:rPr>
                <w:t xml:space="preserve">(5), e01706. </w:t>
              </w:r>
              <w:hyperlink r:id="rId32" w:tgtFrame="_blank" w:history="1">
                <w:r>
                  <w:rPr>
                    <w:rStyle w:val="Hyperlink"/>
                    <w:color w:val="0B57D0"/>
                    <w:bdr w:val="none" w:sz="0" w:space="0" w:color="auto" w:frame="1"/>
                  </w:rPr>
                  <w:t>https://doi.org/10.1016/j.heliyon.2019.e01706</w:t>
                </w:r>
              </w:hyperlink>
            </w:p>
            <w:p w14:paraId="3D9561AA" w14:textId="77777777" w:rsidR="009A4741" w:rsidRDefault="009A4741" w:rsidP="00375B11">
              <w:pPr>
                <w:pStyle w:val="NormalWeb"/>
                <w:numPr>
                  <w:ilvl w:val="0"/>
                  <w:numId w:val="18"/>
                </w:numPr>
                <w:spacing w:after="0" w:afterAutospacing="0"/>
                <w:rPr>
                  <w:color w:val="1F1F1F"/>
                </w:rPr>
              </w:pPr>
              <w:r>
                <w:rPr>
                  <w:color w:val="1F1F1F"/>
                </w:rPr>
                <w:t xml:space="preserve">Kabir, E., &amp; Kim, K.-H. (2011). An investigation on hazardous and odorous pollutant emission during cooking activities. </w:t>
              </w:r>
              <w:r>
                <w:rPr>
                  <w:i/>
                  <w:iCs/>
                  <w:color w:val="1F1F1F"/>
                  <w:bdr w:val="none" w:sz="0" w:space="0" w:color="auto" w:frame="1"/>
                </w:rPr>
                <w:t>Journal of Hazardous Materials</w:t>
              </w:r>
              <w:r>
                <w:rPr>
                  <w:color w:val="1F1F1F"/>
                </w:rPr>
                <w:t xml:space="preserve">, </w:t>
              </w:r>
              <w:r>
                <w:rPr>
                  <w:i/>
                  <w:iCs/>
                  <w:color w:val="1F1F1F"/>
                  <w:bdr w:val="none" w:sz="0" w:space="0" w:color="auto" w:frame="1"/>
                </w:rPr>
                <w:t>188</w:t>
              </w:r>
              <w:r>
                <w:rPr>
                  <w:color w:val="1F1F1F"/>
                </w:rPr>
                <w:t xml:space="preserve">(1–3), 443–454. </w:t>
              </w:r>
              <w:hyperlink r:id="rId33" w:tgtFrame="_blank" w:history="1">
                <w:r>
                  <w:rPr>
                    <w:rStyle w:val="Hyperlink"/>
                    <w:color w:val="0B57D0"/>
                    <w:bdr w:val="none" w:sz="0" w:space="0" w:color="auto" w:frame="1"/>
                  </w:rPr>
                  <w:t>https://doi.org/10.1016/j.jhazmat.2011.01.113</w:t>
                </w:r>
              </w:hyperlink>
            </w:p>
            <w:p w14:paraId="26D0982B" w14:textId="77777777" w:rsidR="009A4741" w:rsidRDefault="009A4741" w:rsidP="00375B11">
              <w:pPr>
                <w:pStyle w:val="NormalWeb"/>
                <w:numPr>
                  <w:ilvl w:val="0"/>
                  <w:numId w:val="18"/>
                </w:numPr>
                <w:spacing w:after="0" w:afterAutospacing="0"/>
                <w:rPr>
                  <w:color w:val="1F1F1F"/>
                </w:rPr>
              </w:pPr>
              <w:r>
                <w:rPr>
                  <w:color w:val="1F1F1F"/>
                </w:rPr>
                <w:t xml:space="preserve">Kim, K.-H., Pandey, S. K., Kabir, E., </w:t>
              </w:r>
              <w:proofErr w:type="spellStart"/>
              <w:r>
                <w:rPr>
                  <w:color w:val="1F1F1F"/>
                </w:rPr>
                <w:t>Susaya</w:t>
              </w:r>
              <w:proofErr w:type="spellEnd"/>
              <w:r>
                <w:rPr>
                  <w:color w:val="1F1F1F"/>
                </w:rPr>
                <w:t xml:space="preserve">, J., &amp; Brown, R. J. C. (2011). The modern paradox of unregulated cooking activities and indoor air quality. </w:t>
              </w:r>
              <w:r>
                <w:rPr>
                  <w:i/>
                  <w:iCs/>
                  <w:color w:val="1F1F1F"/>
                  <w:bdr w:val="none" w:sz="0" w:space="0" w:color="auto" w:frame="1"/>
                </w:rPr>
                <w:t>Journal of Hazardous Materials</w:t>
              </w:r>
              <w:r>
                <w:rPr>
                  <w:color w:val="1F1F1F"/>
                </w:rPr>
                <w:t xml:space="preserve">, </w:t>
              </w:r>
              <w:r>
                <w:rPr>
                  <w:i/>
                  <w:iCs/>
                  <w:color w:val="1F1F1F"/>
                  <w:bdr w:val="none" w:sz="0" w:space="0" w:color="auto" w:frame="1"/>
                </w:rPr>
                <w:t>195</w:t>
              </w:r>
              <w:r>
                <w:rPr>
                  <w:color w:val="1F1F1F"/>
                </w:rPr>
                <w:t xml:space="preserve">, 1–10. </w:t>
              </w:r>
              <w:hyperlink r:id="rId34" w:tgtFrame="_blank" w:history="1">
                <w:r>
                  <w:rPr>
                    <w:rStyle w:val="Hyperlink"/>
                    <w:color w:val="0B57D0"/>
                    <w:bdr w:val="none" w:sz="0" w:space="0" w:color="auto" w:frame="1"/>
                  </w:rPr>
                  <w:t>https://doi.org/10.1016/j.jhazmat.2011.08.037</w:t>
                </w:r>
              </w:hyperlink>
            </w:p>
            <w:p w14:paraId="2B6A6232" w14:textId="77777777" w:rsidR="009A4741" w:rsidRDefault="009A4741" w:rsidP="00375B11">
              <w:pPr>
                <w:pStyle w:val="NormalWeb"/>
                <w:numPr>
                  <w:ilvl w:val="0"/>
                  <w:numId w:val="18"/>
                </w:numPr>
                <w:spacing w:after="0" w:afterAutospacing="0"/>
                <w:rPr>
                  <w:color w:val="1F1F1F"/>
                </w:rPr>
              </w:pPr>
              <w:r>
                <w:rPr>
                  <w:color w:val="1F1F1F"/>
                </w:rPr>
                <w:t xml:space="preserve">Kulkarni, P. P., &amp; </w:t>
              </w:r>
              <w:proofErr w:type="spellStart"/>
              <w:r>
                <w:rPr>
                  <w:color w:val="1F1F1F"/>
                </w:rPr>
                <w:t>Mahalle</w:t>
              </w:r>
              <w:proofErr w:type="spellEnd"/>
              <w:r>
                <w:rPr>
                  <w:color w:val="1F1F1F"/>
                </w:rPr>
                <w:t xml:space="preserve">, P. N. (2025). </w:t>
              </w:r>
              <w:r>
                <w:rPr>
                  <w:i/>
                  <w:iCs/>
                  <w:color w:val="1F1F1F"/>
                  <w:bdr w:val="none" w:sz="0" w:space="0" w:color="auto" w:frame="1"/>
                </w:rPr>
                <w:t>Electromagnetic radiations: Exposure and impact</w:t>
              </w:r>
              <w:r>
                <w:rPr>
                  <w:color w:val="1F1F1F"/>
                </w:rPr>
                <w:t xml:space="preserve"> (1st ed.). CRC Press. </w:t>
              </w:r>
              <w:hyperlink r:id="rId35" w:tgtFrame="_blank" w:history="1">
                <w:r>
                  <w:rPr>
                    <w:rStyle w:val="Hyperlink"/>
                    <w:color w:val="0B57D0"/>
                    <w:bdr w:val="none" w:sz="0" w:space="0" w:color="auto" w:frame="1"/>
                  </w:rPr>
                  <w:t>https://doi.org/10.1201/9781003590712</w:t>
                </w:r>
              </w:hyperlink>
            </w:p>
            <w:p w14:paraId="2B45D0F6" w14:textId="77777777" w:rsidR="009A4741" w:rsidRDefault="009A4741" w:rsidP="00375B11">
              <w:pPr>
                <w:pStyle w:val="NormalWeb"/>
                <w:numPr>
                  <w:ilvl w:val="0"/>
                  <w:numId w:val="18"/>
                </w:numPr>
                <w:spacing w:after="0" w:afterAutospacing="0"/>
                <w:rPr>
                  <w:color w:val="1F1F1F"/>
                </w:rPr>
              </w:pPr>
              <w:r>
                <w:rPr>
                  <w:color w:val="1F1F1F"/>
                </w:rPr>
                <w:t xml:space="preserve">Lebel, E. D., </w:t>
              </w:r>
              <w:proofErr w:type="spellStart"/>
              <w:r>
                <w:rPr>
                  <w:color w:val="1F1F1F"/>
                </w:rPr>
                <w:t>Michanowicz</w:t>
              </w:r>
              <w:proofErr w:type="spellEnd"/>
              <w:r>
                <w:rPr>
                  <w:color w:val="1F1F1F"/>
                </w:rPr>
                <w:t xml:space="preserve">, D. R., </w:t>
              </w:r>
              <w:proofErr w:type="spellStart"/>
              <w:r>
                <w:rPr>
                  <w:color w:val="1F1F1F"/>
                </w:rPr>
                <w:t>Bilsback</w:t>
              </w:r>
              <w:proofErr w:type="spellEnd"/>
              <w:r>
                <w:rPr>
                  <w:color w:val="1F1F1F"/>
                </w:rPr>
                <w:t xml:space="preserve">, K. R., Hill, L. A. L., </w:t>
              </w:r>
              <w:proofErr w:type="spellStart"/>
              <w:r>
                <w:rPr>
                  <w:color w:val="1F1F1F"/>
                </w:rPr>
                <w:t>Domen</w:t>
              </w:r>
              <w:proofErr w:type="spellEnd"/>
              <w:r>
                <w:rPr>
                  <w:color w:val="1F1F1F"/>
                </w:rPr>
                <w:t xml:space="preserve">, J. K., Jaeger, J. M., Shonkoff, S. B. C., &amp; Ruiz, A. (2022). Composition, emissions, and air quality impacts of hazardous air pollutants in unburned natural gas from residential stoves in California. </w:t>
              </w:r>
              <w:r>
                <w:rPr>
                  <w:i/>
                  <w:iCs/>
                  <w:color w:val="1F1F1F"/>
                  <w:bdr w:val="none" w:sz="0" w:space="0" w:color="auto" w:frame="1"/>
                </w:rPr>
                <w:t>Environmental Science &amp; Technology</w:t>
              </w:r>
              <w:r>
                <w:rPr>
                  <w:color w:val="1F1F1F"/>
                </w:rPr>
                <w:t xml:space="preserve">, </w:t>
              </w:r>
              <w:r>
                <w:rPr>
                  <w:i/>
                  <w:iCs/>
                  <w:color w:val="1F1F1F"/>
                  <w:bdr w:val="none" w:sz="0" w:space="0" w:color="auto" w:frame="1"/>
                </w:rPr>
                <w:t>56</w:t>
              </w:r>
              <w:r>
                <w:rPr>
                  <w:color w:val="1F1F1F"/>
                </w:rPr>
                <w:t xml:space="preserve">(22), 15345–15356. </w:t>
              </w:r>
              <w:hyperlink r:id="rId36" w:tgtFrame="_blank" w:history="1">
                <w:r>
                  <w:rPr>
                    <w:rStyle w:val="Hyperlink"/>
                    <w:color w:val="0B57D0"/>
                    <w:bdr w:val="none" w:sz="0" w:space="0" w:color="auto" w:frame="1"/>
                  </w:rPr>
                  <w:t>https://doi.org/10.1021/acs.est.2c02581</w:t>
                </w:r>
              </w:hyperlink>
            </w:p>
            <w:p w14:paraId="306E3B12" w14:textId="77777777" w:rsidR="009A4741" w:rsidRDefault="009A4741" w:rsidP="00375B11">
              <w:pPr>
                <w:pStyle w:val="NormalWeb"/>
                <w:numPr>
                  <w:ilvl w:val="0"/>
                  <w:numId w:val="18"/>
                </w:numPr>
                <w:spacing w:after="0" w:afterAutospacing="0"/>
                <w:rPr>
                  <w:color w:val="1F1F1F"/>
                </w:rPr>
              </w:pPr>
              <w:r>
                <w:rPr>
                  <w:color w:val="1F1F1F"/>
                </w:rPr>
                <w:t xml:space="preserve">Lee, I.-J., Lee, S.-G., Choi, B.-H., </w:t>
              </w:r>
              <w:proofErr w:type="spellStart"/>
              <w:r>
                <w:rPr>
                  <w:color w:val="1F1F1F"/>
                </w:rPr>
                <w:t>Seo</w:t>
              </w:r>
              <w:proofErr w:type="spellEnd"/>
              <w:r>
                <w:rPr>
                  <w:color w:val="1F1F1F"/>
                </w:rPr>
                <w:t xml:space="preserve">, H.-K., &amp; Choi, J.-H. (2022). Hazard levels of cooking fumes in Republic of Korea schools. </w:t>
              </w:r>
              <w:r>
                <w:rPr>
                  <w:i/>
                  <w:iCs/>
                  <w:color w:val="1F1F1F"/>
                  <w:bdr w:val="none" w:sz="0" w:space="0" w:color="auto" w:frame="1"/>
                </w:rPr>
                <w:t>Safety and Health at Work</w:t>
              </w:r>
              <w:r>
                <w:rPr>
                  <w:color w:val="1F1F1F"/>
                </w:rPr>
                <w:t xml:space="preserve">, </w:t>
              </w:r>
              <w:r>
                <w:rPr>
                  <w:i/>
                  <w:iCs/>
                  <w:color w:val="1F1F1F"/>
                  <w:bdr w:val="none" w:sz="0" w:space="0" w:color="auto" w:frame="1"/>
                </w:rPr>
                <w:t>13</w:t>
              </w:r>
              <w:r>
                <w:rPr>
                  <w:color w:val="1F1F1F"/>
                </w:rPr>
                <w:t xml:space="preserve">(2), 227–234. </w:t>
              </w:r>
              <w:hyperlink r:id="rId37" w:tgtFrame="_blank" w:history="1">
                <w:r>
                  <w:rPr>
                    <w:rStyle w:val="Hyperlink"/>
                    <w:color w:val="0B57D0"/>
                    <w:bdr w:val="none" w:sz="0" w:space="0" w:color="auto" w:frame="1"/>
                  </w:rPr>
                  <w:t>https://doi.org/10.1016/j.shaw.2021.12.702</w:t>
                </w:r>
              </w:hyperlink>
            </w:p>
            <w:p w14:paraId="0FDCE2E1" w14:textId="77777777" w:rsidR="009A4741" w:rsidRDefault="009A4741" w:rsidP="00375B11">
              <w:pPr>
                <w:pStyle w:val="NormalWeb"/>
                <w:numPr>
                  <w:ilvl w:val="0"/>
                  <w:numId w:val="18"/>
                </w:numPr>
                <w:spacing w:after="0" w:afterAutospacing="0"/>
                <w:rPr>
                  <w:color w:val="1F1F1F"/>
                </w:rPr>
              </w:pPr>
              <w:r>
                <w:rPr>
                  <w:color w:val="1F1F1F"/>
                </w:rPr>
                <w:t xml:space="preserve">Lin, W., </w:t>
              </w:r>
              <w:proofErr w:type="spellStart"/>
              <w:r>
                <w:rPr>
                  <w:color w:val="1F1F1F"/>
                </w:rPr>
                <w:t>Brunekreef</w:t>
              </w:r>
              <w:proofErr w:type="spellEnd"/>
              <w:r>
                <w:rPr>
                  <w:color w:val="1F1F1F"/>
                </w:rPr>
                <w:t xml:space="preserve">, B., &amp; Gehring, U. (2013). Meta-analysis of the effects of indoor nitrogen dioxide and gas cooking on asthma and wheeze in children. </w:t>
              </w:r>
              <w:r>
                <w:rPr>
                  <w:i/>
                  <w:iCs/>
                  <w:color w:val="1F1F1F"/>
                  <w:bdr w:val="none" w:sz="0" w:space="0" w:color="auto" w:frame="1"/>
                </w:rPr>
                <w:t>International Journal of Epidemiology</w:t>
              </w:r>
              <w:r>
                <w:rPr>
                  <w:color w:val="1F1F1F"/>
                </w:rPr>
                <w:t xml:space="preserve">, </w:t>
              </w:r>
              <w:r>
                <w:rPr>
                  <w:i/>
                  <w:iCs/>
                  <w:color w:val="1F1F1F"/>
                  <w:bdr w:val="none" w:sz="0" w:space="0" w:color="auto" w:frame="1"/>
                </w:rPr>
                <w:t>42</w:t>
              </w:r>
              <w:r>
                <w:rPr>
                  <w:color w:val="1F1F1F"/>
                </w:rPr>
                <w:t xml:space="preserve">(6), 1724–1737. </w:t>
              </w:r>
              <w:hyperlink r:id="rId38" w:tgtFrame="_blank" w:history="1">
                <w:r>
                  <w:rPr>
                    <w:rStyle w:val="Hyperlink"/>
                    <w:color w:val="0B57D0"/>
                    <w:bdr w:val="none" w:sz="0" w:space="0" w:color="auto" w:frame="1"/>
                  </w:rPr>
                  <w:t>https://doi.org/10.1093/ije/dyt150</w:t>
                </w:r>
              </w:hyperlink>
            </w:p>
            <w:p w14:paraId="27F89434" w14:textId="77777777" w:rsidR="009A4741" w:rsidRDefault="009A4741" w:rsidP="00375B11">
              <w:pPr>
                <w:pStyle w:val="NormalWeb"/>
                <w:numPr>
                  <w:ilvl w:val="0"/>
                  <w:numId w:val="18"/>
                </w:numPr>
                <w:spacing w:after="0" w:afterAutospacing="0"/>
                <w:rPr>
                  <w:color w:val="1F1F1F"/>
                </w:rPr>
              </w:pPr>
              <w:r>
                <w:rPr>
                  <w:color w:val="1F1F1F"/>
                </w:rPr>
                <w:lastRenderedPageBreak/>
                <w:t xml:space="preserve">Liu, J., &amp; Chow, W. K. (2017). Fire hazards of introducing water and ice into hot oil in open kitchen. </w:t>
              </w:r>
              <w:r>
                <w:rPr>
                  <w:i/>
                  <w:iCs/>
                  <w:color w:val="1F1F1F"/>
                  <w:bdr w:val="none" w:sz="0" w:space="0" w:color="auto" w:frame="1"/>
                </w:rPr>
                <w:t>Journal of Fire Sciences</w:t>
              </w:r>
              <w:r>
                <w:rPr>
                  <w:color w:val="1F1F1F"/>
                </w:rPr>
                <w:t xml:space="preserve">, </w:t>
              </w:r>
              <w:r>
                <w:rPr>
                  <w:i/>
                  <w:iCs/>
                  <w:color w:val="1F1F1F"/>
                  <w:bdr w:val="none" w:sz="0" w:space="0" w:color="auto" w:frame="1"/>
                </w:rPr>
                <w:t>35</w:t>
              </w:r>
              <w:r>
                <w:rPr>
                  <w:color w:val="1F1F1F"/>
                </w:rPr>
                <w:t xml:space="preserve">(6), 511–529. </w:t>
              </w:r>
              <w:hyperlink r:id="rId39" w:tgtFrame="_blank" w:history="1">
                <w:r>
                  <w:rPr>
                    <w:rStyle w:val="Hyperlink"/>
                    <w:color w:val="0B57D0"/>
                    <w:bdr w:val="none" w:sz="0" w:space="0" w:color="auto" w:frame="1"/>
                  </w:rPr>
                  <w:t>https://doi.org/10.1177/0734904117721659</w:t>
                </w:r>
              </w:hyperlink>
            </w:p>
            <w:p w14:paraId="065A46CA" w14:textId="77777777" w:rsidR="009A4741" w:rsidRDefault="009A4741" w:rsidP="00375B11">
              <w:pPr>
                <w:pStyle w:val="NormalWeb"/>
                <w:numPr>
                  <w:ilvl w:val="0"/>
                  <w:numId w:val="18"/>
                </w:numPr>
                <w:spacing w:after="0" w:afterAutospacing="0"/>
                <w:rPr>
                  <w:color w:val="1F1F1F"/>
                </w:rPr>
              </w:pPr>
              <w:r>
                <w:rPr>
                  <w:color w:val="1F1F1F"/>
                </w:rPr>
                <w:t xml:space="preserve">Logue, J. M., </w:t>
              </w:r>
              <w:proofErr w:type="spellStart"/>
              <w:r>
                <w:rPr>
                  <w:color w:val="1F1F1F"/>
                </w:rPr>
                <w:t>Klepeis</w:t>
              </w:r>
              <w:proofErr w:type="spellEnd"/>
              <w:r>
                <w:rPr>
                  <w:color w:val="1F1F1F"/>
                </w:rPr>
                <w:t xml:space="preserve">, N. E., </w:t>
              </w:r>
              <w:proofErr w:type="spellStart"/>
              <w:r>
                <w:rPr>
                  <w:color w:val="1F1F1F"/>
                </w:rPr>
                <w:t>Lobscheid</w:t>
              </w:r>
              <w:proofErr w:type="spellEnd"/>
              <w:r>
                <w:rPr>
                  <w:color w:val="1F1F1F"/>
                </w:rPr>
                <w:t xml:space="preserve">, A. B., Singer, B. C., &amp; Brown, N. J. (2013). Pollutant exposures from natural gas cooking burners: A simulation-based assessment for Southern California. </w:t>
              </w:r>
              <w:r>
                <w:rPr>
                  <w:i/>
                  <w:iCs/>
                  <w:color w:val="1F1F1F"/>
                  <w:bdr w:val="none" w:sz="0" w:space="0" w:color="auto" w:frame="1"/>
                </w:rPr>
                <w:t>Environmental Health Perspectives</w:t>
              </w:r>
              <w:r>
                <w:rPr>
                  <w:color w:val="1F1F1F"/>
                </w:rPr>
                <w:t xml:space="preserve">, </w:t>
              </w:r>
              <w:r>
                <w:rPr>
                  <w:i/>
                  <w:iCs/>
                  <w:color w:val="1F1F1F"/>
                  <w:bdr w:val="none" w:sz="0" w:space="0" w:color="auto" w:frame="1"/>
                </w:rPr>
                <w:t>121</w:t>
              </w:r>
              <w:r>
                <w:rPr>
                  <w:color w:val="1F1F1F"/>
                </w:rPr>
                <w:t xml:space="preserve">(1), 43–50. </w:t>
              </w:r>
              <w:hyperlink r:id="rId40" w:tgtFrame="_blank" w:history="1">
                <w:r>
                  <w:rPr>
                    <w:rStyle w:val="Hyperlink"/>
                    <w:color w:val="0B57D0"/>
                    <w:bdr w:val="none" w:sz="0" w:space="0" w:color="auto" w:frame="1"/>
                  </w:rPr>
                  <w:t>https://doi.org/10.1289/ehp.1205567</w:t>
                </w:r>
              </w:hyperlink>
            </w:p>
            <w:p w14:paraId="505A7A30" w14:textId="77777777" w:rsidR="009A4741" w:rsidRDefault="009A4741" w:rsidP="00375B11">
              <w:pPr>
                <w:pStyle w:val="NormalWeb"/>
                <w:numPr>
                  <w:ilvl w:val="0"/>
                  <w:numId w:val="18"/>
                </w:numPr>
                <w:spacing w:after="0" w:afterAutospacing="0"/>
                <w:rPr>
                  <w:color w:val="1F1F1F"/>
                </w:rPr>
              </w:pPr>
              <w:r>
                <w:rPr>
                  <w:color w:val="1F1F1F"/>
                </w:rPr>
                <w:t xml:space="preserve">Mishra, R. K., Yadav, A. H., Mishra, V. G., Mishra, S. N., Singh, D. S., &amp; Verma, D. K. (2024). Fundamental theory of electromagnetic spectrum, dielectric and magnetic properties, molecular rotation, and the green chemistry of microwave heating equipment. In </w:t>
              </w:r>
              <w:r>
                <w:rPr>
                  <w:i/>
                  <w:iCs/>
                  <w:color w:val="1F1F1F"/>
                  <w:bdr w:val="none" w:sz="0" w:space="0" w:color="auto" w:frame="1"/>
                </w:rPr>
                <w:t>Green Chemical Synthesis with Microwaves and Ultrasound</w:t>
              </w:r>
              <w:r>
                <w:rPr>
                  <w:color w:val="1F1F1F"/>
                </w:rPr>
                <w:t xml:space="preserve"> (pp. 21–67). Wiley. </w:t>
              </w:r>
              <w:hyperlink r:id="rId41" w:tgtFrame="_blank" w:history="1">
                <w:r>
                  <w:rPr>
                    <w:rStyle w:val="Hyperlink"/>
                    <w:color w:val="0B57D0"/>
                    <w:bdr w:val="none" w:sz="0" w:space="0" w:color="auto" w:frame="1"/>
                  </w:rPr>
                  <w:t>https://doi.org/10.1002/9783527844494.ch2</w:t>
                </w:r>
              </w:hyperlink>
            </w:p>
            <w:p w14:paraId="3A0E763A" w14:textId="77777777" w:rsidR="009A4741" w:rsidRDefault="009A4741" w:rsidP="00375B11">
              <w:pPr>
                <w:pStyle w:val="NormalWeb"/>
                <w:numPr>
                  <w:ilvl w:val="0"/>
                  <w:numId w:val="18"/>
                </w:numPr>
                <w:spacing w:after="0" w:afterAutospacing="0"/>
                <w:rPr>
                  <w:color w:val="1F1F1F"/>
                </w:rPr>
              </w:pPr>
              <w:r>
                <w:rPr>
                  <w:rStyle w:val="citation-169"/>
                  <w:color w:val="1F1F1F"/>
                  <w:bdr w:val="none" w:sz="0" w:space="0" w:color="auto" w:frame="1"/>
                </w:rPr>
                <w:t xml:space="preserve">Mortimer, K., Gordon, S. B., Jindal, S. K., </w:t>
              </w:r>
              <w:proofErr w:type="spellStart"/>
              <w:r>
                <w:rPr>
                  <w:rStyle w:val="citation-169"/>
                  <w:color w:val="1F1F1F"/>
                  <w:bdr w:val="none" w:sz="0" w:space="0" w:color="auto" w:frame="1"/>
                </w:rPr>
                <w:t>Accinelli</w:t>
              </w:r>
              <w:proofErr w:type="spellEnd"/>
              <w:r>
                <w:rPr>
                  <w:rStyle w:val="citation-169"/>
                  <w:color w:val="1F1F1F"/>
                  <w:bdr w:val="none" w:sz="0" w:space="0" w:color="auto" w:frame="1"/>
                </w:rPr>
                <w:t xml:space="preserve">, R. A., </w:t>
              </w:r>
              <w:proofErr w:type="spellStart"/>
              <w:r>
                <w:rPr>
                  <w:rStyle w:val="citation-169"/>
                  <w:color w:val="1F1F1F"/>
                  <w:bdr w:val="none" w:sz="0" w:space="0" w:color="auto" w:frame="1"/>
                </w:rPr>
                <w:t>Balmes</w:t>
              </w:r>
              <w:proofErr w:type="spellEnd"/>
              <w:r>
                <w:rPr>
                  <w:rStyle w:val="citation-169"/>
                  <w:color w:val="1F1F1F"/>
                  <w:bdr w:val="none" w:sz="0" w:space="0" w:color="auto" w:frame="1"/>
                </w:rPr>
                <w:t>, J., &amp; Martin, W. J., II. (2012). Household air polluti</w:t>
              </w:r>
              <w:r>
                <w:rPr>
                  <w:rStyle w:val="citation-168"/>
                  <w:color w:val="1F1F1F"/>
                  <w:bdr w:val="none" w:sz="0" w:space="0" w:color="auto" w:frame="1"/>
                </w:rPr>
                <w:t xml:space="preserve">on is a major avoidable risk factor for cardiorespiratory disease. </w:t>
              </w:r>
              <w:r>
                <w:rPr>
                  <w:rStyle w:val="citation-168"/>
                  <w:i/>
                  <w:iCs/>
                  <w:color w:val="1F1F1F"/>
                  <w:bdr w:val="none" w:sz="0" w:space="0" w:color="auto" w:frame="1"/>
                </w:rPr>
                <w:t>Chest</w:t>
              </w:r>
              <w:r>
                <w:rPr>
                  <w:rStyle w:val="citation-168"/>
                  <w:color w:val="1F1F1F"/>
                  <w:bdr w:val="none" w:sz="0" w:space="0" w:color="auto" w:frame="1"/>
                </w:rPr>
                <w:t xml:space="preserve">, </w:t>
              </w:r>
              <w:r>
                <w:rPr>
                  <w:rStyle w:val="citation-168"/>
                  <w:i/>
                  <w:iCs/>
                  <w:color w:val="1F1F1F"/>
                  <w:bdr w:val="none" w:sz="0" w:space="0" w:color="auto" w:frame="1"/>
                </w:rPr>
                <w:t>142</w:t>
              </w:r>
              <w:r>
                <w:rPr>
                  <w:rStyle w:val="citation-168"/>
                  <w:color w:val="1F1F1F"/>
                  <w:bdr w:val="none" w:sz="0" w:space="0" w:color="auto" w:frame="1"/>
                </w:rPr>
                <w:t xml:space="preserve">(5), 1308–1315. </w:t>
              </w:r>
              <w:hyperlink r:id="rId42" w:tgtFrame="_blank" w:history="1">
                <w:r>
                  <w:rPr>
                    <w:rStyle w:val="citation-168"/>
                    <w:color w:val="0B57D0"/>
                    <w:u w:val="single"/>
                    <w:bdr w:val="none" w:sz="0" w:space="0" w:color="auto" w:frame="1"/>
                  </w:rPr>
                  <w:t>https://doi.org/10.1378/che</w:t>
                </w:r>
                <w:r>
                  <w:rPr>
                    <w:rStyle w:val="citation-168"/>
                    <w:color w:val="444746"/>
                    <w:u w:val="single"/>
                    <w:bdr w:val="none" w:sz="0" w:space="0" w:color="auto" w:frame="1"/>
                    <w:vertAlign w:val="superscript"/>
                  </w:rPr>
                  <w:t>1</w:t>
                </w:r>
                <w:r>
                  <w:rPr>
                    <w:rStyle w:val="citation-168"/>
                    <w:color w:val="0B57D0"/>
                    <w:u w:val="single"/>
                    <w:bdr w:val="none" w:sz="0" w:space="0" w:color="auto" w:frame="1"/>
                  </w:rPr>
                  <w:t>st.12-1596</w:t>
                </w:r>
                <w:r>
                  <w:rPr>
                    <w:rStyle w:val="citation-168"/>
                    <w:color w:val="444746"/>
                    <w:u w:val="single"/>
                    <w:bdr w:val="none" w:sz="0" w:space="0" w:color="auto" w:frame="1"/>
                    <w:vertAlign w:val="superscript"/>
                  </w:rPr>
                  <w:t>2</w:t>
                </w:r>
              </w:hyperlink>
            </w:p>
            <w:p w14:paraId="57DA7366" w14:textId="77777777" w:rsidR="009A4741" w:rsidRDefault="009A4741" w:rsidP="00375B11">
              <w:pPr>
                <w:pStyle w:val="NormalWeb"/>
                <w:numPr>
                  <w:ilvl w:val="0"/>
                  <w:numId w:val="18"/>
                </w:numPr>
                <w:spacing w:after="0" w:afterAutospacing="0"/>
                <w:rPr>
                  <w:color w:val="1F1F1F"/>
                </w:rPr>
              </w:pPr>
              <w:proofErr w:type="spellStart"/>
              <w:r>
                <w:rPr>
                  <w:rStyle w:val="citation-167"/>
                  <w:color w:val="1F1F1F"/>
                  <w:bdr w:val="none" w:sz="0" w:space="0" w:color="auto" w:frame="1"/>
                </w:rPr>
                <w:t>Naja</w:t>
              </w:r>
              <w:proofErr w:type="spellEnd"/>
              <w:r>
                <w:rPr>
                  <w:rStyle w:val="citation-167"/>
                  <w:color w:val="1F1F1F"/>
                  <w:bdr w:val="none" w:sz="0" w:space="0" w:color="auto" w:frame="1"/>
                </w:rPr>
                <w:t xml:space="preserve">, G. M., Alary, R., </w:t>
              </w:r>
              <w:proofErr w:type="spellStart"/>
              <w:r>
                <w:rPr>
                  <w:rStyle w:val="citation-167"/>
                  <w:color w:val="1F1F1F"/>
                  <w:bdr w:val="none" w:sz="0" w:space="0" w:color="auto" w:frame="1"/>
                </w:rPr>
                <w:t>Bajeat</w:t>
              </w:r>
              <w:proofErr w:type="spellEnd"/>
              <w:r>
                <w:rPr>
                  <w:rStyle w:val="citation-167"/>
                  <w:color w:val="1F1F1F"/>
                  <w:bdr w:val="none" w:sz="0" w:space="0" w:color="auto" w:frame="1"/>
                </w:rPr>
                <w:t>, P., Bel</w:t>
              </w:r>
              <w:r>
                <w:rPr>
                  <w:rStyle w:val="citation-167"/>
                  <w:color w:val="444746"/>
                  <w:bdr w:val="none" w:sz="0" w:space="0" w:color="auto" w:frame="1"/>
                  <w:vertAlign w:val="superscript"/>
                </w:rPr>
                <w:t>3</w:t>
              </w:r>
              <w:r>
                <w:rPr>
                  <w:color w:val="1F1F1F"/>
                </w:rPr>
                <w:t xml:space="preserve">lenfant, G., </w:t>
              </w:r>
              <w:proofErr w:type="spellStart"/>
              <w:r>
                <w:rPr>
                  <w:color w:val="1F1F1F"/>
                </w:rPr>
                <w:t>Godon</w:t>
              </w:r>
              <w:proofErr w:type="spellEnd"/>
              <w:r>
                <w:rPr>
                  <w:color w:val="1F1F1F"/>
                </w:rPr>
                <w:t xml:space="preserve">, J.-J., </w:t>
              </w:r>
              <w:proofErr w:type="spellStart"/>
              <w:r>
                <w:rPr>
                  <w:color w:val="1F1F1F"/>
                </w:rPr>
                <w:t>Jaeg</w:t>
              </w:r>
              <w:proofErr w:type="spellEnd"/>
              <w:r>
                <w:rPr>
                  <w:color w:val="1F1F1F"/>
                </w:rPr>
                <w:t xml:space="preserve">, J.-P., Keck, G., Lattes, A., Leroux, C., </w:t>
              </w:r>
              <w:proofErr w:type="spellStart"/>
              <w:r>
                <w:rPr>
                  <w:color w:val="1F1F1F"/>
                </w:rPr>
                <w:t>Modelon</w:t>
              </w:r>
              <w:proofErr w:type="spellEnd"/>
              <w:r>
                <w:rPr>
                  <w:color w:val="1F1F1F"/>
                </w:rPr>
                <w:t xml:space="preserve">, H., </w:t>
              </w:r>
              <w:proofErr w:type="spellStart"/>
              <w:r>
                <w:rPr>
                  <w:color w:val="1F1F1F"/>
                </w:rPr>
                <w:t>Moletta-Denat</w:t>
              </w:r>
              <w:proofErr w:type="spellEnd"/>
              <w:r>
                <w:rPr>
                  <w:color w:val="1F1F1F"/>
                </w:rPr>
                <w:t xml:space="preserve">, M., </w:t>
              </w:r>
              <w:proofErr w:type="spellStart"/>
              <w:r>
                <w:rPr>
                  <w:color w:val="1F1F1F"/>
                </w:rPr>
                <w:t>Ramalho</w:t>
              </w:r>
              <w:proofErr w:type="spellEnd"/>
              <w:r>
                <w:rPr>
                  <w:color w:val="1F1F1F"/>
                </w:rPr>
                <w:t xml:space="preserve">, O., Rousselle, C., </w:t>
              </w:r>
              <w:proofErr w:type="spellStart"/>
              <w:r>
                <w:rPr>
                  <w:color w:val="1F1F1F"/>
                </w:rPr>
                <w:t>Wenisch</w:t>
              </w:r>
              <w:proofErr w:type="spellEnd"/>
              <w:r>
                <w:rPr>
                  <w:color w:val="1F1F1F"/>
                </w:rPr>
                <w:t xml:space="preserve">, S., &amp; </w:t>
              </w:r>
              <w:proofErr w:type="spellStart"/>
              <w:r>
                <w:rPr>
                  <w:color w:val="1F1F1F"/>
                </w:rPr>
                <w:t>Zdanevitch</w:t>
              </w:r>
              <w:proofErr w:type="spellEnd"/>
              <w:r>
                <w:rPr>
                  <w:color w:val="1F1F1F"/>
                </w:rPr>
                <w:t xml:space="preserve">, I. (2011). Assessment of biogas potential hazards. </w:t>
              </w:r>
              <w:r>
                <w:rPr>
                  <w:i/>
                  <w:iCs/>
                  <w:color w:val="1F1F1F"/>
                  <w:bdr w:val="none" w:sz="0" w:space="0" w:color="auto" w:frame="1"/>
                </w:rPr>
                <w:t>Renewable Energy</w:t>
              </w:r>
              <w:r>
                <w:rPr>
                  <w:color w:val="1F1F1F"/>
                </w:rPr>
                <w:t xml:space="preserve">, </w:t>
              </w:r>
              <w:r>
                <w:rPr>
                  <w:i/>
                  <w:iCs/>
                  <w:color w:val="1F1F1F"/>
                  <w:bdr w:val="none" w:sz="0" w:space="0" w:color="auto" w:frame="1"/>
                </w:rPr>
                <w:t>36</w:t>
              </w:r>
              <w:r>
                <w:rPr>
                  <w:color w:val="1F1F1F"/>
                </w:rPr>
                <w:t xml:space="preserve">(12), 3445–3451. </w:t>
              </w:r>
              <w:hyperlink r:id="rId43" w:tgtFrame="_blank" w:history="1">
                <w:r>
                  <w:rPr>
                    <w:rStyle w:val="Hyperlink"/>
                    <w:color w:val="0B57D0"/>
                    <w:bdr w:val="none" w:sz="0" w:space="0" w:color="auto" w:frame="1"/>
                  </w:rPr>
                  <w:t>https://doi.org/10.1016/j.renene.2011.05.025</w:t>
                </w:r>
              </w:hyperlink>
            </w:p>
            <w:p w14:paraId="7289F235" w14:textId="77777777" w:rsidR="009A4741" w:rsidRDefault="009A4741" w:rsidP="00375B11">
              <w:pPr>
                <w:pStyle w:val="NormalWeb"/>
                <w:numPr>
                  <w:ilvl w:val="0"/>
                  <w:numId w:val="18"/>
                </w:numPr>
                <w:spacing w:after="0" w:afterAutospacing="0"/>
                <w:rPr>
                  <w:color w:val="1F1F1F"/>
                </w:rPr>
              </w:pPr>
              <w:r>
                <w:rPr>
                  <w:color w:val="1F1F1F"/>
                </w:rPr>
                <w:t xml:space="preserve">Ng, T. P., </w:t>
              </w:r>
              <w:proofErr w:type="spellStart"/>
              <w:r>
                <w:rPr>
                  <w:color w:val="1F1F1F"/>
                </w:rPr>
                <w:t>Seet</w:t>
              </w:r>
              <w:proofErr w:type="spellEnd"/>
              <w:r>
                <w:rPr>
                  <w:color w:val="1F1F1F"/>
                </w:rPr>
                <w:t xml:space="preserve">, C. S. R., Tan, W. C., &amp; Foo, S. C. (2001). Nitrogen dioxide exposure from domestic gas cooking and airway response in asthmatic women. </w:t>
              </w:r>
              <w:r>
                <w:rPr>
                  <w:i/>
                  <w:iCs/>
                  <w:color w:val="1F1F1F"/>
                  <w:bdr w:val="none" w:sz="0" w:space="0" w:color="auto" w:frame="1"/>
                </w:rPr>
                <w:t>Thorax</w:t>
              </w:r>
              <w:r>
                <w:rPr>
                  <w:color w:val="1F1F1F"/>
                </w:rPr>
                <w:t xml:space="preserve">, </w:t>
              </w:r>
              <w:r>
                <w:rPr>
                  <w:i/>
                  <w:iCs/>
                  <w:color w:val="1F1F1F"/>
                  <w:bdr w:val="none" w:sz="0" w:space="0" w:color="auto" w:frame="1"/>
                </w:rPr>
                <w:t>56</w:t>
              </w:r>
              <w:r>
                <w:rPr>
                  <w:color w:val="1F1F1F"/>
                </w:rPr>
                <w:t xml:space="preserve">(8), 596–601. </w:t>
              </w:r>
              <w:hyperlink r:id="rId44" w:tgtFrame="_blank" w:history="1">
                <w:r>
                  <w:rPr>
                    <w:rStyle w:val="Hyperlink"/>
                    <w:color w:val="0B57D0"/>
                    <w:bdr w:val="none" w:sz="0" w:space="0" w:color="auto" w:frame="1"/>
                  </w:rPr>
                  <w:t>https://doi.org/10.1136/thorax.56.8.596</w:t>
                </w:r>
              </w:hyperlink>
            </w:p>
            <w:p w14:paraId="311DD982" w14:textId="77777777" w:rsidR="009A4741" w:rsidRDefault="009A4741" w:rsidP="00375B11">
              <w:pPr>
                <w:pStyle w:val="NormalWeb"/>
                <w:numPr>
                  <w:ilvl w:val="0"/>
                  <w:numId w:val="18"/>
                </w:numPr>
                <w:spacing w:after="0" w:afterAutospacing="0"/>
                <w:rPr>
                  <w:color w:val="1F1F1F"/>
                </w:rPr>
              </w:pPr>
              <w:proofErr w:type="spellStart"/>
              <w:r>
                <w:rPr>
                  <w:color w:val="1F1F1F"/>
                </w:rPr>
                <w:t>Odoi</w:t>
              </w:r>
              <w:proofErr w:type="spellEnd"/>
              <w:r>
                <w:rPr>
                  <w:color w:val="1F1F1F"/>
                </w:rPr>
                <w:t xml:space="preserve">-Yorke, F. (2024). A systematic review and bibliometric analysis of electric cooking: Evolution, emerging trends, and future research directions for sustainable development. </w:t>
              </w:r>
              <w:r>
                <w:rPr>
                  <w:i/>
                  <w:iCs/>
                  <w:color w:val="1F1F1F"/>
                  <w:bdr w:val="none" w:sz="0" w:space="0" w:color="auto" w:frame="1"/>
                </w:rPr>
                <w:t>Sustainable Energy Research</w:t>
              </w:r>
              <w:r>
                <w:rPr>
                  <w:color w:val="1F1F1F"/>
                </w:rPr>
                <w:t xml:space="preserve">, </w:t>
              </w:r>
              <w:r>
                <w:rPr>
                  <w:i/>
                  <w:iCs/>
                  <w:color w:val="1F1F1F"/>
                  <w:bdr w:val="none" w:sz="0" w:space="0" w:color="auto" w:frame="1"/>
                </w:rPr>
                <w:t>11</w:t>
              </w:r>
              <w:r>
                <w:rPr>
                  <w:color w:val="1F1F1F"/>
                </w:rPr>
                <w:t xml:space="preserve">, 24. </w:t>
              </w:r>
              <w:hyperlink r:id="rId45" w:tgtFrame="_blank" w:history="1">
                <w:r>
                  <w:rPr>
                    <w:rStyle w:val="Hyperlink"/>
                    <w:color w:val="0B57D0"/>
                    <w:bdr w:val="none" w:sz="0" w:space="0" w:color="auto" w:frame="1"/>
                  </w:rPr>
                  <w:t>https://doi.org/10.1186/s40807-024-00119-x</w:t>
                </w:r>
              </w:hyperlink>
            </w:p>
            <w:p w14:paraId="612E2C9D" w14:textId="77777777" w:rsidR="009A4741" w:rsidRDefault="009A4741" w:rsidP="00375B11">
              <w:pPr>
                <w:pStyle w:val="NormalWeb"/>
                <w:numPr>
                  <w:ilvl w:val="0"/>
                  <w:numId w:val="18"/>
                </w:numPr>
                <w:spacing w:after="0" w:afterAutospacing="0"/>
                <w:rPr>
                  <w:color w:val="1F1F1F"/>
                </w:rPr>
              </w:pPr>
              <w:proofErr w:type="spellStart"/>
              <w:r>
                <w:rPr>
                  <w:color w:val="1F1F1F"/>
                </w:rPr>
                <w:t>Ozoh</w:t>
              </w:r>
              <w:proofErr w:type="spellEnd"/>
              <w:r>
                <w:rPr>
                  <w:color w:val="1F1F1F"/>
                </w:rPr>
                <w:t xml:space="preserve">, O. B., </w:t>
              </w:r>
              <w:proofErr w:type="spellStart"/>
              <w:r>
                <w:rPr>
                  <w:color w:val="1F1F1F"/>
                </w:rPr>
                <w:t>Okwor</w:t>
              </w:r>
              <w:proofErr w:type="spellEnd"/>
              <w:r>
                <w:rPr>
                  <w:color w:val="1F1F1F"/>
                </w:rPr>
                <w:t xml:space="preserve">, T. J., </w:t>
              </w:r>
              <w:proofErr w:type="spellStart"/>
              <w:r>
                <w:rPr>
                  <w:color w:val="1F1F1F"/>
                </w:rPr>
                <w:t>Adetona</w:t>
              </w:r>
              <w:proofErr w:type="spellEnd"/>
              <w:r>
                <w:rPr>
                  <w:color w:val="1F1F1F"/>
                </w:rPr>
                <w:t xml:space="preserve">, O., </w:t>
              </w:r>
              <w:proofErr w:type="spellStart"/>
              <w:r>
                <w:rPr>
                  <w:color w:val="1F1F1F"/>
                </w:rPr>
                <w:t>Akinkugbe</w:t>
              </w:r>
              <w:proofErr w:type="spellEnd"/>
              <w:r>
                <w:rPr>
                  <w:color w:val="1F1F1F"/>
                </w:rPr>
                <w:t xml:space="preserve">, A. O., </w:t>
              </w:r>
              <w:proofErr w:type="spellStart"/>
              <w:r>
                <w:rPr>
                  <w:color w:val="1F1F1F"/>
                </w:rPr>
                <w:t>Amadi</w:t>
              </w:r>
              <w:proofErr w:type="spellEnd"/>
              <w:r>
                <w:rPr>
                  <w:color w:val="1F1F1F"/>
                </w:rPr>
                <w:t xml:space="preserve">, C. E., </w:t>
              </w:r>
              <w:proofErr w:type="spellStart"/>
              <w:r>
                <w:rPr>
                  <w:color w:val="1F1F1F"/>
                </w:rPr>
                <w:t>Esezobor</w:t>
              </w:r>
              <w:proofErr w:type="spellEnd"/>
              <w:r>
                <w:rPr>
                  <w:color w:val="1F1F1F"/>
                </w:rPr>
                <w:t xml:space="preserve">, C., </w:t>
              </w:r>
              <w:proofErr w:type="spellStart"/>
              <w:r>
                <w:rPr>
                  <w:color w:val="1F1F1F"/>
                </w:rPr>
                <w:t>Adeyeye</w:t>
              </w:r>
              <w:proofErr w:type="spellEnd"/>
              <w:r>
                <w:rPr>
                  <w:color w:val="1F1F1F"/>
                </w:rPr>
                <w:t xml:space="preserve">, O. O., </w:t>
              </w:r>
              <w:proofErr w:type="spellStart"/>
              <w:r>
                <w:rPr>
                  <w:color w:val="1F1F1F"/>
                </w:rPr>
                <w:t>Ojo</w:t>
              </w:r>
              <w:proofErr w:type="spellEnd"/>
              <w:r>
                <w:rPr>
                  <w:color w:val="1F1F1F"/>
                </w:rPr>
                <w:t xml:space="preserve">, O., </w:t>
              </w:r>
              <w:proofErr w:type="spellStart"/>
              <w:r>
                <w:rPr>
                  <w:color w:val="1F1F1F"/>
                </w:rPr>
                <w:t>Nwude</w:t>
              </w:r>
              <w:proofErr w:type="spellEnd"/>
              <w:r>
                <w:rPr>
                  <w:color w:val="1F1F1F"/>
                </w:rPr>
                <w:t xml:space="preserve">, V. N., &amp; Mortimer, K. (2018). Cooking fuels in Lagos, Nigeria: Factors associated with household choice of kerosene or liquefied petroleum gas (LPG). </w:t>
              </w:r>
              <w:r>
                <w:rPr>
                  <w:i/>
                  <w:iCs/>
                  <w:color w:val="1F1F1F"/>
                  <w:bdr w:val="none" w:sz="0" w:space="0" w:color="auto" w:frame="1"/>
                </w:rPr>
                <w:t>International Journal of Environmental Research and Public Health</w:t>
              </w:r>
              <w:r>
                <w:rPr>
                  <w:color w:val="1F1F1F"/>
                </w:rPr>
                <w:t xml:space="preserve">, </w:t>
              </w:r>
              <w:r>
                <w:rPr>
                  <w:i/>
                  <w:iCs/>
                  <w:color w:val="1F1F1F"/>
                  <w:bdr w:val="none" w:sz="0" w:space="0" w:color="auto" w:frame="1"/>
                </w:rPr>
                <w:t>15</w:t>
              </w:r>
              <w:r>
                <w:rPr>
                  <w:color w:val="1F1F1F"/>
                </w:rPr>
                <w:t xml:space="preserve">(4), 641. </w:t>
              </w:r>
              <w:hyperlink r:id="rId46" w:tgtFrame="_blank" w:history="1">
                <w:r>
                  <w:rPr>
                    <w:rStyle w:val="Hyperlink"/>
                    <w:color w:val="0B57D0"/>
                    <w:bdr w:val="none" w:sz="0" w:space="0" w:color="auto" w:frame="1"/>
                  </w:rPr>
                  <w:t>https://doi.org/10.3390/ijerph15040641</w:t>
                </w:r>
              </w:hyperlink>
            </w:p>
            <w:p w14:paraId="43725B73" w14:textId="77777777" w:rsidR="009A4741" w:rsidRDefault="009A4741" w:rsidP="00375B11">
              <w:pPr>
                <w:pStyle w:val="NormalWeb"/>
                <w:numPr>
                  <w:ilvl w:val="0"/>
                  <w:numId w:val="18"/>
                </w:numPr>
                <w:spacing w:after="0" w:afterAutospacing="0"/>
                <w:rPr>
                  <w:color w:val="1F1F1F"/>
                </w:rPr>
              </w:pPr>
              <w:r>
                <w:rPr>
                  <w:color w:val="1F1F1F"/>
                </w:rPr>
                <w:t xml:space="preserve">Raveendran, R. (2022). </w:t>
              </w:r>
              <w:r>
                <w:rPr>
                  <w:i/>
                  <w:iCs/>
                  <w:color w:val="1F1F1F"/>
                  <w:bdr w:val="none" w:sz="0" w:space="0" w:color="auto" w:frame="1"/>
                </w:rPr>
                <w:t>Evaluation of the proliferation of electromagnetic radiation in smart indoor environments and subsequent absorption on the human body</w:t>
              </w:r>
              <w:r>
                <w:rPr>
                  <w:color w:val="1F1F1F"/>
                </w:rPr>
                <w:t xml:space="preserve"> (Doctoral dissertation). United Arab Emirates University. </w:t>
              </w:r>
              <w:hyperlink r:id="rId47" w:tgtFrame="_blank" w:history="1">
                <w:r>
                  <w:rPr>
                    <w:rStyle w:val="Hyperlink"/>
                    <w:color w:val="0B57D0"/>
                    <w:bdr w:val="none" w:sz="0" w:space="0" w:color="auto" w:frame="1"/>
                  </w:rPr>
                  <w:t>https://scholarworks.uaeu.ac.ae</w:t>
                </w:r>
              </w:hyperlink>
            </w:p>
            <w:p w14:paraId="152B3182" w14:textId="77777777" w:rsidR="009A4741" w:rsidRDefault="009A4741" w:rsidP="00375B11">
              <w:pPr>
                <w:pStyle w:val="NormalWeb"/>
                <w:numPr>
                  <w:ilvl w:val="0"/>
                  <w:numId w:val="18"/>
                </w:numPr>
                <w:spacing w:after="0" w:afterAutospacing="0"/>
                <w:rPr>
                  <w:color w:val="1F1F1F"/>
                </w:rPr>
              </w:pPr>
              <w:proofErr w:type="spellStart"/>
              <w:r>
                <w:rPr>
                  <w:color w:val="1F1F1F"/>
                </w:rPr>
                <w:t>Razek</w:t>
              </w:r>
              <w:proofErr w:type="spellEnd"/>
              <w:r>
                <w:rPr>
                  <w:color w:val="1F1F1F"/>
                </w:rPr>
                <w:t xml:space="preserve">, A. (2023). Thermal effects of electromagnetic origin from heating processes to biological disturbances due to field exposure—A review. </w:t>
              </w:r>
              <w:r>
                <w:rPr>
                  <w:i/>
                  <w:iCs/>
                  <w:color w:val="1F1F1F"/>
                  <w:bdr w:val="none" w:sz="0" w:space="0" w:color="auto" w:frame="1"/>
                </w:rPr>
                <w:t>Thermal Science and Engineering Progress</w:t>
              </w:r>
              <w:r>
                <w:rPr>
                  <w:color w:val="1F1F1F"/>
                </w:rPr>
                <w:t xml:space="preserve">, </w:t>
              </w:r>
              <w:r>
                <w:rPr>
                  <w:i/>
                  <w:iCs/>
                  <w:color w:val="1F1F1F"/>
                  <w:bdr w:val="none" w:sz="0" w:space="0" w:color="auto" w:frame="1"/>
                </w:rPr>
                <w:t>6</w:t>
              </w:r>
              <w:r>
                <w:rPr>
                  <w:color w:val="1F1F1F"/>
                </w:rPr>
                <w:t xml:space="preserve">(1), 20. </w:t>
              </w:r>
              <w:hyperlink r:id="rId48" w:tgtFrame="_blank" w:history="1">
                <w:r>
                  <w:rPr>
                    <w:rStyle w:val="Hyperlink"/>
                    <w:color w:val="0B57D0"/>
                    <w:bdr w:val="none" w:sz="0" w:space="0" w:color="auto" w:frame="1"/>
                  </w:rPr>
                  <w:t>https://doi.org/10.24294/tse.v6i1.1950</w:t>
                </w:r>
              </w:hyperlink>
            </w:p>
            <w:p w14:paraId="3516FCD4" w14:textId="77777777" w:rsidR="009A4741" w:rsidRDefault="009A4741" w:rsidP="00375B11">
              <w:pPr>
                <w:pStyle w:val="NormalWeb"/>
                <w:numPr>
                  <w:ilvl w:val="0"/>
                  <w:numId w:val="18"/>
                </w:numPr>
                <w:spacing w:after="0" w:afterAutospacing="0"/>
                <w:rPr>
                  <w:color w:val="1F1F1F"/>
                </w:rPr>
              </w:pPr>
              <w:r>
                <w:rPr>
                  <w:color w:val="1F1F1F"/>
                </w:rPr>
                <w:t xml:space="preserve">Roche, M. Y., Slater, J., Malley, C., </w:t>
              </w:r>
              <w:proofErr w:type="spellStart"/>
              <w:r>
                <w:rPr>
                  <w:color w:val="1F1F1F"/>
                </w:rPr>
                <w:t>Sesan</w:t>
              </w:r>
              <w:proofErr w:type="spellEnd"/>
              <w:r>
                <w:rPr>
                  <w:color w:val="1F1F1F"/>
                </w:rPr>
                <w:t xml:space="preserve">, T., &amp; </w:t>
              </w:r>
              <w:proofErr w:type="spellStart"/>
              <w:r>
                <w:rPr>
                  <w:color w:val="1F1F1F"/>
                </w:rPr>
                <w:t>Eleri</w:t>
              </w:r>
              <w:proofErr w:type="spellEnd"/>
              <w:r>
                <w:rPr>
                  <w:color w:val="1F1F1F"/>
                </w:rPr>
                <w:t xml:space="preserve">, E. O. (2024). Towards clean cooking energy for all in Nigeria: Pathways and impacts. </w:t>
              </w:r>
              <w:r>
                <w:rPr>
                  <w:i/>
                  <w:iCs/>
                  <w:color w:val="1F1F1F"/>
                  <w:bdr w:val="none" w:sz="0" w:space="0" w:color="auto" w:frame="1"/>
                </w:rPr>
                <w:t>Energy Strategy Reviews</w:t>
              </w:r>
              <w:r>
                <w:rPr>
                  <w:color w:val="1F1F1F"/>
                </w:rPr>
                <w:t xml:space="preserve">, </w:t>
              </w:r>
              <w:r>
                <w:rPr>
                  <w:i/>
                  <w:iCs/>
                  <w:color w:val="1F1F1F"/>
                  <w:bdr w:val="none" w:sz="0" w:space="0" w:color="auto" w:frame="1"/>
                </w:rPr>
                <w:t>53</w:t>
              </w:r>
              <w:r>
                <w:rPr>
                  <w:color w:val="1F1F1F"/>
                </w:rPr>
                <w:t xml:space="preserve">, 101366. </w:t>
              </w:r>
              <w:hyperlink r:id="rId49" w:tgtFrame="_blank" w:history="1">
                <w:r>
                  <w:rPr>
                    <w:rStyle w:val="Hyperlink"/>
                    <w:color w:val="0B57D0"/>
                    <w:bdr w:val="none" w:sz="0" w:space="0" w:color="auto" w:frame="1"/>
                  </w:rPr>
                  <w:t>https://doi.org/10.1016/j.esr.2024.101366</w:t>
                </w:r>
              </w:hyperlink>
            </w:p>
            <w:p w14:paraId="4DEE181F" w14:textId="77777777" w:rsidR="009A4741" w:rsidRDefault="009A4741" w:rsidP="00375B11">
              <w:pPr>
                <w:pStyle w:val="NormalWeb"/>
                <w:numPr>
                  <w:ilvl w:val="0"/>
                  <w:numId w:val="18"/>
                </w:numPr>
                <w:spacing w:after="0" w:afterAutospacing="0"/>
                <w:rPr>
                  <w:color w:val="1F1F1F"/>
                </w:rPr>
              </w:pPr>
              <w:r>
                <w:rPr>
                  <w:color w:val="1F1F1F"/>
                </w:rPr>
                <w:t xml:space="preserve">Romero-Arismendi, N. O., Olivares-Galvan, J. C., </w:t>
              </w:r>
              <w:proofErr w:type="spellStart"/>
              <w:r>
                <w:rPr>
                  <w:color w:val="1F1F1F"/>
                </w:rPr>
                <w:t>Escarela</w:t>
              </w:r>
              <w:proofErr w:type="spellEnd"/>
              <w:r>
                <w:rPr>
                  <w:color w:val="1F1F1F"/>
                </w:rPr>
                <w:t>-Perez, R., Hernandez-Avila, J. L., Jimenez-Mondragon, V. M., &amp; Gonzalez-</w:t>
              </w:r>
              <w:proofErr w:type="spellStart"/>
              <w:r>
                <w:rPr>
                  <w:color w:val="1F1F1F"/>
                </w:rPr>
                <w:t>Montañez</w:t>
              </w:r>
              <w:proofErr w:type="spellEnd"/>
              <w:r>
                <w:rPr>
                  <w:color w:val="1F1F1F"/>
                </w:rPr>
                <w:t xml:space="preserve">, F. (2024). Multidisciplinary review of induction stove technology: Technological advances, societal impacts, and challenges for its widespread use. </w:t>
              </w:r>
              <w:r>
                <w:rPr>
                  <w:i/>
                  <w:iCs/>
                  <w:color w:val="1F1F1F"/>
                  <w:bdr w:val="none" w:sz="0" w:space="0" w:color="auto" w:frame="1"/>
                </w:rPr>
                <w:t>Technologies</w:t>
              </w:r>
              <w:r>
                <w:rPr>
                  <w:color w:val="1F1F1F"/>
                </w:rPr>
                <w:t xml:space="preserve">, </w:t>
              </w:r>
              <w:r>
                <w:rPr>
                  <w:i/>
                  <w:iCs/>
                  <w:color w:val="1F1F1F"/>
                  <w:bdr w:val="none" w:sz="0" w:space="0" w:color="auto" w:frame="1"/>
                </w:rPr>
                <w:t>12</w:t>
              </w:r>
              <w:r>
                <w:rPr>
                  <w:color w:val="1F1F1F"/>
                </w:rPr>
                <w:t xml:space="preserve">(10), Article 206. </w:t>
              </w:r>
              <w:hyperlink r:id="rId50" w:tgtFrame="_blank" w:history="1">
                <w:r>
                  <w:rPr>
                    <w:rStyle w:val="Hyperlink"/>
                    <w:color w:val="0B57D0"/>
                    <w:bdr w:val="none" w:sz="0" w:space="0" w:color="auto" w:frame="1"/>
                  </w:rPr>
                  <w:t>https://doi.org/10.3390/technologies12100206</w:t>
                </w:r>
              </w:hyperlink>
            </w:p>
            <w:p w14:paraId="42204590" w14:textId="77777777" w:rsidR="009A4741" w:rsidRDefault="009A4741" w:rsidP="00375B11">
              <w:pPr>
                <w:pStyle w:val="NormalWeb"/>
                <w:numPr>
                  <w:ilvl w:val="0"/>
                  <w:numId w:val="18"/>
                </w:numPr>
                <w:spacing w:after="0" w:afterAutospacing="0"/>
                <w:rPr>
                  <w:color w:val="1F1F1F"/>
                </w:rPr>
              </w:pPr>
              <w:r>
                <w:rPr>
                  <w:color w:val="1F1F1F"/>
                </w:rPr>
                <w:t xml:space="preserve">Sadhu, P. K., Pal, N., Bandyopadhyay, A., &amp; Sinha, D. (2010). Review of induction cooking—A health hazards free tool to improve energy efficiency as compared to microwave oven. In </w:t>
              </w:r>
              <w:r>
                <w:rPr>
                  <w:i/>
                  <w:iCs/>
                  <w:color w:val="1F1F1F"/>
                  <w:bdr w:val="none" w:sz="0" w:space="0" w:color="auto" w:frame="1"/>
                </w:rPr>
                <w:t xml:space="preserve">2010 2nd International Conference on Computer and Automation </w:t>
              </w:r>
              <w:r>
                <w:rPr>
                  <w:i/>
                  <w:iCs/>
                  <w:color w:val="1F1F1F"/>
                  <w:bdr w:val="none" w:sz="0" w:space="0" w:color="auto" w:frame="1"/>
                </w:rPr>
                <w:lastRenderedPageBreak/>
                <w:t>Engineering (ICCAE)</w:t>
              </w:r>
              <w:r>
                <w:rPr>
                  <w:color w:val="1F1F1F"/>
                </w:rPr>
                <w:t xml:space="preserve"> (Vol. 5, pp. 650–654). IEEE. </w:t>
              </w:r>
              <w:hyperlink r:id="rId51" w:tgtFrame="_blank" w:history="1">
                <w:r>
                  <w:rPr>
                    <w:rStyle w:val="Hyperlink"/>
                    <w:color w:val="0B57D0"/>
                    <w:bdr w:val="none" w:sz="0" w:space="0" w:color="auto" w:frame="1"/>
                  </w:rPr>
                  <w:t>https://doi.org/10.1109/ICCAE.2010.5451317</w:t>
                </w:r>
              </w:hyperlink>
            </w:p>
            <w:p w14:paraId="6B197928" w14:textId="77777777" w:rsidR="009A4741" w:rsidRDefault="009A4741" w:rsidP="00375B11">
              <w:pPr>
                <w:pStyle w:val="NormalWeb"/>
                <w:numPr>
                  <w:ilvl w:val="0"/>
                  <w:numId w:val="18"/>
                </w:numPr>
                <w:spacing w:after="0" w:afterAutospacing="0"/>
                <w:rPr>
                  <w:color w:val="1F1F1F"/>
                </w:rPr>
              </w:pPr>
              <w:r>
                <w:rPr>
                  <w:color w:val="1F1F1F"/>
                </w:rPr>
                <w:t xml:space="preserve">Sani, J., </w:t>
              </w:r>
              <w:proofErr w:type="spellStart"/>
              <w:r>
                <w:rPr>
                  <w:color w:val="1F1F1F"/>
                </w:rPr>
                <w:t>Garba</w:t>
              </w:r>
              <w:proofErr w:type="spellEnd"/>
              <w:r>
                <w:rPr>
                  <w:color w:val="1F1F1F"/>
                </w:rPr>
                <w:t xml:space="preserve">, I. W., Ahmed, A., &amp; Ahmed, M. M. (2025). Understanding household smoke exposure risks (SER) in Nigeria: A regional analysis from the 2018 NDHS. </w:t>
              </w:r>
              <w:r>
                <w:rPr>
                  <w:i/>
                  <w:iCs/>
                  <w:color w:val="1F1F1F"/>
                  <w:bdr w:val="none" w:sz="0" w:space="0" w:color="auto" w:frame="1"/>
                </w:rPr>
                <w:t>BMC Public Health</w:t>
              </w:r>
              <w:r>
                <w:rPr>
                  <w:color w:val="1F1F1F"/>
                </w:rPr>
                <w:t xml:space="preserve">, </w:t>
              </w:r>
              <w:r>
                <w:rPr>
                  <w:i/>
                  <w:iCs/>
                  <w:color w:val="1F1F1F"/>
                  <w:bdr w:val="none" w:sz="0" w:space="0" w:color="auto" w:frame="1"/>
                </w:rPr>
                <w:t>25</w:t>
              </w:r>
              <w:r>
                <w:rPr>
                  <w:color w:val="1F1F1F"/>
                </w:rPr>
                <w:t xml:space="preserve">(1), 1351. </w:t>
              </w:r>
              <w:hyperlink r:id="rId52" w:tgtFrame="_blank" w:history="1">
                <w:r>
                  <w:rPr>
                    <w:rStyle w:val="Hyperlink"/>
                    <w:color w:val="0B57D0"/>
                    <w:bdr w:val="none" w:sz="0" w:space="0" w:color="auto" w:frame="1"/>
                  </w:rPr>
                  <w:t>https://doi.org/10.1186/s12889-025-22556-z</w:t>
                </w:r>
              </w:hyperlink>
            </w:p>
            <w:p w14:paraId="4B49D72F" w14:textId="77777777" w:rsidR="009A4741" w:rsidRDefault="009A4741" w:rsidP="00375B11">
              <w:pPr>
                <w:pStyle w:val="NormalWeb"/>
                <w:numPr>
                  <w:ilvl w:val="0"/>
                  <w:numId w:val="18"/>
                </w:numPr>
                <w:spacing w:after="0" w:afterAutospacing="0"/>
                <w:rPr>
                  <w:color w:val="1F1F1F"/>
                </w:rPr>
              </w:pPr>
              <w:r>
                <w:rPr>
                  <w:color w:val="1F1F1F"/>
                </w:rPr>
                <w:t xml:space="preserve">See, S. W., &amp; Balasubramanian, R. (2006). Risk assessment of exposure to indoor aerosols associated with Chinese cooking. </w:t>
              </w:r>
              <w:r>
                <w:rPr>
                  <w:i/>
                  <w:iCs/>
                  <w:color w:val="1F1F1F"/>
                  <w:bdr w:val="none" w:sz="0" w:space="0" w:color="auto" w:frame="1"/>
                </w:rPr>
                <w:t>Environmental Research</w:t>
              </w:r>
              <w:r>
                <w:rPr>
                  <w:color w:val="1F1F1F"/>
                </w:rPr>
                <w:t xml:space="preserve">, </w:t>
              </w:r>
              <w:r>
                <w:rPr>
                  <w:i/>
                  <w:iCs/>
                  <w:color w:val="1F1F1F"/>
                  <w:bdr w:val="none" w:sz="0" w:space="0" w:color="auto" w:frame="1"/>
                </w:rPr>
                <w:t>102</w:t>
              </w:r>
              <w:r>
                <w:rPr>
                  <w:color w:val="1F1F1F"/>
                </w:rPr>
                <w:t xml:space="preserve">(2), 197–204. </w:t>
              </w:r>
              <w:hyperlink r:id="rId53" w:tgtFrame="_blank" w:history="1">
                <w:r>
                  <w:rPr>
                    <w:rStyle w:val="Hyperlink"/>
                    <w:color w:val="0B57D0"/>
                    <w:bdr w:val="none" w:sz="0" w:space="0" w:color="auto" w:frame="1"/>
                  </w:rPr>
                  <w:t>https://doi.org/10.1016/j.envres.2005.12.013</w:t>
                </w:r>
              </w:hyperlink>
            </w:p>
            <w:p w14:paraId="6AD11664" w14:textId="77777777" w:rsidR="009A4741" w:rsidRDefault="009A4741" w:rsidP="00375B11">
              <w:pPr>
                <w:pStyle w:val="NormalWeb"/>
                <w:numPr>
                  <w:ilvl w:val="0"/>
                  <w:numId w:val="18"/>
                </w:numPr>
                <w:spacing w:after="0" w:afterAutospacing="0"/>
                <w:rPr>
                  <w:color w:val="1F1F1F"/>
                </w:rPr>
              </w:pPr>
              <w:r>
                <w:rPr>
                  <w:color w:val="1F1F1F"/>
                </w:rPr>
                <w:t xml:space="preserve">See, S. W., &amp; Karthikeyan, S. (2006). Health risk assessment of occupational exposure to particulate-phase polycyclic aromatic hydrocarbons associated with Chinese, Malay and Indian cooking. </w:t>
              </w:r>
              <w:r>
                <w:rPr>
                  <w:i/>
                  <w:iCs/>
                  <w:color w:val="1F1F1F"/>
                  <w:bdr w:val="none" w:sz="0" w:space="0" w:color="auto" w:frame="1"/>
                </w:rPr>
                <w:t>Journal of Environmental Monitoring</w:t>
              </w:r>
              <w:r>
                <w:rPr>
                  <w:color w:val="1F1F1F"/>
                </w:rPr>
                <w:t xml:space="preserve">, </w:t>
              </w:r>
              <w:r>
                <w:rPr>
                  <w:i/>
                  <w:iCs/>
                  <w:color w:val="1F1F1F"/>
                  <w:bdr w:val="none" w:sz="0" w:space="0" w:color="auto" w:frame="1"/>
                </w:rPr>
                <w:t>8</w:t>
              </w:r>
              <w:r>
                <w:rPr>
                  <w:color w:val="1F1F1F"/>
                </w:rPr>
                <w:t xml:space="preserve">(3), 369–376. </w:t>
              </w:r>
              <w:hyperlink r:id="rId54" w:tgtFrame="_blank" w:history="1">
                <w:r>
                  <w:rPr>
                    <w:rStyle w:val="Hyperlink"/>
                    <w:color w:val="0B57D0"/>
                    <w:bdr w:val="none" w:sz="0" w:space="0" w:color="auto" w:frame="1"/>
                  </w:rPr>
                  <w:t>https://doi.org/10.1039/B516596H</w:t>
                </w:r>
              </w:hyperlink>
            </w:p>
            <w:p w14:paraId="7254DEE1" w14:textId="58ED50FE" w:rsidR="009A4741" w:rsidRDefault="009A4741" w:rsidP="00375B11">
              <w:pPr>
                <w:pStyle w:val="NormalWeb"/>
                <w:numPr>
                  <w:ilvl w:val="0"/>
                  <w:numId w:val="18"/>
                </w:numPr>
                <w:spacing w:after="0" w:afterAutospacing="0"/>
                <w:rPr>
                  <w:rStyle w:val="Hyperlink"/>
                  <w:color w:val="0B57D0"/>
                  <w:bdr w:val="none" w:sz="0" w:space="0" w:color="auto" w:frame="1"/>
                </w:rPr>
              </w:pPr>
              <w:r>
                <w:rPr>
                  <w:color w:val="1F1F1F"/>
                </w:rPr>
                <w:t xml:space="preserve">Stabile, L., Fuoco, F. C., Marini, S., &amp; </w:t>
              </w:r>
              <w:proofErr w:type="spellStart"/>
              <w:r>
                <w:rPr>
                  <w:color w:val="1F1F1F"/>
                </w:rPr>
                <w:t>Buonanno</w:t>
              </w:r>
              <w:proofErr w:type="spellEnd"/>
              <w:r>
                <w:rPr>
                  <w:color w:val="1F1F1F"/>
                </w:rPr>
                <w:t xml:space="preserve">, G. (2015). Effects of the exposure to indoor cooking-generated particles on nitric oxide exhaled by women. </w:t>
              </w:r>
              <w:r>
                <w:rPr>
                  <w:i/>
                  <w:iCs/>
                  <w:color w:val="1F1F1F"/>
                  <w:bdr w:val="none" w:sz="0" w:space="0" w:color="auto" w:frame="1"/>
                </w:rPr>
                <w:t>Atmospheric Environment</w:t>
              </w:r>
              <w:r>
                <w:rPr>
                  <w:color w:val="1F1F1F"/>
                </w:rPr>
                <w:t xml:space="preserve">, </w:t>
              </w:r>
              <w:r>
                <w:rPr>
                  <w:i/>
                  <w:iCs/>
                  <w:color w:val="1F1F1F"/>
                  <w:bdr w:val="none" w:sz="0" w:space="0" w:color="auto" w:frame="1"/>
                </w:rPr>
                <w:t>103</w:t>
              </w:r>
              <w:r>
                <w:rPr>
                  <w:color w:val="1F1F1F"/>
                </w:rPr>
                <w:t xml:space="preserve">, 238–246. </w:t>
              </w:r>
              <w:hyperlink r:id="rId55" w:tgtFrame="_blank" w:history="1">
                <w:r>
                  <w:rPr>
                    <w:rStyle w:val="Hyperlink"/>
                    <w:color w:val="0B57D0"/>
                    <w:bdr w:val="none" w:sz="0" w:space="0" w:color="auto" w:frame="1"/>
                  </w:rPr>
                  <w:t>https://doi.org/10.1016/j.atmosenv.2014.12.049</w:t>
                </w:r>
              </w:hyperlink>
            </w:p>
            <w:p w14:paraId="234915D7" w14:textId="040ED50A" w:rsidR="00D63296" w:rsidRDefault="00D63296" w:rsidP="00375B11">
              <w:pPr>
                <w:pStyle w:val="NormalWeb"/>
                <w:numPr>
                  <w:ilvl w:val="0"/>
                  <w:numId w:val="18"/>
                </w:numPr>
                <w:spacing w:after="0" w:afterAutospacing="0"/>
                <w:rPr>
                  <w:color w:val="1F1F1F"/>
                </w:rPr>
              </w:pPr>
              <w:r>
                <w:t xml:space="preserve">World Health Organization. (2024). </w:t>
              </w:r>
              <w:r w:rsidRPr="00D63296">
                <w:rPr>
                  <w:rStyle w:val="Emphasis"/>
                  <w:i w:val="0"/>
                </w:rPr>
                <w:t>WHO bacterial priority pathogens list, 2024: Bacterial pathogens of public health importance to guide research, development, and strategies to prevent and control antimicrobial resistance</w:t>
              </w:r>
              <w:r w:rsidRPr="00D63296">
                <w:rPr>
                  <w:i/>
                </w:rPr>
                <w:t>.</w:t>
              </w:r>
              <w:r>
                <w:t xml:space="preserve"> World Health Organization.</w:t>
              </w:r>
            </w:p>
            <w:p w14:paraId="3CF754F3" w14:textId="77777777" w:rsidR="009A4741" w:rsidRDefault="009A4741" w:rsidP="00375B11">
              <w:pPr>
                <w:pStyle w:val="NormalWeb"/>
                <w:numPr>
                  <w:ilvl w:val="0"/>
                  <w:numId w:val="18"/>
                </w:numPr>
                <w:spacing w:after="0" w:afterAutospacing="0"/>
                <w:rPr>
                  <w:color w:val="1F1F1F"/>
                </w:rPr>
              </w:pPr>
              <w:proofErr w:type="spellStart"/>
              <w:r>
                <w:rPr>
                  <w:color w:val="1F1F1F"/>
                </w:rPr>
                <w:t>Zamanian</w:t>
              </w:r>
              <w:proofErr w:type="spellEnd"/>
              <w:r>
                <w:rPr>
                  <w:color w:val="1F1F1F"/>
                </w:rPr>
                <w:t xml:space="preserve">, A., &amp; Hardiman, C. (2005). Electromagnetic radiation and human health: A review of sources and effects. </w:t>
              </w:r>
              <w:r>
                <w:rPr>
                  <w:i/>
                  <w:iCs/>
                  <w:color w:val="1F1F1F"/>
                  <w:bdr w:val="none" w:sz="0" w:space="0" w:color="auto" w:frame="1"/>
                </w:rPr>
                <w:t>High Frequency Electronics</w:t>
              </w:r>
              <w:r>
                <w:rPr>
                  <w:color w:val="1F1F1F"/>
                </w:rPr>
                <w:t xml:space="preserve">, </w:t>
              </w:r>
              <w:r>
                <w:rPr>
                  <w:i/>
                  <w:iCs/>
                  <w:color w:val="1F1F1F"/>
                  <w:bdr w:val="none" w:sz="0" w:space="0" w:color="auto" w:frame="1"/>
                </w:rPr>
                <w:t>4</w:t>
              </w:r>
              <w:r>
                <w:rPr>
                  <w:color w:val="1F1F1F"/>
                </w:rPr>
                <w:t>(3), 16–26.</w:t>
              </w:r>
            </w:p>
            <w:p w14:paraId="7782C7D0" w14:textId="77777777" w:rsidR="009A4741" w:rsidRDefault="009A4741" w:rsidP="00375B11">
              <w:pPr>
                <w:pStyle w:val="NormalWeb"/>
                <w:numPr>
                  <w:ilvl w:val="0"/>
                  <w:numId w:val="18"/>
                </w:numPr>
                <w:spacing w:after="0" w:afterAutospacing="0"/>
                <w:rPr>
                  <w:color w:val="1F1F1F"/>
                </w:rPr>
              </w:pPr>
              <w:r>
                <w:rPr>
                  <w:color w:val="1F1F1F"/>
                </w:rPr>
                <w:t xml:space="preserve">Zhang, Y., Ma, Z., Chen, J., Yang, Z., Ren, Y., &amp; Li, X. (2024). Electromagnetic wave-based technology for ready-to-eat foods preservation: A review of applications, challenges and prospects. </w:t>
              </w:r>
              <w:r>
                <w:rPr>
                  <w:i/>
                  <w:iCs/>
                  <w:color w:val="1F1F1F"/>
                  <w:bdr w:val="none" w:sz="0" w:space="0" w:color="auto" w:frame="1"/>
                </w:rPr>
                <w:t>Critical Reviews in Food Science and Nutrition</w:t>
              </w:r>
              <w:r>
                <w:rPr>
                  <w:color w:val="1F1F1F"/>
                </w:rPr>
                <w:t xml:space="preserve">, </w:t>
              </w:r>
              <w:r>
                <w:rPr>
                  <w:i/>
                  <w:iCs/>
                  <w:color w:val="1F1F1F"/>
                  <w:bdr w:val="none" w:sz="0" w:space="0" w:color="auto" w:frame="1"/>
                </w:rPr>
                <w:t>65</w:t>
              </w:r>
              <w:r>
                <w:rPr>
                  <w:color w:val="1F1F1F"/>
                </w:rPr>
                <w:t xml:space="preserve">(24), 4703–4728. </w:t>
              </w:r>
              <w:hyperlink r:id="rId56" w:tgtFrame="_blank" w:history="1">
                <w:r>
                  <w:rPr>
                    <w:rStyle w:val="Hyperlink"/>
                    <w:color w:val="0B57D0"/>
                    <w:bdr w:val="none" w:sz="0" w:space="0" w:color="auto" w:frame="1"/>
                  </w:rPr>
                  <w:t>https://doi.org/10.1080/10408398.2024.2399294</w:t>
                </w:r>
              </w:hyperlink>
            </w:p>
            <w:p w14:paraId="6F387916" w14:textId="77777777" w:rsidR="009A4741" w:rsidRDefault="00001D7A" w:rsidP="009A4741"/>
            <w:bookmarkEnd w:id="0" w:displacedByCustomXml="next"/>
          </w:sdtContent>
        </w:sdt>
      </w:sdtContent>
    </w:sdt>
    <w:p w14:paraId="648A2B04" w14:textId="77777777" w:rsidR="009A4741" w:rsidRPr="00A63410" w:rsidRDefault="009A4741" w:rsidP="009A4741"/>
    <w:p w14:paraId="23A11331" w14:textId="77777777" w:rsidR="009A4741" w:rsidRDefault="009A4741" w:rsidP="00C3640F">
      <w:pPr>
        <w:jc w:val="both"/>
      </w:pPr>
    </w:p>
    <w:p w14:paraId="756A175D" w14:textId="77777777" w:rsidR="00C14B31" w:rsidRDefault="00C14B31" w:rsidP="00C3640F">
      <w:pPr>
        <w:jc w:val="both"/>
      </w:pPr>
    </w:p>
    <w:p w14:paraId="020F3F74" w14:textId="77777777" w:rsidR="00C14B31" w:rsidRDefault="00C14B31" w:rsidP="00C3640F">
      <w:pPr>
        <w:jc w:val="both"/>
      </w:pPr>
    </w:p>
    <w:p w14:paraId="1E01F193" w14:textId="77777777" w:rsidR="00C14B31" w:rsidRDefault="00C14B31" w:rsidP="00C3640F">
      <w:pPr>
        <w:jc w:val="both"/>
      </w:pPr>
    </w:p>
    <w:p w14:paraId="4B9D633B" w14:textId="77777777" w:rsidR="00C14B31" w:rsidRDefault="00C14B31" w:rsidP="00C3640F">
      <w:pPr>
        <w:jc w:val="both"/>
      </w:pPr>
    </w:p>
    <w:p w14:paraId="6FF49C35" w14:textId="77777777" w:rsidR="00C14B31" w:rsidRDefault="00C14B31" w:rsidP="00C3640F">
      <w:pPr>
        <w:jc w:val="both"/>
      </w:pPr>
    </w:p>
    <w:p w14:paraId="16198BED" w14:textId="77777777" w:rsidR="00C14B31" w:rsidRDefault="00C14B31" w:rsidP="00C3640F">
      <w:pPr>
        <w:jc w:val="both"/>
      </w:pPr>
    </w:p>
    <w:p w14:paraId="6D19C183" w14:textId="77777777" w:rsidR="00C14B31" w:rsidRDefault="00C14B31" w:rsidP="00C3640F">
      <w:pPr>
        <w:jc w:val="both"/>
      </w:pPr>
    </w:p>
    <w:p w14:paraId="1021A432" w14:textId="77777777" w:rsidR="00C14B31" w:rsidRDefault="00C14B31" w:rsidP="00C3640F">
      <w:pPr>
        <w:jc w:val="both"/>
      </w:pPr>
    </w:p>
    <w:p w14:paraId="75A4D153" w14:textId="77777777" w:rsidR="00C14B31" w:rsidRDefault="00C14B31" w:rsidP="00C3640F">
      <w:pPr>
        <w:jc w:val="both"/>
      </w:pPr>
    </w:p>
    <w:p w14:paraId="4EFF6213" w14:textId="77777777" w:rsidR="00C14B31" w:rsidRDefault="00C14B31" w:rsidP="00C3640F">
      <w:pPr>
        <w:jc w:val="both"/>
      </w:pPr>
    </w:p>
    <w:p w14:paraId="366255BC" w14:textId="77777777" w:rsidR="00C14B31" w:rsidRDefault="00C14B31" w:rsidP="00C3640F">
      <w:pPr>
        <w:jc w:val="both"/>
      </w:pPr>
    </w:p>
    <w:p w14:paraId="757FD72C" w14:textId="77777777" w:rsidR="00C14B31" w:rsidRDefault="00C14B31" w:rsidP="00C3640F">
      <w:pPr>
        <w:jc w:val="both"/>
      </w:pPr>
    </w:p>
    <w:p w14:paraId="446EB6EF" w14:textId="77777777" w:rsidR="00C14B31" w:rsidRDefault="00C14B31" w:rsidP="00C3640F">
      <w:pPr>
        <w:jc w:val="both"/>
      </w:pPr>
    </w:p>
    <w:p w14:paraId="666CC3B7" w14:textId="77777777" w:rsidR="00C14B31" w:rsidRDefault="00C14B31" w:rsidP="00C3640F">
      <w:pPr>
        <w:jc w:val="both"/>
      </w:pPr>
    </w:p>
    <w:p w14:paraId="759D3BF6" w14:textId="77777777" w:rsidR="00C14B31" w:rsidRDefault="00C14B31" w:rsidP="00C3640F">
      <w:pPr>
        <w:jc w:val="both"/>
      </w:pPr>
    </w:p>
    <w:p w14:paraId="2C124F91" w14:textId="77777777" w:rsidR="00C14B31" w:rsidRDefault="00C14B31" w:rsidP="00C3640F">
      <w:pPr>
        <w:jc w:val="both"/>
      </w:pPr>
    </w:p>
    <w:p w14:paraId="5583499D" w14:textId="77777777" w:rsidR="00C14B31" w:rsidRDefault="00C14B31" w:rsidP="00C3640F">
      <w:pPr>
        <w:jc w:val="both"/>
      </w:pPr>
    </w:p>
    <w:p w14:paraId="28ABE101" w14:textId="77777777" w:rsidR="00C14B31" w:rsidRDefault="00C14B31" w:rsidP="00C3640F">
      <w:pPr>
        <w:jc w:val="both"/>
      </w:pPr>
    </w:p>
    <w:p w14:paraId="64E3BC73" w14:textId="77777777" w:rsidR="00C14B31" w:rsidRDefault="00C14B31" w:rsidP="00C3640F">
      <w:pPr>
        <w:jc w:val="both"/>
      </w:pPr>
    </w:p>
    <w:p w14:paraId="0FC186DC" w14:textId="77777777" w:rsidR="00C14B31" w:rsidRDefault="00C14B31" w:rsidP="00C3640F">
      <w:pPr>
        <w:jc w:val="both"/>
      </w:pPr>
    </w:p>
    <w:p w14:paraId="0E5F5BCC" w14:textId="77777777" w:rsidR="00C14B31" w:rsidRDefault="00C14B31" w:rsidP="00C3640F">
      <w:pPr>
        <w:jc w:val="both"/>
      </w:pPr>
    </w:p>
    <w:p w14:paraId="7B516B96" w14:textId="77777777" w:rsidR="00C14B31" w:rsidRDefault="00C14B31" w:rsidP="00C3640F">
      <w:pPr>
        <w:jc w:val="both"/>
      </w:pPr>
    </w:p>
    <w:p w14:paraId="7D994875" w14:textId="77777777" w:rsidR="00C14B31" w:rsidRDefault="00C14B31" w:rsidP="00C3640F">
      <w:pPr>
        <w:jc w:val="both"/>
      </w:pPr>
    </w:p>
    <w:p w14:paraId="7C7DB127" w14:textId="77777777" w:rsidR="00861EB3" w:rsidRDefault="00861EB3"/>
    <w:sectPr w:rsidR="00861EB3" w:rsidSect="0007019F">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2F760" w14:textId="77777777" w:rsidR="00001D7A" w:rsidRDefault="00001D7A" w:rsidP="008E3DDE">
      <w:r>
        <w:separator/>
      </w:r>
    </w:p>
  </w:endnote>
  <w:endnote w:type="continuationSeparator" w:id="0">
    <w:p w14:paraId="5696C264" w14:textId="77777777" w:rsidR="00001D7A" w:rsidRDefault="00001D7A" w:rsidP="008E3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8F7D" w14:textId="77777777" w:rsidR="00415B06" w:rsidRDefault="00415B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049298"/>
      <w:docPartObj>
        <w:docPartGallery w:val="Page Numbers (Bottom of Page)"/>
        <w:docPartUnique/>
      </w:docPartObj>
    </w:sdtPr>
    <w:sdtEndPr>
      <w:rPr>
        <w:noProof/>
      </w:rPr>
    </w:sdtEndPr>
    <w:sdtContent>
      <w:p w14:paraId="3AAE4AF8" w14:textId="7F06D349" w:rsidR="00415B06" w:rsidRDefault="00415B06">
        <w:pPr>
          <w:pStyle w:val="Footer"/>
          <w:jc w:val="center"/>
        </w:pPr>
        <w:r>
          <w:fldChar w:fldCharType="begin"/>
        </w:r>
        <w:r>
          <w:instrText xml:space="preserve"> PAGE   \* MERGEFORMAT </w:instrText>
        </w:r>
        <w:r>
          <w:fldChar w:fldCharType="separate"/>
        </w:r>
        <w:r w:rsidR="009521BB">
          <w:rPr>
            <w:noProof/>
          </w:rPr>
          <w:t>1</w:t>
        </w:r>
        <w:r>
          <w:rPr>
            <w:noProof/>
          </w:rPr>
          <w:fldChar w:fldCharType="end"/>
        </w:r>
      </w:p>
    </w:sdtContent>
  </w:sdt>
  <w:p w14:paraId="4B7ED4A0" w14:textId="77777777" w:rsidR="00415B06" w:rsidRDefault="00415B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C4134" w14:textId="77777777" w:rsidR="00415B06" w:rsidRDefault="00415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87830" w14:textId="77777777" w:rsidR="00001D7A" w:rsidRDefault="00001D7A" w:rsidP="008E3DDE">
      <w:r>
        <w:separator/>
      </w:r>
    </w:p>
  </w:footnote>
  <w:footnote w:type="continuationSeparator" w:id="0">
    <w:p w14:paraId="147748EB" w14:textId="77777777" w:rsidR="00001D7A" w:rsidRDefault="00001D7A" w:rsidP="008E3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E5A5" w14:textId="06FD8256" w:rsidR="00415B06" w:rsidRDefault="00001D7A">
    <w:pPr>
      <w:pStyle w:val="Header"/>
    </w:pPr>
    <w:r>
      <w:rPr>
        <w:noProof/>
      </w:rPr>
      <w:pict w14:anchorId="323A7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9622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DAC7C" w14:textId="5666CAA6" w:rsidR="00415B06" w:rsidRDefault="00001D7A">
    <w:pPr>
      <w:pStyle w:val="Header"/>
    </w:pPr>
    <w:r>
      <w:rPr>
        <w:noProof/>
      </w:rPr>
      <w:pict w14:anchorId="605FC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9622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C1340" w14:textId="5936F65A" w:rsidR="00415B06" w:rsidRDefault="00001D7A">
    <w:pPr>
      <w:pStyle w:val="Header"/>
    </w:pPr>
    <w:r>
      <w:rPr>
        <w:noProof/>
      </w:rPr>
      <w:pict w14:anchorId="0F26A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9622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D4C81"/>
    <w:multiLevelType w:val="multilevel"/>
    <w:tmpl w:val="8B60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B1EAB"/>
    <w:multiLevelType w:val="multilevel"/>
    <w:tmpl w:val="727C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E3800"/>
    <w:multiLevelType w:val="hybridMultilevel"/>
    <w:tmpl w:val="43185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5F09C8"/>
    <w:multiLevelType w:val="multilevel"/>
    <w:tmpl w:val="C362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35CF3"/>
    <w:multiLevelType w:val="hybridMultilevel"/>
    <w:tmpl w:val="62F270F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23942E86"/>
    <w:multiLevelType w:val="multilevel"/>
    <w:tmpl w:val="47DA0E32"/>
    <w:lvl w:ilvl="0">
      <w:start w:val="1"/>
      <w:numFmt w:val="decimal"/>
      <w:lvlText w:val="%1."/>
      <w:lvlJc w:val="left"/>
      <w:pPr>
        <w:ind w:left="360" w:hanging="360"/>
      </w:pPr>
      <w:rPr>
        <w:rFonts w:hint="default"/>
        <w:b/>
      </w:rPr>
    </w:lvl>
    <w:lvl w:ilvl="1">
      <w:start w:val="1"/>
      <w:numFmt w:val="decimal"/>
      <w:isLgl/>
      <w:lvlText w:val="%1.%2"/>
      <w:lvlJc w:val="left"/>
      <w:pPr>
        <w:ind w:left="2060" w:hanging="360"/>
      </w:pPr>
      <w:rPr>
        <w:rFonts w:hint="default"/>
        <w:b/>
      </w:rPr>
    </w:lvl>
    <w:lvl w:ilvl="2">
      <w:start w:val="1"/>
      <w:numFmt w:val="decimal"/>
      <w:isLgl/>
      <w:lvlText w:val="%1.%2.%3"/>
      <w:lvlJc w:val="left"/>
      <w:pPr>
        <w:ind w:left="2420" w:hanging="720"/>
      </w:pPr>
      <w:rPr>
        <w:rFonts w:hint="default"/>
      </w:rPr>
    </w:lvl>
    <w:lvl w:ilvl="3">
      <w:start w:val="1"/>
      <w:numFmt w:val="decimal"/>
      <w:isLgl/>
      <w:lvlText w:val="%1.%2.%3.%4"/>
      <w:lvlJc w:val="left"/>
      <w:pPr>
        <w:ind w:left="2420"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140" w:hanging="1440"/>
      </w:pPr>
      <w:rPr>
        <w:rFonts w:hint="default"/>
      </w:rPr>
    </w:lvl>
    <w:lvl w:ilvl="7">
      <w:start w:val="1"/>
      <w:numFmt w:val="decimal"/>
      <w:isLgl/>
      <w:lvlText w:val="%1.%2.%3.%4.%5.%6.%7.%8"/>
      <w:lvlJc w:val="left"/>
      <w:pPr>
        <w:ind w:left="3140" w:hanging="1440"/>
      </w:pPr>
      <w:rPr>
        <w:rFonts w:hint="default"/>
      </w:rPr>
    </w:lvl>
    <w:lvl w:ilvl="8">
      <w:start w:val="1"/>
      <w:numFmt w:val="decimal"/>
      <w:isLgl/>
      <w:lvlText w:val="%1.%2.%3.%4.%5.%6.%7.%8.%9"/>
      <w:lvlJc w:val="left"/>
      <w:pPr>
        <w:ind w:left="3500" w:hanging="1800"/>
      </w:pPr>
      <w:rPr>
        <w:rFonts w:hint="default"/>
      </w:rPr>
    </w:lvl>
  </w:abstractNum>
  <w:abstractNum w:abstractNumId="6" w15:restartNumberingAfterBreak="0">
    <w:nsid w:val="274E15AB"/>
    <w:multiLevelType w:val="multilevel"/>
    <w:tmpl w:val="E86A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4370D"/>
    <w:multiLevelType w:val="multilevel"/>
    <w:tmpl w:val="4940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6313B"/>
    <w:multiLevelType w:val="multilevel"/>
    <w:tmpl w:val="CAAE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F75954"/>
    <w:multiLevelType w:val="multilevel"/>
    <w:tmpl w:val="60A0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7D76CE"/>
    <w:multiLevelType w:val="multilevel"/>
    <w:tmpl w:val="42D6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136C7B"/>
    <w:multiLevelType w:val="multilevel"/>
    <w:tmpl w:val="FC64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756C4A"/>
    <w:multiLevelType w:val="multilevel"/>
    <w:tmpl w:val="25F2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B87052"/>
    <w:multiLevelType w:val="multilevel"/>
    <w:tmpl w:val="7016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CB5331"/>
    <w:multiLevelType w:val="hybridMultilevel"/>
    <w:tmpl w:val="A940A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CD0951"/>
    <w:multiLevelType w:val="multilevel"/>
    <w:tmpl w:val="51D8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9E38B8"/>
    <w:multiLevelType w:val="multilevel"/>
    <w:tmpl w:val="378A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DC63DF"/>
    <w:multiLevelType w:val="multilevel"/>
    <w:tmpl w:val="7D6A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17"/>
  </w:num>
  <w:num w:numId="4">
    <w:abstractNumId w:val="8"/>
  </w:num>
  <w:num w:numId="5">
    <w:abstractNumId w:val="11"/>
  </w:num>
  <w:num w:numId="6">
    <w:abstractNumId w:val="16"/>
  </w:num>
  <w:num w:numId="7">
    <w:abstractNumId w:val="10"/>
  </w:num>
  <w:num w:numId="8">
    <w:abstractNumId w:val="3"/>
  </w:num>
  <w:num w:numId="9">
    <w:abstractNumId w:val="14"/>
  </w:num>
  <w:num w:numId="10">
    <w:abstractNumId w:val="5"/>
  </w:num>
  <w:num w:numId="11">
    <w:abstractNumId w:val="7"/>
  </w:num>
  <w:num w:numId="12">
    <w:abstractNumId w:val="4"/>
  </w:num>
  <w:num w:numId="13">
    <w:abstractNumId w:val="13"/>
  </w:num>
  <w:num w:numId="14">
    <w:abstractNumId w:val="6"/>
  </w:num>
  <w:num w:numId="15">
    <w:abstractNumId w:val="12"/>
  </w:num>
  <w:num w:numId="16">
    <w:abstractNumId w:val="9"/>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B88"/>
    <w:rsid w:val="00001D7A"/>
    <w:rsid w:val="00027560"/>
    <w:rsid w:val="00041CB0"/>
    <w:rsid w:val="00054D86"/>
    <w:rsid w:val="000618CD"/>
    <w:rsid w:val="0007019F"/>
    <w:rsid w:val="00076D4A"/>
    <w:rsid w:val="00082893"/>
    <w:rsid w:val="00090DB7"/>
    <w:rsid w:val="00097EA5"/>
    <w:rsid w:val="000A14E8"/>
    <w:rsid w:val="000A7096"/>
    <w:rsid w:val="000D404B"/>
    <w:rsid w:val="000F045E"/>
    <w:rsid w:val="00107033"/>
    <w:rsid w:val="0016011C"/>
    <w:rsid w:val="00160CCC"/>
    <w:rsid w:val="00174F65"/>
    <w:rsid w:val="00191DD6"/>
    <w:rsid w:val="001941A5"/>
    <w:rsid w:val="001B011D"/>
    <w:rsid w:val="001C123A"/>
    <w:rsid w:val="001E3E4A"/>
    <w:rsid w:val="001F6035"/>
    <w:rsid w:val="00214D23"/>
    <w:rsid w:val="002158DE"/>
    <w:rsid w:val="00217216"/>
    <w:rsid w:val="00235070"/>
    <w:rsid w:val="00263F18"/>
    <w:rsid w:val="00267F6E"/>
    <w:rsid w:val="0028777F"/>
    <w:rsid w:val="00290B6A"/>
    <w:rsid w:val="002A0563"/>
    <w:rsid w:val="002E7439"/>
    <w:rsid w:val="0031493E"/>
    <w:rsid w:val="003204B8"/>
    <w:rsid w:val="003221B9"/>
    <w:rsid w:val="00341629"/>
    <w:rsid w:val="00344EA0"/>
    <w:rsid w:val="0034767A"/>
    <w:rsid w:val="00361670"/>
    <w:rsid w:val="003739CD"/>
    <w:rsid w:val="00375B11"/>
    <w:rsid w:val="003764E8"/>
    <w:rsid w:val="0038019B"/>
    <w:rsid w:val="003A1124"/>
    <w:rsid w:val="003C644F"/>
    <w:rsid w:val="003C77E2"/>
    <w:rsid w:val="003F7AF8"/>
    <w:rsid w:val="0041017F"/>
    <w:rsid w:val="00415B06"/>
    <w:rsid w:val="00420546"/>
    <w:rsid w:val="00423AF8"/>
    <w:rsid w:val="00441B88"/>
    <w:rsid w:val="00474BEF"/>
    <w:rsid w:val="0048371A"/>
    <w:rsid w:val="00490105"/>
    <w:rsid w:val="004907F2"/>
    <w:rsid w:val="004C46F8"/>
    <w:rsid w:val="004E7F48"/>
    <w:rsid w:val="00506078"/>
    <w:rsid w:val="00512A75"/>
    <w:rsid w:val="00535CF7"/>
    <w:rsid w:val="00543194"/>
    <w:rsid w:val="00550B13"/>
    <w:rsid w:val="00596E05"/>
    <w:rsid w:val="005A6200"/>
    <w:rsid w:val="005B3682"/>
    <w:rsid w:val="005C3BFF"/>
    <w:rsid w:val="0061213E"/>
    <w:rsid w:val="0061509E"/>
    <w:rsid w:val="00616433"/>
    <w:rsid w:val="006233FA"/>
    <w:rsid w:val="006633F1"/>
    <w:rsid w:val="006673CC"/>
    <w:rsid w:val="00687550"/>
    <w:rsid w:val="006954AA"/>
    <w:rsid w:val="006A0D65"/>
    <w:rsid w:val="006A4342"/>
    <w:rsid w:val="006A691C"/>
    <w:rsid w:val="006B12F4"/>
    <w:rsid w:val="006B7FAA"/>
    <w:rsid w:val="006F1042"/>
    <w:rsid w:val="006F3302"/>
    <w:rsid w:val="006F5DFC"/>
    <w:rsid w:val="00744B95"/>
    <w:rsid w:val="00756F2B"/>
    <w:rsid w:val="007963BB"/>
    <w:rsid w:val="007C0AB3"/>
    <w:rsid w:val="007C71B0"/>
    <w:rsid w:val="007E7D77"/>
    <w:rsid w:val="008045ED"/>
    <w:rsid w:val="00831C13"/>
    <w:rsid w:val="0083533E"/>
    <w:rsid w:val="008415DD"/>
    <w:rsid w:val="00861EB3"/>
    <w:rsid w:val="00870377"/>
    <w:rsid w:val="008B2DE8"/>
    <w:rsid w:val="008B4976"/>
    <w:rsid w:val="008E3DDE"/>
    <w:rsid w:val="008E3FF6"/>
    <w:rsid w:val="00900C0B"/>
    <w:rsid w:val="0092112B"/>
    <w:rsid w:val="009521BB"/>
    <w:rsid w:val="009531D1"/>
    <w:rsid w:val="0095594B"/>
    <w:rsid w:val="009935B2"/>
    <w:rsid w:val="009A4741"/>
    <w:rsid w:val="009B7943"/>
    <w:rsid w:val="009B7A19"/>
    <w:rsid w:val="009C3A70"/>
    <w:rsid w:val="009D064D"/>
    <w:rsid w:val="009D7C35"/>
    <w:rsid w:val="009E0A8E"/>
    <w:rsid w:val="00A36A60"/>
    <w:rsid w:val="00A442A4"/>
    <w:rsid w:val="00A54C06"/>
    <w:rsid w:val="00A72CCE"/>
    <w:rsid w:val="00A94DF6"/>
    <w:rsid w:val="00A97006"/>
    <w:rsid w:val="00AC6C00"/>
    <w:rsid w:val="00AD2853"/>
    <w:rsid w:val="00AD3DC2"/>
    <w:rsid w:val="00AF1447"/>
    <w:rsid w:val="00AF3971"/>
    <w:rsid w:val="00B003DE"/>
    <w:rsid w:val="00B00DFC"/>
    <w:rsid w:val="00B04E13"/>
    <w:rsid w:val="00B05C66"/>
    <w:rsid w:val="00B07494"/>
    <w:rsid w:val="00B474C6"/>
    <w:rsid w:val="00B578F0"/>
    <w:rsid w:val="00B60F37"/>
    <w:rsid w:val="00B66DBD"/>
    <w:rsid w:val="00B84978"/>
    <w:rsid w:val="00B877F9"/>
    <w:rsid w:val="00B9379C"/>
    <w:rsid w:val="00B96316"/>
    <w:rsid w:val="00BB6ABB"/>
    <w:rsid w:val="00BF0117"/>
    <w:rsid w:val="00BF3CEA"/>
    <w:rsid w:val="00C14B31"/>
    <w:rsid w:val="00C14FC4"/>
    <w:rsid w:val="00C2698D"/>
    <w:rsid w:val="00C26D6D"/>
    <w:rsid w:val="00C31676"/>
    <w:rsid w:val="00C3640F"/>
    <w:rsid w:val="00C462B9"/>
    <w:rsid w:val="00C72C8F"/>
    <w:rsid w:val="00C9286C"/>
    <w:rsid w:val="00CA56C2"/>
    <w:rsid w:val="00CD7DA4"/>
    <w:rsid w:val="00CF576A"/>
    <w:rsid w:val="00D05970"/>
    <w:rsid w:val="00D42499"/>
    <w:rsid w:val="00D42D13"/>
    <w:rsid w:val="00D63296"/>
    <w:rsid w:val="00D963CB"/>
    <w:rsid w:val="00D96B23"/>
    <w:rsid w:val="00DE17D7"/>
    <w:rsid w:val="00DE6E3C"/>
    <w:rsid w:val="00DF669F"/>
    <w:rsid w:val="00E03D5E"/>
    <w:rsid w:val="00E130FA"/>
    <w:rsid w:val="00E32630"/>
    <w:rsid w:val="00E41572"/>
    <w:rsid w:val="00E45956"/>
    <w:rsid w:val="00E50817"/>
    <w:rsid w:val="00E95BBD"/>
    <w:rsid w:val="00EB13DB"/>
    <w:rsid w:val="00ED279F"/>
    <w:rsid w:val="00EE6155"/>
    <w:rsid w:val="00EF61E7"/>
    <w:rsid w:val="00F140A6"/>
    <w:rsid w:val="00F31E07"/>
    <w:rsid w:val="00F672A2"/>
    <w:rsid w:val="00F67DA7"/>
    <w:rsid w:val="00F778CE"/>
    <w:rsid w:val="00F80414"/>
    <w:rsid w:val="00F8567B"/>
    <w:rsid w:val="00F9322D"/>
    <w:rsid w:val="00FB4B16"/>
    <w:rsid w:val="00FB76E4"/>
    <w:rsid w:val="00FC77CF"/>
    <w:rsid w:val="00FD2C70"/>
    <w:rsid w:val="00FE0F3A"/>
    <w:rsid w:val="00FF4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3307D4"/>
  <w15:chartTrackingRefBased/>
  <w15:docId w15:val="{5ED62121-BFBF-4880-AC8A-7709B7FF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63C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41B88"/>
    <w:pPr>
      <w:spacing w:before="100" w:beforeAutospacing="1" w:after="100" w:afterAutospacing="1"/>
      <w:outlineLvl w:val="0"/>
    </w:pPr>
    <w:rPr>
      <w:b/>
      <w:bCs/>
      <w:color w:val="70AD47" w:themeColor="accent6"/>
      <w:kern w:val="36"/>
      <w:sz w:val="32"/>
      <w:szCs w:val="48"/>
    </w:rPr>
  </w:style>
  <w:style w:type="paragraph" w:styleId="Heading2">
    <w:name w:val="heading 2"/>
    <w:basedOn w:val="Normal"/>
    <w:next w:val="Heading1"/>
    <w:link w:val="Heading2Char"/>
    <w:uiPriority w:val="9"/>
    <w:qFormat/>
    <w:rsid w:val="00F140A6"/>
    <w:pPr>
      <w:spacing w:before="100" w:beforeAutospacing="1" w:after="100" w:afterAutospacing="1"/>
      <w:outlineLvl w:val="1"/>
    </w:pPr>
    <w:rPr>
      <w:b/>
      <w:bCs/>
      <w:szCs w:val="36"/>
    </w:rPr>
  </w:style>
  <w:style w:type="paragraph" w:styleId="Heading3">
    <w:name w:val="heading 3"/>
    <w:basedOn w:val="Normal"/>
    <w:link w:val="Heading3Char"/>
    <w:uiPriority w:val="9"/>
    <w:qFormat/>
    <w:rsid w:val="00441B8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B88"/>
    <w:rPr>
      <w:rFonts w:ascii="Times New Roman" w:eastAsia="Times New Roman" w:hAnsi="Times New Roman" w:cs="Times New Roman"/>
      <w:b/>
      <w:bCs/>
      <w:color w:val="70AD47" w:themeColor="accent6"/>
      <w:kern w:val="36"/>
      <w:sz w:val="32"/>
      <w:szCs w:val="48"/>
    </w:rPr>
  </w:style>
  <w:style w:type="character" w:customStyle="1" w:styleId="Heading2Char">
    <w:name w:val="Heading 2 Char"/>
    <w:basedOn w:val="DefaultParagraphFont"/>
    <w:link w:val="Heading2"/>
    <w:uiPriority w:val="9"/>
    <w:rsid w:val="00F140A6"/>
    <w:rPr>
      <w:rFonts w:ascii="Times New Roman" w:eastAsia="Times New Roman" w:hAnsi="Times New Roman" w:cs="Times New Roman"/>
      <w:b/>
      <w:bCs/>
      <w:sz w:val="24"/>
      <w:szCs w:val="36"/>
    </w:rPr>
  </w:style>
  <w:style w:type="character" w:customStyle="1" w:styleId="Heading3Char">
    <w:name w:val="Heading 3 Char"/>
    <w:basedOn w:val="DefaultParagraphFont"/>
    <w:link w:val="Heading3"/>
    <w:uiPriority w:val="9"/>
    <w:rsid w:val="00441B88"/>
    <w:rPr>
      <w:rFonts w:ascii="Times New Roman" w:eastAsia="Times New Roman" w:hAnsi="Times New Roman" w:cs="Times New Roman"/>
      <w:b/>
      <w:bCs/>
      <w:sz w:val="27"/>
      <w:szCs w:val="27"/>
    </w:rPr>
  </w:style>
  <w:style w:type="paragraph" w:styleId="NormalWeb">
    <w:name w:val="Normal (Web)"/>
    <w:basedOn w:val="Normal"/>
    <w:uiPriority w:val="99"/>
    <w:unhideWhenUsed/>
    <w:rsid w:val="00441B88"/>
    <w:pPr>
      <w:spacing w:before="100" w:beforeAutospacing="1" w:after="100" w:afterAutospacing="1"/>
    </w:pPr>
  </w:style>
  <w:style w:type="character" w:styleId="Strong">
    <w:name w:val="Strong"/>
    <w:basedOn w:val="DefaultParagraphFont"/>
    <w:uiPriority w:val="22"/>
    <w:qFormat/>
    <w:rsid w:val="00441B88"/>
    <w:rPr>
      <w:b/>
      <w:bCs/>
    </w:rPr>
  </w:style>
  <w:style w:type="paragraph" w:styleId="Caption">
    <w:name w:val="caption"/>
    <w:basedOn w:val="Normal"/>
    <w:next w:val="Normal"/>
    <w:uiPriority w:val="35"/>
    <w:unhideWhenUsed/>
    <w:qFormat/>
    <w:rsid w:val="00E03D5E"/>
    <w:pPr>
      <w:spacing w:after="200"/>
    </w:pPr>
    <w:rPr>
      <w:i/>
      <w:iCs/>
      <w:color w:val="44546A" w:themeColor="text2"/>
      <w:sz w:val="18"/>
      <w:szCs w:val="18"/>
    </w:rPr>
  </w:style>
  <w:style w:type="table" w:styleId="TableGrid">
    <w:name w:val="Table Grid"/>
    <w:basedOn w:val="TableNormal"/>
    <w:uiPriority w:val="39"/>
    <w:rsid w:val="00E03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54AA"/>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8019B"/>
    <w:rPr>
      <w:color w:val="0000FF"/>
      <w:u w:val="single"/>
    </w:rPr>
  </w:style>
  <w:style w:type="character" w:customStyle="1" w:styleId="citation-169">
    <w:name w:val="citation-169"/>
    <w:basedOn w:val="DefaultParagraphFont"/>
    <w:rsid w:val="0038019B"/>
  </w:style>
  <w:style w:type="character" w:customStyle="1" w:styleId="citation-168">
    <w:name w:val="citation-168"/>
    <w:basedOn w:val="DefaultParagraphFont"/>
    <w:rsid w:val="0038019B"/>
  </w:style>
  <w:style w:type="character" w:customStyle="1" w:styleId="citation-167">
    <w:name w:val="citation-167"/>
    <w:basedOn w:val="DefaultParagraphFont"/>
    <w:rsid w:val="0038019B"/>
  </w:style>
  <w:style w:type="paragraph" w:styleId="Header">
    <w:name w:val="header"/>
    <w:basedOn w:val="Normal"/>
    <w:link w:val="HeaderChar"/>
    <w:uiPriority w:val="99"/>
    <w:unhideWhenUsed/>
    <w:rsid w:val="008E3DDE"/>
    <w:pPr>
      <w:tabs>
        <w:tab w:val="center" w:pos="4680"/>
        <w:tab w:val="right" w:pos="9360"/>
      </w:tabs>
    </w:pPr>
  </w:style>
  <w:style w:type="character" w:customStyle="1" w:styleId="HeaderChar">
    <w:name w:val="Header Char"/>
    <w:basedOn w:val="DefaultParagraphFont"/>
    <w:link w:val="Header"/>
    <w:uiPriority w:val="99"/>
    <w:rsid w:val="008E3D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3DDE"/>
    <w:pPr>
      <w:tabs>
        <w:tab w:val="center" w:pos="4680"/>
        <w:tab w:val="right" w:pos="9360"/>
      </w:tabs>
    </w:pPr>
  </w:style>
  <w:style w:type="character" w:customStyle="1" w:styleId="FooterChar">
    <w:name w:val="Footer Char"/>
    <w:basedOn w:val="DefaultParagraphFont"/>
    <w:link w:val="Footer"/>
    <w:uiPriority w:val="99"/>
    <w:rsid w:val="008E3DDE"/>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A56C2"/>
    <w:rPr>
      <w:color w:val="605E5C"/>
      <w:shd w:val="clear" w:color="auto" w:fill="E1DFDD"/>
    </w:rPr>
  </w:style>
  <w:style w:type="character" w:styleId="Emphasis">
    <w:name w:val="Emphasis"/>
    <w:basedOn w:val="DefaultParagraphFont"/>
    <w:uiPriority w:val="20"/>
    <w:qFormat/>
    <w:rsid w:val="006A69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4578">
      <w:bodyDiv w:val="1"/>
      <w:marLeft w:val="0"/>
      <w:marRight w:val="0"/>
      <w:marTop w:val="0"/>
      <w:marBottom w:val="0"/>
      <w:divBdr>
        <w:top w:val="none" w:sz="0" w:space="0" w:color="auto"/>
        <w:left w:val="none" w:sz="0" w:space="0" w:color="auto"/>
        <w:bottom w:val="none" w:sz="0" w:space="0" w:color="auto"/>
        <w:right w:val="none" w:sz="0" w:space="0" w:color="auto"/>
      </w:divBdr>
    </w:div>
    <w:div w:id="24258483">
      <w:bodyDiv w:val="1"/>
      <w:marLeft w:val="0"/>
      <w:marRight w:val="0"/>
      <w:marTop w:val="0"/>
      <w:marBottom w:val="0"/>
      <w:divBdr>
        <w:top w:val="none" w:sz="0" w:space="0" w:color="auto"/>
        <w:left w:val="none" w:sz="0" w:space="0" w:color="auto"/>
        <w:bottom w:val="none" w:sz="0" w:space="0" w:color="auto"/>
        <w:right w:val="none" w:sz="0" w:space="0" w:color="auto"/>
      </w:divBdr>
    </w:div>
    <w:div w:id="39599024">
      <w:bodyDiv w:val="1"/>
      <w:marLeft w:val="0"/>
      <w:marRight w:val="0"/>
      <w:marTop w:val="0"/>
      <w:marBottom w:val="0"/>
      <w:divBdr>
        <w:top w:val="none" w:sz="0" w:space="0" w:color="auto"/>
        <w:left w:val="none" w:sz="0" w:space="0" w:color="auto"/>
        <w:bottom w:val="none" w:sz="0" w:space="0" w:color="auto"/>
        <w:right w:val="none" w:sz="0" w:space="0" w:color="auto"/>
      </w:divBdr>
    </w:div>
    <w:div w:id="71002261">
      <w:bodyDiv w:val="1"/>
      <w:marLeft w:val="0"/>
      <w:marRight w:val="0"/>
      <w:marTop w:val="0"/>
      <w:marBottom w:val="0"/>
      <w:divBdr>
        <w:top w:val="none" w:sz="0" w:space="0" w:color="auto"/>
        <w:left w:val="none" w:sz="0" w:space="0" w:color="auto"/>
        <w:bottom w:val="none" w:sz="0" w:space="0" w:color="auto"/>
        <w:right w:val="none" w:sz="0" w:space="0" w:color="auto"/>
      </w:divBdr>
    </w:div>
    <w:div w:id="94175268">
      <w:bodyDiv w:val="1"/>
      <w:marLeft w:val="0"/>
      <w:marRight w:val="0"/>
      <w:marTop w:val="0"/>
      <w:marBottom w:val="0"/>
      <w:divBdr>
        <w:top w:val="none" w:sz="0" w:space="0" w:color="auto"/>
        <w:left w:val="none" w:sz="0" w:space="0" w:color="auto"/>
        <w:bottom w:val="none" w:sz="0" w:space="0" w:color="auto"/>
        <w:right w:val="none" w:sz="0" w:space="0" w:color="auto"/>
      </w:divBdr>
    </w:div>
    <w:div w:id="123157199">
      <w:bodyDiv w:val="1"/>
      <w:marLeft w:val="0"/>
      <w:marRight w:val="0"/>
      <w:marTop w:val="0"/>
      <w:marBottom w:val="0"/>
      <w:divBdr>
        <w:top w:val="none" w:sz="0" w:space="0" w:color="auto"/>
        <w:left w:val="none" w:sz="0" w:space="0" w:color="auto"/>
        <w:bottom w:val="none" w:sz="0" w:space="0" w:color="auto"/>
        <w:right w:val="none" w:sz="0" w:space="0" w:color="auto"/>
      </w:divBdr>
    </w:div>
    <w:div w:id="183373055">
      <w:bodyDiv w:val="1"/>
      <w:marLeft w:val="0"/>
      <w:marRight w:val="0"/>
      <w:marTop w:val="0"/>
      <w:marBottom w:val="0"/>
      <w:divBdr>
        <w:top w:val="none" w:sz="0" w:space="0" w:color="auto"/>
        <w:left w:val="none" w:sz="0" w:space="0" w:color="auto"/>
        <w:bottom w:val="none" w:sz="0" w:space="0" w:color="auto"/>
        <w:right w:val="none" w:sz="0" w:space="0" w:color="auto"/>
      </w:divBdr>
    </w:div>
    <w:div w:id="202406251">
      <w:bodyDiv w:val="1"/>
      <w:marLeft w:val="0"/>
      <w:marRight w:val="0"/>
      <w:marTop w:val="0"/>
      <w:marBottom w:val="0"/>
      <w:divBdr>
        <w:top w:val="none" w:sz="0" w:space="0" w:color="auto"/>
        <w:left w:val="none" w:sz="0" w:space="0" w:color="auto"/>
        <w:bottom w:val="none" w:sz="0" w:space="0" w:color="auto"/>
        <w:right w:val="none" w:sz="0" w:space="0" w:color="auto"/>
      </w:divBdr>
    </w:div>
    <w:div w:id="217254242">
      <w:bodyDiv w:val="1"/>
      <w:marLeft w:val="0"/>
      <w:marRight w:val="0"/>
      <w:marTop w:val="0"/>
      <w:marBottom w:val="0"/>
      <w:divBdr>
        <w:top w:val="none" w:sz="0" w:space="0" w:color="auto"/>
        <w:left w:val="none" w:sz="0" w:space="0" w:color="auto"/>
        <w:bottom w:val="none" w:sz="0" w:space="0" w:color="auto"/>
        <w:right w:val="none" w:sz="0" w:space="0" w:color="auto"/>
      </w:divBdr>
    </w:div>
    <w:div w:id="238366836">
      <w:bodyDiv w:val="1"/>
      <w:marLeft w:val="0"/>
      <w:marRight w:val="0"/>
      <w:marTop w:val="0"/>
      <w:marBottom w:val="0"/>
      <w:divBdr>
        <w:top w:val="none" w:sz="0" w:space="0" w:color="auto"/>
        <w:left w:val="none" w:sz="0" w:space="0" w:color="auto"/>
        <w:bottom w:val="none" w:sz="0" w:space="0" w:color="auto"/>
        <w:right w:val="none" w:sz="0" w:space="0" w:color="auto"/>
      </w:divBdr>
      <w:divsChild>
        <w:div w:id="1379668587">
          <w:marLeft w:val="0"/>
          <w:marRight w:val="0"/>
          <w:marTop w:val="0"/>
          <w:marBottom w:val="0"/>
          <w:divBdr>
            <w:top w:val="none" w:sz="0" w:space="0" w:color="auto"/>
            <w:left w:val="none" w:sz="0" w:space="0" w:color="auto"/>
            <w:bottom w:val="none" w:sz="0" w:space="0" w:color="auto"/>
            <w:right w:val="none" w:sz="0" w:space="0" w:color="auto"/>
          </w:divBdr>
          <w:divsChild>
            <w:div w:id="422343844">
              <w:marLeft w:val="0"/>
              <w:marRight w:val="0"/>
              <w:marTop w:val="0"/>
              <w:marBottom w:val="0"/>
              <w:divBdr>
                <w:top w:val="none" w:sz="0" w:space="0" w:color="auto"/>
                <w:left w:val="none" w:sz="0" w:space="0" w:color="auto"/>
                <w:bottom w:val="none" w:sz="0" w:space="0" w:color="auto"/>
                <w:right w:val="none" w:sz="0" w:space="0" w:color="auto"/>
              </w:divBdr>
              <w:divsChild>
                <w:div w:id="1620868492">
                  <w:marLeft w:val="0"/>
                  <w:marRight w:val="0"/>
                  <w:marTop w:val="0"/>
                  <w:marBottom w:val="0"/>
                  <w:divBdr>
                    <w:top w:val="none" w:sz="0" w:space="0" w:color="auto"/>
                    <w:left w:val="none" w:sz="0" w:space="0" w:color="auto"/>
                    <w:bottom w:val="none" w:sz="0" w:space="0" w:color="auto"/>
                    <w:right w:val="none" w:sz="0" w:space="0" w:color="auto"/>
                  </w:divBdr>
                  <w:divsChild>
                    <w:div w:id="1853565791">
                      <w:marLeft w:val="0"/>
                      <w:marRight w:val="0"/>
                      <w:marTop w:val="0"/>
                      <w:marBottom w:val="0"/>
                      <w:divBdr>
                        <w:top w:val="none" w:sz="0" w:space="0" w:color="auto"/>
                        <w:left w:val="none" w:sz="0" w:space="0" w:color="auto"/>
                        <w:bottom w:val="none" w:sz="0" w:space="0" w:color="auto"/>
                        <w:right w:val="none" w:sz="0" w:space="0" w:color="auto"/>
                      </w:divBdr>
                      <w:divsChild>
                        <w:div w:id="509369500">
                          <w:marLeft w:val="0"/>
                          <w:marRight w:val="0"/>
                          <w:marTop w:val="0"/>
                          <w:marBottom w:val="0"/>
                          <w:divBdr>
                            <w:top w:val="none" w:sz="0" w:space="0" w:color="auto"/>
                            <w:left w:val="none" w:sz="0" w:space="0" w:color="auto"/>
                            <w:bottom w:val="none" w:sz="0" w:space="0" w:color="auto"/>
                            <w:right w:val="none" w:sz="0" w:space="0" w:color="auto"/>
                          </w:divBdr>
                          <w:divsChild>
                            <w:div w:id="1950889321">
                              <w:marLeft w:val="0"/>
                              <w:marRight w:val="0"/>
                              <w:marTop w:val="0"/>
                              <w:marBottom w:val="0"/>
                              <w:divBdr>
                                <w:top w:val="none" w:sz="0" w:space="0" w:color="auto"/>
                                <w:left w:val="none" w:sz="0" w:space="0" w:color="auto"/>
                                <w:bottom w:val="none" w:sz="0" w:space="0" w:color="auto"/>
                                <w:right w:val="none" w:sz="0" w:space="0" w:color="auto"/>
                              </w:divBdr>
                              <w:divsChild>
                                <w:div w:id="46301029">
                                  <w:marLeft w:val="0"/>
                                  <w:marRight w:val="0"/>
                                  <w:marTop w:val="0"/>
                                  <w:marBottom w:val="0"/>
                                  <w:divBdr>
                                    <w:top w:val="none" w:sz="0" w:space="0" w:color="auto"/>
                                    <w:left w:val="none" w:sz="0" w:space="0" w:color="auto"/>
                                    <w:bottom w:val="none" w:sz="0" w:space="0" w:color="auto"/>
                                    <w:right w:val="none" w:sz="0" w:space="0" w:color="auto"/>
                                  </w:divBdr>
                                  <w:divsChild>
                                    <w:div w:id="245962380">
                                      <w:marLeft w:val="0"/>
                                      <w:marRight w:val="0"/>
                                      <w:marTop w:val="0"/>
                                      <w:marBottom w:val="0"/>
                                      <w:divBdr>
                                        <w:top w:val="none" w:sz="0" w:space="0" w:color="auto"/>
                                        <w:left w:val="none" w:sz="0" w:space="0" w:color="auto"/>
                                        <w:bottom w:val="none" w:sz="0" w:space="0" w:color="auto"/>
                                        <w:right w:val="none" w:sz="0" w:space="0" w:color="auto"/>
                                      </w:divBdr>
                                      <w:divsChild>
                                        <w:div w:id="13077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6590475">
      <w:bodyDiv w:val="1"/>
      <w:marLeft w:val="0"/>
      <w:marRight w:val="0"/>
      <w:marTop w:val="0"/>
      <w:marBottom w:val="0"/>
      <w:divBdr>
        <w:top w:val="none" w:sz="0" w:space="0" w:color="auto"/>
        <w:left w:val="none" w:sz="0" w:space="0" w:color="auto"/>
        <w:bottom w:val="none" w:sz="0" w:space="0" w:color="auto"/>
        <w:right w:val="none" w:sz="0" w:space="0" w:color="auto"/>
      </w:divBdr>
    </w:div>
    <w:div w:id="345642253">
      <w:bodyDiv w:val="1"/>
      <w:marLeft w:val="0"/>
      <w:marRight w:val="0"/>
      <w:marTop w:val="0"/>
      <w:marBottom w:val="0"/>
      <w:divBdr>
        <w:top w:val="none" w:sz="0" w:space="0" w:color="auto"/>
        <w:left w:val="none" w:sz="0" w:space="0" w:color="auto"/>
        <w:bottom w:val="none" w:sz="0" w:space="0" w:color="auto"/>
        <w:right w:val="none" w:sz="0" w:space="0" w:color="auto"/>
      </w:divBdr>
    </w:div>
    <w:div w:id="375546295">
      <w:bodyDiv w:val="1"/>
      <w:marLeft w:val="0"/>
      <w:marRight w:val="0"/>
      <w:marTop w:val="0"/>
      <w:marBottom w:val="0"/>
      <w:divBdr>
        <w:top w:val="none" w:sz="0" w:space="0" w:color="auto"/>
        <w:left w:val="none" w:sz="0" w:space="0" w:color="auto"/>
        <w:bottom w:val="none" w:sz="0" w:space="0" w:color="auto"/>
        <w:right w:val="none" w:sz="0" w:space="0" w:color="auto"/>
      </w:divBdr>
    </w:div>
    <w:div w:id="383216173">
      <w:bodyDiv w:val="1"/>
      <w:marLeft w:val="0"/>
      <w:marRight w:val="0"/>
      <w:marTop w:val="0"/>
      <w:marBottom w:val="0"/>
      <w:divBdr>
        <w:top w:val="none" w:sz="0" w:space="0" w:color="auto"/>
        <w:left w:val="none" w:sz="0" w:space="0" w:color="auto"/>
        <w:bottom w:val="none" w:sz="0" w:space="0" w:color="auto"/>
        <w:right w:val="none" w:sz="0" w:space="0" w:color="auto"/>
      </w:divBdr>
    </w:div>
    <w:div w:id="391120982">
      <w:bodyDiv w:val="1"/>
      <w:marLeft w:val="0"/>
      <w:marRight w:val="0"/>
      <w:marTop w:val="0"/>
      <w:marBottom w:val="0"/>
      <w:divBdr>
        <w:top w:val="none" w:sz="0" w:space="0" w:color="auto"/>
        <w:left w:val="none" w:sz="0" w:space="0" w:color="auto"/>
        <w:bottom w:val="none" w:sz="0" w:space="0" w:color="auto"/>
        <w:right w:val="none" w:sz="0" w:space="0" w:color="auto"/>
      </w:divBdr>
      <w:divsChild>
        <w:div w:id="1574198726">
          <w:marLeft w:val="0"/>
          <w:marRight w:val="0"/>
          <w:marTop w:val="0"/>
          <w:marBottom w:val="0"/>
          <w:divBdr>
            <w:top w:val="none" w:sz="0" w:space="0" w:color="auto"/>
            <w:left w:val="none" w:sz="0" w:space="0" w:color="auto"/>
            <w:bottom w:val="none" w:sz="0" w:space="0" w:color="auto"/>
            <w:right w:val="none" w:sz="0" w:space="0" w:color="auto"/>
          </w:divBdr>
          <w:divsChild>
            <w:div w:id="4644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106">
      <w:bodyDiv w:val="1"/>
      <w:marLeft w:val="0"/>
      <w:marRight w:val="0"/>
      <w:marTop w:val="0"/>
      <w:marBottom w:val="0"/>
      <w:divBdr>
        <w:top w:val="none" w:sz="0" w:space="0" w:color="auto"/>
        <w:left w:val="none" w:sz="0" w:space="0" w:color="auto"/>
        <w:bottom w:val="none" w:sz="0" w:space="0" w:color="auto"/>
        <w:right w:val="none" w:sz="0" w:space="0" w:color="auto"/>
      </w:divBdr>
    </w:div>
    <w:div w:id="538401263">
      <w:bodyDiv w:val="1"/>
      <w:marLeft w:val="0"/>
      <w:marRight w:val="0"/>
      <w:marTop w:val="0"/>
      <w:marBottom w:val="0"/>
      <w:divBdr>
        <w:top w:val="none" w:sz="0" w:space="0" w:color="auto"/>
        <w:left w:val="none" w:sz="0" w:space="0" w:color="auto"/>
        <w:bottom w:val="none" w:sz="0" w:space="0" w:color="auto"/>
        <w:right w:val="none" w:sz="0" w:space="0" w:color="auto"/>
      </w:divBdr>
      <w:divsChild>
        <w:div w:id="1770077593">
          <w:marLeft w:val="0"/>
          <w:marRight w:val="0"/>
          <w:marTop w:val="0"/>
          <w:marBottom w:val="0"/>
          <w:divBdr>
            <w:top w:val="none" w:sz="0" w:space="0" w:color="auto"/>
            <w:left w:val="none" w:sz="0" w:space="0" w:color="auto"/>
            <w:bottom w:val="none" w:sz="0" w:space="0" w:color="auto"/>
            <w:right w:val="none" w:sz="0" w:space="0" w:color="auto"/>
          </w:divBdr>
          <w:divsChild>
            <w:div w:id="1751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2307">
      <w:bodyDiv w:val="1"/>
      <w:marLeft w:val="0"/>
      <w:marRight w:val="0"/>
      <w:marTop w:val="0"/>
      <w:marBottom w:val="0"/>
      <w:divBdr>
        <w:top w:val="none" w:sz="0" w:space="0" w:color="auto"/>
        <w:left w:val="none" w:sz="0" w:space="0" w:color="auto"/>
        <w:bottom w:val="none" w:sz="0" w:space="0" w:color="auto"/>
        <w:right w:val="none" w:sz="0" w:space="0" w:color="auto"/>
      </w:divBdr>
    </w:div>
    <w:div w:id="591010530">
      <w:bodyDiv w:val="1"/>
      <w:marLeft w:val="0"/>
      <w:marRight w:val="0"/>
      <w:marTop w:val="0"/>
      <w:marBottom w:val="0"/>
      <w:divBdr>
        <w:top w:val="none" w:sz="0" w:space="0" w:color="auto"/>
        <w:left w:val="none" w:sz="0" w:space="0" w:color="auto"/>
        <w:bottom w:val="none" w:sz="0" w:space="0" w:color="auto"/>
        <w:right w:val="none" w:sz="0" w:space="0" w:color="auto"/>
      </w:divBdr>
    </w:div>
    <w:div w:id="621695483">
      <w:bodyDiv w:val="1"/>
      <w:marLeft w:val="0"/>
      <w:marRight w:val="0"/>
      <w:marTop w:val="0"/>
      <w:marBottom w:val="0"/>
      <w:divBdr>
        <w:top w:val="none" w:sz="0" w:space="0" w:color="auto"/>
        <w:left w:val="none" w:sz="0" w:space="0" w:color="auto"/>
        <w:bottom w:val="none" w:sz="0" w:space="0" w:color="auto"/>
        <w:right w:val="none" w:sz="0" w:space="0" w:color="auto"/>
      </w:divBdr>
      <w:divsChild>
        <w:div w:id="1028916505">
          <w:marLeft w:val="0"/>
          <w:marRight w:val="0"/>
          <w:marTop w:val="0"/>
          <w:marBottom w:val="0"/>
          <w:divBdr>
            <w:top w:val="none" w:sz="0" w:space="0" w:color="auto"/>
            <w:left w:val="none" w:sz="0" w:space="0" w:color="auto"/>
            <w:bottom w:val="none" w:sz="0" w:space="0" w:color="auto"/>
            <w:right w:val="none" w:sz="0" w:space="0" w:color="auto"/>
          </w:divBdr>
          <w:divsChild>
            <w:div w:id="807403912">
              <w:marLeft w:val="0"/>
              <w:marRight w:val="0"/>
              <w:marTop w:val="0"/>
              <w:marBottom w:val="0"/>
              <w:divBdr>
                <w:top w:val="none" w:sz="0" w:space="0" w:color="auto"/>
                <w:left w:val="none" w:sz="0" w:space="0" w:color="auto"/>
                <w:bottom w:val="none" w:sz="0" w:space="0" w:color="auto"/>
                <w:right w:val="none" w:sz="0" w:space="0" w:color="auto"/>
              </w:divBdr>
              <w:divsChild>
                <w:div w:id="467017298">
                  <w:marLeft w:val="0"/>
                  <w:marRight w:val="0"/>
                  <w:marTop w:val="0"/>
                  <w:marBottom w:val="0"/>
                  <w:divBdr>
                    <w:top w:val="none" w:sz="0" w:space="0" w:color="auto"/>
                    <w:left w:val="none" w:sz="0" w:space="0" w:color="auto"/>
                    <w:bottom w:val="none" w:sz="0" w:space="0" w:color="auto"/>
                    <w:right w:val="none" w:sz="0" w:space="0" w:color="auto"/>
                  </w:divBdr>
                  <w:divsChild>
                    <w:div w:id="1024021504">
                      <w:marLeft w:val="0"/>
                      <w:marRight w:val="0"/>
                      <w:marTop w:val="0"/>
                      <w:marBottom w:val="0"/>
                      <w:divBdr>
                        <w:top w:val="none" w:sz="0" w:space="0" w:color="auto"/>
                        <w:left w:val="none" w:sz="0" w:space="0" w:color="auto"/>
                        <w:bottom w:val="none" w:sz="0" w:space="0" w:color="auto"/>
                        <w:right w:val="none" w:sz="0" w:space="0" w:color="auto"/>
                      </w:divBdr>
                      <w:divsChild>
                        <w:div w:id="483855019">
                          <w:marLeft w:val="0"/>
                          <w:marRight w:val="0"/>
                          <w:marTop w:val="0"/>
                          <w:marBottom w:val="0"/>
                          <w:divBdr>
                            <w:top w:val="none" w:sz="0" w:space="0" w:color="auto"/>
                            <w:left w:val="none" w:sz="0" w:space="0" w:color="auto"/>
                            <w:bottom w:val="none" w:sz="0" w:space="0" w:color="auto"/>
                            <w:right w:val="none" w:sz="0" w:space="0" w:color="auto"/>
                          </w:divBdr>
                          <w:divsChild>
                            <w:div w:id="19278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516774">
      <w:bodyDiv w:val="1"/>
      <w:marLeft w:val="0"/>
      <w:marRight w:val="0"/>
      <w:marTop w:val="0"/>
      <w:marBottom w:val="0"/>
      <w:divBdr>
        <w:top w:val="none" w:sz="0" w:space="0" w:color="auto"/>
        <w:left w:val="none" w:sz="0" w:space="0" w:color="auto"/>
        <w:bottom w:val="none" w:sz="0" w:space="0" w:color="auto"/>
        <w:right w:val="none" w:sz="0" w:space="0" w:color="auto"/>
      </w:divBdr>
    </w:div>
    <w:div w:id="728576689">
      <w:bodyDiv w:val="1"/>
      <w:marLeft w:val="0"/>
      <w:marRight w:val="0"/>
      <w:marTop w:val="0"/>
      <w:marBottom w:val="0"/>
      <w:divBdr>
        <w:top w:val="none" w:sz="0" w:space="0" w:color="auto"/>
        <w:left w:val="none" w:sz="0" w:space="0" w:color="auto"/>
        <w:bottom w:val="none" w:sz="0" w:space="0" w:color="auto"/>
        <w:right w:val="none" w:sz="0" w:space="0" w:color="auto"/>
      </w:divBdr>
    </w:div>
    <w:div w:id="787745474">
      <w:bodyDiv w:val="1"/>
      <w:marLeft w:val="0"/>
      <w:marRight w:val="0"/>
      <w:marTop w:val="0"/>
      <w:marBottom w:val="0"/>
      <w:divBdr>
        <w:top w:val="none" w:sz="0" w:space="0" w:color="auto"/>
        <w:left w:val="none" w:sz="0" w:space="0" w:color="auto"/>
        <w:bottom w:val="none" w:sz="0" w:space="0" w:color="auto"/>
        <w:right w:val="none" w:sz="0" w:space="0" w:color="auto"/>
      </w:divBdr>
    </w:div>
    <w:div w:id="816844079">
      <w:bodyDiv w:val="1"/>
      <w:marLeft w:val="0"/>
      <w:marRight w:val="0"/>
      <w:marTop w:val="0"/>
      <w:marBottom w:val="0"/>
      <w:divBdr>
        <w:top w:val="none" w:sz="0" w:space="0" w:color="auto"/>
        <w:left w:val="none" w:sz="0" w:space="0" w:color="auto"/>
        <w:bottom w:val="none" w:sz="0" w:space="0" w:color="auto"/>
        <w:right w:val="none" w:sz="0" w:space="0" w:color="auto"/>
      </w:divBdr>
    </w:div>
    <w:div w:id="833954465">
      <w:bodyDiv w:val="1"/>
      <w:marLeft w:val="0"/>
      <w:marRight w:val="0"/>
      <w:marTop w:val="0"/>
      <w:marBottom w:val="0"/>
      <w:divBdr>
        <w:top w:val="none" w:sz="0" w:space="0" w:color="auto"/>
        <w:left w:val="none" w:sz="0" w:space="0" w:color="auto"/>
        <w:bottom w:val="none" w:sz="0" w:space="0" w:color="auto"/>
        <w:right w:val="none" w:sz="0" w:space="0" w:color="auto"/>
      </w:divBdr>
    </w:div>
    <w:div w:id="845677677">
      <w:bodyDiv w:val="1"/>
      <w:marLeft w:val="0"/>
      <w:marRight w:val="0"/>
      <w:marTop w:val="0"/>
      <w:marBottom w:val="0"/>
      <w:divBdr>
        <w:top w:val="none" w:sz="0" w:space="0" w:color="auto"/>
        <w:left w:val="none" w:sz="0" w:space="0" w:color="auto"/>
        <w:bottom w:val="none" w:sz="0" w:space="0" w:color="auto"/>
        <w:right w:val="none" w:sz="0" w:space="0" w:color="auto"/>
      </w:divBdr>
    </w:div>
    <w:div w:id="873928146">
      <w:bodyDiv w:val="1"/>
      <w:marLeft w:val="0"/>
      <w:marRight w:val="0"/>
      <w:marTop w:val="0"/>
      <w:marBottom w:val="0"/>
      <w:divBdr>
        <w:top w:val="none" w:sz="0" w:space="0" w:color="auto"/>
        <w:left w:val="none" w:sz="0" w:space="0" w:color="auto"/>
        <w:bottom w:val="none" w:sz="0" w:space="0" w:color="auto"/>
        <w:right w:val="none" w:sz="0" w:space="0" w:color="auto"/>
      </w:divBdr>
    </w:div>
    <w:div w:id="875242936">
      <w:bodyDiv w:val="1"/>
      <w:marLeft w:val="0"/>
      <w:marRight w:val="0"/>
      <w:marTop w:val="0"/>
      <w:marBottom w:val="0"/>
      <w:divBdr>
        <w:top w:val="none" w:sz="0" w:space="0" w:color="auto"/>
        <w:left w:val="none" w:sz="0" w:space="0" w:color="auto"/>
        <w:bottom w:val="none" w:sz="0" w:space="0" w:color="auto"/>
        <w:right w:val="none" w:sz="0" w:space="0" w:color="auto"/>
      </w:divBdr>
    </w:div>
    <w:div w:id="899749998">
      <w:bodyDiv w:val="1"/>
      <w:marLeft w:val="0"/>
      <w:marRight w:val="0"/>
      <w:marTop w:val="0"/>
      <w:marBottom w:val="0"/>
      <w:divBdr>
        <w:top w:val="none" w:sz="0" w:space="0" w:color="auto"/>
        <w:left w:val="none" w:sz="0" w:space="0" w:color="auto"/>
        <w:bottom w:val="none" w:sz="0" w:space="0" w:color="auto"/>
        <w:right w:val="none" w:sz="0" w:space="0" w:color="auto"/>
      </w:divBdr>
    </w:div>
    <w:div w:id="1109738929">
      <w:bodyDiv w:val="1"/>
      <w:marLeft w:val="0"/>
      <w:marRight w:val="0"/>
      <w:marTop w:val="0"/>
      <w:marBottom w:val="0"/>
      <w:divBdr>
        <w:top w:val="none" w:sz="0" w:space="0" w:color="auto"/>
        <w:left w:val="none" w:sz="0" w:space="0" w:color="auto"/>
        <w:bottom w:val="none" w:sz="0" w:space="0" w:color="auto"/>
        <w:right w:val="none" w:sz="0" w:space="0" w:color="auto"/>
      </w:divBdr>
    </w:div>
    <w:div w:id="1117873711">
      <w:bodyDiv w:val="1"/>
      <w:marLeft w:val="0"/>
      <w:marRight w:val="0"/>
      <w:marTop w:val="0"/>
      <w:marBottom w:val="0"/>
      <w:divBdr>
        <w:top w:val="none" w:sz="0" w:space="0" w:color="auto"/>
        <w:left w:val="none" w:sz="0" w:space="0" w:color="auto"/>
        <w:bottom w:val="none" w:sz="0" w:space="0" w:color="auto"/>
        <w:right w:val="none" w:sz="0" w:space="0" w:color="auto"/>
      </w:divBdr>
      <w:divsChild>
        <w:div w:id="1843012409">
          <w:marLeft w:val="0"/>
          <w:marRight w:val="0"/>
          <w:marTop w:val="0"/>
          <w:marBottom w:val="0"/>
          <w:divBdr>
            <w:top w:val="none" w:sz="0" w:space="0" w:color="auto"/>
            <w:left w:val="none" w:sz="0" w:space="0" w:color="auto"/>
            <w:bottom w:val="none" w:sz="0" w:space="0" w:color="auto"/>
            <w:right w:val="none" w:sz="0" w:space="0" w:color="auto"/>
          </w:divBdr>
          <w:divsChild>
            <w:div w:id="11872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4581">
      <w:bodyDiv w:val="1"/>
      <w:marLeft w:val="0"/>
      <w:marRight w:val="0"/>
      <w:marTop w:val="0"/>
      <w:marBottom w:val="0"/>
      <w:divBdr>
        <w:top w:val="none" w:sz="0" w:space="0" w:color="auto"/>
        <w:left w:val="none" w:sz="0" w:space="0" w:color="auto"/>
        <w:bottom w:val="none" w:sz="0" w:space="0" w:color="auto"/>
        <w:right w:val="none" w:sz="0" w:space="0" w:color="auto"/>
      </w:divBdr>
      <w:divsChild>
        <w:div w:id="2049254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996105">
      <w:bodyDiv w:val="1"/>
      <w:marLeft w:val="0"/>
      <w:marRight w:val="0"/>
      <w:marTop w:val="0"/>
      <w:marBottom w:val="0"/>
      <w:divBdr>
        <w:top w:val="none" w:sz="0" w:space="0" w:color="auto"/>
        <w:left w:val="none" w:sz="0" w:space="0" w:color="auto"/>
        <w:bottom w:val="none" w:sz="0" w:space="0" w:color="auto"/>
        <w:right w:val="none" w:sz="0" w:space="0" w:color="auto"/>
      </w:divBdr>
    </w:div>
    <w:div w:id="1291933492">
      <w:bodyDiv w:val="1"/>
      <w:marLeft w:val="0"/>
      <w:marRight w:val="0"/>
      <w:marTop w:val="0"/>
      <w:marBottom w:val="0"/>
      <w:divBdr>
        <w:top w:val="none" w:sz="0" w:space="0" w:color="auto"/>
        <w:left w:val="none" w:sz="0" w:space="0" w:color="auto"/>
        <w:bottom w:val="none" w:sz="0" w:space="0" w:color="auto"/>
        <w:right w:val="none" w:sz="0" w:space="0" w:color="auto"/>
      </w:divBdr>
    </w:div>
    <w:div w:id="1324166494">
      <w:bodyDiv w:val="1"/>
      <w:marLeft w:val="0"/>
      <w:marRight w:val="0"/>
      <w:marTop w:val="0"/>
      <w:marBottom w:val="0"/>
      <w:divBdr>
        <w:top w:val="none" w:sz="0" w:space="0" w:color="auto"/>
        <w:left w:val="none" w:sz="0" w:space="0" w:color="auto"/>
        <w:bottom w:val="none" w:sz="0" w:space="0" w:color="auto"/>
        <w:right w:val="none" w:sz="0" w:space="0" w:color="auto"/>
      </w:divBdr>
    </w:div>
    <w:div w:id="1534221835">
      <w:bodyDiv w:val="1"/>
      <w:marLeft w:val="0"/>
      <w:marRight w:val="0"/>
      <w:marTop w:val="0"/>
      <w:marBottom w:val="0"/>
      <w:divBdr>
        <w:top w:val="none" w:sz="0" w:space="0" w:color="auto"/>
        <w:left w:val="none" w:sz="0" w:space="0" w:color="auto"/>
        <w:bottom w:val="none" w:sz="0" w:space="0" w:color="auto"/>
        <w:right w:val="none" w:sz="0" w:space="0" w:color="auto"/>
      </w:divBdr>
      <w:divsChild>
        <w:div w:id="412361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361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93304">
      <w:bodyDiv w:val="1"/>
      <w:marLeft w:val="0"/>
      <w:marRight w:val="0"/>
      <w:marTop w:val="0"/>
      <w:marBottom w:val="0"/>
      <w:divBdr>
        <w:top w:val="none" w:sz="0" w:space="0" w:color="auto"/>
        <w:left w:val="none" w:sz="0" w:space="0" w:color="auto"/>
        <w:bottom w:val="none" w:sz="0" w:space="0" w:color="auto"/>
        <w:right w:val="none" w:sz="0" w:space="0" w:color="auto"/>
      </w:divBdr>
    </w:div>
    <w:div w:id="1604992388">
      <w:bodyDiv w:val="1"/>
      <w:marLeft w:val="0"/>
      <w:marRight w:val="0"/>
      <w:marTop w:val="0"/>
      <w:marBottom w:val="0"/>
      <w:divBdr>
        <w:top w:val="none" w:sz="0" w:space="0" w:color="auto"/>
        <w:left w:val="none" w:sz="0" w:space="0" w:color="auto"/>
        <w:bottom w:val="none" w:sz="0" w:space="0" w:color="auto"/>
        <w:right w:val="none" w:sz="0" w:space="0" w:color="auto"/>
      </w:divBdr>
    </w:div>
    <w:div w:id="1667321330">
      <w:bodyDiv w:val="1"/>
      <w:marLeft w:val="0"/>
      <w:marRight w:val="0"/>
      <w:marTop w:val="0"/>
      <w:marBottom w:val="0"/>
      <w:divBdr>
        <w:top w:val="none" w:sz="0" w:space="0" w:color="auto"/>
        <w:left w:val="none" w:sz="0" w:space="0" w:color="auto"/>
        <w:bottom w:val="none" w:sz="0" w:space="0" w:color="auto"/>
        <w:right w:val="none" w:sz="0" w:space="0" w:color="auto"/>
      </w:divBdr>
    </w:div>
    <w:div w:id="1725983711">
      <w:bodyDiv w:val="1"/>
      <w:marLeft w:val="0"/>
      <w:marRight w:val="0"/>
      <w:marTop w:val="0"/>
      <w:marBottom w:val="0"/>
      <w:divBdr>
        <w:top w:val="none" w:sz="0" w:space="0" w:color="auto"/>
        <w:left w:val="none" w:sz="0" w:space="0" w:color="auto"/>
        <w:bottom w:val="none" w:sz="0" w:space="0" w:color="auto"/>
        <w:right w:val="none" w:sz="0" w:space="0" w:color="auto"/>
      </w:divBdr>
    </w:div>
    <w:div w:id="1766073425">
      <w:bodyDiv w:val="1"/>
      <w:marLeft w:val="0"/>
      <w:marRight w:val="0"/>
      <w:marTop w:val="0"/>
      <w:marBottom w:val="0"/>
      <w:divBdr>
        <w:top w:val="none" w:sz="0" w:space="0" w:color="auto"/>
        <w:left w:val="none" w:sz="0" w:space="0" w:color="auto"/>
        <w:bottom w:val="none" w:sz="0" w:space="0" w:color="auto"/>
        <w:right w:val="none" w:sz="0" w:space="0" w:color="auto"/>
      </w:divBdr>
    </w:div>
    <w:div w:id="1766421834">
      <w:bodyDiv w:val="1"/>
      <w:marLeft w:val="0"/>
      <w:marRight w:val="0"/>
      <w:marTop w:val="0"/>
      <w:marBottom w:val="0"/>
      <w:divBdr>
        <w:top w:val="none" w:sz="0" w:space="0" w:color="auto"/>
        <w:left w:val="none" w:sz="0" w:space="0" w:color="auto"/>
        <w:bottom w:val="none" w:sz="0" w:space="0" w:color="auto"/>
        <w:right w:val="none" w:sz="0" w:space="0" w:color="auto"/>
      </w:divBdr>
    </w:div>
    <w:div w:id="1835953490">
      <w:bodyDiv w:val="1"/>
      <w:marLeft w:val="0"/>
      <w:marRight w:val="0"/>
      <w:marTop w:val="0"/>
      <w:marBottom w:val="0"/>
      <w:divBdr>
        <w:top w:val="none" w:sz="0" w:space="0" w:color="auto"/>
        <w:left w:val="none" w:sz="0" w:space="0" w:color="auto"/>
        <w:bottom w:val="none" w:sz="0" w:space="0" w:color="auto"/>
        <w:right w:val="none" w:sz="0" w:space="0" w:color="auto"/>
      </w:divBdr>
    </w:div>
    <w:div w:id="1867594716">
      <w:bodyDiv w:val="1"/>
      <w:marLeft w:val="0"/>
      <w:marRight w:val="0"/>
      <w:marTop w:val="0"/>
      <w:marBottom w:val="0"/>
      <w:divBdr>
        <w:top w:val="none" w:sz="0" w:space="0" w:color="auto"/>
        <w:left w:val="none" w:sz="0" w:space="0" w:color="auto"/>
        <w:bottom w:val="none" w:sz="0" w:space="0" w:color="auto"/>
        <w:right w:val="none" w:sz="0" w:space="0" w:color="auto"/>
      </w:divBdr>
      <w:divsChild>
        <w:div w:id="220950242">
          <w:marLeft w:val="0"/>
          <w:marRight w:val="0"/>
          <w:marTop w:val="0"/>
          <w:marBottom w:val="0"/>
          <w:divBdr>
            <w:top w:val="none" w:sz="0" w:space="0" w:color="auto"/>
            <w:left w:val="none" w:sz="0" w:space="0" w:color="auto"/>
            <w:bottom w:val="none" w:sz="0" w:space="0" w:color="auto"/>
            <w:right w:val="none" w:sz="0" w:space="0" w:color="auto"/>
          </w:divBdr>
          <w:divsChild>
            <w:div w:id="1496385457">
              <w:marLeft w:val="0"/>
              <w:marRight w:val="0"/>
              <w:marTop w:val="0"/>
              <w:marBottom w:val="0"/>
              <w:divBdr>
                <w:top w:val="none" w:sz="0" w:space="0" w:color="auto"/>
                <w:left w:val="none" w:sz="0" w:space="0" w:color="auto"/>
                <w:bottom w:val="none" w:sz="0" w:space="0" w:color="auto"/>
                <w:right w:val="none" w:sz="0" w:space="0" w:color="auto"/>
              </w:divBdr>
              <w:divsChild>
                <w:div w:id="1138690781">
                  <w:marLeft w:val="0"/>
                  <w:marRight w:val="0"/>
                  <w:marTop w:val="0"/>
                  <w:marBottom w:val="0"/>
                  <w:divBdr>
                    <w:top w:val="none" w:sz="0" w:space="0" w:color="auto"/>
                    <w:left w:val="none" w:sz="0" w:space="0" w:color="auto"/>
                    <w:bottom w:val="none" w:sz="0" w:space="0" w:color="auto"/>
                    <w:right w:val="none" w:sz="0" w:space="0" w:color="auto"/>
                  </w:divBdr>
                  <w:divsChild>
                    <w:div w:id="844981036">
                      <w:marLeft w:val="0"/>
                      <w:marRight w:val="0"/>
                      <w:marTop w:val="0"/>
                      <w:marBottom w:val="0"/>
                      <w:divBdr>
                        <w:top w:val="none" w:sz="0" w:space="0" w:color="auto"/>
                        <w:left w:val="none" w:sz="0" w:space="0" w:color="auto"/>
                        <w:bottom w:val="none" w:sz="0" w:space="0" w:color="auto"/>
                        <w:right w:val="none" w:sz="0" w:space="0" w:color="auto"/>
                      </w:divBdr>
                      <w:divsChild>
                        <w:div w:id="1133672828">
                          <w:marLeft w:val="0"/>
                          <w:marRight w:val="0"/>
                          <w:marTop w:val="0"/>
                          <w:marBottom w:val="0"/>
                          <w:divBdr>
                            <w:top w:val="none" w:sz="0" w:space="0" w:color="auto"/>
                            <w:left w:val="none" w:sz="0" w:space="0" w:color="auto"/>
                            <w:bottom w:val="none" w:sz="0" w:space="0" w:color="auto"/>
                            <w:right w:val="none" w:sz="0" w:space="0" w:color="auto"/>
                          </w:divBdr>
                          <w:divsChild>
                            <w:div w:id="11585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81550">
      <w:bodyDiv w:val="1"/>
      <w:marLeft w:val="0"/>
      <w:marRight w:val="0"/>
      <w:marTop w:val="0"/>
      <w:marBottom w:val="0"/>
      <w:divBdr>
        <w:top w:val="none" w:sz="0" w:space="0" w:color="auto"/>
        <w:left w:val="none" w:sz="0" w:space="0" w:color="auto"/>
        <w:bottom w:val="none" w:sz="0" w:space="0" w:color="auto"/>
        <w:right w:val="none" w:sz="0" w:space="0" w:color="auto"/>
      </w:divBdr>
    </w:div>
    <w:div w:id="1977487398">
      <w:bodyDiv w:val="1"/>
      <w:marLeft w:val="0"/>
      <w:marRight w:val="0"/>
      <w:marTop w:val="0"/>
      <w:marBottom w:val="0"/>
      <w:divBdr>
        <w:top w:val="none" w:sz="0" w:space="0" w:color="auto"/>
        <w:left w:val="none" w:sz="0" w:space="0" w:color="auto"/>
        <w:bottom w:val="none" w:sz="0" w:space="0" w:color="auto"/>
        <w:right w:val="none" w:sz="0" w:space="0" w:color="auto"/>
      </w:divBdr>
    </w:div>
    <w:div w:id="2098092173">
      <w:bodyDiv w:val="1"/>
      <w:marLeft w:val="0"/>
      <w:marRight w:val="0"/>
      <w:marTop w:val="0"/>
      <w:marBottom w:val="0"/>
      <w:divBdr>
        <w:top w:val="none" w:sz="0" w:space="0" w:color="auto"/>
        <w:left w:val="none" w:sz="0" w:space="0" w:color="auto"/>
        <w:bottom w:val="none" w:sz="0" w:space="0" w:color="auto"/>
        <w:right w:val="none" w:sz="0" w:space="0" w:color="auto"/>
      </w:divBdr>
    </w:div>
    <w:div w:id="2118061059">
      <w:bodyDiv w:val="1"/>
      <w:marLeft w:val="0"/>
      <w:marRight w:val="0"/>
      <w:marTop w:val="0"/>
      <w:marBottom w:val="0"/>
      <w:divBdr>
        <w:top w:val="none" w:sz="0" w:space="0" w:color="auto"/>
        <w:left w:val="none" w:sz="0" w:space="0" w:color="auto"/>
        <w:bottom w:val="none" w:sz="0" w:space="0" w:color="auto"/>
        <w:right w:val="none" w:sz="0" w:space="0" w:color="auto"/>
      </w:divBdr>
      <w:divsChild>
        <w:div w:id="1075207234">
          <w:marLeft w:val="0"/>
          <w:marRight w:val="0"/>
          <w:marTop w:val="0"/>
          <w:marBottom w:val="0"/>
          <w:divBdr>
            <w:top w:val="none" w:sz="0" w:space="0" w:color="auto"/>
            <w:left w:val="none" w:sz="0" w:space="0" w:color="auto"/>
            <w:bottom w:val="none" w:sz="0" w:space="0" w:color="auto"/>
            <w:right w:val="none" w:sz="0" w:space="0" w:color="auto"/>
          </w:divBdr>
          <w:divsChild>
            <w:div w:id="4509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164/rccm.201707-1338OC" TargetMode="External"/><Relationship Id="rId26" Type="http://schemas.openxmlformats.org/officeDocument/2006/relationships/hyperlink" Target="https://doi.org/10.3389/frcmn.2022.744528" TargetMode="External"/><Relationship Id="rId39" Type="http://schemas.openxmlformats.org/officeDocument/2006/relationships/hyperlink" Target="https://doi.org/10.1177/0734904117721659" TargetMode="External"/><Relationship Id="rId21" Type="http://schemas.openxmlformats.org/officeDocument/2006/relationships/hyperlink" Target="https://doi.org/10.1016/j.envpol.2024.124816" TargetMode="External"/><Relationship Id="rId34" Type="http://schemas.openxmlformats.org/officeDocument/2006/relationships/hyperlink" Target="https://doi.org/10.1016/j.jhazmat.2011.08.037" TargetMode="External"/><Relationship Id="rId42" Type="http://schemas.openxmlformats.org/officeDocument/2006/relationships/hyperlink" Target="https://doi.org/10.1378/chest.12-1596" TargetMode="External"/><Relationship Id="rId47" Type="http://schemas.openxmlformats.org/officeDocument/2006/relationships/hyperlink" Target="https://scholarworks.uaeu.ac.ae/" TargetMode="External"/><Relationship Id="rId50" Type="http://schemas.openxmlformats.org/officeDocument/2006/relationships/hyperlink" Target="https://doi.org/10.3390/technologies12100206" TargetMode="External"/><Relationship Id="rId55" Type="http://schemas.openxmlformats.org/officeDocument/2006/relationships/hyperlink" Target="https://doi.org/10.1016/j.atmosenv.2014.12.04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scitotenv.2019.136445" TargetMode="External"/><Relationship Id="rId29" Type="http://schemas.openxmlformats.org/officeDocument/2006/relationships/hyperlink" Target="https://pubmed.ncbi.nlm.nih.gov/40423715/?utm_source=chatgpt.com" TargetMode="External"/><Relationship Id="rId11" Type="http://schemas.openxmlformats.org/officeDocument/2006/relationships/footer" Target="footer1.xml"/><Relationship Id="rId24" Type="http://schemas.openxmlformats.org/officeDocument/2006/relationships/hyperlink" Target="https://doi.org/10.1016/j.engfailanal.2021.105763" TargetMode="External"/><Relationship Id="rId32" Type="http://schemas.openxmlformats.org/officeDocument/2006/relationships/hyperlink" Target="https://doi.org/10.1016/j.heliyon.2019.e01706" TargetMode="External"/><Relationship Id="rId37" Type="http://schemas.openxmlformats.org/officeDocument/2006/relationships/hyperlink" Target="https://doi.org/10.1016/j.shaw.2021.12.702" TargetMode="External"/><Relationship Id="rId40" Type="http://schemas.openxmlformats.org/officeDocument/2006/relationships/hyperlink" Target="https://doi.org/10.1289/ehp.1205567" TargetMode="External"/><Relationship Id="rId45" Type="http://schemas.openxmlformats.org/officeDocument/2006/relationships/hyperlink" Target="https://doi.org/10.1186/s40807-024-00119-x" TargetMode="External"/><Relationship Id="rId53" Type="http://schemas.openxmlformats.org/officeDocument/2006/relationships/hyperlink" Target="https://doi.org/10.1016/j.envres.2005.12.013"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1016/j.energy.2006.07.00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tesidottorato.depositolegale.it/" TargetMode="External"/><Relationship Id="rId27" Type="http://schemas.openxmlformats.org/officeDocument/2006/relationships/hyperlink" Target="https://doi.org/10.1093/bmb/ldw015" TargetMode="External"/><Relationship Id="rId30" Type="http://schemas.openxmlformats.org/officeDocument/2006/relationships/hyperlink" Target="https://doi.org/10.1201/9781482294729" TargetMode="External"/><Relationship Id="rId35" Type="http://schemas.openxmlformats.org/officeDocument/2006/relationships/hyperlink" Target="https://doi.org/10.1201/9781003590712" TargetMode="External"/><Relationship Id="rId43" Type="http://schemas.openxmlformats.org/officeDocument/2006/relationships/hyperlink" Target="https://doi.org/10.1016/j.renene.2011.05.025" TargetMode="External"/><Relationship Id="rId48" Type="http://schemas.openxmlformats.org/officeDocument/2006/relationships/hyperlink" Target="https://doi.org/10.24294/tse.v6i1.1950" TargetMode="External"/><Relationship Id="rId56" Type="http://schemas.openxmlformats.org/officeDocument/2006/relationships/hyperlink" Target="https://doi.org/10.1080/10408398.2024.2399294" TargetMode="External"/><Relationship Id="rId8" Type="http://schemas.openxmlformats.org/officeDocument/2006/relationships/image" Target="media/image1.png"/><Relationship Id="rId51" Type="http://schemas.openxmlformats.org/officeDocument/2006/relationships/hyperlink" Target="https://doi.org/10.1109/ICCAE.2010.545131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007/s42235-022-00240-x" TargetMode="External"/><Relationship Id="rId25" Type="http://schemas.openxmlformats.org/officeDocument/2006/relationships/hyperlink" Target="https://doi.org/10.1080/15567036.2024.2351181" TargetMode="External"/><Relationship Id="rId33" Type="http://schemas.openxmlformats.org/officeDocument/2006/relationships/hyperlink" Target="https://doi.org/10.1016/j.jhazmat.2011.01.113" TargetMode="External"/><Relationship Id="rId38" Type="http://schemas.openxmlformats.org/officeDocument/2006/relationships/hyperlink" Target="https://doi.org/10.1093/ije/dyt150" TargetMode="External"/><Relationship Id="rId46" Type="http://schemas.openxmlformats.org/officeDocument/2006/relationships/hyperlink" Target="https://doi.org/10.3390/ijerph15040641" TargetMode="External"/><Relationship Id="rId20" Type="http://schemas.openxmlformats.org/officeDocument/2006/relationships/hyperlink" Target="https://doi.org/10.4314/jasem.v29i5.29" TargetMode="External"/><Relationship Id="rId41" Type="http://schemas.openxmlformats.org/officeDocument/2006/relationships/hyperlink" Target="https://doi.org/10.1002/9783527844494.ch2" TargetMode="External"/><Relationship Id="rId54" Type="http://schemas.openxmlformats.org/officeDocument/2006/relationships/hyperlink" Target="https://doi.org/10.1039/B516596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55/2022/7689141" TargetMode="External"/><Relationship Id="rId23" Type="http://schemas.openxmlformats.org/officeDocument/2006/relationships/hyperlink" Target="https://doi.org/10.1016/S0973-0826(08)60467-6" TargetMode="External"/><Relationship Id="rId28" Type="http://schemas.openxmlformats.org/officeDocument/2006/relationships/hyperlink" Target="https://doi.org/10.1007/s10661-025-14155-7" TargetMode="External"/><Relationship Id="rId36" Type="http://schemas.openxmlformats.org/officeDocument/2006/relationships/hyperlink" Target="https://doi.org/10.1021/acs.est.2c02581" TargetMode="External"/><Relationship Id="rId49" Type="http://schemas.openxmlformats.org/officeDocument/2006/relationships/hyperlink" Target="https://doi.org/10.1016/j.esr.2024.101366" TargetMode="Externa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doi.org/10.1183/09031936.98.11030651" TargetMode="External"/><Relationship Id="rId44" Type="http://schemas.openxmlformats.org/officeDocument/2006/relationships/hyperlink" Target="https://doi.org/10.1136/thorax.56.8.596" TargetMode="External"/><Relationship Id="rId52" Type="http://schemas.openxmlformats.org/officeDocument/2006/relationships/hyperlink" Target="https://doi.org/10.1186/s12889-025-22556-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5B859-DDD3-4033-9A8F-FA16F1416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8904</Words>
  <Characters>50758</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Editor GP 005</cp:lastModifiedBy>
  <cp:revision>11</cp:revision>
  <dcterms:created xsi:type="dcterms:W3CDTF">2026-01-25T15:21:00Z</dcterms:created>
  <dcterms:modified xsi:type="dcterms:W3CDTF">2026-01-29T10:15:00Z</dcterms:modified>
</cp:coreProperties>
</file>