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21479C" w:rsidRPr="009D40D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21479C" w:rsidRPr="009D40D3">
        <w:trPr>
          <w:trHeight w:val="290"/>
        </w:trPr>
        <w:tc>
          <w:tcPr>
            <w:tcW w:w="1234" w:type="pct"/>
          </w:tcPr>
          <w:p w:rsidR="0021479C" w:rsidRPr="009D40D3" w:rsidRDefault="005C12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D40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9D40D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1479C" w:rsidRPr="009D40D3">
        <w:trPr>
          <w:trHeight w:val="290"/>
        </w:trPr>
        <w:tc>
          <w:tcPr>
            <w:tcW w:w="1234" w:type="pct"/>
          </w:tcPr>
          <w:p w:rsidR="0021479C" w:rsidRPr="009D40D3" w:rsidRDefault="005C12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Ms_JSRR_153275</w:t>
            </w:r>
          </w:p>
        </w:tc>
      </w:tr>
      <w:tr w:rsidR="0021479C" w:rsidRPr="009D40D3">
        <w:trPr>
          <w:trHeight w:val="650"/>
        </w:trPr>
        <w:tc>
          <w:tcPr>
            <w:tcW w:w="1234" w:type="pct"/>
          </w:tcPr>
          <w:p w:rsidR="0021479C" w:rsidRPr="009D40D3" w:rsidRDefault="005C12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sz w:val="20"/>
                <w:szCs w:val="20"/>
                <w:lang w:val="en-GB"/>
              </w:rPr>
              <w:t>UAV-Based Precision Spraying Enhances Pest Control, Nutrient Uptake, and Spray Efficiency in High-Density Mango Orchards</w:t>
            </w:r>
          </w:p>
        </w:tc>
      </w:tr>
      <w:tr w:rsidR="0021479C" w:rsidRPr="009D40D3">
        <w:trPr>
          <w:trHeight w:val="332"/>
        </w:trPr>
        <w:tc>
          <w:tcPr>
            <w:tcW w:w="1234" w:type="pct"/>
          </w:tcPr>
          <w:p w:rsidR="0021479C" w:rsidRPr="009D40D3" w:rsidRDefault="005C12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479C" w:rsidRPr="009D40D3" w:rsidRDefault="002147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479C" w:rsidRPr="009D40D3" w:rsidRDefault="0021479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10438"/>
        <w:gridCol w:w="5200"/>
      </w:tblGrid>
      <w:tr w:rsidR="0021479C" w:rsidRPr="009D40D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1479C" w:rsidRPr="009D40D3" w:rsidRDefault="005C12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0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40D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1479C" w:rsidRPr="009D40D3" w:rsidRDefault="002147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479C" w:rsidRPr="009D40D3">
        <w:tc>
          <w:tcPr>
            <w:tcW w:w="1265" w:type="pct"/>
            <w:noWrap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5C12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0D3">
              <w:rPr>
                <w:rFonts w:ascii="Arial" w:hAnsi="Arial" w:cs="Arial"/>
                <w:lang w:val="en-GB"/>
              </w:rPr>
              <w:t>Reviewer’s comment</w:t>
            </w:r>
          </w:p>
          <w:p w:rsidR="0021479C" w:rsidRPr="009D40D3" w:rsidRDefault="00214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479C" w:rsidRPr="009D40D3" w:rsidRDefault="002147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42" w:type="pct"/>
          </w:tcPr>
          <w:p w:rsidR="0021479C" w:rsidRPr="009D40D3" w:rsidRDefault="005C121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40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40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1264"/>
        </w:trPr>
        <w:tc>
          <w:tcPr>
            <w:tcW w:w="1265" w:type="pct"/>
            <w:noWrap/>
          </w:tcPr>
          <w:p w:rsidR="0021479C" w:rsidRPr="009D40D3" w:rsidRDefault="005C1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1479C" w:rsidRPr="009D40D3" w:rsidRDefault="0021479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This manuscript addresses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 an important technological advancement in orchard crop management by evaluating UAV-based precision spraying in high-density mango systems. The study is particularly relevant given rising concerns over pesticide drift, chemical overuse, labor shortages, a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nd environmental sustainability in tropical fruit production. By integrating spray deposition analysis, pest and disease suppression assessment, spectral indices (NDVI, PRI), SPAD chlorophyll measurements, and economic evaluation, the research provides a m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ulti-dimensional evaluation of UAV spraying efficacy. The findings contribute novel field-based evidence from mango orchards, a crop where UAV research remains comparatively limited, thereby filling a meaningful gap in precision horticulture literature.</w:t>
            </w:r>
          </w:p>
        </w:tc>
        <w:tc>
          <w:tcPr>
            <w:tcW w:w="1242" w:type="pct"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1262"/>
        </w:trPr>
        <w:tc>
          <w:tcPr>
            <w:tcW w:w="1265" w:type="pct"/>
            <w:noWrap/>
          </w:tcPr>
          <w:p w:rsidR="0021479C" w:rsidRPr="009D40D3" w:rsidRDefault="005C1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479C" w:rsidRPr="009D40D3" w:rsidRDefault="005C1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Yes, the title is clear, informative, and accurately reflects the experimental scope and outcomes.</w:t>
            </w:r>
          </w:p>
          <w:p w:rsidR="0021479C" w:rsidRPr="009D40D3" w:rsidRDefault="0021479C">
            <w:pPr>
              <w:pStyle w:val="p2"/>
              <w:rPr>
                <w:rFonts w:ascii="Arial" w:hAnsi="Arial" w:cs="Arial"/>
                <w:sz w:val="20"/>
                <w:szCs w:val="20"/>
              </w:rPr>
            </w:pPr>
          </w:p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2"/>
                <w:rFonts w:ascii="Arial" w:hAnsi="Arial" w:cs="Arial"/>
                <w:sz w:val="20"/>
                <w:szCs w:val="20"/>
              </w:rPr>
              <w:t>Optional refinement (not mandatory):</w:t>
            </w:r>
          </w:p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3"/>
                <w:rFonts w:ascii="Arial" w:hAnsi="Arial" w:cs="Arial"/>
                <w:sz w:val="20"/>
                <w:szCs w:val="20"/>
              </w:rPr>
              <w:t xml:space="preserve">“Evaluation of UAV-Based Precision </w:t>
            </w:r>
            <w:r w:rsidRPr="009D40D3">
              <w:rPr>
                <w:rStyle w:val="s3"/>
                <w:rFonts w:ascii="Arial" w:hAnsi="Arial" w:cs="Arial"/>
                <w:sz w:val="20"/>
                <w:szCs w:val="20"/>
              </w:rPr>
              <w:t>Spraying for Pest Control, Nutrient Uptake, and Spray Efficiency in High-Density Mango Orchards”</w:t>
            </w:r>
          </w:p>
        </w:tc>
        <w:tc>
          <w:tcPr>
            <w:tcW w:w="1242" w:type="pct"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733"/>
        </w:trPr>
        <w:tc>
          <w:tcPr>
            <w:tcW w:w="1265" w:type="pct"/>
            <w:noWrap/>
          </w:tcPr>
          <w:p w:rsidR="0021479C" w:rsidRPr="009D40D3" w:rsidRDefault="005C121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40D3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The abstract is comprehensive and well structured. It clearly describes objectives, methodology, treatment comparison, and key findings.</w:t>
            </w:r>
          </w:p>
        </w:tc>
        <w:tc>
          <w:tcPr>
            <w:tcW w:w="1242" w:type="pct"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704"/>
        </w:trPr>
        <w:tc>
          <w:tcPr>
            <w:tcW w:w="1265" w:type="pct"/>
            <w:noWrap/>
          </w:tcPr>
          <w:p w:rsidR="0021479C" w:rsidRPr="009D40D3" w:rsidRDefault="005C121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D40D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The manuscript is scientifically sound and 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methodologically appropriate. The randomized block design (RBD), deposition measurement using water-sensitive papers, drift quantification, spectral imaging integration, and ANOVA-based statistical analysis are appropriate for evaluating spray performance.</w:t>
            </w:r>
          </w:p>
          <w:p w:rsidR="0021479C" w:rsidRPr="009D40D3" w:rsidRDefault="0021479C">
            <w:pPr>
              <w:pStyle w:val="p2"/>
              <w:rPr>
                <w:rFonts w:ascii="Arial" w:hAnsi="Arial" w:cs="Arial"/>
                <w:sz w:val="20"/>
                <w:szCs w:val="20"/>
              </w:rPr>
            </w:pPr>
          </w:p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However, the following improvements are recommended:</w:t>
            </w:r>
          </w:p>
          <w:p w:rsidR="0021479C" w:rsidRPr="009D40D3" w:rsidRDefault="005C121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Provide clearer details on </w:t>
            </w:r>
            <w:r w:rsidRPr="009D40D3">
              <w:rPr>
                <w:rStyle w:val="s2"/>
                <w:rFonts w:ascii="Arial" w:hAnsi="Arial" w:cs="Arial"/>
                <w:sz w:val="20"/>
                <w:szCs w:val="20"/>
              </w:rPr>
              <w:t>spray solution concentration uniformity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 across treatments to confirm comparability.</w:t>
            </w:r>
          </w:p>
          <w:p w:rsidR="0021479C" w:rsidRPr="009D40D3" w:rsidRDefault="005C121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Clarify whether the same active ingredient concentration was maintained per hectare when r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educing spray volume.</w:t>
            </w:r>
          </w:p>
          <w:p w:rsidR="0021479C" w:rsidRPr="009D40D3" w:rsidRDefault="005C121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Provide yield data (if available) to complement physiological indicators such as NDVI and SPAD.</w:t>
            </w:r>
          </w:p>
          <w:p w:rsidR="0021479C" w:rsidRPr="009D40D3" w:rsidRDefault="005C121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Minor typographical corrections are required (e.g., “</w:t>
            </w:r>
            <w:proofErr w:type="spellStart"/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Spary</w:t>
            </w:r>
            <w:proofErr w:type="spellEnd"/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 Drift </w:t>
            </w:r>
            <w:proofErr w:type="spellStart"/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Comparsion</w:t>
            </w:r>
            <w:proofErr w:type="spellEnd"/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”).</w:t>
            </w:r>
          </w:p>
          <w:p w:rsidR="0021479C" w:rsidRPr="009D40D3" w:rsidRDefault="0021479C">
            <w:pPr>
              <w:pStyle w:val="p2"/>
              <w:rPr>
                <w:rFonts w:ascii="Arial" w:hAnsi="Arial" w:cs="Arial"/>
                <w:sz w:val="20"/>
                <w:szCs w:val="20"/>
              </w:rPr>
            </w:pPr>
          </w:p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Overall, the conclusions are supported by the presented da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ta.</w:t>
            </w:r>
          </w:p>
        </w:tc>
        <w:tc>
          <w:tcPr>
            <w:tcW w:w="1242" w:type="pct"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703"/>
        </w:trPr>
        <w:tc>
          <w:tcPr>
            <w:tcW w:w="1265" w:type="pct"/>
            <w:noWrap/>
          </w:tcPr>
          <w:p w:rsidR="0021479C" w:rsidRPr="009D40D3" w:rsidRDefault="005C12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The references are strong, relevant, and highly up to date (2021–2024). The manuscript cites peer-reviewed studies 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from Precision Agriculture, Biosystems Engineering, Remote Sensing, and related journals, which strengthens credibility.</w:t>
            </w:r>
          </w:p>
        </w:tc>
        <w:tc>
          <w:tcPr>
            <w:tcW w:w="1242" w:type="pct"/>
          </w:tcPr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386"/>
        </w:trPr>
        <w:tc>
          <w:tcPr>
            <w:tcW w:w="1265" w:type="pct"/>
            <w:noWrap/>
          </w:tcPr>
          <w:p w:rsidR="0021479C" w:rsidRPr="009D40D3" w:rsidRDefault="005C121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40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1479C" w:rsidRPr="009D40D3" w:rsidRDefault="002147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The manuscript is generally written in clear 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academic English. However, minor grammatical corrections, typographical edits, and sentence restructuring are required to improve readability and professionalism. These are minor editorial issues and do not affect scientific merit</w:t>
            </w:r>
          </w:p>
        </w:tc>
        <w:tc>
          <w:tcPr>
            <w:tcW w:w="1242" w:type="pct"/>
          </w:tcPr>
          <w:p w:rsidR="0021479C" w:rsidRPr="009D40D3" w:rsidRDefault="002147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479C" w:rsidRPr="009D40D3">
        <w:trPr>
          <w:trHeight w:val="460"/>
        </w:trPr>
        <w:tc>
          <w:tcPr>
            <w:tcW w:w="1265" w:type="pct"/>
            <w:noWrap/>
          </w:tcPr>
          <w:p w:rsidR="0021479C" w:rsidRPr="009D40D3" w:rsidRDefault="005C121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40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40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40D3">
              <w:rPr>
                <w:rFonts w:ascii="Arial" w:hAnsi="Arial" w:cs="Arial"/>
                <w:b w:val="0"/>
                <w:bCs w:val="0"/>
                <w:lang w:val="en-GB"/>
              </w:rPr>
              <w:t>commen</w:t>
            </w:r>
            <w:r w:rsidRPr="009D40D3">
              <w:rPr>
                <w:rFonts w:ascii="Arial" w:hAnsi="Arial" w:cs="Arial"/>
                <w:b w:val="0"/>
                <w:bCs w:val="0"/>
                <w:lang w:val="en-GB"/>
              </w:rPr>
              <w:t>ts</w:t>
            </w:r>
          </w:p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493" w:type="pct"/>
          </w:tcPr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42" w:type="pct"/>
          </w:tcPr>
          <w:p w:rsidR="0021479C" w:rsidRPr="009D40D3" w:rsidRDefault="002147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1479C" w:rsidRPr="009D40D3" w:rsidRDefault="002147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479C" w:rsidRPr="009D40D3" w:rsidRDefault="002147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1479C" w:rsidRPr="009D40D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D40D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40D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479C" w:rsidRPr="009D40D3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79C" w:rsidRPr="009D40D3" w:rsidRDefault="005C12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40D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21479C" w:rsidRPr="009D40D3" w:rsidRDefault="005C121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40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40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479C" w:rsidRPr="009D40D3" w:rsidRDefault="002147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479C" w:rsidRPr="009D40D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40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79C" w:rsidRPr="009D40D3" w:rsidRDefault="005C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4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4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40D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1479C" w:rsidRPr="009D40D3" w:rsidRDefault="005C121F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 xml:space="preserve">No ethical </w:t>
            </w:r>
            <w:r w:rsidRPr="009D40D3">
              <w:rPr>
                <w:rStyle w:val="s1"/>
                <w:rFonts w:ascii="Arial" w:hAnsi="Arial" w:cs="Arial"/>
                <w:sz w:val="20"/>
                <w:szCs w:val="20"/>
              </w:rPr>
              <w:t>issues are identified.</w:t>
            </w:r>
            <w:r w:rsidRPr="009D40D3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pct"/>
            <w:vAlign w:val="center"/>
          </w:tcPr>
          <w:p w:rsidR="0021479C" w:rsidRPr="009D40D3" w:rsidRDefault="002147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479C" w:rsidRPr="009D40D3" w:rsidRDefault="002147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479C" w:rsidRPr="009D40D3" w:rsidRDefault="002147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479C" w:rsidRPr="009D40D3" w:rsidRDefault="002147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21479C" w:rsidRPr="009D40D3" w:rsidRDefault="0021479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D40D3" w:rsidRPr="009D40D3" w:rsidRDefault="009D40D3" w:rsidP="009D40D3">
      <w:pPr>
        <w:rPr>
          <w:rFonts w:ascii="Arial" w:hAnsi="Arial" w:cs="Arial"/>
          <w:b/>
          <w:sz w:val="20"/>
          <w:szCs w:val="20"/>
          <w:u w:val="single"/>
        </w:rPr>
      </w:pPr>
      <w:r w:rsidRPr="009D40D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2" w:name="_GoBack"/>
      <w:bookmarkEnd w:id="2"/>
    </w:p>
    <w:p w:rsidR="009D40D3" w:rsidRPr="009D40D3" w:rsidRDefault="009D40D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D40D3" w:rsidRPr="009D40D3" w:rsidRDefault="009D40D3" w:rsidP="009D40D3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22313186"/>
      <w:r w:rsidRPr="009D40D3">
        <w:rPr>
          <w:rFonts w:ascii="Arial" w:hAnsi="Arial" w:cs="Arial"/>
          <w:b/>
          <w:sz w:val="20"/>
          <w:szCs w:val="20"/>
          <w:lang w:val="en-GB"/>
        </w:rPr>
        <w:t xml:space="preserve">S. Sheik </w:t>
      </w:r>
      <w:proofErr w:type="spellStart"/>
      <w:r w:rsidRPr="009D40D3">
        <w:rPr>
          <w:rFonts w:ascii="Arial" w:hAnsi="Arial" w:cs="Arial"/>
          <w:b/>
          <w:sz w:val="20"/>
          <w:szCs w:val="20"/>
          <w:lang w:val="en-GB"/>
        </w:rPr>
        <w:t>Shalik</w:t>
      </w:r>
      <w:proofErr w:type="spellEnd"/>
      <w:r w:rsidRPr="009D40D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D40D3">
        <w:rPr>
          <w:rFonts w:ascii="Arial" w:hAnsi="Arial" w:cs="Arial"/>
          <w:b/>
          <w:sz w:val="20"/>
          <w:szCs w:val="20"/>
          <w:lang w:val="en-GB"/>
        </w:rPr>
        <w:t>Annamalai University</w:t>
      </w:r>
      <w:r w:rsidRPr="009D40D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D40D3">
        <w:rPr>
          <w:rFonts w:ascii="Arial" w:hAnsi="Arial" w:cs="Arial"/>
          <w:b/>
          <w:sz w:val="20"/>
          <w:szCs w:val="20"/>
          <w:lang w:val="en-GB"/>
        </w:rPr>
        <w:t>India</w:t>
      </w:r>
      <w:bookmarkEnd w:id="3"/>
    </w:p>
    <w:sectPr w:rsidR="009D40D3" w:rsidRPr="009D40D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21F" w:rsidRDefault="005C121F">
      <w:r>
        <w:separator/>
      </w:r>
    </w:p>
  </w:endnote>
  <w:endnote w:type="continuationSeparator" w:id="0">
    <w:p w:rsidR="005C121F" w:rsidRDefault="005C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79C" w:rsidRDefault="005C121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21F" w:rsidRDefault="005C121F">
      <w:r>
        <w:separator/>
      </w:r>
    </w:p>
  </w:footnote>
  <w:footnote w:type="continuationSeparator" w:id="0">
    <w:p w:rsidR="005C121F" w:rsidRDefault="005C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79C" w:rsidRDefault="002147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479C" w:rsidRDefault="005C121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D0E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9C"/>
    <w:rsid w:val="0021479C"/>
    <w:rsid w:val="005C121F"/>
    <w:rsid w:val="009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4E3F3"/>
  <w15:chartTrackingRefBased/>
  <w15:docId w15:val="{6CCA0F68-1A60-E941-93F8-6BC3C21D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eastAsiaTheme="minorEastAsia"/>
      <w:lang w:val="en-IN" w:eastAsia="en-GB"/>
    </w:rPr>
  </w:style>
  <w:style w:type="character" w:customStyle="1" w:styleId="s1">
    <w:name w:val="s1"/>
    <w:basedOn w:val="DefaultParagraphFont"/>
  </w:style>
  <w:style w:type="paragraph" w:customStyle="1" w:styleId="p2">
    <w:name w:val="p2"/>
    <w:basedOn w:val="Normal"/>
    <w:pPr>
      <w:spacing w:before="100" w:beforeAutospacing="1" w:after="100" w:afterAutospacing="1"/>
    </w:pPr>
    <w:rPr>
      <w:rFonts w:eastAsiaTheme="minorEastAsia"/>
      <w:lang w:val="en-IN" w:eastAsia="en-GB"/>
    </w:rPr>
  </w:style>
  <w:style w:type="character" w:customStyle="1" w:styleId="s2">
    <w:name w:val="s2"/>
    <w:basedOn w:val="DefaultParagraphFont"/>
  </w:style>
  <w:style w:type="character" w:customStyle="1" w:styleId="s3">
    <w:name w:val="s3"/>
    <w:basedOn w:val="DefaultParagraphFont"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40FD-D713-41E6-95BF-782F7952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29</cp:revision>
  <dcterms:created xsi:type="dcterms:W3CDTF">2026-02-14T13:01:00Z</dcterms:created>
  <dcterms:modified xsi:type="dcterms:W3CDTF">2026-02-18T07:49:00Z</dcterms:modified>
</cp:coreProperties>
</file>