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A78F" w14:textId="3FB6D09F" w:rsidR="00FE3EB8" w:rsidRDefault="00FE3EB8" w:rsidP="00E57E39">
      <w:pPr>
        <w:spacing w:line="276" w:lineRule="auto"/>
        <w:ind w:right="316"/>
        <w:jc w:val="center"/>
        <w:rPr>
          <w:rFonts w:ascii="Times New Roman" w:eastAsia="Times New Roman" w:hAnsi="Times New Roman" w:cs="Times New Roman"/>
          <w:b/>
          <w:bCs/>
          <w:kern w:val="0"/>
          <w:sz w:val="28"/>
          <w:szCs w:val="28"/>
          <w14:ligatures w14:val="none"/>
        </w:rPr>
      </w:pPr>
      <w:r>
        <w:rPr>
          <w:rFonts w:ascii="Times New Roman" w:hAnsi="Times New Roman" w:cs="Times New Roman"/>
        </w:rPr>
        <w:t>Original Research Article</w:t>
      </w:r>
    </w:p>
    <w:p w14:paraId="6A344765" w14:textId="40E8252B" w:rsidR="00E57E39" w:rsidRPr="00CF0A96" w:rsidRDefault="00E57E39" w:rsidP="00E57E39">
      <w:pPr>
        <w:spacing w:line="276" w:lineRule="auto"/>
        <w:ind w:right="316"/>
        <w:jc w:val="center"/>
        <w:rPr>
          <w:rFonts w:ascii="Times New Roman" w:eastAsia="Times New Roman" w:hAnsi="Times New Roman" w:cs="Times New Roman"/>
          <w:b/>
          <w:bCs/>
          <w:kern w:val="0"/>
          <w:sz w:val="28"/>
          <w:szCs w:val="28"/>
          <w14:ligatures w14:val="none"/>
        </w:rPr>
      </w:pPr>
      <w:r w:rsidRPr="00CF0A96">
        <w:rPr>
          <w:rFonts w:ascii="Times New Roman" w:eastAsia="Times New Roman" w:hAnsi="Times New Roman" w:cs="Times New Roman"/>
          <w:b/>
          <w:bCs/>
          <w:kern w:val="0"/>
          <w:sz w:val="28"/>
          <w:szCs w:val="28"/>
          <w14:ligatures w14:val="none"/>
        </w:rPr>
        <w:t xml:space="preserve">Assessing Employment Generation for Indigenous Communities in a Protected Area Landscape: Evidence from </w:t>
      </w:r>
      <w:proofErr w:type="spellStart"/>
      <w:r w:rsidRPr="00CF0A96">
        <w:rPr>
          <w:rFonts w:ascii="Times New Roman" w:eastAsia="Times New Roman" w:hAnsi="Times New Roman" w:cs="Times New Roman"/>
          <w:b/>
          <w:bCs/>
          <w:kern w:val="0"/>
          <w:sz w:val="28"/>
          <w:szCs w:val="28"/>
          <w14:ligatures w14:val="none"/>
        </w:rPr>
        <w:t>Amrabad</w:t>
      </w:r>
      <w:proofErr w:type="spellEnd"/>
      <w:r w:rsidRPr="00CF0A96">
        <w:rPr>
          <w:rFonts w:ascii="Times New Roman" w:eastAsia="Times New Roman" w:hAnsi="Times New Roman" w:cs="Times New Roman"/>
          <w:b/>
          <w:bCs/>
          <w:kern w:val="0"/>
          <w:sz w:val="28"/>
          <w:szCs w:val="28"/>
          <w14:ligatures w14:val="none"/>
        </w:rPr>
        <w:t xml:space="preserve"> Tiger Reserve, India</w:t>
      </w:r>
    </w:p>
    <w:p w14:paraId="72081730" w14:textId="77777777" w:rsidR="00696CD6" w:rsidRDefault="00696CD6" w:rsidP="00E57E39">
      <w:pPr>
        <w:spacing w:line="276" w:lineRule="auto"/>
        <w:ind w:right="316"/>
        <w:jc w:val="center"/>
      </w:pPr>
    </w:p>
    <w:p w14:paraId="1C2A34EA" w14:textId="77777777" w:rsidR="00696CD6" w:rsidRPr="00CF0A96" w:rsidRDefault="00696CD6" w:rsidP="00E57E39">
      <w:pPr>
        <w:spacing w:line="276" w:lineRule="auto"/>
        <w:ind w:right="316"/>
        <w:jc w:val="center"/>
        <w:rPr>
          <w:rFonts w:ascii="Times New Roman" w:eastAsia="Times New Roman" w:hAnsi="Times New Roman" w:cs="Times New Roman"/>
          <w:b/>
          <w:bCs/>
          <w:kern w:val="0"/>
          <w14:ligatures w14:val="none"/>
        </w:rPr>
      </w:pPr>
    </w:p>
    <w:p w14:paraId="640B9F4A" w14:textId="099BF0CA" w:rsidR="00E57E39" w:rsidRPr="00CF0A96" w:rsidRDefault="00E57E39" w:rsidP="00E57E39">
      <w:pPr>
        <w:jc w:val="both"/>
        <w:rPr>
          <w:rFonts w:ascii="Times New Roman" w:hAnsi="Times New Roman" w:cs="Times New Roman"/>
        </w:rPr>
      </w:pPr>
      <w:commentRangeStart w:id="0"/>
      <w:r w:rsidRPr="00CF0A96">
        <w:rPr>
          <w:rFonts w:ascii="Times New Roman" w:hAnsi="Times New Roman" w:cs="Times New Roman"/>
          <w:b/>
          <w:bCs/>
        </w:rPr>
        <w:t>A</w:t>
      </w:r>
      <w:r w:rsidR="0026433F" w:rsidRPr="00CF0A96">
        <w:rPr>
          <w:rFonts w:ascii="Times New Roman" w:hAnsi="Times New Roman" w:cs="Times New Roman"/>
          <w:b/>
          <w:bCs/>
        </w:rPr>
        <w:t>BSTRACT</w:t>
      </w:r>
    </w:p>
    <w:p w14:paraId="6F3468C4"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Aims:</w:t>
      </w:r>
      <w:r w:rsidRPr="00CF0A96">
        <w:rPr>
          <w:rFonts w:ascii="Times New Roman" w:hAnsi="Times New Roman" w:cs="Times New Roman"/>
        </w:rPr>
        <w:br/>
        <w:t>The present study aimed to assess employment generation as a direct-use ecosystem service of the Amrabad Tiger Reserve, Telangana, India, and to examine its role in supporting local livelihoods and strengthening conservation outcomes across different forest divisions.</w:t>
      </w:r>
    </w:p>
    <w:p w14:paraId="48A413D9" w14:textId="77777777" w:rsidR="00501E6A" w:rsidRPr="00CF0A96" w:rsidRDefault="00501E6A" w:rsidP="00487C74">
      <w:pPr>
        <w:spacing w:line="360" w:lineRule="auto"/>
        <w:jc w:val="both"/>
        <w:rPr>
          <w:rFonts w:ascii="Times New Roman" w:hAnsi="Times New Roman" w:cs="Times New Roman"/>
          <w:b/>
          <w:bCs/>
        </w:rPr>
      </w:pPr>
      <w:r w:rsidRPr="00CF0A96">
        <w:rPr>
          <w:rFonts w:ascii="Times New Roman" w:hAnsi="Times New Roman" w:cs="Times New Roman"/>
          <w:b/>
          <w:bCs/>
        </w:rPr>
        <w:t>Study Design:</w:t>
      </w:r>
    </w:p>
    <w:p w14:paraId="599A545B"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rPr>
        <w:t>Descriptive, cross-sectional study based on primary administrative and field-level employment records.</w:t>
      </w:r>
    </w:p>
    <w:p w14:paraId="10A30FD0" w14:textId="77777777" w:rsidR="00501E6A" w:rsidRPr="00CF0A96" w:rsidRDefault="00501E6A" w:rsidP="00487C74">
      <w:pPr>
        <w:spacing w:line="360" w:lineRule="auto"/>
        <w:jc w:val="both"/>
        <w:rPr>
          <w:rFonts w:ascii="Times New Roman" w:hAnsi="Times New Roman" w:cs="Times New Roman"/>
          <w:b/>
          <w:bCs/>
        </w:rPr>
      </w:pPr>
      <w:r w:rsidRPr="00CF0A96">
        <w:rPr>
          <w:rFonts w:ascii="Times New Roman" w:hAnsi="Times New Roman" w:cs="Times New Roman"/>
          <w:b/>
          <w:bCs/>
        </w:rPr>
        <w:t>Place and Duration of Study:</w:t>
      </w:r>
    </w:p>
    <w:p w14:paraId="5AA24F7D"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rPr>
        <w:t xml:space="preserve"> The study was conducted in 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w:t>
      </w:r>
      <w:proofErr w:type="spellStart"/>
      <w:r w:rsidRPr="00CF0A96">
        <w:rPr>
          <w:rFonts w:ascii="Times New Roman" w:hAnsi="Times New Roman" w:cs="Times New Roman"/>
        </w:rPr>
        <w:t>Amrabad</w:t>
      </w:r>
      <w:proofErr w:type="spellEnd"/>
      <w:r w:rsidRPr="00CF0A96">
        <w:rPr>
          <w:rFonts w:ascii="Times New Roman" w:hAnsi="Times New Roman" w:cs="Times New Roman"/>
        </w:rPr>
        <w:t>, and Nagarjuna Sagar forest divisions of the Amrabad Tiger Reserve, Telangana, India, during the year 2023–2025.</w:t>
      </w:r>
    </w:p>
    <w:p w14:paraId="1FD05FB4"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Methodology:</w:t>
      </w:r>
      <w:r w:rsidRPr="00CF0A96">
        <w:rPr>
          <w:rFonts w:ascii="Times New Roman" w:hAnsi="Times New Roman" w:cs="Times New Roman"/>
        </w:rPr>
        <w:br/>
        <w:t>Employment data were collected from Forest Department records and field verification across all three divisions of the reserve. Information was compiled on the type of employment, number of individuals engaged, and functional roles, including forest protection, fire control, wildlife rescue, administration, and ecotourism services. Division-wise and category-wise employment distribution was analyzed to understand spatial variation and livelihood significance.</w:t>
      </w:r>
    </w:p>
    <w:p w14:paraId="17F44872"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Results:</w:t>
      </w:r>
      <w:r w:rsidRPr="00CF0A96">
        <w:rPr>
          <w:rFonts w:ascii="Times New Roman" w:hAnsi="Times New Roman" w:cs="Times New Roman"/>
        </w:rPr>
        <w:br/>
        <w:t xml:space="preserve">The Amrabad Tiger Reserve generated employment for a total of 381 individuals. The Amrabad Division contributed the highest share with 234 employees (61.4%), followed by 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Division with 113 employees (29.7%), while the Nagarjuna Sagar Division accounted for 34 employees (8.9%). Employment was predominantly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with helpers at base camps (140), Tiger Conservation Force personnel (89), fire watchers (50), and drivers (24) forming the </w:t>
      </w:r>
      <w:r w:rsidRPr="00CF0A96">
        <w:rPr>
          <w:rFonts w:ascii="Times New Roman" w:hAnsi="Times New Roman" w:cs="Times New Roman"/>
        </w:rPr>
        <w:lastRenderedPageBreak/>
        <w:t>major workforce. Ecotourism-related employment included 12 nature guides and 12 ecotourism drivers, indicating limited but strategic livelihood diversification. Most employment opportunities were accessible to local and forest-dependent communities.</w:t>
      </w:r>
    </w:p>
    <w:p w14:paraId="118BFEE8" w14:textId="77777777" w:rsidR="00501E6A" w:rsidRPr="00CF0A96" w:rsidRDefault="00501E6A" w:rsidP="00487C74">
      <w:pPr>
        <w:spacing w:line="360" w:lineRule="auto"/>
        <w:jc w:val="both"/>
        <w:rPr>
          <w:rFonts w:ascii="Times New Roman" w:hAnsi="Times New Roman" w:cs="Times New Roman"/>
        </w:rPr>
      </w:pPr>
      <w:r w:rsidRPr="00CF0A96">
        <w:rPr>
          <w:rFonts w:ascii="Times New Roman" w:hAnsi="Times New Roman" w:cs="Times New Roman"/>
          <w:b/>
          <w:bCs/>
        </w:rPr>
        <w:t>Conclusion:</w:t>
      </w:r>
      <w:r w:rsidRPr="00CF0A96">
        <w:rPr>
          <w:rFonts w:ascii="Times New Roman" w:hAnsi="Times New Roman" w:cs="Times New Roman"/>
        </w:rPr>
        <w:br/>
        <w:t>The study demonstrates that employment generation is a critical socio-economic benefit of the Amrabad Tiger Reserve. Conservation-linked jobs contribute significantly to livelihood security, reduce dependence on extractive forest use, and enhance community participation in conservation, highlighting the role of protected area management in integrating biodiversity conservation with rural development.</w:t>
      </w:r>
      <w:commentRangeEnd w:id="0"/>
      <w:r w:rsidR="00390F37">
        <w:rPr>
          <w:rStyle w:val="CommentReference"/>
        </w:rPr>
        <w:commentReference w:id="0"/>
      </w:r>
    </w:p>
    <w:p w14:paraId="2C61C618" w14:textId="1F704321" w:rsidR="00E57E39" w:rsidRPr="00CF0A96" w:rsidRDefault="00E57E39" w:rsidP="00501E6A">
      <w:pPr>
        <w:pStyle w:val="ListParagraph"/>
        <w:numPr>
          <w:ilvl w:val="0"/>
          <w:numId w:val="7"/>
        </w:numPr>
        <w:jc w:val="both"/>
        <w:rPr>
          <w:rFonts w:ascii="Times New Roman" w:eastAsia="Times New Roman" w:hAnsi="Times New Roman" w:cs="Times New Roman"/>
          <w:b/>
          <w:bCs/>
          <w:kern w:val="0"/>
          <w14:ligatures w14:val="none"/>
        </w:rPr>
      </w:pPr>
      <w:commentRangeStart w:id="1"/>
      <w:r w:rsidRPr="00CF0A96">
        <w:rPr>
          <w:rFonts w:ascii="Times New Roman" w:eastAsia="Times New Roman" w:hAnsi="Times New Roman" w:cs="Times New Roman"/>
          <w:b/>
          <w:bCs/>
          <w:kern w:val="0"/>
          <w14:ligatures w14:val="none"/>
        </w:rPr>
        <w:t>I</w:t>
      </w:r>
      <w:r w:rsidR="0026433F" w:rsidRPr="00CF0A96">
        <w:rPr>
          <w:rFonts w:ascii="Times New Roman" w:eastAsia="Times New Roman" w:hAnsi="Times New Roman" w:cs="Times New Roman"/>
          <w:b/>
          <w:bCs/>
          <w:kern w:val="0"/>
          <w14:ligatures w14:val="none"/>
        </w:rPr>
        <w:t>NTRODUCTION</w:t>
      </w:r>
    </w:p>
    <w:p w14:paraId="3DF93FAA" w14:textId="77777777" w:rsidR="00E57E39" w:rsidRPr="00CF0A96" w:rsidRDefault="00E57E39" w:rsidP="00E57E39">
      <w:pPr>
        <w:spacing w:after="0" w:line="360" w:lineRule="auto"/>
        <w:ind w:right="4"/>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Protected areas across the world are increasingly recognized not only for their role in conserving biodiversity but also for their potential to generate livelihood and employment opportunities for local and indigenous communities (</w:t>
      </w:r>
      <w:r w:rsidRPr="00CF0A96">
        <w:rPr>
          <w:rFonts w:ascii="Times New Roman" w:hAnsi="Times New Roman" w:cs="Times New Roman"/>
        </w:rPr>
        <w:t xml:space="preserve">Naughton-Treves </w:t>
      </w:r>
      <w:r w:rsidRPr="00CF0A96">
        <w:rPr>
          <w:rFonts w:ascii="Times New Roman" w:hAnsi="Times New Roman" w:cs="Times New Roman"/>
          <w:i/>
          <w:iCs/>
        </w:rPr>
        <w:t>et al</w:t>
      </w:r>
      <w:r w:rsidRPr="00CF0A96">
        <w:rPr>
          <w:rFonts w:ascii="Times New Roman" w:hAnsi="Times New Roman" w:cs="Times New Roman"/>
        </w:rPr>
        <w:t xml:space="preserve">., 2005; </w:t>
      </w:r>
      <w:proofErr w:type="spellStart"/>
      <w:r w:rsidRPr="00CF0A96">
        <w:rPr>
          <w:rFonts w:ascii="Times New Roman" w:hAnsi="Times New Roman" w:cs="Times New Roman"/>
        </w:rPr>
        <w:t>Kothar</w:t>
      </w:r>
      <w:proofErr w:type="spellEnd"/>
      <w:r w:rsidRPr="00CF0A96">
        <w:rPr>
          <w:rFonts w:ascii="Times New Roman" w:hAnsi="Times New Roman" w:cs="Times New Roman"/>
        </w:rPr>
        <w:t>., 2008)</w:t>
      </w:r>
      <w:r w:rsidRPr="00CF0A96">
        <w:rPr>
          <w:rFonts w:ascii="Times New Roman" w:eastAsia="Times New Roman" w:hAnsi="Times New Roman" w:cs="Times New Roman"/>
          <w:kern w:val="0"/>
          <w14:ligatures w14:val="none"/>
        </w:rPr>
        <w:t>. In developing countries like India, where a large proportion of rural and tribal populations depend directly on natural resources, the linkage between conservation and employment assumes critical importance (</w:t>
      </w:r>
      <w:commentRangeStart w:id="2"/>
      <w:r w:rsidRPr="00CF0A96">
        <w:rPr>
          <w:rFonts w:ascii="Times New Roman" w:hAnsi="Times New Roman" w:cs="Times New Roman"/>
        </w:rPr>
        <w:t>Shah and OG 2009; Paul and Chakrabarti 2011</w:t>
      </w:r>
      <w:commentRangeEnd w:id="2"/>
      <w:r w:rsidR="00390F37">
        <w:rPr>
          <w:rStyle w:val="CommentReference"/>
        </w:rPr>
        <w:commentReference w:id="2"/>
      </w:r>
      <w:r w:rsidRPr="00CF0A96">
        <w:rPr>
          <w:rFonts w:ascii="Times New Roman" w:hAnsi="Times New Roman" w:cs="Times New Roman"/>
        </w:rPr>
        <w:t>)</w:t>
      </w:r>
      <w:r w:rsidRPr="00CF0A96">
        <w:rPr>
          <w:rFonts w:ascii="Times New Roman" w:eastAsia="Times New Roman" w:hAnsi="Times New Roman" w:cs="Times New Roman"/>
          <w:kern w:val="0"/>
          <w14:ligatures w14:val="none"/>
        </w:rPr>
        <w:t>. Historically, protected areas were often viewed as exclusionary spaces that restricted access to forests and wildlife resources, thereby imposing livelihood costs on local communities (</w:t>
      </w:r>
      <w:commentRangeStart w:id="3"/>
      <w:r w:rsidRPr="00CF0A96">
        <w:rPr>
          <w:rFonts w:ascii="Times New Roman" w:hAnsi="Times New Roman" w:cs="Times New Roman"/>
        </w:rPr>
        <w:t xml:space="preserve">Coad </w:t>
      </w:r>
      <w:r w:rsidRPr="00CF0A96">
        <w:rPr>
          <w:rFonts w:ascii="Times New Roman" w:hAnsi="Times New Roman" w:cs="Times New Roman"/>
          <w:i/>
          <w:iCs/>
        </w:rPr>
        <w:t>et al</w:t>
      </w:r>
      <w:r w:rsidRPr="00CF0A96">
        <w:rPr>
          <w:rFonts w:ascii="Times New Roman" w:hAnsi="Times New Roman" w:cs="Times New Roman"/>
        </w:rPr>
        <w:t>., 2008</w:t>
      </w:r>
      <w:commentRangeEnd w:id="3"/>
      <w:r w:rsidR="00330202">
        <w:rPr>
          <w:rStyle w:val="CommentReference"/>
        </w:rPr>
        <w:commentReference w:id="3"/>
      </w:r>
      <w:r w:rsidRPr="00CF0A96">
        <w:rPr>
          <w:rFonts w:ascii="Times New Roman" w:hAnsi="Times New Roman" w:cs="Times New Roman"/>
        </w:rPr>
        <w:t>)</w:t>
      </w:r>
      <w:r w:rsidRPr="00CF0A96">
        <w:rPr>
          <w:rFonts w:ascii="Times New Roman" w:eastAsia="Times New Roman" w:hAnsi="Times New Roman" w:cs="Times New Roman"/>
          <w:kern w:val="0"/>
          <w14:ligatures w14:val="none"/>
        </w:rPr>
        <w:t>. However, contemporary conservation discourse emphasizes integrating biodiversity protection with socio-economic development through sustainable livelihood generation, particularly via forest-based employment and nature-based tourism employment generation in forested landscapes plays a crucial role in reducing poverty, mitigating resource dependency, and fostering positive community attitudes toward conservation (</w:t>
      </w:r>
      <w:r w:rsidRPr="00CF0A96">
        <w:rPr>
          <w:rFonts w:ascii="Times New Roman" w:hAnsi="Times New Roman" w:cs="Times New Roman"/>
        </w:rPr>
        <w:t xml:space="preserve">Peng </w:t>
      </w:r>
      <w:r w:rsidRPr="00CF0A96">
        <w:rPr>
          <w:rFonts w:ascii="Times New Roman" w:hAnsi="Times New Roman" w:cs="Times New Roman"/>
          <w:i/>
          <w:iCs/>
        </w:rPr>
        <w:t>et al</w:t>
      </w:r>
      <w:r w:rsidRPr="00CF0A96">
        <w:rPr>
          <w:rFonts w:ascii="Times New Roman" w:hAnsi="Times New Roman" w:cs="Times New Roman"/>
        </w:rPr>
        <w:t>., 2025)</w:t>
      </w:r>
      <w:r w:rsidRPr="00CF0A96">
        <w:rPr>
          <w:rFonts w:ascii="Times New Roman" w:eastAsia="Times New Roman" w:hAnsi="Times New Roman" w:cs="Times New Roman"/>
          <w:kern w:val="0"/>
          <w14:ligatures w14:val="none"/>
        </w:rPr>
        <w:t>. Studies from Indian tiger reserves have shown that conservation-oriented activities such as wildlife tourism, forest protection, eco-development works, and ancillary services can create substantial direct and indirect employment for forest-fringe and indigenous communities (</w:t>
      </w:r>
      <w:r w:rsidRPr="00CF0A96">
        <w:rPr>
          <w:rFonts w:ascii="Times New Roman" w:hAnsi="Times New Roman" w:cs="Times New Roman"/>
        </w:rPr>
        <w:t xml:space="preserve">Bhushan </w:t>
      </w:r>
      <w:r w:rsidRPr="00CF0A96">
        <w:rPr>
          <w:rFonts w:ascii="Times New Roman" w:hAnsi="Times New Roman" w:cs="Times New Roman"/>
          <w:i/>
          <w:iCs/>
        </w:rPr>
        <w:t>et al</w:t>
      </w:r>
      <w:r w:rsidRPr="00CF0A96">
        <w:rPr>
          <w:rFonts w:ascii="Times New Roman" w:hAnsi="Times New Roman" w:cs="Times New Roman"/>
        </w:rPr>
        <w:t>., 2024)</w:t>
      </w:r>
      <w:r w:rsidRPr="00CF0A96">
        <w:rPr>
          <w:rFonts w:ascii="Times New Roman" w:eastAsia="Times New Roman" w:hAnsi="Times New Roman" w:cs="Times New Roman"/>
          <w:kern w:val="0"/>
          <w14:ligatures w14:val="none"/>
        </w:rPr>
        <w:t>. Importantly, employment opportunities linked to protected areas can enhance community participation in conservation by aligning livelihood benefits with ecological objectives (</w:t>
      </w:r>
      <w:r w:rsidRPr="00CF0A96">
        <w:rPr>
          <w:rFonts w:ascii="Times New Roman" w:hAnsi="Times New Roman" w:cs="Times New Roman"/>
        </w:rPr>
        <w:t xml:space="preserve">Ward </w:t>
      </w:r>
      <w:r w:rsidRPr="00CF0A96">
        <w:rPr>
          <w:rFonts w:ascii="Times New Roman" w:hAnsi="Times New Roman" w:cs="Times New Roman"/>
          <w:i/>
          <w:iCs/>
        </w:rPr>
        <w:t>et al</w:t>
      </w:r>
      <w:r w:rsidRPr="00CF0A96">
        <w:rPr>
          <w:rFonts w:ascii="Times New Roman" w:hAnsi="Times New Roman" w:cs="Times New Roman"/>
        </w:rPr>
        <w:t>., 2018)</w:t>
      </w:r>
      <w:r w:rsidRPr="00CF0A96">
        <w:rPr>
          <w:rFonts w:ascii="Times New Roman" w:eastAsia="Times New Roman" w:hAnsi="Times New Roman" w:cs="Times New Roman"/>
          <w:kern w:val="0"/>
          <w14:ligatures w14:val="none"/>
        </w:rPr>
        <w:t>.</w:t>
      </w:r>
    </w:p>
    <w:p w14:paraId="1E0C3866" w14:textId="77777777" w:rsidR="00E57E39" w:rsidRPr="00CF0A96" w:rsidRDefault="00E57E39" w:rsidP="00E57E39">
      <w:pPr>
        <w:spacing w:before="240" w:after="0" w:line="360" w:lineRule="auto"/>
        <w:ind w:right="4"/>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International evidence also underscores the complex relationship between protected areas and employment (</w:t>
      </w:r>
      <w:r w:rsidRPr="00CF0A96">
        <w:rPr>
          <w:rFonts w:ascii="Times New Roman" w:hAnsi="Times New Roman" w:cs="Times New Roman"/>
        </w:rPr>
        <w:t xml:space="preserve">Naidoo </w:t>
      </w:r>
      <w:r w:rsidRPr="00CF0A96">
        <w:rPr>
          <w:rFonts w:ascii="Times New Roman" w:hAnsi="Times New Roman" w:cs="Times New Roman"/>
          <w:i/>
          <w:iCs/>
        </w:rPr>
        <w:t>et al</w:t>
      </w:r>
      <w:r w:rsidRPr="00CF0A96">
        <w:rPr>
          <w:rFonts w:ascii="Times New Roman" w:hAnsi="Times New Roman" w:cs="Times New Roman"/>
        </w:rPr>
        <w:t>., 2019)</w:t>
      </w:r>
      <w:r w:rsidRPr="00CF0A96">
        <w:rPr>
          <w:rFonts w:ascii="Times New Roman" w:eastAsia="Times New Roman" w:hAnsi="Times New Roman" w:cs="Times New Roman"/>
          <w:kern w:val="0"/>
          <w14:ligatures w14:val="none"/>
        </w:rPr>
        <w:t>. While protected status alone does not automatically guarantee local economic development, well-designed governance frameworks, inclusive tourism models, and community participation mechanisms can significantly enhance employment outcomes (</w:t>
      </w:r>
      <w:r w:rsidRPr="00CF0A96">
        <w:rPr>
          <w:rFonts w:ascii="Times New Roman" w:hAnsi="Times New Roman" w:cs="Times New Roman"/>
        </w:rPr>
        <w:t>Lundmark</w:t>
      </w:r>
      <w:r w:rsidRPr="00CF0A96">
        <w:rPr>
          <w:rFonts w:ascii="Times New Roman" w:eastAsia="Times New Roman" w:hAnsi="Times New Roman" w:cs="Times New Roman"/>
          <w:kern w:val="0"/>
          <w14:ligatures w14:val="none"/>
        </w:rPr>
        <w:t>., 2010; Jackson., 2025). The employment generation in and around protected areas depends on complementary factors such as institutional support, accessibility, skill development, and integration of local labor into tourism and forest management activities (</w:t>
      </w:r>
      <w:commentRangeStart w:id="4"/>
      <w:r w:rsidRPr="00CF0A96">
        <w:rPr>
          <w:rFonts w:ascii="Times New Roman" w:hAnsi="Times New Roman" w:cs="Times New Roman"/>
        </w:rPr>
        <w:t>Bushell and McCool., 2007</w:t>
      </w:r>
      <w:commentRangeEnd w:id="4"/>
      <w:r w:rsidR="00390F37">
        <w:rPr>
          <w:rStyle w:val="CommentReference"/>
        </w:rPr>
        <w:commentReference w:id="4"/>
      </w:r>
      <w:r w:rsidRPr="00CF0A96">
        <w:rPr>
          <w:rFonts w:ascii="Times New Roman" w:hAnsi="Times New Roman" w:cs="Times New Roman"/>
        </w:rPr>
        <w:t xml:space="preserve">; Stone and </w:t>
      </w:r>
      <w:proofErr w:type="spellStart"/>
      <w:r w:rsidRPr="00CF0A96">
        <w:rPr>
          <w:rFonts w:ascii="Times New Roman" w:hAnsi="Times New Roman" w:cs="Times New Roman"/>
        </w:rPr>
        <w:t>Nyaupane</w:t>
      </w:r>
      <w:proofErr w:type="spellEnd"/>
      <w:r w:rsidRPr="00CF0A96">
        <w:rPr>
          <w:rFonts w:ascii="Times New Roman" w:hAnsi="Times New Roman" w:cs="Times New Roman"/>
        </w:rPr>
        <w:t xml:space="preserve"> 2016).</w:t>
      </w:r>
    </w:p>
    <w:p w14:paraId="55DC5A26" w14:textId="77777777" w:rsidR="00E57E39" w:rsidRPr="00CF0A96" w:rsidRDefault="00E57E39" w:rsidP="00E57E39">
      <w:pPr>
        <w:spacing w:before="240" w:after="0" w:line="360" w:lineRule="auto"/>
        <w:ind w:right="4"/>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 xml:space="preserve">In this context, Amrabad Tiger Reserve (ATR) in Telangana represents a critical socio-ecological landscape. Inhabited predominantly by the </w:t>
      </w:r>
      <w:proofErr w:type="spellStart"/>
      <w:r w:rsidRPr="00CF0A96">
        <w:rPr>
          <w:rFonts w:ascii="Times New Roman" w:eastAsia="Times New Roman" w:hAnsi="Times New Roman" w:cs="Times New Roman"/>
          <w:kern w:val="0"/>
          <w14:ligatures w14:val="none"/>
        </w:rPr>
        <w:t>Chenchu</w:t>
      </w:r>
      <w:proofErr w:type="spellEnd"/>
      <w:r w:rsidRPr="00CF0A96">
        <w:rPr>
          <w:rFonts w:ascii="Times New Roman" w:eastAsia="Times New Roman" w:hAnsi="Times New Roman" w:cs="Times New Roman"/>
          <w:kern w:val="0"/>
          <w14:ligatures w14:val="none"/>
        </w:rPr>
        <w:t xml:space="preserve"> tribe, a Particularly Vulnerable Tribal Group (PVTG), the reserve offers multiple avenues for conservation-linked employment through forest protection, eco-development works, tourism, and departmental activities (Prasad </w:t>
      </w:r>
      <w:r w:rsidRPr="00CF0A96">
        <w:rPr>
          <w:rFonts w:ascii="Times New Roman" w:eastAsia="Times New Roman" w:hAnsi="Times New Roman" w:cs="Times New Roman"/>
          <w:i/>
          <w:iCs/>
          <w:kern w:val="0"/>
          <w14:ligatures w14:val="none"/>
        </w:rPr>
        <w:t>et al</w:t>
      </w:r>
      <w:r w:rsidRPr="00CF0A96">
        <w:rPr>
          <w:rFonts w:ascii="Times New Roman" w:eastAsia="Times New Roman" w:hAnsi="Times New Roman" w:cs="Times New Roman"/>
          <w:kern w:val="0"/>
          <w14:ligatures w14:val="none"/>
        </w:rPr>
        <w:t>., 2014). Assessing employment opportunities generated by ATR is therefore essential to understand how tiger conservation translates into tangible livelihood benefits for indigenous communities. Such an assessment provides empirical evidence to support policy interventions that strengthen conservation-livelihood linkages, ensure equitable benefit-sharing, and promote inclusive and sustainable management of protected areas.</w:t>
      </w:r>
      <w:commentRangeEnd w:id="1"/>
      <w:r w:rsidR="00330202">
        <w:rPr>
          <w:rStyle w:val="CommentReference"/>
        </w:rPr>
        <w:commentReference w:id="1"/>
      </w:r>
    </w:p>
    <w:p w14:paraId="017B4D62" w14:textId="49084112" w:rsidR="00E57E39" w:rsidRPr="00CF0A96" w:rsidRDefault="00E57E39" w:rsidP="00501E6A">
      <w:pPr>
        <w:pStyle w:val="ListParagraph"/>
        <w:numPr>
          <w:ilvl w:val="0"/>
          <w:numId w:val="7"/>
        </w:numPr>
        <w:spacing w:before="240" w:after="0" w:line="360" w:lineRule="auto"/>
        <w:ind w:right="316"/>
        <w:jc w:val="both"/>
        <w:rPr>
          <w:rFonts w:ascii="Times New Roman" w:eastAsia="Times New Roman" w:hAnsi="Times New Roman" w:cs="Times New Roman"/>
          <w:b/>
          <w:bCs/>
          <w:kern w:val="0"/>
          <w14:ligatures w14:val="none"/>
        </w:rPr>
      </w:pPr>
      <w:commentRangeStart w:id="5"/>
      <w:r w:rsidRPr="00CF0A96">
        <w:rPr>
          <w:rFonts w:ascii="Times New Roman" w:eastAsia="Times New Roman" w:hAnsi="Times New Roman" w:cs="Times New Roman"/>
          <w:b/>
          <w:bCs/>
          <w:kern w:val="0"/>
          <w14:ligatures w14:val="none"/>
        </w:rPr>
        <w:t>M</w:t>
      </w:r>
      <w:r w:rsidR="00ED3289" w:rsidRPr="00CF0A96">
        <w:rPr>
          <w:rFonts w:ascii="Times New Roman" w:eastAsia="Times New Roman" w:hAnsi="Times New Roman" w:cs="Times New Roman"/>
          <w:b/>
          <w:bCs/>
          <w:kern w:val="0"/>
          <w14:ligatures w14:val="none"/>
        </w:rPr>
        <w:t>ETHODOLOGY</w:t>
      </w:r>
    </w:p>
    <w:p w14:paraId="72545974" w14:textId="0181494D" w:rsidR="00E57E39" w:rsidRPr="00CF0A96" w:rsidRDefault="00E57E39" w:rsidP="00E57E39">
      <w:pPr>
        <w:spacing w:line="360" w:lineRule="auto"/>
        <w:jc w:val="both"/>
        <w:rPr>
          <w:rFonts w:ascii="Times New Roman" w:eastAsia="Times New Roman" w:hAnsi="Times New Roman" w:cs="Times New Roman"/>
          <w:kern w:val="0"/>
          <w14:ligatures w14:val="none"/>
        </w:rPr>
      </w:pPr>
      <w:r w:rsidRPr="00CF0A96">
        <w:rPr>
          <w:rFonts w:ascii="Times New Roman" w:eastAsia="Times New Roman" w:hAnsi="Times New Roman" w:cs="Times New Roman"/>
          <w:kern w:val="0"/>
          <w14:ligatures w14:val="none"/>
        </w:rPr>
        <w:t xml:space="preserve">The present study was conducted in Amrabad Tiger Reserve (Fig.1), which is situated in the </w:t>
      </w:r>
      <w:proofErr w:type="spellStart"/>
      <w:r w:rsidRPr="00CF0A96">
        <w:rPr>
          <w:rFonts w:ascii="Times New Roman" w:eastAsia="Times New Roman" w:hAnsi="Times New Roman" w:cs="Times New Roman"/>
          <w:kern w:val="0"/>
          <w14:ligatures w14:val="none"/>
        </w:rPr>
        <w:t>Nagarkurnool</w:t>
      </w:r>
      <w:proofErr w:type="spellEnd"/>
      <w:r w:rsidRPr="00CF0A96">
        <w:rPr>
          <w:rFonts w:ascii="Times New Roman" w:eastAsia="Times New Roman" w:hAnsi="Times New Roman" w:cs="Times New Roman"/>
          <w:kern w:val="0"/>
          <w14:ligatures w14:val="none"/>
        </w:rPr>
        <w:t xml:space="preserve"> and Nalgonda districts of Telangana State, India. Employment generation in the Amrabad Tiger Reserve (ATR) was assessed through a structured institutional survey conducted within the Forest Department of Amrabad Tiger Reserve Circle. A structured questionnaire was designed and administered to collect detailed information on the number of employees engaged under various positions and cadres across the department. Employment data were obtained directly from departmental records, ensuring reliability and completeness of information related to conservation-linked livelihood opportunities in the region. The ATR administrative circle comprises three forest divisions, and employment information was systematically collected from each division. Data included the number of personnel employed at different hierarchical levels, with particular emphasis on positions involving field-based conservation, protection, and management activities. The assessment primarily focused on employment opportunities generated for local and forest-fringe communities, as these groups constitute the major beneficiaries of conservation-related work in protected areas. This approach aligns with earlier studies highlighting the role of protected area management in supporting indigenous and local livelihoods (Verma et al., 2019; Soman, 2022).</w:t>
      </w:r>
    </w:p>
    <w:p w14:paraId="23E3A1A4" w14:textId="77777777" w:rsidR="00330202" w:rsidRDefault="008F4778" w:rsidP="00501E6A">
      <w:pPr>
        <w:spacing w:before="240" w:line="360" w:lineRule="auto"/>
        <w:jc w:val="center"/>
        <w:rPr>
          <w:rFonts w:ascii="Times New Roman" w:eastAsia="Times New Roman" w:hAnsi="Times New Roman" w:cs="Times New Roman"/>
          <w:b/>
          <w:bCs/>
          <w:kern w:val="0"/>
          <w14:ligatures w14:val="none"/>
        </w:rPr>
      </w:pPr>
      <w:commentRangeStart w:id="6"/>
      <w:r w:rsidRPr="00CF0A96">
        <w:rPr>
          <w:noProof/>
          <w:sz w:val="26"/>
          <w:szCs w:val="26"/>
        </w:rPr>
        <w:drawing>
          <wp:anchor distT="0" distB="0" distL="114300" distR="114300" simplePos="0" relativeHeight="251659264" behindDoc="0" locked="0" layoutInCell="1" allowOverlap="1" wp14:anchorId="0DA3C499" wp14:editId="16035D8D">
            <wp:simplePos x="0" y="0"/>
            <wp:positionH relativeFrom="margin">
              <wp:align>left</wp:align>
            </wp:positionH>
            <wp:positionV relativeFrom="page">
              <wp:posOffset>1333476</wp:posOffset>
            </wp:positionV>
            <wp:extent cx="5442585" cy="3327400"/>
            <wp:effectExtent l="0" t="0" r="5715" b="6350"/>
            <wp:wrapTopAndBottom/>
            <wp:docPr id="1327299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2585" cy="3327400"/>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6"/>
      <w:r w:rsidR="006A5DF5">
        <w:rPr>
          <w:rStyle w:val="CommentReference"/>
        </w:rPr>
        <w:commentReference w:id="6"/>
      </w:r>
      <w:r w:rsidR="00E57E39" w:rsidRPr="00CF0A96">
        <w:rPr>
          <w:rFonts w:ascii="Times New Roman" w:eastAsia="Times New Roman" w:hAnsi="Times New Roman" w:cs="Times New Roman"/>
          <w:b/>
          <w:bCs/>
          <w:kern w:val="0"/>
          <w14:ligatures w14:val="none"/>
        </w:rPr>
        <w:t>Fig.1: Location Map of Amrabad Tiger Reserve (Study Area</w:t>
      </w:r>
      <w:commentRangeEnd w:id="5"/>
      <w:r w:rsidR="00330202">
        <w:rPr>
          <w:rStyle w:val="CommentReference"/>
        </w:rPr>
        <w:commentReference w:id="5"/>
      </w:r>
    </w:p>
    <w:p w14:paraId="7E241A73" w14:textId="77777777" w:rsidR="00330202" w:rsidRDefault="00330202" w:rsidP="00330202">
      <w:pPr>
        <w:spacing w:before="240" w:line="360" w:lineRule="auto"/>
        <w:rPr>
          <w:rFonts w:ascii="Times New Roman" w:eastAsia="Times New Roman" w:hAnsi="Times New Roman" w:cs="Times New Roman"/>
          <w:b/>
          <w:bCs/>
          <w:kern w:val="0"/>
          <w14:ligatures w14:val="none"/>
        </w:rPr>
      </w:pPr>
    </w:p>
    <w:p w14:paraId="28F8A177" w14:textId="2C742109" w:rsidR="00E57E39" w:rsidRPr="00CF0A96" w:rsidRDefault="00E57E39" w:rsidP="00330202">
      <w:pPr>
        <w:spacing w:before="240" w:line="360" w:lineRule="auto"/>
        <w:rPr>
          <w:rFonts w:ascii="Times New Roman" w:hAnsi="Times New Roman" w:cs="Times New Roman"/>
          <w:b/>
          <w:bCs/>
        </w:rPr>
      </w:pPr>
      <w:r w:rsidRPr="00CF0A96">
        <w:rPr>
          <w:rFonts w:ascii="Times New Roman" w:hAnsi="Times New Roman" w:cs="Times New Roman"/>
          <w:b/>
          <w:bCs/>
        </w:rPr>
        <w:t>4. Results and Discussion</w:t>
      </w:r>
    </w:p>
    <w:p w14:paraId="65572E04" w14:textId="4F2CBB92" w:rsidR="00E57E39" w:rsidRPr="00CF0A96" w:rsidRDefault="00ED3289" w:rsidP="00501E6A">
      <w:pPr>
        <w:pStyle w:val="ListParagraph"/>
        <w:numPr>
          <w:ilvl w:val="0"/>
          <w:numId w:val="7"/>
        </w:numPr>
        <w:spacing w:line="360" w:lineRule="auto"/>
        <w:jc w:val="both"/>
        <w:rPr>
          <w:rFonts w:ascii="Times New Roman" w:hAnsi="Times New Roman" w:cs="Times New Roman"/>
          <w:b/>
          <w:bCs/>
        </w:rPr>
      </w:pPr>
      <w:commentRangeStart w:id="7"/>
      <w:r w:rsidRPr="00CF0A96">
        <w:rPr>
          <w:rFonts w:ascii="Times New Roman" w:hAnsi="Times New Roman" w:cs="Times New Roman"/>
          <w:b/>
          <w:bCs/>
        </w:rPr>
        <w:t>RESULTS AND DISCUSSION</w:t>
      </w:r>
      <w:commentRangeEnd w:id="7"/>
      <w:r w:rsidR="006A5DF5">
        <w:rPr>
          <w:rStyle w:val="CommentReference"/>
        </w:rPr>
        <w:commentReference w:id="7"/>
      </w:r>
    </w:p>
    <w:p w14:paraId="5C8D3CD9" w14:textId="3C5F17D8"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 xml:space="preserve">3.1 </w:t>
      </w:r>
      <w:r w:rsidR="00E57E39" w:rsidRPr="00CF0A96">
        <w:rPr>
          <w:rFonts w:ascii="Times New Roman" w:hAnsi="Times New Roman" w:cs="Times New Roman"/>
          <w:b/>
          <w:bCs/>
        </w:rPr>
        <w:t>Employment Generation as a Direct-Use Ecosystem Service in Amrabad Tiger Reserve</w:t>
      </w:r>
    </w:p>
    <w:p w14:paraId="3164322A" w14:textId="2E3334DE"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Employment generation represents one of the most tangible and socially significant direct-use ecosystem services provided by the Amrabad Tiger Reserve (ATR), Telangana. Across 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w:t>
      </w:r>
      <w:proofErr w:type="spellStart"/>
      <w:r w:rsidRPr="00CF0A96">
        <w:rPr>
          <w:rFonts w:ascii="Times New Roman" w:hAnsi="Times New Roman" w:cs="Times New Roman"/>
        </w:rPr>
        <w:t>Amrabad</w:t>
      </w:r>
      <w:proofErr w:type="spellEnd"/>
      <w:r w:rsidRPr="00CF0A96">
        <w:rPr>
          <w:rFonts w:ascii="Times New Roman" w:hAnsi="Times New Roman" w:cs="Times New Roman"/>
        </w:rPr>
        <w:t xml:space="preserve">, and Nagarjuna Sagar forest divisions, ATR functions not only as a biodiversity stronghold but also as a major livelihood support system for forest-fringe and indigenous communities. The present analysis demonstrates that conservation management in ATR is inherently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and strongly linked to employment creation, reinforcing the socio-economic relevance of protected area governance.</w:t>
      </w:r>
    </w:p>
    <w:p w14:paraId="6BE54D39" w14:textId="1486937E"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Based on primary administrative records, ATR currently provides employment to 381 individuals across multiple categories of forest protection, habitat management, wildlife rescue, administration, and ecotourism (Table 4). These jobs are largely accessed by local residents, thereby reducing livelihood vulnerability, enhancing income stability, and fostering positive conservation attitudes among forest-dependent households. </w:t>
      </w:r>
      <w:commentRangeStart w:id="8"/>
      <w:r w:rsidRPr="00CF0A96">
        <w:rPr>
          <w:rFonts w:ascii="Times New Roman" w:hAnsi="Times New Roman" w:cs="Times New Roman"/>
        </w:rPr>
        <w:t xml:space="preserve">Similar linkages between protected area management and local employment have been widely documented across Indian tiger reserves and other global protected landscapes, where conservation-linked livelihoods act as incentives for community support (Verma et al., 2017; </w:t>
      </w:r>
      <w:proofErr w:type="spellStart"/>
      <w:r w:rsidRPr="00CF0A96">
        <w:rPr>
          <w:rFonts w:ascii="Times New Roman" w:hAnsi="Times New Roman" w:cs="Times New Roman"/>
        </w:rPr>
        <w:t>Badola</w:t>
      </w:r>
      <w:proofErr w:type="spellEnd"/>
      <w:r w:rsidRPr="00CF0A96">
        <w:rPr>
          <w:rFonts w:ascii="Times New Roman" w:hAnsi="Times New Roman" w:cs="Times New Roman"/>
        </w:rPr>
        <w:t xml:space="preserve"> et al., 2021; Bhushan et al., 2024).</w:t>
      </w:r>
    </w:p>
    <w:p w14:paraId="56D066FC" w14:textId="2217C971"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 xml:space="preserve">3.2 </w:t>
      </w:r>
      <w:r w:rsidR="00E57E39" w:rsidRPr="00CF0A96">
        <w:rPr>
          <w:rFonts w:ascii="Times New Roman" w:hAnsi="Times New Roman" w:cs="Times New Roman"/>
          <w:b/>
          <w:bCs/>
        </w:rPr>
        <w:t>Division-wise Employment Structure and Functional Roles</w:t>
      </w:r>
    </w:p>
    <w:p w14:paraId="140BC550" w14:textId="272DAA44"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 xml:space="preserve">.2.1 </w:t>
      </w:r>
      <w:proofErr w:type="spellStart"/>
      <w:r w:rsidR="00E57E39" w:rsidRPr="00CF0A96">
        <w:rPr>
          <w:rFonts w:ascii="Times New Roman" w:hAnsi="Times New Roman" w:cs="Times New Roman"/>
          <w:b/>
          <w:bCs/>
        </w:rPr>
        <w:t>Achampet</w:t>
      </w:r>
      <w:proofErr w:type="spellEnd"/>
      <w:r w:rsidR="00E57E39" w:rsidRPr="00CF0A96">
        <w:rPr>
          <w:rFonts w:ascii="Times New Roman" w:hAnsi="Times New Roman" w:cs="Times New Roman"/>
          <w:b/>
          <w:bCs/>
        </w:rPr>
        <w:t xml:space="preserve"> Division</w:t>
      </w:r>
    </w:p>
    <w:p w14:paraId="229D59E4"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The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Division (Table 1) supports 113 employees, accounting for nearly 29.7% of the total workforce in ATR (Table 1). Employment in this division is predominantly concentrated in frontline forest protection and operational support roles. Helpers at base camps (30), Tiger Conservation Force (TCF) personnel (29), Fire Watchers (15), and Strike Force/Anti-Poaching Squad members (5) collectively form the backbone of day-to-day forest surveillance and protection.</w:t>
      </w:r>
    </w:p>
    <w:p w14:paraId="098E52C7"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The seasonal engagement of Fire Watchers—typically for four months during the peak summer period highlights the division’s strategic emphasis on forest fire prevention, an increasingly critical management priority under changing climatic conditions. Fire control </w:t>
      </w:r>
      <w:proofErr w:type="spellStart"/>
      <w:r w:rsidRPr="00CF0A96">
        <w:rPr>
          <w:rFonts w:ascii="Times New Roman" w:hAnsi="Times New Roman" w:cs="Times New Roman"/>
        </w:rPr>
        <w:t>labour</w:t>
      </w:r>
      <w:proofErr w:type="spellEnd"/>
      <w:r w:rsidRPr="00CF0A96">
        <w:rPr>
          <w:rFonts w:ascii="Times New Roman" w:hAnsi="Times New Roman" w:cs="Times New Roman"/>
        </w:rPr>
        <w:t xml:space="preserve"> has been identified as a key employment avenue in dry deciduous forests, where fire risks threaten both biodiversity and ecosystem service flows (Yadav et al., 2023).</w:t>
      </w:r>
    </w:p>
    <w:p w14:paraId="340A52B1"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In addition to protection roles, </w:t>
      </w:r>
      <w:proofErr w:type="spellStart"/>
      <w:r w:rsidRPr="00CF0A96">
        <w:rPr>
          <w:rFonts w:ascii="Times New Roman" w:hAnsi="Times New Roman" w:cs="Times New Roman"/>
        </w:rPr>
        <w:t>Achampet</w:t>
      </w:r>
      <w:proofErr w:type="spellEnd"/>
      <w:r w:rsidRPr="00CF0A96">
        <w:rPr>
          <w:rFonts w:ascii="Times New Roman" w:hAnsi="Times New Roman" w:cs="Times New Roman"/>
        </w:rPr>
        <w:t xml:space="preserve"> employs drivers, boat crews, rescue watchers, DEOs, DPOs, and technical assistants. These positions enhance patrolling logistics, administrative efficiency, and emergency wildlife response. The diversity of employment categories reflects the multi-functional nature of protected area management and supports earlier findings that forest departments increasingly rely on local human capital to meet complex conservation mandates (Islam et al., 2014; Bhushan et al., 2024)</w:t>
      </w:r>
    </w:p>
    <w:p w14:paraId="0B132533" w14:textId="77777777" w:rsidR="00E57E39" w:rsidRPr="00CF0A96" w:rsidRDefault="00E57E39" w:rsidP="00E57E39">
      <w:pPr>
        <w:spacing w:line="360" w:lineRule="auto"/>
        <w:jc w:val="center"/>
        <w:rPr>
          <w:rFonts w:ascii="Times New Roman" w:hAnsi="Times New Roman" w:cs="Times New Roman"/>
          <w:b/>
          <w:bCs/>
        </w:rPr>
      </w:pPr>
      <w:commentRangeStart w:id="9"/>
      <w:r w:rsidRPr="00CF0A96">
        <w:rPr>
          <w:rFonts w:ascii="Times New Roman" w:hAnsi="Times New Roman" w:cs="Times New Roman"/>
          <w:b/>
          <w:bCs/>
        </w:rPr>
        <w:t xml:space="preserve">Table 1. Details of Employment of </w:t>
      </w:r>
      <w:proofErr w:type="spellStart"/>
      <w:r w:rsidRPr="00CF0A96">
        <w:rPr>
          <w:rFonts w:ascii="Times New Roman" w:hAnsi="Times New Roman" w:cs="Times New Roman"/>
          <w:b/>
          <w:bCs/>
        </w:rPr>
        <w:t>Achampet</w:t>
      </w:r>
      <w:proofErr w:type="spellEnd"/>
      <w:r w:rsidRPr="00CF0A96">
        <w:rPr>
          <w:rFonts w:ascii="Times New Roman" w:hAnsi="Times New Roman" w:cs="Times New Roman"/>
          <w:b/>
          <w:bCs/>
        </w:rPr>
        <w:t xml:space="preserve"> Division, ATR</w:t>
      </w:r>
      <w:commentRangeEnd w:id="9"/>
      <w:r w:rsidR="006A5DF5">
        <w:rPr>
          <w:rStyle w:val="CommentReference"/>
        </w:rPr>
        <w:commentReference w:id="9"/>
      </w:r>
    </w:p>
    <w:tbl>
      <w:tblPr>
        <w:tblW w:w="3649" w:type="pct"/>
        <w:jc w:val="center"/>
        <w:tblBorders>
          <w:top w:val="single" w:sz="18" w:space="0" w:color="auto"/>
          <w:bottom w:val="single" w:sz="18" w:space="0" w:color="auto"/>
        </w:tblBorders>
        <w:tblLayout w:type="fixed"/>
        <w:tblLook w:val="04A0" w:firstRow="1" w:lastRow="0" w:firstColumn="1" w:lastColumn="0" w:noHBand="0" w:noVBand="1"/>
      </w:tblPr>
      <w:tblGrid>
        <w:gridCol w:w="989"/>
        <w:gridCol w:w="3410"/>
        <w:gridCol w:w="2432"/>
      </w:tblGrid>
      <w:tr w:rsidR="00E57E39" w:rsidRPr="00CF0A96" w14:paraId="61F98B9B" w14:textId="77777777" w:rsidTr="006A5DF5">
        <w:trPr>
          <w:trHeight w:val="314"/>
          <w:jc w:val="center"/>
        </w:trPr>
        <w:tc>
          <w:tcPr>
            <w:tcW w:w="724" w:type="pct"/>
            <w:tcBorders>
              <w:top w:val="single" w:sz="18" w:space="0" w:color="auto"/>
              <w:bottom w:val="single" w:sz="18" w:space="0" w:color="auto"/>
            </w:tcBorders>
            <w:noWrap/>
            <w:vAlign w:val="center"/>
            <w:hideMark/>
          </w:tcPr>
          <w:p w14:paraId="7886C148"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496" w:type="pct"/>
            <w:tcBorders>
              <w:top w:val="single" w:sz="18" w:space="0" w:color="auto"/>
              <w:bottom w:val="single" w:sz="18" w:space="0" w:color="auto"/>
            </w:tcBorders>
            <w:noWrap/>
            <w:vAlign w:val="center"/>
            <w:hideMark/>
          </w:tcPr>
          <w:p w14:paraId="64B1EA5B"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780" w:type="pct"/>
            <w:tcBorders>
              <w:top w:val="single" w:sz="18" w:space="0" w:color="auto"/>
              <w:bottom w:val="single" w:sz="18" w:space="0" w:color="auto"/>
            </w:tcBorders>
            <w:noWrap/>
            <w:vAlign w:val="center"/>
            <w:hideMark/>
          </w:tcPr>
          <w:p w14:paraId="18788100"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139DA951" w14:textId="77777777" w:rsidTr="006A5DF5">
        <w:trPr>
          <w:trHeight w:val="324"/>
          <w:jc w:val="center"/>
        </w:trPr>
        <w:tc>
          <w:tcPr>
            <w:tcW w:w="724" w:type="pct"/>
            <w:tcBorders>
              <w:top w:val="single" w:sz="18" w:space="0" w:color="auto"/>
            </w:tcBorders>
            <w:noWrap/>
            <w:vAlign w:val="center"/>
            <w:hideMark/>
          </w:tcPr>
          <w:p w14:paraId="3D6D926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496" w:type="pct"/>
            <w:tcBorders>
              <w:top w:val="single" w:sz="18" w:space="0" w:color="auto"/>
            </w:tcBorders>
            <w:noWrap/>
            <w:vAlign w:val="center"/>
            <w:hideMark/>
          </w:tcPr>
          <w:p w14:paraId="2F962BC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780" w:type="pct"/>
            <w:tcBorders>
              <w:top w:val="single" w:sz="18" w:space="0" w:color="auto"/>
            </w:tcBorders>
            <w:noWrap/>
            <w:vAlign w:val="center"/>
            <w:hideMark/>
          </w:tcPr>
          <w:p w14:paraId="2F1A00C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30</w:t>
            </w:r>
          </w:p>
        </w:tc>
      </w:tr>
      <w:tr w:rsidR="00E57E39" w:rsidRPr="00CF0A96" w14:paraId="6EB9384A" w14:textId="77777777" w:rsidTr="006A5DF5">
        <w:trPr>
          <w:trHeight w:val="324"/>
          <w:jc w:val="center"/>
        </w:trPr>
        <w:tc>
          <w:tcPr>
            <w:tcW w:w="724" w:type="pct"/>
            <w:noWrap/>
            <w:vAlign w:val="center"/>
            <w:hideMark/>
          </w:tcPr>
          <w:p w14:paraId="2275510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496" w:type="pct"/>
            <w:noWrap/>
            <w:vAlign w:val="center"/>
            <w:hideMark/>
          </w:tcPr>
          <w:p w14:paraId="09B27A2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Strike force/Anti-Poaching squad</w:t>
            </w:r>
          </w:p>
        </w:tc>
        <w:tc>
          <w:tcPr>
            <w:tcW w:w="1780" w:type="pct"/>
            <w:noWrap/>
            <w:vAlign w:val="center"/>
            <w:hideMark/>
          </w:tcPr>
          <w:p w14:paraId="1F03C56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6B15468F" w14:textId="77777777" w:rsidTr="006A5DF5">
        <w:trPr>
          <w:trHeight w:val="324"/>
          <w:jc w:val="center"/>
        </w:trPr>
        <w:tc>
          <w:tcPr>
            <w:tcW w:w="724" w:type="pct"/>
            <w:noWrap/>
            <w:vAlign w:val="center"/>
            <w:hideMark/>
          </w:tcPr>
          <w:p w14:paraId="52B1655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496" w:type="pct"/>
            <w:noWrap/>
            <w:vAlign w:val="center"/>
            <w:hideMark/>
          </w:tcPr>
          <w:p w14:paraId="7A89C18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780" w:type="pct"/>
            <w:noWrap/>
            <w:vAlign w:val="center"/>
            <w:hideMark/>
          </w:tcPr>
          <w:p w14:paraId="11D31D3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2E71D825" w14:textId="77777777" w:rsidTr="006A5DF5">
        <w:trPr>
          <w:trHeight w:val="324"/>
          <w:jc w:val="center"/>
        </w:trPr>
        <w:tc>
          <w:tcPr>
            <w:tcW w:w="724" w:type="pct"/>
            <w:noWrap/>
            <w:vAlign w:val="center"/>
            <w:hideMark/>
          </w:tcPr>
          <w:p w14:paraId="2A40CBE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496" w:type="pct"/>
            <w:noWrap/>
            <w:vAlign w:val="center"/>
            <w:hideMark/>
          </w:tcPr>
          <w:p w14:paraId="12DAD20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780" w:type="pct"/>
            <w:noWrap/>
            <w:vAlign w:val="center"/>
            <w:hideMark/>
          </w:tcPr>
          <w:p w14:paraId="6FB92FF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15</w:t>
            </w:r>
          </w:p>
        </w:tc>
      </w:tr>
      <w:tr w:rsidR="00E57E39" w:rsidRPr="00CF0A96" w14:paraId="00DE81CF" w14:textId="77777777" w:rsidTr="006A5DF5">
        <w:trPr>
          <w:trHeight w:val="324"/>
          <w:jc w:val="center"/>
        </w:trPr>
        <w:tc>
          <w:tcPr>
            <w:tcW w:w="724" w:type="pct"/>
            <w:noWrap/>
            <w:vAlign w:val="center"/>
            <w:hideMark/>
          </w:tcPr>
          <w:p w14:paraId="607DCCF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c>
          <w:tcPr>
            <w:tcW w:w="2496" w:type="pct"/>
            <w:noWrap/>
            <w:vAlign w:val="center"/>
            <w:hideMark/>
          </w:tcPr>
          <w:p w14:paraId="552C410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780" w:type="pct"/>
            <w:noWrap/>
            <w:vAlign w:val="center"/>
            <w:hideMark/>
          </w:tcPr>
          <w:p w14:paraId="1DC7463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29</w:t>
            </w:r>
          </w:p>
        </w:tc>
      </w:tr>
      <w:tr w:rsidR="00E57E39" w:rsidRPr="00CF0A96" w14:paraId="5DEDF728" w14:textId="77777777" w:rsidTr="006A5DF5">
        <w:trPr>
          <w:trHeight w:val="324"/>
          <w:jc w:val="center"/>
        </w:trPr>
        <w:tc>
          <w:tcPr>
            <w:tcW w:w="724" w:type="pct"/>
            <w:noWrap/>
            <w:vAlign w:val="center"/>
            <w:hideMark/>
          </w:tcPr>
          <w:p w14:paraId="7326880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496" w:type="pct"/>
            <w:noWrap/>
            <w:vAlign w:val="center"/>
            <w:hideMark/>
          </w:tcPr>
          <w:p w14:paraId="283DB70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780" w:type="pct"/>
            <w:noWrap/>
            <w:vAlign w:val="center"/>
            <w:hideMark/>
          </w:tcPr>
          <w:p w14:paraId="62A48E2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702A2742" w14:textId="77777777" w:rsidTr="006A5DF5">
        <w:trPr>
          <w:trHeight w:val="324"/>
          <w:jc w:val="center"/>
        </w:trPr>
        <w:tc>
          <w:tcPr>
            <w:tcW w:w="724" w:type="pct"/>
            <w:noWrap/>
            <w:vAlign w:val="center"/>
            <w:hideMark/>
          </w:tcPr>
          <w:p w14:paraId="0D2FB1F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496" w:type="pct"/>
            <w:noWrap/>
            <w:vAlign w:val="center"/>
            <w:hideMark/>
          </w:tcPr>
          <w:p w14:paraId="79CA406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780" w:type="pct"/>
            <w:noWrap/>
            <w:vAlign w:val="center"/>
            <w:hideMark/>
          </w:tcPr>
          <w:p w14:paraId="5F1628D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2B6E0532" w14:textId="77777777" w:rsidTr="006A5DF5">
        <w:trPr>
          <w:trHeight w:val="324"/>
          <w:jc w:val="center"/>
        </w:trPr>
        <w:tc>
          <w:tcPr>
            <w:tcW w:w="724" w:type="pct"/>
            <w:noWrap/>
            <w:vAlign w:val="center"/>
            <w:hideMark/>
          </w:tcPr>
          <w:p w14:paraId="1C30F6A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c>
          <w:tcPr>
            <w:tcW w:w="2496" w:type="pct"/>
            <w:noWrap/>
            <w:vAlign w:val="center"/>
            <w:hideMark/>
          </w:tcPr>
          <w:p w14:paraId="1D7433A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780" w:type="pct"/>
            <w:noWrap/>
            <w:vAlign w:val="center"/>
            <w:hideMark/>
          </w:tcPr>
          <w:p w14:paraId="0DEF2BB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619FBC53" w14:textId="77777777" w:rsidTr="006A5DF5">
        <w:trPr>
          <w:trHeight w:val="324"/>
          <w:jc w:val="center"/>
        </w:trPr>
        <w:tc>
          <w:tcPr>
            <w:tcW w:w="724" w:type="pct"/>
            <w:noWrap/>
            <w:vAlign w:val="center"/>
            <w:hideMark/>
          </w:tcPr>
          <w:p w14:paraId="36CA1B9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c>
          <w:tcPr>
            <w:tcW w:w="2496" w:type="pct"/>
            <w:noWrap/>
            <w:vAlign w:val="center"/>
            <w:hideMark/>
          </w:tcPr>
          <w:p w14:paraId="0291543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780" w:type="pct"/>
            <w:noWrap/>
            <w:vAlign w:val="center"/>
            <w:hideMark/>
          </w:tcPr>
          <w:p w14:paraId="1C57713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r>
      <w:tr w:rsidR="00E57E39" w:rsidRPr="00CF0A96" w14:paraId="5D3B1E80" w14:textId="77777777" w:rsidTr="006A5DF5">
        <w:trPr>
          <w:trHeight w:val="324"/>
          <w:jc w:val="center"/>
        </w:trPr>
        <w:tc>
          <w:tcPr>
            <w:tcW w:w="724" w:type="pct"/>
            <w:noWrap/>
            <w:vAlign w:val="center"/>
            <w:hideMark/>
          </w:tcPr>
          <w:p w14:paraId="4808AF7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10</w:t>
            </w:r>
          </w:p>
        </w:tc>
        <w:tc>
          <w:tcPr>
            <w:tcW w:w="2496" w:type="pct"/>
            <w:noWrap/>
            <w:vAlign w:val="center"/>
            <w:hideMark/>
          </w:tcPr>
          <w:p w14:paraId="104056F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780" w:type="pct"/>
            <w:noWrap/>
            <w:vAlign w:val="center"/>
            <w:hideMark/>
          </w:tcPr>
          <w:p w14:paraId="0F557A2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E57E39" w:rsidRPr="00CF0A96" w14:paraId="46BF872C" w14:textId="77777777" w:rsidTr="006A5DF5">
        <w:trPr>
          <w:trHeight w:val="324"/>
          <w:jc w:val="center"/>
        </w:trPr>
        <w:tc>
          <w:tcPr>
            <w:tcW w:w="724" w:type="pct"/>
            <w:noWrap/>
            <w:vAlign w:val="center"/>
            <w:hideMark/>
          </w:tcPr>
          <w:p w14:paraId="400DFE8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c>
          <w:tcPr>
            <w:tcW w:w="2496" w:type="pct"/>
            <w:noWrap/>
            <w:vAlign w:val="center"/>
            <w:hideMark/>
          </w:tcPr>
          <w:p w14:paraId="73EA355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780" w:type="pct"/>
            <w:noWrap/>
            <w:vAlign w:val="center"/>
            <w:hideMark/>
          </w:tcPr>
          <w:p w14:paraId="7B0D429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6148A294" w14:textId="77777777" w:rsidTr="006A5DF5">
        <w:trPr>
          <w:trHeight w:val="324"/>
          <w:jc w:val="center"/>
        </w:trPr>
        <w:tc>
          <w:tcPr>
            <w:tcW w:w="724" w:type="pct"/>
            <w:noWrap/>
            <w:vAlign w:val="center"/>
            <w:hideMark/>
          </w:tcPr>
          <w:p w14:paraId="3CB17C6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c>
          <w:tcPr>
            <w:tcW w:w="2496" w:type="pct"/>
            <w:noWrap/>
            <w:vAlign w:val="center"/>
            <w:hideMark/>
          </w:tcPr>
          <w:p w14:paraId="7FFD3D1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780" w:type="pct"/>
            <w:noWrap/>
            <w:vAlign w:val="center"/>
            <w:hideMark/>
          </w:tcPr>
          <w:p w14:paraId="311DDA3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6D027820" w14:textId="77777777" w:rsidTr="006A5DF5">
        <w:trPr>
          <w:trHeight w:val="314"/>
          <w:jc w:val="center"/>
        </w:trPr>
        <w:tc>
          <w:tcPr>
            <w:tcW w:w="3220" w:type="pct"/>
            <w:gridSpan w:val="2"/>
            <w:noWrap/>
            <w:vAlign w:val="center"/>
            <w:hideMark/>
          </w:tcPr>
          <w:p w14:paraId="3A91EF9E" w14:textId="77777777" w:rsidR="00E57E39" w:rsidRPr="00CF0A96" w:rsidRDefault="00E57E39" w:rsidP="00E9101A">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780" w:type="pct"/>
            <w:noWrap/>
            <w:vAlign w:val="center"/>
            <w:hideMark/>
          </w:tcPr>
          <w:p w14:paraId="0BA250CD"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113</w:t>
            </w:r>
          </w:p>
        </w:tc>
      </w:tr>
    </w:tbl>
    <w:p w14:paraId="12C7518C" w14:textId="77777777" w:rsidR="00E57E39" w:rsidRPr="00CF0A96" w:rsidRDefault="00E57E39" w:rsidP="00E57E39">
      <w:pPr>
        <w:spacing w:line="360" w:lineRule="auto"/>
        <w:jc w:val="both"/>
        <w:rPr>
          <w:rFonts w:ascii="Times New Roman" w:hAnsi="Times New Roman" w:cs="Times New Roman"/>
        </w:rPr>
      </w:pPr>
    </w:p>
    <w:p w14:paraId="03902D52" w14:textId="2C4A8E53"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.2.2 Amrabad Division</w:t>
      </w:r>
    </w:p>
    <w:p w14:paraId="4D2764E0"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Amrabad Division emerges as the largest employment provider, supporting 234 individuals, which constitutes over 61% of total ATR employment (Table 2). This dominance reflects the division’s ecological significance, higher management intensity, and concentration of core tiger habitats.</w:t>
      </w:r>
    </w:p>
    <w:p w14:paraId="7B55C727"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TCF personnel (56), helpers at base camps (90), Fire Watchers (35), and rescue staff together indicate strong investment in anti-poaching patrols, habitat protection, and wildlife conflict mitigation. Notably, the presence of Nature Guides (12) and Ecotourism Drivers (12) distinguishes Amrabad Division from the others, underscoring the growing role of regulated ecotourism in livelihood diversification.</w:t>
      </w:r>
    </w:p>
    <w:p w14:paraId="24C624F2"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Ecotourism-linked employment in ATR aligns with broader evidence from Indian tiger reserves, where tourism creates supplementary income without replacing traditional livelihoods (Rajkumar &amp; Boopathi, 2022; Pujar &amp; Mishra, 2025)</w:t>
      </w:r>
    </w:p>
    <w:p w14:paraId="60842277"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Studies from Jim Corbett, </w:t>
      </w:r>
      <w:proofErr w:type="spellStart"/>
      <w:r w:rsidRPr="00CF0A96">
        <w:rPr>
          <w:rFonts w:ascii="Times New Roman" w:hAnsi="Times New Roman" w:cs="Times New Roman"/>
        </w:rPr>
        <w:t>Nagarahole</w:t>
      </w:r>
      <w:proofErr w:type="spellEnd"/>
      <w:r w:rsidRPr="00CF0A96">
        <w:rPr>
          <w:rFonts w:ascii="Times New Roman" w:hAnsi="Times New Roman" w:cs="Times New Roman"/>
        </w:rPr>
        <w:t xml:space="preserve">, and </w:t>
      </w:r>
      <w:proofErr w:type="spellStart"/>
      <w:r w:rsidRPr="00CF0A96">
        <w:rPr>
          <w:rFonts w:ascii="Times New Roman" w:hAnsi="Times New Roman" w:cs="Times New Roman"/>
        </w:rPr>
        <w:t>Mudumalai</w:t>
      </w:r>
      <w:proofErr w:type="spellEnd"/>
      <w:r w:rsidRPr="00CF0A96">
        <w:rPr>
          <w:rFonts w:ascii="Times New Roman" w:hAnsi="Times New Roman" w:cs="Times New Roman"/>
        </w:rPr>
        <w:t xml:space="preserve"> Tiger Reserves similarly report that nature guiding and transport services enhance household income while strengthening conservation awareness (Alam &amp; Nayak, 2025). The concentration of employment in Amrabad Division also mirrors findings from the national Management Effectiveness Evaluation (MEE), which indicate that reserves with higher protection intensity and ecotourism activity generate greater conservation-linked employment (Yadav et al., 2023).</w:t>
      </w:r>
    </w:p>
    <w:p w14:paraId="482B252B" w14:textId="77777777" w:rsidR="00E57E39" w:rsidRPr="00CF0A96" w:rsidRDefault="00E57E39" w:rsidP="00E57E39">
      <w:pPr>
        <w:spacing w:line="360" w:lineRule="auto"/>
        <w:jc w:val="center"/>
        <w:rPr>
          <w:rFonts w:ascii="Times New Roman" w:hAnsi="Times New Roman" w:cs="Times New Roman"/>
          <w:b/>
          <w:bCs/>
        </w:rPr>
      </w:pPr>
      <w:commentRangeStart w:id="10"/>
      <w:r w:rsidRPr="00CF0A96">
        <w:rPr>
          <w:rFonts w:ascii="Times New Roman" w:hAnsi="Times New Roman" w:cs="Times New Roman"/>
          <w:b/>
          <w:bCs/>
        </w:rPr>
        <w:t>Table 2. Details of Employment of Amrabad Division, ATR</w:t>
      </w:r>
    </w:p>
    <w:tbl>
      <w:tblPr>
        <w:tblW w:w="3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902"/>
        <w:gridCol w:w="2498"/>
      </w:tblGrid>
      <w:tr w:rsidR="00E57E39" w:rsidRPr="00CF0A96" w14:paraId="6CF86FD7" w14:textId="77777777" w:rsidTr="00E9101A">
        <w:trPr>
          <w:trHeight w:val="653"/>
          <w:jc w:val="center"/>
        </w:trPr>
        <w:tc>
          <w:tcPr>
            <w:tcW w:w="821" w:type="pct"/>
            <w:vAlign w:val="center"/>
            <w:hideMark/>
          </w:tcPr>
          <w:p w14:paraId="3A3DB8B7"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246" w:type="pct"/>
            <w:vAlign w:val="center"/>
            <w:hideMark/>
          </w:tcPr>
          <w:p w14:paraId="6CE41301"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933" w:type="pct"/>
            <w:vAlign w:val="center"/>
            <w:hideMark/>
          </w:tcPr>
          <w:p w14:paraId="04B9F4FE"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0946F23C" w14:textId="77777777" w:rsidTr="00E9101A">
        <w:trPr>
          <w:trHeight w:val="342"/>
          <w:jc w:val="center"/>
        </w:trPr>
        <w:tc>
          <w:tcPr>
            <w:tcW w:w="821" w:type="pct"/>
            <w:vAlign w:val="center"/>
            <w:hideMark/>
          </w:tcPr>
          <w:p w14:paraId="11E7747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246" w:type="pct"/>
            <w:vAlign w:val="center"/>
            <w:hideMark/>
          </w:tcPr>
          <w:p w14:paraId="776B6EF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933" w:type="pct"/>
            <w:vAlign w:val="center"/>
            <w:hideMark/>
          </w:tcPr>
          <w:p w14:paraId="6F8CD7F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90</w:t>
            </w:r>
          </w:p>
        </w:tc>
      </w:tr>
      <w:tr w:rsidR="00E57E39" w:rsidRPr="00CF0A96" w14:paraId="2D768C98" w14:textId="77777777" w:rsidTr="00E9101A">
        <w:trPr>
          <w:trHeight w:val="342"/>
          <w:jc w:val="center"/>
        </w:trPr>
        <w:tc>
          <w:tcPr>
            <w:tcW w:w="821" w:type="pct"/>
            <w:vAlign w:val="center"/>
            <w:hideMark/>
          </w:tcPr>
          <w:p w14:paraId="01C79BE0"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246" w:type="pct"/>
            <w:vAlign w:val="center"/>
            <w:hideMark/>
          </w:tcPr>
          <w:p w14:paraId="61B39D1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933" w:type="pct"/>
            <w:vAlign w:val="center"/>
            <w:hideMark/>
          </w:tcPr>
          <w:p w14:paraId="429D73F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3C9A31D1" w14:textId="77777777" w:rsidTr="00E9101A">
        <w:trPr>
          <w:trHeight w:val="342"/>
          <w:jc w:val="center"/>
        </w:trPr>
        <w:tc>
          <w:tcPr>
            <w:tcW w:w="821" w:type="pct"/>
            <w:vAlign w:val="center"/>
            <w:hideMark/>
          </w:tcPr>
          <w:p w14:paraId="37FC701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246" w:type="pct"/>
            <w:vAlign w:val="center"/>
            <w:hideMark/>
          </w:tcPr>
          <w:p w14:paraId="6A65307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933" w:type="pct"/>
            <w:vAlign w:val="center"/>
            <w:hideMark/>
          </w:tcPr>
          <w:p w14:paraId="4702419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35</w:t>
            </w:r>
          </w:p>
        </w:tc>
      </w:tr>
      <w:tr w:rsidR="00E57E39" w:rsidRPr="00CF0A96" w14:paraId="11264BF1" w14:textId="77777777" w:rsidTr="00E9101A">
        <w:trPr>
          <w:trHeight w:val="342"/>
          <w:jc w:val="center"/>
        </w:trPr>
        <w:tc>
          <w:tcPr>
            <w:tcW w:w="821" w:type="pct"/>
            <w:vAlign w:val="center"/>
            <w:hideMark/>
          </w:tcPr>
          <w:p w14:paraId="0275E61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246" w:type="pct"/>
            <w:vAlign w:val="center"/>
            <w:hideMark/>
          </w:tcPr>
          <w:p w14:paraId="0009891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933" w:type="pct"/>
            <w:vAlign w:val="center"/>
            <w:hideMark/>
          </w:tcPr>
          <w:p w14:paraId="08DC93F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56</w:t>
            </w:r>
          </w:p>
        </w:tc>
      </w:tr>
      <w:tr w:rsidR="00E57E39" w:rsidRPr="00CF0A96" w14:paraId="685FC848" w14:textId="77777777" w:rsidTr="00E9101A">
        <w:trPr>
          <w:trHeight w:val="342"/>
          <w:jc w:val="center"/>
        </w:trPr>
        <w:tc>
          <w:tcPr>
            <w:tcW w:w="821" w:type="pct"/>
            <w:vAlign w:val="center"/>
            <w:hideMark/>
          </w:tcPr>
          <w:p w14:paraId="053C08C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c>
          <w:tcPr>
            <w:tcW w:w="2246" w:type="pct"/>
            <w:vAlign w:val="center"/>
            <w:hideMark/>
          </w:tcPr>
          <w:p w14:paraId="6B2A4AB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Nature Guides</w:t>
            </w:r>
          </w:p>
        </w:tc>
        <w:tc>
          <w:tcPr>
            <w:tcW w:w="1933" w:type="pct"/>
            <w:vAlign w:val="center"/>
            <w:hideMark/>
          </w:tcPr>
          <w:p w14:paraId="508062E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71D83AF4" w14:textId="77777777" w:rsidTr="00E9101A">
        <w:trPr>
          <w:trHeight w:val="342"/>
          <w:jc w:val="center"/>
        </w:trPr>
        <w:tc>
          <w:tcPr>
            <w:tcW w:w="821" w:type="pct"/>
            <w:vAlign w:val="center"/>
            <w:hideMark/>
          </w:tcPr>
          <w:p w14:paraId="3D93561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246" w:type="pct"/>
            <w:vAlign w:val="center"/>
            <w:hideMark/>
          </w:tcPr>
          <w:p w14:paraId="585B55D9"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Ecotourism Drivers</w:t>
            </w:r>
          </w:p>
        </w:tc>
        <w:tc>
          <w:tcPr>
            <w:tcW w:w="1933" w:type="pct"/>
            <w:vAlign w:val="center"/>
            <w:hideMark/>
          </w:tcPr>
          <w:p w14:paraId="42F9525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23CA1EBA" w14:textId="77777777" w:rsidTr="00E9101A">
        <w:trPr>
          <w:trHeight w:val="342"/>
          <w:jc w:val="center"/>
        </w:trPr>
        <w:tc>
          <w:tcPr>
            <w:tcW w:w="821" w:type="pct"/>
            <w:vAlign w:val="center"/>
            <w:hideMark/>
          </w:tcPr>
          <w:p w14:paraId="0F5A85B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246" w:type="pct"/>
            <w:vAlign w:val="center"/>
            <w:hideMark/>
          </w:tcPr>
          <w:p w14:paraId="1EC7DC9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Van Drivers</w:t>
            </w:r>
          </w:p>
        </w:tc>
        <w:tc>
          <w:tcPr>
            <w:tcW w:w="1933" w:type="pct"/>
            <w:vAlign w:val="center"/>
            <w:hideMark/>
          </w:tcPr>
          <w:p w14:paraId="7466B8B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03443E8E" w14:textId="77777777" w:rsidTr="00E9101A">
        <w:trPr>
          <w:trHeight w:val="342"/>
          <w:jc w:val="center"/>
        </w:trPr>
        <w:tc>
          <w:tcPr>
            <w:tcW w:w="821" w:type="pct"/>
            <w:vAlign w:val="center"/>
            <w:hideMark/>
          </w:tcPr>
          <w:p w14:paraId="1C0986F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c>
          <w:tcPr>
            <w:tcW w:w="2246" w:type="pct"/>
            <w:vAlign w:val="center"/>
            <w:hideMark/>
          </w:tcPr>
          <w:p w14:paraId="348C3AF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933" w:type="pct"/>
            <w:vAlign w:val="center"/>
            <w:hideMark/>
          </w:tcPr>
          <w:p w14:paraId="02BF62F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E57E39" w:rsidRPr="00CF0A96" w14:paraId="46045ECC" w14:textId="77777777" w:rsidTr="00E9101A">
        <w:trPr>
          <w:trHeight w:val="342"/>
          <w:jc w:val="center"/>
        </w:trPr>
        <w:tc>
          <w:tcPr>
            <w:tcW w:w="821" w:type="pct"/>
            <w:vAlign w:val="center"/>
            <w:hideMark/>
          </w:tcPr>
          <w:p w14:paraId="6C20702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c>
          <w:tcPr>
            <w:tcW w:w="2246" w:type="pct"/>
            <w:vAlign w:val="center"/>
            <w:hideMark/>
          </w:tcPr>
          <w:p w14:paraId="337A88B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933" w:type="pct"/>
            <w:vAlign w:val="center"/>
            <w:hideMark/>
          </w:tcPr>
          <w:p w14:paraId="7EDB818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r>
      <w:tr w:rsidR="00E57E39" w:rsidRPr="00CF0A96" w14:paraId="519C44DE" w14:textId="77777777" w:rsidTr="00E9101A">
        <w:trPr>
          <w:trHeight w:val="342"/>
          <w:jc w:val="center"/>
        </w:trPr>
        <w:tc>
          <w:tcPr>
            <w:tcW w:w="821" w:type="pct"/>
            <w:vAlign w:val="center"/>
            <w:hideMark/>
          </w:tcPr>
          <w:p w14:paraId="30B59AA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10</w:t>
            </w:r>
          </w:p>
        </w:tc>
        <w:tc>
          <w:tcPr>
            <w:tcW w:w="2246" w:type="pct"/>
            <w:vAlign w:val="center"/>
            <w:hideMark/>
          </w:tcPr>
          <w:p w14:paraId="41FA59F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933" w:type="pct"/>
            <w:vAlign w:val="center"/>
            <w:hideMark/>
          </w:tcPr>
          <w:p w14:paraId="3C5986F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487F3E29" w14:textId="77777777" w:rsidTr="00E9101A">
        <w:trPr>
          <w:trHeight w:val="342"/>
          <w:jc w:val="center"/>
        </w:trPr>
        <w:tc>
          <w:tcPr>
            <w:tcW w:w="821" w:type="pct"/>
            <w:vAlign w:val="center"/>
            <w:hideMark/>
          </w:tcPr>
          <w:p w14:paraId="730AD1E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11</w:t>
            </w:r>
          </w:p>
        </w:tc>
        <w:tc>
          <w:tcPr>
            <w:tcW w:w="2246" w:type="pct"/>
            <w:vAlign w:val="center"/>
            <w:hideMark/>
          </w:tcPr>
          <w:p w14:paraId="0122D81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933" w:type="pct"/>
            <w:vAlign w:val="center"/>
            <w:hideMark/>
          </w:tcPr>
          <w:p w14:paraId="30C9CB0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E57E39" w:rsidRPr="00CF0A96" w14:paraId="0DFC6F29" w14:textId="77777777" w:rsidTr="00E9101A">
        <w:trPr>
          <w:trHeight w:val="342"/>
          <w:jc w:val="center"/>
        </w:trPr>
        <w:tc>
          <w:tcPr>
            <w:tcW w:w="821" w:type="pct"/>
            <w:vAlign w:val="center"/>
            <w:hideMark/>
          </w:tcPr>
          <w:p w14:paraId="54809614"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c>
          <w:tcPr>
            <w:tcW w:w="2246" w:type="pct"/>
            <w:vAlign w:val="center"/>
            <w:hideMark/>
          </w:tcPr>
          <w:p w14:paraId="640A641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933" w:type="pct"/>
            <w:vAlign w:val="center"/>
            <w:hideMark/>
          </w:tcPr>
          <w:p w14:paraId="7DADC21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5040F502" w14:textId="77777777" w:rsidTr="00E9101A">
        <w:trPr>
          <w:trHeight w:val="342"/>
          <w:jc w:val="center"/>
        </w:trPr>
        <w:tc>
          <w:tcPr>
            <w:tcW w:w="821" w:type="pct"/>
            <w:vAlign w:val="center"/>
            <w:hideMark/>
          </w:tcPr>
          <w:p w14:paraId="28413A5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13</w:t>
            </w:r>
          </w:p>
        </w:tc>
        <w:tc>
          <w:tcPr>
            <w:tcW w:w="2246" w:type="pct"/>
            <w:vAlign w:val="center"/>
            <w:hideMark/>
          </w:tcPr>
          <w:p w14:paraId="6968935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933" w:type="pct"/>
            <w:vAlign w:val="center"/>
            <w:hideMark/>
          </w:tcPr>
          <w:p w14:paraId="6BE8779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71FE9369" w14:textId="77777777" w:rsidTr="00E9101A">
        <w:trPr>
          <w:trHeight w:val="342"/>
          <w:jc w:val="center"/>
        </w:trPr>
        <w:tc>
          <w:tcPr>
            <w:tcW w:w="3067" w:type="pct"/>
            <w:gridSpan w:val="2"/>
            <w:noWrap/>
            <w:vAlign w:val="center"/>
            <w:hideMark/>
          </w:tcPr>
          <w:p w14:paraId="6704320E" w14:textId="77777777" w:rsidR="00E57E39" w:rsidRPr="00CF0A96" w:rsidRDefault="00E57E39" w:rsidP="00E9101A">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933" w:type="pct"/>
            <w:noWrap/>
            <w:vAlign w:val="center"/>
            <w:hideMark/>
          </w:tcPr>
          <w:p w14:paraId="2701253E"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234</w:t>
            </w:r>
          </w:p>
        </w:tc>
      </w:tr>
    </w:tbl>
    <w:commentRangeEnd w:id="10"/>
    <w:p w14:paraId="4E6A25D2" w14:textId="77777777" w:rsidR="00E57E39" w:rsidRPr="00CF0A96" w:rsidRDefault="006A5DF5" w:rsidP="00E57E39">
      <w:pPr>
        <w:spacing w:line="360" w:lineRule="auto"/>
        <w:jc w:val="both"/>
        <w:rPr>
          <w:rFonts w:ascii="Times New Roman" w:hAnsi="Times New Roman" w:cs="Times New Roman"/>
        </w:rPr>
      </w:pPr>
      <w:r>
        <w:rPr>
          <w:rStyle w:val="CommentReference"/>
        </w:rPr>
        <w:commentReference w:id="10"/>
      </w:r>
    </w:p>
    <w:p w14:paraId="5939BABC" w14:textId="78165F40"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.2.3 Nagarjuna Sagar Division</w:t>
      </w:r>
    </w:p>
    <w:p w14:paraId="16BDA926"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In contrast, the Nagarjuna Sagar Division provides employment to 34 individuals (Table 3), representing only 8.9% of ATR’s workforce. Employment here is largely restricted to essential protection and administrative roles, including base camp helpers, animal trackers, night watchmen, DEOs, DPOs, and drivers.</w:t>
      </w:r>
    </w:p>
    <w:p w14:paraId="050ECB09"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comparatively smaller workforce reflects the division’s management focus on core conservation functions rather than tourism-oriented or infrastructure-intensive activities. Similar patterns have been observed in less accessible or reservoir-dominated protected landscapes, where limited tourism potential constrains employment diversification (Lundmark et al., 2010). This finding highlights how accessibility, ecological sensitivity, and management objectives collectively shape employment outcomes within protected areas.</w:t>
      </w:r>
    </w:p>
    <w:p w14:paraId="238FBC89" w14:textId="77777777" w:rsidR="00E57E39" w:rsidRPr="00CF0A96" w:rsidRDefault="00E57E39" w:rsidP="00E57E39">
      <w:pPr>
        <w:spacing w:line="360" w:lineRule="auto"/>
        <w:jc w:val="center"/>
        <w:rPr>
          <w:rFonts w:ascii="Times New Roman" w:hAnsi="Times New Roman" w:cs="Times New Roman"/>
        </w:rPr>
      </w:pPr>
      <w:commentRangeStart w:id="11"/>
      <w:r w:rsidRPr="00CF0A96">
        <w:rPr>
          <w:rFonts w:ascii="Times New Roman" w:hAnsi="Times New Roman" w:cs="Times New Roman"/>
          <w:b/>
          <w:bCs/>
        </w:rPr>
        <w:t>Table 3. Details of Employment of Nagarjuna Sagar Division, ATR</w:t>
      </w:r>
    </w:p>
    <w:tbl>
      <w:tblPr>
        <w:tblW w:w="4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3828"/>
        <w:gridCol w:w="3356"/>
      </w:tblGrid>
      <w:tr w:rsidR="00E57E39" w:rsidRPr="00CF0A96" w14:paraId="0188B6BB" w14:textId="77777777" w:rsidTr="00E9101A">
        <w:trPr>
          <w:trHeight w:val="378"/>
          <w:jc w:val="center"/>
        </w:trPr>
        <w:tc>
          <w:tcPr>
            <w:tcW w:w="723" w:type="pct"/>
            <w:noWrap/>
            <w:vAlign w:val="center"/>
            <w:hideMark/>
          </w:tcPr>
          <w:p w14:paraId="5C40AA4F"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Sl. No</w:t>
            </w:r>
          </w:p>
        </w:tc>
        <w:tc>
          <w:tcPr>
            <w:tcW w:w="2278" w:type="pct"/>
            <w:noWrap/>
            <w:vAlign w:val="center"/>
            <w:hideMark/>
          </w:tcPr>
          <w:p w14:paraId="37D29109"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998" w:type="pct"/>
            <w:noWrap/>
            <w:vAlign w:val="center"/>
            <w:hideMark/>
          </w:tcPr>
          <w:p w14:paraId="2412D52C"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45DA82BF" w14:textId="77777777" w:rsidTr="00E9101A">
        <w:trPr>
          <w:trHeight w:val="391"/>
          <w:jc w:val="center"/>
        </w:trPr>
        <w:tc>
          <w:tcPr>
            <w:tcW w:w="723" w:type="pct"/>
            <w:noWrap/>
            <w:vAlign w:val="center"/>
            <w:hideMark/>
          </w:tcPr>
          <w:p w14:paraId="74D6CAD2"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c>
          <w:tcPr>
            <w:tcW w:w="2278" w:type="pct"/>
            <w:noWrap/>
            <w:vAlign w:val="center"/>
            <w:hideMark/>
          </w:tcPr>
          <w:p w14:paraId="6F2FBE8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998" w:type="pct"/>
            <w:noWrap/>
            <w:vAlign w:val="center"/>
            <w:hideMark/>
          </w:tcPr>
          <w:p w14:paraId="15ADC13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20</w:t>
            </w:r>
          </w:p>
        </w:tc>
      </w:tr>
      <w:tr w:rsidR="00E57E39" w:rsidRPr="00CF0A96" w14:paraId="1367BBC6" w14:textId="77777777" w:rsidTr="00E9101A">
        <w:trPr>
          <w:trHeight w:val="391"/>
          <w:jc w:val="center"/>
        </w:trPr>
        <w:tc>
          <w:tcPr>
            <w:tcW w:w="723" w:type="pct"/>
            <w:noWrap/>
            <w:vAlign w:val="center"/>
            <w:hideMark/>
          </w:tcPr>
          <w:p w14:paraId="6AD6A776"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c>
          <w:tcPr>
            <w:tcW w:w="2278" w:type="pct"/>
            <w:noWrap/>
            <w:vAlign w:val="center"/>
            <w:hideMark/>
          </w:tcPr>
          <w:p w14:paraId="47E33E0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 (Animal Trackers)</w:t>
            </w:r>
          </w:p>
        </w:tc>
        <w:tc>
          <w:tcPr>
            <w:tcW w:w="1998" w:type="pct"/>
            <w:noWrap/>
            <w:vAlign w:val="center"/>
            <w:hideMark/>
          </w:tcPr>
          <w:p w14:paraId="73D026A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05A4FD26" w14:textId="77777777" w:rsidTr="00E9101A">
        <w:trPr>
          <w:trHeight w:val="391"/>
          <w:jc w:val="center"/>
        </w:trPr>
        <w:tc>
          <w:tcPr>
            <w:tcW w:w="723" w:type="pct"/>
            <w:noWrap/>
            <w:vAlign w:val="center"/>
            <w:hideMark/>
          </w:tcPr>
          <w:p w14:paraId="0D9B4C03"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3</w:t>
            </w:r>
          </w:p>
        </w:tc>
        <w:tc>
          <w:tcPr>
            <w:tcW w:w="2278" w:type="pct"/>
            <w:noWrap/>
            <w:vAlign w:val="center"/>
            <w:hideMark/>
          </w:tcPr>
          <w:p w14:paraId="19BFC19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 (Night Watchmen’s)</w:t>
            </w:r>
          </w:p>
        </w:tc>
        <w:tc>
          <w:tcPr>
            <w:tcW w:w="1998" w:type="pct"/>
            <w:noWrap/>
            <w:vAlign w:val="center"/>
            <w:hideMark/>
          </w:tcPr>
          <w:p w14:paraId="6C72A807"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5EEA1665" w14:textId="77777777" w:rsidTr="00E9101A">
        <w:trPr>
          <w:trHeight w:val="391"/>
          <w:jc w:val="center"/>
        </w:trPr>
        <w:tc>
          <w:tcPr>
            <w:tcW w:w="723" w:type="pct"/>
            <w:noWrap/>
            <w:vAlign w:val="center"/>
            <w:hideMark/>
          </w:tcPr>
          <w:p w14:paraId="25903DCC"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c>
          <w:tcPr>
            <w:tcW w:w="2278" w:type="pct"/>
            <w:noWrap/>
            <w:vAlign w:val="center"/>
            <w:hideMark/>
          </w:tcPr>
          <w:p w14:paraId="299F8E48"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998" w:type="pct"/>
            <w:noWrap/>
            <w:vAlign w:val="center"/>
            <w:hideMark/>
          </w:tcPr>
          <w:p w14:paraId="69222B7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2176363B" w14:textId="77777777" w:rsidTr="00E9101A">
        <w:trPr>
          <w:trHeight w:val="391"/>
          <w:jc w:val="center"/>
        </w:trPr>
        <w:tc>
          <w:tcPr>
            <w:tcW w:w="723" w:type="pct"/>
            <w:noWrap/>
            <w:vAlign w:val="center"/>
            <w:hideMark/>
          </w:tcPr>
          <w:p w14:paraId="556A1A4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c>
          <w:tcPr>
            <w:tcW w:w="2278" w:type="pct"/>
            <w:noWrap/>
            <w:vAlign w:val="center"/>
            <w:hideMark/>
          </w:tcPr>
          <w:p w14:paraId="627FCE3E"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998" w:type="pct"/>
            <w:noWrap/>
            <w:vAlign w:val="center"/>
            <w:hideMark/>
          </w:tcPr>
          <w:p w14:paraId="5C180B4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6DE81A08" w14:textId="77777777" w:rsidTr="00E9101A">
        <w:trPr>
          <w:trHeight w:val="391"/>
          <w:jc w:val="center"/>
        </w:trPr>
        <w:tc>
          <w:tcPr>
            <w:tcW w:w="723" w:type="pct"/>
            <w:noWrap/>
            <w:vAlign w:val="center"/>
            <w:hideMark/>
          </w:tcPr>
          <w:p w14:paraId="4F0B442F"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6</w:t>
            </w:r>
          </w:p>
        </w:tc>
        <w:tc>
          <w:tcPr>
            <w:tcW w:w="2278" w:type="pct"/>
            <w:noWrap/>
            <w:vAlign w:val="center"/>
            <w:hideMark/>
          </w:tcPr>
          <w:p w14:paraId="7E43953D"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998" w:type="pct"/>
            <w:noWrap/>
            <w:vAlign w:val="center"/>
            <w:hideMark/>
          </w:tcPr>
          <w:p w14:paraId="01C14105"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7A9F6D17" w14:textId="77777777" w:rsidTr="00E9101A">
        <w:trPr>
          <w:trHeight w:val="391"/>
          <w:jc w:val="center"/>
        </w:trPr>
        <w:tc>
          <w:tcPr>
            <w:tcW w:w="723" w:type="pct"/>
            <w:noWrap/>
            <w:vAlign w:val="center"/>
            <w:hideMark/>
          </w:tcPr>
          <w:p w14:paraId="7C3B8E1B"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7</w:t>
            </w:r>
          </w:p>
        </w:tc>
        <w:tc>
          <w:tcPr>
            <w:tcW w:w="2278" w:type="pct"/>
            <w:noWrap/>
            <w:vAlign w:val="center"/>
            <w:hideMark/>
          </w:tcPr>
          <w:p w14:paraId="13C793A1"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998" w:type="pct"/>
            <w:noWrap/>
            <w:vAlign w:val="center"/>
            <w:hideMark/>
          </w:tcPr>
          <w:p w14:paraId="6A7737AA" w14:textId="77777777" w:rsidR="00E57E39" w:rsidRPr="00CF0A96" w:rsidRDefault="00E57E39" w:rsidP="00E9101A">
            <w:pPr>
              <w:spacing w:after="0" w:line="24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w:t>
            </w:r>
          </w:p>
        </w:tc>
      </w:tr>
      <w:tr w:rsidR="00E57E39" w:rsidRPr="00CF0A96" w14:paraId="6322AEFC" w14:textId="77777777" w:rsidTr="00E9101A">
        <w:trPr>
          <w:trHeight w:val="391"/>
          <w:jc w:val="center"/>
        </w:trPr>
        <w:tc>
          <w:tcPr>
            <w:tcW w:w="3002" w:type="pct"/>
            <w:gridSpan w:val="2"/>
            <w:noWrap/>
            <w:vAlign w:val="center"/>
            <w:hideMark/>
          </w:tcPr>
          <w:p w14:paraId="5129009E" w14:textId="77777777" w:rsidR="00E57E39" w:rsidRPr="00CF0A96" w:rsidRDefault="00E57E39" w:rsidP="00E9101A">
            <w:pPr>
              <w:spacing w:after="0" w:line="240" w:lineRule="auto"/>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w:t>
            </w:r>
          </w:p>
        </w:tc>
        <w:tc>
          <w:tcPr>
            <w:tcW w:w="1998" w:type="pct"/>
            <w:noWrap/>
            <w:vAlign w:val="center"/>
            <w:hideMark/>
          </w:tcPr>
          <w:p w14:paraId="2D099194" w14:textId="77777777" w:rsidR="00E57E39" w:rsidRPr="00CF0A96" w:rsidRDefault="00E57E39" w:rsidP="00E9101A">
            <w:pPr>
              <w:spacing w:after="0" w:line="24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34</w:t>
            </w:r>
          </w:p>
        </w:tc>
      </w:tr>
    </w:tbl>
    <w:commentRangeEnd w:id="11"/>
    <w:p w14:paraId="449FD9AE" w14:textId="77777777" w:rsidR="00E57E39" w:rsidRPr="00CF0A96" w:rsidRDefault="0037429C" w:rsidP="00E57E39">
      <w:pPr>
        <w:spacing w:line="360" w:lineRule="auto"/>
        <w:jc w:val="both"/>
        <w:rPr>
          <w:rFonts w:ascii="Times New Roman" w:hAnsi="Times New Roman" w:cs="Times New Roman"/>
        </w:rPr>
      </w:pPr>
      <w:r>
        <w:rPr>
          <w:rStyle w:val="CommentReference"/>
        </w:rPr>
        <w:commentReference w:id="11"/>
      </w:r>
    </w:p>
    <w:p w14:paraId="436EC3C6" w14:textId="1BDE7F3B" w:rsidR="00E57E39" w:rsidRPr="00CF0A96" w:rsidRDefault="00501E6A" w:rsidP="00E57E39">
      <w:pPr>
        <w:spacing w:line="360" w:lineRule="auto"/>
        <w:jc w:val="both"/>
        <w:rPr>
          <w:rFonts w:ascii="Times New Roman" w:hAnsi="Times New Roman" w:cs="Times New Roman"/>
          <w:b/>
          <w:bCs/>
        </w:rPr>
      </w:pPr>
      <w:r w:rsidRPr="00CF0A96">
        <w:rPr>
          <w:rFonts w:ascii="Times New Roman" w:hAnsi="Times New Roman" w:cs="Times New Roman"/>
          <w:b/>
          <w:bCs/>
        </w:rPr>
        <w:t>3</w:t>
      </w:r>
      <w:r w:rsidR="00E57E39" w:rsidRPr="00CF0A96">
        <w:rPr>
          <w:rFonts w:ascii="Times New Roman" w:hAnsi="Times New Roman" w:cs="Times New Roman"/>
          <w:b/>
          <w:bCs/>
        </w:rPr>
        <w:t>.3 Consolidated Employment Structure of ATR</w:t>
      </w:r>
    </w:p>
    <w:p w14:paraId="0B595B6C"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When aggregated across divisions, the employment structure of ATR (Table 4) clearly illustrates the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nature of tiger reserve management. Helpers at base camps (140), TCF personnel (89), Fire Watchers (50), drivers (24), DEOs (13), DPOs (8), and rescue watchers (4) collectively dominate the employment profile.</w:t>
      </w:r>
    </w:p>
    <w:p w14:paraId="7E150590"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 xml:space="preserve">Such </w:t>
      </w:r>
      <w:proofErr w:type="spellStart"/>
      <w:r w:rsidRPr="00CF0A96">
        <w:rPr>
          <w:rFonts w:ascii="Times New Roman" w:hAnsi="Times New Roman" w:cs="Times New Roman"/>
        </w:rPr>
        <w:t>labour</w:t>
      </w:r>
      <w:proofErr w:type="spellEnd"/>
      <w:r w:rsidRPr="00CF0A96">
        <w:rPr>
          <w:rFonts w:ascii="Times New Roman" w:hAnsi="Times New Roman" w:cs="Times New Roman"/>
        </w:rPr>
        <w:t xml:space="preserve"> demand reflects the continuous need for patrolling, habitat maintenance, fire control, wildlife rescue, monitoring, and administrative coordination. Importantly, most positions require limited formal education and are thus accessible to local and forest-dependent communities. This inclusiveness strengthens community participation, reduces antagonism toward conservation restrictions, and promotes stewardship of forest resources.</w:t>
      </w:r>
    </w:p>
    <w:p w14:paraId="07836285"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These findings corroborate evidence from India and other tropical countries that conservation-linked employment enhances local support for protected areas when livelihood benefits are visible and equitably distributed (De Zoysa, 2022; Verma et al., 2017; Bhushan et al., 2024).</w:t>
      </w:r>
    </w:p>
    <w:p w14:paraId="56674FDF" w14:textId="77777777" w:rsidR="00E57E39" w:rsidRPr="00CF0A96" w:rsidRDefault="00E57E39" w:rsidP="00E57E39">
      <w:pPr>
        <w:spacing w:before="240" w:line="360" w:lineRule="auto"/>
        <w:jc w:val="center"/>
        <w:rPr>
          <w:rFonts w:ascii="Times New Roman" w:hAnsi="Times New Roman" w:cs="Times New Roman"/>
          <w:b/>
          <w:bCs/>
        </w:rPr>
      </w:pPr>
      <w:commentRangeStart w:id="12"/>
      <w:r w:rsidRPr="00CF0A96">
        <w:rPr>
          <w:rFonts w:ascii="Times New Roman" w:hAnsi="Times New Roman" w:cs="Times New Roman"/>
          <w:b/>
          <w:bCs/>
        </w:rPr>
        <w:t>Table 4. Details of Employment of Forest Department, ATR</w:t>
      </w:r>
    </w:p>
    <w:tbl>
      <w:tblPr>
        <w:tblW w:w="3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2810"/>
        <w:gridCol w:w="2063"/>
      </w:tblGrid>
      <w:tr w:rsidR="00E57E39" w:rsidRPr="00CF0A96" w14:paraId="0AEC4353" w14:textId="77777777" w:rsidTr="00E9101A">
        <w:trPr>
          <w:trHeight w:val="311"/>
          <w:jc w:val="center"/>
        </w:trPr>
        <w:tc>
          <w:tcPr>
            <w:tcW w:w="1270" w:type="pct"/>
          </w:tcPr>
          <w:p w14:paraId="547009C2"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proofErr w:type="spellStart"/>
            <w:proofErr w:type="gramStart"/>
            <w:r w:rsidRPr="00CF0A96">
              <w:rPr>
                <w:rFonts w:ascii="Times New Roman" w:eastAsia="Times New Roman" w:hAnsi="Times New Roman" w:cs="Times New Roman"/>
                <w:b/>
                <w:bCs/>
                <w:color w:val="000000"/>
                <w:kern w:val="0"/>
                <w14:ligatures w14:val="none"/>
              </w:rPr>
              <w:t>S.No</w:t>
            </w:r>
            <w:proofErr w:type="spellEnd"/>
            <w:proofErr w:type="gramEnd"/>
          </w:p>
        </w:tc>
        <w:tc>
          <w:tcPr>
            <w:tcW w:w="2151" w:type="pct"/>
            <w:noWrap/>
            <w:vAlign w:val="center"/>
            <w:hideMark/>
          </w:tcPr>
          <w:p w14:paraId="693338F5"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Type of Employment</w:t>
            </w:r>
          </w:p>
        </w:tc>
        <w:tc>
          <w:tcPr>
            <w:tcW w:w="1579" w:type="pct"/>
            <w:noWrap/>
            <w:vAlign w:val="center"/>
            <w:hideMark/>
          </w:tcPr>
          <w:p w14:paraId="6D1CF4E7"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No. of Employees</w:t>
            </w:r>
          </w:p>
        </w:tc>
      </w:tr>
      <w:tr w:rsidR="00E57E39" w:rsidRPr="00CF0A96" w14:paraId="428A891D" w14:textId="77777777" w:rsidTr="00E9101A">
        <w:trPr>
          <w:trHeight w:val="321"/>
          <w:jc w:val="center"/>
        </w:trPr>
        <w:tc>
          <w:tcPr>
            <w:tcW w:w="1270" w:type="pct"/>
          </w:tcPr>
          <w:p w14:paraId="24DF6EF1"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2AAFD85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Helpers at Base camp</w:t>
            </w:r>
          </w:p>
        </w:tc>
        <w:tc>
          <w:tcPr>
            <w:tcW w:w="1579" w:type="pct"/>
            <w:noWrap/>
            <w:vAlign w:val="center"/>
            <w:hideMark/>
          </w:tcPr>
          <w:p w14:paraId="370B2B57"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140</w:t>
            </w:r>
          </w:p>
        </w:tc>
      </w:tr>
      <w:tr w:rsidR="00E57E39" w:rsidRPr="00CF0A96" w14:paraId="330F8B9C" w14:textId="77777777" w:rsidTr="00E9101A">
        <w:trPr>
          <w:trHeight w:val="321"/>
          <w:jc w:val="center"/>
        </w:trPr>
        <w:tc>
          <w:tcPr>
            <w:tcW w:w="1270" w:type="pct"/>
          </w:tcPr>
          <w:p w14:paraId="57BAF593"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3A6BF2A7"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Strike force/Anti-Poaching squad</w:t>
            </w:r>
          </w:p>
        </w:tc>
        <w:tc>
          <w:tcPr>
            <w:tcW w:w="1579" w:type="pct"/>
            <w:noWrap/>
            <w:vAlign w:val="center"/>
            <w:hideMark/>
          </w:tcPr>
          <w:p w14:paraId="5A48B9DF"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452AA1DE" w14:textId="77777777" w:rsidTr="00E9101A">
        <w:trPr>
          <w:trHeight w:val="321"/>
          <w:jc w:val="center"/>
        </w:trPr>
        <w:tc>
          <w:tcPr>
            <w:tcW w:w="1270" w:type="pct"/>
          </w:tcPr>
          <w:p w14:paraId="766BB337"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1CC73321"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At Check Post</w:t>
            </w:r>
          </w:p>
        </w:tc>
        <w:tc>
          <w:tcPr>
            <w:tcW w:w="1579" w:type="pct"/>
            <w:noWrap/>
            <w:vAlign w:val="center"/>
            <w:hideMark/>
          </w:tcPr>
          <w:p w14:paraId="21012D11"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E57E39" w:rsidRPr="00CF0A96" w14:paraId="7B2D9A6C" w14:textId="77777777" w:rsidTr="00E9101A">
        <w:trPr>
          <w:trHeight w:val="321"/>
          <w:jc w:val="center"/>
        </w:trPr>
        <w:tc>
          <w:tcPr>
            <w:tcW w:w="1270" w:type="pct"/>
          </w:tcPr>
          <w:p w14:paraId="0F90A070"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3A67938C"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Fire Watchers</w:t>
            </w:r>
          </w:p>
        </w:tc>
        <w:tc>
          <w:tcPr>
            <w:tcW w:w="1579" w:type="pct"/>
            <w:noWrap/>
            <w:vAlign w:val="center"/>
            <w:hideMark/>
          </w:tcPr>
          <w:p w14:paraId="329437CE"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50</w:t>
            </w:r>
          </w:p>
        </w:tc>
      </w:tr>
      <w:tr w:rsidR="00E57E39" w:rsidRPr="00CF0A96" w14:paraId="4C99807A" w14:textId="77777777" w:rsidTr="00E9101A">
        <w:trPr>
          <w:trHeight w:val="321"/>
          <w:jc w:val="center"/>
        </w:trPr>
        <w:tc>
          <w:tcPr>
            <w:tcW w:w="1270" w:type="pct"/>
          </w:tcPr>
          <w:p w14:paraId="1F8A111B"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EBEF3A1"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TCF Employees</w:t>
            </w:r>
          </w:p>
        </w:tc>
        <w:tc>
          <w:tcPr>
            <w:tcW w:w="1579" w:type="pct"/>
            <w:noWrap/>
            <w:vAlign w:val="center"/>
            <w:hideMark/>
          </w:tcPr>
          <w:p w14:paraId="4E953184"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89</w:t>
            </w:r>
          </w:p>
        </w:tc>
      </w:tr>
      <w:tr w:rsidR="00E57E39" w:rsidRPr="00CF0A96" w14:paraId="4851FA83" w14:textId="77777777" w:rsidTr="00E9101A">
        <w:trPr>
          <w:trHeight w:val="321"/>
          <w:jc w:val="center"/>
        </w:trPr>
        <w:tc>
          <w:tcPr>
            <w:tcW w:w="1270" w:type="pct"/>
          </w:tcPr>
          <w:p w14:paraId="37E294E6"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A77077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Rescue Watchers</w:t>
            </w:r>
          </w:p>
        </w:tc>
        <w:tc>
          <w:tcPr>
            <w:tcW w:w="1579" w:type="pct"/>
            <w:noWrap/>
            <w:vAlign w:val="center"/>
            <w:hideMark/>
          </w:tcPr>
          <w:p w14:paraId="1365ED6C"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4</w:t>
            </w:r>
          </w:p>
        </w:tc>
      </w:tr>
      <w:tr w:rsidR="00E57E39" w:rsidRPr="00CF0A96" w14:paraId="1F3B9262" w14:textId="77777777" w:rsidTr="00E9101A">
        <w:trPr>
          <w:trHeight w:val="321"/>
          <w:jc w:val="center"/>
        </w:trPr>
        <w:tc>
          <w:tcPr>
            <w:tcW w:w="1270" w:type="pct"/>
          </w:tcPr>
          <w:p w14:paraId="0C0448DD"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1B6BEE8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DPOs</w:t>
            </w:r>
          </w:p>
        </w:tc>
        <w:tc>
          <w:tcPr>
            <w:tcW w:w="1579" w:type="pct"/>
            <w:noWrap/>
            <w:vAlign w:val="center"/>
            <w:hideMark/>
          </w:tcPr>
          <w:p w14:paraId="16AA52EA"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8</w:t>
            </w:r>
          </w:p>
        </w:tc>
      </w:tr>
      <w:tr w:rsidR="00E57E39" w:rsidRPr="00CF0A96" w14:paraId="1C73451F" w14:textId="77777777" w:rsidTr="00E9101A">
        <w:trPr>
          <w:trHeight w:val="321"/>
          <w:jc w:val="center"/>
        </w:trPr>
        <w:tc>
          <w:tcPr>
            <w:tcW w:w="1270" w:type="pct"/>
          </w:tcPr>
          <w:p w14:paraId="4B6B75FE"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749A7A8B"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DEOs</w:t>
            </w:r>
          </w:p>
        </w:tc>
        <w:tc>
          <w:tcPr>
            <w:tcW w:w="1579" w:type="pct"/>
            <w:noWrap/>
            <w:vAlign w:val="center"/>
            <w:hideMark/>
          </w:tcPr>
          <w:p w14:paraId="655C2E90"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13</w:t>
            </w:r>
          </w:p>
        </w:tc>
      </w:tr>
      <w:tr w:rsidR="00E57E39" w:rsidRPr="00CF0A96" w14:paraId="52B2ADE5" w14:textId="77777777" w:rsidTr="00E9101A">
        <w:trPr>
          <w:trHeight w:val="321"/>
          <w:jc w:val="center"/>
        </w:trPr>
        <w:tc>
          <w:tcPr>
            <w:tcW w:w="1270" w:type="pct"/>
          </w:tcPr>
          <w:p w14:paraId="0D2F84F1"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730BBA62"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Drivers</w:t>
            </w:r>
          </w:p>
        </w:tc>
        <w:tc>
          <w:tcPr>
            <w:tcW w:w="1579" w:type="pct"/>
            <w:noWrap/>
            <w:vAlign w:val="center"/>
            <w:hideMark/>
          </w:tcPr>
          <w:p w14:paraId="23FA4195"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24</w:t>
            </w:r>
          </w:p>
        </w:tc>
      </w:tr>
      <w:tr w:rsidR="00E57E39" w:rsidRPr="00CF0A96" w14:paraId="232F6000" w14:textId="77777777" w:rsidTr="00E9101A">
        <w:trPr>
          <w:trHeight w:val="321"/>
          <w:jc w:val="center"/>
        </w:trPr>
        <w:tc>
          <w:tcPr>
            <w:tcW w:w="1270" w:type="pct"/>
          </w:tcPr>
          <w:p w14:paraId="2BC60FF2"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685E8403"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Drivers</w:t>
            </w:r>
          </w:p>
        </w:tc>
        <w:tc>
          <w:tcPr>
            <w:tcW w:w="1579" w:type="pct"/>
            <w:noWrap/>
            <w:vAlign w:val="center"/>
            <w:hideMark/>
          </w:tcPr>
          <w:p w14:paraId="0CFB63C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5</w:t>
            </w:r>
          </w:p>
        </w:tc>
      </w:tr>
      <w:tr w:rsidR="00E57E39" w:rsidRPr="00CF0A96" w14:paraId="772C40B4" w14:textId="77777777" w:rsidTr="00E9101A">
        <w:trPr>
          <w:trHeight w:val="321"/>
          <w:jc w:val="center"/>
        </w:trPr>
        <w:tc>
          <w:tcPr>
            <w:tcW w:w="1270" w:type="pct"/>
          </w:tcPr>
          <w:p w14:paraId="6B8294E6"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B971E8A"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Boat Helpers</w:t>
            </w:r>
          </w:p>
        </w:tc>
        <w:tc>
          <w:tcPr>
            <w:tcW w:w="1579" w:type="pct"/>
            <w:noWrap/>
            <w:vAlign w:val="center"/>
            <w:hideMark/>
          </w:tcPr>
          <w:p w14:paraId="3F7B45A9"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9</w:t>
            </w:r>
          </w:p>
        </w:tc>
      </w:tr>
      <w:tr w:rsidR="00E57E39" w:rsidRPr="00CF0A96" w14:paraId="07024EA0" w14:textId="77777777" w:rsidTr="00E9101A">
        <w:trPr>
          <w:trHeight w:val="321"/>
          <w:jc w:val="center"/>
        </w:trPr>
        <w:tc>
          <w:tcPr>
            <w:tcW w:w="1270" w:type="pct"/>
          </w:tcPr>
          <w:p w14:paraId="77BB3133"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635B5C73"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Technical Assistant</w:t>
            </w:r>
          </w:p>
        </w:tc>
        <w:tc>
          <w:tcPr>
            <w:tcW w:w="1579" w:type="pct"/>
            <w:noWrap/>
            <w:vAlign w:val="center"/>
            <w:hideMark/>
          </w:tcPr>
          <w:p w14:paraId="42F68969"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2</w:t>
            </w:r>
          </w:p>
        </w:tc>
      </w:tr>
      <w:tr w:rsidR="00E57E39" w:rsidRPr="00CF0A96" w14:paraId="03B12A8D" w14:textId="77777777" w:rsidTr="00E9101A">
        <w:trPr>
          <w:trHeight w:val="321"/>
          <w:jc w:val="center"/>
        </w:trPr>
        <w:tc>
          <w:tcPr>
            <w:tcW w:w="1270" w:type="pct"/>
          </w:tcPr>
          <w:p w14:paraId="7E8EFC8E"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4E7BC8C6"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Nature Guides</w:t>
            </w:r>
          </w:p>
        </w:tc>
        <w:tc>
          <w:tcPr>
            <w:tcW w:w="1579" w:type="pct"/>
            <w:noWrap/>
            <w:vAlign w:val="center"/>
            <w:hideMark/>
          </w:tcPr>
          <w:p w14:paraId="7DD23110"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4B9F20AC" w14:textId="77777777" w:rsidTr="00E9101A">
        <w:trPr>
          <w:trHeight w:val="321"/>
          <w:jc w:val="center"/>
        </w:trPr>
        <w:tc>
          <w:tcPr>
            <w:tcW w:w="1270" w:type="pct"/>
          </w:tcPr>
          <w:p w14:paraId="3EBA20E4" w14:textId="77777777" w:rsidR="00E57E39" w:rsidRPr="00CF0A96" w:rsidRDefault="00E57E39" w:rsidP="00E57E39">
            <w:pPr>
              <w:pStyle w:val="ListParagraph"/>
              <w:numPr>
                <w:ilvl w:val="0"/>
                <w:numId w:val="4"/>
              </w:numPr>
              <w:spacing w:after="0" w:line="360" w:lineRule="auto"/>
              <w:jc w:val="both"/>
              <w:rPr>
                <w:rFonts w:ascii="Times New Roman" w:eastAsia="Times New Roman" w:hAnsi="Times New Roman" w:cs="Times New Roman"/>
                <w:color w:val="000000"/>
                <w:kern w:val="0"/>
                <w14:ligatures w14:val="none"/>
              </w:rPr>
            </w:pPr>
          </w:p>
        </w:tc>
        <w:tc>
          <w:tcPr>
            <w:tcW w:w="2151" w:type="pct"/>
            <w:noWrap/>
            <w:vAlign w:val="center"/>
            <w:hideMark/>
          </w:tcPr>
          <w:p w14:paraId="058C911D"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Ecotourism Drivers</w:t>
            </w:r>
          </w:p>
        </w:tc>
        <w:tc>
          <w:tcPr>
            <w:tcW w:w="1579" w:type="pct"/>
            <w:noWrap/>
            <w:vAlign w:val="center"/>
            <w:hideMark/>
          </w:tcPr>
          <w:p w14:paraId="7CA7C78B" w14:textId="77777777" w:rsidR="00E57E39" w:rsidRPr="00CF0A96" w:rsidRDefault="00E57E39" w:rsidP="00E9101A">
            <w:pPr>
              <w:spacing w:after="0" w:line="360" w:lineRule="auto"/>
              <w:jc w:val="both"/>
              <w:rPr>
                <w:rFonts w:ascii="Times New Roman" w:eastAsia="Times New Roman" w:hAnsi="Times New Roman" w:cs="Times New Roman"/>
                <w:color w:val="000000"/>
                <w:kern w:val="0"/>
                <w14:ligatures w14:val="none"/>
              </w:rPr>
            </w:pPr>
            <w:r w:rsidRPr="00CF0A96">
              <w:rPr>
                <w:rFonts w:ascii="Times New Roman" w:eastAsia="Times New Roman" w:hAnsi="Times New Roman" w:cs="Times New Roman"/>
                <w:color w:val="000000"/>
                <w:kern w:val="0"/>
                <w14:ligatures w14:val="none"/>
              </w:rPr>
              <w:t>12</w:t>
            </w:r>
          </w:p>
        </w:tc>
      </w:tr>
      <w:tr w:rsidR="00E57E39" w:rsidRPr="00CF0A96" w14:paraId="5075C4BB" w14:textId="77777777" w:rsidTr="00E9101A">
        <w:trPr>
          <w:trHeight w:val="321"/>
          <w:jc w:val="center"/>
        </w:trPr>
        <w:tc>
          <w:tcPr>
            <w:tcW w:w="3421" w:type="pct"/>
            <w:gridSpan w:val="2"/>
          </w:tcPr>
          <w:p w14:paraId="32B54605" w14:textId="77777777" w:rsidR="00E57E39" w:rsidRPr="00CF0A96" w:rsidRDefault="00E57E39" w:rsidP="00E9101A">
            <w:pPr>
              <w:spacing w:after="0" w:line="360" w:lineRule="auto"/>
              <w:ind w:left="720" w:hanging="720"/>
              <w:jc w:val="center"/>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Totals</w:t>
            </w:r>
          </w:p>
        </w:tc>
        <w:tc>
          <w:tcPr>
            <w:tcW w:w="1579" w:type="pct"/>
            <w:noWrap/>
            <w:vAlign w:val="bottom"/>
            <w:hideMark/>
          </w:tcPr>
          <w:p w14:paraId="6F4BF7FE" w14:textId="77777777" w:rsidR="00E57E39" w:rsidRPr="00CF0A96" w:rsidRDefault="00E57E39" w:rsidP="00E9101A">
            <w:pPr>
              <w:spacing w:after="0" w:line="360" w:lineRule="auto"/>
              <w:jc w:val="both"/>
              <w:rPr>
                <w:rFonts w:ascii="Times New Roman" w:eastAsia="Times New Roman" w:hAnsi="Times New Roman" w:cs="Times New Roman"/>
                <w:b/>
                <w:bCs/>
                <w:color w:val="000000"/>
                <w:kern w:val="0"/>
                <w14:ligatures w14:val="none"/>
              </w:rPr>
            </w:pPr>
            <w:r w:rsidRPr="00CF0A96">
              <w:rPr>
                <w:rFonts w:ascii="Times New Roman" w:eastAsia="Times New Roman" w:hAnsi="Times New Roman" w:cs="Times New Roman"/>
                <w:b/>
                <w:bCs/>
                <w:color w:val="000000"/>
                <w:kern w:val="0"/>
                <w14:ligatures w14:val="none"/>
              </w:rPr>
              <w:t>381</w:t>
            </w:r>
          </w:p>
        </w:tc>
      </w:tr>
    </w:tbl>
    <w:commentRangeEnd w:id="12"/>
    <w:p w14:paraId="510924B5" w14:textId="77777777" w:rsidR="00E57E39" w:rsidRPr="00CF0A96" w:rsidRDefault="0037429C" w:rsidP="00E57E39">
      <w:pPr>
        <w:spacing w:line="360" w:lineRule="auto"/>
        <w:jc w:val="both"/>
        <w:rPr>
          <w:rFonts w:ascii="Times New Roman" w:hAnsi="Times New Roman" w:cs="Times New Roman"/>
        </w:rPr>
      </w:pPr>
      <w:r>
        <w:rPr>
          <w:rStyle w:val="CommentReference"/>
        </w:rPr>
        <w:commentReference w:id="12"/>
      </w:r>
    </w:p>
    <w:p w14:paraId="2271BCA0"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employment generated by ATR contributes not only to household income but also to broader socio-ecological outcomes. Regular wage employment through forest protection and ecotourism reduces dependence on extractive forest uses such as fuelwood collection, grazing, and illicit NTFP harvesting. This indirect conservation benefit has been widely recognized in community-based conservation literature (</w:t>
      </w:r>
      <w:proofErr w:type="spellStart"/>
      <w:r w:rsidRPr="00CF0A96">
        <w:rPr>
          <w:rFonts w:ascii="Times New Roman" w:hAnsi="Times New Roman" w:cs="Times New Roman"/>
        </w:rPr>
        <w:t>Stronza</w:t>
      </w:r>
      <w:proofErr w:type="spellEnd"/>
      <w:r w:rsidRPr="00CF0A96">
        <w:rPr>
          <w:rFonts w:ascii="Times New Roman" w:hAnsi="Times New Roman" w:cs="Times New Roman"/>
        </w:rPr>
        <w:t>, 2007; Alam &amp; Nayak, 2025). Furthermore, employment enhances conservation awareness, skill development, and institutional trust between forest departments and local communities. Frontline workers act as intermediaries between management authorities and villages, facilitating conflict resolution and compliance with conservation regulations. Such social capital formation is a critical but often under-valued ecosystem service of protected areas (De Zoysa, 2022).</w:t>
      </w:r>
    </w:p>
    <w:p w14:paraId="35703EBE" w14:textId="77777777" w:rsidR="00E57E39" w:rsidRPr="00CF0A96" w:rsidRDefault="00E57E39" w:rsidP="00E57E39">
      <w:pPr>
        <w:spacing w:line="360" w:lineRule="auto"/>
        <w:jc w:val="both"/>
        <w:rPr>
          <w:rFonts w:ascii="Times New Roman" w:hAnsi="Times New Roman" w:cs="Times New Roman"/>
        </w:rPr>
      </w:pPr>
      <w:r w:rsidRPr="00CF0A96">
        <w:rPr>
          <w:rFonts w:ascii="Times New Roman" w:hAnsi="Times New Roman" w:cs="Times New Roman"/>
        </w:rPr>
        <w:t>The results highlight that employment generation should be recognized as a core conservation outcome, rather than a peripheral benefit. Strengthening local recruitment, expanding ecotourism roles, and ensuring fair wage structures can further enhance the socio-economic legitimacy of ATR. Integrating employment indicators into management effectiveness frameworks would allow a more holistic evaluation of tiger reserves, aligning biodiversity conservation with sustainable development goals.</w:t>
      </w:r>
      <w:commentRangeEnd w:id="8"/>
      <w:r w:rsidR="00D32366">
        <w:rPr>
          <w:rStyle w:val="CommentReference"/>
        </w:rPr>
        <w:commentReference w:id="8"/>
      </w:r>
    </w:p>
    <w:p w14:paraId="2E23BC2B" w14:textId="31158B7E" w:rsidR="00E57E39" w:rsidRPr="00CF0A96" w:rsidRDefault="00DE7DA5" w:rsidP="00501E6A">
      <w:pPr>
        <w:pStyle w:val="ListParagraph"/>
        <w:numPr>
          <w:ilvl w:val="0"/>
          <w:numId w:val="6"/>
        </w:numPr>
        <w:spacing w:line="360" w:lineRule="auto"/>
        <w:jc w:val="both"/>
        <w:rPr>
          <w:rFonts w:ascii="Times New Roman" w:hAnsi="Times New Roman" w:cs="Times New Roman"/>
          <w:b/>
          <w:bCs/>
        </w:rPr>
      </w:pPr>
      <w:commentRangeStart w:id="13"/>
      <w:r w:rsidRPr="00CF0A96">
        <w:rPr>
          <w:rFonts w:ascii="Times New Roman" w:hAnsi="Times New Roman" w:cs="Times New Roman"/>
          <w:b/>
          <w:bCs/>
        </w:rPr>
        <w:t>CONCLUSION</w:t>
      </w:r>
      <w:commentRangeEnd w:id="13"/>
      <w:r w:rsidR="00D32366">
        <w:rPr>
          <w:rStyle w:val="CommentReference"/>
        </w:rPr>
        <w:commentReference w:id="13"/>
      </w:r>
    </w:p>
    <w:p w14:paraId="2BF687E0" w14:textId="77777777" w:rsidR="00E57E39" w:rsidRPr="00CF0A96" w:rsidRDefault="00E57E39" w:rsidP="00216E74">
      <w:pPr>
        <w:spacing w:line="360" w:lineRule="auto"/>
        <w:jc w:val="both"/>
        <w:rPr>
          <w:rFonts w:ascii="Times New Roman" w:hAnsi="Times New Roman" w:cs="Times New Roman"/>
        </w:rPr>
      </w:pPr>
      <w:r w:rsidRPr="00CF0A96">
        <w:rPr>
          <w:rFonts w:ascii="Times New Roman" w:hAnsi="Times New Roman" w:cs="Times New Roman"/>
        </w:rPr>
        <w:t xml:space="preserve">The study highlights that employment generation is a significant direct-use ecosystem service of the Amrabad Tiger Reserve, demonstrating a strong linkage between biodiversity conservation and livelihood support. By providing employment to 381 individuals, ATR contributes substantially to income security and socio-economic stability of local and indigenous communities. The dominance of frontline protection, support services and tourism-related jobs underscores the </w:t>
      </w:r>
      <w:proofErr w:type="spellStart"/>
      <w:r w:rsidRPr="00CF0A96">
        <w:rPr>
          <w:rFonts w:ascii="Times New Roman" w:hAnsi="Times New Roman" w:cs="Times New Roman"/>
        </w:rPr>
        <w:t>labour-intensive</w:t>
      </w:r>
      <w:proofErr w:type="spellEnd"/>
      <w:r w:rsidRPr="00CF0A96">
        <w:rPr>
          <w:rFonts w:ascii="Times New Roman" w:hAnsi="Times New Roman" w:cs="Times New Roman"/>
        </w:rPr>
        <w:t xml:space="preserve"> nature of protected area management. Conservation-linked employment enhances community participation in forest protection and wildlife conservation. Strengthening inclusive governance and expanding skill-based and ecotourism opportunities can further reinforce sustainable livelihoods and long-term conservation outcomes.</w:t>
      </w:r>
    </w:p>
    <w:p w14:paraId="6A2D20C8" w14:textId="77777777" w:rsidR="00EA3821" w:rsidRDefault="00EA3821" w:rsidP="00E57E39">
      <w:pPr>
        <w:spacing w:line="276" w:lineRule="auto"/>
        <w:jc w:val="both"/>
        <w:rPr>
          <w:rFonts w:ascii="Times New Roman" w:hAnsi="Times New Roman" w:cs="Times New Roman"/>
          <w:b/>
          <w:bCs/>
        </w:rPr>
      </w:pPr>
    </w:p>
    <w:p w14:paraId="2BC77671" w14:textId="28D40E16" w:rsidR="00E57E39" w:rsidRPr="00CF0A96" w:rsidRDefault="00E57E39" w:rsidP="00E57E39">
      <w:pPr>
        <w:spacing w:line="276" w:lineRule="auto"/>
        <w:jc w:val="both"/>
        <w:rPr>
          <w:rFonts w:ascii="Times New Roman" w:hAnsi="Times New Roman" w:cs="Times New Roman"/>
          <w:b/>
          <w:bCs/>
        </w:rPr>
      </w:pPr>
      <w:commentRangeStart w:id="14"/>
      <w:r w:rsidRPr="00CF0A96">
        <w:rPr>
          <w:rFonts w:ascii="Times New Roman" w:hAnsi="Times New Roman" w:cs="Times New Roman"/>
          <w:b/>
          <w:bCs/>
        </w:rPr>
        <w:t>References:</w:t>
      </w:r>
      <w:commentRangeEnd w:id="14"/>
      <w:r w:rsidR="00D32366">
        <w:rPr>
          <w:rStyle w:val="CommentReference"/>
        </w:rPr>
        <w:commentReference w:id="14"/>
      </w:r>
    </w:p>
    <w:p w14:paraId="2EC70B66"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Alam, R., &amp; Nayak, D. (2025). Developing local support for wildlife conservation through community-based ecotourism: a study of Jim Corbett Tiger Reserve, India. </w:t>
      </w:r>
      <w:r w:rsidRPr="00CF0A96">
        <w:rPr>
          <w:rFonts w:ascii="Times New Roman" w:hAnsi="Times New Roman" w:cs="Times New Roman"/>
          <w:i/>
          <w:iCs/>
        </w:rPr>
        <w:t>Tourism Planning &amp; Development</w:t>
      </w:r>
      <w:r w:rsidRPr="00CF0A96">
        <w:rPr>
          <w:rFonts w:ascii="Times New Roman" w:hAnsi="Times New Roman" w:cs="Times New Roman"/>
        </w:rPr>
        <w:t>, </w:t>
      </w:r>
      <w:r w:rsidRPr="00CF0A96">
        <w:rPr>
          <w:rFonts w:ascii="Times New Roman" w:hAnsi="Times New Roman" w:cs="Times New Roman"/>
          <w:i/>
          <w:iCs/>
        </w:rPr>
        <w:t>22</w:t>
      </w:r>
      <w:r w:rsidRPr="00CF0A96">
        <w:rPr>
          <w:rFonts w:ascii="Times New Roman" w:hAnsi="Times New Roman" w:cs="Times New Roman"/>
        </w:rPr>
        <w:t>(2), 182-206.</w:t>
      </w:r>
    </w:p>
    <w:p w14:paraId="250D2617"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Bhushan, S., Dincă, I., Shikha, S. (2024). </w:t>
      </w:r>
      <w:r w:rsidRPr="00CF0A96">
        <w:rPr>
          <w:rFonts w:ascii="Times New Roman" w:hAnsi="Times New Roman" w:cs="Times New Roman"/>
        </w:rPr>
        <w:t xml:space="preserve">Evaluating local livelihoods, sustainable forest management, and the potential for ecotourism development in </w:t>
      </w:r>
      <w:proofErr w:type="spellStart"/>
      <w:r w:rsidRPr="00CF0A96">
        <w:rPr>
          <w:rFonts w:ascii="Times New Roman" w:hAnsi="Times New Roman" w:cs="Times New Roman"/>
        </w:rPr>
        <w:t>Kaimur</w:t>
      </w:r>
      <w:proofErr w:type="spellEnd"/>
      <w:r w:rsidRPr="00CF0A96">
        <w:rPr>
          <w:rFonts w:ascii="Times New Roman" w:hAnsi="Times New Roman" w:cs="Times New Roman"/>
        </w:rPr>
        <w:t xml:space="preserve"> Wildlife Sanctuary, India. </w:t>
      </w:r>
      <w:r w:rsidRPr="00CF0A96">
        <w:rPr>
          <w:rFonts w:ascii="Times New Roman" w:hAnsi="Times New Roman" w:cs="Times New Roman"/>
          <w:i/>
          <w:iCs/>
        </w:rPr>
        <w:t>Frontiers in Forests and Global Change</w:t>
      </w:r>
      <w:r w:rsidRPr="00CF0A96">
        <w:rPr>
          <w:rFonts w:ascii="Times New Roman" w:hAnsi="Times New Roman" w:cs="Times New Roman"/>
        </w:rPr>
        <w:t>, </w:t>
      </w:r>
      <w:r w:rsidRPr="00CF0A96">
        <w:rPr>
          <w:rFonts w:ascii="Times New Roman" w:hAnsi="Times New Roman" w:cs="Times New Roman"/>
          <w:i/>
          <w:iCs/>
        </w:rPr>
        <w:t>7</w:t>
      </w:r>
      <w:r w:rsidRPr="00CF0A96">
        <w:rPr>
          <w:rFonts w:ascii="Times New Roman" w:hAnsi="Times New Roman" w:cs="Times New Roman"/>
        </w:rPr>
        <w:t>, 1491917.</w:t>
      </w:r>
    </w:p>
    <w:p w14:paraId="047B18A0"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Bushell, R.., McCool, S. F. (2007). Tourism as a tool for conservation and support of protected areas: setting the agenda.</w:t>
      </w:r>
    </w:p>
    <w:p w14:paraId="016C648E"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Coad, L., Campbell, A., Miles, L., Humphries, K. (2008). The costs and benefits of protected areas for local livelihoods: a review of the current literature. </w:t>
      </w:r>
      <w:r w:rsidRPr="00CF0A96">
        <w:rPr>
          <w:rFonts w:ascii="Times New Roman" w:hAnsi="Times New Roman" w:cs="Times New Roman"/>
          <w:i/>
          <w:iCs/>
        </w:rPr>
        <w:t>UNEP World Conservation Monitoring Centre, Cambridge, UK</w:t>
      </w:r>
      <w:r w:rsidRPr="00CF0A96">
        <w:rPr>
          <w:rFonts w:ascii="Times New Roman" w:hAnsi="Times New Roman" w:cs="Times New Roman"/>
        </w:rPr>
        <w:t>.</w:t>
      </w:r>
    </w:p>
    <w:p w14:paraId="365A586E"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 xml:space="preserve">Islam, M. A., Rai, R., </w:t>
      </w:r>
      <w:proofErr w:type="spellStart"/>
      <w:r w:rsidRPr="00CF0A96">
        <w:rPr>
          <w:rFonts w:ascii="Times New Roman" w:hAnsi="Times New Roman" w:cs="Times New Roman"/>
        </w:rPr>
        <w:t>Quli</w:t>
      </w:r>
      <w:proofErr w:type="spellEnd"/>
      <w:r w:rsidRPr="00CF0A96">
        <w:rPr>
          <w:rFonts w:ascii="Times New Roman" w:hAnsi="Times New Roman" w:cs="Times New Roman"/>
        </w:rPr>
        <w:t xml:space="preserve">, S. M. S. (2014). Manpower potential, employment status and </w:t>
      </w:r>
      <w:proofErr w:type="gramStart"/>
      <w:r w:rsidRPr="00CF0A96">
        <w:rPr>
          <w:rFonts w:ascii="Times New Roman" w:hAnsi="Times New Roman" w:cs="Times New Roman"/>
        </w:rPr>
        <w:t>forest based</w:t>
      </w:r>
      <w:proofErr w:type="gramEnd"/>
      <w:r w:rsidRPr="00CF0A96">
        <w:rPr>
          <w:rFonts w:ascii="Times New Roman" w:hAnsi="Times New Roman" w:cs="Times New Roman"/>
        </w:rPr>
        <w:t xml:space="preserve"> livelihood opportunities among tribal communities of Jharkhand, India. </w:t>
      </w:r>
      <w:r w:rsidRPr="00CF0A96">
        <w:rPr>
          <w:rFonts w:ascii="Times New Roman" w:hAnsi="Times New Roman" w:cs="Times New Roman"/>
          <w:i/>
          <w:iCs/>
        </w:rPr>
        <w:t>Journal of Human Ecology</w:t>
      </w:r>
      <w:r w:rsidRPr="00CF0A96">
        <w:rPr>
          <w:rFonts w:ascii="Times New Roman" w:hAnsi="Times New Roman" w:cs="Times New Roman"/>
        </w:rPr>
        <w:t>, </w:t>
      </w:r>
      <w:r w:rsidRPr="00CF0A96">
        <w:rPr>
          <w:rFonts w:ascii="Times New Roman" w:hAnsi="Times New Roman" w:cs="Times New Roman"/>
          <w:i/>
          <w:iCs/>
        </w:rPr>
        <w:t>47</w:t>
      </w:r>
      <w:r w:rsidRPr="00CF0A96">
        <w:rPr>
          <w:rFonts w:ascii="Times New Roman" w:hAnsi="Times New Roman" w:cs="Times New Roman"/>
        </w:rPr>
        <w:t>(3), 305-315.</w:t>
      </w:r>
    </w:p>
    <w:p w14:paraId="42FF3A52"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Jackson, L. A. (2025). Community-based tourism: a catalyst for achieving the United Nations sustainable development goals one and eight. </w:t>
      </w:r>
      <w:r w:rsidRPr="00CF0A96">
        <w:rPr>
          <w:rFonts w:ascii="Times New Roman" w:hAnsi="Times New Roman" w:cs="Times New Roman"/>
          <w:i/>
          <w:iCs/>
        </w:rPr>
        <w:t>Tourism and Hospitality</w:t>
      </w:r>
      <w:r w:rsidRPr="00CF0A96">
        <w:rPr>
          <w:rFonts w:ascii="Times New Roman" w:hAnsi="Times New Roman" w:cs="Times New Roman"/>
        </w:rPr>
        <w:t>, </w:t>
      </w:r>
      <w:r w:rsidRPr="00CF0A96">
        <w:rPr>
          <w:rFonts w:ascii="Times New Roman" w:hAnsi="Times New Roman" w:cs="Times New Roman"/>
          <w:i/>
          <w:iCs/>
        </w:rPr>
        <w:t>6</w:t>
      </w:r>
      <w:r w:rsidRPr="00CF0A96">
        <w:rPr>
          <w:rFonts w:ascii="Times New Roman" w:hAnsi="Times New Roman" w:cs="Times New Roman"/>
        </w:rPr>
        <w:t>(1), 29.</w:t>
      </w:r>
    </w:p>
    <w:p w14:paraId="647CBD28"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Lundmark, L. J., Fredman, P., Sandell, K. (2010). </w:t>
      </w:r>
      <w:r w:rsidRPr="00CF0A96">
        <w:rPr>
          <w:rFonts w:ascii="Times New Roman" w:hAnsi="Times New Roman" w:cs="Times New Roman"/>
        </w:rPr>
        <w:t>National parks and protected areas and the role for employment in tourism and forest sectors: A Swedish case. </w:t>
      </w:r>
      <w:r w:rsidRPr="00CF0A96">
        <w:rPr>
          <w:rFonts w:ascii="Times New Roman" w:hAnsi="Times New Roman" w:cs="Times New Roman"/>
          <w:i/>
          <w:iCs/>
        </w:rPr>
        <w:t>Ecology and Society</w:t>
      </w:r>
      <w:r w:rsidRPr="00CF0A96">
        <w:rPr>
          <w:rFonts w:ascii="Times New Roman" w:hAnsi="Times New Roman" w:cs="Times New Roman"/>
        </w:rPr>
        <w:t>, </w:t>
      </w:r>
      <w:r w:rsidRPr="00CF0A96">
        <w:rPr>
          <w:rFonts w:ascii="Times New Roman" w:hAnsi="Times New Roman" w:cs="Times New Roman"/>
          <w:i/>
          <w:iCs/>
        </w:rPr>
        <w:t>15</w:t>
      </w:r>
      <w:r w:rsidRPr="00CF0A96">
        <w:rPr>
          <w:rFonts w:ascii="Times New Roman" w:hAnsi="Times New Roman" w:cs="Times New Roman"/>
        </w:rPr>
        <w:t>(1).</w:t>
      </w:r>
    </w:p>
    <w:p w14:paraId="3D772B71"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Naidoo, R., Gerkey, D., Hole, D., Pfaff, A., Ellis, A. M., Golden, C. D., ... &amp; Fisher, B. (2019). Evaluating the impacts of protected areas on human well-being across the developing world. </w:t>
      </w:r>
      <w:r w:rsidRPr="00CF0A96">
        <w:rPr>
          <w:rFonts w:ascii="Times New Roman" w:hAnsi="Times New Roman" w:cs="Times New Roman"/>
          <w:i/>
          <w:iCs/>
        </w:rPr>
        <w:t>Science Advances</w:t>
      </w:r>
      <w:r w:rsidRPr="00CF0A96">
        <w:rPr>
          <w:rFonts w:ascii="Times New Roman" w:hAnsi="Times New Roman" w:cs="Times New Roman"/>
        </w:rPr>
        <w:t>, </w:t>
      </w:r>
      <w:r w:rsidRPr="00CF0A96">
        <w:rPr>
          <w:rFonts w:ascii="Times New Roman" w:hAnsi="Times New Roman" w:cs="Times New Roman"/>
          <w:i/>
          <w:iCs/>
        </w:rPr>
        <w:t>5</w:t>
      </w:r>
      <w:r w:rsidRPr="00CF0A96">
        <w:rPr>
          <w:rFonts w:ascii="Times New Roman" w:hAnsi="Times New Roman" w:cs="Times New Roman"/>
        </w:rPr>
        <w:t>(4), eaav3006.</w:t>
      </w:r>
    </w:p>
    <w:p w14:paraId="1FCA6FAF"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Naughton-Treves, L., Holland, M. B., Brandon, K. (2005). The role of protected areas in conserving biodiversity and sustaining local livelihoods. </w:t>
      </w:r>
      <w:r w:rsidRPr="00CF0A96">
        <w:rPr>
          <w:rFonts w:ascii="Times New Roman" w:hAnsi="Times New Roman" w:cs="Times New Roman"/>
          <w:i/>
          <w:iCs/>
        </w:rPr>
        <w:t xml:space="preserve">Annu. Rev. Environ. </w:t>
      </w:r>
      <w:proofErr w:type="spellStart"/>
      <w:r w:rsidRPr="00CF0A96">
        <w:rPr>
          <w:rFonts w:ascii="Times New Roman" w:hAnsi="Times New Roman" w:cs="Times New Roman"/>
          <w:i/>
          <w:iCs/>
        </w:rPr>
        <w:t>Resour</w:t>
      </w:r>
      <w:proofErr w:type="spellEnd"/>
      <w:r w:rsidRPr="00CF0A96">
        <w:rPr>
          <w:rFonts w:ascii="Times New Roman" w:hAnsi="Times New Roman" w:cs="Times New Roman"/>
          <w:i/>
          <w:iCs/>
        </w:rPr>
        <w:t>.</w:t>
      </w:r>
      <w:r w:rsidRPr="00CF0A96">
        <w:rPr>
          <w:rFonts w:ascii="Times New Roman" w:hAnsi="Times New Roman" w:cs="Times New Roman"/>
        </w:rPr>
        <w:t>, </w:t>
      </w:r>
      <w:r w:rsidRPr="00CF0A96">
        <w:rPr>
          <w:rFonts w:ascii="Times New Roman" w:hAnsi="Times New Roman" w:cs="Times New Roman"/>
          <w:i/>
          <w:iCs/>
        </w:rPr>
        <w:t>30</w:t>
      </w:r>
      <w:r w:rsidRPr="00CF0A96">
        <w:rPr>
          <w:rFonts w:ascii="Times New Roman" w:hAnsi="Times New Roman" w:cs="Times New Roman"/>
        </w:rPr>
        <w:t>(1), 219-252.</w:t>
      </w:r>
    </w:p>
    <w:p w14:paraId="342B5A0D"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Paul, S., Chakrabarti, S. (2011). Socio-economic issues in forest management in India. </w:t>
      </w:r>
      <w:r w:rsidRPr="00CF0A96">
        <w:rPr>
          <w:rFonts w:ascii="Times New Roman" w:hAnsi="Times New Roman" w:cs="Times New Roman"/>
          <w:i/>
          <w:iCs/>
        </w:rPr>
        <w:t>Forest Policy and Economics</w:t>
      </w:r>
      <w:r w:rsidRPr="00CF0A96">
        <w:rPr>
          <w:rFonts w:ascii="Times New Roman" w:hAnsi="Times New Roman" w:cs="Times New Roman"/>
        </w:rPr>
        <w:t>, </w:t>
      </w:r>
      <w:r w:rsidRPr="00CF0A96">
        <w:rPr>
          <w:rFonts w:ascii="Times New Roman" w:hAnsi="Times New Roman" w:cs="Times New Roman"/>
          <w:i/>
          <w:iCs/>
        </w:rPr>
        <w:t>13</w:t>
      </w:r>
      <w:r w:rsidRPr="00CF0A96">
        <w:rPr>
          <w:rFonts w:ascii="Times New Roman" w:hAnsi="Times New Roman" w:cs="Times New Roman"/>
        </w:rPr>
        <w:t>(1), 55-60.</w:t>
      </w:r>
    </w:p>
    <w:p w14:paraId="7E2A7784" w14:textId="2DCC85F6" w:rsidR="003A469C" w:rsidRPr="00CF0A96" w:rsidRDefault="003A469C" w:rsidP="00E57E39">
      <w:pPr>
        <w:jc w:val="both"/>
        <w:rPr>
          <w:rFonts w:ascii="Times New Roman" w:hAnsi="Times New Roman" w:cs="Times New Roman"/>
          <w:lang w:val="nn-NO"/>
        </w:rPr>
      </w:pPr>
      <w:r w:rsidRPr="00CF0A96">
        <w:rPr>
          <w:rFonts w:ascii="Times New Roman" w:hAnsi="Times New Roman" w:cs="Times New Roman"/>
          <w:lang w:val="nn-NO"/>
        </w:rPr>
        <w:t xml:space="preserve">Peng, J., Li, J., Peng, L., Zhang, Y. (2025). </w:t>
      </w:r>
      <w:r w:rsidRPr="00CF0A96">
        <w:rPr>
          <w:rFonts w:ascii="Times New Roman" w:hAnsi="Times New Roman" w:cs="Times New Roman"/>
        </w:rPr>
        <w:t>Forest Ecosystem Conservation Through Rural Tourism and Ecosystem Services: A Systematic Review. </w:t>
      </w:r>
      <w:r w:rsidRPr="00CF0A96">
        <w:rPr>
          <w:rFonts w:ascii="Times New Roman" w:hAnsi="Times New Roman" w:cs="Times New Roman"/>
          <w:i/>
          <w:iCs/>
          <w:lang w:val="nn-NO"/>
        </w:rPr>
        <w:t>Forests</w:t>
      </w:r>
      <w:r w:rsidRPr="00CF0A96">
        <w:rPr>
          <w:rFonts w:ascii="Times New Roman" w:hAnsi="Times New Roman" w:cs="Times New Roman"/>
          <w:lang w:val="nn-NO"/>
        </w:rPr>
        <w:t>, </w:t>
      </w:r>
      <w:r w:rsidRPr="00CF0A96">
        <w:rPr>
          <w:rFonts w:ascii="Times New Roman" w:hAnsi="Times New Roman" w:cs="Times New Roman"/>
          <w:i/>
          <w:iCs/>
          <w:lang w:val="nn-NO"/>
        </w:rPr>
        <w:t>16</w:t>
      </w:r>
      <w:r w:rsidRPr="00CF0A96">
        <w:rPr>
          <w:rFonts w:ascii="Times New Roman" w:hAnsi="Times New Roman" w:cs="Times New Roman"/>
          <w:lang w:val="nn-NO"/>
        </w:rPr>
        <w:t>(10), 1559.</w:t>
      </w:r>
    </w:p>
    <w:p w14:paraId="3E37F824" w14:textId="77777777" w:rsidR="003A469C" w:rsidRPr="00CF0A96" w:rsidRDefault="003A469C" w:rsidP="00E57E39">
      <w:pPr>
        <w:spacing w:before="240" w:line="360" w:lineRule="auto"/>
        <w:jc w:val="both"/>
        <w:rPr>
          <w:rFonts w:ascii="Times New Roman" w:hAnsi="Times New Roman" w:cs="Times New Roman"/>
          <w:lang w:val="nn-NO"/>
        </w:rPr>
      </w:pPr>
      <w:r w:rsidRPr="00CF0A96">
        <w:rPr>
          <w:rFonts w:ascii="Times New Roman" w:hAnsi="Times New Roman" w:cs="Times New Roman"/>
          <w:lang w:val="nn-NO"/>
        </w:rPr>
        <w:t>Prasad, S., Kumar, V.V., Ramana, B.V., Babitha. (2014). Tiger Conservation Plan (2014-2015 to 2023 – 2024), Nagarjunasagar Srisailam Tiger Reserve – Telangana Part. Telangana State Forest Department. 296pp.</w:t>
      </w:r>
    </w:p>
    <w:p w14:paraId="04375A38" w14:textId="53EBC4E0"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Pujar, S. C.,  Mishra, N. R. (2025). </w:t>
      </w:r>
      <w:r w:rsidRPr="00CF0A96">
        <w:rPr>
          <w:rFonts w:ascii="Times New Roman" w:hAnsi="Times New Roman" w:cs="Times New Roman"/>
        </w:rPr>
        <w:t>Beyond the forests: ecotourism and sustainable livelihoods in Karnataka’s protected landscapes. </w:t>
      </w:r>
      <w:r w:rsidRPr="00CF0A96">
        <w:rPr>
          <w:rFonts w:ascii="Times New Roman" w:hAnsi="Times New Roman" w:cs="Times New Roman"/>
          <w:i/>
          <w:iCs/>
        </w:rPr>
        <w:t>Current Issues in Tourism</w:t>
      </w:r>
      <w:r w:rsidRPr="00CF0A96">
        <w:rPr>
          <w:rFonts w:ascii="Times New Roman" w:hAnsi="Times New Roman" w:cs="Times New Roman"/>
        </w:rPr>
        <w:t>, </w:t>
      </w:r>
      <w:r w:rsidRPr="00CF0A96">
        <w:rPr>
          <w:rFonts w:ascii="Times New Roman" w:hAnsi="Times New Roman" w:cs="Times New Roman"/>
          <w:i/>
          <w:iCs/>
        </w:rPr>
        <w:t>28</w:t>
      </w:r>
      <w:r w:rsidRPr="00CF0A96">
        <w:rPr>
          <w:rFonts w:ascii="Times New Roman" w:hAnsi="Times New Roman" w:cs="Times New Roman"/>
        </w:rPr>
        <w:t>(15), 2519-2536.</w:t>
      </w:r>
    </w:p>
    <w:p w14:paraId="5A8CC15A" w14:textId="16ECAAE8" w:rsidR="003A469C" w:rsidRPr="00CF0A96" w:rsidRDefault="003A469C" w:rsidP="00E57E39">
      <w:pPr>
        <w:jc w:val="both"/>
        <w:rPr>
          <w:rFonts w:ascii="Times New Roman" w:hAnsi="Times New Roman" w:cs="Times New Roman"/>
        </w:rPr>
      </w:pPr>
      <w:r w:rsidRPr="00CF0A96">
        <w:rPr>
          <w:rFonts w:ascii="Times New Roman" w:hAnsi="Times New Roman" w:cs="Times New Roman"/>
        </w:rPr>
        <w:t>Rajkumar, V.</w:t>
      </w:r>
      <w:proofErr w:type="gramStart"/>
      <w:r w:rsidRPr="00CF0A96">
        <w:rPr>
          <w:rFonts w:ascii="Times New Roman" w:hAnsi="Times New Roman" w:cs="Times New Roman"/>
        </w:rPr>
        <w:t>,  Boopathi</w:t>
      </w:r>
      <w:proofErr w:type="gramEnd"/>
      <w:r w:rsidRPr="00CF0A96">
        <w:rPr>
          <w:rFonts w:ascii="Times New Roman" w:hAnsi="Times New Roman" w:cs="Times New Roman"/>
        </w:rPr>
        <w:t xml:space="preserve">, S. (2022). Economic value of recreational benefits from the </w:t>
      </w:r>
      <w:proofErr w:type="spellStart"/>
      <w:r w:rsidRPr="00CF0A96">
        <w:rPr>
          <w:rFonts w:ascii="Times New Roman" w:hAnsi="Times New Roman" w:cs="Times New Roman"/>
        </w:rPr>
        <w:t>Mudumalai</w:t>
      </w:r>
      <w:proofErr w:type="spellEnd"/>
      <w:r w:rsidRPr="00CF0A96">
        <w:rPr>
          <w:rFonts w:ascii="Times New Roman" w:hAnsi="Times New Roman" w:cs="Times New Roman"/>
        </w:rPr>
        <w:t xml:space="preserve"> tiger reserve, Tamil Nadu, India: An individual Travel cost approach. </w:t>
      </w:r>
      <w:r w:rsidRPr="00CF0A96">
        <w:rPr>
          <w:rFonts w:ascii="Times New Roman" w:hAnsi="Times New Roman" w:cs="Times New Roman"/>
          <w:i/>
          <w:iCs/>
        </w:rPr>
        <w:t>Review of Development and Change</w:t>
      </w:r>
      <w:r w:rsidRPr="00CF0A96">
        <w:rPr>
          <w:rFonts w:ascii="Times New Roman" w:hAnsi="Times New Roman" w:cs="Times New Roman"/>
        </w:rPr>
        <w:t>, </w:t>
      </w:r>
      <w:r w:rsidRPr="00CF0A96">
        <w:rPr>
          <w:rFonts w:ascii="Times New Roman" w:hAnsi="Times New Roman" w:cs="Times New Roman"/>
          <w:i/>
          <w:iCs/>
        </w:rPr>
        <w:t>27</w:t>
      </w:r>
      <w:r w:rsidRPr="00CF0A96">
        <w:rPr>
          <w:rFonts w:ascii="Times New Roman" w:hAnsi="Times New Roman" w:cs="Times New Roman"/>
        </w:rPr>
        <w:t>(1), 102-121.</w:t>
      </w:r>
    </w:p>
    <w:p w14:paraId="64E27D93"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lang w:val="nn-NO"/>
        </w:rPr>
        <w:t xml:space="preserve">Shah, A., OG, S. (2009). </w:t>
      </w:r>
      <w:r w:rsidRPr="00CF0A96">
        <w:rPr>
          <w:rFonts w:ascii="Times New Roman" w:hAnsi="Times New Roman" w:cs="Times New Roman"/>
        </w:rPr>
        <w:t>Dwindling forest resources and economic vulnerability among tribal communities in a dry/sub‐humid region in India. </w:t>
      </w:r>
      <w:r w:rsidRPr="00CF0A96">
        <w:rPr>
          <w:rFonts w:ascii="Times New Roman" w:hAnsi="Times New Roman" w:cs="Times New Roman"/>
          <w:i/>
          <w:iCs/>
        </w:rPr>
        <w:t>Journal of International Development: The Journal of the Development Studies Association</w:t>
      </w:r>
      <w:r w:rsidRPr="00CF0A96">
        <w:rPr>
          <w:rFonts w:ascii="Times New Roman" w:hAnsi="Times New Roman" w:cs="Times New Roman"/>
        </w:rPr>
        <w:t>, </w:t>
      </w:r>
      <w:r w:rsidRPr="00CF0A96">
        <w:rPr>
          <w:rFonts w:ascii="Times New Roman" w:hAnsi="Times New Roman" w:cs="Times New Roman"/>
          <w:i/>
          <w:iCs/>
        </w:rPr>
        <w:t>21</w:t>
      </w:r>
      <w:r w:rsidRPr="00CF0A96">
        <w:rPr>
          <w:rFonts w:ascii="Times New Roman" w:hAnsi="Times New Roman" w:cs="Times New Roman"/>
        </w:rPr>
        <w:t>(3), 419-432.</w:t>
      </w:r>
    </w:p>
    <w:p w14:paraId="5FF84F1C"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Sharma, S., Sood, S., Chaudhry, P. (2020). Protected areas, tourism economy and employment generation: A case study from India. </w:t>
      </w:r>
      <w:r w:rsidRPr="00CF0A96">
        <w:rPr>
          <w:rFonts w:ascii="Times New Roman" w:hAnsi="Times New Roman" w:cs="Times New Roman"/>
          <w:i/>
          <w:iCs/>
        </w:rPr>
        <w:t>Ecological Questions</w:t>
      </w:r>
      <w:r w:rsidRPr="00CF0A96">
        <w:rPr>
          <w:rFonts w:ascii="Times New Roman" w:hAnsi="Times New Roman" w:cs="Times New Roman"/>
        </w:rPr>
        <w:t>, </w:t>
      </w:r>
      <w:r w:rsidRPr="00CF0A96">
        <w:rPr>
          <w:rFonts w:ascii="Times New Roman" w:hAnsi="Times New Roman" w:cs="Times New Roman"/>
          <w:i/>
          <w:iCs/>
        </w:rPr>
        <w:t>31</w:t>
      </w:r>
      <w:r w:rsidRPr="00CF0A96">
        <w:rPr>
          <w:rFonts w:ascii="Times New Roman" w:hAnsi="Times New Roman" w:cs="Times New Roman"/>
        </w:rPr>
        <w:t>(1), 23-33.</w:t>
      </w:r>
    </w:p>
    <w:p w14:paraId="18B98073" w14:textId="77777777" w:rsidR="003A469C" w:rsidRPr="00CF0A96" w:rsidRDefault="003A469C" w:rsidP="00E57E39">
      <w:pPr>
        <w:spacing w:before="240" w:line="360" w:lineRule="auto"/>
        <w:jc w:val="both"/>
        <w:rPr>
          <w:rFonts w:ascii="Times New Roman" w:hAnsi="Times New Roman" w:cs="Times New Roman"/>
        </w:rPr>
      </w:pPr>
      <w:r w:rsidRPr="00CF0A96">
        <w:rPr>
          <w:rFonts w:ascii="Times New Roman" w:hAnsi="Times New Roman" w:cs="Times New Roman"/>
        </w:rPr>
        <w:t xml:space="preserve">Soman, D. (2022). Assessment of Ecosystem Services from </w:t>
      </w:r>
      <w:proofErr w:type="spellStart"/>
      <w:r w:rsidRPr="00CF0A96">
        <w:rPr>
          <w:rFonts w:ascii="Times New Roman" w:hAnsi="Times New Roman" w:cs="Times New Roman"/>
        </w:rPr>
        <w:t>Parambikulam</w:t>
      </w:r>
      <w:proofErr w:type="spellEnd"/>
      <w:r w:rsidRPr="00CF0A96">
        <w:rPr>
          <w:rFonts w:ascii="Times New Roman" w:hAnsi="Times New Roman" w:cs="Times New Roman"/>
        </w:rPr>
        <w:t xml:space="preserve"> Tiger Reserve. Cochin University of Science and Technology. Kochi, Kerala.176p.</w:t>
      </w:r>
    </w:p>
    <w:p w14:paraId="1F817BFE"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 xml:space="preserve">Stone, M. T., </w:t>
      </w:r>
      <w:proofErr w:type="spellStart"/>
      <w:r w:rsidRPr="00CF0A96">
        <w:rPr>
          <w:rFonts w:ascii="Times New Roman" w:hAnsi="Times New Roman" w:cs="Times New Roman"/>
        </w:rPr>
        <w:t>Nyaupane</w:t>
      </w:r>
      <w:proofErr w:type="spellEnd"/>
      <w:r w:rsidRPr="00CF0A96">
        <w:rPr>
          <w:rFonts w:ascii="Times New Roman" w:hAnsi="Times New Roman" w:cs="Times New Roman"/>
        </w:rPr>
        <w:t>, G. P. (2016). Protected areas, tourism and community livelihoods linkages: A comprehensive analysis approach. </w:t>
      </w:r>
      <w:r w:rsidRPr="00CF0A96">
        <w:rPr>
          <w:rFonts w:ascii="Times New Roman" w:hAnsi="Times New Roman" w:cs="Times New Roman"/>
          <w:i/>
          <w:iCs/>
        </w:rPr>
        <w:t>Journal of Sustainable Tourism</w:t>
      </w:r>
      <w:r w:rsidRPr="00CF0A96">
        <w:rPr>
          <w:rFonts w:ascii="Times New Roman" w:hAnsi="Times New Roman" w:cs="Times New Roman"/>
        </w:rPr>
        <w:t>, </w:t>
      </w:r>
      <w:r w:rsidRPr="00CF0A96">
        <w:rPr>
          <w:rFonts w:ascii="Times New Roman" w:hAnsi="Times New Roman" w:cs="Times New Roman"/>
          <w:i/>
          <w:iCs/>
        </w:rPr>
        <w:t>24</w:t>
      </w:r>
      <w:r w:rsidRPr="00CF0A96">
        <w:rPr>
          <w:rFonts w:ascii="Times New Roman" w:hAnsi="Times New Roman" w:cs="Times New Roman"/>
        </w:rPr>
        <w:t>(5), 673-693.</w:t>
      </w:r>
    </w:p>
    <w:p w14:paraId="457E8C4D" w14:textId="77777777" w:rsidR="003A469C" w:rsidRPr="00CF0A96" w:rsidRDefault="003A469C" w:rsidP="00E57E39">
      <w:pPr>
        <w:spacing w:before="240" w:line="360" w:lineRule="auto"/>
        <w:jc w:val="both"/>
        <w:rPr>
          <w:rFonts w:ascii="Times New Roman" w:hAnsi="Times New Roman" w:cs="Times New Roman"/>
        </w:rPr>
      </w:pPr>
      <w:r w:rsidRPr="00CF0A96">
        <w:rPr>
          <w:rFonts w:ascii="Times New Roman" w:hAnsi="Times New Roman" w:cs="Times New Roman"/>
        </w:rPr>
        <w:t xml:space="preserve">Verma, M, Tiwari C, Anand, S, </w:t>
      </w:r>
      <w:proofErr w:type="spellStart"/>
      <w:r w:rsidRPr="00CF0A96">
        <w:rPr>
          <w:rFonts w:ascii="Times New Roman" w:hAnsi="Times New Roman" w:cs="Times New Roman"/>
        </w:rPr>
        <w:t>Edgaonkar</w:t>
      </w:r>
      <w:proofErr w:type="spellEnd"/>
      <w:r w:rsidRPr="00CF0A96">
        <w:rPr>
          <w:rFonts w:ascii="Times New Roman" w:hAnsi="Times New Roman" w:cs="Times New Roman"/>
        </w:rPr>
        <w:t xml:space="preserve">, A, David, A, </w:t>
      </w:r>
      <w:proofErr w:type="spellStart"/>
      <w:r w:rsidRPr="00CF0A96">
        <w:rPr>
          <w:rFonts w:ascii="Times New Roman" w:hAnsi="Times New Roman" w:cs="Times New Roman"/>
        </w:rPr>
        <w:t>Kadekodi</w:t>
      </w:r>
      <w:proofErr w:type="spellEnd"/>
      <w:r w:rsidRPr="00CF0A96">
        <w:rPr>
          <w:rFonts w:ascii="Times New Roman" w:hAnsi="Times New Roman" w:cs="Times New Roman"/>
        </w:rPr>
        <w:t xml:space="preserve">, G, Ninan K.N, Sharma P, Panda P, </w:t>
      </w:r>
      <w:proofErr w:type="spellStart"/>
      <w:r w:rsidRPr="00CF0A96">
        <w:rPr>
          <w:rFonts w:ascii="Times New Roman" w:hAnsi="Times New Roman" w:cs="Times New Roman"/>
        </w:rPr>
        <w:t>Thatey</w:t>
      </w:r>
      <w:proofErr w:type="spellEnd"/>
      <w:r w:rsidRPr="00CF0A96">
        <w:rPr>
          <w:rFonts w:ascii="Times New Roman" w:hAnsi="Times New Roman" w:cs="Times New Roman"/>
        </w:rPr>
        <w:t>. Z. (2019). Economic Valuation of Tiger Reserves in India: Phase-II. Indian Institute of Forest Management. Bhopal, India. 296p.</w:t>
      </w:r>
    </w:p>
    <w:p w14:paraId="22D93553" w14:textId="77777777" w:rsidR="003A469C" w:rsidRPr="00CF0A96" w:rsidRDefault="003A469C" w:rsidP="00E57E39">
      <w:pPr>
        <w:jc w:val="both"/>
        <w:rPr>
          <w:rFonts w:ascii="Times New Roman" w:hAnsi="Times New Roman" w:cs="Times New Roman"/>
        </w:rPr>
      </w:pPr>
      <w:r w:rsidRPr="00CF0A96">
        <w:rPr>
          <w:rFonts w:ascii="Times New Roman" w:hAnsi="Times New Roman" w:cs="Times New Roman"/>
        </w:rPr>
        <w:t>Ward, C., Stringer, L. C., and Holmes, G. (2018). Protected area co-management and perceived livelihood impacts. </w:t>
      </w:r>
      <w:r w:rsidRPr="00CF0A96">
        <w:rPr>
          <w:rFonts w:ascii="Times New Roman" w:hAnsi="Times New Roman" w:cs="Times New Roman"/>
          <w:i/>
          <w:iCs/>
        </w:rPr>
        <w:t>Journal of Environmental Management</w:t>
      </w:r>
      <w:r w:rsidRPr="00CF0A96">
        <w:rPr>
          <w:rFonts w:ascii="Times New Roman" w:hAnsi="Times New Roman" w:cs="Times New Roman"/>
        </w:rPr>
        <w:t>, </w:t>
      </w:r>
      <w:r w:rsidRPr="00CF0A96">
        <w:rPr>
          <w:rFonts w:ascii="Times New Roman" w:hAnsi="Times New Roman" w:cs="Times New Roman"/>
          <w:i/>
          <w:iCs/>
        </w:rPr>
        <w:t>228</w:t>
      </w:r>
      <w:r w:rsidRPr="00CF0A96">
        <w:rPr>
          <w:rFonts w:ascii="Times New Roman" w:hAnsi="Times New Roman" w:cs="Times New Roman"/>
        </w:rPr>
        <w:t>, 1-12.</w:t>
      </w:r>
    </w:p>
    <w:p w14:paraId="01DF7258" w14:textId="0856A3B2" w:rsidR="003A469C" w:rsidRPr="00CF0A96" w:rsidRDefault="003A469C" w:rsidP="00E57E39">
      <w:pPr>
        <w:jc w:val="both"/>
        <w:rPr>
          <w:rFonts w:ascii="Times New Roman" w:hAnsi="Times New Roman" w:cs="Times New Roman"/>
        </w:rPr>
      </w:pPr>
      <w:r w:rsidRPr="00CF0A96">
        <w:rPr>
          <w:rFonts w:ascii="Times New Roman" w:hAnsi="Times New Roman" w:cs="Times New Roman"/>
        </w:rPr>
        <w:t>Yadav, S.</w:t>
      </w:r>
      <w:r w:rsidR="004B3EF8" w:rsidRPr="00CF0A96">
        <w:rPr>
          <w:rFonts w:ascii="Times New Roman" w:hAnsi="Times New Roman" w:cs="Times New Roman"/>
        </w:rPr>
        <w:t xml:space="preserve"> </w:t>
      </w:r>
      <w:r w:rsidRPr="00CF0A96">
        <w:rPr>
          <w:rFonts w:ascii="Times New Roman" w:hAnsi="Times New Roman" w:cs="Times New Roman"/>
        </w:rPr>
        <w:t>P., Tiwari, V.</w:t>
      </w:r>
      <w:r w:rsidR="004B3EF8" w:rsidRPr="00CF0A96">
        <w:rPr>
          <w:rFonts w:ascii="Times New Roman" w:hAnsi="Times New Roman" w:cs="Times New Roman"/>
        </w:rPr>
        <w:t xml:space="preserve"> </w:t>
      </w:r>
      <w:r w:rsidRPr="00CF0A96">
        <w:rPr>
          <w:rFonts w:ascii="Times New Roman" w:hAnsi="Times New Roman" w:cs="Times New Roman"/>
        </w:rPr>
        <w:t xml:space="preserve">R., Mallick, A., </w:t>
      </w:r>
      <w:proofErr w:type="spellStart"/>
      <w:r w:rsidRPr="00CF0A96">
        <w:rPr>
          <w:rFonts w:ascii="Times New Roman" w:hAnsi="Times New Roman" w:cs="Times New Roman"/>
        </w:rPr>
        <w:t>Garawad</w:t>
      </w:r>
      <w:proofErr w:type="spellEnd"/>
      <w:r w:rsidRPr="00CF0A96">
        <w:rPr>
          <w:rFonts w:ascii="Times New Roman" w:hAnsi="Times New Roman" w:cs="Times New Roman"/>
        </w:rPr>
        <w:t>, R., Talukdar, G., Sultan, S., Ansari, N.A., Banerjee, K.</w:t>
      </w:r>
      <w:r w:rsidR="005A486E" w:rsidRPr="00CF0A96">
        <w:rPr>
          <w:rFonts w:ascii="Times New Roman" w:hAnsi="Times New Roman" w:cs="Times New Roman"/>
        </w:rPr>
        <w:t>,</w:t>
      </w:r>
      <w:r w:rsidRPr="00CF0A96">
        <w:rPr>
          <w:rFonts w:ascii="Times New Roman" w:hAnsi="Times New Roman" w:cs="Times New Roman"/>
        </w:rPr>
        <w:t xml:space="preserve"> Das, A. 2023. Management Effectiveness Evaluation of Tiger Reserves in India, 2022 (Fifth Cycle), Summary Report. Wildlife Institute of India, Dehradun and National Tiger Conservation Authority, Government of India, New Delhi.</w:t>
      </w:r>
    </w:p>
    <w:p w14:paraId="74324E7E" w14:textId="77777777" w:rsidR="003A469C" w:rsidRPr="00B872C5" w:rsidRDefault="003A469C" w:rsidP="00E57E39">
      <w:pPr>
        <w:jc w:val="both"/>
        <w:rPr>
          <w:rFonts w:ascii="Times New Roman" w:hAnsi="Times New Roman" w:cs="Times New Roman"/>
        </w:rPr>
      </w:pPr>
      <w:r w:rsidRPr="00CF0A96">
        <w:rPr>
          <w:rFonts w:ascii="Times New Roman" w:hAnsi="Times New Roman" w:cs="Times New Roman"/>
        </w:rPr>
        <w:t>Zoysa, M. D. (2022). Forest-based ecotourism in Sri Lanka: a review on state of governance, livelihoods, and forest conservation outcomes. </w:t>
      </w:r>
      <w:r w:rsidRPr="00CF0A96">
        <w:rPr>
          <w:rFonts w:ascii="Times New Roman" w:hAnsi="Times New Roman" w:cs="Times New Roman"/>
          <w:i/>
          <w:iCs/>
        </w:rPr>
        <w:t>Journal of Sustainable Forestry</w:t>
      </w:r>
      <w:r w:rsidRPr="00CF0A96">
        <w:rPr>
          <w:rFonts w:ascii="Times New Roman" w:hAnsi="Times New Roman" w:cs="Times New Roman"/>
        </w:rPr>
        <w:t>, </w:t>
      </w:r>
      <w:r w:rsidRPr="00CF0A96">
        <w:rPr>
          <w:rFonts w:ascii="Times New Roman" w:hAnsi="Times New Roman" w:cs="Times New Roman"/>
          <w:i/>
          <w:iCs/>
        </w:rPr>
        <w:t>41</w:t>
      </w:r>
      <w:r w:rsidRPr="00CF0A96">
        <w:rPr>
          <w:rFonts w:ascii="Times New Roman" w:hAnsi="Times New Roman" w:cs="Times New Roman"/>
        </w:rPr>
        <w:t>(3-5), 413-439.</w:t>
      </w:r>
    </w:p>
    <w:p w14:paraId="7AD9B939" w14:textId="77777777" w:rsidR="00E57E39" w:rsidRPr="00721594" w:rsidRDefault="00E57E39" w:rsidP="00E57E39">
      <w:pPr>
        <w:spacing w:line="360" w:lineRule="auto"/>
        <w:jc w:val="both"/>
        <w:rPr>
          <w:rFonts w:ascii="Times New Roman" w:hAnsi="Times New Roman" w:cs="Times New Roman"/>
        </w:rPr>
      </w:pPr>
    </w:p>
    <w:p w14:paraId="46973C44" w14:textId="7B3B0477" w:rsidR="00BF5666" w:rsidRPr="00E57E39" w:rsidRDefault="00D32366" w:rsidP="00E57E39">
      <w:commentRangeStart w:id="15"/>
      <w:r>
        <w:t xml:space="preserve">Totally </w:t>
      </w:r>
      <w:commentRangeEnd w:id="15"/>
      <w:r>
        <w:rPr>
          <w:rStyle w:val="CommentReference"/>
        </w:rPr>
        <w:commentReference w:id="15"/>
      </w:r>
    </w:p>
    <w:sectPr w:rsidR="00BF5666" w:rsidRPr="00E57E3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ro Danano" w:date="2026-01-30T09:49:00Z" w:initials="KD">
    <w:p w14:paraId="0E6706F8" w14:textId="77777777" w:rsidR="00390F37" w:rsidRPr="00DB47AD" w:rsidRDefault="00390F37" w:rsidP="00390F37">
      <w:pPr>
        <w:numPr>
          <w:ilvl w:val="0"/>
          <w:numId w:val="8"/>
        </w:numPr>
        <w:spacing w:line="259" w:lineRule="auto"/>
      </w:pPr>
      <w:r>
        <w:rPr>
          <w:rStyle w:val="CommentReference"/>
        </w:rPr>
        <w:annotationRef/>
      </w:r>
      <w:r w:rsidRPr="00DB47AD">
        <w:t>Abstract lacks methodological specificity</w:t>
      </w:r>
    </w:p>
    <w:p w14:paraId="21831A8F" w14:textId="77777777" w:rsidR="00390F37" w:rsidRPr="00DB47AD" w:rsidRDefault="00390F37" w:rsidP="00390F37">
      <w:pPr>
        <w:numPr>
          <w:ilvl w:val="0"/>
          <w:numId w:val="8"/>
        </w:numPr>
        <w:spacing w:line="259" w:lineRule="auto"/>
      </w:pPr>
      <w:r w:rsidRPr="00DB47AD">
        <w:t>No numerical highlights</w:t>
      </w:r>
    </w:p>
    <w:p w14:paraId="3D9E97D9" w14:textId="77777777" w:rsidR="00390F37" w:rsidRPr="00DB47AD" w:rsidRDefault="00390F37" w:rsidP="00390F37">
      <w:pPr>
        <w:numPr>
          <w:ilvl w:val="0"/>
          <w:numId w:val="8"/>
        </w:numPr>
        <w:spacing w:line="259" w:lineRule="auto"/>
      </w:pPr>
      <w:r w:rsidRPr="00DB47AD">
        <w:t>No stated limitation</w:t>
      </w:r>
    </w:p>
    <w:p w14:paraId="4DA45255" w14:textId="77777777" w:rsidR="00390F37" w:rsidRPr="00DB47AD" w:rsidRDefault="00390F37" w:rsidP="00390F37">
      <w:pPr>
        <w:spacing w:line="259" w:lineRule="auto"/>
      </w:pPr>
      <w:r w:rsidRPr="00DB47AD">
        <w:rPr>
          <w:b/>
          <w:bCs/>
        </w:rPr>
        <w:t>Required Revisions:</w:t>
      </w:r>
    </w:p>
    <w:p w14:paraId="33F75987" w14:textId="77777777" w:rsidR="00390F37" w:rsidRPr="00DB47AD" w:rsidRDefault="00390F37" w:rsidP="00390F37">
      <w:pPr>
        <w:numPr>
          <w:ilvl w:val="0"/>
          <w:numId w:val="9"/>
        </w:numPr>
        <w:spacing w:line="259" w:lineRule="auto"/>
      </w:pPr>
      <w:r w:rsidRPr="00DB47AD">
        <w:t>Add method type (survey/database/records analysis)</w:t>
      </w:r>
    </w:p>
    <w:p w14:paraId="333250EF" w14:textId="77777777" w:rsidR="00390F37" w:rsidRPr="00DB47AD" w:rsidRDefault="00390F37" w:rsidP="00390F37">
      <w:pPr>
        <w:numPr>
          <w:ilvl w:val="0"/>
          <w:numId w:val="9"/>
        </w:numPr>
        <w:spacing w:line="259" w:lineRule="auto"/>
      </w:pPr>
      <w:r w:rsidRPr="00DB47AD">
        <w:t>Include 2–3 key quantitative findings</w:t>
      </w:r>
    </w:p>
    <w:p w14:paraId="2C579FD7" w14:textId="77777777" w:rsidR="00390F37" w:rsidRPr="00DB47AD" w:rsidRDefault="00390F37" w:rsidP="00390F37">
      <w:pPr>
        <w:numPr>
          <w:ilvl w:val="0"/>
          <w:numId w:val="9"/>
        </w:numPr>
        <w:spacing w:line="259" w:lineRule="auto"/>
      </w:pPr>
      <w:r w:rsidRPr="00DB47AD">
        <w:t>Add one limitation sentence</w:t>
      </w:r>
    </w:p>
    <w:p w14:paraId="389BCBBB" w14:textId="77777777" w:rsidR="00390F37" w:rsidRPr="00DB47AD" w:rsidRDefault="00390F37" w:rsidP="00390F37">
      <w:pPr>
        <w:numPr>
          <w:ilvl w:val="0"/>
          <w:numId w:val="9"/>
        </w:numPr>
        <w:spacing w:line="259" w:lineRule="auto"/>
      </w:pPr>
      <w:r w:rsidRPr="00DB47AD">
        <w:t>Clarify employment categories measured</w:t>
      </w:r>
    </w:p>
    <w:p w14:paraId="5E6EFEB1" w14:textId="083426A5" w:rsidR="00390F37" w:rsidRDefault="00390F37">
      <w:pPr>
        <w:pStyle w:val="CommentText"/>
      </w:pPr>
    </w:p>
  </w:comment>
  <w:comment w:id="2" w:author="Kero Danano" w:date="2026-01-30T09:52:00Z" w:initials="KD">
    <w:p w14:paraId="43E11C76" w14:textId="6BA0A015" w:rsidR="00390F37" w:rsidRDefault="00390F37">
      <w:pPr>
        <w:pStyle w:val="CommentText"/>
      </w:pPr>
      <w:r>
        <w:rPr>
          <w:rStyle w:val="CommentReference"/>
        </w:rPr>
        <w:annotationRef/>
      </w:r>
      <w:r>
        <w:t xml:space="preserve">Needs current citation </w:t>
      </w:r>
    </w:p>
  </w:comment>
  <w:comment w:id="3" w:author="Kero Danano" w:date="2026-01-30T09:54:00Z" w:initials="KD">
    <w:p w14:paraId="16E96974" w14:textId="60133E1E" w:rsidR="00330202" w:rsidRDefault="00330202">
      <w:pPr>
        <w:pStyle w:val="CommentText"/>
      </w:pPr>
      <w:r>
        <w:rPr>
          <w:rStyle w:val="CommentReference"/>
        </w:rPr>
        <w:annotationRef/>
      </w:r>
      <w:r>
        <w:t>Too old</w:t>
      </w:r>
    </w:p>
  </w:comment>
  <w:comment w:id="4" w:author="Kero Danano" w:date="2026-01-30T09:52:00Z" w:initials="KD">
    <w:p w14:paraId="02031CEE" w14:textId="02F54875" w:rsidR="00390F37" w:rsidRDefault="00390F37">
      <w:pPr>
        <w:pStyle w:val="CommentText"/>
      </w:pPr>
      <w:r>
        <w:rPr>
          <w:rStyle w:val="CommentReference"/>
        </w:rPr>
        <w:annotationRef/>
      </w:r>
      <w:r w:rsidR="00330202">
        <w:t>Old it should not be more than 10 yrs</w:t>
      </w:r>
    </w:p>
  </w:comment>
  <w:comment w:id="1" w:author="Kero Danano" w:date="2026-01-30T10:01:00Z" w:initials="KD">
    <w:p w14:paraId="0521291F" w14:textId="7BDEB94B" w:rsidR="00330202" w:rsidRPr="00DB47AD" w:rsidRDefault="00330202" w:rsidP="00330202">
      <w:pPr>
        <w:spacing w:line="259" w:lineRule="auto"/>
      </w:pPr>
      <w:r>
        <w:rPr>
          <w:rStyle w:val="CommentReference"/>
        </w:rPr>
        <w:annotationRef/>
      </w:r>
      <w:r w:rsidRPr="00DB47AD">
        <w:rPr>
          <w:b/>
          <w:bCs/>
        </w:rPr>
        <w:t>Issues</w:t>
      </w:r>
      <w:r>
        <w:rPr>
          <w:b/>
          <w:bCs/>
        </w:rPr>
        <w:t xml:space="preserve"> like:</w:t>
      </w:r>
    </w:p>
    <w:p w14:paraId="643333D8" w14:textId="77777777" w:rsidR="00330202" w:rsidRPr="00DB47AD" w:rsidRDefault="00330202" w:rsidP="00330202">
      <w:pPr>
        <w:numPr>
          <w:ilvl w:val="0"/>
          <w:numId w:val="10"/>
        </w:numPr>
        <w:spacing w:line="259" w:lineRule="auto"/>
      </w:pPr>
      <w:r w:rsidRPr="00DB47AD">
        <w:t>Literature gap not sharply defined</w:t>
      </w:r>
    </w:p>
    <w:p w14:paraId="1B58DE68" w14:textId="77777777" w:rsidR="00330202" w:rsidRPr="00DB47AD" w:rsidRDefault="00330202" w:rsidP="00330202">
      <w:pPr>
        <w:numPr>
          <w:ilvl w:val="0"/>
          <w:numId w:val="10"/>
        </w:numPr>
        <w:spacing w:line="259" w:lineRule="auto"/>
      </w:pPr>
      <w:r w:rsidRPr="00DB47AD">
        <w:t>Too general background</w:t>
      </w:r>
    </w:p>
    <w:p w14:paraId="3B58F5B4" w14:textId="77777777" w:rsidR="00330202" w:rsidRPr="00DB47AD" w:rsidRDefault="00330202" w:rsidP="00330202">
      <w:pPr>
        <w:numPr>
          <w:ilvl w:val="0"/>
          <w:numId w:val="10"/>
        </w:numPr>
        <w:spacing w:line="259" w:lineRule="auto"/>
      </w:pPr>
      <w:r w:rsidRPr="00DB47AD">
        <w:t>Limited global comparison</w:t>
      </w:r>
    </w:p>
    <w:p w14:paraId="5ED6BD86" w14:textId="77777777" w:rsidR="00330202" w:rsidRPr="00DB47AD" w:rsidRDefault="00330202" w:rsidP="00330202">
      <w:pPr>
        <w:spacing w:line="259" w:lineRule="auto"/>
      </w:pPr>
      <w:r w:rsidRPr="00DB47AD">
        <w:rPr>
          <w:b/>
          <w:bCs/>
        </w:rPr>
        <w:t>Required Revisions:</w:t>
      </w:r>
    </w:p>
    <w:p w14:paraId="6F31B44A" w14:textId="77777777" w:rsidR="00330202" w:rsidRPr="00DB47AD" w:rsidRDefault="00330202" w:rsidP="00330202">
      <w:pPr>
        <w:numPr>
          <w:ilvl w:val="0"/>
          <w:numId w:val="11"/>
        </w:numPr>
        <w:spacing w:line="259" w:lineRule="auto"/>
      </w:pPr>
      <w:r w:rsidRPr="00DB47AD">
        <w:t>Add 3–5 recent peer-reviewed studies on:</w:t>
      </w:r>
    </w:p>
    <w:p w14:paraId="60DE6953" w14:textId="77777777" w:rsidR="00330202" w:rsidRPr="00DB47AD" w:rsidRDefault="00330202" w:rsidP="00330202">
      <w:pPr>
        <w:numPr>
          <w:ilvl w:val="1"/>
          <w:numId w:val="11"/>
        </w:numPr>
        <w:spacing w:line="259" w:lineRule="auto"/>
      </w:pPr>
      <w:r w:rsidRPr="00DB47AD">
        <w:t>protected area employment</w:t>
      </w:r>
    </w:p>
    <w:p w14:paraId="4F7B8B77" w14:textId="77777777" w:rsidR="00330202" w:rsidRPr="00DB47AD" w:rsidRDefault="00330202" w:rsidP="00330202">
      <w:pPr>
        <w:numPr>
          <w:ilvl w:val="1"/>
          <w:numId w:val="11"/>
        </w:numPr>
        <w:spacing w:line="259" w:lineRule="auto"/>
      </w:pPr>
      <w:r w:rsidRPr="00DB47AD">
        <w:t>conservation livelihood linkages</w:t>
      </w:r>
    </w:p>
    <w:p w14:paraId="51A226CD" w14:textId="77777777" w:rsidR="00330202" w:rsidRPr="00DB47AD" w:rsidRDefault="00330202" w:rsidP="00330202">
      <w:pPr>
        <w:numPr>
          <w:ilvl w:val="0"/>
          <w:numId w:val="11"/>
        </w:numPr>
        <w:spacing w:line="259" w:lineRule="auto"/>
      </w:pPr>
      <w:r w:rsidRPr="00DB47AD">
        <w:t xml:space="preserve">Explicitly state </w:t>
      </w:r>
      <w:r w:rsidRPr="00DB47AD">
        <w:rPr>
          <w:b/>
          <w:bCs/>
        </w:rPr>
        <w:t>research gap</w:t>
      </w:r>
    </w:p>
    <w:p w14:paraId="54B766C1" w14:textId="77777777" w:rsidR="00330202" w:rsidRPr="00DB47AD" w:rsidRDefault="00330202" w:rsidP="00330202">
      <w:pPr>
        <w:numPr>
          <w:ilvl w:val="0"/>
          <w:numId w:val="11"/>
        </w:numPr>
        <w:spacing w:line="259" w:lineRule="auto"/>
      </w:pPr>
      <w:r w:rsidRPr="00DB47AD">
        <w:t>Strengthen problem statement</w:t>
      </w:r>
    </w:p>
    <w:p w14:paraId="1AEDE39D" w14:textId="77777777" w:rsidR="00330202" w:rsidRPr="00DB47AD" w:rsidRDefault="00330202" w:rsidP="00330202">
      <w:pPr>
        <w:numPr>
          <w:ilvl w:val="0"/>
          <w:numId w:val="11"/>
        </w:numPr>
        <w:spacing w:line="259" w:lineRule="auto"/>
      </w:pPr>
      <w:r w:rsidRPr="00DB47AD">
        <w:t>Add theoretical framing paragraph</w:t>
      </w:r>
    </w:p>
    <w:p w14:paraId="7A91A0F5" w14:textId="3341CE49" w:rsidR="00330202" w:rsidRDefault="00330202">
      <w:pPr>
        <w:pStyle w:val="CommentText"/>
      </w:pPr>
    </w:p>
  </w:comment>
  <w:comment w:id="6" w:author="Kero Danano" w:date="2026-01-30T10:06:00Z" w:initials="KD">
    <w:p w14:paraId="5965D6D5" w14:textId="7EC6D99F" w:rsidR="006A5DF5" w:rsidRDefault="006A5DF5">
      <w:pPr>
        <w:pStyle w:val="CommentText"/>
      </w:pPr>
      <w:r>
        <w:rPr>
          <w:rStyle w:val="CommentReference"/>
        </w:rPr>
        <w:annotationRef/>
      </w:r>
      <w:r>
        <w:t xml:space="preserve">Poorly constructed not linked which one extracted from where needs Coordinate </w:t>
      </w:r>
      <w:proofErr w:type="gramStart"/>
      <w:r>
        <w:t>system,  size</w:t>
      </w:r>
      <w:proofErr w:type="gramEnd"/>
      <w:r>
        <w:t xml:space="preserve"> should 16 and Time new Romans</w:t>
      </w:r>
    </w:p>
  </w:comment>
  <w:comment w:id="5" w:author="Kero Danano" w:date="2026-01-30T10:02:00Z" w:initials="KD">
    <w:p w14:paraId="7EE2BF00" w14:textId="77777777" w:rsidR="006A5DF5" w:rsidRPr="00DB47AD" w:rsidRDefault="00330202" w:rsidP="006A5DF5">
      <w:pPr>
        <w:spacing w:line="259" w:lineRule="auto"/>
        <w:rPr>
          <w:rFonts w:ascii="Calibri" w:eastAsia="Calibri" w:hAnsi="Calibri" w:cs="Arial"/>
          <w:b/>
          <w:bCs/>
          <w:sz w:val="22"/>
          <w:szCs w:val="22"/>
        </w:rPr>
      </w:pPr>
      <w:r>
        <w:rPr>
          <w:rStyle w:val="CommentReference"/>
        </w:rPr>
        <w:annotationRef/>
      </w:r>
      <w:r w:rsidR="006A5DF5" w:rsidRPr="00DB47AD">
        <w:rPr>
          <w:rFonts w:ascii="Calibri" w:eastAsia="Calibri" w:hAnsi="Calibri" w:cs="Arial"/>
          <w:b/>
          <w:bCs/>
          <w:sz w:val="22"/>
          <w:szCs w:val="22"/>
        </w:rPr>
        <w:t>Study Area Description</w:t>
      </w:r>
    </w:p>
    <w:p w14:paraId="5BC653FE" w14:textId="77777777" w:rsidR="006A5DF5" w:rsidRPr="006A5DF5" w:rsidRDefault="006A5DF5" w:rsidP="006A5DF5">
      <w:pPr>
        <w:spacing w:line="259" w:lineRule="auto"/>
        <w:rPr>
          <w:rFonts w:ascii="Calibri" w:eastAsia="Calibri" w:hAnsi="Calibri" w:cs="Arial"/>
          <w:sz w:val="22"/>
          <w:szCs w:val="22"/>
        </w:rPr>
      </w:pPr>
      <w:r w:rsidRPr="006A5DF5">
        <w:rPr>
          <w:rFonts w:ascii="Calibri" w:eastAsia="Calibri" w:hAnsi="Calibri" w:cs="Arial"/>
          <w:b/>
          <w:bCs/>
          <w:sz w:val="22"/>
          <w:szCs w:val="22"/>
        </w:rPr>
        <w:t>Issues:</w:t>
      </w:r>
    </w:p>
    <w:p w14:paraId="62910DD0" w14:textId="01799217" w:rsidR="006A5DF5" w:rsidRPr="006A5DF5" w:rsidRDefault="006A5DF5" w:rsidP="006A5DF5">
      <w:pPr>
        <w:numPr>
          <w:ilvl w:val="0"/>
          <w:numId w:val="12"/>
        </w:numPr>
        <w:spacing w:line="259" w:lineRule="auto"/>
        <w:rPr>
          <w:rFonts w:ascii="Calibri" w:eastAsia="Calibri" w:hAnsi="Calibri" w:cs="Arial"/>
          <w:sz w:val="22"/>
          <w:szCs w:val="22"/>
        </w:rPr>
      </w:pPr>
      <w:r w:rsidRPr="006A5DF5">
        <w:rPr>
          <w:rFonts w:ascii="Calibri" w:eastAsia="Calibri" w:hAnsi="Calibri" w:cs="Arial"/>
          <w:sz w:val="22"/>
          <w:szCs w:val="22"/>
        </w:rPr>
        <w:t>Needs astronomical location Lat and Lon the map is poorly constructed needs clarity</w:t>
      </w:r>
    </w:p>
    <w:p w14:paraId="71CBDCE5" w14:textId="77777777" w:rsidR="006A5DF5" w:rsidRPr="006A5DF5" w:rsidRDefault="006A5DF5" w:rsidP="006A5DF5">
      <w:pPr>
        <w:numPr>
          <w:ilvl w:val="0"/>
          <w:numId w:val="12"/>
        </w:numPr>
        <w:spacing w:line="259" w:lineRule="auto"/>
        <w:rPr>
          <w:rFonts w:ascii="Calibri" w:eastAsia="Calibri" w:hAnsi="Calibri" w:cs="Arial"/>
          <w:sz w:val="22"/>
          <w:szCs w:val="22"/>
        </w:rPr>
      </w:pPr>
      <w:r w:rsidRPr="006A5DF5">
        <w:rPr>
          <w:rFonts w:ascii="Calibri" w:eastAsia="Calibri" w:hAnsi="Calibri" w:cs="Arial"/>
          <w:sz w:val="22"/>
          <w:szCs w:val="22"/>
        </w:rPr>
        <w:t>Socioeconomic context insufficient</w:t>
      </w:r>
    </w:p>
    <w:p w14:paraId="34E63275" w14:textId="77777777" w:rsidR="006A5DF5" w:rsidRPr="006A5DF5" w:rsidRDefault="006A5DF5" w:rsidP="006A5DF5">
      <w:pPr>
        <w:numPr>
          <w:ilvl w:val="0"/>
          <w:numId w:val="12"/>
        </w:numPr>
        <w:spacing w:line="259" w:lineRule="auto"/>
        <w:rPr>
          <w:rFonts w:ascii="Calibri" w:eastAsia="Calibri" w:hAnsi="Calibri" w:cs="Arial"/>
          <w:sz w:val="22"/>
          <w:szCs w:val="22"/>
        </w:rPr>
      </w:pPr>
      <w:r w:rsidRPr="006A5DF5">
        <w:rPr>
          <w:rFonts w:ascii="Calibri" w:eastAsia="Calibri" w:hAnsi="Calibri" w:cs="Arial"/>
          <w:sz w:val="22"/>
          <w:szCs w:val="22"/>
        </w:rPr>
        <w:t>Indigenous community characteristics under-described</w:t>
      </w:r>
    </w:p>
    <w:p w14:paraId="7E2A7051" w14:textId="77777777" w:rsidR="006A5DF5" w:rsidRPr="006A5DF5" w:rsidRDefault="006A5DF5" w:rsidP="006A5DF5">
      <w:pPr>
        <w:spacing w:line="259" w:lineRule="auto"/>
        <w:rPr>
          <w:rFonts w:ascii="Calibri" w:eastAsia="Calibri" w:hAnsi="Calibri" w:cs="Arial"/>
          <w:sz w:val="22"/>
          <w:szCs w:val="22"/>
        </w:rPr>
      </w:pPr>
      <w:r w:rsidRPr="006A5DF5">
        <w:rPr>
          <w:rFonts w:ascii="Calibri" w:eastAsia="Calibri" w:hAnsi="Calibri" w:cs="Arial"/>
          <w:b/>
          <w:bCs/>
          <w:sz w:val="22"/>
          <w:szCs w:val="22"/>
        </w:rPr>
        <w:t>Required Revisions:</w:t>
      </w:r>
    </w:p>
    <w:p w14:paraId="3D23CE02" w14:textId="77777777" w:rsidR="006A5DF5" w:rsidRPr="006A5DF5" w:rsidRDefault="006A5DF5" w:rsidP="006A5DF5">
      <w:pPr>
        <w:numPr>
          <w:ilvl w:val="0"/>
          <w:numId w:val="13"/>
        </w:numPr>
        <w:spacing w:line="259" w:lineRule="auto"/>
        <w:rPr>
          <w:rFonts w:ascii="Calibri" w:eastAsia="Calibri" w:hAnsi="Calibri" w:cs="Arial"/>
          <w:sz w:val="22"/>
          <w:szCs w:val="22"/>
        </w:rPr>
      </w:pPr>
      <w:r w:rsidRPr="006A5DF5">
        <w:rPr>
          <w:rFonts w:ascii="Calibri" w:eastAsia="Calibri" w:hAnsi="Calibri" w:cs="Arial"/>
          <w:sz w:val="22"/>
          <w:szCs w:val="22"/>
        </w:rPr>
        <w:t>Add demographic summary</w:t>
      </w:r>
    </w:p>
    <w:p w14:paraId="21A302DD" w14:textId="77777777" w:rsidR="006A5DF5" w:rsidRPr="006A5DF5" w:rsidRDefault="006A5DF5" w:rsidP="006A5DF5">
      <w:pPr>
        <w:numPr>
          <w:ilvl w:val="0"/>
          <w:numId w:val="13"/>
        </w:numPr>
        <w:spacing w:line="259" w:lineRule="auto"/>
        <w:rPr>
          <w:rFonts w:ascii="Calibri" w:eastAsia="Calibri" w:hAnsi="Calibri" w:cs="Arial"/>
          <w:sz w:val="22"/>
          <w:szCs w:val="22"/>
        </w:rPr>
      </w:pPr>
      <w:r w:rsidRPr="006A5DF5">
        <w:rPr>
          <w:rFonts w:ascii="Calibri" w:eastAsia="Calibri" w:hAnsi="Calibri" w:cs="Arial"/>
          <w:sz w:val="22"/>
          <w:szCs w:val="22"/>
        </w:rPr>
        <w:t>Include livelihood dependence context</w:t>
      </w:r>
    </w:p>
    <w:p w14:paraId="05B18D7D" w14:textId="77777777" w:rsidR="006A5DF5" w:rsidRPr="006A5DF5" w:rsidRDefault="006A5DF5" w:rsidP="006A5DF5">
      <w:pPr>
        <w:numPr>
          <w:ilvl w:val="0"/>
          <w:numId w:val="13"/>
        </w:numPr>
        <w:spacing w:line="259" w:lineRule="auto"/>
        <w:rPr>
          <w:rFonts w:ascii="Calibri" w:eastAsia="Calibri" w:hAnsi="Calibri" w:cs="Arial"/>
          <w:sz w:val="22"/>
          <w:szCs w:val="22"/>
        </w:rPr>
      </w:pPr>
      <w:r w:rsidRPr="006A5DF5">
        <w:rPr>
          <w:rFonts w:ascii="Calibri" w:eastAsia="Calibri" w:hAnsi="Calibri" w:cs="Arial"/>
          <w:sz w:val="22"/>
          <w:szCs w:val="22"/>
        </w:rPr>
        <w:t>Add map reference citation or figure source</w:t>
      </w:r>
    </w:p>
    <w:p w14:paraId="078DA68A" w14:textId="77777777" w:rsidR="006A5DF5" w:rsidRPr="006A5DF5" w:rsidRDefault="006A5DF5" w:rsidP="006A5DF5">
      <w:pPr>
        <w:spacing w:line="259" w:lineRule="auto"/>
        <w:rPr>
          <w:rFonts w:ascii="Calibri" w:eastAsia="Calibri" w:hAnsi="Calibri" w:cs="Arial"/>
          <w:sz w:val="22"/>
          <w:szCs w:val="22"/>
        </w:rPr>
      </w:pPr>
      <w:r w:rsidRPr="006A5DF5">
        <w:rPr>
          <w:rFonts w:ascii="Calibri" w:eastAsia="Calibri" w:hAnsi="Calibri" w:cs="Arial"/>
          <w:sz w:val="22"/>
          <w:szCs w:val="22"/>
        </w:rPr>
        <w:pict w14:anchorId="510D1B72">
          <v:rect id="_x0000_i1025" style="width:0;height:1.5pt" o:hralign="center" o:hrstd="t" o:hr="t" fillcolor="#a0a0a0" stroked="f"/>
        </w:pict>
      </w:r>
    </w:p>
    <w:p w14:paraId="603AC377" w14:textId="41F2BD74" w:rsidR="006A5DF5" w:rsidRPr="006A5DF5" w:rsidRDefault="006A5DF5" w:rsidP="006A5DF5">
      <w:pPr>
        <w:pStyle w:val="ListParagraph"/>
        <w:numPr>
          <w:ilvl w:val="0"/>
          <w:numId w:val="16"/>
        </w:numPr>
        <w:spacing w:line="259" w:lineRule="auto"/>
        <w:rPr>
          <w:rFonts w:ascii="Calibri" w:eastAsia="Calibri" w:hAnsi="Calibri" w:cs="Arial"/>
          <w:b/>
          <w:bCs/>
          <w:sz w:val="22"/>
          <w:szCs w:val="22"/>
        </w:rPr>
      </w:pPr>
      <w:r w:rsidRPr="006A5DF5">
        <w:rPr>
          <w:rFonts w:ascii="Calibri" w:eastAsia="Calibri" w:hAnsi="Calibri" w:cs="Arial"/>
          <w:b/>
          <w:bCs/>
          <w:sz w:val="22"/>
          <w:szCs w:val="22"/>
        </w:rPr>
        <w:t>Pages 4–5 — Methodology</w:t>
      </w:r>
    </w:p>
    <w:p w14:paraId="49698312" w14:textId="77777777" w:rsidR="006A5DF5" w:rsidRPr="006A5DF5" w:rsidRDefault="006A5DF5" w:rsidP="006A5DF5">
      <w:pPr>
        <w:spacing w:line="259" w:lineRule="auto"/>
        <w:rPr>
          <w:rFonts w:ascii="Calibri" w:eastAsia="Calibri" w:hAnsi="Calibri" w:cs="Arial"/>
          <w:sz w:val="22"/>
          <w:szCs w:val="22"/>
        </w:rPr>
      </w:pPr>
      <w:r w:rsidRPr="006A5DF5">
        <w:rPr>
          <w:rFonts w:ascii="Calibri" w:eastAsia="Calibri" w:hAnsi="Calibri" w:cs="Arial"/>
          <w:b/>
          <w:bCs/>
          <w:sz w:val="22"/>
          <w:szCs w:val="22"/>
        </w:rPr>
        <w:t>Major Weakness Section</w:t>
      </w:r>
    </w:p>
    <w:p w14:paraId="6FD63762" w14:textId="77777777" w:rsidR="006A5DF5" w:rsidRPr="006A5DF5" w:rsidRDefault="006A5DF5" w:rsidP="006A5DF5">
      <w:pPr>
        <w:spacing w:line="259" w:lineRule="auto"/>
        <w:rPr>
          <w:rFonts w:ascii="Calibri" w:eastAsia="Calibri" w:hAnsi="Calibri" w:cs="Arial"/>
          <w:sz w:val="22"/>
          <w:szCs w:val="22"/>
        </w:rPr>
      </w:pPr>
      <w:r w:rsidRPr="006A5DF5">
        <w:rPr>
          <w:rFonts w:ascii="Calibri" w:eastAsia="Calibri" w:hAnsi="Calibri" w:cs="Arial"/>
          <w:b/>
          <w:bCs/>
          <w:sz w:val="22"/>
          <w:szCs w:val="22"/>
        </w:rPr>
        <w:t>Issues:</w:t>
      </w:r>
    </w:p>
    <w:p w14:paraId="08178F62" w14:textId="77777777" w:rsidR="006A5DF5" w:rsidRPr="006A5DF5" w:rsidRDefault="006A5DF5" w:rsidP="006A5DF5">
      <w:pPr>
        <w:numPr>
          <w:ilvl w:val="0"/>
          <w:numId w:val="14"/>
        </w:numPr>
        <w:spacing w:line="259" w:lineRule="auto"/>
        <w:rPr>
          <w:rFonts w:ascii="Calibri" w:eastAsia="Calibri" w:hAnsi="Calibri" w:cs="Arial"/>
          <w:sz w:val="22"/>
          <w:szCs w:val="22"/>
        </w:rPr>
      </w:pPr>
      <w:r w:rsidRPr="006A5DF5">
        <w:rPr>
          <w:rFonts w:ascii="Calibri" w:eastAsia="Calibri" w:hAnsi="Calibri" w:cs="Arial"/>
          <w:sz w:val="22"/>
          <w:szCs w:val="22"/>
        </w:rPr>
        <w:t xml:space="preserve">Sampling strategy </w:t>
      </w:r>
      <w:proofErr w:type="gramStart"/>
      <w:r w:rsidRPr="006A5DF5">
        <w:rPr>
          <w:rFonts w:ascii="Calibri" w:eastAsia="Calibri" w:hAnsi="Calibri" w:cs="Arial"/>
          <w:sz w:val="22"/>
          <w:szCs w:val="22"/>
        </w:rPr>
        <w:t>unclear</w:t>
      </w:r>
      <w:proofErr w:type="gramEnd"/>
    </w:p>
    <w:p w14:paraId="0AE461EB" w14:textId="77777777" w:rsidR="006A5DF5" w:rsidRPr="006A5DF5" w:rsidRDefault="006A5DF5" w:rsidP="006A5DF5">
      <w:pPr>
        <w:numPr>
          <w:ilvl w:val="0"/>
          <w:numId w:val="14"/>
        </w:numPr>
        <w:spacing w:line="259" w:lineRule="auto"/>
        <w:rPr>
          <w:rFonts w:ascii="Calibri" w:eastAsia="Calibri" w:hAnsi="Calibri" w:cs="Arial"/>
          <w:sz w:val="22"/>
          <w:szCs w:val="22"/>
        </w:rPr>
      </w:pPr>
      <w:r w:rsidRPr="006A5DF5">
        <w:rPr>
          <w:rFonts w:ascii="Calibri" w:eastAsia="Calibri" w:hAnsi="Calibri" w:cs="Arial"/>
          <w:sz w:val="22"/>
          <w:szCs w:val="22"/>
        </w:rPr>
        <w:t>Data source verification missing</w:t>
      </w:r>
    </w:p>
    <w:p w14:paraId="768D3A80" w14:textId="77777777" w:rsidR="006A5DF5" w:rsidRPr="006A5DF5" w:rsidRDefault="006A5DF5" w:rsidP="006A5DF5">
      <w:pPr>
        <w:numPr>
          <w:ilvl w:val="0"/>
          <w:numId w:val="14"/>
        </w:numPr>
        <w:spacing w:line="259" w:lineRule="auto"/>
        <w:rPr>
          <w:rFonts w:ascii="Calibri" w:eastAsia="Calibri" w:hAnsi="Calibri" w:cs="Arial"/>
          <w:sz w:val="22"/>
          <w:szCs w:val="22"/>
        </w:rPr>
      </w:pPr>
      <w:r w:rsidRPr="006A5DF5">
        <w:rPr>
          <w:rFonts w:ascii="Calibri" w:eastAsia="Calibri" w:hAnsi="Calibri" w:cs="Arial"/>
          <w:sz w:val="22"/>
          <w:szCs w:val="22"/>
        </w:rPr>
        <w:t>No reliability or validation discussion</w:t>
      </w:r>
    </w:p>
    <w:p w14:paraId="230A414E" w14:textId="77777777" w:rsidR="006A5DF5" w:rsidRPr="006A5DF5" w:rsidRDefault="006A5DF5" w:rsidP="006A5DF5">
      <w:pPr>
        <w:numPr>
          <w:ilvl w:val="0"/>
          <w:numId w:val="14"/>
        </w:numPr>
        <w:spacing w:line="259" w:lineRule="auto"/>
        <w:rPr>
          <w:rFonts w:ascii="Calibri" w:eastAsia="Calibri" w:hAnsi="Calibri" w:cs="Arial"/>
          <w:sz w:val="22"/>
          <w:szCs w:val="22"/>
        </w:rPr>
      </w:pPr>
      <w:r w:rsidRPr="006A5DF5">
        <w:rPr>
          <w:rFonts w:ascii="Calibri" w:eastAsia="Calibri" w:hAnsi="Calibri" w:cs="Arial"/>
          <w:sz w:val="22"/>
          <w:szCs w:val="22"/>
        </w:rPr>
        <w:t>Analytical methods not sufficiently described</w:t>
      </w:r>
    </w:p>
    <w:p w14:paraId="5B780A1A" w14:textId="77777777" w:rsidR="006A5DF5" w:rsidRPr="006A5DF5" w:rsidRDefault="006A5DF5" w:rsidP="006A5DF5">
      <w:pPr>
        <w:spacing w:line="259" w:lineRule="auto"/>
        <w:rPr>
          <w:rFonts w:ascii="Calibri" w:eastAsia="Calibri" w:hAnsi="Calibri" w:cs="Arial"/>
          <w:sz w:val="22"/>
          <w:szCs w:val="22"/>
        </w:rPr>
      </w:pPr>
      <w:r w:rsidRPr="006A5DF5">
        <w:rPr>
          <w:rFonts w:ascii="Calibri" w:eastAsia="Calibri" w:hAnsi="Calibri" w:cs="Arial"/>
          <w:b/>
          <w:bCs/>
          <w:sz w:val="22"/>
          <w:szCs w:val="22"/>
        </w:rPr>
        <w:t>Required Revisions:</w:t>
      </w:r>
    </w:p>
    <w:p w14:paraId="27286D33" w14:textId="77777777" w:rsidR="006A5DF5" w:rsidRPr="006A5DF5" w:rsidRDefault="006A5DF5" w:rsidP="006A5DF5">
      <w:pPr>
        <w:numPr>
          <w:ilvl w:val="0"/>
          <w:numId w:val="15"/>
        </w:numPr>
        <w:spacing w:line="259" w:lineRule="auto"/>
        <w:rPr>
          <w:rFonts w:ascii="Calibri" w:eastAsia="Calibri" w:hAnsi="Calibri" w:cs="Arial"/>
          <w:sz w:val="22"/>
          <w:szCs w:val="22"/>
        </w:rPr>
      </w:pPr>
      <w:r w:rsidRPr="006A5DF5">
        <w:rPr>
          <w:rFonts w:ascii="Calibri" w:eastAsia="Calibri" w:hAnsi="Calibri" w:cs="Arial"/>
          <w:sz w:val="22"/>
          <w:szCs w:val="22"/>
        </w:rPr>
        <w:t>Specify:</w:t>
      </w:r>
    </w:p>
    <w:p w14:paraId="54F20AA1" w14:textId="77777777" w:rsidR="006A5DF5" w:rsidRPr="006A5DF5" w:rsidRDefault="006A5DF5" w:rsidP="006A5DF5">
      <w:pPr>
        <w:numPr>
          <w:ilvl w:val="1"/>
          <w:numId w:val="15"/>
        </w:numPr>
        <w:spacing w:line="259" w:lineRule="auto"/>
        <w:rPr>
          <w:rFonts w:ascii="Calibri" w:eastAsia="Calibri" w:hAnsi="Calibri" w:cs="Arial"/>
          <w:sz w:val="22"/>
          <w:szCs w:val="22"/>
        </w:rPr>
      </w:pPr>
      <w:r w:rsidRPr="006A5DF5">
        <w:rPr>
          <w:rFonts w:ascii="Calibri" w:eastAsia="Calibri" w:hAnsi="Calibri" w:cs="Arial"/>
          <w:sz w:val="22"/>
          <w:szCs w:val="22"/>
        </w:rPr>
        <w:t>sampling frame</w:t>
      </w:r>
    </w:p>
    <w:p w14:paraId="648E98CE" w14:textId="77777777" w:rsidR="006A5DF5" w:rsidRPr="006A5DF5" w:rsidRDefault="006A5DF5" w:rsidP="006A5DF5">
      <w:pPr>
        <w:numPr>
          <w:ilvl w:val="1"/>
          <w:numId w:val="15"/>
        </w:numPr>
        <w:spacing w:line="259" w:lineRule="auto"/>
        <w:rPr>
          <w:rFonts w:ascii="Calibri" w:eastAsia="Calibri" w:hAnsi="Calibri" w:cs="Arial"/>
          <w:sz w:val="22"/>
          <w:szCs w:val="22"/>
        </w:rPr>
      </w:pPr>
      <w:r w:rsidRPr="006A5DF5">
        <w:rPr>
          <w:rFonts w:ascii="Calibri" w:eastAsia="Calibri" w:hAnsi="Calibri" w:cs="Arial"/>
          <w:sz w:val="22"/>
          <w:szCs w:val="22"/>
        </w:rPr>
        <w:t>sample size justification</w:t>
      </w:r>
    </w:p>
    <w:p w14:paraId="4D88FA44" w14:textId="77777777" w:rsidR="006A5DF5" w:rsidRPr="006A5DF5" w:rsidRDefault="006A5DF5" w:rsidP="006A5DF5">
      <w:pPr>
        <w:numPr>
          <w:ilvl w:val="1"/>
          <w:numId w:val="15"/>
        </w:numPr>
        <w:spacing w:line="259" w:lineRule="auto"/>
        <w:rPr>
          <w:rFonts w:ascii="Calibri" w:eastAsia="Calibri" w:hAnsi="Calibri" w:cs="Arial"/>
          <w:sz w:val="22"/>
          <w:szCs w:val="22"/>
        </w:rPr>
      </w:pPr>
      <w:r w:rsidRPr="006A5DF5">
        <w:rPr>
          <w:rFonts w:ascii="Calibri" w:eastAsia="Calibri" w:hAnsi="Calibri" w:cs="Arial"/>
          <w:sz w:val="22"/>
          <w:szCs w:val="22"/>
        </w:rPr>
        <w:t>data collection protocol</w:t>
      </w:r>
    </w:p>
    <w:p w14:paraId="1AF5DDF8" w14:textId="77777777" w:rsidR="006A5DF5" w:rsidRPr="006A5DF5" w:rsidRDefault="006A5DF5" w:rsidP="006A5DF5">
      <w:pPr>
        <w:numPr>
          <w:ilvl w:val="1"/>
          <w:numId w:val="15"/>
        </w:numPr>
        <w:spacing w:line="259" w:lineRule="auto"/>
        <w:rPr>
          <w:rFonts w:ascii="Calibri" w:eastAsia="Calibri" w:hAnsi="Calibri" w:cs="Arial"/>
          <w:sz w:val="22"/>
          <w:szCs w:val="22"/>
        </w:rPr>
      </w:pPr>
      <w:r w:rsidRPr="006A5DF5">
        <w:rPr>
          <w:rFonts w:ascii="Calibri" w:eastAsia="Calibri" w:hAnsi="Calibri" w:cs="Arial"/>
          <w:sz w:val="22"/>
          <w:szCs w:val="22"/>
        </w:rPr>
        <w:t>time period coverage</w:t>
      </w:r>
    </w:p>
    <w:p w14:paraId="65512FB5" w14:textId="77777777" w:rsidR="006A5DF5" w:rsidRPr="006A5DF5" w:rsidRDefault="006A5DF5" w:rsidP="006A5DF5">
      <w:pPr>
        <w:numPr>
          <w:ilvl w:val="0"/>
          <w:numId w:val="15"/>
        </w:numPr>
        <w:spacing w:line="259" w:lineRule="auto"/>
        <w:rPr>
          <w:rFonts w:ascii="Calibri" w:eastAsia="Calibri" w:hAnsi="Calibri" w:cs="Arial"/>
          <w:sz w:val="22"/>
          <w:szCs w:val="22"/>
        </w:rPr>
      </w:pPr>
      <w:r w:rsidRPr="006A5DF5">
        <w:rPr>
          <w:rFonts w:ascii="Calibri" w:eastAsia="Calibri" w:hAnsi="Calibri" w:cs="Arial"/>
          <w:sz w:val="22"/>
          <w:szCs w:val="22"/>
        </w:rPr>
        <w:t>Add data validation method</w:t>
      </w:r>
    </w:p>
    <w:p w14:paraId="76A030EE" w14:textId="77777777" w:rsidR="006A5DF5" w:rsidRPr="006A5DF5" w:rsidRDefault="006A5DF5" w:rsidP="006A5DF5">
      <w:pPr>
        <w:numPr>
          <w:ilvl w:val="0"/>
          <w:numId w:val="15"/>
        </w:numPr>
        <w:spacing w:line="259" w:lineRule="auto"/>
        <w:rPr>
          <w:rFonts w:ascii="Calibri" w:eastAsia="Calibri" w:hAnsi="Calibri" w:cs="Arial"/>
          <w:sz w:val="22"/>
          <w:szCs w:val="22"/>
        </w:rPr>
      </w:pPr>
      <w:r w:rsidRPr="006A5DF5">
        <w:rPr>
          <w:rFonts w:ascii="Calibri" w:eastAsia="Calibri" w:hAnsi="Calibri" w:cs="Arial"/>
          <w:sz w:val="22"/>
          <w:szCs w:val="22"/>
        </w:rPr>
        <w:t>Explain classification categories</w:t>
      </w:r>
    </w:p>
    <w:p w14:paraId="7A82162A" w14:textId="77777777" w:rsidR="006A5DF5" w:rsidRPr="006A5DF5" w:rsidRDefault="006A5DF5" w:rsidP="006A5DF5">
      <w:pPr>
        <w:numPr>
          <w:ilvl w:val="0"/>
          <w:numId w:val="15"/>
        </w:numPr>
        <w:spacing w:line="259" w:lineRule="auto"/>
        <w:rPr>
          <w:rFonts w:ascii="Calibri" w:eastAsia="Calibri" w:hAnsi="Calibri" w:cs="Arial"/>
          <w:sz w:val="22"/>
          <w:szCs w:val="22"/>
        </w:rPr>
      </w:pPr>
      <w:r w:rsidRPr="006A5DF5">
        <w:rPr>
          <w:rFonts w:ascii="Calibri" w:eastAsia="Calibri" w:hAnsi="Calibri" w:cs="Arial"/>
          <w:sz w:val="22"/>
          <w:szCs w:val="22"/>
        </w:rPr>
        <w:t>Add limitations of data source</w:t>
      </w:r>
    </w:p>
    <w:p w14:paraId="6B994543" w14:textId="77777777" w:rsidR="006A5DF5" w:rsidRPr="006A5DF5" w:rsidRDefault="006A5DF5" w:rsidP="006A5DF5">
      <w:pPr>
        <w:numPr>
          <w:ilvl w:val="0"/>
          <w:numId w:val="15"/>
        </w:numPr>
        <w:spacing w:line="259" w:lineRule="auto"/>
        <w:rPr>
          <w:rFonts w:ascii="Calibri" w:eastAsia="Calibri" w:hAnsi="Calibri" w:cs="Arial"/>
          <w:sz w:val="22"/>
          <w:szCs w:val="22"/>
        </w:rPr>
      </w:pPr>
      <w:r w:rsidRPr="006A5DF5">
        <w:rPr>
          <w:rFonts w:ascii="Calibri" w:eastAsia="Calibri" w:hAnsi="Calibri" w:cs="Arial"/>
          <w:sz w:val="22"/>
          <w:szCs w:val="22"/>
        </w:rPr>
        <w:t>Clarify analytical/statistical procedures</w:t>
      </w:r>
    </w:p>
    <w:p w14:paraId="2A776530" w14:textId="72030CDA" w:rsidR="00330202" w:rsidRDefault="00330202">
      <w:pPr>
        <w:pStyle w:val="CommentText"/>
      </w:pPr>
    </w:p>
  </w:comment>
  <w:comment w:id="7" w:author="Kero Danano" w:date="2026-01-30T10:10:00Z" w:initials="KD">
    <w:p w14:paraId="19CACFB1" w14:textId="77777777" w:rsidR="006A5DF5" w:rsidRPr="00DB47AD" w:rsidRDefault="006A5DF5" w:rsidP="006A5DF5">
      <w:pPr>
        <w:spacing w:line="259" w:lineRule="auto"/>
        <w:rPr>
          <w:b/>
          <w:bCs/>
        </w:rPr>
      </w:pPr>
      <w:r>
        <w:rPr>
          <w:rStyle w:val="CommentReference"/>
        </w:rPr>
        <w:annotationRef/>
      </w:r>
      <w:r w:rsidRPr="00DB47AD">
        <w:rPr>
          <w:b/>
          <w:bCs/>
        </w:rPr>
        <w:t>Results</w:t>
      </w:r>
    </w:p>
    <w:p w14:paraId="148E7C97" w14:textId="77777777" w:rsidR="006A5DF5" w:rsidRPr="00DB47AD" w:rsidRDefault="006A5DF5" w:rsidP="006A5DF5">
      <w:pPr>
        <w:spacing w:line="259" w:lineRule="auto"/>
      </w:pPr>
      <w:r w:rsidRPr="00DB47AD">
        <w:rPr>
          <w:b/>
          <w:bCs/>
        </w:rPr>
        <w:t>Issues:</w:t>
      </w:r>
    </w:p>
    <w:p w14:paraId="394E64AE" w14:textId="77777777" w:rsidR="006A5DF5" w:rsidRPr="00DB47AD" w:rsidRDefault="006A5DF5" w:rsidP="006A5DF5">
      <w:pPr>
        <w:numPr>
          <w:ilvl w:val="0"/>
          <w:numId w:val="17"/>
        </w:numPr>
        <w:spacing w:line="259" w:lineRule="auto"/>
      </w:pPr>
      <w:r w:rsidRPr="00DB47AD">
        <w:t>Results mostly descriptive</w:t>
      </w:r>
    </w:p>
    <w:p w14:paraId="0F79270E" w14:textId="77777777" w:rsidR="006A5DF5" w:rsidRPr="00DB47AD" w:rsidRDefault="006A5DF5" w:rsidP="006A5DF5">
      <w:pPr>
        <w:numPr>
          <w:ilvl w:val="0"/>
          <w:numId w:val="17"/>
        </w:numPr>
        <w:spacing w:line="259" w:lineRule="auto"/>
      </w:pPr>
      <w:r w:rsidRPr="00DB47AD">
        <w:t>Limited statistical support</w:t>
      </w:r>
    </w:p>
    <w:p w14:paraId="35DBEE46" w14:textId="77777777" w:rsidR="006A5DF5" w:rsidRPr="00DB47AD" w:rsidRDefault="006A5DF5" w:rsidP="006A5DF5">
      <w:pPr>
        <w:numPr>
          <w:ilvl w:val="0"/>
          <w:numId w:val="17"/>
        </w:numPr>
        <w:spacing w:line="259" w:lineRule="auto"/>
      </w:pPr>
      <w:r w:rsidRPr="00DB47AD">
        <w:t>No uncertainty reporting</w:t>
      </w:r>
    </w:p>
    <w:p w14:paraId="5150B105" w14:textId="77777777" w:rsidR="006A5DF5" w:rsidRPr="00DB47AD" w:rsidRDefault="006A5DF5" w:rsidP="006A5DF5">
      <w:pPr>
        <w:spacing w:line="259" w:lineRule="auto"/>
      </w:pPr>
      <w:r w:rsidRPr="00DB47AD">
        <w:rPr>
          <w:b/>
          <w:bCs/>
        </w:rPr>
        <w:t>Required Revisions:</w:t>
      </w:r>
    </w:p>
    <w:p w14:paraId="1FA3F27F" w14:textId="77777777" w:rsidR="006A5DF5" w:rsidRPr="00DB47AD" w:rsidRDefault="006A5DF5" w:rsidP="006A5DF5">
      <w:pPr>
        <w:numPr>
          <w:ilvl w:val="0"/>
          <w:numId w:val="18"/>
        </w:numPr>
        <w:spacing w:line="259" w:lineRule="auto"/>
      </w:pPr>
      <w:r w:rsidRPr="00DB47AD">
        <w:t>Add:</w:t>
      </w:r>
    </w:p>
    <w:p w14:paraId="6F9AB844" w14:textId="77777777" w:rsidR="006A5DF5" w:rsidRPr="00DB47AD" w:rsidRDefault="006A5DF5" w:rsidP="006A5DF5">
      <w:pPr>
        <w:numPr>
          <w:ilvl w:val="1"/>
          <w:numId w:val="18"/>
        </w:numPr>
        <w:spacing w:line="259" w:lineRule="auto"/>
      </w:pPr>
      <w:r w:rsidRPr="00DB47AD">
        <w:t>percentage comparisons</w:t>
      </w:r>
    </w:p>
    <w:p w14:paraId="1D9C0982" w14:textId="77777777" w:rsidR="006A5DF5" w:rsidRPr="00DB47AD" w:rsidRDefault="006A5DF5" w:rsidP="006A5DF5">
      <w:pPr>
        <w:numPr>
          <w:ilvl w:val="1"/>
          <w:numId w:val="18"/>
        </w:numPr>
        <w:spacing w:line="259" w:lineRule="auto"/>
      </w:pPr>
      <w:r w:rsidRPr="00DB47AD">
        <w:t>trend interpretation</w:t>
      </w:r>
    </w:p>
    <w:p w14:paraId="06257CFF" w14:textId="77777777" w:rsidR="006A5DF5" w:rsidRPr="00DB47AD" w:rsidRDefault="006A5DF5" w:rsidP="006A5DF5">
      <w:pPr>
        <w:numPr>
          <w:ilvl w:val="1"/>
          <w:numId w:val="18"/>
        </w:numPr>
        <w:spacing w:line="259" w:lineRule="auto"/>
      </w:pPr>
      <w:r w:rsidRPr="00DB47AD">
        <w:t>ratio indicators</w:t>
      </w:r>
    </w:p>
    <w:p w14:paraId="67390206" w14:textId="77777777" w:rsidR="006A5DF5" w:rsidRPr="00DB47AD" w:rsidRDefault="006A5DF5" w:rsidP="006A5DF5">
      <w:pPr>
        <w:numPr>
          <w:ilvl w:val="0"/>
          <w:numId w:val="18"/>
        </w:numPr>
        <w:spacing w:line="259" w:lineRule="auto"/>
      </w:pPr>
      <w:r w:rsidRPr="00DB47AD">
        <w:t>Include summary statistics</w:t>
      </w:r>
    </w:p>
    <w:p w14:paraId="110F93A6" w14:textId="77777777" w:rsidR="006A5DF5" w:rsidRPr="00DB47AD" w:rsidRDefault="006A5DF5" w:rsidP="006A5DF5">
      <w:pPr>
        <w:numPr>
          <w:ilvl w:val="0"/>
          <w:numId w:val="18"/>
        </w:numPr>
        <w:spacing w:line="259" w:lineRule="auto"/>
      </w:pPr>
      <w:r w:rsidRPr="00DB47AD">
        <w:t>Add comparative interpretation across categories</w:t>
      </w:r>
    </w:p>
    <w:p w14:paraId="1D9FF743" w14:textId="77777777" w:rsidR="006A5DF5" w:rsidRPr="00DB47AD" w:rsidRDefault="006A5DF5" w:rsidP="006A5DF5">
      <w:pPr>
        <w:numPr>
          <w:ilvl w:val="0"/>
          <w:numId w:val="18"/>
        </w:numPr>
        <w:spacing w:line="259" w:lineRule="auto"/>
      </w:pPr>
      <w:r w:rsidRPr="00DB47AD">
        <w:t>Reduce repetition between text and tables</w:t>
      </w:r>
    </w:p>
    <w:p w14:paraId="1FE9D170" w14:textId="1CDD8269" w:rsidR="006A5DF5" w:rsidRDefault="006A5DF5">
      <w:pPr>
        <w:pStyle w:val="CommentText"/>
      </w:pPr>
    </w:p>
  </w:comment>
  <w:comment w:id="9" w:author="Kero Danano" w:date="2026-01-30T10:10:00Z" w:initials="KD">
    <w:p w14:paraId="29BE7B29" w14:textId="150A0603" w:rsidR="006A5DF5" w:rsidRDefault="006A5DF5">
      <w:pPr>
        <w:pStyle w:val="CommentText"/>
      </w:pPr>
      <w:r>
        <w:rPr>
          <w:rStyle w:val="CommentReference"/>
        </w:rPr>
        <w:annotationRef/>
      </w:r>
      <w:r>
        <w:t xml:space="preserve">Should be in the publication </w:t>
      </w:r>
      <w:r w:rsidR="00D32366">
        <w:t>standard for</w:t>
      </w:r>
      <w:r>
        <w:t xml:space="preserve"> instance </w:t>
      </w:r>
      <w:proofErr w:type="gramStart"/>
      <w:r>
        <w:t>as  I</w:t>
      </w:r>
      <w:proofErr w:type="gramEnd"/>
      <w:r>
        <w:t xml:space="preserve"> </w:t>
      </w:r>
      <w:r w:rsidR="00D32366">
        <w:t>made table</w:t>
      </w:r>
      <w:r>
        <w:t xml:space="preserve"> 1 as an Example </w:t>
      </w:r>
    </w:p>
  </w:comment>
  <w:comment w:id="10" w:author="Kero Danano" w:date="2026-01-30T10:13:00Z" w:initials="KD">
    <w:p w14:paraId="41124298" w14:textId="2696AEC1" w:rsidR="006A5DF5" w:rsidRDefault="006A5DF5">
      <w:pPr>
        <w:pStyle w:val="CommentText"/>
      </w:pPr>
      <w:r>
        <w:rPr>
          <w:rStyle w:val="CommentReference"/>
        </w:rPr>
        <w:annotationRef/>
      </w:r>
      <w:r>
        <w:t xml:space="preserve">It should </w:t>
      </w:r>
    </w:p>
  </w:comment>
  <w:comment w:id="11" w:author="Kero Danano" w:date="2026-01-30T10:23:00Z" w:initials="KD">
    <w:p w14:paraId="1E6DF4E0" w14:textId="246221AC" w:rsidR="0037429C" w:rsidRDefault="0037429C">
      <w:pPr>
        <w:pStyle w:val="CommentText"/>
      </w:pPr>
      <w:r>
        <w:rPr>
          <w:rStyle w:val="CommentReference"/>
        </w:rPr>
        <w:annotationRef/>
      </w:r>
      <w:r>
        <w:t>Should be to the standard</w:t>
      </w:r>
    </w:p>
  </w:comment>
  <w:comment w:id="12" w:author="Kero Danano" w:date="2026-01-30T10:23:00Z" w:initials="KD">
    <w:p w14:paraId="4F170A37" w14:textId="26EBE7B8" w:rsidR="0037429C" w:rsidRDefault="0037429C">
      <w:pPr>
        <w:pStyle w:val="CommentText"/>
      </w:pPr>
      <w:r>
        <w:rPr>
          <w:rStyle w:val="CommentReference"/>
        </w:rPr>
        <w:annotationRef/>
      </w:r>
      <w:r>
        <w:t xml:space="preserve">Should be to the standard </w:t>
      </w:r>
    </w:p>
  </w:comment>
  <w:comment w:id="8" w:author="Kero Danano" w:date="2026-01-30T10:34:00Z" w:initials="KD">
    <w:p w14:paraId="278E5B4C" w14:textId="77777777" w:rsidR="00D32366" w:rsidRPr="00DB47AD" w:rsidRDefault="00D32366" w:rsidP="00D32366">
      <w:pPr>
        <w:spacing w:line="259" w:lineRule="auto"/>
        <w:rPr>
          <w:b/>
          <w:bCs/>
        </w:rPr>
      </w:pPr>
      <w:r>
        <w:rPr>
          <w:rStyle w:val="CommentReference"/>
        </w:rPr>
        <w:annotationRef/>
      </w:r>
      <w:r w:rsidRPr="00DB47AD">
        <w:rPr>
          <w:b/>
          <w:bCs/>
        </w:rPr>
        <w:t>Discussion</w:t>
      </w:r>
    </w:p>
    <w:p w14:paraId="1B513E70" w14:textId="77777777" w:rsidR="00D32366" w:rsidRPr="00DB47AD" w:rsidRDefault="00D32366" w:rsidP="00D32366">
      <w:pPr>
        <w:spacing w:line="259" w:lineRule="auto"/>
      </w:pPr>
      <w:r w:rsidRPr="00DB47AD">
        <w:rPr>
          <w:b/>
          <w:bCs/>
        </w:rPr>
        <w:t>Major Revision Needed</w:t>
      </w:r>
    </w:p>
    <w:p w14:paraId="16D521A3" w14:textId="77777777" w:rsidR="00D32366" w:rsidRPr="00DB47AD" w:rsidRDefault="00D32366" w:rsidP="00D32366">
      <w:pPr>
        <w:spacing w:line="259" w:lineRule="auto"/>
      </w:pPr>
      <w:r w:rsidRPr="00DB47AD">
        <w:rPr>
          <w:b/>
          <w:bCs/>
        </w:rPr>
        <w:t>Issues:</w:t>
      </w:r>
    </w:p>
    <w:p w14:paraId="0978209E" w14:textId="77777777" w:rsidR="00D32366" w:rsidRPr="00DB47AD" w:rsidRDefault="00D32366" w:rsidP="00D32366">
      <w:pPr>
        <w:numPr>
          <w:ilvl w:val="0"/>
          <w:numId w:val="19"/>
        </w:numPr>
        <w:spacing w:line="259" w:lineRule="auto"/>
      </w:pPr>
      <w:r w:rsidRPr="00DB47AD">
        <w:t>Too descriptive</w:t>
      </w:r>
    </w:p>
    <w:p w14:paraId="6087FBED" w14:textId="77777777" w:rsidR="00D32366" w:rsidRPr="00DB47AD" w:rsidRDefault="00D32366" w:rsidP="00D32366">
      <w:pPr>
        <w:numPr>
          <w:ilvl w:val="0"/>
          <w:numId w:val="19"/>
        </w:numPr>
        <w:spacing w:line="259" w:lineRule="auto"/>
      </w:pPr>
      <w:r w:rsidRPr="00DB47AD">
        <w:t>Weak analytical linkage</w:t>
      </w:r>
    </w:p>
    <w:p w14:paraId="5BD8AB95" w14:textId="77777777" w:rsidR="00D32366" w:rsidRPr="00DB47AD" w:rsidRDefault="00D32366" w:rsidP="00D32366">
      <w:pPr>
        <w:numPr>
          <w:ilvl w:val="0"/>
          <w:numId w:val="19"/>
        </w:numPr>
        <w:spacing w:line="259" w:lineRule="auto"/>
      </w:pPr>
      <w:r w:rsidRPr="00DB47AD">
        <w:t>Limited engagement with literature</w:t>
      </w:r>
    </w:p>
    <w:p w14:paraId="223B4FF8" w14:textId="77777777" w:rsidR="00D32366" w:rsidRPr="00DB47AD" w:rsidRDefault="00D32366" w:rsidP="00D32366">
      <w:pPr>
        <w:numPr>
          <w:ilvl w:val="0"/>
          <w:numId w:val="19"/>
        </w:numPr>
        <w:spacing w:line="259" w:lineRule="auto"/>
      </w:pPr>
      <w:r w:rsidRPr="00DB47AD">
        <w:t>No counter-interpretation discussion</w:t>
      </w:r>
    </w:p>
    <w:p w14:paraId="58779297" w14:textId="77777777" w:rsidR="00D32366" w:rsidRPr="00DB47AD" w:rsidRDefault="00D32366" w:rsidP="00D32366">
      <w:pPr>
        <w:spacing w:line="259" w:lineRule="auto"/>
      </w:pPr>
      <w:r w:rsidRPr="00DB47AD">
        <w:rPr>
          <w:b/>
          <w:bCs/>
        </w:rPr>
        <w:t>Required Revisions:</w:t>
      </w:r>
    </w:p>
    <w:p w14:paraId="7E3F9F37" w14:textId="77777777" w:rsidR="00D32366" w:rsidRPr="00DB47AD" w:rsidRDefault="00D32366" w:rsidP="00D32366">
      <w:pPr>
        <w:numPr>
          <w:ilvl w:val="0"/>
          <w:numId w:val="20"/>
        </w:numPr>
        <w:spacing w:line="259" w:lineRule="auto"/>
      </w:pPr>
      <w:r w:rsidRPr="00DB47AD">
        <w:t>Compare findings with at least 5 prior studies</w:t>
      </w:r>
    </w:p>
    <w:p w14:paraId="69CC048D" w14:textId="77777777" w:rsidR="00D32366" w:rsidRPr="00DB47AD" w:rsidRDefault="00D32366" w:rsidP="00D32366">
      <w:pPr>
        <w:numPr>
          <w:ilvl w:val="0"/>
          <w:numId w:val="20"/>
        </w:numPr>
        <w:spacing w:line="259" w:lineRule="auto"/>
      </w:pPr>
      <w:r w:rsidRPr="00DB47AD">
        <w:t>Discuss:</w:t>
      </w:r>
    </w:p>
    <w:p w14:paraId="52D793ED" w14:textId="77777777" w:rsidR="00D32366" w:rsidRPr="00DB47AD" w:rsidRDefault="00D32366" w:rsidP="00D32366">
      <w:pPr>
        <w:numPr>
          <w:ilvl w:val="1"/>
          <w:numId w:val="20"/>
        </w:numPr>
        <w:spacing w:line="259" w:lineRule="auto"/>
      </w:pPr>
      <w:r w:rsidRPr="00DB47AD">
        <w:t>policy implications</w:t>
      </w:r>
    </w:p>
    <w:p w14:paraId="3352CADB" w14:textId="77777777" w:rsidR="00D32366" w:rsidRPr="00DB47AD" w:rsidRDefault="00D32366" w:rsidP="00D32366">
      <w:pPr>
        <w:numPr>
          <w:ilvl w:val="1"/>
          <w:numId w:val="20"/>
        </w:numPr>
        <w:spacing w:line="259" w:lineRule="auto"/>
      </w:pPr>
      <w:r w:rsidRPr="00DB47AD">
        <w:t>conservation tradeoffs</w:t>
      </w:r>
    </w:p>
    <w:p w14:paraId="0A3D12A5" w14:textId="77777777" w:rsidR="00D32366" w:rsidRPr="00DB47AD" w:rsidRDefault="00D32366" w:rsidP="00D32366">
      <w:pPr>
        <w:numPr>
          <w:ilvl w:val="1"/>
          <w:numId w:val="20"/>
        </w:numPr>
        <w:spacing w:line="259" w:lineRule="auto"/>
      </w:pPr>
      <w:r w:rsidRPr="00DB47AD">
        <w:t>employment sustainability</w:t>
      </w:r>
    </w:p>
    <w:p w14:paraId="64010AAC" w14:textId="77777777" w:rsidR="00D32366" w:rsidRPr="00DB47AD" w:rsidRDefault="00D32366" w:rsidP="00D32366">
      <w:pPr>
        <w:numPr>
          <w:ilvl w:val="0"/>
          <w:numId w:val="20"/>
        </w:numPr>
        <w:spacing w:line="259" w:lineRule="auto"/>
      </w:pPr>
      <w:r w:rsidRPr="00DB47AD">
        <w:t>Add critical interpretation</w:t>
      </w:r>
    </w:p>
    <w:p w14:paraId="3F71EE32" w14:textId="1703544F" w:rsidR="00D32366" w:rsidRDefault="00D32366" w:rsidP="00D32366">
      <w:pPr>
        <w:pStyle w:val="CommentText"/>
      </w:pPr>
      <w:r w:rsidRPr="00DB47AD">
        <w:t>Address alternative explanations</w:t>
      </w:r>
    </w:p>
  </w:comment>
  <w:comment w:id="13" w:author="Kero Danano" w:date="2026-01-30T10:35:00Z" w:initials="KD">
    <w:p w14:paraId="5B8697DA" w14:textId="77777777" w:rsidR="00D32366" w:rsidRPr="00DB47AD" w:rsidRDefault="00D32366" w:rsidP="00D32366">
      <w:pPr>
        <w:spacing w:line="259" w:lineRule="auto"/>
      </w:pPr>
      <w:r>
        <w:rPr>
          <w:rStyle w:val="CommentReference"/>
        </w:rPr>
        <w:annotationRef/>
      </w:r>
      <w:r w:rsidRPr="00DB47AD">
        <w:rPr>
          <w:b/>
          <w:bCs/>
        </w:rPr>
        <w:t>Issues:</w:t>
      </w:r>
    </w:p>
    <w:p w14:paraId="557C5FCF" w14:textId="77777777" w:rsidR="00D32366" w:rsidRPr="00DB47AD" w:rsidRDefault="00D32366" w:rsidP="00D32366">
      <w:pPr>
        <w:numPr>
          <w:ilvl w:val="0"/>
          <w:numId w:val="21"/>
        </w:numPr>
        <w:spacing w:line="259" w:lineRule="auto"/>
      </w:pPr>
      <w:r w:rsidRPr="00DB47AD">
        <w:t>Repeats results</w:t>
      </w:r>
    </w:p>
    <w:p w14:paraId="1F746B55" w14:textId="77777777" w:rsidR="00D32366" w:rsidRPr="00DB47AD" w:rsidRDefault="00D32366" w:rsidP="00D32366">
      <w:pPr>
        <w:numPr>
          <w:ilvl w:val="0"/>
          <w:numId w:val="21"/>
        </w:numPr>
        <w:spacing w:line="259" w:lineRule="auto"/>
      </w:pPr>
      <w:r w:rsidRPr="00DB47AD">
        <w:t>Not sufficiently synthetic</w:t>
      </w:r>
    </w:p>
    <w:p w14:paraId="50465B44" w14:textId="77777777" w:rsidR="00D32366" w:rsidRPr="00DB47AD" w:rsidRDefault="00D32366" w:rsidP="00D32366">
      <w:pPr>
        <w:numPr>
          <w:ilvl w:val="0"/>
          <w:numId w:val="21"/>
        </w:numPr>
        <w:spacing w:line="259" w:lineRule="auto"/>
      </w:pPr>
      <w:r w:rsidRPr="00DB47AD">
        <w:t>No future research direction</w:t>
      </w:r>
    </w:p>
    <w:p w14:paraId="3628332B" w14:textId="77777777" w:rsidR="00D32366" w:rsidRPr="00DB47AD" w:rsidRDefault="00D32366" w:rsidP="00D32366">
      <w:pPr>
        <w:spacing w:line="259" w:lineRule="auto"/>
      </w:pPr>
      <w:r w:rsidRPr="00DB47AD">
        <w:rPr>
          <w:b/>
          <w:bCs/>
        </w:rPr>
        <w:t>Required Revisions:</w:t>
      </w:r>
    </w:p>
    <w:p w14:paraId="3F3FCEF0" w14:textId="77777777" w:rsidR="00D32366" w:rsidRPr="00DB47AD" w:rsidRDefault="00D32366" w:rsidP="00D32366">
      <w:pPr>
        <w:numPr>
          <w:ilvl w:val="0"/>
          <w:numId w:val="22"/>
        </w:numPr>
        <w:spacing w:line="259" w:lineRule="auto"/>
      </w:pPr>
      <w:r w:rsidRPr="00DB47AD">
        <w:t>Add synthesis paragraph</w:t>
      </w:r>
    </w:p>
    <w:p w14:paraId="0DF2B09F" w14:textId="77777777" w:rsidR="00D32366" w:rsidRPr="00DB47AD" w:rsidRDefault="00D32366" w:rsidP="00D32366">
      <w:pPr>
        <w:numPr>
          <w:ilvl w:val="0"/>
          <w:numId w:val="22"/>
        </w:numPr>
        <w:spacing w:line="259" w:lineRule="auto"/>
      </w:pPr>
      <w:r w:rsidRPr="00DB47AD">
        <w:t>Add policy relevance statement</w:t>
      </w:r>
    </w:p>
    <w:p w14:paraId="326E78AA" w14:textId="77777777" w:rsidR="00D32366" w:rsidRPr="00DB47AD" w:rsidRDefault="00D32366" w:rsidP="00D32366">
      <w:pPr>
        <w:numPr>
          <w:ilvl w:val="0"/>
          <w:numId w:val="22"/>
        </w:numPr>
        <w:spacing w:line="259" w:lineRule="auto"/>
      </w:pPr>
      <w:r w:rsidRPr="00DB47AD">
        <w:t>Add future research directions</w:t>
      </w:r>
    </w:p>
    <w:p w14:paraId="5317CE60" w14:textId="77777777" w:rsidR="00D32366" w:rsidRPr="00DB47AD" w:rsidRDefault="00D32366" w:rsidP="00D32366">
      <w:pPr>
        <w:numPr>
          <w:ilvl w:val="0"/>
          <w:numId w:val="22"/>
        </w:numPr>
        <w:spacing w:line="259" w:lineRule="auto"/>
      </w:pPr>
      <w:r w:rsidRPr="00DB47AD">
        <w:t>Avoid repeating numeric results</w:t>
      </w:r>
    </w:p>
    <w:p w14:paraId="3C954C19" w14:textId="535510B1" w:rsidR="00D32366" w:rsidRDefault="00D32366">
      <w:pPr>
        <w:pStyle w:val="CommentText"/>
      </w:pPr>
    </w:p>
  </w:comment>
  <w:comment w:id="14" w:author="Kero Danano" w:date="2026-01-30T10:36:00Z" w:initials="KD">
    <w:p w14:paraId="228BE73D" w14:textId="77777777" w:rsidR="00D32366" w:rsidRPr="00DB47AD" w:rsidRDefault="00D32366" w:rsidP="00D32366">
      <w:pPr>
        <w:spacing w:line="259" w:lineRule="auto"/>
      </w:pPr>
      <w:r>
        <w:rPr>
          <w:rStyle w:val="CommentReference"/>
        </w:rPr>
        <w:annotationRef/>
      </w:r>
      <w:r w:rsidRPr="00DB47AD">
        <w:rPr>
          <w:b/>
          <w:bCs/>
        </w:rPr>
        <w:t>Issues:</w:t>
      </w:r>
    </w:p>
    <w:p w14:paraId="6C32D8E3" w14:textId="77777777" w:rsidR="00D32366" w:rsidRPr="00DB47AD" w:rsidRDefault="00D32366" w:rsidP="00D32366">
      <w:pPr>
        <w:numPr>
          <w:ilvl w:val="0"/>
          <w:numId w:val="23"/>
        </w:numPr>
        <w:spacing w:line="259" w:lineRule="auto"/>
      </w:pPr>
      <w:r w:rsidRPr="00DB47AD">
        <w:t>Formatting inconsistencies</w:t>
      </w:r>
    </w:p>
    <w:p w14:paraId="75B77279" w14:textId="77777777" w:rsidR="00D32366" w:rsidRPr="00DB47AD" w:rsidRDefault="00D32366" w:rsidP="00D32366">
      <w:pPr>
        <w:numPr>
          <w:ilvl w:val="0"/>
          <w:numId w:val="23"/>
        </w:numPr>
        <w:spacing w:line="259" w:lineRule="auto"/>
      </w:pPr>
      <w:r w:rsidRPr="00DB47AD">
        <w:t>Some incomplete entries</w:t>
      </w:r>
    </w:p>
    <w:p w14:paraId="19AF8F75" w14:textId="77777777" w:rsidR="00D32366" w:rsidRPr="00DB47AD" w:rsidRDefault="00D32366" w:rsidP="00D32366">
      <w:pPr>
        <w:numPr>
          <w:ilvl w:val="0"/>
          <w:numId w:val="23"/>
        </w:numPr>
        <w:spacing w:line="259" w:lineRule="auto"/>
      </w:pPr>
      <w:r w:rsidRPr="00DB47AD">
        <w:t>Mixed citation styles</w:t>
      </w:r>
    </w:p>
    <w:p w14:paraId="7F1F4CF3" w14:textId="77777777" w:rsidR="00D32366" w:rsidRPr="00DB47AD" w:rsidRDefault="00D32366" w:rsidP="00D32366">
      <w:pPr>
        <w:spacing w:line="259" w:lineRule="auto"/>
      </w:pPr>
      <w:r w:rsidRPr="00DB47AD">
        <w:rPr>
          <w:b/>
          <w:bCs/>
        </w:rPr>
        <w:t>Required Revisions:</w:t>
      </w:r>
    </w:p>
    <w:p w14:paraId="6ED7F11F" w14:textId="77777777" w:rsidR="00D32366" w:rsidRPr="00DB47AD" w:rsidRDefault="00D32366" w:rsidP="00D32366">
      <w:pPr>
        <w:numPr>
          <w:ilvl w:val="0"/>
          <w:numId w:val="24"/>
        </w:numPr>
        <w:spacing w:line="259" w:lineRule="auto"/>
      </w:pPr>
      <w:r w:rsidRPr="00DB47AD">
        <w:t>Standardize reference style</w:t>
      </w:r>
    </w:p>
    <w:p w14:paraId="6D4A335C" w14:textId="77777777" w:rsidR="00D32366" w:rsidRPr="00DB47AD" w:rsidRDefault="00D32366" w:rsidP="00D32366">
      <w:pPr>
        <w:numPr>
          <w:ilvl w:val="0"/>
          <w:numId w:val="24"/>
        </w:numPr>
        <w:spacing w:line="259" w:lineRule="auto"/>
      </w:pPr>
      <w:r w:rsidRPr="00DB47AD">
        <w:t>Verify all DOIs</w:t>
      </w:r>
    </w:p>
    <w:p w14:paraId="52A14F6D" w14:textId="77777777" w:rsidR="00D32366" w:rsidRPr="00DB47AD" w:rsidRDefault="00D32366" w:rsidP="00D32366">
      <w:pPr>
        <w:numPr>
          <w:ilvl w:val="0"/>
          <w:numId w:val="24"/>
        </w:numPr>
        <w:spacing w:line="259" w:lineRule="auto"/>
      </w:pPr>
      <w:r w:rsidRPr="00DB47AD">
        <w:t>Update with recent sources (last 5 years)</w:t>
      </w:r>
    </w:p>
    <w:p w14:paraId="19F40C7F" w14:textId="77777777" w:rsidR="00D32366" w:rsidRDefault="00D32366" w:rsidP="00D32366">
      <w:pPr>
        <w:pStyle w:val="CommentText"/>
      </w:pPr>
      <w:r w:rsidRPr="00DB47AD">
        <w:t>Check journal formatting rules</w:t>
      </w:r>
    </w:p>
    <w:p w14:paraId="6BC4FB00" w14:textId="1170DDF2" w:rsidR="00D32366" w:rsidRDefault="00D32366" w:rsidP="00D32366">
      <w:pPr>
        <w:pStyle w:val="CommentText"/>
      </w:pPr>
    </w:p>
  </w:comment>
  <w:comment w:id="15" w:author="Kero Danano" w:date="2026-01-30T10:37:00Z" w:initials="KD">
    <w:p w14:paraId="211ECEE6" w14:textId="77777777" w:rsidR="00D32366" w:rsidRPr="00DB47AD" w:rsidRDefault="00D32366" w:rsidP="00D32366">
      <w:pPr>
        <w:spacing w:line="259" w:lineRule="auto"/>
        <w:rPr>
          <w:b/>
          <w:bCs/>
        </w:rPr>
      </w:pPr>
      <w:r>
        <w:rPr>
          <w:rStyle w:val="CommentReference"/>
        </w:rPr>
        <w:annotationRef/>
      </w:r>
      <w:r w:rsidRPr="00DB47AD">
        <w:rPr>
          <w:b/>
          <w:bCs/>
        </w:rPr>
        <w:t>Cross-Sectional Required Improvements</w:t>
      </w:r>
    </w:p>
    <w:p w14:paraId="35F40A53" w14:textId="77777777" w:rsidR="00D32366" w:rsidRPr="00DB47AD" w:rsidRDefault="00D32366" w:rsidP="00D32366">
      <w:pPr>
        <w:spacing w:line="259" w:lineRule="auto"/>
        <w:rPr>
          <w:b/>
          <w:bCs/>
        </w:rPr>
      </w:pPr>
      <w:r w:rsidRPr="00DB47AD">
        <w:rPr>
          <w:b/>
          <w:bCs/>
        </w:rPr>
        <w:t>Statistical Transparency</w:t>
      </w:r>
    </w:p>
    <w:p w14:paraId="6E3CD18A" w14:textId="77777777" w:rsidR="00D32366" w:rsidRPr="00DB47AD" w:rsidRDefault="00D32366" w:rsidP="00D32366">
      <w:pPr>
        <w:numPr>
          <w:ilvl w:val="0"/>
          <w:numId w:val="25"/>
        </w:numPr>
        <w:spacing w:line="259" w:lineRule="auto"/>
      </w:pPr>
      <w:r w:rsidRPr="00DB47AD">
        <w:t>Add at least one analytical metric or comparative index</w:t>
      </w:r>
    </w:p>
    <w:p w14:paraId="2E3F8E99" w14:textId="77777777" w:rsidR="00D32366" w:rsidRPr="00DB47AD" w:rsidRDefault="00D32366" w:rsidP="00D32366">
      <w:pPr>
        <w:spacing w:line="259" w:lineRule="auto"/>
        <w:rPr>
          <w:b/>
          <w:bCs/>
        </w:rPr>
      </w:pPr>
      <w:r w:rsidRPr="00DB47AD">
        <w:rPr>
          <w:b/>
          <w:bCs/>
        </w:rPr>
        <w:t>Conceptual Anchoring</w:t>
      </w:r>
    </w:p>
    <w:p w14:paraId="574E59F9" w14:textId="77777777" w:rsidR="00D32366" w:rsidRPr="00DB47AD" w:rsidRDefault="00D32366" w:rsidP="00D32366">
      <w:pPr>
        <w:numPr>
          <w:ilvl w:val="0"/>
          <w:numId w:val="26"/>
        </w:numPr>
        <w:spacing w:line="259" w:lineRule="auto"/>
      </w:pPr>
      <w:r w:rsidRPr="00DB47AD">
        <w:t>Link employment generation to ecosystem service theory</w:t>
      </w:r>
    </w:p>
    <w:p w14:paraId="73DE8FDA" w14:textId="77777777" w:rsidR="00D32366" w:rsidRPr="00DB47AD" w:rsidRDefault="00D32366" w:rsidP="00D32366">
      <w:pPr>
        <w:spacing w:line="259" w:lineRule="auto"/>
        <w:rPr>
          <w:b/>
          <w:bCs/>
        </w:rPr>
      </w:pPr>
      <w:r w:rsidRPr="00DB47AD">
        <w:rPr>
          <w:b/>
          <w:bCs/>
        </w:rPr>
        <w:t>Limitations Section (Missing)</w:t>
      </w:r>
    </w:p>
    <w:p w14:paraId="3C419BB3" w14:textId="77777777" w:rsidR="00D32366" w:rsidRPr="00DB47AD" w:rsidRDefault="00D32366" w:rsidP="00D32366">
      <w:pPr>
        <w:spacing w:line="259" w:lineRule="auto"/>
      </w:pPr>
      <w:r w:rsidRPr="00DB47AD">
        <w:t>Must include:</w:t>
      </w:r>
    </w:p>
    <w:p w14:paraId="3BFF0575" w14:textId="77777777" w:rsidR="00D32366" w:rsidRPr="00DB47AD" w:rsidRDefault="00D32366" w:rsidP="00D32366">
      <w:pPr>
        <w:numPr>
          <w:ilvl w:val="0"/>
          <w:numId w:val="27"/>
        </w:numPr>
        <w:spacing w:line="259" w:lineRule="auto"/>
      </w:pPr>
      <w:r w:rsidRPr="00DB47AD">
        <w:t>data scope limitation</w:t>
      </w:r>
    </w:p>
    <w:p w14:paraId="418134C4" w14:textId="77777777" w:rsidR="00D32366" w:rsidRPr="00DB47AD" w:rsidRDefault="00D32366" w:rsidP="00D32366">
      <w:pPr>
        <w:numPr>
          <w:ilvl w:val="0"/>
          <w:numId w:val="27"/>
        </w:numPr>
        <w:spacing w:line="259" w:lineRule="auto"/>
      </w:pPr>
      <w:r w:rsidRPr="00DB47AD">
        <w:t>indirect employment not measured</w:t>
      </w:r>
    </w:p>
    <w:p w14:paraId="14D22630" w14:textId="77777777" w:rsidR="00D32366" w:rsidRPr="00DB47AD" w:rsidRDefault="00D32366" w:rsidP="00D32366">
      <w:pPr>
        <w:numPr>
          <w:ilvl w:val="0"/>
          <w:numId w:val="27"/>
        </w:numPr>
        <w:spacing w:line="259" w:lineRule="auto"/>
      </w:pPr>
      <w:r w:rsidRPr="00DB47AD">
        <w:t>temporal constraint</w:t>
      </w:r>
    </w:p>
    <w:p w14:paraId="5D0FB0E4" w14:textId="77777777" w:rsidR="00D32366" w:rsidRPr="00DB47AD" w:rsidRDefault="00D32366" w:rsidP="00D32366">
      <w:pPr>
        <w:spacing w:line="259" w:lineRule="auto"/>
        <w:rPr>
          <w:b/>
          <w:bCs/>
        </w:rPr>
      </w:pPr>
      <w:r w:rsidRPr="00DB47AD">
        <w:rPr>
          <w:b/>
          <w:bCs/>
        </w:rPr>
        <w:t>Language Editing</w:t>
      </w:r>
    </w:p>
    <w:p w14:paraId="3E01F02C" w14:textId="77777777" w:rsidR="00D32366" w:rsidRDefault="00D32366" w:rsidP="00D32366">
      <w:pPr>
        <w:spacing w:line="259" w:lineRule="auto"/>
      </w:pPr>
      <w:r w:rsidRPr="00DB47AD">
        <w:t>Professional copy-editing recommended.</w:t>
      </w:r>
    </w:p>
    <w:p w14:paraId="405BCF41" w14:textId="50B1C3D2" w:rsidR="001729EB" w:rsidRPr="00DB47AD" w:rsidRDefault="001729EB" w:rsidP="001729EB">
      <w:pPr>
        <w:spacing w:line="259" w:lineRule="auto"/>
      </w:pPr>
      <w:r>
        <w:t xml:space="preserve">Generally, …………. </w:t>
      </w:r>
      <w:r w:rsidRPr="001729EB">
        <w:t>The manuscript addresses a relevant and policy-significant topic and presents useful empirical evidence; however, substantial revision is required before it can meet publication standards. In particular, the methodological description, analytical depth, and discussion–interpretation linkage need strengthening, and several sections require clearer structure and technical clarification. Additional recent references, a limitations statement, and professional language editing are also necessary. With these major improvements, the study has strong potential for publication.</w:t>
      </w:r>
    </w:p>
    <w:p w14:paraId="22274F5B" w14:textId="6B679D8D" w:rsidR="00D32366" w:rsidRDefault="00D3236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EFEB1" w15:done="0"/>
  <w15:commentEx w15:paraId="43E11C76" w15:done="0"/>
  <w15:commentEx w15:paraId="16E96974" w15:done="0"/>
  <w15:commentEx w15:paraId="02031CEE" w15:done="0"/>
  <w15:commentEx w15:paraId="7A91A0F5" w15:done="0"/>
  <w15:commentEx w15:paraId="5965D6D5" w15:done="0"/>
  <w15:commentEx w15:paraId="2A776530" w15:done="0"/>
  <w15:commentEx w15:paraId="1FE9D170" w15:done="0"/>
  <w15:commentEx w15:paraId="29BE7B29" w15:done="0"/>
  <w15:commentEx w15:paraId="41124298" w15:done="0"/>
  <w15:commentEx w15:paraId="1E6DF4E0" w15:done="0"/>
  <w15:commentEx w15:paraId="4F170A37" w15:done="0"/>
  <w15:commentEx w15:paraId="3F71EE32" w15:done="0"/>
  <w15:commentEx w15:paraId="3C954C19" w15:done="0"/>
  <w15:commentEx w15:paraId="6BC4FB00" w15:done="0"/>
  <w15:commentEx w15:paraId="22274F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A9CC1" w16cex:dateUtc="2026-01-30T15:49:00Z"/>
  <w16cex:commentExtensible w16cex:durableId="5D0AA32C" w16cex:dateUtc="2026-01-30T15:52:00Z"/>
  <w16cex:commentExtensible w16cex:durableId="75C54D63" w16cex:dateUtc="2026-01-30T15:54:00Z"/>
  <w16cex:commentExtensible w16cex:durableId="3F2C0CFD" w16cex:dateUtc="2026-01-30T15:52:00Z"/>
  <w16cex:commentExtensible w16cex:durableId="7F5078C8" w16cex:dateUtc="2026-01-30T16:01:00Z"/>
  <w16cex:commentExtensible w16cex:durableId="1D9B05FD" w16cex:dateUtc="2026-01-30T16:06:00Z"/>
  <w16cex:commentExtensible w16cex:durableId="4F2C07CC" w16cex:dateUtc="2026-01-30T16:02:00Z"/>
  <w16cex:commentExtensible w16cex:durableId="28BE62F6" w16cex:dateUtc="2026-01-30T16:10:00Z"/>
  <w16cex:commentExtensible w16cex:durableId="63C0129B" w16cex:dateUtc="2026-01-30T16:10:00Z"/>
  <w16cex:commentExtensible w16cex:durableId="26093585" w16cex:dateUtc="2026-01-30T16:13:00Z"/>
  <w16cex:commentExtensible w16cex:durableId="61DBAF74" w16cex:dateUtc="2026-01-30T16:23:00Z"/>
  <w16cex:commentExtensible w16cex:durableId="3BFFA66A" w16cex:dateUtc="2026-01-30T16:23:00Z"/>
  <w16cex:commentExtensible w16cex:durableId="0905BD38" w16cex:dateUtc="2026-01-30T16:34:00Z"/>
  <w16cex:commentExtensible w16cex:durableId="76D650CF" w16cex:dateUtc="2026-01-30T16:35:00Z"/>
  <w16cex:commentExtensible w16cex:durableId="55C0765B" w16cex:dateUtc="2026-01-30T16:36:00Z"/>
  <w16cex:commentExtensible w16cex:durableId="6DCCAC5B" w16cex:dateUtc="2026-01-30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EFEB1" w16cid:durableId="027A9CC1"/>
  <w16cid:commentId w16cid:paraId="43E11C76" w16cid:durableId="5D0AA32C"/>
  <w16cid:commentId w16cid:paraId="16E96974" w16cid:durableId="75C54D63"/>
  <w16cid:commentId w16cid:paraId="02031CEE" w16cid:durableId="3F2C0CFD"/>
  <w16cid:commentId w16cid:paraId="7A91A0F5" w16cid:durableId="7F5078C8"/>
  <w16cid:commentId w16cid:paraId="5965D6D5" w16cid:durableId="1D9B05FD"/>
  <w16cid:commentId w16cid:paraId="2A776530" w16cid:durableId="4F2C07CC"/>
  <w16cid:commentId w16cid:paraId="1FE9D170" w16cid:durableId="28BE62F6"/>
  <w16cid:commentId w16cid:paraId="29BE7B29" w16cid:durableId="63C0129B"/>
  <w16cid:commentId w16cid:paraId="41124298" w16cid:durableId="26093585"/>
  <w16cid:commentId w16cid:paraId="1E6DF4E0" w16cid:durableId="61DBAF74"/>
  <w16cid:commentId w16cid:paraId="4F170A37" w16cid:durableId="3BFFA66A"/>
  <w16cid:commentId w16cid:paraId="3F71EE32" w16cid:durableId="0905BD38"/>
  <w16cid:commentId w16cid:paraId="3C954C19" w16cid:durableId="76D650CF"/>
  <w16cid:commentId w16cid:paraId="6BC4FB00" w16cid:durableId="55C0765B"/>
  <w16cid:commentId w16cid:paraId="22274F5B" w16cid:durableId="6DCCAC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A30E" w14:textId="77777777" w:rsidR="006E7484" w:rsidRDefault="006E7484" w:rsidP="00EA3821">
      <w:pPr>
        <w:spacing w:after="0" w:line="240" w:lineRule="auto"/>
      </w:pPr>
      <w:r>
        <w:separator/>
      </w:r>
    </w:p>
  </w:endnote>
  <w:endnote w:type="continuationSeparator" w:id="0">
    <w:p w14:paraId="7A34ECF2" w14:textId="77777777" w:rsidR="006E7484" w:rsidRDefault="006E7484" w:rsidP="00EA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6F94" w14:textId="77777777" w:rsidR="00EA3821" w:rsidRDefault="00EA3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FB15" w14:textId="77777777" w:rsidR="00EA3821" w:rsidRDefault="00EA3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DC8D" w14:textId="77777777" w:rsidR="00EA3821" w:rsidRDefault="00EA3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1FBA" w14:textId="77777777" w:rsidR="006E7484" w:rsidRDefault="006E7484" w:rsidP="00EA3821">
      <w:pPr>
        <w:spacing w:after="0" w:line="240" w:lineRule="auto"/>
      </w:pPr>
      <w:r>
        <w:separator/>
      </w:r>
    </w:p>
  </w:footnote>
  <w:footnote w:type="continuationSeparator" w:id="0">
    <w:p w14:paraId="3C582321" w14:textId="77777777" w:rsidR="006E7484" w:rsidRDefault="006E7484" w:rsidP="00EA3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F7F4" w14:textId="52BFFA84" w:rsidR="00EA3821" w:rsidRDefault="00000000">
    <w:pPr>
      <w:pStyle w:val="Header"/>
    </w:pPr>
    <w:r>
      <w:rPr>
        <w:noProof/>
      </w:rPr>
      <w:pict w14:anchorId="73099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05575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86E0" w14:textId="44BCE838" w:rsidR="00EA3821" w:rsidRDefault="00000000">
    <w:pPr>
      <w:pStyle w:val="Header"/>
    </w:pPr>
    <w:r>
      <w:rPr>
        <w:noProof/>
      </w:rPr>
      <w:pict w14:anchorId="3A6B6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05575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9B02" w14:textId="6ED38DEE" w:rsidR="00EA3821" w:rsidRDefault="00000000">
    <w:pPr>
      <w:pStyle w:val="Header"/>
    </w:pPr>
    <w:r>
      <w:rPr>
        <w:noProof/>
      </w:rPr>
      <w:pict w14:anchorId="5F983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05575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5C1"/>
    <w:multiLevelType w:val="multilevel"/>
    <w:tmpl w:val="389A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A090E"/>
    <w:multiLevelType w:val="hybridMultilevel"/>
    <w:tmpl w:val="34BA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00E03"/>
    <w:multiLevelType w:val="multilevel"/>
    <w:tmpl w:val="7A76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663E"/>
    <w:multiLevelType w:val="hybridMultilevel"/>
    <w:tmpl w:val="9C0C0CD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CC06E6"/>
    <w:multiLevelType w:val="multilevel"/>
    <w:tmpl w:val="A778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C1983"/>
    <w:multiLevelType w:val="multilevel"/>
    <w:tmpl w:val="BDC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276F4"/>
    <w:multiLevelType w:val="multilevel"/>
    <w:tmpl w:val="7E48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A7592"/>
    <w:multiLevelType w:val="hybridMultilevel"/>
    <w:tmpl w:val="8B220D42"/>
    <w:lvl w:ilvl="0" w:tplc="04090009">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15F74C76"/>
    <w:multiLevelType w:val="multilevel"/>
    <w:tmpl w:val="082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17D75"/>
    <w:multiLevelType w:val="multilevel"/>
    <w:tmpl w:val="8B3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73E28"/>
    <w:multiLevelType w:val="multilevel"/>
    <w:tmpl w:val="7EA4E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1482E"/>
    <w:multiLevelType w:val="multilevel"/>
    <w:tmpl w:val="84A6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A165D"/>
    <w:multiLevelType w:val="multilevel"/>
    <w:tmpl w:val="2640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F77C3"/>
    <w:multiLevelType w:val="multilevel"/>
    <w:tmpl w:val="9B6CE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72463"/>
    <w:multiLevelType w:val="hybridMultilevel"/>
    <w:tmpl w:val="33A82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95698"/>
    <w:multiLevelType w:val="multilevel"/>
    <w:tmpl w:val="9CC2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93817"/>
    <w:multiLevelType w:val="multilevel"/>
    <w:tmpl w:val="FDC61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13C80"/>
    <w:multiLevelType w:val="multilevel"/>
    <w:tmpl w:val="5A6E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959A7"/>
    <w:multiLevelType w:val="hybridMultilevel"/>
    <w:tmpl w:val="3DF2DBC2"/>
    <w:lvl w:ilvl="0" w:tplc="DEFAA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003F1"/>
    <w:multiLevelType w:val="multilevel"/>
    <w:tmpl w:val="B5D2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54239"/>
    <w:multiLevelType w:val="multilevel"/>
    <w:tmpl w:val="9E42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746FA"/>
    <w:multiLevelType w:val="multilevel"/>
    <w:tmpl w:val="6150A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A556F"/>
    <w:multiLevelType w:val="hybridMultilevel"/>
    <w:tmpl w:val="AE78A4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A4017"/>
    <w:multiLevelType w:val="multilevel"/>
    <w:tmpl w:val="084EEBE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2149F9"/>
    <w:multiLevelType w:val="hybridMultilevel"/>
    <w:tmpl w:val="BFF473FC"/>
    <w:lvl w:ilvl="0" w:tplc="DEFAA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3D09EC"/>
    <w:multiLevelType w:val="multilevel"/>
    <w:tmpl w:val="A422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C16116"/>
    <w:multiLevelType w:val="multilevel"/>
    <w:tmpl w:val="AA9C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033198">
    <w:abstractNumId w:val="23"/>
  </w:num>
  <w:num w:numId="2" w16cid:durableId="758449475">
    <w:abstractNumId w:val="24"/>
  </w:num>
  <w:num w:numId="3" w16cid:durableId="445779589">
    <w:abstractNumId w:val="18"/>
  </w:num>
  <w:num w:numId="4" w16cid:durableId="1126703473">
    <w:abstractNumId w:val="3"/>
  </w:num>
  <w:num w:numId="5" w16cid:durableId="360016905">
    <w:abstractNumId w:val="1"/>
  </w:num>
  <w:num w:numId="6" w16cid:durableId="2076513098">
    <w:abstractNumId w:val="22"/>
  </w:num>
  <w:num w:numId="7" w16cid:durableId="686175148">
    <w:abstractNumId w:val="14"/>
  </w:num>
  <w:num w:numId="8" w16cid:durableId="20979929">
    <w:abstractNumId w:val="12"/>
  </w:num>
  <w:num w:numId="9" w16cid:durableId="1855340955">
    <w:abstractNumId w:val="17"/>
  </w:num>
  <w:num w:numId="10" w16cid:durableId="812215011">
    <w:abstractNumId w:val="4"/>
  </w:num>
  <w:num w:numId="11" w16cid:durableId="288626819">
    <w:abstractNumId w:val="16"/>
  </w:num>
  <w:num w:numId="12" w16cid:durableId="289869544">
    <w:abstractNumId w:val="0"/>
  </w:num>
  <w:num w:numId="13" w16cid:durableId="189996576">
    <w:abstractNumId w:val="2"/>
  </w:num>
  <w:num w:numId="14" w16cid:durableId="1131745132">
    <w:abstractNumId w:val="19"/>
  </w:num>
  <w:num w:numId="15" w16cid:durableId="2048602188">
    <w:abstractNumId w:val="21"/>
  </w:num>
  <w:num w:numId="16" w16cid:durableId="1591127">
    <w:abstractNumId w:val="7"/>
  </w:num>
  <w:num w:numId="17" w16cid:durableId="549848378">
    <w:abstractNumId w:val="9"/>
  </w:num>
  <w:num w:numId="18" w16cid:durableId="1789154988">
    <w:abstractNumId w:val="13"/>
  </w:num>
  <w:num w:numId="19" w16cid:durableId="2099859819">
    <w:abstractNumId w:val="15"/>
  </w:num>
  <w:num w:numId="20" w16cid:durableId="978799778">
    <w:abstractNumId w:val="10"/>
  </w:num>
  <w:num w:numId="21" w16cid:durableId="1485009581">
    <w:abstractNumId w:val="8"/>
  </w:num>
  <w:num w:numId="22" w16cid:durableId="1214003933">
    <w:abstractNumId w:val="11"/>
  </w:num>
  <w:num w:numId="23" w16cid:durableId="1323847681">
    <w:abstractNumId w:val="20"/>
  </w:num>
  <w:num w:numId="24" w16cid:durableId="1592200456">
    <w:abstractNumId w:val="26"/>
  </w:num>
  <w:num w:numId="25" w16cid:durableId="1275014456">
    <w:abstractNumId w:val="6"/>
  </w:num>
  <w:num w:numId="26" w16cid:durableId="1417432559">
    <w:abstractNumId w:val="25"/>
  </w:num>
  <w:num w:numId="27" w16cid:durableId="5983736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o Danano">
    <w15:presenceInfo w15:providerId="Windows Live" w15:userId="036456b886809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AD"/>
    <w:rsid w:val="000005BC"/>
    <w:rsid w:val="0000426D"/>
    <w:rsid w:val="00005912"/>
    <w:rsid w:val="00020436"/>
    <w:rsid w:val="00022C5B"/>
    <w:rsid w:val="000259F1"/>
    <w:rsid w:val="000363A2"/>
    <w:rsid w:val="000427C5"/>
    <w:rsid w:val="00081754"/>
    <w:rsid w:val="00095C73"/>
    <w:rsid w:val="000E0C33"/>
    <w:rsid w:val="0010628E"/>
    <w:rsid w:val="001206CE"/>
    <w:rsid w:val="001320AD"/>
    <w:rsid w:val="00161ED7"/>
    <w:rsid w:val="001729EB"/>
    <w:rsid w:val="001A120B"/>
    <w:rsid w:val="001A5D3E"/>
    <w:rsid w:val="001C0879"/>
    <w:rsid w:val="001C45F4"/>
    <w:rsid w:val="001E15B7"/>
    <w:rsid w:val="00200E82"/>
    <w:rsid w:val="00202740"/>
    <w:rsid w:val="00216E74"/>
    <w:rsid w:val="00220F08"/>
    <w:rsid w:val="00242807"/>
    <w:rsid w:val="00252229"/>
    <w:rsid w:val="0026433F"/>
    <w:rsid w:val="00291F55"/>
    <w:rsid w:val="00296539"/>
    <w:rsid w:val="00297003"/>
    <w:rsid w:val="002C2518"/>
    <w:rsid w:val="002C7B5C"/>
    <w:rsid w:val="002D486E"/>
    <w:rsid w:val="002E6BF1"/>
    <w:rsid w:val="002F6187"/>
    <w:rsid w:val="003038F2"/>
    <w:rsid w:val="003246B6"/>
    <w:rsid w:val="00330202"/>
    <w:rsid w:val="0037429C"/>
    <w:rsid w:val="00374B0A"/>
    <w:rsid w:val="00390F37"/>
    <w:rsid w:val="003A469C"/>
    <w:rsid w:val="003B44A8"/>
    <w:rsid w:val="003C0300"/>
    <w:rsid w:val="003C7743"/>
    <w:rsid w:val="003F33F9"/>
    <w:rsid w:val="003F3F44"/>
    <w:rsid w:val="003F421F"/>
    <w:rsid w:val="00437250"/>
    <w:rsid w:val="00443305"/>
    <w:rsid w:val="00473318"/>
    <w:rsid w:val="00487C74"/>
    <w:rsid w:val="004B3EF8"/>
    <w:rsid w:val="004B7C20"/>
    <w:rsid w:val="004C389D"/>
    <w:rsid w:val="004D0A84"/>
    <w:rsid w:val="004E3665"/>
    <w:rsid w:val="004F681B"/>
    <w:rsid w:val="00501E6A"/>
    <w:rsid w:val="00522068"/>
    <w:rsid w:val="00534C0C"/>
    <w:rsid w:val="00546D65"/>
    <w:rsid w:val="00563A84"/>
    <w:rsid w:val="005A486E"/>
    <w:rsid w:val="005C6608"/>
    <w:rsid w:val="005E5F0F"/>
    <w:rsid w:val="00696CD6"/>
    <w:rsid w:val="006A4C87"/>
    <w:rsid w:val="006A5DF5"/>
    <w:rsid w:val="006B56F3"/>
    <w:rsid w:val="006C1316"/>
    <w:rsid w:val="006D305E"/>
    <w:rsid w:val="006E7484"/>
    <w:rsid w:val="007217AF"/>
    <w:rsid w:val="0073255F"/>
    <w:rsid w:val="007325D2"/>
    <w:rsid w:val="0075415C"/>
    <w:rsid w:val="00762C80"/>
    <w:rsid w:val="00781AB1"/>
    <w:rsid w:val="007A3F9D"/>
    <w:rsid w:val="007A60D7"/>
    <w:rsid w:val="007A70F1"/>
    <w:rsid w:val="007B09DC"/>
    <w:rsid w:val="007F6C4C"/>
    <w:rsid w:val="00803AA5"/>
    <w:rsid w:val="00825964"/>
    <w:rsid w:val="00831CD1"/>
    <w:rsid w:val="008501EE"/>
    <w:rsid w:val="00862B79"/>
    <w:rsid w:val="00875357"/>
    <w:rsid w:val="008A343B"/>
    <w:rsid w:val="008A7AAC"/>
    <w:rsid w:val="008D09F1"/>
    <w:rsid w:val="008D1AE4"/>
    <w:rsid w:val="008F4778"/>
    <w:rsid w:val="008F780B"/>
    <w:rsid w:val="00915523"/>
    <w:rsid w:val="00931BEA"/>
    <w:rsid w:val="0094168D"/>
    <w:rsid w:val="0094764C"/>
    <w:rsid w:val="00952CD8"/>
    <w:rsid w:val="009C4880"/>
    <w:rsid w:val="009F779B"/>
    <w:rsid w:val="00A16EA5"/>
    <w:rsid w:val="00A26E9A"/>
    <w:rsid w:val="00A40397"/>
    <w:rsid w:val="00A6614F"/>
    <w:rsid w:val="00A72A1B"/>
    <w:rsid w:val="00A83B9E"/>
    <w:rsid w:val="00A83C7A"/>
    <w:rsid w:val="00AA7A95"/>
    <w:rsid w:val="00AB1109"/>
    <w:rsid w:val="00AC24AD"/>
    <w:rsid w:val="00AE53DB"/>
    <w:rsid w:val="00AE648B"/>
    <w:rsid w:val="00B15097"/>
    <w:rsid w:val="00B1605B"/>
    <w:rsid w:val="00B21AD8"/>
    <w:rsid w:val="00B512AA"/>
    <w:rsid w:val="00B52202"/>
    <w:rsid w:val="00B53233"/>
    <w:rsid w:val="00B847E5"/>
    <w:rsid w:val="00B872C5"/>
    <w:rsid w:val="00BB0203"/>
    <w:rsid w:val="00BB0F6C"/>
    <w:rsid w:val="00BB37AC"/>
    <w:rsid w:val="00BF5666"/>
    <w:rsid w:val="00C01641"/>
    <w:rsid w:val="00C04794"/>
    <w:rsid w:val="00C1417B"/>
    <w:rsid w:val="00C15CBB"/>
    <w:rsid w:val="00C36071"/>
    <w:rsid w:val="00C4642D"/>
    <w:rsid w:val="00C472DC"/>
    <w:rsid w:val="00C678DA"/>
    <w:rsid w:val="00C864A5"/>
    <w:rsid w:val="00CA6B78"/>
    <w:rsid w:val="00CA7C0C"/>
    <w:rsid w:val="00CE4910"/>
    <w:rsid w:val="00CF0A96"/>
    <w:rsid w:val="00CF3FB2"/>
    <w:rsid w:val="00D32366"/>
    <w:rsid w:val="00D6434B"/>
    <w:rsid w:val="00D70B0D"/>
    <w:rsid w:val="00D86E5D"/>
    <w:rsid w:val="00D97B0A"/>
    <w:rsid w:val="00DB5BBD"/>
    <w:rsid w:val="00DC6DE2"/>
    <w:rsid w:val="00DE17CE"/>
    <w:rsid w:val="00DE7DA5"/>
    <w:rsid w:val="00DF188E"/>
    <w:rsid w:val="00DF2B2A"/>
    <w:rsid w:val="00E15B78"/>
    <w:rsid w:val="00E20720"/>
    <w:rsid w:val="00E271DD"/>
    <w:rsid w:val="00E35EA0"/>
    <w:rsid w:val="00E57E39"/>
    <w:rsid w:val="00E61871"/>
    <w:rsid w:val="00EA2A27"/>
    <w:rsid w:val="00EA3821"/>
    <w:rsid w:val="00EC2A1F"/>
    <w:rsid w:val="00ED3289"/>
    <w:rsid w:val="00EF2F5D"/>
    <w:rsid w:val="00F027DD"/>
    <w:rsid w:val="00F11DE1"/>
    <w:rsid w:val="00F2344D"/>
    <w:rsid w:val="00F86FB8"/>
    <w:rsid w:val="00FA7DFB"/>
    <w:rsid w:val="00FC24B4"/>
    <w:rsid w:val="00FC7787"/>
    <w:rsid w:val="00FE3E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31B4"/>
  <w15:chartTrackingRefBased/>
  <w15:docId w15:val="{36652BB4-BF7C-4E6B-8F84-A55BC42A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39"/>
  </w:style>
  <w:style w:type="paragraph" w:styleId="Heading1">
    <w:name w:val="heading 1"/>
    <w:basedOn w:val="Normal"/>
    <w:next w:val="Normal"/>
    <w:link w:val="Heading1Char"/>
    <w:uiPriority w:val="9"/>
    <w:qFormat/>
    <w:rsid w:val="00132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AD"/>
    <w:rPr>
      <w:rFonts w:eastAsiaTheme="majorEastAsia" w:cstheme="majorBidi"/>
      <w:color w:val="272727" w:themeColor="text1" w:themeTint="D8"/>
    </w:rPr>
  </w:style>
  <w:style w:type="paragraph" w:styleId="Title">
    <w:name w:val="Title"/>
    <w:basedOn w:val="Normal"/>
    <w:next w:val="Normal"/>
    <w:link w:val="TitleChar"/>
    <w:uiPriority w:val="10"/>
    <w:qFormat/>
    <w:rsid w:val="00132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AD"/>
    <w:pPr>
      <w:spacing w:before="160"/>
      <w:jc w:val="center"/>
    </w:pPr>
    <w:rPr>
      <w:i/>
      <w:iCs/>
      <w:color w:val="404040" w:themeColor="text1" w:themeTint="BF"/>
    </w:rPr>
  </w:style>
  <w:style w:type="character" w:customStyle="1" w:styleId="QuoteChar">
    <w:name w:val="Quote Char"/>
    <w:basedOn w:val="DefaultParagraphFont"/>
    <w:link w:val="Quote"/>
    <w:uiPriority w:val="29"/>
    <w:rsid w:val="001320AD"/>
    <w:rPr>
      <w:i/>
      <w:iCs/>
      <w:color w:val="404040" w:themeColor="text1" w:themeTint="BF"/>
    </w:rPr>
  </w:style>
  <w:style w:type="paragraph" w:styleId="ListParagraph">
    <w:name w:val="List Paragraph"/>
    <w:basedOn w:val="Normal"/>
    <w:uiPriority w:val="34"/>
    <w:qFormat/>
    <w:rsid w:val="001320AD"/>
    <w:pPr>
      <w:ind w:left="720"/>
      <w:contextualSpacing/>
    </w:pPr>
  </w:style>
  <w:style w:type="character" w:styleId="IntenseEmphasis">
    <w:name w:val="Intense Emphasis"/>
    <w:basedOn w:val="DefaultParagraphFont"/>
    <w:uiPriority w:val="21"/>
    <w:qFormat/>
    <w:rsid w:val="001320AD"/>
    <w:rPr>
      <w:i/>
      <w:iCs/>
      <w:color w:val="2F5496" w:themeColor="accent1" w:themeShade="BF"/>
    </w:rPr>
  </w:style>
  <w:style w:type="paragraph" w:styleId="IntenseQuote">
    <w:name w:val="Intense Quote"/>
    <w:basedOn w:val="Normal"/>
    <w:next w:val="Normal"/>
    <w:link w:val="IntenseQuoteChar"/>
    <w:uiPriority w:val="30"/>
    <w:qFormat/>
    <w:rsid w:val="00132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0AD"/>
    <w:rPr>
      <w:i/>
      <w:iCs/>
      <w:color w:val="2F5496" w:themeColor="accent1" w:themeShade="BF"/>
    </w:rPr>
  </w:style>
  <w:style w:type="character" w:styleId="IntenseReference">
    <w:name w:val="Intense Reference"/>
    <w:basedOn w:val="DefaultParagraphFont"/>
    <w:uiPriority w:val="32"/>
    <w:qFormat/>
    <w:rsid w:val="001320AD"/>
    <w:rPr>
      <w:b/>
      <w:bCs/>
      <w:smallCaps/>
      <w:color w:val="2F5496" w:themeColor="accent1" w:themeShade="BF"/>
      <w:spacing w:val="5"/>
    </w:rPr>
  </w:style>
  <w:style w:type="character" w:styleId="Hyperlink">
    <w:name w:val="Hyperlink"/>
    <w:basedOn w:val="DefaultParagraphFont"/>
    <w:uiPriority w:val="99"/>
    <w:unhideWhenUsed/>
    <w:rsid w:val="00831CD1"/>
    <w:rPr>
      <w:color w:val="0563C1" w:themeColor="hyperlink"/>
      <w:u w:val="single"/>
    </w:rPr>
  </w:style>
  <w:style w:type="character" w:styleId="UnresolvedMention">
    <w:name w:val="Unresolved Mention"/>
    <w:basedOn w:val="DefaultParagraphFont"/>
    <w:uiPriority w:val="99"/>
    <w:semiHidden/>
    <w:unhideWhenUsed/>
    <w:rsid w:val="00831CD1"/>
    <w:rPr>
      <w:color w:val="605E5C"/>
      <w:shd w:val="clear" w:color="auto" w:fill="E1DFDD"/>
    </w:rPr>
  </w:style>
  <w:style w:type="table" w:styleId="TableGrid">
    <w:name w:val="Table Grid"/>
    <w:basedOn w:val="TableNormal"/>
    <w:uiPriority w:val="39"/>
    <w:rsid w:val="00696CD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1"/>
  </w:style>
  <w:style w:type="paragraph" w:styleId="Footer">
    <w:name w:val="footer"/>
    <w:basedOn w:val="Normal"/>
    <w:link w:val="FooterChar"/>
    <w:uiPriority w:val="99"/>
    <w:unhideWhenUsed/>
    <w:rsid w:val="00EA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1"/>
  </w:style>
  <w:style w:type="character" w:styleId="CommentReference">
    <w:name w:val="annotation reference"/>
    <w:basedOn w:val="DefaultParagraphFont"/>
    <w:uiPriority w:val="99"/>
    <w:semiHidden/>
    <w:unhideWhenUsed/>
    <w:rsid w:val="00390F37"/>
    <w:rPr>
      <w:sz w:val="16"/>
      <w:szCs w:val="16"/>
    </w:rPr>
  </w:style>
  <w:style w:type="paragraph" w:styleId="CommentText">
    <w:name w:val="annotation text"/>
    <w:basedOn w:val="Normal"/>
    <w:link w:val="CommentTextChar"/>
    <w:uiPriority w:val="99"/>
    <w:semiHidden/>
    <w:unhideWhenUsed/>
    <w:rsid w:val="00390F37"/>
    <w:pPr>
      <w:spacing w:line="240" w:lineRule="auto"/>
    </w:pPr>
    <w:rPr>
      <w:sz w:val="20"/>
      <w:szCs w:val="20"/>
    </w:rPr>
  </w:style>
  <w:style w:type="character" w:customStyle="1" w:styleId="CommentTextChar">
    <w:name w:val="Comment Text Char"/>
    <w:basedOn w:val="DefaultParagraphFont"/>
    <w:link w:val="CommentText"/>
    <w:uiPriority w:val="99"/>
    <w:semiHidden/>
    <w:rsid w:val="00390F37"/>
    <w:rPr>
      <w:sz w:val="20"/>
      <w:szCs w:val="20"/>
    </w:rPr>
  </w:style>
  <w:style w:type="paragraph" w:styleId="CommentSubject">
    <w:name w:val="annotation subject"/>
    <w:basedOn w:val="CommentText"/>
    <w:next w:val="CommentText"/>
    <w:link w:val="CommentSubjectChar"/>
    <w:uiPriority w:val="99"/>
    <w:semiHidden/>
    <w:unhideWhenUsed/>
    <w:rsid w:val="00390F37"/>
    <w:rPr>
      <w:b/>
      <w:bCs/>
    </w:rPr>
  </w:style>
  <w:style w:type="character" w:customStyle="1" w:styleId="CommentSubjectChar">
    <w:name w:val="Comment Subject Char"/>
    <w:basedOn w:val="CommentTextChar"/>
    <w:link w:val="CommentSubject"/>
    <w:uiPriority w:val="99"/>
    <w:semiHidden/>
    <w:rsid w:val="00390F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EB13-988A-4D03-8D7F-E95E0509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Venkateshwar Reddy Bheemreddyvalla</dc:creator>
  <cp:keywords/>
  <dc:description/>
  <cp:lastModifiedBy>Kero Danano</cp:lastModifiedBy>
  <cp:revision>2</cp:revision>
  <dcterms:created xsi:type="dcterms:W3CDTF">2026-01-31T10:00:00Z</dcterms:created>
  <dcterms:modified xsi:type="dcterms:W3CDTF">2026-01-31T10:00:00Z</dcterms:modified>
</cp:coreProperties>
</file>