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33D8C" w14:textId="77777777" w:rsidR="00310DE6" w:rsidRDefault="00310DE6" w:rsidP="006154AE">
      <w:pPr>
        <w:pStyle w:val="PlainText"/>
        <w:spacing w:line="360" w:lineRule="auto"/>
        <w:jc w:val="center"/>
        <w:rPr>
          <w:rFonts w:ascii="Arial" w:hAnsi="Arial" w:cs="Arial"/>
          <w:b/>
          <w:bCs/>
          <w:sz w:val="22"/>
          <w:szCs w:val="22"/>
        </w:rPr>
      </w:pPr>
      <w:r w:rsidRPr="00310DE6">
        <w:rPr>
          <w:rFonts w:ascii="Arial" w:hAnsi="Arial" w:cs="Arial"/>
          <w:b/>
          <w:bCs/>
          <w:sz w:val="22"/>
          <w:szCs w:val="22"/>
        </w:rPr>
        <w:t xml:space="preserve">Review article </w:t>
      </w:r>
    </w:p>
    <w:p w14:paraId="6E1DC7F0" w14:textId="77777777" w:rsidR="00310DE6" w:rsidRDefault="00310DE6" w:rsidP="006154AE">
      <w:pPr>
        <w:pStyle w:val="PlainText"/>
        <w:spacing w:line="360" w:lineRule="auto"/>
        <w:jc w:val="center"/>
        <w:rPr>
          <w:rFonts w:ascii="Arial" w:hAnsi="Arial" w:cs="Arial"/>
          <w:b/>
          <w:bCs/>
          <w:sz w:val="22"/>
          <w:szCs w:val="22"/>
        </w:rPr>
      </w:pPr>
    </w:p>
    <w:p w14:paraId="1E6604EB" w14:textId="5B2D2629" w:rsidR="006154AE" w:rsidRPr="00BD7F39" w:rsidRDefault="006154AE" w:rsidP="006154AE">
      <w:pPr>
        <w:pStyle w:val="PlainText"/>
        <w:spacing w:line="360" w:lineRule="auto"/>
        <w:jc w:val="center"/>
        <w:rPr>
          <w:rFonts w:ascii="Arial" w:hAnsi="Arial" w:cs="Arial"/>
          <w:b/>
          <w:bCs/>
          <w:sz w:val="22"/>
          <w:szCs w:val="22"/>
        </w:rPr>
      </w:pPr>
      <w:commentRangeStart w:id="0"/>
      <w:r w:rsidRPr="00BD7F39">
        <w:rPr>
          <w:rFonts w:ascii="Arial" w:hAnsi="Arial" w:cs="Arial"/>
          <w:b/>
          <w:bCs/>
          <w:sz w:val="22"/>
          <w:szCs w:val="22"/>
        </w:rPr>
        <w:t>Natural Farming: A New Paradigm for Sustainable Agriculture</w:t>
      </w:r>
      <w:commentRangeEnd w:id="0"/>
      <w:r w:rsidR="008F6A11">
        <w:rPr>
          <w:rStyle w:val="CommentReference"/>
          <w:rFonts w:asciiTheme="minorHAnsi" w:hAnsiTheme="minorHAnsi"/>
        </w:rPr>
        <w:commentReference w:id="0"/>
      </w:r>
    </w:p>
    <w:p w14:paraId="65E7044B" w14:textId="04F28907" w:rsidR="00BD7F39" w:rsidRDefault="00BD7F39" w:rsidP="0079624D">
      <w:pPr>
        <w:pStyle w:val="PlainText"/>
        <w:spacing w:line="360" w:lineRule="auto"/>
        <w:rPr>
          <w:rFonts w:ascii="Arial" w:hAnsi="Arial" w:cs="Arial"/>
          <w:b/>
          <w:bCs/>
          <w:sz w:val="22"/>
          <w:szCs w:val="22"/>
        </w:rPr>
      </w:pPr>
    </w:p>
    <w:p w14:paraId="677F876A" w14:textId="77777777" w:rsidR="0026001E" w:rsidRPr="00BD7F39" w:rsidRDefault="0026001E" w:rsidP="0079624D">
      <w:pPr>
        <w:pStyle w:val="PlainText"/>
        <w:spacing w:line="360" w:lineRule="auto"/>
        <w:rPr>
          <w:rFonts w:ascii="Arial" w:hAnsi="Arial" w:cs="Arial"/>
          <w:b/>
          <w:bCs/>
          <w:sz w:val="22"/>
          <w:szCs w:val="22"/>
        </w:rPr>
      </w:pPr>
    </w:p>
    <w:p w14:paraId="771EFDDE" w14:textId="5969C2F2" w:rsidR="000F0552" w:rsidRPr="00BD7F39" w:rsidRDefault="000F0552" w:rsidP="0083752E">
      <w:pPr>
        <w:tabs>
          <w:tab w:val="left" w:pos="1580"/>
        </w:tabs>
        <w:spacing w:line="360" w:lineRule="auto"/>
        <w:jc w:val="both"/>
        <w:rPr>
          <w:rFonts w:ascii="Arial" w:hAnsi="Arial" w:cs="Arial"/>
          <w:b/>
          <w:bCs/>
        </w:rPr>
      </w:pPr>
      <w:commentRangeStart w:id="1"/>
      <w:r w:rsidRPr="00BD7F39">
        <w:rPr>
          <w:rFonts w:ascii="Arial" w:hAnsi="Arial" w:cs="Arial"/>
          <w:b/>
          <w:bCs/>
        </w:rPr>
        <w:t xml:space="preserve">Abstract </w:t>
      </w:r>
      <w:commentRangeEnd w:id="1"/>
      <w:r w:rsidR="008F6A11">
        <w:rPr>
          <w:rStyle w:val="CommentReference"/>
        </w:rPr>
        <w:commentReference w:id="1"/>
      </w:r>
      <w:r w:rsidR="0083752E" w:rsidRPr="00BD7F39">
        <w:rPr>
          <w:rFonts w:ascii="Arial" w:hAnsi="Arial" w:cs="Arial"/>
          <w:b/>
          <w:bCs/>
        </w:rPr>
        <w:tab/>
      </w:r>
    </w:p>
    <w:p w14:paraId="7E94CBD2" w14:textId="4E92AE19"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Natural farming is an agroecological, diversified production system that harmoniously combines crops, livestock, and trees while eliminating the use of synthetic chemicals. It emphasizes the utilization of locally available and renewable inputs. This review consolidates current research on natural farming in India, focusing on its five core components </w:t>
      </w:r>
      <w:proofErr w:type="spellStart"/>
      <w:r w:rsidRPr="00BD7F39">
        <w:rPr>
          <w:rFonts w:ascii="Arial" w:hAnsi="Arial" w:cs="Arial"/>
          <w:sz w:val="20"/>
          <w:szCs w:val="20"/>
        </w:rPr>
        <w:t>Beejamrit</w:t>
      </w:r>
      <w:proofErr w:type="spellEnd"/>
      <w:r w:rsidRPr="00BD7F39">
        <w:rPr>
          <w:rFonts w:ascii="Arial" w:hAnsi="Arial" w:cs="Arial"/>
          <w:sz w:val="20"/>
          <w:szCs w:val="20"/>
        </w:rPr>
        <w:t xml:space="preserve">,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Ghanajeevamrit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Acchadana</w:t>
      </w:r>
      <w:proofErr w:type="spellEnd"/>
      <w:r w:rsidRPr="00BD7F39">
        <w:rPr>
          <w:rFonts w:ascii="Arial" w:hAnsi="Arial" w:cs="Arial"/>
          <w:sz w:val="20"/>
          <w:szCs w:val="20"/>
        </w:rPr>
        <w:t xml:space="preserve">, and </w:t>
      </w:r>
      <w:proofErr w:type="spellStart"/>
      <w:r w:rsidRPr="00BD7F39">
        <w:rPr>
          <w:rFonts w:ascii="Arial" w:hAnsi="Arial" w:cs="Arial"/>
          <w:sz w:val="20"/>
          <w:szCs w:val="20"/>
        </w:rPr>
        <w:t>Waaphasa</w:t>
      </w:r>
      <w:proofErr w:type="spellEnd"/>
      <w:r w:rsidRPr="00BD7F39">
        <w:rPr>
          <w:rFonts w:ascii="Arial" w:hAnsi="Arial" w:cs="Arial"/>
          <w:sz w:val="20"/>
          <w:szCs w:val="20"/>
        </w:rPr>
        <w:t xml:space="preserve"> and their influence on soil quality and crop productivity. It also critically examines nutrient, pest, weed, and disease management strategies, along with the system’s long-term sustainability.</w:t>
      </w:r>
      <w:r w:rsidR="00ED450D" w:rsidRPr="00BD7F39">
        <w:rPr>
          <w:rFonts w:ascii="Arial" w:hAnsi="Arial" w:cs="Arial"/>
          <w:sz w:val="20"/>
          <w:szCs w:val="20"/>
        </w:rPr>
        <w:t xml:space="preserve"> </w:t>
      </w:r>
      <w:r w:rsidR="00ED450D" w:rsidRPr="00BD7F39">
        <w:rPr>
          <w:rFonts w:ascii="Arial" w:hAnsi="Arial" w:cs="Arial"/>
          <w:spacing w:val="1"/>
          <w:sz w:val="20"/>
          <w:szCs w:val="20"/>
        </w:rPr>
        <w:t>Long-term adoption stabilizes soil biological processes, leading to reduced yield penalties and improved economic resilience due to lower input costs and higher net returns.</w:t>
      </w:r>
      <w:r w:rsidRPr="00BD7F39">
        <w:rPr>
          <w:rFonts w:ascii="Arial" w:hAnsi="Arial" w:cs="Arial"/>
          <w:sz w:val="20"/>
          <w:szCs w:val="20"/>
        </w:rPr>
        <w:t xml:space="preserve"> Empirical evidence from Andhra Pradesh indicates that natural farming improves farmers’ profitability through reduced input costs and better soil conditions. However, experimental findings reveal potential challenges related to yield performance, nitrogen adequacy, and overall scalability. The paper assesses natural farming’s role in achieving India’s sustainability goals and recommends evidence-based practices suitable for diverse agroecological zones.</w:t>
      </w:r>
    </w:p>
    <w:p w14:paraId="138DB00A" w14:textId="77777777" w:rsidR="007A0628" w:rsidRPr="00BD7F39" w:rsidRDefault="000F0552" w:rsidP="007A0628">
      <w:pPr>
        <w:spacing w:line="360" w:lineRule="auto"/>
        <w:jc w:val="both"/>
        <w:rPr>
          <w:rFonts w:ascii="Arial" w:hAnsi="Arial" w:cs="Arial"/>
          <w:sz w:val="20"/>
          <w:szCs w:val="20"/>
        </w:rPr>
      </w:pPr>
      <w:r w:rsidRPr="00BD7F39">
        <w:rPr>
          <w:rFonts w:ascii="Arial" w:hAnsi="Arial" w:cs="Arial"/>
          <w:b/>
          <w:bCs/>
        </w:rPr>
        <w:t>Keywords</w:t>
      </w:r>
      <w:r w:rsidRPr="00BD7F39">
        <w:rPr>
          <w:rFonts w:ascii="Arial" w:hAnsi="Arial" w:cs="Arial"/>
          <w:b/>
          <w:bCs/>
          <w:sz w:val="20"/>
          <w:szCs w:val="20"/>
        </w:rPr>
        <w:t>:</w:t>
      </w:r>
      <w:r w:rsidRPr="00BD7F39">
        <w:rPr>
          <w:rFonts w:ascii="Arial" w:hAnsi="Arial" w:cs="Arial"/>
          <w:sz w:val="20"/>
          <w:szCs w:val="20"/>
        </w:rPr>
        <w:t> Natural farming, sustainable agriculture, nutrient management, pest management, weed management, disease management, soil health, food security, India, ZBNF.</w:t>
      </w:r>
    </w:p>
    <w:p w14:paraId="00F5FB31" w14:textId="114B9F0B" w:rsidR="000F0552" w:rsidRPr="0079624D" w:rsidRDefault="0079624D" w:rsidP="0079624D">
      <w:pPr>
        <w:pStyle w:val="ListParagraph"/>
        <w:spacing w:line="360" w:lineRule="auto"/>
        <w:ind w:left="0"/>
        <w:jc w:val="both"/>
        <w:rPr>
          <w:rFonts w:ascii="Arial" w:hAnsi="Arial" w:cs="Arial"/>
          <w:b/>
          <w:bCs/>
        </w:rPr>
      </w:pPr>
      <w:commentRangeStart w:id="2"/>
      <w:proofErr w:type="gramStart"/>
      <w:r>
        <w:rPr>
          <w:rFonts w:ascii="Arial" w:hAnsi="Arial" w:cs="Arial"/>
          <w:b/>
          <w:bCs/>
        </w:rPr>
        <w:t>1.</w:t>
      </w:r>
      <w:r w:rsidR="000F0552" w:rsidRPr="0079624D">
        <w:rPr>
          <w:rFonts w:ascii="Arial" w:hAnsi="Arial" w:cs="Arial"/>
          <w:b/>
          <w:bCs/>
        </w:rPr>
        <w:t>Introduction</w:t>
      </w:r>
      <w:proofErr w:type="gramEnd"/>
      <w:r w:rsidR="000F0552" w:rsidRPr="0079624D">
        <w:rPr>
          <w:rFonts w:ascii="Arial" w:hAnsi="Arial" w:cs="Arial"/>
          <w:b/>
          <w:bCs/>
        </w:rPr>
        <w:t xml:space="preserve"> </w:t>
      </w:r>
      <w:commentRangeEnd w:id="2"/>
      <w:r w:rsidR="00DD54B1">
        <w:rPr>
          <w:rStyle w:val="CommentReference"/>
        </w:rPr>
        <w:commentReference w:id="2"/>
      </w:r>
    </w:p>
    <w:p w14:paraId="7B759F12" w14:textId="77777777" w:rsidR="00C54A7C" w:rsidRPr="00C54A7C" w:rsidRDefault="00C54A7C" w:rsidP="0079624D">
      <w:pPr>
        <w:spacing w:line="360" w:lineRule="auto"/>
        <w:jc w:val="both"/>
        <w:rPr>
          <w:rFonts w:ascii="Arial" w:hAnsi="Arial" w:cs="Arial"/>
          <w:sz w:val="20"/>
          <w:szCs w:val="20"/>
        </w:rPr>
      </w:pPr>
      <w:r w:rsidRPr="00C54A7C">
        <w:rPr>
          <w:rFonts w:ascii="Arial" w:hAnsi="Arial" w:cs="Arial"/>
          <w:sz w:val="20"/>
          <w:szCs w:val="20"/>
        </w:rPr>
        <w:t xml:space="preserve">Modern society is experiencing exceptional advancements in food supply and economic well-being, largely attributed to rapid progress in agricultural science and technology. Since the mid-20 </w:t>
      </w:r>
      <w:proofErr w:type="spellStart"/>
      <w:r w:rsidRPr="00C54A7C">
        <w:rPr>
          <w:rFonts w:ascii="Arial" w:hAnsi="Arial" w:cs="Arial"/>
          <w:sz w:val="20"/>
          <w:szCs w:val="20"/>
          <w:vertAlign w:val="superscript"/>
        </w:rPr>
        <w:t>th</w:t>
      </w:r>
      <w:proofErr w:type="spellEnd"/>
      <w:r w:rsidRPr="00C54A7C">
        <w:rPr>
          <w:rFonts w:ascii="Arial" w:hAnsi="Arial" w:cs="Arial"/>
          <w:sz w:val="20"/>
          <w:szCs w:val="20"/>
        </w:rPr>
        <w:t xml:space="preserve"> century, agricultural intensification driven by improved crop genetics, irrigation facilities, mechanization, and agrochemical usage has significantly boosted global food production to meet the demands of a growing population (</w:t>
      </w:r>
      <w:proofErr w:type="spellStart"/>
      <w:r w:rsidRPr="00C54A7C">
        <w:rPr>
          <w:rFonts w:ascii="Arial" w:hAnsi="Arial" w:cs="Arial"/>
          <w:sz w:val="20"/>
          <w:szCs w:val="20"/>
        </w:rPr>
        <w:t>Pingali</w:t>
      </w:r>
      <w:proofErr w:type="spellEnd"/>
      <w:r w:rsidRPr="00C54A7C">
        <w:rPr>
          <w:rFonts w:ascii="Arial" w:hAnsi="Arial" w:cs="Arial"/>
          <w:sz w:val="20"/>
          <w:szCs w:val="20"/>
        </w:rPr>
        <w:t>, 2012; FAO 2018). Worldwide, this transformation has led to major yield improvements, with production gains of about 109% in rice, 208% in wheat, 157% in maize, 78% in potatoes, and 36% in cassava. These advancements have played a crucial role in reducing hunger and mitigating food insecurity, especially in developing countries (Wiebe et al., 2021; Tilman et al., 2011).</w:t>
      </w:r>
    </w:p>
    <w:p w14:paraId="6A64670E" w14:textId="3967E0A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The excessive and prolonged application of agrochemicals has further raised substantial food safety concerns, as pesticide residues and nitrate accumulation increasingly threaten both human and animal health (</w:t>
      </w:r>
      <w:proofErr w:type="spellStart"/>
      <w:r w:rsidRPr="00C54A7C">
        <w:rPr>
          <w:rFonts w:ascii="Arial" w:hAnsi="Arial" w:cs="Arial"/>
          <w:sz w:val="20"/>
          <w:szCs w:val="20"/>
        </w:rPr>
        <w:t>Aktar</w:t>
      </w:r>
      <w:proofErr w:type="spellEnd"/>
      <w:r w:rsidRPr="00C54A7C">
        <w:rPr>
          <w:rFonts w:ascii="Arial" w:hAnsi="Arial" w:cs="Arial"/>
          <w:sz w:val="20"/>
          <w:szCs w:val="20"/>
        </w:rPr>
        <w:t xml:space="preserve"> et al., 2009; Pimentel and Burgess, 2014; Carvalho, 2017).</w:t>
      </w:r>
    </w:p>
    <w:p w14:paraId="28D2651F"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India, the ecological and agronomic implications of chemical-intensive farming are especially prominent. Over the past five decades, fertilizer consumption has surged nearly thirteen times, reflecting a growing dependency on external nutrient inputs to maintain productivity (FAI 2020). </w:t>
      </w:r>
      <w:r w:rsidRPr="00C54A7C">
        <w:rPr>
          <w:rFonts w:ascii="Arial" w:hAnsi="Arial" w:cs="Arial"/>
          <w:sz w:val="20"/>
          <w:szCs w:val="20"/>
        </w:rPr>
        <w:lastRenderedPageBreak/>
        <w:t>However, this steep increase has not yielded a commensurate rise in crop output. Instead, declining nutrient-use efficiency and widespread soil nutrient imbalances have been reported (</w:t>
      </w:r>
      <w:proofErr w:type="spellStart"/>
      <w:r w:rsidRPr="00C54A7C">
        <w:rPr>
          <w:rFonts w:ascii="Arial" w:hAnsi="Arial" w:cs="Arial"/>
          <w:sz w:val="20"/>
          <w:szCs w:val="20"/>
        </w:rPr>
        <w:t>Ladha</w:t>
      </w:r>
      <w:proofErr w:type="spellEnd"/>
      <w:r w:rsidRPr="00C54A7C">
        <w:rPr>
          <w:rFonts w:ascii="Arial" w:hAnsi="Arial" w:cs="Arial"/>
          <w:sz w:val="20"/>
          <w:szCs w:val="20"/>
        </w:rPr>
        <w:t xml:space="preserve"> et al., 2020; Yadav et al., 2019). As a result, India’s crop response ratio has dropped to approximately 58% in the last sixty years, signalling diminishing returns from fertilizer application and raising questions regarding the long-term viability of current intensive production systems (FAI, 2020; Dwivedi et al., 2021).</w:t>
      </w:r>
    </w:p>
    <w:p w14:paraId="2A7E125B"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Globally, agroecological approaches have received increasing recognition for their ability to enhance productivity while conserving the environment by promoting biodiversity, biological soil processes, and efficient resource cycling (Pretty et al., 2018; HLPE, FAO 2019). Within this paradigm, natural farming has emerged as a promising low-input strategy tailored to Indian farming conditions.</w:t>
      </w:r>
    </w:p>
    <w:p w14:paraId="4192FA76"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Natural farming encourages the complete avoidance of synthetic fertilizers, pesticides, and herbicides, instead emphasizing the use of on-farm, biologically derived inputs to maintain soil fertility and crop productivity. These include cow dung, cow urine, jaggery, pulse flour, and plant-based preparations, complemented by mulching, crop covers, and diversified cropping systems to enhance microbial activity and nutrient cycling (Kumar et al., 2019; </w:t>
      </w:r>
      <w:proofErr w:type="spellStart"/>
      <w:r w:rsidRPr="00C54A7C">
        <w:rPr>
          <w:rFonts w:ascii="Arial" w:hAnsi="Arial" w:cs="Arial"/>
          <w:sz w:val="20"/>
          <w:szCs w:val="20"/>
        </w:rPr>
        <w:t>Suganthy</w:t>
      </w:r>
      <w:proofErr w:type="spellEnd"/>
      <w:r w:rsidRPr="00C54A7C">
        <w:rPr>
          <w:rFonts w:ascii="Arial" w:hAnsi="Arial" w:cs="Arial"/>
          <w:sz w:val="20"/>
          <w:szCs w:val="20"/>
        </w:rPr>
        <w:t xml:space="preserve"> et al., 2023; </w:t>
      </w:r>
      <w:proofErr w:type="spellStart"/>
      <w:r w:rsidRPr="00C54A7C">
        <w:rPr>
          <w:rFonts w:ascii="Arial" w:hAnsi="Arial" w:cs="Arial"/>
          <w:sz w:val="20"/>
          <w:szCs w:val="20"/>
        </w:rPr>
        <w:t>Palekar</w:t>
      </w:r>
      <w:proofErr w:type="spellEnd"/>
      <w:r w:rsidRPr="00C54A7C">
        <w:rPr>
          <w:rFonts w:ascii="Arial" w:hAnsi="Arial" w:cs="Arial"/>
          <w:sz w:val="20"/>
          <w:szCs w:val="20"/>
        </w:rPr>
        <w:t>, 2016). Through the revitalization of soil biological processes, this approach seeks to restore soil health, lower production costs, and increase resilience to climatic variability (Reddy, 2020; Smith et al., 2020).</w:t>
      </w:r>
    </w:p>
    <w:p w14:paraId="3E9F4CB2"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The conceptual roots of natural farming trace back to Japanese agriculturist-philosopher Masanobu Fukuoka, who proposed a nature-aligned farming philosophy centred on minimal human interference and ecological harmony. His “do-nothing farming” concept emphasized natural nutrient recycling, minimal tillage, and biodiversity-driven pest regulation as pillars of sustainable cultivation (Fukuoka, 1987; Kassam et al., 2019). These ecological principles inspired several organic and natural farming initiatives globally.</w:t>
      </w:r>
    </w:p>
    <w:p w14:paraId="004E1B9D"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the Indian context, the modern natural farming movement has been shaped predominantly by the Zero Budget Natural Farming (ZBNF) framework initiated by </w:t>
      </w:r>
      <w:proofErr w:type="spellStart"/>
      <w:r w:rsidRPr="00C54A7C">
        <w:rPr>
          <w:rFonts w:ascii="Arial" w:hAnsi="Arial" w:cs="Arial"/>
          <w:sz w:val="20"/>
          <w:szCs w:val="20"/>
        </w:rPr>
        <w:t>Shri</w:t>
      </w:r>
      <w:proofErr w:type="spellEnd"/>
      <w:r w:rsidRPr="00C54A7C">
        <w:rPr>
          <w:rFonts w:ascii="Arial" w:hAnsi="Arial" w:cs="Arial"/>
          <w:sz w:val="20"/>
          <w:szCs w:val="20"/>
        </w:rPr>
        <w:t xml:space="preserve"> </w:t>
      </w:r>
      <w:proofErr w:type="spellStart"/>
      <w:r w:rsidRPr="00C54A7C">
        <w:rPr>
          <w:rFonts w:ascii="Arial" w:hAnsi="Arial" w:cs="Arial"/>
          <w:sz w:val="20"/>
          <w:szCs w:val="20"/>
        </w:rPr>
        <w:t>Subhash</w:t>
      </w:r>
      <w:proofErr w:type="spellEnd"/>
      <w:r w:rsidRPr="00C54A7C">
        <w:rPr>
          <w:rFonts w:ascii="Arial" w:hAnsi="Arial" w:cs="Arial"/>
          <w:sz w:val="20"/>
          <w:szCs w:val="20"/>
        </w:rPr>
        <w:t xml:space="preserve"> </w:t>
      </w:r>
      <w:proofErr w:type="spellStart"/>
      <w:r w:rsidRPr="00C54A7C">
        <w:rPr>
          <w:rFonts w:ascii="Arial" w:hAnsi="Arial" w:cs="Arial"/>
          <w:sz w:val="20"/>
          <w:szCs w:val="20"/>
        </w:rPr>
        <w:t>Palekar</w:t>
      </w:r>
      <w:proofErr w:type="spellEnd"/>
      <w:r w:rsidRPr="00C54A7C">
        <w:rPr>
          <w:rFonts w:ascii="Arial" w:hAnsi="Arial" w:cs="Arial"/>
          <w:sz w:val="20"/>
          <w:szCs w:val="20"/>
        </w:rPr>
        <w:t>. This approach promotes the elimination of purchased inputs to reduce farmers’ dependence on credit and lower cultivation costs (</w:t>
      </w:r>
      <w:proofErr w:type="spellStart"/>
      <w:r w:rsidRPr="00C54A7C">
        <w:rPr>
          <w:rFonts w:ascii="Arial" w:hAnsi="Arial" w:cs="Arial"/>
          <w:sz w:val="20"/>
          <w:szCs w:val="20"/>
        </w:rPr>
        <w:t>Khadse</w:t>
      </w:r>
      <w:proofErr w:type="spellEnd"/>
      <w:r w:rsidRPr="00C54A7C">
        <w:rPr>
          <w:rFonts w:ascii="Arial" w:hAnsi="Arial" w:cs="Arial"/>
          <w:sz w:val="20"/>
          <w:szCs w:val="20"/>
        </w:rPr>
        <w:t xml:space="preserve"> et al., 2017; Mishra, 2018). ZBNF has gained notable acceptance in states such as Andhra Pradesh, Karnataka, Maharashtra, and Himachal Pradesh, supported to varying degrees by institutional and government initiatives (Niyogi, 2018; Government of India, 2019).</w:t>
      </w:r>
    </w:p>
    <w:p w14:paraId="4F860C6F" w14:textId="77777777" w:rsidR="00C54A7C" w:rsidRPr="00C54A7C" w:rsidRDefault="00C54A7C" w:rsidP="00C54A7C">
      <w:pPr>
        <w:spacing w:line="360" w:lineRule="auto"/>
        <w:jc w:val="both"/>
        <w:rPr>
          <w:rFonts w:ascii="Arial" w:hAnsi="Arial" w:cs="Arial"/>
          <w:color w:val="0D0D0D" w:themeColor="text1" w:themeTint="F2"/>
          <w:sz w:val="20"/>
          <w:szCs w:val="20"/>
        </w:rPr>
      </w:pPr>
      <w:r w:rsidRPr="00C54A7C">
        <w:rPr>
          <w:rFonts w:ascii="Arial" w:hAnsi="Arial" w:cs="Arial"/>
          <w:color w:val="0D0D0D" w:themeColor="text1" w:themeTint="F2"/>
          <w:sz w:val="20"/>
          <w:szCs w:val="20"/>
        </w:rPr>
        <w:t>Highlighting the predominance of smallholder farmers (68.5 per cent marginal and 17.7 per cent small farmers) in India. The Economic Survey (2019) emphasized the importance of Zero Budget Natural Farming (ZBNF) as one of the alternative farming practices for improving the farmers’ income, in the backdrop of declining fertilizer response and farm income. Biological sciences (</w:t>
      </w:r>
      <w:r w:rsidRPr="00C54A7C">
        <w:rPr>
          <w:rFonts w:ascii="Arial" w:hAnsi="Arial" w:cs="Arial"/>
          <w:i/>
          <w:iCs/>
          <w:color w:val="0D0D0D" w:themeColor="text1" w:themeTint="F2"/>
          <w:sz w:val="20"/>
          <w:szCs w:val="20"/>
        </w:rPr>
        <w:t xml:space="preserve">e.g. </w:t>
      </w:r>
      <w:r w:rsidRPr="00C54A7C">
        <w:rPr>
          <w:rFonts w:ascii="Arial" w:hAnsi="Arial" w:cs="Arial"/>
          <w:color w:val="0D0D0D" w:themeColor="text1" w:themeTint="F2"/>
          <w:sz w:val="20"/>
          <w:szCs w:val="20"/>
        </w:rPr>
        <w:t xml:space="preserve">microbiology, ecology, soil science) with their increasingly “symbiotic” (Gilbert </w:t>
      </w:r>
      <w:r w:rsidRPr="00C54A7C">
        <w:rPr>
          <w:rFonts w:ascii="Arial" w:hAnsi="Arial" w:cs="Arial"/>
          <w:i/>
          <w:iCs/>
          <w:color w:val="0D0D0D" w:themeColor="text1" w:themeTint="F2"/>
          <w:sz w:val="20"/>
          <w:szCs w:val="20"/>
        </w:rPr>
        <w:t>et al.</w:t>
      </w:r>
      <w:r w:rsidRPr="00C54A7C">
        <w:rPr>
          <w:rFonts w:ascii="Arial" w:hAnsi="Arial" w:cs="Arial"/>
          <w:color w:val="0D0D0D" w:themeColor="text1" w:themeTint="F2"/>
          <w:sz w:val="20"/>
          <w:szCs w:val="20"/>
        </w:rPr>
        <w:t>, 2012) and “probiotic” (Lorimer, 2017) understandings of soil and plant life are also an inspiration for the ecological renewal of agriculture. The core idea of natural farming is to encourage the growth of beneficial microbes without relying on external fertilizers or synthetic pesticides. Legumes, in this context, are valuable because they capture atmospheric nitrogen, enriching the soil (</w:t>
      </w:r>
      <w:proofErr w:type="spellStart"/>
      <w:r w:rsidRPr="00C54A7C">
        <w:rPr>
          <w:rFonts w:ascii="Arial" w:hAnsi="Arial" w:cs="Arial"/>
          <w:color w:val="0D0D0D" w:themeColor="text1" w:themeTint="F2"/>
          <w:sz w:val="20"/>
          <w:szCs w:val="20"/>
        </w:rPr>
        <w:t>Raveena</w:t>
      </w:r>
      <w:proofErr w:type="spellEnd"/>
      <w:r w:rsidRPr="00C54A7C">
        <w:rPr>
          <w:rFonts w:ascii="Arial" w:hAnsi="Arial" w:cs="Arial"/>
          <w:color w:val="0D0D0D" w:themeColor="text1" w:themeTint="F2"/>
          <w:sz w:val="20"/>
          <w:szCs w:val="20"/>
        </w:rPr>
        <w:t xml:space="preserve"> </w:t>
      </w:r>
      <w:r w:rsidRPr="00C54A7C">
        <w:rPr>
          <w:rFonts w:ascii="Arial" w:hAnsi="Arial" w:cs="Arial"/>
          <w:i/>
          <w:iCs/>
          <w:color w:val="0D0D0D" w:themeColor="text1" w:themeTint="F2"/>
          <w:sz w:val="20"/>
          <w:szCs w:val="20"/>
        </w:rPr>
        <w:t>et al.</w:t>
      </w:r>
      <w:r w:rsidRPr="00C54A7C">
        <w:rPr>
          <w:rFonts w:ascii="Arial" w:hAnsi="Arial" w:cs="Arial"/>
          <w:color w:val="0D0D0D" w:themeColor="text1" w:themeTint="F2"/>
          <w:sz w:val="20"/>
          <w:szCs w:val="20"/>
        </w:rPr>
        <w:t>, 2024).</w:t>
      </w:r>
    </w:p>
    <w:p w14:paraId="6497D338"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lastRenderedPageBreak/>
        <w:t xml:space="preserve">These adverse impacts on soil health, ecosystem services, and climate resilience have intensified interest in alternative farming models that are environmentally sustainable, economically viable, and socially acceptable. Agroecological approaches have gained international recognition for their potential to balance productivity with environmental conservation by emphasizing biodiversity, soil biological processes, and resource recycling (Pretty et al., 2018; HLPE 2019; FAO, 2019). Within this broader agroecological paradigm, natural farming has emerged as a promising low-input farming strategy in India. </w:t>
      </w:r>
    </w:p>
    <w:p w14:paraId="2F8EEBDA" w14:textId="77777777"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Natural farming promotes the complete avoidance of synthetic fertilizers, pesticides, and herbicides, and instead relies on low-cost, locally available biological inputs to maintain soil fertility and crop productivity. Commonly used inputs include cow dung, cow urine, jaggery, pulse flour, and botanical extracts, complemented by mulching, live or dead crop covers, and diversified intercropping to enhance soil microbial activity and nutrient cycling (Kumar et al., 2019; </w:t>
      </w:r>
      <w:proofErr w:type="spellStart"/>
      <w:r w:rsidRPr="00C54A7C">
        <w:rPr>
          <w:rFonts w:ascii="Arial" w:hAnsi="Arial" w:cs="Arial"/>
          <w:sz w:val="20"/>
          <w:szCs w:val="20"/>
        </w:rPr>
        <w:t>Suganthy</w:t>
      </w:r>
      <w:proofErr w:type="spellEnd"/>
      <w:r w:rsidRPr="00C54A7C">
        <w:rPr>
          <w:rFonts w:ascii="Arial" w:hAnsi="Arial" w:cs="Arial"/>
          <w:sz w:val="20"/>
          <w:szCs w:val="20"/>
        </w:rPr>
        <w:t xml:space="preserve"> et al., 2023; </w:t>
      </w:r>
      <w:proofErr w:type="spellStart"/>
      <w:r w:rsidRPr="00C54A7C">
        <w:rPr>
          <w:rFonts w:ascii="Arial" w:hAnsi="Arial" w:cs="Arial"/>
          <w:sz w:val="20"/>
          <w:szCs w:val="20"/>
        </w:rPr>
        <w:t>Palekar</w:t>
      </w:r>
      <w:proofErr w:type="spellEnd"/>
      <w:r w:rsidRPr="00C54A7C">
        <w:rPr>
          <w:rFonts w:ascii="Arial" w:hAnsi="Arial" w:cs="Arial"/>
          <w:sz w:val="20"/>
          <w:szCs w:val="20"/>
        </w:rPr>
        <w:t xml:space="preserve">, 2016). By revitalizing soil biological processes, natural farming seeks to restore soil health, reduce cultivation costs, and improve farm resilience under increasing climatic variability (Reddy, 2020; Smith et al., 2020). </w:t>
      </w:r>
    </w:p>
    <w:p w14:paraId="63A79AFB" w14:textId="7BFC9135" w:rsidR="00C54A7C" w:rsidRPr="00C54A7C" w:rsidRDefault="00C54A7C" w:rsidP="00C54A7C">
      <w:pPr>
        <w:spacing w:line="360" w:lineRule="auto"/>
        <w:jc w:val="both"/>
        <w:rPr>
          <w:rFonts w:ascii="Arial" w:hAnsi="Arial" w:cs="Arial"/>
          <w:sz w:val="20"/>
          <w:szCs w:val="20"/>
        </w:rPr>
      </w:pPr>
      <w:r w:rsidRPr="00C54A7C">
        <w:rPr>
          <w:rFonts w:ascii="Arial" w:hAnsi="Arial" w:cs="Arial"/>
          <w:sz w:val="20"/>
          <w:szCs w:val="20"/>
        </w:rPr>
        <w:t xml:space="preserve">In recognition of its potential to address agrarian distress, environmental degradation, and climate risks, the Government of India introduced the </w:t>
      </w:r>
      <w:proofErr w:type="spellStart"/>
      <w:r w:rsidRPr="00C54A7C">
        <w:rPr>
          <w:rFonts w:ascii="Arial" w:hAnsi="Arial" w:cs="Arial"/>
          <w:b/>
          <w:bCs/>
          <w:sz w:val="20"/>
          <w:szCs w:val="20"/>
        </w:rPr>
        <w:t>Bharatiya</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Prakritik</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Krishi</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Paddhati</w:t>
      </w:r>
      <w:proofErr w:type="spellEnd"/>
      <w:r w:rsidRPr="00C54A7C">
        <w:rPr>
          <w:rFonts w:ascii="Arial" w:hAnsi="Arial" w:cs="Arial"/>
          <w:sz w:val="20"/>
          <w:szCs w:val="20"/>
        </w:rPr>
        <w:t xml:space="preserve"> (BPKP) in 2020–21 as a sub-scheme under the </w:t>
      </w:r>
      <w:proofErr w:type="spellStart"/>
      <w:r w:rsidRPr="00C54A7C">
        <w:rPr>
          <w:rFonts w:ascii="Arial" w:hAnsi="Arial" w:cs="Arial"/>
          <w:b/>
          <w:bCs/>
          <w:sz w:val="20"/>
          <w:szCs w:val="20"/>
        </w:rPr>
        <w:t>Paramparagat</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Krishi</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Vikas</w:t>
      </w:r>
      <w:proofErr w:type="spellEnd"/>
      <w:r w:rsidRPr="00C54A7C">
        <w:rPr>
          <w:rFonts w:ascii="Arial" w:hAnsi="Arial" w:cs="Arial"/>
          <w:b/>
          <w:bCs/>
          <w:sz w:val="20"/>
          <w:szCs w:val="20"/>
        </w:rPr>
        <w:t xml:space="preserve"> </w:t>
      </w:r>
      <w:proofErr w:type="spellStart"/>
      <w:r w:rsidRPr="00C54A7C">
        <w:rPr>
          <w:rFonts w:ascii="Arial" w:hAnsi="Arial" w:cs="Arial"/>
          <w:b/>
          <w:bCs/>
          <w:sz w:val="20"/>
          <w:szCs w:val="20"/>
        </w:rPr>
        <w:t>Yojana</w:t>
      </w:r>
      <w:proofErr w:type="spellEnd"/>
      <w:r w:rsidRPr="00C54A7C">
        <w:rPr>
          <w:rFonts w:ascii="Arial" w:hAnsi="Arial" w:cs="Arial"/>
          <w:b/>
          <w:bCs/>
          <w:sz w:val="20"/>
          <w:szCs w:val="20"/>
        </w:rPr>
        <w:t xml:space="preserve"> (PKVY).</w:t>
      </w:r>
      <w:r w:rsidRPr="00C54A7C">
        <w:rPr>
          <w:rFonts w:ascii="Arial" w:hAnsi="Arial" w:cs="Arial"/>
          <w:sz w:val="20"/>
          <w:szCs w:val="20"/>
        </w:rPr>
        <w:t xml:space="preserve"> The initiative focuses on promoting chemical-free agriculture through capacity-building programs, on-farm preparation of biological inputs, and farmer-to-farmer extension mechanisms (Ministry of Agriculture and Farmers Welfare, 2021). This policy direction is aligned with global sustainability agendas that highlight agroecological transitions as central to securing food security, environmental protection, and climate resilience (FAO, 2019; IPCC, 2022.</w:t>
      </w:r>
    </w:p>
    <w:p w14:paraId="13C6DBE7" w14:textId="77777777" w:rsidR="00170CA1" w:rsidRDefault="00170CA1" w:rsidP="008B5163">
      <w:pPr>
        <w:spacing w:line="360" w:lineRule="auto"/>
        <w:jc w:val="both"/>
        <w:rPr>
          <w:rFonts w:ascii="Arial" w:hAnsi="Arial" w:cs="Arial"/>
          <w:b/>
          <w:bCs/>
        </w:rPr>
      </w:pPr>
    </w:p>
    <w:p w14:paraId="3E2608B9" w14:textId="77777777" w:rsidR="00170CA1" w:rsidRDefault="00170CA1" w:rsidP="008B5163">
      <w:pPr>
        <w:spacing w:line="360" w:lineRule="auto"/>
        <w:jc w:val="both"/>
        <w:rPr>
          <w:rFonts w:ascii="Arial" w:hAnsi="Arial" w:cs="Arial"/>
          <w:b/>
          <w:bCs/>
        </w:rPr>
      </w:pPr>
    </w:p>
    <w:p w14:paraId="5839B7D2" w14:textId="77777777" w:rsidR="00170CA1" w:rsidRDefault="00170CA1" w:rsidP="008B5163">
      <w:pPr>
        <w:spacing w:line="360" w:lineRule="auto"/>
        <w:jc w:val="both"/>
        <w:rPr>
          <w:rFonts w:ascii="Arial" w:hAnsi="Arial" w:cs="Arial"/>
          <w:b/>
          <w:bCs/>
        </w:rPr>
      </w:pPr>
    </w:p>
    <w:p w14:paraId="7AE56416" w14:textId="77777777" w:rsidR="00170CA1" w:rsidRDefault="00170CA1" w:rsidP="008B5163">
      <w:pPr>
        <w:spacing w:line="360" w:lineRule="auto"/>
        <w:jc w:val="both"/>
        <w:rPr>
          <w:rFonts w:ascii="Arial" w:hAnsi="Arial" w:cs="Arial"/>
          <w:b/>
          <w:bCs/>
        </w:rPr>
      </w:pPr>
    </w:p>
    <w:p w14:paraId="4DCA8BD8" w14:textId="77777777" w:rsidR="00170CA1" w:rsidRDefault="00170CA1" w:rsidP="008B5163">
      <w:pPr>
        <w:spacing w:line="360" w:lineRule="auto"/>
        <w:jc w:val="both"/>
        <w:rPr>
          <w:rFonts w:ascii="Arial" w:hAnsi="Arial" w:cs="Arial"/>
          <w:b/>
          <w:bCs/>
        </w:rPr>
      </w:pPr>
    </w:p>
    <w:p w14:paraId="04A12AAC" w14:textId="77777777" w:rsidR="00170CA1" w:rsidRDefault="00170CA1" w:rsidP="008B5163">
      <w:pPr>
        <w:spacing w:line="360" w:lineRule="auto"/>
        <w:jc w:val="both"/>
        <w:rPr>
          <w:rFonts w:ascii="Arial" w:hAnsi="Arial" w:cs="Arial"/>
          <w:b/>
          <w:bCs/>
        </w:rPr>
      </w:pPr>
    </w:p>
    <w:p w14:paraId="25653EBE" w14:textId="77777777" w:rsidR="00170CA1" w:rsidRDefault="00170CA1" w:rsidP="008B5163">
      <w:pPr>
        <w:spacing w:line="360" w:lineRule="auto"/>
        <w:jc w:val="both"/>
        <w:rPr>
          <w:rFonts w:ascii="Arial" w:hAnsi="Arial" w:cs="Arial"/>
          <w:b/>
          <w:bCs/>
        </w:rPr>
      </w:pPr>
    </w:p>
    <w:p w14:paraId="6B179E39" w14:textId="77777777" w:rsidR="00AC3A7C" w:rsidRDefault="00AC3A7C" w:rsidP="008B5163">
      <w:pPr>
        <w:spacing w:line="360" w:lineRule="auto"/>
        <w:jc w:val="both"/>
        <w:rPr>
          <w:rFonts w:ascii="Arial" w:hAnsi="Arial" w:cs="Arial"/>
          <w:b/>
          <w:bCs/>
        </w:rPr>
      </w:pPr>
    </w:p>
    <w:p w14:paraId="041DD38B" w14:textId="77777777" w:rsidR="00AC3A7C" w:rsidRDefault="00AC3A7C" w:rsidP="008B5163">
      <w:pPr>
        <w:spacing w:line="360" w:lineRule="auto"/>
        <w:jc w:val="both"/>
        <w:rPr>
          <w:rFonts w:ascii="Arial" w:hAnsi="Arial" w:cs="Arial"/>
          <w:b/>
          <w:bCs/>
        </w:rPr>
      </w:pPr>
    </w:p>
    <w:p w14:paraId="07491F17" w14:textId="77777777" w:rsidR="00AC3A7C" w:rsidRDefault="00AC3A7C" w:rsidP="008B5163">
      <w:pPr>
        <w:spacing w:line="360" w:lineRule="auto"/>
        <w:jc w:val="both"/>
        <w:rPr>
          <w:rFonts w:ascii="Arial" w:hAnsi="Arial" w:cs="Arial"/>
          <w:b/>
          <w:bCs/>
        </w:rPr>
      </w:pPr>
    </w:p>
    <w:p w14:paraId="7EFD3D78" w14:textId="35EECE18" w:rsidR="008B5163" w:rsidRPr="00BD7F39" w:rsidRDefault="00505ECF" w:rsidP="008B5163">
      <w:pPr>
        <w:spacing w:line="360" w:lineRule="auto"/>
        <w:jc w:val="both"/>
        <w:rPr>
          <w:rFonts w:ascii="Arial" w:hAnsi="Arial" w:cs="Arial"/>
          <w:b/>
          <w:bCs/>
        </w:rPr>
      </w:pPr>
      <w:commentRangeStart w:id="3"/>
      <w:r w:rsidRPr="00BD7F39">
        <w:rPr>
          <w:rFonts w:ascii="Arial" w:hAnsi="Arial" w:cs="Arial"/>
          <w:b/>
          <w:bCs/>
        </w:rPr>
        <w:lastRenderedPageBreak/>
        <w:t xml:space="preserve">1.1 </w:t>
      </w:r>
      <w:r w:rsidR="008B5163" w:rsidRPr="00BD7F39">
        <w:rPr>
          <w:rFonts w:ascii="Arial" w:hAnsi="Arial" w:cs="Arial"/>
          <w:b/>
          <w:bCs/>
        </w:rPr>
        <w:t>Benefits of Natural Farming</w:t>
      </w:r>
      <w:commentRangeEnd w:id="3"/>
      <w:r w:rsidR="00A327F2">
        <w:rPr>
          <w:rStyle w:val="CommentReference"/>
        </w:rPr>
        <w:commentReference w:id="3"/>
      </w:r>
    </w:p>
    <w:p w14:paraId="4A74DC40" w14:textId="501C4C1E" w:rsidR="008B5163" w:rsidRPr="00BD7F39" w:rsidRDefault="008B5163" w:rsidP="008B5163">
      <w:pPr>
        <w:spacing w:line="360" w:lineRule="auto"/>
        <w:jc w:val="both"/>
        <w:rPr>
          <w:rFonts w:ascii="Arial" w:hAnsi="Arial" w:cs="Arial"/>
          <w:b/>
          <w:bCs/>
        </w:rPr>
      </w:pPr>
      <w:r w:rsidRPr="00BD7F39">
        <w:rPr>
          <w:rFonts w:ascii="Arial" w:hAnsi="Arial" w:cs="Arial"/>
          <w:b/>
          <w:bCs/>
          <w:noProof/>
          <w:lang w:val="en-US"/>
        </w:rPr>
        <w:drawing>
          <wp:inline distT="0" distB="0" distL="0" distR="0" wp14:anchorId="68A0F45C" wp14:editId="19F4E10B">
            <wp:extent cx="5731510" cy="3098800"/>
            <wp:effectExtent l="0" t="19050" r="21590" b="44450"/>
            <wp:docPr id="2348399" name="Diagra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C1A774-8073-3B41-0968-B542FC1B10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04DD65F" w14:textId="77777777" w:rsidR="008B5163" w:rsidRPr="00BD7F39" w:rsidRDefault="008B5163" w:rsidP="008B5163">
      <w:pPr>
        <w:spacing w:line="360" w:lineRule="auto"/>
        <w:jc w:val="center"/>
        <w:rPr>
          <w:rFonts w:ascii="Arial" w:hAnsi="Arial" w:cs="Arial"/>
          <w:b/>
          <w:bCs/>
          <w:sz w:val="20"/>
          <w:szCs w:val="20"/>
        </w:rPr>
      </w:pPr>
      <w:r w:rsidRPr="00BD7F39">
        <w:rPr>
          <w:rFonts w:ascii="Arial" w:hAnsi="Arial" w:cs="Arial"/>
          <w:b/>
          <w:bCs/>
          <w:sz w:val="20"/>
          <w:szCs w:val="20"/>
        </w:rPr>
        <w:t>Fig 1: Benefits of natural farming</w:t>
      </w:r>
    </w:p>
    <w:p w14:paraId="27E25BE1" w14:textId="201427C6" w:rsidR="0016769A" w:rsidRPr="00BD7F39" w:rsidRDefault="008B5163" w:rsidP="00B87614">
      <w:pPr>
        <w:spacing w:line="360" w:lineRule="auto"/>
        <w:jc w:val="center"/>
        <w:rPr>
          <w:rFonts w:ascii="Arial" w:hAnsi="Arial" w:cs="Arial"/>
          <w:b/>
          <w:bCs/>
          <w:sz w:val="20"/>
          <w:szCs w:val="20"/>
        </w:rPr>
      </w:pPr>
      <w:r w:rsidRPr="00BD7F39">
        <w:rPr>
          <w:rFonts w:ascii="Arial" w:hAnsi="Arial" w:cs="Arial"/>
          <w:b/>
          <w:bCs/>
          <w:sz w:val="20"/>
          <w:szCs w:val="20"/>
        </w:rPr>
        <w:t xml:space="preserve">Source: </w:t>
      </w:r>
      <w:r w:rsidRPr="00BD7F39">
        <w:rPr>
          <w:rFonts w:ascii="Arial" w:hAnsi="Arial" w:cs="Arial"/>
          <w:sz w:val="20"/>
          <w:szCs w:val="20"/>
        </w:rPr>
        <w:t>(</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Ranjit Kumar et al., 2019)</w:t>
      </w:r>
    </w:p>
    <w:p w14:paraId="725E806E" w14:textId="677252E0" w:rsidR="000F0552" w:rsidRPr="00BD7F39" w:rsidRDefault="00505ECF" w:rsidP="000F0552">
      <w:pPr>
        <w:spacing w:line="360" w:lineRule="auto"/>
        <w:jc w:val="both"/>
        <w:rPr>
          <w:rFonts w:ascii="Arial" w:hAnsi="Arial" w:cs="Arial"/>
          <w:b/>
          <w:bCs/>
        </w:rPr>
      </w:pPr>
      <w:r w:rsidRPr="00BD7F39">
        <w:rPr>
          <w:rFonts w:ascii="Arial" w:hAnsi="Arial" w:cs="Arial"/>
          <w:b/>
          <w:bCs/>
        </w:rPr>
        <w:t xml:space="preserve">1.2. </w:t>
      </w:r>
      <w:r w:rsidR="000F0552" w:rsidRPr="00BD7F39">
        <w:rPr>
          <w:rFonts w:ascii="Arial" w:hAnsi="Arial" w:cs="Arial"/>
          <w:b/>
          <w:bCs/>
        </w:rPr>
        <w:t>Challenges and Limitations of Natural Farming</w:t>
      </w:r>
    </w:p>
    <w:p w14:paraId="2E71E2FD" w14:textId="17C90568"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1.2.1</w:t>
      </w:r>
      <w:r w:rsidR="00D849A4" w:rsidRPr="00BD7F39">
        <w:rPr>
          <w:rFonts w:ascii="Arial" w:hAnsi="Arial" w:cs="Arial"/>
          <w:b/>
          <w:bCs/>
          <w:sz w:val="20"/>
          <w:szCs w:val="20"/>
        </w:rPr>
        <w:t xml:space="preserve">. </w:t>
      </w:r>
      <w:r w:rsidR="000F0552" w:rsidRPr="00BD7F39">
        <w:rPr>
          <w:rFonts w:ascii="Arial" w:hAnsi="Arial" w:cs="Arial"/>
          <w:b/>
          <w:bCs/>
          <w:sz w:val="20"/>
          <w:szCs w:val="20"/>
        </w:rPr>
        <w:t>Yield Impact and Productivity Trade-offs</w:t>
      </w:r>
    </w:p>
    <w:p w14:paraId="621DD475"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The productivity of natural farming systems varies significantly across regions and contexts. Some studies have documented yield parity or even modest gains after an initial transition phase, especially in rainfed, diversified, and low-input farming environments (</w:t>
      </w:r>
      <w:proofErr w:type="spellStart"/>
      <w:r w:rsidRPr="00BD7F39">
        <w:rPr>
          <w:rFonts w:ascii="Arial" w:hAnsi="Arial" w:cs="Arial"/>
          <w:sz w:val="20"/>
          <w:szCs w:val="20"/>
        </w:rPr>
        <w:t>Khadse</w:t>
      </w:r>
      <w:proofErr w:type="spellEnd"/>
      <w:r w:rsidRPr="00BD7F39">
        <w:rPr>
          <w:rFonts w:ascii="Arial" w:hAnsi="Arial" w:cs="Arial"/>
          <w:sz w:val="20"/>
          <w:szCs w:val="20"/>
        </w:rPr>
        <w:t xml:space="preserve"> et al., 2017; Reddy, 2020; Smith et al., 2020). However, yield reductions are commonly reported compared to conventional high-input agriculture, particularly for nutrient-demanding cereals such as basmati rice and wheat during early adoption years (Kumar et al., 2019; Das et al., 2024).</w:t>
      </w:r>
    </w:p>
    <w:p w14:paraId="2D6C7076"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Yield variability is influenced by multiple factors, including baseline soil fertility, organic carbon content, microbial diversity, climatic conditions, crop genotype, and farmers’ management skills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Dwivedi et al., 2021). Global meta-analyses of organic and low-input systems indicate yield gaps of 10–25% compared to conventional systems, though these gaps narrow with diversified cropping, legume integration, and improved soil management (Seufert et al., 2012; </w:t>
      </w:r>
      <w:proofErr w:type="spellStart"/>
      <w:r w:rsidRPr="00BD7F39">
        <w:rPr>
          <w:rFonts w:ascii="Arial" w:hAnsi="Arial" w:cs="Arial"/>
          <w:sz w:val="20"/>
          <w:szCs w:val="20"/>
        </w:rPr>
        <w:t>Ponisio</w:t>
      </w:r>
      <w:proofErr w:type="spellEnd"/>
      <w:r w:rsidRPr="00BD7F39">
        <w:rPr>
          <w:rFonts w:ascii="Arial" w:hAnsi="Arial" w:cs="Arial"/>
          <w:sz w:val="20"/>
          <w:szCs w:val="20"/>
        </w:rPr>
        <w:t xml:space="preserve"> et al., 2015; Knapp and van der Heijden, 2018). Long-term studies suggest that yield penalties diminish as soil biological processes stabilize and nutrient cycling becomes more efficient, highlighting the importance of time in assessing natural farming productivity (Pretty et al., 2018; </w:t>
      </w:r>
      <w:proofErr w:type="spellStart"/>
      <w:r w:rsidRPr="00BD7F39">
        <w:rPr>
          <w:rFonts w:ascii="Arial" w:hAnsi="Arial" w:cs="Arial"/>
          <w:sz w:val="20"/>
          <w:szCs w:val="20"/>
        </w:rPr>
        <w:t>Peeters</w:t>
      </w:r>
      <w:proofErr w:type="spellEnd"/>
      <w:r w:rsidRPr="00BD7F39">
        <w:rPr>
          <w:rFonts w:ascii="Arial" w:hAnsi="Arial" w:cs="Arial"/>
          <w:sz w:val="20"/>
          <w:szCs w:val="20"/>
        </w:rPr>
        <w:t xml:space="preserve"> et al., 2025). Short-term comparisons may therefore underestimate the long-term agronomic potential of natural farming systems.</w:t>
      </w:r>
    </w:p>
    <w:p w14:paraId="34231E2F" w14:textId="140C3A7B" w:rsidR="000F0552" w:rsidRPr="00BD7F39" w:rsidRDefault="00505ECF" w:rsidP="00505ECF">
      <w:pPr>
        <w:spacing w:line="360" w:lineRule="auto"/>
        <w:jc w:val="both"/>
        <w:rPr>
          <w:rFonts w:ascii="Arial" w:hAnsi="Arial" w:cs="Arial"/>
          <w:b/>
          <w:bCs/>
          <w:sz w:val="20"/>
          <w:szCs w:val="20"/>
        </w:rPr>
      </w:pPr>
      <w:r w:rsidRPr="00BD7F39">
        <w:rPr>
          <w:rFonts w:ascii="Arial" w:hAnsi="Arial" w:cs="Arial"/>
          <w:b/>
          <w:bCs/>
          <w:sz w:val="20"/>
          <w:szCs w:val="20"/>
        </w:rPr>
        <w:t xml:space="preserve">1.2.2. </w:t>
      </w:r>
      <w:r w:rsidR="000F0552" w:rsidRPr="00BD7F39">
        <w:rPr>
          <w:rFonts w:ascii="Arial" w:hAnsi="Arial" w:cs="Arial"/>
          <w:b/>
          <w:bCs/>
          <w:sz w:val="20"/>
          <w:szCs w:val="20"/>
        </w:rPr>
        <w:t>Scientific Validation and Evidence Gaps</w:t>
      </w:r>
    </w:p>
    <w:p w14:paraId="4249B735" w14:textId="6FC8EE2B"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lastRenderedPageBreak/>
        <w:t>Despite increasing adoption, the scientific validation of natural farming practices remains limited. Many existing studies rely on short-term trials, farmer-reported outcomes, or small-scale experiments, which restricts generalizability (Kumar et al., 2019; Das et al., 2024). The absence of standardized protocols and inconsistent definitions of natural farming further complicates cross-study comparisons (</w:t>
      </w:r>
      <w:r w:rsidR="00762850" w:rsidRPr="00BD7F39">
        <w:rPr>
          <w:rFonts w:ascii="Arial" w:hAnsi="Arial" w:cs="Arial"/>
          <w:sz w:val="20"/>
          <w:szCs w:val="20"/>
        </w:rPr>
        <w:t xml:space="preserve">FAO </w:t>
      </w:r>
      <w:r w:rsidRPr="00BD7F39">
        <w:rPr>
          <w:rFonts w:ascii="Arial" w:hAnsi="Arial" w:cs="Arial"/>
          <w:sz w:val="20"/>
          <w:szCs w:val="20"/>
        </w:rPr>
        <w:t>2019</w:t>
      </w:r>
      <w:r w:rsidR="00285DDE" w:rsidRPr="00BD7F39">
        <w:rPr>
          <w:rFonts w:ascii="Arial" w:hAnsi="Arial" w:cs="Arial"/>
          <w:sz w:val="20"/>
          <w:szCs w:val="20"/>
        </w:rPr>
        <w:t xml:space="preserve"> a</w:t>
      </w:r>
      <w:r w:rsidRPr="00BD7F39">
        <w:rPr>
          <w:rFonts w:ascii="Arial" w:hAnsi="Arial" w:cs="Arial"/>
          <w:sz w:val="20"/>
          <w:szCs w:val="20"/>
        </w:rPr>
        <w:t>; Kassam et al., 2019).</w:t>
      </w:r>
    </w:p>
    <w:p w14:paraId="210646B2" w14:textId="409FC3DA"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While core principles such as microbial stimulation, mulching, and reduced chemical dependency are supported by scientific evidence, specific bio-input formulations (e.g.,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Beejamrit</w:t>
      </w:r>
      <w:proofErr w:type="spellEnd"/>
      <w:r w:rsidRPr="00BD7F39">
        <w:rPr>
          <w:rFonts w:ascii="Arial" w:hAnsi="Arial" w:cs="Arial"/>
          <w:sz w:val="20"/>
          <w:szCs w:val="20"/>
        </w:rPr>
        <w:t>) require rigorous, multi-location, long-term validation to quantify their effects on nutrient availability, yield stability, and pest suppression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Dwivedi et al., 2021). Meta-analyses emphasize the need for systems-based evaluations that integrate soil, crop, climate, and socio-economic outcomes, rather than focusing solely on input–output relationships (</w:t>
      </w:r>
      <w:r w:rsidR="00762850" w:rsidRPr="00BD7F39">
        <w:rPr>
          <w:rFonts w:ascii="Arial" w:hAnsi="Arial" w:cs="Arial"/>
          <w:sz w:val="20"/>
          <w:szCs w:val="20"/>
        </w:rPr>
        <w:t>FAO</w:t>
      </w:r>
      <w:r w:rsidRPr="00BD7F39">
        <w:rPr>
          <w:rFonts w:ascii="Arial" w:hAnsi="Arial" w:cs="Arial"/>
          <w:sz w:val="20"/>
          <w:szCs w:val="20"/>
        </w:rPr>
        <w:t>, 2019; IPCC, 2022).</w:t>
      </w:r>
    </w:p>
    <w:p w14:paraId="08D2D75C" w14:textId="16493264"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 xml:space="preserve">1.2.3 </w:t>
      </w:r>
      <w:r w:rsidR="000F0552" w:rsidRPr="00BD7F39">
        <w:rPr>
          <w:rFonts w:ascii="Arial" w:hAnsi="Arial" w:cs="Arial"/>
          <w:b/>
          <w:bCs/>
          <w:sz w:val="20"/>
          <w:szCs w:val="20"/>
        </w:rPr>
        <w:t>Input Availability and Scalability Constraints</w:t>
      </w:r>
    </w:p>
    <w:p w14:paraId="1B9C9CD8" w14:textId="34D9B77D"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The scalability of natural farming is constrained by the region-specific availability of key inputs, particularly indigenous cow dung and urine. Smallholder farmers without livestock or access to local breeds face difficulties in preparing bio-inputs at scale (Kumar et al., 2019; Mishra, 2018). Livestock population density, labo</w:t>
      </w:r>
      <w:r w:rsidR="002E554E" w:rsidRPr="00BD7F39">
        <w:rPr>
          <w:rFonts w:ascii="Arial" w:hAnsi="Arial" w:cs="Arial"/>
          <w:sz w:val="20"/>
          <w:szCs w:val="20"/>
        </w:rPr>
        <w:t>u</w:t>
      </w:r>
      <w:r w:rsidRPr="00BD7F39">
        <w:rPr>
          <w:rFonts w:ascii="Arial" w:hAnsi="Arial" w:cs="Arial"/>
          <w:sz w:val="20"/>
          <w:szCs w:val="20"/>
        </w:rPr>
        <w:t>r availability, and seasonal workload significantly affect feasibility, especially in densely populated or peri-urban regions (Ranjit Kumar et al., 2019; Government of India, 2019).</w:t>
      </w:r>
    </w:p>
    <w:p w14:paraId="6239DBB0" w14:textId="7B965405"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Additionally, the labo</w:t>
      </w:r>
      <w:r w:rsidR="002E554E" w:rsidRPr="00BD7F39">
        <w:rPr>
          <w:rFonts w:ascii="Arial" w:hAnsi="Arial" w:cs="Arial"/>
          <w:sz w:val="20"/>
          <w:szCs w:val="20"/>
        </w:rPr>
        <w:t>u</w:t>
      </w:r>
      <w:r w:rsidRPr="00BD7F39">
        <w:rPr>
          <w:rFonts w:ascii="Arial" w:hAnsi="Arial" w:cs="Arial"/>
          <w:sz w:val="20"/>
          <w:szCs w:val="20"/>
        </w:rPr>
        <w:t>r-intensive nature of bio-input preparation and application may limit adoption among aging farming populations or in areas experiencing rural labo</w:t>
      </w:r>
      <w:r w:rsidR="002E554E" w:rsidRPr="00BD7F39">
        <w:rPr>
          <w:rFonts w:ascii="Arial" w:hAnsi="Arial" w:cs="Arial"/>
          <w:sz w:val="20"/>
          <w:szCs w:val="20"/>
        </w:rPr>
        <w:t>u</w:t>
      </w:r>
      <w:r w:rsidRPr="00BD7F39">
        <w:rPr>
          <w:rFonts w:ascii="Arial" w:hAnsi="Arial" w:cs="Arial"/>
          <w:sz w:val="20"/>
          <w:szCs w:val="20"/>
        </w:rPr>
        <w:t xml:space="preserve">r shortages (Reddy, 2020; Smith et al., 2020). Decentralized community-based input production units, standardized formulations, and region-specific alternatives are suggested to address these challenges (Niyogi, 2018; </w:t>
      </w:r>
      <w:r w:rsidR="00762850" w:rsidRPr="00BD7F39">
        <w:rPr>
          <w:rFonts w:ascii="Arial" w:hAnsi="Arial" w:cs="Arial"/>
          <w:sz w:val="20"/>
          <w:szCs w:val="20"/>
        </w:rPr>
        <w:t xml:space="preserve">FAO </w:t>
      </w:r>
      <w:r w:rsidRPr="00BD7F39">
        <w:rPr>
          <w:rFonts w:ascii="Arial" w:hAnsi="Arial" w:cs="Arial"/>
          <w:sz w:val="20"/>
          <w:szCs w:val="20"/>
        </w:rPr>
        <w:t>2019).</w:t>
      </w:r>
    </w:p>
    <w:p w14:paraId="60ADEB3E" w14:textId="1EC9EBE1" w:rsidR="000F0552" w:rsidRPr="00BD7F39" w:rsidRDefault="00505ECF" w:rsidP="000F0552">
      <w:pPr>
        <w:spacing w:line="360" w:lineRule="auto"/>
        <w:jc w:val="both"/>
        <w:rPr>
          <w:rFonts w:ascii="Arial" w:hAnsi="Arial" w:cs="Arial"/>
          <w:b/>
          <w:bCs/>
          <w:sz w:val="20"/>
          <w:szCs w:val="20"/>
        </w:rPr>
      </w:pPr>
      <w:r w:rsidRPr="00BD7F39">
        <w:rPr>
          <w:rFonts w:ascii="Arial" w:hAnsi="Arial" w:cs="Arial"/>
          <w:b/>
          <w:bCs/>
          <w:sz w:val="20"/>
          <w:szCs w:val="20"/>
        </w:rPr>
        <w:t xml:space="preserve">1.2.4 </w:t>
      </w:r>
      <w:r w:rsidR="000F0552" w:rsidRPr="00BD7F39">
        <w:rPr>
          <w:rFonts w:ascii="Arial" w:hAnsi="Arial" w:cs="Arial"/>
          <w:b/>
          <w:bCs/>
          <w:sz w:val="20"/>
          <w:szCs w:val="20"/>
        </w:rPr>
        <w:t>Economic Viability and Risk Considerations</w:t>
      </w:r>
    </w:p>
    <w:p w14:paraId="0B26907A" w14:textId="08B32A04"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Natural farming is often promoted as a cost-reducing strategy due to the elimination of synthetic fertilizers and pesticides. Many studies report lower cultivation costs and improved net returns, especially when yield losses are minimal and labo</w:t>
      </w:r>
      <w:r w:rsidR="002E554E" w:rsidRPr="00BD7F39">
        <w:rPr>
          <w:rFonts w:ascii="Arial" w:hAnsi="Arial" w:cs="Arial"/>
          <w:sz w:val="20"/>
          <w:szCs w:val="20"/>
        </w:rPr>
        <w:t>u</w:t>
      </w:r>
      <w:r w:rsidRPr="00BD7F39">
        <w:rPr>
          <w:rFonts w:ascii="Arial" w:hAnsi="Arial" w:cs="Arial"/>
          <w:sz w:val="20"/>
          <w:szCs w:val="20"/>
        </w:rPr>
        <w:t xml:space="preserve">r is family-based (Kumar et al., 2019; </w:t>
      </w:r>
      <w:proofErr w:type="spellStart"/>
      <w:r w:rsidRPr="00BD7F39">
        <w:rPr>
          <w:rFonts w:ascii="Arial" w:hAnsi="Arial" w:cs="Arial"/>
          <w:sz w:val="20"/>
          <w:szCs w:val="20"/>
        </w:rPr>
        <w:t>Khadse</w:t>
      </w:r>
      <w:proofErr w:type="spellEnd"/>
      <w:r w:rsidRPr="00BD7F39">
        <w:rPr>
          <w:rFonts w:ascii="Arial" w:hAnsi="Arial" w:cs="Arial"/>
          <w:sz w:val="20"/>
          <w:szCs w:val="20"/>
        </w:rPr>
        <w:t xml:space="preserve"> et al., 2017). However, economic outcomes vary widely depending on market access, price premiums for chemical-free produce, and institutional support (Pretty et al., 2018; </w:t>
      </w:r>
      <w:r w:rsidR="00762850" w:rsidRPr="00BD7F39">
        <w:rPr>
          <w:rFonts w:ascii="Arial" w:hAnsi="Arial" w:cs="Arial"/>
          <w:sz w:val="20"/>
          <w:szCs w:val="20"/>
        </w:rPr>
        <w:t>FAO</w:t>
      </w:r>
      <w:r w:rsidRPr="00BD7F39">
        <w:rPr>
          <w:rFonts w:ascii="Arial" w:hAnsi="Arial" w:cs="Arial"/>
          <w:sz w:val="20"/>
          <w:szCs w:val="20"/>
        </w:rPr>
        <w:t>, 2019).</w:t>
      </w:r>
    </w:p>
    <w:p w14:paraId="7FB4A618" w14:textId="618F70EB"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 xml:space="preserve">Transition risks, yield uncertainty, and lack of assured markets pose significant economic challenges during early adoption phases (Smith et al., 2020). Economic sustainability depends on supportive policies, extension services, price incentives, and integration into value chains, rather than farm-level practices alone (Reddy, 2020; </w:t>
      </w:r>
      <w:r w:rsidR="00762850" w:rsidRPr="00BD7F39">
        <w:rPr>
          <w:rFonts w:ascii="Arial" w:hAnsi="Arial" w:cs="Arial"/>
          <w:sz w:val="20"/>
          <w:szCs w:val="20"/>
        </w:rPr>
        <w:t>HLPE</w:t>
      </w:r>
      <w:r w:rsidR="00285DDE" w:rsidRPr="00BD7F39">
        <w:rPr>
          <w:rFonts w:ascii="Arial" w:hAnsi="Arial" w:cs="Arial"/>
          <w:sz w:val="20"/>
          <w:szCs w:val="20"/>
        </w:rPr>
        <w:t xml:space="preserve"> </w:t>
      </w:r>
      <w:r w:rsidRPr="00BD7F39">
        <w:rPr>
          <w:rFonts w:ascii="Arial" w:hAnsi="Arial" w:cs="Arial"/>
          <w:sz w:val="20"/>
          <w:szCs w:val="20"/>
        </w:rPr>
        <w:t>2019).</w:t>
      </w:r>
    </w:p>
    <w:p w14:paraId="3B92BCC3" w14:textId="4F769F4E" w:rsidR="000F0552" w:rsidRPr="00BD7F39" w:rsidRDefault="00505ECF" w:rsidP="000F0552">
      <w:pPr>
        <w:spacing w:line="360" w:lineRule="auto"/>
        <w:jc w:val="both"/>
        <w:rPr>
          <w:rFonts w:ascii="Arial" w:hAnsi="Arial" w:cs="Arial"/>
          <w:b/>
          <w:bCs/>
        </w:rPr>
      </w:pPr>
      <w:r w:rsidRPr="00BD7F39">
        <w:rPr>
          <w:rFonts w:ascii="Arial" w:hAnsi="Arial" w:cs="Arial"/>
          <w:b/>
          <w:bCs/>
        </w:rPr>
        <w:t xml:space="preserve">1.3. </w:t>
      </w:r>
      <w:r w:rsidR="000F0552" w:rsidRPr="00BD7F39">
        <w:rPr>
          <w:rFonts w:ascii="Arial" w:hAnsi="Arial" w:cs="Arial"/>
          <w:b/>
          <w:bCs/>
        </w:rPr>
        <w:t>Current Scenario of Natural Farming in India</w:t>
      </w:r>
    </w:p>
    <w:p w14:paraId="44578547" w14:textId="6CA0DD8A" w:rsidR="00F16160"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Natural farming is increasingly recognized as a strategic component of India’s sustainable agriculture agenda. Recent estimates indicate that about 4.09 lakh hectares are under natural farming, supported by public funding of ₹4587.17 lakh across eight states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Adoption spans diverse agro-climatic zones, including </w:t>
      </w:r>
      <w:proofErr w:type="spellStart"/>
      <w:r w:rsidRPr="00BD7F39">
        <w:rPr>
          <w:rFonts w:ascii="Arial" w:hAnsi="Arial" w:cs="Arial"/>
          <w:sz w:val="20"/>
          <w:szCs w:val="20"/>
        </w:rPr>
        <w:t>rainfed</w:t>
      </w:r>
      <w:proofErr w:type="spellEnd"/>
      <w:r w:rsidRPr="00BD7F39">
        <w:rPr>
          <w:rFonts w:ascii="Arial" w:hAnsi="Arial" w:cs="Arial"/>
          <w:sz w:val="20"/>
          <w:szCs w:val="20"/>
        </w:rPr>
        <w:t>, irrigated, and hill ecosystems (Government of India, 2019).</w:t>
      </w:r>
    </w:p>
    <w:p w14:paraId="663EB462" w14:textId="1BFD36A5" w:rsidR="00F16160" w:rsidRPr="00BD7F39" w:rsidRDefault="00F16160" w:rsidP="000F0552">
      <w:pPr>
        <w:spacing w:line="360" w:lineRule="auto"/>
        <w:jc w:val="both"/>
        <w:rPr>
          <w:rFonts w:ascii="Arial" w:hAnsi="Arial" w:cs="Arial"/>
          <w:sz w:val="20"/>
          <w:szCs w:val="20"/>
        </w:rPr>
      </w:pPr>
      <w:r w:rsidRPr="00BD7F39">
        <w:rPr>
          <w:rFonts w:ascii="Arial" w:hAnsi="Arial" w:cs="Arial"/>
          <w:sz w:val="20"/>
          <w:szCs w:val="20"/>
        </w:rPr>
        <w:lastRenderedPageBreak/>
        <w:t>This provided Rs 12,200 per ha over 3 years for clusters of 500 ha, covering capacity building, bio-inputs, certification, and handholding. The National Mission on Natural Farming (NMNF), approved in late 2024, introduced a larger outlay of Rs 2,481 crore (central share Rs 1,584 crore; state share Rs 897 crore) until 2025-26. (Press Information Bureau (PIB,</w:t>
      </w:r>
      <w:r w:rsidRPr="00BD7F39">
        <w:rPr>
          <w:rFonts w:ascii="Arial" w:hAnsi="Arial" w:cs="Arial"/>
          <w:b/>
          <w:bCs/>
          <w:sz w:val="20"/>
          <w:szCs w:val="20"/>
        </w:rPr>
        <w:t xml:space="preserve"> </w:t>
      </w:r>
      <w:r w:rsidRPr="00BD7F39">
        <w:rPr>
          <w:rFonts w:ascii="Arial" w:hAnsi="Arial" w:cs="Arial"/>
          <w:sz w:val="20"/>
          <w:szCs w:val="20"/>
        </w:rPr>
        <w:t>the National Mission on Natural Farming (NMNF), approved by the Union Cabinet on November 25, 2024)</w:t>
      </w:r>
    </w:p>
    <w:p w14:paraId="13B33233" w14:textId="77777777" w:rsidR="000F055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Andhra Pradesh leads the world’s largest state-led natural farming initiative, aiming for a full transition through community-based extension, women self-help groups, and institutional support (Reddy, 2020; Smith et al., 2020). Other states, such as Himachal Pradesh and Odisha, emphasize climate resilience and soil conservation, while Tamil Nadu and Kerala focus on market-linked chemical-free production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Ministry of Agriculture and Farmers Welfare, 2021).</w:t>
      </w:r>
    </w:p>
    <w:p w14:paraId="7914C87B" w14:textId="7034B07E" w:rsidR="003F3262" w:rsidRPr="00BD7F39" w:rsidRDefault="000F0552" w:rsidP="000F0552">
      <w:pPr>
        <w:spacing w:line="360" w:lineRule="auto"/>
        <w:jc w:val="both"/>
        <w:rPr>
          <w:rFonts w:ascii="Arial" w:hAnsi="Arial" w:cs="Arial"/>
          <w:sz w:val="20"/>
          <w:szCs w:val="20"/>
        </w:rPr>
      </w:pPr>
      <w:r w:rsidRPr="00BD7F39">
        <w:rPr>
          <w:rFonts w:ascii="Arial" w:hAnsi="Arial" w:cs="Arial"/>
          <w:sz w:val="20"/>
          <w:szCs w:val="20"/>
        </w:rPr>
        <w:t>Despite policy momentum, adoption remains uneven, highlighting the need for region-specific strategies, long-term monitoring, and outcome-based evaluation frameworks (</w:t>
      </w:r>
      <w:r w:rsidR="00762850" w:rsidRPr="00BD7F39">
        <w:rPr>
          <w:rFonts w:ascii="Arial" w:hAnsi="Arial" w:cs="Arial"/>
          <w:sz w:val="20"/>
          <w:szCs w:val="20"/>
        </w:rPr>
        <w:t>FAO</w:t>
      </w:r>
      <w:r w:rsidRPr="00BD7F39">
        <w:rPr>
          <w:rFonts w:ascii="Arial" w:hAnsi="Arial" w:cs="Arial"/>
          <w:sz w:val="20"/>
          <w:szCs w:val="20"/>
        </w:rPr>
        <w:t xml:space="preserve">, 2019; </w:t>
      </w:r>
      <w:r w:rsidR="00762850" w:rsidRPr="00BD7F39">
        <w:rPr>
          <w:rFonts w:ascii="Arial" w:hAnsi="Arial" w:cs="Arial"/>
          <w:sz w:val="20"/>
          <w:szCs w:val="20"/>
        </w:rPr>
        <w:t xml:space="preserve">HLPE </w:t>
      </w:r>
      <w:r w:rsidRPr="00BD7F39">
        <w:rPr>
          <w:rFonts w:ascii="Arial" w:hAnsi="Arial" w:cs="Arial"/>
          <w:sz w:val="20"/>
          <w:szCs w:val="20"/>
        </w:rPr>
        <w:t>2019).</w:t>
      </w:r>
    </w:p>
    <w:p w14:paraId="03E97D97" w14:textId="4065A07D" w:rsidR="003F3262" w:rsidRPr="00BD7F39" w:rsidRDefault="003F3262" w:rsidP="003F3262">
      <w:pPr>
        <w:spacing w:line="360" w:lineRule="auto"/>
        <w:jc w:val="both"/>
        <w:rPr>
          <w:rFonts w:ascii="Arial" w:hAnsi="Arial" w:cs="Arial"/>
          <w:b/>
          <w:bCs/>
          <w:sz w:val="20"/>
          <w:szCs w:val="20"/>
        </w:rPr>
      </w:pPr>
      <w:r w:rsidRPr="00BD7F39">
        <w:rPr>
          <w:rFonts w:ascii="Arial" w:hAnsi="Arial" w:cs="Arial"/>
          <w:b/>
          <w:bCs/>
          <w:sz w:val="20"/>
          <w:szCs w:val="20"/>
        </w:rPr>
        <w:t>BPKP Funding Breakdown (</w:t>
      </w:r>
      <w:r w:rsidR="00A66C98" w:rsidRPr="00BD7F39">
        <w:rPr>
          <w:rFonts w:ascii="Arial" w:hAnsi="Arial" w:cs="Arial"/>
          <w:b/>
          <w:bCs/>
          <w:sz w:val="20"/>
          <w:szCs w:val="20"/>
        </w:rPr>
        <w:t xml:space="preserve">APEDA </w:t>
      </w:r>
      <w:proofErr w:type="spellStart"/>
      <w:r w:rsidR="00A66C98" w:rsidRPr="00BD7F39">
        <w:rPr>
          <w:rFonts w:ascii="Arial" w:hAnsi="Arial" w:cs="Arial"/>
          <w:b/>
          <w:bCs/>
          <w:sz w:val="20"/>
          <w:szCs w:val="20"/>
        </w:rPr>
        <w:t>Archieve</w:t>
      </w:r>
      <w:proofErr w:type="spellEnd"/>
      <w:r w:rsidRPr="00BD7F39">
        <w:rPr>
          <w:rFonts w:ascii="Arial" w:hAnsi="Arial" w:cs="Arial"/>
          <w:b/>
          <w:bCs/>
          <w:sz w:val="20"/>
          <w:szCs w:val="20"/>
        </w:rPr>
        <w:t>)</w:t>
      </w:r>
    </w:p>
    <w:p w14:paraId="2F83ABA6" w14:textId="77777777" w:rsidR="003F3262" w:rsidRPr="00BD7F39" w:rsidRDefault="003F3262" w:rsidP="003F3262">
      <w:pPr>
        <w:spacing w:line="360" w:lineRule="auto"/>
        <w:jc w:val="both"/>
        <w:rPr>
          <w:rFonts w:ascii="Arial" w:hAnsi="Arial" w:cs="Arial"/>
          <w:sz w:val="20"/>
          <w:szCs w:val="20"/>
        </w:rPr>
      </w:pPr>
      <w:r w:rsidRPr="00BD7F39">
        <w:rPr>
          <w:rFonts w:ascii="Arial" w:hAnsi="Arial" w:cs="Arial"/>
          <w:sz w:val="20"/>
          <w:szCs w:val="20"/>
        </w:rPr>
        <w:t>State-wise releases under BPKP matched the area allocations you listed:</w:t>
      </w:r>
    </w:p>
    <w:tbl>
      <w:tblPr>
        <w:tblStyle w:val="TableGrid"/>
        <w:tblW w:w="5000" w:type="pct"/>
        <w:tblLook w:val="04A0" w:firstRow="1" w:lastRow="0" w:firstColumn="1" w:lastColumn="0" w:noHBand="0" w:noVBand="1"/>
      </w:tblPr>
      <w:tblGrid>
        <w:gridCol w:w="2934"/>
        <w:gridCol w:w="1652"/>
        <w:gridCol w:w="4656"/>
      </w:tblGrid>
      <w:tr w:rsidR="00A66C98" w:rsidRPr="00BD7F39" w14:paraId="408AEC01" w14:textId="77777777" w:rsidTr="00A66C98">
        <w:tc>
          <w:tcPr>
            <w:tcW w:w="1570" w:type="pct"/>
            <w:hideMark/>
          </w:tcPr>
          <w:p w14:paraId="276AFB81"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State</w:t>
            </w:r>
          </w:p>
        </w:tc>
        <w:tc>
          <w:tcPr>
            <w:tcW w:w="884" w:type="pct"/>
            <w:hideMark/>
          </w:tcPr>
          <w:p w14:paraId="4E3F4739"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Area (ha)</w:t>
            </w:r>
          </w:p>
        </w:tc>
        <w:tc>
          <w:tcPr>
            <w:tcW w:w="2491" w:type="pct"/>
            <w:hideMark/>
          </w:tcPr>
          <w:p w14:paraId="6C9C3ADC"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Funding Released (Rs lakh)</w:t>
            </w:r>
          </w:p>
        </w:tc>
      </w:tr>
      <w:tr w:rsidR="00A66C98" w:rsidRPr="00BD7F39" w14:paraId="31A490B1" w14:textId="77777777" w:rsidTr="00A66C98">
        <w:trPr>
          <w:trHeight w:val="484"/>
        </w:trPr>
        <w:tc>
          <w:tcPr>
            <w:tcW w:w="1570" w:type="pct"/>
            <w:hideMark/>
          </w:tcPr>
          <w:p w14:paraId="2C8CB35D" w14:textId="77777777" w:rsidR="00A66C98" w:rsidRPr="00BD7F39" w:rsidRDefault="00A66C98" w:rsidP="00A66C98">
            <w:pPr>
              <w:spacing w:before="240"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Andhra Pradesh</w:t>
            </w:r>
          </w:p>
        </w:tc>
        <w:tc>
          <w:tcPr>
            <w:tcW w:w="884" w:type="pct"/>
            <w:vAlign w:val="center"/>
            <w:hideMark/>
          </w:tcPr>
          <w:p w14:paraId="2CC9B7D3" w14:textId="77777777" w:rsidR="00A66C98" w:rsidRPr="00BD7F39" w:rsidRDefault="00A66C98" w:rsidP="00A66C98">
            <w:pPr>
              <w:spacing w:before="240"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100000</w:t>
            </w:r>
          </w:p>
        </w:tc>
        <w:tc>
          <w:tcPr>
            <w:tcW w:w="2491" w:type="pct"/>
            <w:vAlign w:val="center"/>
            <w:hideMark/>
          </w:tcPr>
          <w:p w14:paraId="519DE69A" w14:textId="415DA93A"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750.00</w:t>
            </w:r>
          </w:p>
        </w:tc>
      </w:tr>
      <w:tr w:rsidR="00A66C98" w:rsidRPr="00BD7F39" w14:paraId="4455F4BF" w14:textId="77777777" w:rsidTr="00A66C98">
        <w:tc>
          <w:tcPr>
            <w:tcW w:w="1570" w:type="pct"/>
            <w:hideMark/>
          </w:tcPr>
          <w:p w14:paraId="114F9B9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Madhya Pradesh</w:t>
            </w:r>
          </w:p>
        </w:tc>
        <w:tc>
          <w:tcPr>
            <w:tcW w:w="884" w:type="pct"/>
            <w:vAlign w:val="center"/>
            <w:hideMark/>
          </w:tcPr>
          <w:p w14:paraId="36118A30"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99000</w:t>
            </w:r>
          </w:p>
        </w:tc>
        <w:tc>
          <w:tcPr>
            <w:tcW w:w="2491" w:type="pct"/>
            <w:vAlign w:val="center"/>
            <w:hideMark/>
          </w:tcPr>
          <w:p w14:paraId="59EF1719" w14:textId="4131E86B"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787.64</w:t>
            </w:r>
          </w:p>
        </w:tc>
      </w:tr>
      <w:tr w:rsidR="00A66C98" w:rsidRPr="00BD7F39" w14:paraId="5C0DA76D" w14:textId="77777777" w:rsidTr="00A66C98">
        <w:tc>
          <w:tcPr>
            <w:tcW w:w="1570" w:type="pct"/>
            <w:hideMark/>
          </w:tcPr>
          <w:p w14:paraId="309B14FC"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Chhattisgarh</w:t>
            </w:r>
          </w:p>
        </w:tc>
        <w:tc>
          <w:tcPr>
            <w:tcW w:w="884" w:type="pct"/>
            <w:vAlign w:val="center"/>
            <w:hideMark/>
          </w:tcPr>
          <w:p w14:paraId="4880D9F8"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85000</w:t>
            </w:r>
          </w:p>
        </w:tc>
        <w:tc>
          <w:tcPr>
            <w:tcW w:w="2491" w:type="pct"/>
            <w:vAlign w:val="center"/>
            <w:hideMark/>
          </w:tcPr>
          <w:p w14:paraId="1236D171" w14:textId="32AE1C40"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1352.52</w:t>
            </w:r>
          </w:p>
        </w:tc>
      </w:tr>
      <w:tr w:rsidR="00A66C98" w:rsidRPr="00BD7F39" w14:paraId="5AF22B9F" w14:textId="77777777" w:rsidTr="00A66C98">
        <w:tc>
          <w:tcPr>
            <w:tcW w:w="1570" w:type="pct"/>
            <w:hideMark/>
          </w:tcPr>
          <w:p w14:paraId="12DCF677"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Kerala</w:t>
            </w:r>
          </w:p>
        </w:tc>
        <w:tc>
          <w:tcPr>
            <w:tcW w:w="884" w:type="pct"/>
            <w:vAlign w:val="center"/>
            <w:hideMark/>
          </w:tcPr>
          <w:p w14:paraId="41E7DBFE"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84000</w:t>
            </w:r>
          </w:p>
        </w:tc>
        <w:tc>
          <w:tcPr>
            <w:tcW w:w="2491" w:type="pct"/>
            <w:vAlign w:val="center"/>
            <w:hideMark/>
          </w:tcPr>
          <w:p w14:paraId="76EF71EB" w14:textId="5C7E92BF"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1954.93</w:t>
            </w:r>
          </w:p>
        </w:tc>
      </w:tr>
      <w:tr w:rsidR="00A66C98" w:rsidRPr="00BD7F39" w14:paraId="64F5EA3D" w14:textId="77777777" w:rsidTr="00A66C98">
        <w:tc>
          <w:tcPr>
            <w:tcW w:w="1570" w:type="pct"/>
            <w:hideMark/>
          </w:tcPr>
          <w:p w14:paraId="1780584B"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Odisha</w:t>
            </w:r>
          </w:p>
        </w:tc>
        <w:tc>
          <w:tcPr>
            <w:tcW w:w="884" w:type="pct"/>
            <w:vAlign w:val="center"/>
            <w:hideMark/>
          </w:tcPr>
          <w:p w14:paraId="31C7ED72"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24000</w:t>
            </w:r>
          </w:p>
        </w:tc>
        <w:tc>
          <w:tcPr>
            <w:tcW w:w="2491" w:type="pct"/>
            <w:vAlign w:val="center"/>
            <w:hideMark/>
          </w:tcPr>
          <w:p w14:paraId="5DECEABB" w14:textId="42AC64A6"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381.89 ​</w:t>
            </w:r>
          </w:p>
        </w:tc>
      </w:tr>
      <w:tr w:rsidR="00A66C98" w:rsidRPr="00BD7F39" w14:paraId="13A75C0C" w14:textId="77777777" w:rsidTr="00A66C98">
        <w:tc>
          <w:tcPr>
            <w:tcW w:w="1570" w:type="pct"/>
            <w:hideMark/>
          </w:tcPr>
          <w:p w14:paraId="49280BF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Himachal Pradesh</w:t>
            </w:r>
          </w:p>
        </w:tc>
        <w:tc>
          <w:tcPr>
            <w:tcW w:w="884" w:type="pct"/>
            <w:vAlign w:val="center"/>
            <w:hideMark/>
          </w:tcPr>
          <w:p w14:paraId="2060BCFB"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12000</w:t>
            </w:r>
          </w:p>
        </w:tc>
        <w:tc>
          <w:tcPr>
            <w:tcW w:w="2491" w:type="pct"/>
            <w:vAlign w:val="center"/>
            <w:hideMark/>
          </w:tcPr>
          <w:p w14:paraId="3A3EBB61" w14:textId="7ED09EDF"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286.42</w:t>
            </w:r>
          </w:p>
        </w:tc>
      </w:tr>
      <w:tr w:rsidR="00A66C98" w:rsidRPr="00BD7F39" w14:paraId="1C04411B" w14:textId="77777777" w:rsidTr="00A66C98">
        <w:tc>
          <w:tcPr>
            <w:tcW w:w="1570" w:type="pct"/>
            <w:hideMark/>
          </w:tcPr>
          <w:p w14:paraId="1682E9BD"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Jharkhand</w:t>
            </w:r>
          </w:p>
        </w:tc>
        <w:tc>
          <w:tcPr>
            <w:tcW w:w="884" w:type="pct"/>
            <w:vAlign w:val="center"/>
            <w:hideMark/>
          </w:tcPr>
          <w:p w14:paraId="374DC609"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3400</w:t>
            </w:r>
          </w:p>
        </w:tc>
        <w:tc>
          <w:tcPr>
            <w:tcW w:w="2491" w:type="pct"/>
            <w:vAlign w:val="center"/>
            <w:hideMark/>
          </w:tcPr>
          <w:p w14:paraId="3DB320F6" w14:textId="246BCA06"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54.10</w:t>
            </w:r>
          </w:p>
        </w:tc>
      </w:tr>
      <w:tr w:rsidR="00A66C98" w:rsidRPr="00BD7F39" w14:paraId="14BDA61E" w14:textId="77777777" w:rsidTr="00A66C98">
        <w:tc>
          <w:tcPr>
            <w:tcW w:w="1570" w:type="pct"/>
            <w:hideMark/>
          </w:tcPr>
          <w:p w14:paraId="6A426413" w14:textId="77777777"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Tamil Nadu</w:t>
            </w:r>
          </w:p>
        </w:tc>
        <w:tc>
          <w:tcPr>
            <w:tcW w:w="884" w:type="pct"/>
            <w:vAlign w:val="center"/>
            <w:hideMark/>
          </w:tcPr>
          <w:p w14:paraId="100620BF" w14:textId="77777777"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2000</w:t>
            </w:r>
          </w:p>
        </w:tc>
        <w:tc>
          <w:tcPr>
            <w:tcW w:w="2491" w:type="pct"/>
            <w:vAlign w:val="center"/>
            <w:hideMark/>
          </w:tcPr>
          <w:p w14:paraId="5622EBD1" w14:textId="56320924"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spacing w:val="1"/>
                <w:kern w:val="0"/>
                <w:sz w:val="20"/>
                <w:szCs w:val="20"/>
                <w:lang w:eastAsia="en-IN" w:bidi="mr-IN"/>
                <w14:ligatures w14:val="none"/>
              </w:rPr>
              <w:t>31.82</w:t>
            </w:r>
          </w:p>
        </w:tc>
      </w:tr>
      <w:tr w:rsidR="00A66C98" w:rsidRPr="00BD7F39" w14:paraId="5FBA8665" w14:textId="77777777" w:rsidTr="00A66C98">
        <w:tc>
          <w:tcPr>
            <w:tcW w:w="1570" w:type="pct"/>
            <w:hideMark/>
          </w:tcPr>
          <w:p w14:paraId="4A9A83AC" w14:textId="62943E8D" w:rsidR="00A66C98" w:rsidRPr="00BD7F39" w:rsidRDefault="00A66C98" w:rsidP="00A66C98">
            <w:pPr>
              <w:spacing w:after="240"/>
              <w:rPr>
                <w:rFonts w:ascii="Arial" w:eastAsia="Times New Roman" w:hAnsi="Arial" w:cs="Arial"/>
                <w:b/>
                <w:bCs/>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Total</w:t>
            </w:r>
          </w:p>
        </w:tc>
        <w:tc>
          <w:tcPr>
            <w:tcW w:w="884" w:type="pct"/>
            <w:vAlign w:val="center"/>
            <w:hideMark/>
          </w:tcPr>
          <w:p w14:paraId="24BA2EDC" w14:textId="76303B34"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409400</w:t>
            </w:r>
          </w:p>
        </w:tc>
        <w:tc>
          <w:tcPr>
            <w:tcW w:w="2491" w:type="pct"/>
            <w:vAlign w:val="center"/>
            <w:hideMark/>
          </w:tcPr>
          <w:p w14:paraId="15A46B71" w14:textId="5895966C" w:rsidR="00A66C98" w:rsidRPr="00BD7F39" w:rsidRDefault="00A66C98" w:rsidP="00A66C98">
            <w:pPr>
              <w:spacing w:after="240"/>
              <w:jc w:val="center"/>
              <w:rPr>
                <w:rFonts w:ascii="Arial" w:eastAsia="Times New Roman" w:hAnsi="Arial" w:cs="Arial"/>
                <w:spacing w:val="1"/>
                <w:kern w:val="0"/>
                <w:sz w:val="20"/>
                <w:szCs w:val="20"/>
                <w:lang w:eastAsia="en-IN" w:bidi="mr-IN"/>
                <w14:ligatures w14:val="none"/>
              </w:rPr>
            </w:pPr>
            <w:r w:rsidRPr="00BD7F39">
              <w:rPr>
                <w:rFonts w:ascii="Arial" w:eastAsia="Times New Roman" w:hAnsi="Arial" w:cs="Arial"/>
                <w:b/>
                <w:bCs/>
                <w:spacing w:val="1"/>
                <w:kern w:val="0"/>
                <w:sz w:val="20"/>
                <w:szCs w:val="20"/>
                <w:lang w:eastAsia="en-IN" w:bidi="mr-IN"/>
                <w14:ligatures w14:val="none"/>
              </w:rPr>
              <w:t>5599.32</w:t>
            </w:r>
          </w:p>
        </w:tc>
      </w:tr>
    </w:tbl>
    <w:p w14:paraId="105D9F5B" w14:textId="1FC2C3EB" w:rsidR="003F3262" w:rsidRPr="0044421F" w:rsidRDefault="00AF5E89" w:rsidP="000F0552">
      <w:pPr>
        <w:spacing w:line="360" w:lineRule="auto"/>
        <w:jc w:val="both"/>
        <w:rPr>
          <w:rFonts w:ascii="Arial" w:hAnsi="Arial" w:cs="Arial"/>
          <w:b/>
          <w:bCs/>
          <w:sz w:val="20"/>
          <w:szCs w:val="20"/>
        </w:rPr>
      </w:pPr>
      <w:r w:rsidRPr="0044421F">
        <w:rPr>
          <w:rFonts w:ascii="Arial" w:hAnsi="Arial" w:cs="Arial"/>
          <w:b/>
          <w:bCs/>
          <w:sz w:val="20"/>
          <w:szCs w:val="20"/>
        </w:rPr>
        <w:t xml:space="preserve">Table 1. </w:t>
      </w:r>
      <w:r w:rsidR="0044421F" w:rsidRPr="0044421F">
        <w:rPr>
          <w:rFonts w:ascii="Arial" w:hAnsi="Arial" w:cs="Arial"/>
          <w:b/>
          <w:bCs/>
          <w:sz w:val="20"/>
          <w:szCs w:val="20"/>
        </w:rPr>
        <w:t xml:space="preserve">State-wise </w:t>
      </w:r>
      <w:r w:rsidR="0044421F">
        <w:rPr>
          <w:rFonts w:ascii="Arial" w:hAnsi="Arial" w:cs="Arial"/>
          <w:b/>
          <w:bCs/>
          <w:sz w:val="20"/>
          <w:szCs w:val="20"/>
        </w:rPr>
        <w:t>A</w:t>
      </w:r>
      <w:r w:rsidR="0044421F" w:rsidRPr="0044421F">
        <w:rPr>
          <w:rFonts w:ascii="Arial" w:hAnsi="Arial" w:cs="Arial"/>
          <w:b/>
          <w:bCs/>
          <w:sz w:val="20"/>
          <w:szCs w:val="20"/>
        </w:rPr>
        <w:t xml:space="preserve">rea </w:t>
      </w:r>
      <w:r w:rsidR="0044421F">
        <w:rPr>
          <w:rFonts w:ascii="Arial" w:hAnsi="Arial" w:cs="Arial"/>
          <w:b/>
          <w:bCs/>
          <w:sz w:val="20"/>
          <w:szCs w:val="20"/>
        </w:rPr>
        <w:t>A</w:t>
      </w:r>
      <w:r w:rsidR="0044421F" w:rsidRPr="0044421F">
        <w:rPr>
          <w:rFonts w:ascii="Arial" w:hAnsi="Arial" w:cs="Arial"/>
          <w:b/>
          <w:bCs/>
          <w:sz w:val="20"/>
          <w:szCs w:val="20"/>
        </w:rPr>
        <w:t xml:space="preserve">llocation and </w:t>
      </w:r>
      <w:r w:rsidR="0044421F">
        <w:rPr>
          <w:rFonts w:ascii="Arial" w:hAnsi="Arial" w:cs="Arial"/>
          <w:b/>
          <w:bCs/>
          <w:sz w:val="20"/>
          <w:szCs w:val="20"/>
        </w:rPr>
        <w:t>F</w:t>
      </w:r>
      <w:r w:rsidR="0044421F" w:rsidRPr="0044421F">
        <w:rPr>
          <w:rFonts w:ascii="Arial" w:hAnsi="Arial" w:cs="Arial"/>
          <w:b/>
          <w:bCs/>
          <w:sz w:val="20"/>
          <w:szCs w:val="20"/>
        </w:rPr>
        <w:t>unding</w:t>
      </w:r>
    </w:p>
    <w:p w14:paraId="50FB0AAF" w14:textId="44101536" w:rsidR="00A66C98" w:rsidRPr="00BD7F39" w:rsidRDefault="000F0552" w:rsidP="00360714">
      <w:pPr>
        <w:spacing w:line="360" w:lineRule="auto"/>
        <w:jc w:val="center"/>
        <w:rPr>
          <w:rFonts w:ascii="Arial" w:hAnsi="Arial" w:cs="Arial"/>
          <w:b/>
          <w:bCs/>
          <w:sz w:val="20"/>
          <w:szCs w:val="20"/>
        </w:rPr>
      </w:pPr>
      <w:r w:rsidRPr="00BD7F39">
        <w:rPr>
          <w:rFonts w:ascii="Arial" w:hAnsi="Arial" w:cs="Arial"/>
          <w:noProof/>
          <w:lang w:val="en-US"/>
        </w:rPr>
        <w:lastRenderedPageBreak/>
        <w:drawing>
          <wp:inline distT="0" distB="0" distL="0" distR="0" wp14:anchorId="4C6F532A" wp14:editId="65D65BD4">
            <wp:extent cx="5707380" cy="3333750"/>
            <wp:effectExtent l="0" t="0" r="7620" b="0"/>
            <wp:docPr id="118313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380" cy="3333750"/>
                    </a:xfrm>
                    <a:prstGeom prst="rect">
                      <a:avLst/>
                    </a:prstGeom>
                    <a:noFill/>
                    <a:ln>
                      <a:noFill/>
                    </a:ln>
                  </pic:spPr>
                </pic:pic>
              </a:graphicData>
            </a:graphic>
          </wp:inline>
        </w:drawing>
      </w:r>
      <w:r w:rsidRPr="00BD7F39">
        <w:rPr>
          <w:rFonts w:ascii="Arial" w:hAnsi="Arial" w:cs="Arial"/>
          <w:b/>
          <w:bCs/>
          <w:sz w:val="20"/>
          <w:szCs w:val="20"/>
        </w:rPr>
        <w:t xml:space="preserve">Fig. </w:t>
      </w:r>
      <w:r w:rsidR="00DB10BF" w:rsidRPr="00BD7F39">
        <w:rPr>
          <w:rFonts w:ascii="Arial" w:hAnsi="Arial" w:cs="Arial"/>
          <w:b/>
          <w:bCs/>
          <w:sz w:val="20"/>
          <w:szCs w:val="20"/>
        </w:rPr>
        <w:t>2</w:t>
      </w:r>
      <w:r w:rsidRPr="00BD7F39">
        <w:rPr>
          <w:rFonts w:ascii="Arial" w:hAnsi="Arial" w:cs="Arial"/>
          <w:b/>
          <w:bCs/>
          <w:sz w:val="20"/>
          <w:szCs w:val="20"/>
        </w:rPr>
        <w:t>. Scenario of natural farming in Indi</w:t>
      </w:r>
      <w:r w:rsidR="00C8184D" w:rsidRPr="00BD7F39">
        <w:rPr>
          <w:rFonts w:ascii="Arial" w:hAnsi="Arial" w:cs="Arial"/>
          <w:b/>
          <w:bCs/>
          <w:sz w:val="20"/>
          <w:szCs w:val="20"/>
        </w:rPr>
        <w:t>a</w:t>
      </w:r>
    </w:p>
    <w:p w14:paraId="3D8819BC" w14:textId="07D7FC49" w:rsidR="000F0552" w:rsidRPr="00360714" w:rsidRDefault="00163543" w:rsidP="00360714">
      <w:pPr>
        <w:pStyle w:val="ListParagraph"/>
        <w:numPr>
          <w:ilvl w:val="1"/>
          <w:numId w:val="8"/>
        </w:numPr>
        <w:spacing w:line="360" w:lineRule="auto"/>
        <w:ind w:left="284" w:hanging="515"/>
        <w:jc w:val="both"/>
        <w:rPr>
          <w:rFonts w:ascii="Arial" w:hAnsi="Arial" w:cs="Arial"/>
          <w:b/>
          <w:bCs/>
        </w:rPr>
      </w:pPr>
      <w:r w:rsidRPr="00360714">
        <w:rPr>
          <w:rFonts w:ascii="Arial" w:hAnsi="Arial" w:cs="Arial"/>
          <w:b/>
          <w:bCs/>
        </w:rPr>
        <w:t>Five</w:t>
      </w:r>
      <w:r w:rsidR="000F0552" w:rsidRPr="00360714">
        <w:rPr>
          <w:rFonts w:ascii="Arial" w:hAnsi="Arial" w:cs="Arial"/>
          <w:b/>
          <w:bCs/>
        </w:rPr>
        <w:t xml:space="preserve"> Pillars of Natural Farming</w:t>
      </w:r>
    </w:p>
    <w:p w14:paraId="7DC126D4" w14:textId="58A828BA" w:rsidR="000F0552" w:rsidRPr="00BD7F39" w:rsidRDefault="00360714" w:rsidP="0062080F">
      <w:pPr>
        <w:pStyle w:val="ListParagraph"/>
        <w:spacing w:line="360" w:lineRule="auto"/>
        <w:ind w:left="798"/>
        <w:jc w:val="both"/>
        <w:rPr>
          <w:rFonts w:ascii="Arial" w:hAnsi="Arial" w:cs="Arial"/>
          <w:b/>
          <w:bCs/>
        </w:rPr>
      </w:pPr>
      <w:r w:rsidRPr="00360714">
        <w:rPr>
          <w:rFonts w:ascii="Arial" w:hAnsi="Arial" w:cs="Arial"/>
          <w:b/>
          <w:bCs/>
          <w:noProof/>
          <w:lang w:val="en-US"/>
        </w:rPr>
        <w:drawing>
          <wp:inline distT="0" distB="0" distL="0" distR="0" wp14:anchorId="14248D14" wp14:editId="380A9AB3">
            <wp:extent cx="5414010" cy="2630805"/>
            <wp:effectExtent l="19050" t="0" r="53340" b="17145"/>
            <wp:docPr id="912801079" name="Diagram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54CAA6-EED0-F9F5-9E17-3ED89F553F3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CA0F03B" w14:textId="38B45161" w:rsidR="00D243CC" w:rsidRPr="00BD7F39" w:rsidRDefault="000F0552" w:rsidP="00D243CC">
      <w:pPr>
        <w:spacing w:line="360" w:lineRule="auto"/>
        <w:jc w:val="both"/>
        <w:rPr>
          <w:rFonts w:ascii="Arial" w:hAnsi="Arial" w:cs="Arial"/>
          <w:b/>
          <w:bCs/>
        </w:rPr>
      </w:pPr>
      <w:r w:rsidRPr="00BD7F39">
        <w:rPr>
          <w:rFonts w:ascii="Arial" w:hAnsi="Arial" w:cs="Arial"/>
          <w:b/>
          <w:bCs/>
        </w:rPr>
        <w:t xml:space="preserve">                                                Fig </w:t>
      </w:r>
      <w:r w:rsidR="00DB10BF" w:rsidRPr="00BD7F39">
        <w:rPr>
          <w:rFonts w:ascii="Arial" w:hAnsi="Arial" w:cs="Arial"/>
          <w:b/>
          <w:bCs/>
        </w:rPr>
        <w:t>3</w:t>
      </w:r>
      <w:r w:rsidRPr="00BD7F39">
        <w:rPr>
          <w:rFonts w:ascii="Arial" w:hAnsi="Arial" w:cs="Arial"/>
          <w:b/>
          <w:bCs/>
        </w:rPr>
        <w:t>. Pillars of natural farmin</w:t>
      </w:r>
      <w:r w:rsidR="008D5D5E" w:rsidRPr="00BD7F39">
        <w:rPr>
          <w:rFonts w:ascii="Arial" w:hAnsi="Arial" w:cs="Arial"/>
          <w:b/>
          <w:bCs/>
        </w:rPr>
        <w:t>g</w:t>
      </w:r>
    </w:p>
    <w:p w14:paraId="14078915" w14:textId="05C65668" w:rsidR="008D5D5E" w:rsidRPr="00BD7F39" w:rsidRDefault="00487079" w:rsidP="00D243CC">
      <w:pPr>
        <w:spacing w:line="360" w:lineRule="auto"/>
        <w:jc w:val="both"/>
        <w:rPr>
          <w:rFonts w:ascii="Arial" w:hAnsi="Arial" w:cs="Arial"/>
          <w:b/>
          <w:bCs/>
        </w:rPr>
      </w:pPr>
      <w:r w:rsidRPr="00BD7F39">
        <w:rPr>
          <w:rFonts w:ascii="Arial" w:hAnsi="Arial" w:cs="Arial"/>
          <w:color w:val="0D0D0D" w:themeColor="text1" w:themeTint="F2"/>
        </w:rPr>
        <w:t xml:space="preserve">Natural farming (NF) is considered to be agroecology based diversified farming system, which integrates crops, trees and livestock, allowing functional biodiversity (Rosset and Martinez, 2012) to drastically cut down production costs by replacing the chemical fertilizers and pesticides with home-grown product like </w:t>
      </w:r>
      <w:proofErr w:type="spellStart"/>
      <w:r w:rsidRPr="00BD7F39">
        <w:rPr>
          <w:rFonts w:ascii="Arial" w:hAnsi="Arial" w:cs="Arial"/>
          <w:i/>
          <w:iCs/>
          <w:color w:val="0D0D0D" w:themeColor="text1" w:themeTint="F2"/>
        </w:rPr>
        <w:t>Jeevamrith</w:t>
      </w:r>
      <w:proofErr w:type="spellEnd"/>
      <w:r w:rsidRPr="00BD7F39">
        <w:rPr>
          <w:rFonts w:ascii="Arial" w:hAnsi="Arial" w:cs="Arial"/>
          <w:i/>
          <w:iCs/>
          <w:color w:val="0D0D0D" w:themeColor="text1" w:themeTint="F2"/>
        </w:rPr>
        <w:t xml:space="preserve">, </w:t>
      </w:r>
      <w:proofErr w:type="spellStart"/>
      <w:r w:rsidRPr="00BD7F39">
        <w:rPr>
          <w:rFonts w:ascii="Arial" w:hAnsi="Arial" w:cs="Arial"/>
          <w:i/>
          <w:iCs/>
          <w:color w:val="0D0D0D" w:themeColor="text1" w:themeTint="F2"/>
        </w:rPr>
        <w:t>Beejamrith</w:t>
      </w:r>
      <w:proofErr w:type="spellEnd"/>
      <w:r w:rsidRPr="00BD7F39">
        <w:rPr>
          <w:rFonts w:ascii="Arial" w:hAnsi="Arial" w:cs="Arial"/>
          <w:i/>
          <w:iCs/>
          <w:color w:val="0D0D0D" w:themeColor="text1" w:themeTint="F2"/>
        </w:rPr>
        <w:t>,</w:t>
      </w:r>
      <w:r w:rsidRPr="00BD7F39">
        <w:rPr>
          <w:rFonts w:ascii="Arial" w:hAnsi="Arial" w:cs="Arial"/>
          <w:color w:val="0D0D0D" w:themeColor="text1" w:themeTint="F2"/>
        </w:rPr>
        <w:t xml:space="preserve"> </w:t>
      </w:r>
      <w:proofErr w:type="spellStart"/>
      <w:r w:rsidRPr="00BD7F39">
        <w:rPr>
          <w:rFonts w:ascii="Arial" w:hAnsi="Arial" w:cs="Arial"/>
          <w:i/>
          <w:iCs/>
          <w:color w:val="0D0D0D" w:themeColor="text1" w:themeTint="F2"/>
        </w:rPr>
        <w:t>Neemastra</w:t>
      </w:r>
      <w:proofErr w:type="spellEnd"/>
      <w:r w:rsidRPr="00BD7F39">
        <w:rPr>
          <w:rFonts w:ascii="Arial" w:hAnsi="Arial" w:cs="Arial"/>
          <w:i/>
          <w:iCs/>
          <w:color w:val="0D0D0D" w:themeColor="text1" w:themeTint="F2"/>
        </w:rPr>
        <w:t xml:space="preserve"> etc</w:t>
      </w:r>
      <w:r w:rsidRPr="00BD7F39">
        <w:rPr>
          <w:rFonts w:ascii="Arial" w:hAnsi="Arial" w:cs="Arial"/>
          <w:color w:val="0D0D0D" w:themeColor="text1" w:themeTint="F2"/>
        </w:rPr>
        <w:t>. and adopting intercropping and mulching (</w:t>
      </w:r>
      <w:proofErr w:type="spellStart"/>
      <w:r w:rsidRPr="00BD7F39">
        <w:rPr>
          <w:rFonts w:ascii="Arial" w:hAnsi="Arial" w:cs="Arial"/>
          <w:color w:val="0D0D0D" w:themeColor="text1" w:themeTint="F2"/>
        </w:rPr>
        <w:t>Palekar</w:t>
      </w:r>
      <w:proofErr w:type="spellEnd"/>
      <w:r w:rsidRPr="00BD7F39">
        <w:rPr>
          <w:rFonts w:ascii="Arial" w:hAnsi="Arial" w:cs="Arial"/>
          <w:color w:val="0D0D0D" w:themeColor="text1" w:themeTint="F2"/>
        </w:rPr>
        <w:t>, 2005; 2006; Swami, 2006)</w:t>
      </w:r>
    </w:p>
    <w:p w14:paraId="452D1174" w14:textId="3D7030A9"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1.4.1 </w:t>
      </w:r>
      <w:proofErr w:type="spellStart"/>
      <w:r w:rsidRPr="00BD7F39">
        <w:rPr>
          <w:rFonts w:ascii="Arial" w:hAnsi="Arial" w:cs="Arial"/>
          <w:b/>
          <w:bCs/>
          <w:sz w:val="20"/>
          <w:szCs w:val="20"/>
        </w:rPr>
        <w:t>Beejamrit</w:t>
      </w:r>
      <w:proofErr w:type="spellEnd"/>
      <w:r w:rsidRPr="00BD7F39">
        <w:rPr>
          <w:rFonts w:ascii="Arial" w:hAnsi="Arial" w:cs="Arial"/>
          <w:b/>
          <w:bCs/>
          <w:sz w:val="20"/>
          <w:szCs w:val="20"/>
        </w:rPr>
        <w:t xml:space="preserve"> (Seed Treatment)</w:t>
      </w:r>
    </w:p>
    <w:p w14:paraId="6D035918" w14:textId="00229B43"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lastRenderedPageBreak/>
        <w:t>Beejamrit</w:t>
      </w:r>
      <w:proofErr w:type="spellEnd"/>
      <w:r w:rsidRPr="00BD7F39">
        <w:rPr>
          <w:rFonts w:ascii="Arial" w:hAnsi="Arial" w:cs="Arial"/>
          <w:sz w:val="20"/>
          <w:szCs w:val="20"/>
        </w:rPr>
        <w:t xml:space="preserve"> is a traditional seed treatment composed of cow dung, cow urine, lime, and soil, designed to suppress seed- and soil-borne pathogens while promoting germination and early root development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Microbial seed treatments have been shown to enhance rhizosphere colonization, nutrient uptake, and seedling vigo</w:t>
      </w:r>
      <w:r w:rsidR="008D5D5E" w:rsidRPr="00BD7F39">
        <w:rPr>
          <w:rFonts w:ascii="Arial" w:hAnsi="Arial" w:cs="Arial"/>
          <w:sz w:val="20"/>
          <w:szCs w:val="20"/>
        </w:rPr>
        <w:t>u</w:t>
      </w:r>
      <w:r w:rsidRPr="00BD7F39">
        <w:rPr>
          <w:rFonts w:ascii="Arial" w:hAnsi="Arial" w:cs="Arial"/>
          <w:sz w:val="20"/>
          <w:szCs w:val="20"/>
        </w:rPr>
        <w:t>r in sustainable production systems (Kassam et al., 2019; Sharma et al., 2021).</w:t>
      </w:r>
    </w:p>
    <w:p w14:paraId="59F89847" w14:textId="33D8FB7E"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Beejamrit</w:t>
      </w:r>
      <w:proofErr w:type="spellEnd"/>
      <w:r w:rsidRPr="00BD7F39">
        <w:rPr>
          <w:rFonts w:ascii="Arial" w:hAnsi="Arial" w:cs="Arial"/>
          <w:sz w:val="20"/>
          <w:szCs w:val="20"/>
        </w:rPr>
        <w:t xml:space="preserve"> fosters beneficial microbial communities that outcompete pathogenic organisms, thereby reducing early disease incidence and improving crop stand establishment (Dwivedi et al., 2021; Lakhani, 2024c). Bio-priming strategies using indigenous microbial consortia have similarly improved seedling emergence, root length, and enzymatic activity under low-input farming (Bhardwaj et al., 2014; </w:t>
      </w:r>
      <w:proofErr w:type="spellStart"/>
      <w:r w:rsidRPr="00BD7F39">
        <w:rPr>
          <w:rFonts w:ascii="Arial" w:hAnsi="Arial" w:cs="Arial"/>
          <w:sz w:val="20"/>
          <w:szCs w:val="20"/>
        </w:rPr>
        <w:t>Mahanty</w:t>
      </w:r>
      <w:proofErr w:type="spellEnd"/>
      <w:r w:rsidRPr="00BD7F39">
        <w:rPr>
          <w:rFonts w:ascii="Arial" w:hAnsi="Arial" w:cs="Arial"/>
          <w:sz w:val="20"/>
          <w:szCs w:val="20"/>
        </w:rPr>
        <w:t xml:space="preserve"> et al., 2017). Field trials in Andhra Pradesh and Karnataka reported 8–15% higher germination rates and significant reductions in damping-off and seed rot in pulses and oilseeds compared to untreated controls (Rao et al., 2020; Government of Andhra Pradesh, 2019). Comparable benefits of microbial seed inoculants in reducing pathogen pressure have been observed in organic cereal systems (</w:t>
      </w:r>
      <w:proofErr w:type="spellStart"/>
      <w:r w:rsidRPr="00BD7F39">
        <w:rPr>
          <w:rFonts w:ascii="Arial" w:hAnsi="Arial" w:cs="Arial"/>
          <w:sz w:val="20"/>
          <w:szCs w:val="20"/>
        </w:rPr>
        <w:t>M</w:t>
      </w:r>
      <w:r w:rsidR="00B517E7" w:rsidRPr="00BD7F39">
        <w:rPr>
          <w:rFonts w:ascii="Arial" w:hAnsi="Arial" w:cs="Arial"/>
          <w:sz w:val="20"/>
          <w:szCs w:val="20"/>
        </w:rPr>
        <w:t>a</w:t>
      </w:r>
      <w:r w:rsidRPr="00BD7F39">
        <w:rPr>
          <w:rFonts w:ascii="Arial" w:hAnsi="Arial" w:cs="Arial"/>
          <w:sz w:val="20"/>
          <w:szCs w:val="20"/>
        </w:rPr>
        <w:t>der</w:t>
      </w:r>
      <w:proofErr w:type="spellEnd"/>
      <w:r w:rsidRPr="00BD7F39">
        <w:rPr>
          <w:rFonts w:ascii="Arial" w:hAnsi="Arial" w:cs="Arial"/>
          <w:sz w:val="20"/>
          <w:szCs w:val="20"/>
        </w:rPr>
        <w:t xml:space="preserve"> et al., 2002; Harman et al., 2021).</w:t>
      </w:r>
    </w:p>
    <w:p w14:paraId="1EC5F28F" w14:textId="77777777" w:rsidR="008D5D5E" w:rsidRPr="00BD7F39" w:rsidRDefault="00B517E7" w:rsidP="00D243CC">
      <w:pPr>
        <w:spacing w:line="360" w:lineRule="auto"/>
        <w:jc w:val="both"/>
        <w:rPr>
          <w:rFonts w:ascii="Arial" w:hAnsi="Arial" w:cs="Arial"/>
          <w:sz w:val="20"/>
          <w:szCs w:val="20"/>
        </w:rPr>
      </w:pPr>
      <w:r w:rsidRPr="00BD7F39">
        <w:rPr>
          <w:rFonts w:ascii="Arial" w:hAnsi="Arial" w:cs="Arial"/>
          <w:sz w:val="20"/>
          <w:szCs w:val="20"/>
        </w:rPr>
        <w:t xml:space="preserve">The seed/seedling treatment,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also provides a small amount of nutrients to the soil, but its main impact is considered to be the protection of young roots from fungus and soil or seed-borne diseases. Accounting for all ingredients used to produce </w:t>
      </w:r>
      <w:proofErr w:type="spellStart"/>
      <w:r w:rsidRPr="00BD7F39">
        <w:rPr>
          <w:rFonts w:ascii="Arial" w:hAnsi="Arial" w:cs="Arial"/>
          <w:sz w:val="20"/>
          <w:szCs w:val="20"/>
        </w:rPr>
        <w:t>beejamrita</w:t>
      </w:r>
      <w:proofErr w:type="spellEnd"/>
      <w:r w:rsidRPr="00BD7F39">
        <w:rPr>
          <w:rFonts w:ascii="Arial" w:hAnsi="Arial" w:cs="Arial"/>
          <w:sz w:val="20"/>
          <w:szCs w:val="20"/>
        </w:rPr>
        <w:t>, up to 0.16 ± 0.02 kg ha</w:t>
      </w:r>
      <w:r w:rsidRPr="00BD7F39">
        <w:rPr>
          <w:rFonts w:ascii="Arial" w:hAnsi="Arial" w:cs="Arial"/>
          <w:sz w:val="20"/>
          <w:szCs w:val="20"/>
          <w:vertAlign w:val="superscript"/>
        </w:rPr>
        <w:t>−1</w:t>
      </w:r>
      <w:r w:rsidRPr="00BD7F39">
        <w:rPr>
          <w:rFonts w:ascii="Arial" w:hAnsi="Arial" w:cs="Arial"/>
          <w:sz w:val="20"/>
          <w:szCs w:val="20"/>
        </w:rPr>
        <w:t xml:space="preserve"> nitrogen per crop could be provided in </w:t>
      </w:r>
      <w:proofErr w:type="spellStart"/>
      <w:r w:rsidRPr="00BD7F39">
        <w:rPr>
          <w:rFonts w:ascii="Arial" w:hAnsi="Arial" w:cs="Arial"/>
          <w:sz w:val="20"/>
          <w:szCs w:val="20"/>
        </w:rPr>
        <w:t>beejamrita</w:t>
      </w:r>
      <w:proofErr w:type="spellEnd"/>
      <w:r w:rsidRPr="00BD7F39">
        <w:rPr>
          <w:rFonts w:ascii="Arial" w:hAnsi="Arial" w:cs="Arial"/>
          <w:sz w:val="20"/>
          <w:szCs w:val="20"/>
        </w:rPr>
        <w:t>, equivalent to just 0.3% of the nitrogen fertilizer applicatio</w:t>
      </w:r>
      <w:r w:rsidR="008D5D5E" w:rsidRPr="00BD7F39">
        <w:rPr>
          <w:rFonts w:ascii="Arial" w:hAnsi="Arial" w:cs="Arial"/>
          <w:sz w:val="20"/>
          <w:szCs w:val="20"/>
        </w:rPr>
        <w:t>n</w:t>
      </w:r>
      <w:r w:rsidRPr="00BD7F39">
        <w:rPr>
          <w:rFonts w:ascii="Arial" w:hAnsi="Arial" w:cs="Arial"/>
          <w:sz w:val="20"/>
          <w:szCs w:val="20"/>
        </w:rPr>
        <w:t>.</w:t>
      </w:r>
    </w:p>
    <w:p w14:paraId="57A35480" w14:textId="1045C248" w:rsidR="00B517E7" w:rsidRPr="00BD7F39" w:rsidRDefault="00B517E7" w:rsidP="00D243CC">
      <w:pPr>
        <w:spacing w:line="360" w:lineRule="auto"/>
        <w:jc w:val="both"/>
        <w:rPr>
          <w:rFonts w:ascii="Arial" w:hAnsi="Arial" w:cs="Arial"/>
          <w:sz w:val="20"/>
          <w:szCs w:val="20"/>
        </w:rPr>
      </w:pPr>
      <w:r w:rsidRPr="00BD7F39">
        <w:rPr>
          <w:rFonts w:ascii="Arial" w:hAnsi="Arial" w:cs="Arial"/>
          <w:sz w:val="20"/>
          <w:szCs w:val="20"/>
        </w:rPr>
        <w:t xml:space="preserve">Inoculation of soybean seed with bacterial isolates from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has been observed to improve germination and to increase seedling length and vigour30. Therefore, there is good evidence for the beneficial action of </w:t>
      </w:r>
      <w:proofErr w:type="spellStart"/>
      <w:r w:rsidRPr="00BD7F39">
        <w:rPr>
          <w:rFonts w:ascii="Arial" w:hAnsi="Arial" w:cs="Arial"/>
          <w:sz w:val="20"/>
          <w:szCs w:val="20"/>
        </w:rPr>
        <w:t>beejamrita</w:t>
      </w:r>
      <w:proofErr w:type="spellEnd"/>
      <w:r w:rsidRPr="00BD7F39">
        <w:rPr>
          <w:rFonts w:ascii="Arial" w:hAnsi="Arial" w:cs="Arial"/>
          <w:sz w:val="20"/>
          <w:szCs w:val="20"/>
        </w:rPr>
        <w:t xml:space="preserve">, but further work is needed to fully understand the pathways of disease resistance and quantify its impacts in terms of yield and nutrient capture by the plant (Jo Smith </w:t>
      </w:r>
      <w:r w:rsidRPr="00BD7F39">
        <w:rPr>
          <w:rFonts w:ascii="Arial" w:hAnsi="Arial" w:cs="Arial"/>
          <w:i/>
          <w:iCs/>
          <w:sz w:val="20"/>
          <w:szCs w:val="20"/>
        </w:rPr>
        <w:t>et al</w:t>
      </w:r>
      <w:r w:rsidRPr="00BD7F39">
        <w:rPr>
          <w:rFonts w:ascii="Arial" w:hAnsi="Arial" w:cs="Arial"/>
          <w:sz w:val="20"/>
          <w:szCs w:val="20"/>
        </w:rPr>
        <w:t>.,</w:t>
      </w:r>
      <w:r w:rsidR="00EA0933" w:rsidRPr="00BD7F39">
        <w:rPr>
          <w:rFonts w:ascii="Arial" w:hAnsi="Arial" w:cs="Arial"/>
          <w:sz w:val="20"/>
          <w:szCs w:val="20"/>
        </w:rPr>
        <w:t xml:space="preserve"> </w:t>
      </w:r>
      <w:r w:rsidRPr="00BD7F39">
        <w:rPr>
          <w:rFonts w:ascii="Arial" w:hAnsi="Arial" w:cs="Arial"/>
          <w:sz w:val="20"/>
          <w:szCs w:val="20"/>
        </w:rPr>
        <w:t>2024)</w:t>
      </w:r>
      <w:r w:rsidR="008D5D5E" w:rsidRPr="00BD7F39">
        <w:rPr>
          <w:rFonts w:ascii="Arial" w:hAnsi="Arial" w:cs="Arial"/>
          <w:sz w:val="20"/>
          <w:szCs w:val="20"/>
        </w:rPr>
        <w:t>.</w:t>
      </w:r>
    </w:p>
    <w:p w14:paraId="6F3D527B" w14:textId="24ED8E01" w:rsidR="008D5D5E" w:rsidRDefault="008D5D5E" w:rsidP="00D243CC">
      <w:pPr>
        <w:spacing w:line="360" w:lineRule="auto"/>
        <w:jc w:val="both"/>
        <w:rPr>
          <w:rFonts w:ascii="Arial" w:hAnsi="Arial" w:cs="Arial"/>
          <w:sz w:val="20"/>
          <w:szCs w:val="20"/>
        </w:rPr>
      </w:pPr>
      <w:r w:rsidRPr="00BD7F39">
        <w:rPr>
          <w:rFonts w:ascii="Arial" w:hAnsi="Arial" w:cs="Arial"/>
          <w:sz w:val="20"/>
          <w:szCs w:val="20"/>
        </w:rPr>
        <w:t>A seed treatment applied either as a seed coating before sowing, or a root dip before transplanting. Common ingredients include desi cow dung and urine, CaCO3 and water (</w:t>
      </w:r>
      <w:proofErr w:type="spellStart"/>
      <w:r w:rsidRPr="00BD7F39">
        <w:rPr>
          <w:rFonts w:ascii="Arial" w:hAnsi="Arial" w:cs="Arial"/>
          <w:sz w:val="20"/>
          <w:szCs w:val="20"/>
        </w:rPr>
        <w:t>Duddigan</w:t>
      </w:r>
      <w:proofErr w:type="spellEnd"/>
      <w:r w:rsidRPr="00BD7F39">
        <w:rPr>
          <w:rFonts w:ascii="Arial" w:hAnsi="Arial" w:cs="Arial"/>
          <w:sz w:val="20"/>
          <w:szCs w:val="20"/>
        </w:rPr>
        <w:t xml:space="preserve"> et al., 2023).</w:t>
      </w:r>
    </w:p>
    <w:p w14:paraId="7894E879" w14:textId="2441698B" w:rsidR="00170CA1" w:rsidRPr="00BD7F39" w:rsidRDefault="00170CA1" w:rsidP="00D243CC">
      <w:pPr>
        <w:spacing w:line="360" w:lineRule="auto"/>
        <w:jc w:val="both"/>
        <w:rPr>
          <w:rFonts w:ascii="Arial" w:hAnsi="Arial" w:cs="Arial"/>
          <w:sz w:val="20"/>
          <w:szCs w:val="20"/>
        </w:rPr>
      </w:pPr>
      <w:r w:rsidRPr="00170CA1">
        <w:rPr>
          <w:rFonts w:ascii="Arial" w:hAnsi="Arial" w:cs="Arial"/>
          <w:sz w:val="20"/>
          <w:szCs w:val="20"/>
        </w:rPr>
        <w:t xml:space="preserve">Similarly, analysis of </w:t>
      </w:r>
      <w:proofErr w:type="spellStart"/>
      <w:r w:rsidRPr="00170CA1">
        <w:rPr>
          <w:rFonts w:ascii="Arial" w:hAnsi="Arial" w:cs="Arial"/>
          <w:sz w:val="20"/>
          <w:szCs w:val="20"/>
        </w:rPr>
        <w:t>Beejamrita</w:t>
      </w:r>
      <w:proofErr w:type="spellEnd"/>
      <w:r w:rsidRPr="00170CA1">
        <w:rPr>
          <w:rFonts w:ascii="Arial" w:hAnsi="Arial" w:cs="Arial"/>
          <w:sz w:val="20"/>
          <w:szCs w:val="20"/>
        </w:rPr>
        <w:t xml:space="preserve"> shows it contains beneficial microorganisms such </w:t>
      </w:r>
      <w:proofErr w:type="spellStart"/>
      <w:r w:rsidRPr="00170CA1">
        <w:rPr>
          <w:rFonts w:ascii="Arial" w:hAnsi="Arial" w:cs="Arial"/>
          <w:sz w:val="20"/>
          <w:szCs w:val="20"/>
        </w:rPr>
        <w:t>asbacteria</w:t>
      </w:r>
      <w:proofErr w:type="spellEnd"/>
      <w:r w:rsidRPr="00170CA1">
        <w:rPr>
          <w:rFonts w:ascii="Arial" w:hAnsi="Arial" w:cs="Arial"/>
          <w:sz w:val="20"/>
          <w:szCs w:val="20"/>
        </w:rPr>
        <w:t xml:space="preserve">, fungi, </w:t>
      </w:r>
      <w:proofErr w:type="spellStart"/>
      <w:r w:rsidRPr="00170CA1">
        <w:rPr>
          <w:rFonts w:ascii="Arial" w:hAnsi="Arial" w:cs="Arial"/>
          <w:sz w:val="20"/>
          <w:szCs w:val="20"/>
        </w:rPr>
        <w:t>actinomycetes</w:t>
      </w:r>
      <w:proofErr w:type="spellEnd"/>
      <w:r w:rsidRPr="00170CA1">
        <w:rPr>
          <w:rFonts w:ascii="Arial" w:hAnsi="Arial" w:cs="Arial"/>
          <w:sz w:val="20"/>
          <w:szCs w:val="20"/>
        </w:rPr>
        <w:t>, phosphorus-solubilizing bacteria, and N-fixers (</w:t>
      </w:r>
      <w:proofErr w:type="spellStart"/>
      <w:r w:rsidRPr="00170CA1">
        <w:rPr>
          <w:rFonts w:ascii="Arial" w:hAnsi="Arial" w:cs="Arial"/>
          <w:sz w:val="20"/>
          <w:szCs w:val="20"/>
        </w:rPr>
        <w:t>Devkumar</w:t>
      </w:r>
      <w:proofErr w:type="spellEnd"/>
      <w:r w:rsidRPr="00170CA1">
        <w:rPr>
          <w:rFonts w:ascii="Arial" w:hAnsi="Arial" w:cs="Arial"/>
          <w:sz w:val="20"/>
          <w:szCs w:val="20"/>
        </w:rPr>
        <w:t xml:space="preserve"> et al. 2014).</w:t>
      </w:r>
    </w:p>
    <w:p w14:paraId="2CCCC0A6" w14:textId="30CDB039" w:rsidR="00993C50" w:rsidRPr="00BD7F39" w:rsidRDefault="00993C50" w:rsidP="00D243CC">
      <w:pPr>
        <w:spacing w:line="360" w:lineRule="auto"/>
        <w:jc w:val="both"/>
        <w:rPr>
          <w:rFonts w:ascii="Arial" w:hAnsi="Arial" w:cs="Arial"/>
          <w:b/>
          <w:bCs/>
          <w:sz w:val="20"/>
          <w:szCs w:val="20"/>
        </w:rPr>
      </w:pPr>
      <w:r w:rsidRPr="00BD7F39">
        <w:rPr>
          <w:rFonts w:ascii="Arial" w:hAnsi="Arial" w:cs="Arial"/>
          <w:b/>
          <w:bCs/>
          <w:sz w:val="20"/>
          <w:szCs w:val="20"/>
        </w:rPr>
        <w:t xml:space="preserve">Procedure for preparation of </w:t>
      </w:r>
      <w:proofErr w:type="spellStart"/>
      <w:r w:rsidR="008F6F2F" w:rsidRPr="00BD7F39">
        <w:rPr>
          <w:rFonts w:ascii="Arial" w:hAnsi="Arial" w:cs="Arial"/>
          <w:b/>
          <w:bCs/>
          <w:sz w:val="20"/>
          <w:szCs w:val="20"/>
        </w:rPr>
        <w:t>Beejamruth</w:t>
      </w:r>
      <w:proofErr w:type="spellEnd"/>
    </w:p>
    <w:p w14:paraId="26DFC876"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Phase 1: Overnight Preparation</w:t>
      </w:r>
    </w:p>
    <w:p w14:paraId="721A101C" w14:textId="4A2283EA" w:rsidR="008F6F2F" w:rsidRPr="00BD7F39" w:rsidRDefault="008F6F2F" w:rsidP="008F6F2F">
      <w:pPr>
        <w:spacing w:line="360" w:lineRule="auto"/>
        <w:jc w:val="both"/>
        <w:rPr>
          <w:rFonts w:ascii="Arial" w:hAnsi="Arial" w:cs="Arial"/>
          <w:sz w:val="20"/>
          <w:szCs w:val="20"/>
        </w:rPr>
      </w:pPr>
      <w:r w:rsidRPr="00BD7F39">
        <w:rPr>
          <w:rFonts w:ascii="Arial" w:hAnsi="Arial" w:cs="Arial"/>
          <w:sz w:val="20"/>
          <w:szCs w:val="20"/>
        </w:rPr>
        <w:t>Before the day of sowing, prepare the base ingredients to ensure the lime is neutralized and the dung nutrients are extracted.</w:t>
      </w:r>
    </w:p>
    <w:p w14:paraId="0D432EE2" w14:textId="0763CC8E" w:rsidR="008F6F2F" w:rsidRPr="00BD7F39" w:rsidRDefault="00845F08" w:rsidP="00845F08">
      <w:pPr>
        <w:spacing w:line="360" w:lineRule="auto"/>
        <w:ind w:hanging="360"/>
        <w:jc w:val="both"/>
        <w:rPr>
          <w:rFonts w:ascii="Arial" w:hAnsi="Arial" w:cs="Arial"/>
          <w:sz w:val="20"/>
          <w:szCs w:val="20"/>
        </w:rPr>
      </w:pPr>
      <w:r w:rsidRPr="00BD7F39">
        <w:rPr>
          <w:rFonts w:ascii="Arial" w:hAnsi="Arial" w:cs="Arial"/>
          <w:b/>
          <w:bCs/>
          <w:sz w:val="20"/>
          <w:szCs w:val="20"/>
        </w:rPr>
        <w:t xml:space="preserve">      </w:t>
      </w:r>
      <w:r w:rsidR="008F6F2F" w:rsidRPr="00BD7F39">
        <w:rPr>
          <w:rFonts w:ascii="Arial" w:hAnsi="Arial" w:cs="Arial"/>
          <w:b/>
          <w:bCs/>
          <w:sz w:val="20"/>
          <w:szCs w:val="20"/>
        </w:rPr>
        <w:t xml:space="preserve">Dung Soaking: </w:t>
      </w:r>
      <w:r w:rsidR="008F6F2F" w:rsidRPr="00BD7F39">
        <w:rPr>
          <w:rFonts w:ascii="Arial" w:hAnsi="Arial" w:cs="Arial"/>
          <w:sz w:val="20"/>
          <w:szCs w:val="20"/>
        </w:rPr>
        <w:t xml:space="preserve">Take 5 kg of fresh local cow dung and tie it in a thin cloth (like a muslin cloth or a gunny bag). Submerge this bundle into a container with 20 </w:t>
      </w:r>
      <w:proofErr w:type="spellStart"/>
      <w:r w:rsidR="008F6F2F" w:rsidRPr="00BD7F39">
        <w:rPr>
          <w:rFonts w:ascii="Arial" w:hAnsi="Arial" w:cs="Arial"/>
          <w:sz w:val="20"/>
          <w:szCs w:val="20"/>
        </w:rPr>
        <w:t>liters</w:t>
      </w:r>
      <w:proofErr w:type="spellEnd"/>
      <w:r w:rsidR="008F6F2F" w:rsidRPr="00BD7F39">
        <w:rPr>
          <w:rFonts w:ascii="Arial" w:hAnsi="Arial" w:cs="Arial"/>
          <w:sz w:val="20"/>
          <w:szCs w:val="20"/>
        </w:rPr>
        <w:t xml:space="preserve"> of water.</w:t>
      </w:r>
      <w:r w:rsidRPr="00BD7F39">
        <w:rPr>
          <w:rFonts w:ascii="Arial" w:hAnsi="Arial" w:cs="Arial"/>
          <w:sz w:val="20"/>
          <w:szCs w:val="20"/>
        </w:rPr>
        <w:t xml:space="preserve"> </w:t>
      </w:r>
      <w:r w:rsidR="008F6F2F" w:rsidRPr="00BD7F39">
        <w:rPr>
          <w:rFonts w:ascii="Arial" w:hAnsi="Arial" w:cs="Arial"/>
          <w:sz w:val="20"/>
          <w:szCs w:val="20"/>
        </w:rPr>
        <w:t>Lime Solution: In a separate small container, dissolve 50 grams of lime (</w:t>
      </w:r>
      <w:proofErr w:type="spellStart"/>
      <w:r w:rsidR="008F6F2F" w:rsidRPr="00BD7F39">
        <w:rPr>
          <w:rFonts w:ascii="Arial" w:hAnsi="Arial" w:cs="Arial"/>
          <w:sz w:val="20"/>
          <w:szCs w:val="20"/>
        </w:rPr>
        <w:t>Chuna</w:t>
      </w:r>
      <w:proofErr w:type="spellEnd"/>
      <w:r w:rsidR="008F6F2F" w:rsidRPr="00BD7F39">
        <w:rPr>
          <w:rFonts w:ascii="Arial" w:hAnsi="Arial" w:cs="Arial"/>
          <w:sz w:val="20"/>
          <w:szCs w:val="20"/>
        </w:rPr>
        <w:t xml:space="preserve">) in 1 </w:t>
      </w:r>
      <w:proofErr w:type="spellStart"/>
      <w:r w:rsidR="008F6F2F" w:rsidRPr="00BD7F39">
        <w:rPr>
          <w:rFonts w:ascii="Arial" w:hAnsi="Arial" w:cs="Arial"/>
          <w:sz w:val="20"/>
          <w:szCs w:val="20"/>
        </w:rPr>
        <w:t>liter</w:t>
      </w:r>
      <w:proofErr w:type="spellEnd"/>
      <w:r w:rsidR="008F6F2F" w:rsidRPr="00BD7F39">
        <w:rPr>
          <w:rFonts w:ascii="Arial" w:hAnsi="Arial" w:cs="Arial"/>
          <w:sz w:val="20"/>
          <w:szCs w:val="20"/>
        </w:rPr>
        <w:t xml:space="preserve"> of water.</w:t>
      </w:r>
      <w:r w:rsidRPr="00BD7F39">
        <w:rPr>
          <w:rFonts w:ascii="Arial" w:hAnsi="Arial" w:cs="Arial"/>
          <w:sz w:val="20"/>
          <w:szCs w:val="20"/>
        </w:rPr>
        <w:t xml:space="preserve"> </w:t>
      </w:r>
      <w:r w:rsidR="008F6F2F" w:rsidRPr="00BD7F39">
        <w:rPr>
          <w:rFonts w:ascii="Arial" w:hAnsi="Arial" w:cs="Arial"/>
          <w:sz w:val="20"/>
          <w:szCs w:val="20"/>
        </w:rPr>
        <w:t>Resting Period: Let both containers sit undisturbed overnight (at least 8–12 hours).</w:t>
      </w:r>
    </w:p>
    <w:p w14:paraId="3735025D" w14:textId="77777777" w:rsidR="008F6F2F" w:rsidRPr="00BD7F39" w:rsidRDefault="008F6F2F" w:rsidP="00845F08">
      <w:pPr>
        <w:spacing w:line="360" w:lineRule="auto"/>
        <w:jc w:val="both"/>
        <w:rPr>
          <w:rFonts w:ascii="Arial" w:hAnsi="Arial" w:cs="Arial"/>
          <w:b/>
          <w:bCs/>
          <w:sz w:val="20"/>
          <w:szCs w:val="20"/>
        </w:rPr>
      </w:pPr>
      <w:r w:rsidRPr="00BD7F39">
        <w:rPr>
          <w:rFonts w:ascii="Arial" w:hAnsi="Arial" w:cs="Arial"/>
          <w:b/>
          <w:bCs/>
          <w:sz w:val="20"/>
          <w:szCs w:val="20"/>
        </w:rPr>
        <w:t>Phase 2: Mixing the Solution</w:t>
      </w:r>
    </w:p>
    <w:p w14:paraId="1750641F" w14:textId="0405FE9D" w:rsidR="008F6F2F" w:rsidRPr="00BD7F39" w:rsidRDefault="008F6F2F" w:rsidP="00845F08">
      <w:pPr>
        <w:pStyle w:val="ListParagraph"/>
        <w:spacing w:line="360" w:lineRule="auto"/>
        <w:ind w:left="0"/>
        <w:jc w:val="both"/>
        <w:rPr>
          <w:rFonts w:ascii="Arial" w:hAnsi="Arial" w:cs="Arial"/>
          <w:sz w:val="20"/>
          <w:szCs w:val="20"/>
        </w:rPr>
      </w:pPr>
      <w:r w:rsidRPr="00BD7F39">
        <w:rPr>
          <w:rFonts w:ascii="Arial" w:hAnsi="Arial" w:cs="Arial"/>
          <w:b/>
          <w:bCs/>
          <w:sz w:val="20"/>
          <w:szCs w:val="20"/>
        </w:rPr>
        <w:lastRenderedPageBreak/>
        <w:t xml:space="preserve">Extract the Dung Liquid: </w:t>
      </w:r>
      <w:r w:rsidRPr="00BD7F39">
        <w:rPr>
          <w:rFonts w:ascii="Arial" w:hAnsi="Arial" w:cs="Arial"/>
          <w:sz w:val="20"/>
          <w:szCs w:val="20"/>
        </w:rPr>
        <w:t xml:space="preserve">Rub and squeeze the soaked cow dung bundle thoroughly within the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water to extract all its properties. Once the water is dark and concentrated, remove the cloth bundle.</w:t>
      </w:r>
      <w:r w:rsidR="00845F08" w:rsidRPr="00BD7F39">
        <w:rPr>
          <w:rFonts w:ascii="Arial" w:hAnsi="Arial" w:cs="Arial"/>
          <w:sz w:val="20"/>
          <w:szCs w:val="20"/>
        </w:rPr>
        <w:t xml:space="preserve"> </w:t>
      </w:r>
      <w:r w:rsidRPr="00BD7F39">
        <w:rPr>
          <w:rFonts w:ascii="Arial" w:hAnsi="Arial" w:cs="Arial"/>
          <w:sz w:val="20"/>
          <w:szCs w:val="20"/>
        </w:rPr>
        <w:t xml:space="preserve">Add Urine: Pour 10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local cow urine into the dung extract.</w:t>
      </w:r>
      <w:r w:rsidR="00845F08" w:rsidRPr="00BD7F39">
        <w:rPr>
          <w:rFonts w:ascii="Arial" w:hAnsi="Arial" w:cs="Arial"/>
          <w:sz w:val="20"/>
          <w:szCs w:val="20"/>
        </w:rPr>
        <w:t xml:space="preserve"> </w:t>
      </w:r>
      <w:r w:rsidRPr="00BD7F39">
        <w:rPr>
          <w:rFonts w:ascii="Arial" w:hAnsi="Arial" w:cs="Arial"/>
          <w:sz w:val="20"/>
          <w:szCs w:val="20"/>
        </w:rPr>
        <w:t>Add Lime: Pour the lime water (prepared the night before) into the mixture.</w:t>
      </w:r>
      <w:r w:rsidR="00845F08" w:rsidRPr="00BD7F39">
        <w:rPr>
          <w:rFonts w:ascii="Arial" w:hAnsi="Arial" w:cs="Arial"/>
          <w:sz w:val="20"/>
          <w:szCs w:val="20"/>
        </w:rPr>
        <w:t xml:space="preserve"> </w:t>
      </w:r>
      <w:r w:rsidRPr="00BD7F39">
        <w:rPr>
          <w:rFonts w:ascii="Arial" w:hAnsi="Arial" w:cs="Arial"/>
          <w:sz w:val="20"/>
          <w:szCs w:val="20"/>
        </w:rPr>
        <w:t>Add Soil (The Inoculum): Add a handful of virgin soil (collected from the bund of the field or deep forest soil) to the mixture.</w:t>
      </w:r>
      <w:r w:rsidR="00845F08" w:rsidRPr="00BD7F39">
        <w:rPr>
          <w:rFonts w:ascii="Arial" w:hAnsi="Arial" w:cs="Arial"/>
          <w:sz w:val="20"/>
          <w:szCs w:val="20"/>
        </w:rPr>
        <w:t xml:space="preserve"> </w:t>
      </w:r>
      <w:r w:rsidRPr="00BD7F39">
        <w:rPr>
          <w:rFonts w:ascii="Arial" w:hAnsi="Arial" w:cs="Arial"/>
          <w:sz w:val="20"/>
          <w:szCs w:val="20"/>
        </w:rPr>
        <w:t>Final Stirring: Stir the entire solution well with a wooden stick. It is now ready for immediate use.</w:t>
      </w:r>
    </w:p>
    <w:p w14:paraId="021DAD44"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Phase 3: Application to Seeds</w:t>
      </w:r>
    </w:p>
    <w:p w14:paraId="478CBF6D" w14:textId="77777777" w:rsidR="008F6F2F" w:rsidRPr="00BD7F39" w:rsidRDefault="008F6F2F" w:rsidP="008F6F2F">
      <w:pPr>
        <w:spacing w:line="360" w:lineRule="auto"/>
        <w:jc w:val="both"/>
        <w:rPr>
          <w:rFonts w:ascii="Arial" w:hAnsi="Arial" w:cs="Arial"/>
          <w:b/>
          <w:bCs/>
          <w:sz w:val="20"/>
          <w:szCs w:val="20"/>
        </w:rPr>
      </w:pPr>
      <w:r w:rsidRPr="00BD7F39">
        <w:rPr>
          <w:rFonts w:ascii="Arial" w:hAnsi="Arial" w:cs="Arial"/>
          <w:b/>
          <w:bCs/>
          <w:sz w:val="20"/>
          <w:szCs w:val="20"/>
        </w:rPr>
        <w:t>Once the solution is ready, follow these steps for the actual treatment:</w:t>
      </w:r>
    </w:p>
    <w:p w14:paraId="2D1ECC78" w14:textId="784306CE" w:rsidR="00993C50" w:rsidRPr="00BD7F39" w:rsidRDefault="008F6F2F" w:rsidP="00D243CC">
      <w:pPr>
        <w:spacing w:line="360" w:lineRule="auto"/>
        <w:jc w:val="both"/>
        <w:rPr>
          <w:rFonts w:ascii="Arial" w:hAnsi="Arial" w:cs="Arial"/>
          <w:sz w:val="20"/>
          <w:szCs w:val="20"/>
        </w:rPr>
      </w:pPr>
      <w:r w:rsidRPr="00BD7F39">
        <w:rPr>
          <w:rFonts w:ascii="Arial" w:hAnsi="Arial" w:cs="Arial"/>
          <w:sz w:val="20"/>
          <w:szCs w:val="20"/>
        </w:rPr>
        <w:t>Coating:</w:t>
      </w:r>
      <w:r w:rsidRPr="00BD7F39">
        <w:rPr>
          <w:rFonts w:ascii="Arial" w:hAnsi="Arial" w:cs="Arial"/>
          <w:b/>
          <w:bCs/>
          <w:sz w:val="20"/>
          <w:szCs w:val="20"/>
        </w:rPr>
        <w:t xml:space="preserve"> </w:t>
      </w:r>
      <w:r w:rsidRPr="00BD7F39">
        <w:rPr>
          <w:rFonts w:ascii="Arial" w:hAnsi="Arial" w:cs="Arial"/>
          <w:sz w:val="20"/>
          <w:szCs w:val="20"/>
        </w:rPr>
        <w:t xml:space="preserve">Spread the seeds intended for sowing on a clean floor or plastic sheet. Sprinkle the </w:t>
      </w:r>
      <w:proofErr w:type="spellStart"/>
      <w:r w:rsidRPr="00BD7F39">
        <w:rPr>
          <w:rFonts w:ascii="Arial" w:hAnsi="Arial" w:cs="Arial"/>
          <w:sz w:val="20"/>
          <w:szCs w:val="20"/>
        </w:rPr>
        <w:t>Beejamruth</w:t>
      </w:r>
      <w:proofErr w:type="spellEnd"/>
      <w:r w:rsidRPr="00BD7F39">
        <w:rPr>
          <w:rFonts w:ascii="Arial" w:hAnsi="Arial" w:cs="Arial"/>
          <w:sz w:val="20"/>
          <w:szCs w:val="20"/>
        </w:rPr>
        <w:t xml:space="preserve"> over the seeds.</w:t>
      </w:r>
      <w:r w:rsidR="00845F08" w:rsidRPr="00BD7F39">
        <w:rPr>
          <w:rFonts w:ascii="Arial" w:hAnsi="Arial" w:cs="Arial"/>
          <w:sz w:val="20"/>
          <w:szCs w:val="20"/>
        </w:rPr>
        <w:t xml:space="preserve"> </w:t>
      </w:r>
      <w:r w:rsidRPr="00BD7F39">
        <w:rPr>
          <w:rFonts w:ascii="Arial" w:hAnsi="Arial" w:cs="Arial"/>
          <w:sz w:val="20"/>
          <w:szCs w:val="20"/>
        </w:rPr>
        <w:t>Mixing: Mix the seeds by hand so that every seed is uniformly coated with the liquid.</w:t>
      </w:r>
      <w:r w:rsidR="00845F08" w:rsidRPr="00BD7F39">
        <w:rPr>
          <w:rFonts w:ascii="Arial" w:hAnsi="Arial" w:cs="Arial"/>
          <w:sz w:val="20"/>
          <w:szCs w:val="20"/>
        </w:rPr>
        <w:t xml:space="preserve"> </w:t>
      </w:r>
      <w:r w:rsidRPr="00BD7F39">
        <w:rPr>
          <w:rFonts w:ascii="Arial" w:hAnsi="Arial" w:cs="Arial"/>
          <w:sz w:val="20"/>
          <w:szCs w:val="20"/>
        </w:rPr>
        <w:t>Drying: Spread the treated seeds in the shade to dry. Do not dry them in direct sunlight, as this can kill the beneficial microbes.</w:t>
      </w:r>
      <w:r w:rsidR="00845F08" w:rsidRPr="00BD7F39">
        <w:rPr>
          <w:rFonts w:ascii="Arial" w:hAnsi="Arial" w:cs="Arial"/>
          <w:sz w:val="20"/>
          <w:szCs w:val="20"/>
        </w:rPr>
        <w:t xml:space="preserve"> </w:t>
      </w:r>
      <w:r w:rsidRPr="00BD7F39">
        <w:rPr>
          <w:rFonts w:ascii="Arial" w:hAnsi="Arial" w:cs="Arial"/>
          <w:sz w:val="20"/>
          <w:szCs w:val="20"/>
        </w:rPr>
        <w:t>Sowing: Once dried, the seeds are ready for sowing.</w:t>
      </w:r>
      <w:r w:rsidR="00993C50" w:rsidRPr="00BD7F39">
        <w:rPr>
          <w:rFonts w:ascii="Arial" w:hAnsi="Arial" w:cs="Arial"/>
          <w:sz w:val="20"/>
          <w:szCs w:val="20"/>
        </w:rPr>
        <w:t xml:space="preserve"> (</w:t>
      </w:r>
      <w:proofErr w:type="spellStart"/>
      <w:r w:rsidR="00993C50" w:rsidRPr="00BD7F39">
        <w:rPr>
          <w:rFonts w:ascii="Arial" w:hAnsi="Arial" w:cs="Arial"/>
          <w:sz w:val="20"/>
          <w:szCs w:val="20"/>
        </w:rPr>
        <w:t>Palekar</w:t>
      </w:r>
      <w:proofErr w:type="spellEnd"/>
      <w:r w:rsidR="00993C50" w:rsidRPr="00BD7F39">
        <w:rPr>
          <w:rFonts w:ascii="Arial" w:hAnsi="Arial" w:cs="Arial"/>
          <w:sz w:val="20"/>
          <w:szCs w:val="20"/>
        </w:rPr>
        <w:t xml:space="preserve"> 2006a).</w:t>
      </w:r>
    </w:p>
    <w:p w14:paraId="0AC54C89" w14:textId="4E15E03C" w:rsidR="00993C50"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1.4.2 </w:t>
      </w:r>
      <w:proofErr w:type="spellStart"/>
      <w:r w:rsidRPr="00BD7F39">
        <w:rPr>
          <w:rFonts w:ascii="Arial" w:hAnsi="Arial" w:cs="Arial"/>
          <w:b/>
          <w:bCs/>
          <w:sz w:val="20"/>
          <w:szCs w:val="20"/>
        </w:rPr>
        <w:t>Jeevamrit</w:t>
      </w:r>
      <w:proofErr w:type="spellEnd"/>
      <w:r w:rsidRPr="00BD7F39">
        <w:rPr>
          <w:rFonts w:ascii="Arial" w:hAnsi="Arial" w:cs="Arial"/>
          <w:b/>
          <w:bCs/>
          <w:sz w:val="20"/>
          <w:szCs w:val="20"/>
        </w:rPr>
        <w:t xml:space="preserve"> (Soil Microbial Solution)</w:t>
      </w:r>
    </w:p>
    <w:p w14:paraId="03947A2D" w14:textId="77777777" w:rsidR="00D243CC"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Jeevamrit</w:t>
      </w:r>
      <w:proofErr w:type="spellEnd"/>
      <w:r w:rsidRPr="00BD7F39">
        <w:rPr>
          <w:rFonts w:ascii="Arial" w:hAnsi="Arial" w:cs="Arial"/>
          <w:sz w:val="20"/>
          <w:szCs w:val="20"/>
        </w:rPr>
        <w:t xml:space="preserve"> is a fermented microbial consortium applied to stimulate soil biological activity rather than directly supply nutrients. It accelerates organic matter decomposition, nutrient mineralization, and microbial-mediated nutrient cycling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Soils treated with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exhibit higher populations of nitrogen-fixing bacteria, phosphorus-solubilizing microorganisms, actinomycetes, and beneficial fungi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w:t>
      </w:r>
      <w:proofErr w:type="spellStart"/>
      <w:r w:rsidRPr="00BD7F39">
        <w:rPr>
          <w:rFonts w:ascii="Arial" w:hAnsi="Arial" w:cs="Arial"/>
          <w:sz w:val="20"/>
          <w:szCs w:val="20"/>
        </w:rPr>
        <w:t>Lakhani</w:t>
      </w:r>
      <w:proofErr w:type="spellEnd"/>
      <w:r w:rsidRPr="00BD7F39">
        <w:rPr>
          <w:rFonts w:ascii="Arial" w:hAnsi="Arial" w:cs="Arial"/>
          <w:sz w:val="20"/>
          <w:szCs w:val="20"/>
        </w:rPr>
        <w:t xml:space="preserve"> et al., 2024).</w:t>
      </w:r>
    </w:p>
    <w:p w14:paraId="7A59C962" w14:textId="77777777" w:rsidR="00D849A4" w:rsidRPr="00BD7F39" w:rsidRDefault="00D243CC" w:rsidP="00D243CC">
      <w:pPr>
        <w:spacing w:line="360" w:lineRule="auto"/>
        <w:jc w:val="both"/>
        <w:rPr>
          <w:rFonts w:ascii="Arial" w:hAnsi="Arial" w:cs="Arial"/>
          <w:sz w:val="20"/>
          <w:szCs w:val="20"/>
        </w:rPr>
      </w:pPr>
      <w:r w:rsidRPr="00BD7F39">
        <w:rPr>
          <w:rFonts w:ascii="Arial" w:hAnsi="Arial" w:cs="Arial"/>
          <w:sz w:val="20"/>
          <w:szCs w:val="20"/>
        </w:rPr>
        <w:t xml:space="preserve">Applications of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and </w:t>
      </w:r>
      <w:proofErr w:type="spellStart"/>
      <w:r w:rsidRPr="00BD7F39">
        <w:rPr>
          <w:rFonts w:ascii="Arial" w:hAnsi="Arial" w:cs="Arial"/>
          <w:sz w:val="20"/>
          <w:szCs w:val="20"/>
        </w:rPr>
        <w:t>Ghan</w:t>
      </w:r>
      <w:r w:rsidR="003D2BFB" w:rsidRPr="00BD7F39">
        <w:rPr>
          <w:rFonts w:ascii="Arial" w:hAnsi="Arial" w:cs="Arial"/>
          <w:sz w:val="20"/>
          <w:szCs w:val="20"/>
        </w:rPr>
        <w:t>j</w:t>
      </w:r>
      <w:r w:rsidRPr="00BD7F39">
        <w:rPr>
          <w:rFonts w:ascii="Arial" w:hAnsi="Arial" w:cs="Arial"/>
          <w:sz w:val="20"/>
          <w:szCs w:val="20"/>
        </w:rPr>
        <w:t>eevamrit</w:t>
      </w:r>
      <w:proofErr w:type="spellEnd"/>
      <w:r w:rsidRPr="00BD7F39">
        <w:rPr>
          <w:rFonts w:ascii="Arial" w:hAnsi="Arial" w:cs="Arial"/>
          <w:sz w:val="20"/>
          <w:szCs w:val="20"/>
        </w:rPr>
        <w:t xml:space="preserve"> have led to 40–50% increases in microbial biomass carbon, enhanced soil enzymatic activity (dehydrogenase, phosphatase, urease), and improved nutrient availability (Dwivedi et al., 2021;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Similar improvements in microbial functional diversity have been reported under organic bio-stimulant use in diverse agro-ecological regions (Lori et al., 2017; </w:t>
      </w:r>
      <w:proofErr w:type="spellStart"/>
      <w:r w:rsidRPr="00BD7F39">
        <w:rPr>
          <w:rFonts w:ascii="Arial" w:hAnsi="Arial" w:cs="Arial"/>
          <w:sz w:val="20"/>
          <w:szCs w:val="20"/>
        </w:rPr>
        <w:t>Lazcano</w:t>
      </w:r>
      <w:proofErr w:type="spellEnd"/>
      <w:r w:rsidRPr="00BD7F39">
        <w:rPr>
          <w:rFonts w:ascii="Arial" w:hAnsi="Arial" w:cs="Arial"/>
          <w:sz w:val="20"/>
          <w:szCs w:val="20"/>
        </w:rPr>
        <w:t xml:space="preserve"> et al., 2020). Long-term studies in rice–wheat and cotton systems indicate that integrating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with residue retention reduced synthetic fertilizer use by 30–50% without compromising yields, while improving soil organic carbon and aggregate stability (Singh et al., 2019;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Das et al., 2024). </w:t>
      </w:r>
    </w:p>
    <w:p w14:paraId="2CD51038" w14:textId="78786E15" w:rsidR="00D849A4" w:rsidRPr="00BD7F39" w:rsidRDefault="00D243CC" w:rsidP="00D243CC">
      <w:pPr>
        <w:spacing w:line="360" w:lineRule="auto"/>
        <w:jc w:val="both"/>
        <w:rPr>
          <w:rFonts w:ascii="Arial" w:hAnsi="Arial" w:cs="Arial"/>
          <w:sz w:val="20"/>
          <w:szCs w:val="20"/>
        </w:rPr>
      </w:pPr>
      <w:r w:rsidRPr="00BD7F39">
        <w:rPr>
          <w:rFonts w:ascii="Arial" w:hAnsi="Arial" w:cs="Arial"/>
          <w:sz w:val="20"/>
          <w:szCs w:val="20"/>
        </w:rPr>
        <w:t>State-level assessments in Andhra Pradesh Natural Farming reported higher net farm incomes and reduced input costs due to improved soil biological efficiency (CEEW, 2022; NITI Aayog, 2023).</w:t>
      </w:r>
      <w:r w:rsidR="00453271" w:rsidRPr="00BD7F39">
        <w:rPr>
          <w:rFonts w:ascii="Arial" w:hAnsi="Arial" w:cs="Arial"/>
          <w:sz w:val="20"/>
          <w:szCs w:val="20"/>
        </w:rPr>
        <w:t xml:space="preserve"> The fermented microbial culture,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provides some nutrients, but more importantly, aims to promote growth of microorganisms and increase earthworm activity</w:t>
      </w:r>
      <w:r w:rsidR="00D849A4" w:rsidRPr="00BD7F39">
        <w:rPr>
          <w:rFonts w:ascii="Arial" w:hAnsi="Arial" w:cs="Arial"/>
          <w:sz w:val="20"/>
          <w:szCs w:val="20"/>
        </w:rPr>
        <w:t xml:space="preserve"> Sharma, R., &amp; </w:t>
      </w:r>
      <w:proofErr w:type="spellStart"/>
      <w:r w:rsidR="00D849A4" w:rsidRPr="00BD7F39">
        <w:rPr>
          <w:rFonts w:ascii="Arial" w:hAnsi="Arial" w:cs="Arial"/>
          <w:sz w:val="20"/>
          <w:szCs w:val="20"/>
        </w:rPr>
        <w:t>Chadak</w:t>
      </w:r>
      <w:proofErr w:type="spellEnd"/>
      <w:r w:rsidR="00D849A4" w:rsidRPr="00BD7F39">
        <w:rPr>
          <w:rFonts w:ascii="Arial" w:hAnsi="Arial" w:cs="Arial"/>
          <w:sz w:val="20"/>
          <w:szCs w:val="20"/>
        </w:rPr>
        <w:t>, S. (2022), Patel, R., et al. (2023)</w:t>
      </w:r>
      <w:r w:rsidR="00453271" w:rsidRPr="00BD7F39">
        <w:rPr>
          <w:rFonts w:ascii="Arial" w:hAnsi="Arial" w:cs="Arial"/>
          <w:sz w:val="20"/>
          <w:szCs w:val="20"/>
        </w:rPr>
        <w:t xml:space="preserve">. Two types of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xml:space="preserve"> are prepared: the wet form prepared as a slurry, ‘</w:t>
      </w:r>
      <w:proofErr w:type="spellStart"/>
      <w:r w:rsidR="00453271" w:rsidRPr="00BD7F39">
        <w:rPr>
          <w:rFonts w:ascii="Arial" w:hAnsi="Arial" w:cs="Arial"/>
          <w:sz w:val="20"/>
          <w:szCs w:val="20"/>
        </w:rPr>
        <w:t>dhrava</w:t>
      </w:r>
      <w:proofErr w:type="spellEnd"/>
      <w:r w:rsidR="00453271" w:rsidRPr="00BD7F39">
        <w:rPr>
          <w:rFonts w:ascii="Arial" w:hAnsi="Arial" w:cs="Arial"/>
          <w:sz w:val="20"/>
          <w:szCs w:val="20"/>
        </w:rPr>
        <w:t xml:space="preserve"> </w:t>
      </w:r>
      <w:proofErr w:type="spellStart"/>
      <w:r w:rsidR="00453271" w:rsidRPr="00BD7F39">
        <w:rPr>
          <w:rFonts w:ascii="Arial" w:hAnsi="Arial" w:cs="Arial"/>
          <w:sz w:val="20"/>
          <w:szCs w:val="20"/>
        </w:rPr>
        <w:t>jiwamrita</w:t>
      </w:r>
      <w:proofErr w:type="spellEnd"/>
      <w:r w:rsidR="00453271" w:rsidRPr="00BD7F39">
        <w:rPr>
          <w:rFonts w:ascii="Arial" w:hAnsi="Arial" w:cs="Arial"/>
          <w:sz w:val="20"/>
          <w:szCs w:val="20"/>
        </w:rPr>
        <w:t>’, and the dried form prepared for storage, ‘</w:t>
      </w:r>
      <w:proofErr w:type="spellStart"/>
      <w:r w:rsidR="00453271" w:rsidRPr="00BD7F39">
        <w:rPr>
          <w:rFonts w:ascii="Arial" w:hAnsi="Arial" w:cs="Arial"/>
          <w:sz w:val="20"/>
          <w:szCs w:val="20"/>
        </w:rPr>
        <w:t>ghanajiwamrita</w:t>
      </w:r>
      <w:proofErr w:type="spellEnd"/>
      <w:r w:rsidR="00453271" w:rsidRPr="00BD7F39">
        <w:rPr>
          <w:rFonts w:ascii="Arial" w:hAnsi="Arial" w:cs="Arial"/>
          <w:sz w:val="20"/>
          <w:szCs w:val="20"/>
        </w:rPr>
        <w:t>’</w:t>
      </w:r>
      <w:r w:rsidR="00D849A4" w:rsidRPr="00BD7F39">
        <w:rPr>
          <w:rFonts w:ascii="Arial" w:hAnsi="Arial" w:cs="Arial"/>
          <w:sz w:val="20"/>
          <w:szCs w:val="20"/>
        </w:rPr>
        <w:t xml:space="preserve">, </w:t>
      </w:r>
      <w:proofErr w:type="spellStart"/>
      <w:r w:rsidR="00D849A4" w:rsidRPr="00BD7F39">
        <w:rPr>
          <w:rFonts w:ascii="Arial" w:hAnsi="Arial" w:cs="Arial"/>
          <w:sz w:val="20"/>
          <w:szCs w:val="20"/>
        </w:rPr>
        <w:t>Suganthy</w:t>
      </w:r>
      <w:proofErr w:type="spellEnd"/>
      <w:r w:rsidR="00C1043D" w:rsidRPr="00BD7F39">
        <w:rPr>
          <w:rFonts w:ascii="Arial" w:hAnsi="Arial" w:cs="Arial"/>
          <w:sz w:val="20"/>
          <w:szCs w:val="20"/>
        </w:rPr>
        <w:t xml:space="preserve"> </w:t>
      </w:r>
      <w:r w:rsidR="00D849A4" w:rsidRPr="00BD7F39">
        <w:rPr>
          <w:rFonts w:ascii="Arial" w:hAnsi="Arial" w:cs="Arial"/>
          <w:sz w:val="20"/>
          <w:szCs w:val="20"/>
        </w:rPr>
        <w:t>et al. (2023)</w:t>
      </w:r>
      <w:r w:rsidR="00453271" w:rsidRPr="00BD7F39">
        <w:rPr>
          <w:rFonts w:ascii="Arial" w:hAnsi="Arial" w:cs="Arial"/>
          <w:sz w:val="20"/>
          <w:szCs w:val="20"/>
        </w:rPr>
        <w:t xml:space="preserve">. </w:t>
      </w:r>
    </w:p>
    <w:p w14:paraId="44EDC6C0" w14:textId="69FE84F9" w:rsidR="00D243CC" w:rsidRPr="00BD7F39" w:rsidRDefault="00453271" w:rsidP="00D243CC">
      <w:pPr>
        <w:spacing w:line="360" w:lineRule="auto"/>
        <w:jc w:val="both"/>
        <w:rPr>
          <w:rFonts w:ascii="Arial" w:hAnsi="Arial" w:cs="Arial"/>
          <w:sz w:val="20"/>
          <w:szCs w:val="20"/>
        </w:rPr>
      </w:pPr>
      <w:r w:rsidRPr="00BD7F39">
        <w:rPr>
          <w:rFonts w:ascii="Arial" w:hAnsi="Arial" w:cs="Arial"/>
          <w:sz w:val="20"/>
          <w:szCs w:val="20"/>
        </w:rPr>
        <w:t xml:space="preserve">Accounting for all ingredients used to produce </w:t>
      </w:r>
      <w:proofErr w:type="spellStart"/>
      <w:r w:rsidRPr="00BD7F39">
        <w:rPr>
          <w:rFonts w:ascii="Arial" w:hAnsi="Arial" w:cs="Arial"/>
          <w:sz w:val="20"/>
          <w:szCs w:val="20"/>
        </w:rPr>
        <w:t>jiwamrita</w:t>
      </w:r>
      <w:proofErr w:type="spellEnd"/>
      <w:r w:rsidRPr="00BD7F39">
        <w:rPr>
          <w:rFonts w:ascii="Arial" w:hAnsi="Arial" w:cs="Arial"/>
          <w:sz w:val="20"/>
          <w:szCs w:val="20"/>
        </w:rPr>
        <w:t>, up to 8.3 ± 0.4 kg ha</w:t>
      </w:r>
      <w:r w:rsidRPr="00BD7F39">
        <w:rPr>
          <w:rFonts w:ascii="Arial" w:hAnsi="Arial" w:cs="Arial"/>
          <w:sz w:val="20"/>
          <w:szCs w:val="20"/>
          <w:vertAlign w:val="superscript"/>
        </w:rPr>
        <w:t>−1</w:t>
      </w:r>
      <w:r w:rsidRPr="00BD7F39">
        <w:rPr>
          <w:rFonts w:ascii="Arial" w:hAnsi="Arial" w:cs="Arial"/>
          <w:sz w:val="20"/>
          <w:szCs w:val="20"/>
        </w:rPr>
        <w:t xml:space="preserve"> yr</w:t>
      </w:r>
      <w:r w:rsidRPr="00BD7F39">
        <w:rPr>
          <w:rFonts w:ascii="Arial" w:hAnsi="Arial" w:cs="Arial"/>
          <w:sz w:val="20"/>
          <w:szCs w:val="20"/>
          <w:vertAlign w:val="superscript"/>
        </w:rPr>
        <w:t>−1</w:t>
      </w:r>
      <w:r w:rsidRPr="00BD7F39">
        <w:rPr>
          <w:rFonts w:ascii="Arial" w:hAnsi="Arial" w:cs="Arial"/>
          <w:sz w:val="20"/>
          <w:szCs w:val="20"/>
        </w:rPr>
        <w:t xml:space="preserve"> could be provided in </w:t>
      </w:r>
      <w:proofErr w:type="spellStart"/>
      <w:r w:rsidRPr="00BD7F39">
        <w:rPr>
          <w:rFonts w:ascii="Arial" w:hAnsi="Arial" w:cs="Arial"/>
          <w:sz w:val="20"/>
          <w:szCs w:val="20"/>
        </w:rPr>
        <w:t>dhrava</w:t>
      </w:r>
      <w:proofErr w:type="spellEnd"/>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and 3.3 ± 0.2 kg ha</w:t>
      </w:r>
      <w:r w:rsidRPr="00BD7F39">
        <w:rPr>
          <w:rFonts w:ascii="Arial" w:hAnsi="Arial" w:cs="Arial"/>
          <w:sz w:val="20"/>
          <w:szCs w:val="20"/>
          <w:vertAlign w:val="superscript"/>
        </w:rPr>
        <w:t>−1</w:t>
      </w:r>
      <w:r w:rsidRPr="00BD7F39">
        <w:rPr>
          <w:rFonts w:ascii="Arial" w:hAnsi="Arial" w:cs="Arial"/>
          <w:sz w:val="20"/>
          <w:szCs w:val="20"/>
        </w:rPr>
        <w:t xml:space="preserve"> in </w:t>
      </w:r>
      <w:proofErr w:type="spellStart"/>
      <w:r w:rsidRPr="00BD7F39">
        <w:rPr>
          <w:rFonts w:ascii="Arial" w:hAnsi="Arial" w:cs="Arial"/>
          <w:sz w:val="20"/>
          <w:szCs w:val="20"/>
        </w:rPr>
        <w:t>ghanajiwamrita</w:t>
      </w:r>
      <w:proofErr w:type="spellEnd"/>
      <w:r w:rsidRPr="00BD7F39">
        <w:rPr>
          <w:rFonts w:ascii="Arial" w:hAnsi="Arial" w:cs="Arial"/>
          <w:sz w:val="20"/>
          <w:szCs w:val="20"/>
        </w:rPr>
        <w:t>; this is equivalent to 7% and 3% of national average nitrogen fertilizer application, respectively</w:t>
      </w:r>
      <w:r w:rsidR="00D849A4" w:rsidRPr="00BD7F39">
        <w:rPr>
          <w:rFonts w:ascii="Arial" w:hAnsi="Arial" w:cs="Arial"/>
          <w:sz w:val="20"/>
          <w:szCs w:val="20"/>
        </w:rPr>
        <w:t xml:space="preserve"> Jo Smith, et al.</w:t>
      </w:r>
      <w:r w:rsidR="00C1043D" w:rsidRPr="00BD7F39">
        <w:rPr>
          <w:rFonts w:ascii="Arial" w:hAnsi="Arial" w:cs="Arial"/>
          <w:sz w:val="20"/>
          <w:szCs w:val="20"/>
        </w:rPr>
        <w:t>,</w:t>
      </w:r>
      <w:r w:rsidR="00D849A4" w:rsidRPr="00BD7F39">
        <w:rPr>
          <w:rFonts w:ascii="Arial" w:hAnsi="Arial" w:cs="Arial"/>
          <w:sz w:val="20"/>
          <w:szCs w:val="20"/>
        </w:rPr>
        <w:t xml:space="preserve"> (2024).</w:t>
      </w:r>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xml:space="preserve"> could </w:t>
      </w:r>
      <w:r w:rsidRPr="00BD7F39">
        <w:rPr>
          <w:rFonts w:ascii="Arial" w:hAnsi="Arial" w:cs="Arial"/>
          <w:sz w:val="20"/>
          <w:szCs w:val="20"/>
        </w:rPr>
        <w:lastRenderedPageBreak/>
        <w:t xml:space="preserve">also add nitrogen to the soil by increasing non-symbiotic nitrogen fixation. Levels of nitrogen-fixing rhizobia have been observed to increase during preparation of </w:t>
      </w:r>
      <w:proofErr w:type="spellStart"/>
      <w:r w:rsidRPr="00BD7F39">
        <w:rPr>
          <w:rFonts w:ascii="Arial" w:hAnsi="Arial" w:cs="Arial"/>
          <w:sz w:val="20"/>
          <w:szCs w:val="20"/>
        </w:rPr>
        <w:t>dhrava</w:t>
      </w:r>
      <w:proofErr w:type="spellEnd"/>
      <w:r w:rsidRPr="00BD7F39">
        <w:rPr>
          <w:rFonts w:ascii="Arial" w:hAnsi="Arial" w:cs="Arial"/>
          <w:sz w:val="20"/>
          <w:szCs w:val="20"/>
        </w:rPr>
        <w:t xml:space="preserve"> </w:t>
      </w:r>
      <w:proofErr w:type="spellStart"/>
      <w:r w:rsidRPr="00BD7F39">
        <w:rPr>
          <w:rFonts w:ascii="Arial" w:hAnsi="Arial" w:cs="Arial"/>
          <w:sz w:val="20"/>
          <w:szCs w:val="20"/>
        </w:rPr>
        <w:t>jiwamrita</w:t>
      </w:r>
      <w:proofErr w:type="spellEnd"/>
      <w:r w:rsidRPr="00BD7F39">
        <w:rPr>
          <w:rFonts w:ascii="Arial" w:hAnsi="Arial" w:cs="Arial"/>
          <w:sz w:val="20"/>
          <w:szCs w:val="20"/>
        </w:rPr>
        <w:t xml:space="preserve"> to 4,400% of the starting mixture</w:t>
      </w:r>
      <w:r w:rsidR="00D849A4" w:rsidRPr="00BD7F39">
        <w:rPr>
          <w:rFonts w:ascii="Arial" w:hAnsi="Arial" w:cs="Arial"/>
          <w:sz w:val="20"/>
          <w:szCs w:val="20"/>
        </w:rPr>
        <w:t xml:space="preserve"> Sharma</w:t>
      </w:r>
      <w:r w:rsidR="00EA0933" w:rsidRPr="00BD7F39">
        <w:rPr>
          <w:rFonts w:ascii="Arial" w:hAnsi="Arial" w:cs="Arial"/>
          <w:sz w:val="20"/>
          <w:szCs w:val="20"/>
        </w:rPr>
        <w:t xml:space="preserve"> </w:t>
      </w:r>
      <w:r w:rsidR="00D849A4" w:rsidRPr="00BD7F39">
        <w:rPr>
          <w:rFonts w:ascii="Arial" w:hAnsi="Arial" w:cs="Arial"/>
          <w:sz w:val="20"/>
          <w:szCs w:val="20"/>
        </w:rPr>
        <w:t xml:space="preserve">&amp; </w:t>
      </w:r>
      <w:proofErr w:type="spellStart"/>
      <w:r w:rsidR="00D849A4" w:rsidRPr="00BD7F39">
        <w:rPr>
          <w:rFonts w:ascii="Arial" w:hAnsi="Arial" w:cs="Arial"/>
          <w:sz w:val="20"/>
          <w:szCs w:val="20"/>
        </w:rPr>
        <w:t>Chadak</w:t>
      </w:r>
      <w:proofErr w:type="spellEnd"/>
      <w:r w:rsidR="00D849A4" w:rsidRPr="00BD7F39">
        <w:rPr>
          <w:rFonts w:ascii="Arial" w:hAnsi="Arial" w:cs="Arial"/>
          <w:sz w:val="20"/>
          <w:szCs w:val="20"/>
        </w:rPr>
        <w:t>, S. (2022)</w:t>
      </w:r>
      <w:r w:rsidRPr="00BD7F39">
        <w:rPr>
          <w:rFonts w:ascii="Arial" w:hAnsi="Arial" w:cs="Arial"/>
          <w:sz w:val="20"/>
          <w:szCs w:val="20"/>
        </w:rPr>
        <w:t>. The impacts of this are dependent on rhizobia survival and activation once applied to the soil, but given the range of nitrogen fixation by heterotrophic bacteria observed in the literature, extra input of nitrogen is unlikely to be more than 10 kg ha</w:t>
      </w:r>
      <w:r w:rsidRPr="00BD7F39">
        <w:rPr>
          <w:rFonts w:ascii="Arial" w:hAnsi="Arial" w:cs="Arial"/>
          <w:sz w:val="20"/>
          <w:szCs w:val="20"/>
          <w:vertAlign w:val="superscript"/>
        </w:rPr>
        <w:t>−1</w:t>
      </w:r>
      <w:r w:rsidRPr="00BD7F39">
        <w:rPr>
          <w:rFonts w:ascii="Arial" w:hAnsi="Arial" w:cs="Arial"/>
          <w:sz w:val="20"/>
          <w:szCs w:val="20"/>
        </w:rPr>
        <w:t xml:space="preserve"> per crop, 18% of the national average nitrogen fertilizer application. (Jo Smith </w:t>
      </w:r>
      <w:r w:rsidRPr="00BD7F39">
        <w:rPr>
          <w:rFonts w:ascii="Arial" w:hAnsi="Arial" w:cs="Arial"/>
          <w:i/>
          <w:iCs/>
          <w:sz w:val="20"/>
          <w:szCs w:val="20"/>
        </w:rPr>
        <w:t>et al</w:t>
      </w:r>
      <w:r w:rsidRPr="00BD7F39">
        <w:rPr>
          <w:rFonts w:ascii="Arial" w:hAnsi="Arial" w:cs="Arial"/>
          <w:sz w:val="20"/>
          <w:szCs w:val="20"/>
        </w:rPr>
        <w:t>.,2024</w:t>
      </w:r>
      <w:r w:rsidR="00D849A4" w:rsidRPr="00BD7F39">
        <w:rPr>
          <w:rFonts w:ascii="Arial" w:hAnsi="Arial" w:cs="Arial"/>
          <w:sz w:val="20"/>
          <w:szCs w:val="20"/>
        </w:rPr>
        <w:t xml:space="preserve">, </w:t>
      </w:r>
      <w:proofErr w:type="spellStart"/>
      <w:r w:rsidR="00D849A4" w:rsidRPr="00BD7F39">
        <w:rPr>
          <w:rFonts w:ascii="Arial" w:hAnsi="Arial" w:cs="Arial"/>
          <w:sz w:val="20"/>
          <w:szCs w:val="20"/>
        </w:rPr>
        <w:t>Ladha</w:t>
      </w:r>
      <w:proofErr w:type="spellEnd"/>
      <w:r w:rsidR="00D849A4" w:rsidRPr="00BD7F39">
        <w:rPr>
          <w:rFonts w:ascii="Arial" w:hAnsi="Arial" w:cs="Arial"/>
          <w:sz w:val="20"/>
          <w:szCs w:val="20"/>
        </w:rPr>
        <w:t>, J.K., et al. (2020)</w:t>
      </w:r>
      <w:r w:rsidRPr="00BD7F39">
        <w:rPr>
          <w:rFonts w:ascii="Arial" w:hAnsi="Arial" w:cs="Arial"/>
          <w:sz w:val="20"/>
          <w:szCs w:val="20"/>
        </w:rPr>
        <w:t xml:space="preserve">. </w:t>
      </w:r>
    </w:p>
    <w:p w14:paraId="0F3F9C14" w14:textId="7A2EF576" w:rsidR="008D5D5E" w:rsidRPr="00BD7F39" w:rsidRDefault="008D5D5E" w:rsidP="00D243CC">
      <w:pPr>
        <w:spacing w:line="360" w:lineRule="auto"/>
        <w:jc w:val="both"/>
        <w:rPr>
          <w:rFonts w:ascii="Arial" w:hAnsi="Arial" w:cs="Arial"/>
          <w:sz w:val="20"/>
          <w:szCs w:val="20"/>
        </w:rPr>
      </w:pPr>
      <w:r w:rsidRPr="00BD7F39">
        <w:rPr>
          <w:rFonts w:ascii="Arial" w:hAnsi="Arial" w:cs="Arial"/>
          <w:sz w:val="20"/>
          <w:szCs w:val="20"/>
        </w:rPr>
        <w:t>It Can be in solid form, usually applied as a top dressing, or in liquid form as a top dressing or foliar spray. Ingredients can include desi cow dung and urine, jaggery (unrefined cane sugar), gram (legume) flour and topsoil from a native ‘virgin’ soil (uncontaminated soil) (</w:t>
      </w:r>
      <w:proofErr w:type="spellStart"/>
      <w:r w:rsidRPr="00BD7F39">
        <w:rPr>
          <w:rFonts w:ascii="Arial" w:hAnsi="Arial" w:cs="Arial"/>
          <w:sz w:val="20"/>
          <w:szCs w:val="20"/>
        </w:rPr>
        <w:t>Duddigan</w:t>
      </w:r>
      <w:proofErr w:type="spellEnd"/>
      <w:r w:rsidRPr="00BD7F39">
        <w:rPr>
          <w:rFonts w:ascii="Arial" w:hAnsi="Arial" w:cs="Arial"/>
          <w:sz w:val="20"/>
          <w:szCs w:val="20"/>
        </w:rPr>
        <w:t xml:space="preserve"> et al., 2023).</w:t>
      </w:r>
    </w:p>
    <w:p w14:paraId="48E6B338" w14:textId="544F5796" w:rsidR="00993C50" w:rsidRPr="00BD7F39" w:rsidRDefault="00993C50" w:rsidP="00D243CC">
      <w:pPr>
        <w:spacing w:line="360" w:lineRule="auto"/>
        <w:jc w:val="both"/>
        <w:rPr>
          <w:rFonts w:ascii="Arial" w:hAnsi="Arial" w:cs="Arial"/>
          <w:b/>
          <w:bCs/>
          <w:sz w:val="20"/>
          <w:szCs w:val="20"/>
        </w:rPr>
      </w:pPr>
      <w:r w:rsidRPr="00BD7F39">
        <w:rPr>
          <w:rFonts w:ascii="Arial" w:hAnsi="Arial" w:cs="Arial"/>
          <w:b/>
          <w:bCs/>
          <w:sz w:val="20"/>
          <w:szCs w:val="20"/>
        </w:rPr>
        <w:t xml:space="preserve">Procedure for preparation of </w:t>
      </w:r>
      <w:proofErr w:type="spellStart"/>
      <w:r w:rsidRPr="00BD7F39">
        <w:rPr>
          <w:rFonts w:ascii="Arial" w:hAnsi="Arial" w:cs="Arial"/>
          <w:b/>
          <w:bCs/>
          <w:sz w:val="20"/>
          <w:szCs w:val="20"/>
        </w:rPr>
        <w:t>J</w:t>
      </w:r>
      <w:r w:rsidR="008F6F2F" w:rsidRPr="00BD7F39">
        <w:rPr>
          <w:rFonts w:ascii="Arial" w:hAnsi="Arial" w:cs="Arial"/>
          <w:b/>
          <w:bCs/>
          <w:sz w:val="20"/>
          <w:szCs w:val="20"/>
        </w:rPr>
        <w:t>i</w:t>
      </w:r>
      <w:r w:rsidRPr="00BD7F39">
        <w:rPr>
          <w:rFonts w:ascii="Arial" w:hAnsi="Arial" w:cs="Arial"/>
          <w:b/>
          <w:bCs/>
          <w:sz w:val="20"/>
          <w:szCs w:val="20"/>
        </w:rPr>
        <w:t>vamrut</w:t>
      </w:r>
      <w:proofErr w:type="spellEnd"/>
    </w:p>
    <w:p w14:paraId="6C43C858" w14:textId="4BBA4069" w:rsidR="00993C50" w:rsidRPr="001A2E39" w:rsidRDefault="00993C50" w:rsidP="00993C50">
      <w:pPr>
        <w:tabs>
          <w:tab w:val="left" w:pos="1440"/>
          <w:tab w:val="left" w:pos="1530"/>
        </w:tabs>
        <w:autoSpaceDE w:val="0"/>
        <w:autoSpaceDN w:val="0"/>
        <w:adjustRightInd w:val="0"/>
        <w:spacing w:before="120" w:after="120" w:line="360" w:lineRule="auto"/>
        <w:jc w:val="both"/>
        <w:rPr>
          <w:rFonts w:ascii="Arial" w:eastAsia="Times New Roman" w:hAnsi="Arial" w:cs="Arial"/>
          <w:bCs/>
          <w:color w:val="0D0D0D" w:themeColor="text1" w:themeTint="F2"/>
          <w:kern w:val="0"/>
          <w:sz w:val="20"/>
          <w:szCs w:val="20"/>
          <w:lang w:val="en-US" w:bidi="mr-IN"/>
          <w14:ligatures w14:val="none"/>
        </w:rPr>
      </w:pPr>
      <w:proofErr w:type="spellStart"/>
      <w:r w:rsidRPr="001A2E39">
        <w:rPr>
          <w:rFonts w:ascii="Arial" w:eastAsia="Calibri" w:hAnsi="Arial" w:cs="Arial"/>
          <w:bCs/>
          <w:color w:val="0D0D0D" w:themeColor="text1" w:themeTint="F2"/>
          <w:kern w:val="0"/>
          <w:sz w:val="20"/>
          <w:szCs w:val="20"/>
          <w:bdr w:val="none" w:sz="0" w:space="0" w:color="auto" w:frame="1"/>
          <w:shd w:val="clear" w:color="auto" w:fill="FFFFFF"/>
          <w:lang w:val="en-US"/>
          <w14:ligatures w14:val="none"/>
        </w:rPr>
        <w:t>Jivamrut</w:t>
      </w:r>
      <w:proofErr w:type="spellEnd"/>
      <w:r w:rsidRPr="001A2E39">
        <w:rPr>
          <w:rFonts w:ascii="Arial" w:eastAsia="Calibri" w:hAnsi="Arial" w:cs="Arial"/>
          <w:bCs/>
          <w:color w:val="0D0D0D" w:themeColor="text1" w:themeTint="F2"/>
          <w:kern w:val="0"/>
          <w:sz w:val="20"/>
          <w:szCs w:val="20"/>
          <w:shd w:val="clear" w:color="auto" w:fill="FFFFFF"/>
          <w:lang w:val="en-US"/>
          <w14:ligatures w14:val="none"/>
        </w:rPr>
        <w:t xml:space="preserve"> is liquid organic manure which is an excellent source of natural carbon, biomass, NPK and lots of micro nutrients required by crops. For preparation of </w:t>
      </w:r>
      <w:proofErr w:type="spellStart"/>
      <w:r w:rsidRPr="001A2E39">
        <w:rPr>
          <w:rFonts w:ascii="Arial" w:eastAsia="Calibri" w:hAnsi="Arial" w:cs="Arial"/>
          <w:bCs/>
          <w:color w:val="0D0D0D" w:themeColor="text1" w:themeTint="F2"/>
          <w:kern w:val="0"/>
          <w:sz w:val="20"/>
          <w:szCs w:val="20"/>
          <w:shd w:val="clear" w:color="auto" w:fill="FFFFFF"/>
          <w:lang w:val="en-US"/>
          <w14:ligatures w14:val="none"/>
        </w:rPr>
        <w:t>Jivamrut</w:t>
      </w:r>
      <w:proofErr w:type="spellEnd"/>
      <w:r w:rsidRPr="001A2E39">
        <w:rPr>
          <w:rFonts w:ascii="Arial" w:eastAsia="Calibri" w:hAnsi="Arial" w:cs="Arial"/>
          <w:bCs/>
          <w:color w:val="0D0D0D" w:themeColor="text1" w:themeTint="F2"/>
          <w:kern w:val="0"/>
          <w:sz w:val="20"/>
          <w:szCs w:val="20"/>
          <w:shd w:val="clear" w:color="auto" w:fill="FFFFFF"/>
          <w:lang w:val="en-US"/>
          <w14:ligatures w14:val="none"/>
        </w:rPr>
        <w:t xml:space="preserve"> </w:t>
      </w:r>
      <w:r w:rsidRPr="001A2E39">
        <w:rPr>
          <w:rFonts w:ascii="Arial" w:eastAsia="Times New Roman" w:hAnsi="Arial" w:cs="Arial"/>
          <w:bCs/>
          <w:color w:val="0D0D0D" w:themeColor="text1" w:themeTint="F2"/>
          <w:kern w:val="0"/>
          <w:sz w:val="20"/>
          <w:szCs w:val="20"/>
          <w:lang w:val="en-US" w:bidi="mr-IN"/>
          <w14:ligatures w14:val="none"/>
        </w:rPr>
        <w:t xml:space="preserve">100-liter water </w:t>
      </w:r>
      <w:r w:rsidR="00295365" w:rsidRPr="001A2E39">
        <w:rPr>
          <w:rFonts w:ascii="Arial" w:eastAsia="Times New Roman" w:hAnsi="Arial" w:cs="Arial"/>
          <w:bCs/>
          <w:color w:val="0D0D0D" w:themeColor="text1" w:themeTint="F2"/>
          <w:kern w:val="0"/>
          <w:sz w:val="20"/>
          <w:szCs w:val="20"/>
          <w:lang w:val="en-US" w:bidi="mr-IN"/>
          <w14:ligatures w14:val="none"/>
        </w:rPr>
        <w:t xml:space="preserve">is </w:t>
      </w:r>
      <w:r w:rsidRPr="001A2E39">
        <w:rPr>
          <w:rFonts w:ascii="Arial" w:eastAsia="Times New Roman" w:hAnsi="Arial" w:cs="Arial"/>
          <w:bCs/>
          <w:color w:val="0D0D0D" w:themeColor="text1" w:themeTint="F2"/>
          <w:kern w:val="0"/>
          <w:sz w:val="20"/>
          <w:szCs w:val="20"/>
          <w:lang w:val="en-US" w:bidi="mr-IN"/>
          <w14:ligatures w14:val="none"/>
        </w:rPr>
        <w:t xml:space="preserve">require in barrel with addition of 10 kg cow dung plus 10 lit in cow urine and 2 kg jaggary and 1 kg pulse flour and a handful of </w:t>
      </w:r>
      <w:r w:rsidRPr="001A2E39">
        <w:rPr>
          <w:rFonts w:ascii="Arial" w:eastAsia="Calibri" w:hAnsi="Arial" w:cs="Arial"/>
          <w:bCs/>
          <w:color w:val="0D0D0D" w:themeColor="text1" w:themeTint="F2"/>
          <w:kern w:val="0"/>
          <w:sz w:val="20"/>
          <w:szCs w:val="20"/>
          <w:shd w:val="clear" w:color="auto" w:fill="FFFFFF"/>
          <w:lang w:val="en-US"/>
          <w14:ligatures w14:val="none"/>
        </w:rPr>
        <w:t xml:space="preserve">soil and </w:t>
      </w:r>
      <w:r w:rsidRPr="001A2E39">
        <w:rPr>
          <w:rFonts w:ascii="Arial" w:eastAsia="Times New Roman" w:hAnsi="Arial" w:cs="Arial"/>
          <w:bCs/>
          <w:color w:val="0D0D0D" w:themeColor="text1" w:themeTint="F2"/>
          <w:kern w:val="0"/>
          <w:sz w:val="20"/>
          <w:szCs w:val="20"/>
          <w:lang w:val="en-US" w:bidi="mr-IN"/>
          <w14:ligatures w14:val="none"/>
        </w:rPr>
        <w:t>mix solution well with wooden stick.</w:t>
      </w:r>
      <w:r w:rsidRPr="001A2E39">
        <w:rPr>
          <w:rFonts w:ascii="Arial" w:eastAsia="Calibri" w:hAnsi="Arial" w:cs="Arial"/>
          <w:bCs/>
          <w:color w:val="0D0D0D" w:themeColor="text1" w:themeTint="F2"/>
          <w:kern w:val="0"/>
          <w:sz w:val="20"/>
          <w:szCs w:val="20"/>
          <w:shd w:val="clear" w:color="auto" w:fill="FFFFFF"/>
          <w:lang w:val="en-US"/>
          <w14:ligatures w14:val="none"/>
        </w:rPr>
        <w:t xml:space="preserve"> </w:t>
      </w:r>
      <w:r w:rsidR="008B40A2" w:rsidRPr="001A2E39">
        <w:rPr>
          <w:rFonts w:ascii="Arial" w:eastAsia="Times New Roman" w:hAnsi="Arial" w:cs="Arial"/>
          <w:bCs/>
          <w:color w:val="0D0D0D" w:themeColor="text1" w:themeTint="F2"/>
          <w:kern w:val="0"/>
          <w:sz w:val="20"/>
          <w:szCs w:val="20"/>
          <w:lang w:val="en-US" w:bidi="mr-IN"/>
          <w14:ligatures w14:val="none"/>
        </w:rPr>
        <w:t>Keep S</w:t>
      </w:r>
      <w:r w:rsidRPr="001A2E39">
        <w:rPr>
          <w:rFonts w:ascii="Arial" w:eastAsia="Times New Roman" w:hAnsi="Arial" w:cs="Arial"/>
          <w:bCs/>
          <w:color w:val="0D0D0D" w:themeColor="text1" w:themeTint="F2"/>
          <w:kern w:val="0"/>
          <w:sz w:val="20"/>
          <w:szCs w:val="20"/>
          <w:lang w:val="en-US" w:bidi="mr-IN"/>
          <w14:ligatures w14:val="none"/>
        </w:rPr>
        <w:t xml:space="preserve">olution for 5 to 7 days and use a soil application. Singh </w:t>
      </w:r>
      <w:r w:rsidRPr="001A2E39">
        <w:rPr>
          <w:rFonts w:ascii="Arial" w:eastAsia="Times New Roman" w:hAnsi="Arial" w:cs="Arial"/>
          <w:bCs/>
          <w:i/>
          <w:iCs/>
          <w:color w:val="0D0D0D" w:themeColor="text1" w:themeTint="F2"/>
          <w:kern w:val="0"/>
          <w:sz w:val="20"/>
          <w:szCs w:val="20"/>
          <w:lang w:val="en-US" w:bidi="mr-IN"/>
          <w14:ligatures w14:val="none"/>
        </w:rPr>
        <w:t>et al</w:t>
      </w:r>
      <w:r w:rsidRPr="001A2E39">
        <w:rPr>
          <w:rFonts w:ascii="Arial" w:eastAsia="Times New Roman" w:hAnsi="Arial" w:cs="Arial"/>
          <w:bCs/>
          <w:color w:val="0D0D0D" w:themeColor="text1" w:themeTint="F2"/>
          <w:kern w:val="0"/>
          <w:sz w:val="20"/>
          <w:szCs w:val="20"/>
          <w:lang w:val="en-US" w:bidi="mr-IN"/>
          <w14:ligatures w14:val="none"/>
        </w:rPr>
        <w:t>., (2020).</w:t>
      </w:r>
    </w:p>
    <w:p w14:paraId="70EE912F" w14:textId="77777777"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1.4.3 </w:t>
      </w:r>
      <w:proofErr w:type="spellStart"/>
      <w:r w:rsidRPr="00BD7F39">
        <w:rPr>
          <w:rFonts w:ascii="Arial" w:hAnsi="Arial" w:cs="Arial"/>
          <w:b/>
          <w:bCs/>
          <w:sz w:val="20"/>
          <w:szCs w:val="20"/>
        </w:rPr>
        <w:t>Acchadana</w:t>
      </w:r>
      <w:proofErr w:type="spellEnd"/>
      <w:r w:rsidRPr="00BD7F39">
        <w:rPr>
          <w:rFonts w:ascii="Arial" w:hAnsi="Arial" w:cs="Arial"/>
          <w:b/>
          <w:bCs/>
          <w:sz w:val="20"/>
          <w:szCs w:val="20"/>
        </w:rPr>
        <w:t xml:space="preserve"> (Mulching)</w:t>
      </w:r>
    </w:p>
    <w:p w14:paraId="4F3DC106" w14:textId="231CEE23" w:rsidR="00D243CC"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Acchadana</w:t>
      </w:r>
      <w:proofErr w:type="spellEnd"/>
      <w:r w:rsidRPr="00BD7F39">
        <w:rPr>
          <w:rFonts w:ascii="Arial" w:hAnsi="Arial" w:cs="Arial"/>
          <w:sz w:val="20"/>
          <w:szCs w:val="20"/>
        </w:rPr>
        <w:t>, or organic mulching, is vital for conserving soil moisture, regulating temperature, suppressing weeds, and increasing soil organic matter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Residue retention and mulching improve soil aggregation, infiltration, microbial habitat quality, and nutrient cycling, while reducing erosion and evaporative losses (Kassam et al., 2019; Lal, 2020).</w:t>
      </w:r>
      <w:r w:rsidR="00F038B8" w:rsidRPr="00BD7F39">
        <w:rPr>
          <w:rFonts w:ascii="Arial" w:hAnsi="Arial" w:cs="Arial"/>
          <w:sz w:val="20"/>
          <w:szCs w:val="20"/>
        </w:rPr>
        <w:t xml:space="preserve"> </w:t>
      </w:r>
      <w:r w:rsidRPr="00BD7F39">
        <w:rPr>
          <w:rFonts w:ascii="Arial" w:hAnsi="Arial" w:cs="Arial"/>
          <w:sz w:val="20"/>
          <w:szCs w:val="20"/>
        </w:rPr>
        <w:t>Meta-analyses show that organic mulching increases soil carbon stocks by 0.3–1.0 Mg C ha</w:t>
      </w:r>
      <w:r w:rsidRPr="00BD7F39">
        <w:rPr>
          <w:rFonts w:ascii="Cambria Math" w:hAnsi="Cambria Math" w:cs="Cambria Math"/>
          <w:sz w:val="20"/>
          <w:szCs w:val="20"/>
        </w:rPr>
        <w:t>⁻</w:t>
      </w:r>
      <w:r w:rsidRPr="00BD7F39">
        <w:rPr>
          <w:rFonts w:ascii="Arial" w:hAnsi="Arial" w:cs="Arial"/>
          <w:sz w:val="20"/>
          <w:szCs w:val="20"/>
        </w:rPr>
        <w:t>¹ yr</w:t>
      </w:r>
      <w:r w:rsidRPr="00BD7F39">
        <w:rPr>
          <w:rFonts w:ascii="Cambria Math" w:hAnsi="Cambria Math" w:cs="Cambria Math"/>
          <w:sz w:val="20"/>
          <w:szCs w:val="20"/>
        </w:rPr>
        <w:t>⁻</w:t>
      </w:r>
      <w:r w:rsidRPr="00BD7F39">
        <w:rPr>
          <w:rFonts w:ascii="Arial" w:hAnsi="Arial" w:cs="Arial"/>
          <w:sz w:val="20"/>
          <w:szCs w:val="20"/>
        </w:rPr>
        <w:t>¹ and enhances water-use efficiency in both rainfed and irrigated systems (Blanco-</w:t>
      </w:r>
      <w:proofErr w:type="spellStart"/>
      <w:r w:rsidRPr="00BD7F39">
        <w:rPr>
          <w:rFonts w:ascii="Arial" w:hAnsi="Arial" w:cs="Arial"/>
          <w:sz w:val="20"/>
          <w:szCs w:val="20"/>
        </w:rPr>
        <w:t>Canqui</w:t>
      </w:r>
      <w:proofErr w:type="spellEnd"/>
      <w:r w:rsidRPr="00BD7F39">
        <w:rPr>
          <w:rFonts w:ascii="Arial" w:hAnsi="Arial" w:cs="Arial"/>
          <w:sz w:val="20"/>
          <w:szCs w:val="20"/>
        </w:rPr>
        <w:t xml:space="preserve"> and </w:t>
      </w:r>
      <w:proofErr w:type="spellStart"/>
      <w:r w:rsidRPr="00BD7F39">
        <w:rPr>
          <w:rFonts w:ascii="Arial" w:hAnsi="Arial" w:cs="Arial"/>
          <w:sz w:val="20"/>
          <w:szCs w:val="20"/>
        </w:rPr>
        <w:t>Ruis</w:t>
      </w:r>
      <w:proofErr w:type="spellEnd"/>
      <w:r w:rsidRPr="00BD7F39">
        <w:rPr>
          <w:rFonts w:ascii="Arial" w:hAnsi="Arial" w:cs="Arial"/>
          <w:sz w:val="20"/>
          <w:szCs w:val="20"/>
        </w:rPr>
        <w:t xml:space="preserve">, 2020; </w:t>
      </w:r>
      <w:proofErr w:type="spellStart"/>
      <w:r w:rsidRPr="00BD7F39">
        <w:rPr>
          <w:rFonts w:ascii="Arial" w:hAnsi="Arial" w:cs="Arial"/>
          <w:sz w:val="20"/>
          <w:szCs w:val="20"/>
        </w:rPr>
        <w:t>Poeplau</w:t>
      </w:r>
      <w:proofErr w:type="spellEnd"/>
      <w:r w:rsidRPr="00BD7F39">
        <w:rPr>
          <w:rFonts w:ascii="Arial" w:hAnsi="Arial" w:cs="Arial"/>
          <w:sz w:val="20"/>
          <w:szCs w:val="20"/>
        </w:rPr>
        <w:t xml:space="preserve"> and Don, 2015). Mulching also boosts earthworm abundance and microbial diversity, supporting long-term soil resilience (Garc</w:t>
      </w:r>
      <w:r w:rsidR="0083752E" w:rsidRPr="00BD7F39">
        <w:rPr>
          <w:rFonts w:ascii="Arial" w:hAnsi="Arial" w:cs="Arial"/>
          <w:sz w:val="20"/>
          <w:szCs w:val="20"/>
        </w:rPr>
        <w:t>i</w:t>
      </w:r>
      <w:r w:rsidRPr="00BD7F39">
        <w:rPr>
          <w:rFonts w:ascii="Arial" w:hAnsi="Arial" w:cs="Arial"/>
          <w:sz w:val="20"/>
          <w:szCs w:val="20"/>
        </w:rPr>
        <w:t>a-</w:t>
      </w:r>
      <w:proofErr w:type="spellStart"/>
      <w:r w:rsidRPr="00BD7F39">
        <w:rPr>
          <w:rFonts w:ascii="Arial" w:hAnsi="Arial" w:cs="Arial"/>
          <w:sz w:val="20"/>
          <w:szCs w:val="20"/>
        </w:rPr>
        <w:t>Orenes</w:t>
      </w:r>
      <w:proofErr w:type="spellEnd"/>
      <w:r w:rsidRPr="00BD7F39">
        <w:rPr>
          <w:rFonts w:ascii="Arial" w:hAnsi="Arial" w:cs="Arial"/>
          <w:sz w:val="20"/>
          <w:szCs w:val="20"/>
        </w:rPr>
        <w:t xml:space="preserve"> et al., 2016; Six et al., 2004). Case studies in dryland millet and pulse systems in semi-arid India show yield stability improvements of 10–25% under organic mulching during drought years, attributed to better soil moisture retention and moderated temperature (Ramesh et al., 2019; Pretty et al., 2018).</w:t>
      </w:r>
    </w:p>
    <w:p w14:paraId="4790C01F" w14:textId="56032D42" w:rsidR="0079624D" w:rsidRPr="00BD7F39" w:rsidRDefault="0079624D" w:rsidP="00D243CC">
      <w:pPr>
        <w:spacing w:line="360" w:lineRule="auto"/>
        <w:jc w:val="both"/>
        <w:rPr>
          <w:rFonts w:ascii="Arial" w:hAnsi="Arial" w:cs="Arial"/>
          <w:sz w:val="20"/>
          <w:szCs w:val="20"/>
        </w:rPr>
      </w:pPr>
      <w:r w:rsidRPr="00BD7F39">
        <w:rPr>
          <w:rFonts w:ascii="Arial" w:hAnsi="Arial" w:cs="Arial"/>
          <w:sz w:val="20"/>
          <w:szCs w:val="20"/>
        </w:rPr>
        <w:t>Mulching using cover crops or dry crop residues applied to the soil surface. Examples include paddy straw and groundnut husks (Ghosh 2019; Keerthi et al. 2018</w:t>
      </w:r>
    </w:p>
    <w:p w14:paraId="22D1BD95" w14:textId="2ECBEB6C" w:rsidR="008D5D5E" w:rsidRPr="00EF357A" w:rsidRDefault="00453271" w:rsidP="00D243CC">
      <w:pPr>
        <w:spacing w:line="360" w:lineRule="auto"/>
        <w:jc w:val="both"/>
        <w:rPr>
          <w:rFonts w:ascii="Arial" w:hAnsi="Arial" w:cs="Arial"/>
          <w:color w:val="0D0D0D" w:themeColor="text1" w:themeTint="F2"/>
          <w:sz w:val="20"/>
          <w:szCs w:val="20"/>
        </w:rPr>
      </w:pPr>
      <w:r w:rsidRPr="00EF357A">
        <w:rPr>
          <w:rFonts w:ascii="Arial" w:hAnsi="Arial" w:cs="Arial"/>
          <w:color w:val="0D0D0D" w:themeColor="text1" w:themeTint="F2"/>
          <w:sz w:val="20"/>
          <w:szCs w:val="20"/>
        </w:rPr>
        <w:t>Live mulching is mainly done as intercropping, which aims to supply potassium, phosphorus and sul</w:t>
      </w:r>
      <w:r w:rsidR="0083752E" w:rsidRPr="00EF357A">
        <w:rPr>
          <w:rFonts w:ascii="Arial" w:hAnsi="Arial" w:cs="Arial"/>
          <w:color w:val="0D0D0D" w:themeColor="text1" w:themeTint="F2"/>
          <w:sz w:val="20"/>
          <w:szCs w:val="20"/>
        </w:rPr>
        <w:t>ph</w:t>
      </w:r>
      <w:r w:rsidRPr="00EF357A">
        <w:rPr>
          <w:rFonts w:ascii="Arial" w:hAnsi="Arial" w:cs="Arial"/>
          <w:color w:val="0D0D0D" w:themeColor="text1" w:themeTint="F2"/>
          <w:sz w:val="20"/>
          <w:szCs w:val="20"/>
        </w:rPr>
        <w:t xml:space="preserve">ur using monocotyledons (such as rice and wheat) and nitrogen using dicotyledons (such as legumes). </w:t>
      </w:r>
      <w:r w:rsidR="00EF357A" w:rsidRPr="00EF357A">
        <w:rPr>
          <w:rFonts w:ascii="Arial" w:hAnsi="Arial" w:cs="Arial"/>
          <w:color w:val="0D0D0D" w:themeColor="text1" w:themeTint="F2"/>
          <w:sz w:val="20"/>
          <w:szCs w:val="20"/>
        </w:rPr>
        <w:t xml:space="preserve"> It adds about 28 kg of N, 4-10 kg of P and 15-30 kg of K. </w:t>
      </w:r>
      <w:r w:rsidRPr="00EF357A">
        <w:rPr>
          <w:rFonts w:ascii="Arial" w:hAnsi="Arial" w:cs="Arial"/>
          <w:color w:val="0D0D0D" w:themeColor="text1" w:themeTint="F2"/>
          <w:sz w:val="20"/>
          <w:szCs w:val="20"/>
        </w:rPr>
        <w:t>From a review of the contribution of different types of legumes to associated non-legume crops and the proportions of crops grown in India, the average nitrogen provision for major crops grown in India is 28 kg ha</w:t>
      </w:r>
      <w:r w:rsidRPr="00EF357A">
        <w:rPr>
          <w:rFonts w:ascii="Arial" w:hAnsi="Arial" w:cs="Arial"/>
          <w:color w:val="0D0D0D" w:themeColor="text1" w:themeTint="F2"/>
          <w:sz w:val="20"/>
          <w:szCs w:val="20"/>
          <w:vertAlign w:val="superscript"/>
        </w:rPr>
        <w:t>−1</w:t>
      </w:r>
      <w:r w:rsidRPr="00EF357A">
        <w:rPr>
          <w:rFonts w:ascii="Arial" w:hAnsi="Arial" w:cs="Arial"/>
          <w:color w:val="0D0D0D" w:themeColor="text1" w:themeTint="F2"/>
          <w:sz w:val="20"/>
          <w:szCs w:val="20"/>
        </w:rPr>
        <w:t xml:space="preserve">, which is equivalent to 24% of the national average nitrogen fertilizer application. </w:t>
      </w:r>
    </w:p>
    <w:p w14:paraId="2B142784" w14:textId="77777777" w:rsidR="00D13ACF" w:rsidRDefault="00D13ACF" w:rsidP="00D13ACF">
      <w:pPr>
        <w:spacing w:line="360" w:lineRule="auto"/>
        <w:jc w:val="both"/>
        <w:rPr>
          <w:rFonts w:ascii="Arial" w:hAnsi="Arial" w:cs="Arial"/>
          <w:sz w:val="20"/>
          <w:szCs w:val="20"/>
        </w:rPr>
      </w:pPr>
      <w:r w:rsidRPr="00BD7F39">
        <w:rPr>
          <w:rFonts w:ascii="Arial" w:hAnsi="Arial" w:cs="Arial"/>
          <w:sz w:val="20"/>
          <w:szCs w:val="20"/>
        </w:rPr>
        <w:lastRenderedPageBreak/>
        <w:t>Mulching conserves moisture and nutrients, while reduced tillage maintains soil aggregation and organic carbon stocks (</w:t>
      </w:r>
      <w:proofErr w:type="spellStart"/>
      <w:r w:rsidRPr="00BD7F39">
        <w:rPr>
          <w:rFonts w:ascii="Arial" w:hAnsi="Arial" w:cs="Arial"/>
          <w:sz w:val="20"/>
          <w:szCs w:val="20"/>
        </w:rPr>
        <w:t>Rockstrom</w:t>
      </w:r>
      <w:proofErr w:type="spellEnd"/>
      <w:r w:rsidRPr="00BD7F39">
        <w:rPr>
          <w:rFonts w:ascii="Arial" w:hAnsi="Arial" w:cs="Arial"/>
          <w:sz w:val="20"/>
          <w:szCs w:val="20"/>
        </w:rPr>
        <w:t xml:space="preserve"> et al., 2017; Kassam et al., 2019).</w:t>
      </w:r>
    </w:p>
    <w:p w14:paraId="0F22DD79" w14:textId="6AA22193" w:rsidR="00D243CC" w:rsidRPr="00BD7F39" w:rsidRDefault="00D243CC" w:rsidP="00D243CC">
      <w:pPr>
        <w:spacing w:line="360" w:lineRule="auto"/>
        <w:jc w:val="both"/>
        <w:rPr>
          <w:rFonts w:ascii="Arial" w:hAnsi="Arial" w:cs="Arial"/>
          <w:b/>
          <w:bCs/>
          <w:sz w:val="20"/>
          <w:szCs w:val="20"/>
        </w:rPr>
      </w:pPr>
      <w:r w:rsidRPr="00BD7F39">
        <w:rPr>
          <w:rFonts w:ascii="Arial" w:hAnsi="Arial" w:cs="Arial"/>
          <w:b/>
          <w:bCs/>
          <w:sz w:val="20"/>
          <w:szCs w:val="20"/>
        </w:rPr>
        <w:t xml:space="preserve">1.4.4 </w:t>
      </w:r>
      <w:proofErr w:type="spellStart"/>
      <w:r w:rsidRPr="00BD7F39">
        <w:rPr>
          <w:rFonts w:ascii="Arial" w:hAnsi="Arial" w:cs="Arial"/>
          <w:b/>
          <w:bCs/>
          <w:sz w:val="20"/>
          <w:szCs w:val="20"/>
        </w:rPr>
        <w:t>Waaphasa</w:t>
      </w:r>
      <w:proofErr w:type="spellEnd"/>
      <w:r w:rsidRPr="00BD7F39">
        <w:rPr>
          <w:rFonts w:ascii="Arial" w:hAnsi="Arial" w:cs="Arial"/>
          <w:b/>
          <w:bCs/>
          <w:sz w:val="20"/>
          <w:szCs w:val="20"/>
        </w:rPr>
        <w:t xml:space="preserve"> (Soil Aeration and Moisture Balance)</w:t>
      </w:r>
    </w:p>
    <w:p w14:paraId="479719B6" w14:textId="183B1BD4" w:rsidR="00D243CC" w:rsidRPr="00BD7F39" w:rsidRDefault="00D243CC" w:rsidP="00D243CC">
      <w:pPr>
        <w:spacing w:line="360" w:lineRule="auto"/>
        <w:jc w:val="both"/>
        <w:rPr>
          <w:rFonts w:ascii="Arial" w:hAnsi="Arial" w:cs="Arial"/>
          <w:sz w:val="20"/>
          <w:szCs w:val="20"/>
        </w:rPr>
      </w:pPr>
      <w:proofErr w:type="spellStart"/>
      <w:r w:rsidRPr="00BD7F39">
        <w:rPr>
          <w:rFonts w:ascii="Arial" w:hAnsi="Arial" w:cs="Arial"/>
          <w:sz w:val="20"/>
          <w:szCs w:val="20"/>
        </w:rPr>
        <w:t>Waaphasa</w:t>
      </w:r>
      <w:proofErr w:type="spellEnd"/>
      <w:r w:rsidRPr="00BD7F39">
        <w:rPr>
          <w:rFonts w:ascii="Arial" w:hAnsi="Arial" w:cs="Arial"/>
          <w:sz w:val="20"/>
          <w:szCs w:val="20"/>
        </w:rPr>
        <w:t xml:space="preserve"> focuses on maintaining optimal soil air–water balance rather than excessive irrigation. Balanced aeration and moisture conditions promote root respiration, microbial metabolism, and nutrient uptake (</w:t>
      </w:r>
      <w:proofErr w:type="spellStart"/>
      <w:r w:rsidRPr="00BD7F39">
        <w:rPr>
          <w:rFonts w:ascii="Arial" w:hAnsi="Arial" w:cs="Arial"/>
          <w:sz w:val="20"/>
          <w:szCs w:val="20"/>
        </w:rPr>
        <w:t>Rockstr</w:t>
      </w:r>
      <w:r w:rsidR="0083752E" w:rsidRPr="00BD7F39">
        <w:rPr>
          <w:rFonts w:ascii="Arial" w:hAnsi="Arial" w:cs="Arial"/>
          <w:sz w:val="20"/>
          <w:szCs w:val="20"/>
        </w:rPr>
        <w:t>o</w:t>
      </w:r>
      <w:r w:rsidRPr="00BD7F39">
        <w:rPr>
          <w:rFonts w:ascii="Arial" w:hAnsi="Arial" w:cs="Arial"/>
          <w:sz w:val="20"/>
          <w:szCs w:val="20"/>
        </w:rPr>
        <w:t>m</w:t>
      </w:r>
      <w:proofErr w:type="spellEnd"/>
      <w:r w:rsidRPr="00BD7F39">
        <w:rPr>
          <w:rFonts w:ascii="Arial" w:hAnsi="Arial" w:cs="Arial"/>
          <w:sz w:val="20"/>
          <w:szCs w:val="20"/>
        </w:rPr>
        <w:t xml:space="preserve"> et al., 2017;</w:t>
      </w:r>
      <w:r w:rsidR="00762850" w:rsidRPr="00BD7F39">
        <w:rPr>
          <w:rFonts w:ascii="Arial" w:hAnsi="Arial" w:cs="Arial"/>
          <w:sz w:val="20"/>
          <w:szCs w:val="20"/>
        </w:rPr>
        <w:t xml:space="preserve"> FAO</w:t>
      </w:r>
      <w:r w:rsidRPr="00BD7F39">
        <w:rPr>
          <w:rFonts w:ascii="Arial" w:hAnsi="Arial" w:cs="Arial"/>
          <w:sz w:val="20"/>
          <w:szCs w:val="20"/>
        </w:rPr>
        <w:t>, 2019). Excessive soil saturation suppresses aerobic microbial activity and reduces nitrogen use efficiency, while moderate moisture supports rhizosphere functioning (Pretty et al., 2018; Lal, 2020).</w:t>
      </w:r>
    </w:p>
    <w:p w14:paraId="27408105" w14:textId="531FF6A3" w:rsidR="00A762DA" w:rsidRDefault="00D243CC" w:rsidP="00D243CC">
      <w:pPr>
        <w:spacing w:line="360" w:lineRule="auto"/>
        <w:jc w:val="both"/>
        <w:rPr>
          <w:rFonts w:ascii="Arial" w:hAnsi="Arial" w:cs="Arial"/>
          <w:color w:val="EE0000"/>
          <w:sz w:val="20"/>
          <w:szCs w:val="20"/>
        </w:rPr>
      </w:pPr>
      <w:r w:rsidRPr="00BD7F39">
        <w:rPr>
          <w:rFonts w:ascii="Arial" w:hAnsi="Arial" w:cs="Arial"/>
          <w:sz w:val="20"/>
          <w:szCs w:val="20"/>
        </w:rPr>
        <w:t>Improved soil structure through organic matter addition and reduced compaction enhances water-use efficiency and drought resilience (IPCC, 2022; Blanco-</w:t>
      </w:r>
      <w:proofErr w:type="spellStart"/>
      <w:r w:rsidRPr="00BD7F39">
        <w:rPr>
          <w:rFonts w:ascii="Arial" w:hAnsi="Arial" w:cs="Arial"/>
          <w:sz w:val="20"/>
          <w:szCs w:val="20"/>
        </w:rPr>
        <w:t>Canqui</w:t>
      </w:r>
      <w:proofErr w:type="spellEnd"/>
      <w:r w:rsidRPr="00BD7F39">
        <w:rPr>
          <w:rFonts w:ascii="Arial" w:hAnsi="Arial" w:cs="Arial"/>
          <w:sz w:val="20"/>
          <w:szCs w:val="20"/>
        </w:rPr>
        <w:t xml:space="preserve"> et al., 2017). Conservation and natural farming systems show that optimized soil porosity improves crop transpiration efficiency and resilience to climate variability (Montgomery, 2017; Kassam et al., 2019). </w:t>
      </w:r>
    </w:p>
    <w:p w14:paraId="76B2DE06" w14:textId="23E4DBA9" w:rsidR="00D13ACF" w:rsidRPr="00D13ACF" w:rsidRDefault="00163543" w:rsidP="00D243CC">
      <w:pPr>
        <w:spacing w:line="360" w:lineRule="auto"/>
        <w:jc w:val="both"/>
        <w:rPr>
          <w:rFonts w:ascii="Arial" w:hAnsi="Arial" w:cs="Arial"/>
          <w:b/>
          <w:bCs/>
          <w:color w:val="EE0000"/>
          <w:sz w:val="20"/>
          <w:szCs w:val="20"/>
        </w:rPr>
      </w:pPr>
      <w:r>
        <w:rPr>
          <w:rFonts w:ascii="Arial" w:hAnsi="Arial" w:cs="Arial"/>
          <w:b/>
          <w:bCs/>
          <w:color w:val="212121"/>
          <w:sz w:val="20"/>
          <w:szCs w:val="20"/>
        </w:rPr>
        <w:t>1.4.</w:t>
      </w:r>
      <w:r w:rsidR="00D13ACF" w:rsidRPr="00D13ACF">
        <w:rPr>
          <w:rFonts w:ascii="Arial" w:hAnsi="Arial" w:cs="Arial"/>
          <w:b/>
          <w:bCs/>
          <w:color w:val="212121"/>
          <w:sz w:val="20"/>
          <w:szCs w:val="20"/>
        </w:rPr>
        <w:t xml:space="preserve">5. </w:t>
      </w:r>
      <w:proofErr w:type="spellStart"/>
      <w:r w:rsidR="00D13ACF" w:rsidRPr="00D13ACF">
        <w:rPr>
          <w:rFonts w:ascii="Arial" w:hAnsi="Arial" w:cs="Arial"/>
          <w:b/>
          <w:bCs/>
          <w:sz w:val="20"/>
          <w:szCs w:val="20"/>
        </w:rPr>
        <w:t>Ghanjeevamrit</w:t>
      </w:r>
      <w:proofErr w:type="spellEnd"/>
    </w:p>
    <w:p w14:paraId="4607A0CA" w14:textId="77777777" w:rsidR="00D13ACF" w:rsidRPr="00BD7F39" w:rsidRDefault="00D13ACF" w:rsidP="00D13ACF">
      <w:pPr>
        <w:spacing w:line="360" w:lineRule="auto"/>
        <w:jc w:val="both"/>
        <w:rPr>
          <w:rFonts w:ascii="Arial" w:hAnsi="Arial" w:cs="Arial"/>
          <w:sz w:val="20"/>
          <w:szCs w:val="20"/>
        </w:rPr>
      </w:pPr>
      <w:proofErr w:type="spellStart"/>
      <w:r w:rsidRPr="00BD7F39">
        <w:rPr>
          <w:rFonts w:ascii="Arial" w:hAnsi="Arial" w:cs="Arial"/>
          <w:sz w:val="20"/>
          <w:szCs w:val="20"/>
        </w:rPr>
        <w:t>Ghanjeevamrit</w:t>
      </w:r>
      <w:proofErr w:type="spellEnd"/>
      <w:r w:rsidRPr="00BD7F39">
        <w:rPr>
          <w:rFonts w:ascii="Arial" w:hAnsi="Arial" w:cs="Arial"/>
          <w:sz w:val="20"/>
          <w:szCs w:val="20"/>
        </w:rPr>
        <w:t>, the solid form, serves as a slow-release soil conditioner, improving aggregation, moisture retention, and long-term microbial sustainability (Lakhani, 2024b; Dwivedi et al., 2021).</w:t>
      </w:r>
    </w:p>
    <w:p w14:paraId="2DB04B49" w14:textId="77777777" w:rsidR="00D13ACF" w:rsidRDefault="00D13ACF" w:rsidP="00D13ACF">
      <w:pPr>
        <w:spacing w:line="360" w:lineRule="auto"/>
        <w:jc w:val="both"/>
        <w:rPr>
          <w:rFonts w:ascii="Arial" w:hAnsi="Arial" w:cs="Arial"/>
          <w:sz w:val="20"/>
          <w:szCs w:val="20"/>
        </w:rPr>
      </w:pPr>
      <w:r w:rsidRPr="00BD7F39">
        <w:rPr>
          <w:rFonts w:ascii="Arial" w:hAnsi="Arial" w:cs="Arial"/>
          <w:sz w:val="20"/>
          <w:szCs w:val="20"/>
        </w:rPr>
        <w:t xml:space="preserve">Repeated application of these bio-inputs increases beneficial soil microbial populations by 40–50%, boosts soil enzyme activities (dehydrogenase, phosphatase) by 50–60%, and enhances nutrient mineralization, particularly phosphorus solubilization and biological nitrogen fixation (Sharma and </w:t>
      </w:r>
      <w:proofErr w:type="spellStart"/>
      <w:r w:rsidRPr="00BD7F39">
        <w:rPr>
          <w:rFonts w:ascii="Arial" w:hAnsi="Arial" w:cs="Arial"/>
          <w:sz w:val="20"/>
          <w:szCs w:val="20"/>
        </w:rPr>
        <w:t>Chadak</w:t>
      </w:r>
      <w:proofErr w:type="spellEnd"/>
      <w:r w:rsidRPr="00BD7F39">
        <w:rPr>
          <w:rFonts w:ascii="Arial" w:hAnsi="Arial" w:cs="Arial"/>
          <w:sz w:val="20"/>
          <w:szCs w:val="20"/>
        </w:rPr>
        <w:t xml:space="preserve">, 2022; Singh et al., 2019; </w:t>
      </w:r>
      <w:proofErr w:type="spellStart"/>
      <w:r w:rsidRPr="00BD7F39">
        <w:rPr>
          <w:rFonts w:ascii="Arial" w:hAnsi="Arial" w:cs="Arial"/>
          <w:sz w:val="20"/>
          <w:szCs w:val="20"/>
        </w:rPr>
        <w:t>Lakhani</w:t>
      </w:r>
      <w:proofErr w:type="spellEnd"/>
      <w:r w:rsidRPr="00BD7F39">
        <w:rPr>
          <w:rFonts w:ascii="Arial" w:hAnsi="Arial" w:cs="Arial"/>
          <w:sz w:val="20"/>
          <w:szCs w:val="20"/>
        </w:rPr>
        <w:t xml:space="preserve"> and </w:t>
      </w:r>
      <w:proofErr w:type="spellStart"/>
      <w:r w:rsidRPr="00BD7F39">
        <w:rPr>
          <w:rFonts w:ascii="Arial" w:hAnsi="Arial" w:cs="Arial"/>
          <w:sz w:val="20"/>
          <w:szCs w:val="20"/>
        </w:rPr>
        <w:t>Geete</w:t>
      </w:r>
      <w:proofErr w:type="spellEnd"/>
      <w:r w:rsidRPr="00BD7F39">
        <w:rPr>
          <w:rFonts w:ascii="Arial" w:hAnsi="Arial" w:cs="Arial"/>
          <w:sz w:val="20"/>
          <w:szCs w:val="20"/>
        </w:rPr>
        <w:t>, 2024 d). Higher microbial biomass carbon under natural farming reflects improved biological health and resilience against nutrient stress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w:t>
      </w:r>
      <w:proofErr w:type="spellStart"/>
      <w:r w:rsidRPr="00BD7F39">
        <w:rPr>
          <w:rFonts w:ascii="Arial" w:hAnsi="Arial" w:cs="Arial"/>
          <w:sz w:val="20"/>
          <w:szCs w:val="20"/>
        </w:rPr>
        <w:t>Peeters</w:t>
      </w:r>
      <w:proofErr w:type="spellEnd"/>
      <w:r w:rsidRPr="00BD7F39">
        <w:rPr>
          <w:rFonts w:ascii="Arial" w:hAnsi="Arial" w:cs="Arial"/>
          <w:sz w:val="20"/>
          <w:szCs w:val="20"/>
        </w:rPr>
        <w:t xml:space="preserve"> et al., 2025).</w:t>
      </w:r>
    </w:p>
    <w:p w14:paraId="5A8F499B" w14:textId="2C21DFF5" w:rsidR="00D13ACF" w:rsidRPr="00D13ACF" w:rsidRDefault="00D13ACF" w:rsidP="00D243CC">
      <w:pPr>
        <w:spacing w:line="360" w:lineRule="auto"/>
        <w:jc w:val="both"/>
        <w:rPr>
          <w:rFonts w:ascii="Arial" w:hAnsi="Arial" w:cs="Arial"/>
          <w:sz w:val="20"/>
          <w:szCs w:val="20"/>
        </w:rPr>
      </w:pPr>
      <w:r w:rsidRPr="00BD7F39">
        <w:rPr>
          <w:rFonts w:ascii="Arial" w:hAnsi="Arial" w:cs="Arial"/>
          <w:sz w:val="20"/>
          <w:szCs w:val="20"/>
        </w:rPr>
        <w:t xml:space="preserve">Natural farming prioritizes nutrient recycling through on-farm inputs such as cow dung, cow urine, crop residues, and microbial formulations.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acts as a slow-release nutrient source and microbial activator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Saharan et al., 2023)</w:t>
      </w:r>
    </w:p>
    <w:p w14:paraId="459CCEFE" w14:textId="54ABB874" w:rsidR="00D243CC" w:rsidRPr="00BD7F39" w:rsidRDefault="00AF5E89" w:rsidP="00D243CC">
      <w:pPr>
        <w:spacing w:line="360" w:lineRule="auto"/>
        <w:jc w:val="both"/>
        <w:rPr>
          <w:rFonts w:ascii="Arial" w:hAnsi="Arial" w:cs="Arial"/>
          <w:b/>
          <w:bCs/>
          <w:sz w:val="20"/>
          <w:szCs w:val="20"/>
        </w:rPr>
      </w:pPr>
      <w:r>
        <w:rPr>
          <w:rFonts w:ascii="Arial" w:hAnsi="Arial" w:cs="Arial"/>
          <w:b/>
          <w:bCs/>
          <w:sz w:val="20"/>
          <w:szCs w:val="20"/>
        </w:rPr>
        <w:t xml:space="preserve">Table 2. </w:t>
      </w:r>
      <w:r w:rsidR="00D243CC" w:rsidRPr="00BD7F39">
        <w:rPr>
          <w:rFonts w:ascii="Arial" w:hAnsi="Arial" w:cs="Arial"/>
          <w:b/>
          <w:bCs/>
          <w:sz w:val="20"/>
          <w:szCs w:val="20"/>
        </w:rPr>
        <w:t>Comparison of Natural, Organic, and Conventional Farming</w:t>
      </w:r>
    </w:p>
    <w:tbl>
      <w:tblPr>
        <w:tblStyle w:val="TableGrid"/>
        <w:tblW w:w="5000" w:type="pct"/>
        <w:tblLook w:val="04A0" w:firstRow="1" w:lastRow="0" w:firstColumn="1" w:lastColumn="0" w:noHBand="0" w:noVBand="1"/>
      </w:tblPr>
      <w:tblGrid>
        <w:gridCol w:w="1384"/>
        <w:gridCol w:w="2821"/>
        <w:gridCol w:w="2473"/>
        <w:gridCol w:w="2564"/>
      </w:tblGrid>
      <w:tr w:rsidR="00D243CC" w:rsidRPr="00BD7F39" w14:paraId="7C7D030B" w14:textId="77777777" w:rsidTr="00E730BB">
        <w:tc>
          <w:tcPr>
            <w:tcW w:w="722" w:type="pct"/>
            <w:hideMark/>
          </w:tcPr>
          <w:p w14:paraId="2BBDD013"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Dimension</w:t>
            </w:r>
          </w:p>
        </w:tc>
        <w:tc>
          <w:tcPr>
            <w:tcW w:w="1511" w:type="pct"/>
            <w:hideMark/>
          </w:tcPr>
          <w:p w14:paraId="2BE42EAA"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Natural Farming</w:t>
            </w:r>
          </w:p>
        </w:tc>
        <w:tc>
          <w:tcPr>
            <w:tcW w:w="1326" w:type="pct"/>
            <w:hideMark/>
          </w:tcPr>
          <w:p w14:paraId="6BDEE75A"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Organic Farming</w:t>
            </w:r>
          </w:p>
        </w:tc>
        <w:tc>
          <w:tcPr>
            <w:tcW w:w="1374" w:type="pct"/>
            <w:hideMark/>
          </w:tcPr>
          <w:p w14:paraId="615E5F5B" w14:textId="77777777" w:rsidR="00D243CC" w:rsidRPr="00BD7F39" w:rsidRDefault="00D243CC" w:rsidP="002C3D0B">
            <w:pPr>
              <w:jc w:val="center"/>
              <w:rPr>
                <w:rFonts w:ascii="Arial" w:hAnsi="Arial" w:cs="Arial"/>
                <w:b/>
                <w:bCs/>
                <w:sz w:val="20"/>
                <w:szCs w:val="20"/>
              </w:rPr>
            </w:pPr>
            <w:r w:rsidRPr="00BD7F39">
              <w:rPr>
                <w:rFonts w:ascii="Arial" w:hAnsi="Arial" w:cs="Arial"/>
                <w:b/>
                <w:bCs/>
                <w:sz w:val="20"/>
                <w:szCs w:val="20"/>
              </w:rPr>
              <w:t>Conventional Farming</w:t>
            </w:r>
          </w:p>
        </w:tc>
      </w:tr>
      <w:tr w:rsidR="00D243CC" w:rsidRPr="00BD7F39" w14:paraId="1E1CBF02" w14:textId="77777777" w:rsidTr="00E730BB">
        <w:tc>
          <w:tcPr>
            <w:tcW w:w="722" w:type="pct"/>
            <w:hideMark/>
          </w:tcPr>
          <w:p w14:paraId="62EAA6CB"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External Inputs</w:t>
            </w:r>
          </w:p>
        </w:tc>
        <w:tc>
          <w:tcPr>
            <w:tcW w:w="1511" w:type="pct"/>
            <w:hideMark/>
          </w:tcPr>
          <w:p w14:paraId="5F0DA5DE" w14:textId="26B5304B" w:rsidR="00D243CC" w:rsidRPr="00BD7F39" w:rsidRDefault="00D243CC" w:rsidP="002C3D0B">
            <w:pPr>
              <w:jc w:val="center"/>
              <w:rPr>
                <w:rFonts w:ascii="Arial" w:hAnsi="Arial" w:cs="Arial"/>
                <w:sz w:val="20"/>
                <w:szCs w:val="20"/>
              </w:rPr>
            </w:pPr>
            <w:r w:rsidRPr="00BD7F39">
              <w:rPr>
                <w:rFonts w:ascii="Arial" w:hAnsi="Arial" w:cs="Arial"/>
                <w:sz w:val="20"/>
                <w:szCs w:val="20"/>
              </w:rPr>
              <w:t>No synthetic inputs; on-farm preparations only</w:t>
            </w:r>
          </w:p>
        </w:tc>
        <w:tc>
          <w:tcPr>
            <w:tcW w:w="1326" w:type="pct"/>
            <w:hideMark/>
          </w:tcPr>
          <w:p w14:paraId="29A1139C" w14:textId="100A6F69" w:rsidR="00D243CC" w:rsidRPr="00BD7F39" w:rsidRDefault="00D243CC" w:rsidP="002C3D0B">
            <w:pPr>
              <w:jc w:val="center"/>
              <w:rPr>
                <w:rFonts w:ascii="Arial" w:hAnsi="Arial" w:cs="Arial"/>
                <w:sz w:val="20"/>
                <w:szCs w:val="20"/>
              </w:rPr>
            </w:pPr>
            <w:r w:rsidRPr="00BD7F39">
              <w:rPr>
                <w:rFonts w:ascii="Arial" w:hAnsi="Arial" w:cs="Arial"/>
                <w:sz w:val="20"/>
                <w:szCs w:val="20"/>
              </w:rPr>
              <w:t>Purchased organic inputs allowed</w:t>
            </w:r>
          </w:p>
        </w:tc>
        <w:tc>
          <w:tcPr>
            <w:tcW w:w="1374" w:type="pct"/>
            <w:hideMark/>
          </w:tcPr>
          <w:p w14:paraId="237A18F9" w14:textId="7B60D187" w:rsidR="00D243CC" w:rsidRPr="00BD7F39" w:rsidRDefault="00D243CC" w:rsidP="002C3D0B">
            <w:pPr>
              <w:jc w:val="center"/>
              <w:rPr>
                <w:rFonts w:ascii="Arial" w:hAnsi="Arial" w:cs="Arial"/>
                <w:sz w:val="20"/>
                <w:szCs w:val="20"/>
              </w:rPr>
            </w:pPr>
            <w:r w:rsidRPr="00BD7F39">
              <w:rPr>
                <w:rFonts w:ascii="Arial" w:hAnsi="Arial" w:cs="Arial"/>
                <w:sz w:val="20"/>
                <w:szCs w:val="20"/>
              </w:rPr>
              <w:t>Synthetic fertilizers, pesticides</w:t>
            </w:r>
          </w:p>
        </w:tc>
      </w:tr>
      <w:tr w:rsidR="00D243CC" w:rsidRPr="00BD7F39" w14:paraId="5BCC2C6E" w14:textId="77777777" w:rsidTr="00E730BB">
        <w:tc>
          <w:tcPr>
            <w:tcW w:w="722" w:type="pct"/>
            <w:hideMark/>
          </w:tcPr>
          <w:p w14:paraId="4FD86C31"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Soil Fertility Management</w:t>
            </w:r>
          </w:p>
        </w:tc>
        <w:tc>
          <w:tcPr>
            <w:tcW w:w="1511" w:type="pct"/>
            <w:hideMark/>
          </w:tcPr>
          <w:p w14:paraId="3CBB840B" w14:textId="29B95BB3" w:rsidR="00D243CC" w:rsidRPr="00BD7F39" w:rsidRDefault="00D243CC" w:rsidP="002C3D0B">
            <w:pPr>
              <w:jc w:val="center"/>
              <w:rPr>
                <w:rFonts w:ascii="Arial" w:hAnsi="Arial" w:cs="Arial"/>
                <w:sz w:val="20"/>
                <w:szCs w:val="20"/>
              </w:rPr>
            </w:pPr>
            <w:r w:rsidRPr="00BD7F39">
              <w:rPr>
                <w:rFonts w:ascii="Arial" w:hAnsi="Arial" w:cs="Arial"/>
                <w:sz w:val="20"/>
                <w:szCs w:val="20"/>
              </w:rPr>
              <w:t>Mulching, compost teas, biological activity ​</w:t>
            </w:r>
          </w:p>
        </w:tc>
        <w:tc>
          <w:tcPr>
            <w:tcW w:w="1326" w:type="pct"/>
            <w:hideMark/>
          </w:tcPr>
          <w:p w14:paraId="00C57796" w14:textId="4C5325B3" w:rsidR="00D243CC" w:rsidRPr="00BD7F39" w:rsidRDefault="00D243CC" w:rsidP="002C3D0B">
            <w:pPr>
              <w:jc w:val="center"/>
              <w:rPr>
                <w:rFonts w:ascii="Arial" w:hAnsi="Arial" w:cs="Arial"/>
                <w:sz w:val="20"/>
                <w:szCs w:val="20"/>
              </w:rPr>
            </w:pPr>
            <w:r w:rsidRPr="00BD7F39">
              <w:rPr>
                <w:rFonts w:ascii="Arial" w:hAnsi="Arial" w:cs="Arial"/>
                <w:sz w:val="20"/>
                <w:szCs w:val="20"/>
              </w:rPr>
              <w:t>Compost, FYM, green manures, rotations</w:t>
            </w:r>
          </w:p>
        </w:tc>
        <w:tc>
          <w:tcPr>
            <w:tcW w:w="1374" w:type="pct"/>
            <w:hideMark/>
          </w:tcPr>
          <w:p w14:paraId="328963F3" w14:textId="0CE8A1C8" w:rsidR="00D243CC" w:rsidRPr="00BD7F39" w:rsidRDefault="00D243CC" w:rsidP="002C3D0B">
            <w:pPr>
              <w:jc w:val="center"/>
              <w:rPr>
                <w:rFonts w:ascii="Arial" w:hAnsi="Arial" w:cs="Arial"/>
                <w:sz w:val="20"/>
                <w:szCs w:val="20"/>
              </w:rPr>
            </w:pPr>
            <w:r w:rsidRPr="00BD7F39">
              <w:rPr>
                <w:rFonts w:ascii="Arial" w:hAnsi="Arial" w:cs="Arial"/>
                <w:sz w:val="20"/>
                <w:szCs w:val="20"/>
              </w:rPr>
              <w:t>Mineral fertilizers, limited organic matter ​</w:t>
            </w:r>
          </w:p>
        </w:tc>
      </w:tr>
      <w:tr w:rsidR="00D243CC" w:rsidRPr="00BD7F39" w14:paraId="6ABF5906" w14:textId="77777777" w:rsidTr="00E730BB">
        <w:tc>
          <w:tcPr>
            <w:tcW w:w="722" w:type="pct"/>
            <w:hideMark/>
          </w:tcPr>
          <w:p w14:paraId="42D1646B"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Pest and Disease Control</w:t>
            </w:r>
          </w:p>
        </w:tc>
        <w:tc>
          <w:tcPr>
            <w:tcW w:w="1511" w:type="pct"/>
            <w:hideMark/>
          </w:tcPr>
          <w:p w14:paraId="760646F7" w14:textId="5F4A019C" w:rsidR="00D243CC" w:rsidRPr="00BD7F39" w:rsidRDefault="00D243CC" w:rsidP="002C3D0B">
            <w:pPr>
              <w:jc w:val="center"/>
              <w:rPr>
                <w:rFonts w:ascii="Arial" w:hAnsi="Arial" w:cs="Arial"/>
                <w:sz w:val="20"/>
                <w:szCs w:val="20"/>
              </w:rPr>
            </w:pPr>
            <w:r w:rsidRPr="00BD7F39">
              <w:rPr>
                <w:rFonts w:ascii="Arial" w:hAnsi="Arial" w:cs="Arial"/>
                <w:sz w:val="20"/>
                <w:szCs w:val="20"/>
              </w:rPr>
              <w:t>Botanical extracts, habitat management ​</w:t>
            </w:r>
          </w:p>
        </w:tc>
        <w:tc>
          <w:tcPr>
            <w:tcW w:w="1326" w:type="pct"/>
            <w:hideMark/>
          </w:tcPr>
          <w:p w14:paraId="69DD79B9" w14:textId="2CDA0F08" w:rsidR="00D243CC" w:rsidRPr="00BD7F39" w:rsidRDefault="00D243CC" w:rsidP="002C3D0B">
            <w:pPr>
              <w:jc w:val="center"/>
              <w:rPr>
                <w:rFonts w:ascii="Arial" w:hAnsi="Arial" w:cs="Arial"/>
                <w:sz w:val="20"/>
                <w:szCs w:val="20"/>
              </w:rPr>
            </w:pPr>
            <w:r w:rsidRPr="00BD7F39">
              <w:rPr>
                <w:rFonts w:ascii="Arial" w:hAnsi="Arial" w:cs="Arial"/>
                <w:sz w:val="20"/>
                <w:szCs w:val="20"/>
              </w:rPr>
              <w:t>Biopesticides, cultural methods</w:t>
            </w:r>
          </w:p>
        </w:tc>
        <w:tc>
          <w:tcPr>
            <w:tcW w:w="1374" w:type="pct"/>
            <w:hideMark/>
          </w:tcPr>
          <w:p w14:paraId="7093A21E" w14:textId="447F78ED" w:rsidR="00D243CC" w:rsidRPr="00BD7F39" w:rsidRDefault="00D243CC" w:rsidP="002C3D0B">
            <w:pPr>
              <w:jc w:val="center"/>
              <w:rPr>
                <w:rFonts w:ascii="Arial" w:hAnsi="Arial" w:cs="Arial"/>
                <w:sz w:val="20"/>
                <w:szCs w:val="20"/>
              </w:rPr>
            </w:pPr>
            <w:r w:rsidRPr="00BD7F39">
              <w:rPr>
                <w:rFonts w:ascii="Arial" w:hAnsi="Arial" w:cs="Arial"/>
                <w:sz w:val="20"/>
                <w:szCs w:val="20"/>
              </w:rPr>
              <w:t>Synthetic pesticides, herbicides</w:t>
            </w:r>
          </w:p>
        </w:tc>
      </w:tr>
      <w:tr w:rsidR="00D243CC" w:rsidRPr="00BD7F39" w14:paraId="247AD5DB" w14:textId="77777777" w:rsidTr="00E730BB">
        <w:tc>
          <w:tcPr>
            <w:tcW w:w="722" w:type="pct"/>
            <w:hideMark/>
          </w:tcPr>
          <w:p w14:paraId="49C72C65"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Certification and Markets</w:t>
            </w:r>
          </w:p>
        </w:tc>
        <w:tc>
          <w:tcPr>
            <w:tcW w:w="1511" w:type="pct"/>
            <w:hideMark/>
          </w:tcPr>
          <w:p w14:paraId="78FF0A23" w14:textId="3EDBA627" w:rsidR="00D243CC" w:rsidRPr="00BD7F39" w:rsidRDefault="00D243CC" w:rsidP="002C3D0B">
            <w:pPr>
              <w:jc w:val="center"/>
              <w:rPr>
                <w:rFonts w:ascii="Arial" w:hAnsi="Arial" w:cs="Arial"/>
                <w:sz w:val="20"/>
                <w:szCs w:val="20"/>
              </w:rPr>
            </w:pPr>
            <w:r w:rsidRPr="00BD7F39">
              <w:rPr>
                <w:rFonts w:ascii="Arial" w:hAnsi="Arial" w:cs="Arial"/>
                <w:sz w:val="20"/>
                <w:szCs w:val="20"/>
              </w:rPr>
              <w:t>Local, direct markets; limited certification ​</w:t>
            </w:r>
          </w:p>
        </w:tc>
        <w:tc>
          <w:tcPr>
            <w:tcW w:w="1326" w:type="pct"/>
            <w:hideMark/>
          </w:tcPr>
          <w:p w14:paraId="6B34CCAF" w14:textId="694EFFD3" w:rsidR="00D243CC" w:rsidRPr="00BD7F39" w:rsidRDefault="00D243CC" w:rsidP="002C3D0B">
            <w:pPr>
              <w:jc w:val="center"/>
              <w:rPr>
                <w:rFonts w:ascii="Arial" w:hAnsi="Arial" w:cs="Arial"/>
                <w:sz w:val="20"/>
                <w:szCs w:val="20"/>
              </w:rPr>
            </w:pPr>
            <w:r w:rsidRPr="00BD7F39">
              <w:rPr>
                <w:rFonts w:ascii="Arial" w:hAnsi="Arial" w:cs="Arial"/>
                <w:sz w:val="20"/>
                <w:szCs w:val="20"/>
              </w:rPr>
              <w:t>Regulated certification; premium markets</w:t>
            </w:r>
          </w:p>
        </w:tc>
        <w:tc>
          <w:tcPr>
            <w:tcW w:w="1374" w:type="pct"/>
            <w:hideMark/>
          </w:tcPr>
          <w:p w14:paraId="639D4C09" w14:textId="16B938CB" w:rsidR="00D243CC" w:rsidRPr="00BD7F39" w:rsidRDefault="00D243CC" w:rsidP="002C3D0B">
            <w:pPr>
              <w:jc w:val="center"/>
              <w:rPr>
                <w:rFonts w:ascii="Arial" w:hAnsi="Arial" w:cs="Arial"/>
                <w:sz w:val="20"/>
                <w:szCs w:val="20"/>
              </w:rPr>
            </w:pPr>
            <w:r w:rsidRPr="00BD7F39">
              <w:rPr>
                <w:rFonts w:ascii="Arial" w:hAnsi="Arial" w:cs="Arial"/>
                <w:sz w:val="20"/>
                <w:szCs w:val="20"/>
              </w:rPr>
              <w:t>Mainstream commodity markets</w:t>
            </w:r>
          </w:p>
        </w:tc>
      </w:tr>
      <w:tr w:rsidR="00D243CC" w:rsidRPr="00BD7F39" w14:paraId="28278740" w14:textId="77777777" w:rsidTr="00E730BB">
        <w:tc>
          <w:tcPr>
            <w:tcW w:w="722" w:type="pct"/>
            <w:hideMark/>
          </w:tcPr>
          <w:p w14:paraId="176AEB35" w14:textId="77777777" w:rsidR="00D243CC" w:rsidRPr="00BD7F39" w:rsidRDefault="00D243CC" w:rsidP="002C3D0B">
            <w:pPr>
              <w:jc w:val="center"/>
              <w:rPr>
                <w:rFonts w:ascii="Arial" w:hAnsi="Arial" w:cs="Arial"/>
                <w:sz w:val="20"/>
                <w:szCs w:val="20"/>
              </w:rPr>
            </w:pPr>
            <w:r w:rsidRPr="00BD7F39">
              <w:rPr>
                <w:rFonts w:ascii="Arial" w:hAnsi="Arial" w:cs="Arial"/>
                <w:sz w:val="20"/>
                <w:szCs w:val="20"/>
              </w:rPr>
              <w:t>Cost Structure</w:t>
            </w:r>
          </w:p>
        </w:tc>
        <w:tc>
          <w:tcPr>
            <w:tcW w:w="1511" w:type="pct"/>
            <w:hideMark/>
          </w:tcPr>
          <w:p w14:paraId="7BCE1004" w14:textId="7AC6B257" w:rsidR="00D243CC" w:rsidRPr="00BD7F39" w:rsidRDefault="00D243CC" w:rsidP="002C3D0B">
            <w:pPr>
              <w:jc w:val="center"/>
              <w:rPr>
                <w:rFonts w:ascii="Arial" w:hAnsi="Arial" w:cs="Arial"/>
                <w:sz w:val="20"/>
                <w:szCs w:val="20"/>
              </w:rPr>
            </w:pPr>
            <w:r w:rsidRPr="00BD7F39">
              <w:rPr>
                <w:rFonts w:ascii="Arial" w:hAnsi="Arial" w:cs="Arial"/>
                <w:sz w:val="20"/>
                <w:szCs w:val="20"/>
              </w:rPr>
              <w:t>Very low cash cost; high family labo</w:t>
            </w:r>
            <w:r w:rsidR="0083752E" w:rsidRPr="00BD7F39">
              <w:rPr>
                <w:rFonts w:ascii="Arial" w:hAnsi="Arial" w:cs="Arial"/>
                <w:sz w:val="20"/>
                <w:szCs w:val="20"/>
              </w:rPr>
              <w:t>u</w:t>
            </w:r>
            <w:r w:rsidRPr="00BD7F39">
              <w:rPr>
                <w:rFonts w:ascii="Arial" w:hAnsi="Arial" w:cs="Arial"/>
                <w:sz w:val="20"/>
                <w:szCs w:val="20"/>
              </w:rPr>
              <w:t>r ​</w:t>
            </w:r>
          </w:p>
        </w:tc>
        <w:tc>
          <w:tcPr>
            <w:tcW w:w="1326" w:type="pct"/>
            <w:hideMark/>
          </w:tcPr>
          <w:p w14:paraId="2B495966" w14:textId="5AC46FE1" w:rsidR="00D243CC" w:rsidRPr="00BD7F39" w:rsidRDefault="00D243CC" w:rsidP="002C3D0B">
            <w:pPr>
              <w:jc w:val="center"/>
              <w:rPr>
                <w:rFonts w:ascii="Arial" w:hAnsi="Arial" w:cs="Arial"/>
                <w:sz w:val="20"/>
                <w:szCs w:val="20"/>
              </w:rPr>
            </w:pPr>
            <w:r w:rsidRPr="00BD7F39">
              <w:rPr>
                <w:rFonts w:ascii="Arial" w:hAnsi="Arial" w:cs="Arial"/>
                <w:sz w:val="20"/>
                <w:szCs w:val="20"/>
              </w:rPr>
              <w:t>Moderate to high input costs</w:t>
            </w:r>
          </w:p>
        </w:tc>
        <w:tc>
          <w:tcPr>
            <w:tcW w:w="1374" w:type="pct"/>
            <w:hideMark/>
          </w:tcPr>
          <w:p w14:paraId="37F75FEB" w14:textId="3D04E40E" w:rsidR="00D243CC" w:rsidRPr="00BD7F39" w:rsidRDefault="00D243CC" w:rsidP="002C3D0B">
            <w:pPr>
              <w:jc w:val="center"/>
              <w:rPr>
                <w:rFonts w:ascii="Arial" w:hAnsi="Arial" w:cs="Arial"/>
                <w:sz w:val="20"/>
                <w:szCs w:val="20"/>
              </w:rPr>
            </w:pPr>
            <w:r w:rsidRPr="00BD7F39">
              <w:rPr>
                <w:rFonts w:ascii="Arial" w:hAnsi="Arial" w:cs="Arial"/>
                <w:sz w:val="20"/>
                <w:szCs w:val="20"/>
              </w:rPr>
              <w:t>High variable costs</w:t>
            </w:r>
          </w:p>
        </w:tc>
      </w:tr>
    </w:tbl>
    <w:p w14:paraId="033BD64D" w14:textId="3CFB60B7" w:rsidR="00801FBE" w:rsidRPr="00BD7F39" w:rsidRDefault="002C3D0B" w:rsidP="00341F11">
      <w:pPr>
        <w:spacing w:line="360" w:lineRule="auto"/>
        <w:rPr>
          <w:rFonts w:ascii="Arial" w:hAnsi="Arial" w:cs="Arial"/>
          <w:b/>
          <w:bCs/>
          <w:sz w:val="20"/>
          <w:szCs w:val="20"/>
        </w:rPr>
      </w:pPr>
      <w:r w:rsidRPr="00BD7F39">
        <w:rPr>
          <w:rFonts w:ascii="Arial" w:hAnsi="Arial" w:cs="Arial"/>
          <w:b/>
          <w:bCs/>
          <w:sz w:val="20"/>
          <w:szCs w:val="20"/>
        </w:rPr>
        <w:t>Source: Indian Journal of Traditional Knowledge</w:t>
      </w:r>
      <w:r w:rsidRPr="00BD7F39">
        <w:rPr>
          <w:rFonts w:ascii="Arial" w:hAnsi="Arial" w:cs="Arial"/>
          <w:b/>
          <w:bCs/>
          <w:sz w:val="20"/>
          <w:szCs w:val="20"/>
        </w:rPr>
        <w:br/>
        <w:t>URL: </w:t>
      </w:r>
      <w:hyperlink r:id="rId21" w:tgtFrame="_blank" w:history="1">
        <w:r w:rsidRPr="00BD7F39">
          <w:rPr>
            <w:rStyle w:val="Hyperlink"/>
            <w:rFonts w:ascii="Arial" w:hAnsi="Arial" w:cs="Arial"/>
            <w:b/>
            <w:bCs/>
            <w:sz w:val="20"/>
            <w:szCs w:val="20"/>
          </w:rPr>
          <w:t>https://or.niscpr.res.in/index.php/IJTK/article/view/2914</w:t>
        </w:r>
      </w:hyperlink>
      <w:r w:rsidRPr="00BD7F39">
        <w:rPr>
          <w:rFonts w:ascii="Arial" w:hAnsi="Arial" w:cs="Arial"/>
          <w:b/>
          <w:bCs/>
          <w:sz w:val="20"/>
          <w:szCs w:val="20"/>
        </w:rPr>
        <w:t xml:space="preserve"> (2024)</w:t>
      </w:r>
    </w:p>
    <w:p w14:paraId="7B4E1526" w14:textId="61253271" w:rsidR="00B5791E" w:rsidRPr="00BD7F39" w:rsidRDefault="00B5791E" w:rsidP="00B5791E">
      <w:pPr>
        <w:spacing w:line="360" w:lineRule="auto"/>
        <w:jc w:val="both"/>
        <w:rPr>
          <w:rFonts w:ascii="Arial" w:hAnsi="Arial" w:cs="Arial"/>
          <w:b/>
          <w:bCs/>
        </w:rPr>
      </w:pPr>
      <w:r w:rsidRPr="00BD7F39">
        <w:rPr>
          <w:rFonts w:ascii="Arial" w:hAnsi="Arial" w:cs="Arial"/>
          <w:b/>
          <w:bCs/>
        </w:rPr>
        <w:lastRenderedPageBreak/>
        <w:t>2. Management Practices in Natural Farming</w:t>
      </w:r>
    </w:p>
    <w:p w14:paraId="7D8E460A" w14:textId="77777777"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 Nutrient Management and Soil Health Enhancement</w:t>
      </w:r>
    </w:p>
    <w:p w14:paraId="5621FBEC"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Soil health is fundamental to sustainable and regenerative agriculture, especially in natural farming systems. It refers to the soil’s capacity to function as a living ecosystem that sustains biological productivity, maintains environmental quality, and supports plant and animal health (Doran and Zeiss, 2000; Lal, 2020). Natural farming employs a holistic, biology-driven approach to fertility management, emphasizing diverse plant communities, enhanced microbial activity, improved soil structure, and robust nutrient cycling and water retention (Pretty et al., 2018; Kassam et al., 2019).</w:t>
      </w:r>
    </w:p>
    <w:p w14:paraId="3B7E7B13" w14:textId="662E9C15" w:rsidR="00845F08" w:rsidRPr="00BD7F39" w:rsidRDefault="00845F08" w:rsidP="00845F08">
      <w:pPr>
        <w:autoSpaceDE w:val="0"/>
        <w:autoSpaceDN w:val="0"/>
        <w:adjustRightInd w:val="0"/>
        <w:spacing w:before="120" w:after="120" w:line="360" w:lineRule="auto"/>
        <w:jc w:val="both"/>
        <w:rPr>
          <w:rFonts w:ascii="Arial" w:hAnsi="Arial" w:cs="Arial"/>
          <w:b/>
          <w:sz w:val="20"/>
          <w:szCs w:val="20"/>
        </w:rPr>
      </w:pPr>
      <w:r w:rsidRPr="00BD7F39">
        <w:rPr>
          <w:rFonts w:ascii="Arial" w:hAnsi="Arial" w:cs="Arial"/>
          <w:b/>
          <w:sz w:val="20"/>
          <w:szCs w:val="20"/>
        </w:rPr>
        <w:t xml:space="preserve">Procedure for preparation of </w:t>
      </w:r>
      <w:proofErr w:type="spellStart"/>
      <w:r w:rsidRPr="00BD7F39">
        <w:rPr>
          <w:rFonts w:ascii="Arial" w:hAnsi="Arial" w:cs="Arial"/>
          <w:b/>
          <w:sz w:val="20"/>
          <w:szCs w:val="20"/>
        </w:rPr>
        <w:t>Ghanajivamruth</w:t>
      </w:r>
      <w:proofErr w:type="spellEnd"/>
      <w:r w:rsidRPr="00BD7F39">
        <w:rPr>
          <w:rFonts w:ascii="Arial" w:hAnsi="Arial" w:cs="Arial"/>
          <w:b/>
          <w:sz w:val="20"/>
          <w:szCs w:val="20"/>
        </w:rPr>
        <w:t xml:space="preserve"> </w:t>
      </w:r>
    </w:p>
    <w:p w14:paraId="09028D25" w14:textId="77777777" w:rsidR="00845F08" w:rsidRPr="00BD7F39" w:rsidRDefault="00845F08" w:rsidP="00845F08">
      <w:pPr>
        <w:spacing w:line="360" w:lineRule="auto"/>
        <w:jc w:val="both"/>
        <w:rPr>
          <w:rFonts w:ascii="Arial" w:hAnsi="Arial" w:cs="Arial"/>
          <w:b/>
          <w:bCs/>
          <w:sz w:val="20"/>
          <w:szCs w:val="20"/>
        </w:rPr>
      </w:pPr>
      <w:r w:rsidRPr="00BD7F39">
        <w:rPr>
          <w:rFonts w:ascii="Arial" w:hAnsi="Arial" w:cs="Arial"/>
          <w:b/>
          <w:bCs/>
          <w:sz w:val="20"/>
          <w:szCs w:val="20"/>
        </w:rPr>
        <w:t>Ingredients for One Acre</w:t>
      </w:r>
    </w:p>
    <w:p w14:paraId="41ED6BA1" w14:textId="4DB4E16C" w:rsidR="00845F08" w:rsidRPr="00BD7F39" w:rsidRDefault="00845F08" w:rsidP="00845F08">
      <w:pPr>
        <w:spacing w:line="360" w:lineRule="auto"/>
        <w:jc w:val="both"/>
        <w:rPr>
          <w:rFonts w:ascii="Arial" w:hAnsi="Arial" w:cs="Arial"/>
          <w:sz w:val="20"/>
          <w:szCs w:val="20"/>
        </w:rPr>
      </w:pPr>
      <w:r w:rsidRPr="00BD7F39">
        <w:rPr>
          <w:rFonts w:ascii="Arial" w:hAnsi="Arial" w:cs="Arial"/>
          <w:sz w:val="20"/>
          <w:szCs w:val="20"/>
        </w:rPr>
        <w:t xml:space="preserve">To prepare approximately </w:t>
      </w:r>
      <w:r w:rsidRPr="00BD7F39">
        <w:rPr>
          <w:rFonts w:ascii="Arial" w:hAnsi="Arial" w:cs="Arial"/>
          <w:b/>
          <w:bCs/>
          <w:sz w:val="20"/>
          <w:szCs w:val="20"/>
        </w:rPr>
        <w:t>200 kg</w:t>
      </w:r>
      <w:r w:rsidRPr="00BD7F39">
        <w:rPr>
          <w:rFonts w:ascii="Arial" w:hAnsi="Arial" w:cs="Arial"/>
          <w:sz w:val="20"/>
          <w:szCs w:val="20"/>
        </w:rPr>
        <w:t xml:space="preserve"> of </w:t>
      </w:r>
      <w:proofErr w:type="spellStart"/>
      <w:r w:rsidRPr="00BD7F39">
        <w:rPr>
          <w:rFonts w:ascii="Arial" w:hAnsi="Arial" w:cs="Arial"/>
          <w:sz w:val="20"/>
          <w:szCs w:val="20"/>
        </w:rPr>
        <w:t>Ghanjeevamrut</w:t>
      </w:r>
      <w:proofErr w:type="spellEnd"/>
      <w:r w:rsidRPr="00BD7F39">
        <w:rPr>
          <w:rFonts w:ascii="Arial" w:hAnsi="Arial" w:cs="Arial"/>
          <w:sz w:val="20"/>
          <w:szCs w:val="20"/>
        </w:rPr>
        <w:t>, following inputs are required:</w:t>
      </w:r>
    </w:p>
    <w:p w14:paraId="4C46D940" w14:textId="77777777"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Dry Cow Dung:</w:t>
      </w:r>
      <w:r w:rsidRPr="00BD7F39">
        <w:rPr>
          <w:rFonts w:ascii="Arial" w:hAnsi="Arial" w:cs="Arial"/>
          <w:sz w:val="20"/>
          <w:szCs w:val="20"/>
        </w:rPr>
        <w:t xml:space="preserve"> 200 kg (from local/desi cows).</w:t>
      </w:r>
    </w:p>
    <w:p w14:paraId="55095D51" w14:textId="77777777"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 xml:space="preserve">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w:t>
      </w:r>
      <w:r w:rsidRPr="00BD7F39">
        <w:rPr>
          <w:rFonts w:ascii="Arial" w:hAnsi="Arial" w:cs="Arial"/>
          <w:sz w:val="20"/>
          <w:szCs w:val="20"/>
        </w:rPr>
        <w:t xml:space="preserv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(already fermented for 5–7 days).</w:t>
      </w:r>
    </w:p>
    <w:p w14:paraId="157BB0E9" w14:textId="3F659AC8" w:rsidR="00845F08" w:rsidRPr="00BD7F39" w:rsidRDefault="00845F08">
      <w:pPr>
        <w:numPr>
          <w:ilvl w:val="0"/>
          <w:numId w:val="3"/>
        </w:numPr>
        <w:spacing w:line="360" w:lineRule="auto"/>
        <w:jc w:val="both"/>
        <w:rPr>
          <w:rFonts w:ascii="Arial" w:hAnsi="Arial" w:cs="Arial"/>
          <w:sz w:val="20"/>
          <w:szCs w:val="20"/>
        </w:rPr>
      </w:pPr>
      <w:r w:rsidRPr="00BD7F39">
        <w:rPr>
          <w:rFonts w:ascii="Arial" w:hAnsi="Arial" w:cs="Arial"/>
          <w:b/>
          <w:bCs/>
          <w:sz w:val="20"/>
          <w:szCs w:val="20"/>
        </w:rPr>
        <w:t xml:space="preserve">Alternative (if 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 xml:space="preserve"> is unavailable):</w:t>
      </w:r>
      <w:r w:rsidRPr="00BD7F39">
        <w:rPr>
          <w:rFonts w:ascii="Arial" w:hAnsi="Arial" w:cs="Arial"/>
          <w:sz w:val="20"/>
          <w:szCs w:val="20"/>
        </w:rPr>
        <w:t xml:space="preserve">  10 kg fresh cow dung + 5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cow urine. 1 kg Jaggery (Gur) + 1 kg Pulse flour (</w:t>
      </w:r>
      <w:proofErr w:type="spellStart"/>
      <w:r w:rsidRPr="00BD7F39">
        <w:rPr>
          <w:rFonts w:ascii="Arial" w:hAnsi="Arial" w:cs="Arial"/>
          <w:sz w:val="20"/>
          <w:szCs w:val="20"/>
        </w:rPr>
        <w:t>Besan</w:t>
      </w:r>
      <w:proofErr w:type="spellEnd"/>
      <w:r w:rsidRPr="00BD7F39">
        <w:rPr>
          <w:rFonts w:ascii="Arial" w:hAnsi="Arial" w:cs="Arial"/>
          <w:sz w:val="20"/>
          <w:szCs w:val="20"/>
        </w:rPr>
        <w:t>). Handful of virgin soil.</w:t>
      </w:r>
    </w:p>
    <w:p w14:paraId="0C550D65" w14:textId="77777777" w:rsidR="005F5931" w:rsidRPr="00BD7F39" w:rsidRDefault="005F5931" w:rsidP="005F5931">
      <w:pPr>
        <w:spacing w:line="360" w:lineRule="auto"/>
        <w:jc w:val="both"/>
        <w:rPr>
          <w:rFonts w:ascii="Arial" w:hAnsi="Arial" w:cs="Arial"/>
          <w:b/>
          <w:bCs/>
          <w:sz w:val="20"/>
          <w:szCs w:val="20"/>
        </w:rPr>
      </w:pPr>
      <w:r w:rsidRPr="00BD7F39">
        <w:rPr>
          <w:rFonts w:ascii="Arial" w:hAnsi="Arial" w:cs="Arial"/>
          <w:b/>
          <w:bCs/>
          <w:sz w:val="20"/>
          <w:szCs w:val="20"/>
        </w:rPr>
        <w:t xml:space="preserve">Method 1: Using Liquid </w:t>
      </w:r>
      <w:proofErr w:type="spellStart"/>
      <w:r w:rsidRPr="00BD7F39">
        <w:rPr>
          <w:rFonts w:ascii="Arial" w:hAnsi="Arial" w:cs="Arial"/>
          <w:b/>
          <w:bCs/>
          <w:sz w:val="20"/>
          <w:szCs w:val="20"/>
        </w:rPr>
        <w:t>Jeevamrut</w:t>
      </w:r>
      <w:proofErr w:type="spellEnd"/>
      <w:r w:rsidRPr="00BD7F39">
        <w:rPr>
          <w:rFonts w:ascii="Arial" w:hAnsi="Arial" w:cs="Arial"/>
          <w:b/>
          <w:bCs/>
          <w:sz w:val="20"/>
          <w:szCs w:val="20"/>
        </w:rPr>
        <w:t xml:space="preserve"> (Recommended)</w:t>
      </w:r>
    </w:p>
    <w:p w14:paraId="41BEBD05" w14:textId="32FD023B" w:rsidR="005F5931" w:rsidRPr="00BD7F39" w:rsidRDefault="005F5931" w:rsidP="005F5931">
      <w:pPr>
        <w:spacing w:line="360" w:lineRule="auto"/>
        <w:jc w:val="both"/>
        <w:rPr>
          <w:rFonts w:ascii="Arial" w:hAnsi="Arial" w:cs="Arial"/>
          <w:sz w:val="20"/>
          <w:szCs w:val="20"/>
        </w:rPr>
      </w:pPr>
      <w:r w:rsidRPr="00BD7F39">
        <w:rPr>
          <w:rFonts w:ascii="Arial" w:hAnsi="Arial" w:cs="Arial"/>
          <w:sz w:val="20"/>
          <w:szCs w:val="20"/>
        </w:rPr>
        <w:t>This is the most effective method as the microbes are already active in the liquid.</w:t>
      </w:r>
    </w:p>
    <w:p w14:paraId="487CC5B8" w14:textId="7777777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 xml:space="preserve">Spread the Dung: Spread 200 kg of well-dried or partially dried cow dung on a clean floor in a shaded area. </w:t>
      </w:r>
    </w:p>
    <w:p w14:paraId="3EBB7CAE" w14:textId="75BA07CC"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 xml:space="preserve">Add Liquid: Sprinkle 20 </w:t>
      </w:r>
      <w:proofErr w:type="spellStart"/>
      <w:r w:rsidRPr="00BD7F39">
        <w:rPr>
          <w:rFonts w:ascii="Arial" w:hAnsi="Arial" w:cs="Arial"/>
          <w:sz w:val="20"/>
          <w:szCs w:val="20"/>
        </w:rPr>
        <w:t>liters</w:t>
      </w:r>
      <w:proofErr w:type="spellEnd"/>
      <w:r w:rsidRPr="00BD7F39">
        <w:rPr>
          <w:rFonts w:ascii="Arial" w:hAnsi="Arial" w:cs="Arial"/>
          <w:sz w:val="20"/>
          <w:szCs w:val="20"/>
        </w:rPr>
        <w:t xml:space="preserve"> of prepared liquid </w:t>
      </w:r>
      <w:proofErr w:type="spellStart"/>
      <w:r w:rsidRPr="00BD7F39">
        <w:rPr>
          <w:rFonts w:ascii="Arial" w:hAnsi="Arial" w:cs="Arial"/>
          <w:sz w:val="20"/>
          <w:szCs w:val="20"/>
        </w:rPr>
        <w:t>Jeevamrut</w:t>
      </w:r>
      <w:proofErr w:type="spellEnd"/>
      <w:r w:rsidRPr="00BD7F39">
        <w:rPr>
          <w:rFonts w:ascii="Arial" w:hAnsi="Arial" w:cs="Arial"/>
          <w:sz w:val="20"/>
          <w:szCs w:val="20"/>
        </w:rPr>
        <w:t xml:space="preserve"> uniformly over the dung pile.</w:t>
      </w:r>
    </w:p>
    <w:p w14:paraId="6D1610EE" w14:textId="7CCA02C9"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Mix: Use a spade or shovel to mix the liquid and dung thoroughly until it reaches a "dough-like" consistency (damp but not dripping).</w:t>
      </w:r>
    </w:p>
    <w:p w14:paraId="128C3C07" w14:textId="6CD9C59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Heap and Cover: Gather the mixture into a heap and cover it with a jute gunny bag.</w:t>
      </w:r>
    </w:p>
    <w:p w14:paraId="58F301F6" w14:textId="797E1356"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Fermentation: Let it sit in the shade for 48 hours.</w:t>
      </w:r>
    </w:p>
    <w:p w14:paraId="5B3E8245" w14:textId="74B8B037" w:rsidR="005F5931" w:rsidRPr="00BD7F39" w:rsidRDefault="005F5931">
      <w:pPr>
        <w:pStyle w:val="ListParagraph"/>
        <w:numPr>
          <w:ilvl w:val="0"/>
          <w:numId w:val="4"/>
        </w:numPr>
        <w:spacing w:line="360" w:lineRule="auto"/>
        <w:jc w:val="both"/>
        <w:rPr>
          <w:rFonts w:ascii="Arial" w:hAnsi="Arial" w:cs="Arial"/>
          <w:sz w:val="20"/>
          <w:szCs w:val="20"/>
        </w:rPr>
      </w:pPr>
      <w:r w:rsidRPr="00BD7F39">
        <w:rPr>
          <w:rFonts w:ascii="Arial" w:hAnsi="Arial" w:cs="Arial"/>
          <w:sz w:val="20"/>
          <w:szCs w:val="20"/>
        </w:rPr>
        <w:t>Drying: After 48 hours, spread the mixture out again in the shade (never direct sunlight) and allow it to dry completely.</w:t>
      </w:r>
    </w:p>
    <w:p w14:paraId="61613048" w14:textId="70DC6D11" w:rsidR="005F5931" w:rsidRPr="00BD7F39" w:rsidRDefault="005F5931">
      <w:pPr>
        <w:pStyle w:val="ListParagraph"/>
        <w:numPr>
          <w:ilvl w:val="0"/>
          <w:numId w:val="4"/>
        </w:numPr>
        <w:spacing w:line="360" w:lineRule="auto"/>
        <w:jc w:val="both"/>
        <w:rPr>
          <w:rFonts w:ascii="Arial" w:hAnsi="Arial" w:cs="Arial"/>
          <w:b/>
          <w:bCs/>
          <w:sz w:val="20"/>
          <w:szCs w:val="20"/>
        </w:rPr>
      </w:pPr>
      <w:r w:rsidRPr="00BD7F39">
        <w:rPr>
          <w:rFonts w:ascii="Arial" w:hAnsi="Arial" w:cs="Arial"/>
          <w:sz w:val="20"/>
          <w:szCs w:val="20"/>
        </w:rPr>
        <w:t xml:space="preserve">Sieving/Grinding: Once dry, break any large lumps with a wooden stick or grind it into a fine powder. </w:t>
      </w:r>
      <w:r w:rsidRPr="00BD7F39">
        <w:rPr>
          <w:rFonts w:ascii="Arial" w:eastAsia="Times New Roman" w:hAnsi="Arial" w:cs="Arial"/>
          <w:kern w:val="0"/>
          <w:sz w:val="20"/>
          <w:szCs w:val="20"/>
          <w:lang w:eastAsia="en-IN" w:bidi="mr-IN"/>
          <w14:ligatures w14:val="none"/>
        </w:rPr>
        <w:t>(</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171396F6" w14:textId="77777777" w:rsidR="005F5931" w:rsidRPr="00BD7F39" w:rsidRDefault="005F5931" w:rsidP="005F5931">
      <w:pPr>
        <w:spacing w:before="100" w:beforeAutospacing="1" w:after="100" w:afterAutospacing="1" w:line="240" w:lineRule="auto"/>
        <w:outlineLvl w:val="3"/>
        <w:rPr>
          <w:rFonts w:ascii="Arial" w:eastAsia="Times New Roman" w:hAnsi="Arial" w:cs="Arial"/>
          <w:b/>
          <w:bCs/>
          <w:kern w:val="0"/>
          <w:sz w:val="20"/>
          <w:szCs w:val="20"/>
          <w:lang w:eastAsia="en-IN" w:bidi="mr-IN"/>
          <w14:ligatures w14:val="none"/>
        </w:rPr>
      </w:pPr>
      <w:r w:rsidRPr="00BD7F39">
        <w:rPr>
          <w:rFonts w:ascii="Arial" w:eastAsia="Times New Roman" w:hAnsi="Arial" w:cs="Arial"/>
          <w:b/>
          <w:bCs/>
          <w:kern w:val="0"/>
          <w:sz w:val="20"/>
          <w:szCs w:val="20"/>
          <w:lang w:eastAsia="en-IN" w:bidi="mr-IN"/>
          <w14:ligatures w14:val="none"/>
        </w:rPr>
        <w:t>Method 2: The "Direct Mixing" Method</w:t>
      </w:r>
    </w:p>
    <w:p w14:paraId="1E004E53" w14:textId="77777777"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Mix 100 kg of cow dung, 1 kg jaggery, 1 kg pulse flour, and a handful of soil. </w:t>
      </w:r>
    </w:p>
    <w:p w14:paraId="5892E4C6" w14:textId="613088E3"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Add a small amount of cow urine (just enough to bind the ingredients).</w:t>
      </w:r>
    </w:p>
    <w:p w14:paraId="165F6443" w14:textId="77777777"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Form a heap, cover with jute bags, and ferment in the shade for 3-4 days.</w:t>
      </w:r>
    </w:p>
    <w:p w14:paraId="1D6A633A" w14:textId="6A6753BE" w:rsidR="005F5931" w:rsidRPr="00BD7F39" w:rsidRDefault="005F5931">
      <w:pPr>
        <w:pStyle w:val="ListParagraph"/>
        <w:numPr>
          <w:ilvl w:val="0"/>
          <w:numId w:val="5"/>
        </w:num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Dry in the shade, grind into powder, and store. (</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59FD65E7" w14:textId="77777777" w:rsidR="005F5931" w:rsidRPr="00BD7F39" w:rsidRDefault="005F5931" w:rsidP="005F5931">
      <w:pPr>
        <w:spacing w:before="100" w:beforeAutospacing="1" w:after="100" w:afterAutospacing="1" w:line="240" w:lineRule="auto"/>
        <w:outlineLvl w:val="2"/>
        <w:rPr>
          <w:rFonts w:ascii="Arial" w:eastAsia="Times New Roman" w:hAnsi="Arial" w:cs="Arial"/>
          <w:b/>
          <w:bCs/>
          <w:kern w:val="0"/>
          <w:sz w:val="20"/>
          <w:szCs w:val="20"/>
          <w:lang w:eastAsia="en-IN" w:bidi="mr-IN"/>
          <w14:ligatures w14:val="none"/>
        </w:rPr>
      </w:pPr>
      <w:r w:rsidRPr="00BD7F39">
        <w:rPr>
          <w:rFonts w:ascii="Arial" w:eastAsia="Times New Roman" w:hAnsi="Arial" w:cs="Arial"/>
          <w:b/>
          <w:bCs/>
          <w:kern w:val="0"/>
          <w:sz w:val="20"/>
          <w:szCs w:val="20"/>
          <w:lang w:eastAsia="en-IN" w:bidi="mr-IN"/>
          <w14:ligatures w14:val="none"/>
        </w:rPr>
        <w:lastRenderedPageBreak/>
        <w:t>Application and Storage</w:t>
      </w:r>
    </w:p>
    <w:p w14:paraId="0D72CBA6" w14:textId="4405ACD9" w:rsidR="005F5931" w:rsidRPr="00BD7F39" w:rsidRDefault="005F5931" w:rsidP="005F5931">
      <w:pPr>
        <w:spacing w:before="100" w:beforeAutospacing="1" w:after="100" w:afterAutospacing="1" w:line="360" w:lineRule="auto"/>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Storage: Store the final powder in jute bags in a cool, dry, shaded place. It stays effective for 6 to 12 months. Application:  Basal Dose: Apply 200 kg per acre at the time of sowing by broadcasting it in the field. Top Dressing: Apply a handful near the base of the plants during the first or second weeding. Note: Always apply </w:t>
      </w:r>
      <w:proofErr w:type="spellStart"/>
      <w:r w:rsidRPr="00BD7F39">
        <w:rPr>
          <w:rFonts w:ascii="Arial" w:eastAsia="Times New Roman" w:hAnsi="Arial" w:cs="Arial"/>
          <w:kern w:val="0"/>
          <w:sz w:val="20"/>
          <w:szCs w:val="20"/>
          <w:lang w:eastAsia="en-IN" w:bidi="mr-IN"/>
          <w14:ligatures w14:val="none"/>
        </w:rPr>
        <w:t>Ghanjeevamrut</w:t>
      </w:r>
      <w:proofErr w:type="spellEnd"/>
      <w:r w:rsidRPr="00BD7F39">
        <w:rPr>
          <w:rFonts w:ascii="Arial" w:eastAsia="Times New Roman" w:hAnsi="Arial" w:cs="Arial"/>
          <w:kern w:val="0"/>
          <w:sz w:val="20"/>
          <w:szCs w:val="20"/>
          <w:lang w:eastAsia="en-IN" w:bidi="mr-IN"/>
          <w14:ligatures w14:val="none"/>
        </w:rPr>
        <w:t xml:space="preserve"> when there is moisture in the soil. If the soil is bone-dry, the microbes will remain dormant or perish (</w:t>
      </w:r>
      <w:proofErr w:type="spellStart"/>
      <w:r w:rsidRPr="00BD7F39">
        <w:rPr>
          <w:rFonts w:ascii="Arial" w:eastAsia="Times New Roman" w:hAnsi="Arial" w:cs="Arial"/>
          <w:kern w:val="0"/>
          <w:sz w:val="20"/>
          <w:szCs w:val="20"/>
          <w:lang w:eastAsia="en-IN" w:bidi="mr-IN"/>
          <w14:ligatures w14:val="none"/>
        </w:rPr>
        <w:t>Palekar</w:t>
      </w:r>
      <w:proofErr w:type="spellEnd"/>
      <w:r w:rsidRPr="00BD7F39">
        <w:rPr>
          <w:rFonts w:ascii="Arial" w:eastAsia="Times New Roman" w:hAnsi="Arial" w:cs="Arial"/>
          <w:kern w:val="0"/>
          <w:sz w:val="20"/>
          <w:szCs w:val="20"/>
          <w:lang w:eastAsia="en-IN" w:bidi="mr-IN"/>
          <w14:ligatures w14:val="none"/>
        </w:rPr>
        <w:t>, S. 2006).</w:t>
      </w:r>
    </w:p>
    <w:p w14:paraId="2FE8CDBA" w14:textId="1A6B7BBB" w:rsidR="00B5791E" w:rsidRPr="00BD7F39" w:rsidRDefault="00B5791E" w:rsidP="005F5931">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1</w:t>
      </w:r>
      <w:r w:rsidRPr="00BD7F39">
        <w:rPr>
          <w:rFonts w:ascii="Arial" w:hAnsi="Arial" w:cs="Arial"/>
          <w:b/>
          <w:bCs/>
          <w:sz w:val="20"/>
          <w:szCs w:val="20"/>
        </w:rPr>
        <w:t xml:space="preserve"> Earthworm Activity and Nutrient Cycling</w:t>
      </w:r>
    </w:p>
    <w:p w14:paraId="112919D6" w14:textId="0A64A48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Earthworms are recognized as ecosystem engineers due to their significant impact on soil physical, chemical, and biological properties (Edwards and Bohlen, 1996; Blouin et al., 2013). In natural farming, reduced tillage, absence of chemical pesticides, and regular application of organic bio-inputs foster favo</w:t>
      </w:r>
      <w:r w:rsidR="00AD5F2C" w:rsidRPr="00BD7F39">
        <w:rPr>
          <w:rFonts w:ascii="Arial" w:hAnsi="Arial" w:cs="Arial"/>
          <w:sz w:val="20"/>
          <w:szCs w:val="20"/>
        </w:rPr>
        <w:t>u</w:t>
      </w:r>
      <w:r w:rsidRPr="00BD7F39">
        <w:rPr>
          <w:rFonts w:ascii="Arial" w:hAnsi="Arial" w:cs="Arial"/>
          <w:sz w:val="20"/>
          <w:szCs w:val="20"/>
        </w:rPr>
        <w:t xml:space="preserve">rable conditions for earthworm proliferation (Patel et al., 2023; </w:t>
      </w:r>
      <w:proofErr w:type="spellStart"/>
      <w:r w:rsidRPr="00BD7F39">
        <w:rPr>
          <w:rFonts w:ascii="Arial" w:hAnsi="Arial" w:cs="Arial"/>
          <w:sz w:val="20"/>
          <w:szCs w:val="20"/>
        </w:rPr>
        <w:t>Sarangthem</w:t>
      </w:r>
      <w:proofErr w:type="spellEnd"/>
      <w:r w:rsidRPr="00BD7F39">
        <w:rPr>
          <w:rFonts w:ascii="Arial" w:hAnsi="Arial" w:cs="Arial"/>
          <w:sz w:val="20"/>
          <w:szCs w:val="20"/>
        </w:rPr>
        <w:t xml:space="preserve"> et al., 2023).</w:t>
      </w:r>
    </w:p>
    <w:p w14:paraId="70D0E23C" w14:textId="53BD56C3"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The integration of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and organic mulches increases earthworm abundance and biomass, resulting in improved soil aggregation, porosity, and nutrient availability (Sharma and </w:t>
      </w:r>
      <w:proofErr w:type="spellStart"/>
      <w:r w:rsidRPr="00BD7F39">
        <w:rPr>
          <w:rFonts w:ascii="Arial" w:hAnsi="Arial" w:cs="Arial"/>
          <w:sz w:val="20"/>
          <w:szCs w:val="20"/>
        </w:rPr>
        <w:t>Chadak</w:t>
      </w:r>
      <w:proofErr w:type="spellEnd"/>
      <w:r w:rsidRPr="00BD7F39">
        <w:rPr>
          <w:rFonts w:ascii="Arial" w:hAnsi="Arial" w:cs="Arial"/>
          <w:sz w:val="20"/>
          <w:szCs w:val="20"/>
        </w:rPr>
        <w:t>, 2022; Patel et al., 2023). In contrast, conventional practices involving intensive tillage and agrochemicals disrupt soil fauna and impair long-term fertility (</w:t>
      </w:r>
      <w:proofErr w:type="spellStart"/>
      <w:r w:rsidRPr="00BD7F39">
        <w:rPr>
          <w:rFonts w:ascii="Arial" w:hAnsi="Arial" w:cs="Arial"/>
          <w:sz w:val="20"/>
          <w:szCs w:val="20"/>
        </w:rPr>
        <w:t>Lal</w:t>
      </w:r>
      <w:proofErr w:type="spellEnd"/>
      <w:r w:rsidRPr="00BD7F39">
        <w:rPr>
          <w:rFonts w:ascii="Arial" w:hAnsi="Arial" w:cs="Arial"/>
          <w:sz w:val="20"/>
          <w:szCs w:val="20"/>
        </w:rPr>
        <w:t xml:space="preserve">, 2020; </w:t>
      </w:r>
      <w:proofErr w:type="spellStart"/>
      <w:r w:rsidRPr="00BD7F39">
        <w:rPr>
          <w:rFonts w:ascii="Arial" w:hAnsi="Arial" w:cs="Arial"/>
          <w:sz w:val="20"/>
          <w:szCs w:val="20"/>
        </w:rPr>
        <w:t>Rockstr</w:t>
      </w:r>
      <w:r w:rsidR="00C1043D" w:rsidRPr="00BD7F39">
        <w:rPr>
          <w:rFonts w:ascii="Arial" w:hAnsi="Arial" w:cs="Arial"/>
          <w:sz w:val="20"/>
          <w:szCs w:val="20"/>
        </w:rPr>
        <w:t>o</w:t>
      </w:r>
      <w:r w:rsidRPr="00BD7F39">
        <w:rPr>
          <w:rFonts w:ascii="Arial" w:hAnsi="Arial" w:cs="Arial"/>
          <w:sz w:val="20"/>
          <w:szCs w:val="20"/>
        </w:rPr>
        <w:t>m</w:t>
      </w:r>
      <w:proofErr w:type="spellEnd"/>
      <w:r w:rsidRPr="00BD7F39">
        <w:rPr>
          <w:rFonts w:ascii="Arial" w:hAnsi="Arial" w:cs="Arial"/>
          <w:sz w:val="20"/>
          <w:szCs w:val="20"/>
        </w:rPr>
        <w:t xml:space="preserve"> et al., 2017).</w:t>
      </w:r>
    </w:p>
    <w:p w14:paraId="1883FA2E" w14:textId="59CF2701"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Enhanced earthworm activity promotes sustained nutrient cycling by accelerating organic matter decomposition and stimulating microbial interactions, ensuring a continuous supply of plant-available nutrients (Blouin et al., 2013; </w:t>
      </w:r>
      <w:r w:rsidR="00762850" w:rsidRPr="00BD7F39">
        <w:rPr>
          <w:rFonts w:ascii="Arial" w:hAnsi="Arial" w:cs="Arial"/>
          <w:sz w:val="20"/>
          <w:szCs w:val="20"/>
        </w:rPr>
        <w:t xml:space="preserve">FAO </w:t>
      </w:r>
      <w:r w:rsidRPr="00BD7F39">
        <w:rPr>
          <w:rFonts w:ascii="Arial" w:hAnsi="Arial" w:cs="Arial"/>
          <w:sz w:val="20"/>
          <w:szCs w:val="20"/>
        </w:rPr>
        <w:t>2019).</w:t>
      </w:r>
    </w:p>
    <w:p w14:paraId="1A217D39" w14:textId="6402F99F"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2</w:t>
      </w:r>
      <w:r w:rsidRPr="00BD7F39">
        <w:rPr>
          <w:rFonts w:ascii="Arial" w:hAnsi="Arial" w:cs="Arial"/>
          <w:b/>
          <w:bCs/>
          <w:sz w:val="20"/>
          <w:szCs w:val="20"/>
        </w:rPr>
        <w:t xml:space="preserve"> Earthworm Castings as a Nutrient Source</w:t>
      </w:r>
    </w:p>
    <w:p w14:paraId="11CDA444"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Earthworm castings (</w:t>
      </w:r>
      <w:proofErr w:type="spellStart"/>
      <w:r w:rsidRPr="00BD7F39">
        <w:rPr>
          <w:rFonts w:ascii="Arial" w:hAnsi="Arial" w:cs="Arial"/>
          <w:sz w:val="20"/>
          <w:szCs w:val="20"/>
        </w:rPr>
        <w:t>vermicasts</w:t>
      </w:r>
      <w:proofErr w:type="spellEnd"/>
      <w:r w:rsidRPr="00BD7F39">
        <w:rPr>
          <w:rFonts w:ascii="Arial" w:hAnsi="Arial" w:cs="Arial"/>
          <w:sz w:val="20"/>
          <w:szCs w:val="20"/>
        </w:rPr>
        <w:t>) are among the most nutrient-rich organic amendments in natural farming. They are rich in readily available nitrogen, phosphorus, potassium, micronutrients, and plant growth regulators (Edwards et al., 2011; Patel et al., 2023).</w:t>
      </w:r>
    </w:p>
    <w:p w14:paraId="19236CCB" w14:textId="77777777" w:rsidR="00B5791E" w:rsidRPr="00BD7F39" w:rsidRDefault="00B5791E" w:rsidP="00B5791E">
      <w:pPr>
        <w:spacing w:line="360" w:lineRule="auto"/>
        <w:jc w:val="both"/>
        <w:rPr>
          <w:rFonts w:ascii="Arial" w:hAnsi="Arial" w:cs="Arial"/>
          <w:sz w:val="20"/>
          <w:szCs w:val="20"/>
        </w:rPr>
      </w:pP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contain 2000–2500 mg kg</w:t>
      </w:r>
      <w:r w:rsidRPr="00BD7F39">
        <w:rPr>
          <w:rFonts w:ascii="Cambria Math" w:hAnsi="Cambria Math" w:cs="Cambria Math"/>
          <w:sz w:val="20"/>
          <w:szCs w:val="20"/>
        </w:rPr>
        <w:t>⁻</w:t>
      </w:r>
      <w:r w:rsidRPr="00BD7F39">
        <w:rPr>
          <w:rFonts w:ascii="Arial" w:hAnsi="Arial" w:cs="Arial"/>
          <w:sz w:val="20"/>
          <w:szCs w:val="20"/>
        </w:rPr>
        <w:t>¹ nitrogen, surpassing farmyard manure (1200–1600 mg kg</w:t>
      </w:r>
      <w:r w:rsidRPr="00BD7F39">
        <w:rPr>
          <w:rFonts w:ascii="Cambria Math" w:hAnsi="Cambria Math" w:cs="Cambria Math"/>
          <w:sz w:val="20"/>
          <w:szCs w:val="20"/>
        </w:rPr>
        <w:t>⁻</w:t>
      </w:r>
      <w:r w:rsidRPr="00BD7F39">
        <w:rPr>
          <w:rFonts w:ascii="Arial" w:hAnsi="Arial" w:cs="Arial"/>
          <w:sz w:val="20"/>
          <w:szCs w:val="20"/>
        </w:rPr>
        <w:t>¹) and compost (1500–1800 mg kg</w:t>
      </w:r>
      <w:r w:rsidRPr="00BD7F39">
        <w:rPr>
          <w:rFonts w:ascii="Cambria Math" w:hAnsi="Cambria Math" w:cs="Cambria Math"/>
          <w:sz w:val="20"/>
          <w:szCs w:val="20"/>
        </w:rPr>
        <w:t>⁻</w:t>
      </w:r>
      <w:r w:rsidRPr="00BD7F39">
        <w:rPr>
          <w:rFonts w:ascii="Arial" w:hAnsi="Arial" w:cs="Arial"/>
          <w:sz w:val="20"/>
          <w:szCs w:val="20"/>
        </w:rPr>
        <w:t xml:space="preserve">¹). Phosphorus in </w:t>
      </w: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(800–1000 mg kg</w:t>
      </w:r>
      <w:r w:rsidRPr="00BD7F39">
        <w:rPr>
          <w:rFonts w:ascii="Cambria Math" w:hAnsi="Cambria Math" w:cs="Cambria Math"/>
          <w:sz w:val="20"/>
          <w:szCs w:val="20"/>
        </w:rPr>
        <w:t>⁻</w:t>
      </w:r>
      <w:r w:rsidRPr="00BD7F39">
        <w:rPr>
          <w:rFonts w:ascii="Arial" w:hAnsi="Arial" w:cs="Arial"/>
          <w:sz w:val="20"/>
          <w:szCs w:val="20"/>
        </w:rPr>
        <w:t>¹) exceeds that in manure (500–700 mg kg</w:t>
      </w:r>
      <w:r w:rsidRPr="00BD7F39">
        <w:rPr>
          <w:rFonts w:ascii="Cambria Math" w:hAnsi="Cambria Math" w:cs="Cambria Math"/>
          <w:sz w:val="20"/>
          <w:szCs w:val="20"/>
        </w:rPr>
        <w:t>⁻</w:t>
      </w:r>
      <w:r w:rsidRPr="00BD7F39">
        <w:rPr>
          <w:rFonts w:ascii="Arial" w:hAnsi="Arial" w:cs="Arial"/>
          <w:sz w:val="20"/>
          <w:szCs w:val="20"/>
        </w:rPr>
        <w:t>¹) and compost (600–900 mg kg</w:t>
      </w:r>
      <w:r w:rsidRPr="00BD7F39">
        <w:rPr>
          <w:rFonts w:ascii="Cambria Math" w:hAnsi="Cambria Math" w:cs="Cambria Math"/>
          <w:sz w:val="20"/>
          <w:szCs w:val="20"/>
        </w:rPr>
        <w:t>⁻</w:t>
      </w:r>
      <w:r w:rsidRPr="00BD7F39">
        <w:rPr>
          <w:rFonts w:ascii="Arial" w:hAnsi="Arial" w:cs="Arial"/>
          <w:sz w:val="20"/>
          <w:szCs w:val="20"/>
        </w:rPr>
        <w:t>¹). Potassium content (1200–1500 mg kg</w:t>
      </w:r>
      <w:r w:rsidRPr="00BD7F39">
        <w:rPr>
          <w:rFonts w:ascii="Cambria Math" w:hAnsi="Cambria Math" w:cs="Cambria Math"/>
          <w:sz w:val="20"/>
          <w:szCs w:val="20"/>
        </w:rPr>
        <w:t>⁻</w:t>
      </w:r>
      <w:r w:rsidRPr="00BD7F39">
        <w:rPr>
          <w:rFonts w:ascii="Arial" w:hAnsi="Arial" w:cs="Arial"/>
          <w:sz w:val="20"/>
          <w:szCs w:val="20"/>
        </w:rPr>
        <w:t xml:space="preserve">¹) is also higher than in other organic amendments (Patel et al., 2023; Sharma and </w:t>
      </w:r>
      <w:proofErr w:type="spellStart"/>
      <w:r w:rsidRPr="00BD7F39">
        <w:rPr>
          <w:rFonts w:ascii="Arial" w:hAnsi="Arial" w:cs="Arial"/>
          <w:sz w:val="20"/>
          <w:szCs w:val="20"/>
        </w:rPr>
        <w:t>Chadak</w:t>
      </w:r>
      <w:proofErr w:type="spellEnd"/>
      <w:r w:rsidRPr="00BD7F39">
        <w:rPr>
          <w:rFonts w:ascii="Arial" w:hAnsi="Arial" w:cs="Arial"/>
          <w:sz w:val="20"/>
          <w:szCs w:val="20"/>
        </w:rPr>
        <w:t>, 2022).</w:t>
      </w:r>
    </w:p>
    <w:p w14:paraId="7F116209"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Beyond nutrients, </w:t>
      </w:r>
      <w:proofErr w:type="spellStart"/>
      <w:r w:rsidRPr="00BD7F39">
        <w:rPr>
          <w:rFonts w:ascii="Arial" w:hAnsi="Arial" w:cs="Arial"/>
          <w:sz w:val="20"/>
          <w:szCs w:val="20"/>
        </w:rPr>
        <w:t>vermicasts</w:t>
      </w:r>
      <w:proofErr w:type="spellEnd"/>
      <w:r w:rsidRPr="00BD7F39">
        <w:rPr>
          <w:rFonts w:ascii="Arial" w:hAnsi="Arial" w:cs="Arial"/>
          <w:sz w:val="20"/>
          <w:szCs w:val="20"/>
        </w:rPr>
        <w:t xml:space="preserve"> enhance microbial diversity, cation exchange capacity, and soil aggregate stability, improving nutrient retention and reducing leaching (Blouin et al., 2013; Lal, 2020).</w:t>
      </w:r>
    </w:p>
    <w:p w14:paraId="58EAFF9C" w14:textId="6B9699DA"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3</w:t>
      </w:r>
      <w:r w:rsidRPr="00BD7F39">
        <w:rPr>
          <w:rFonts w:ascii="Arial" w:hAnsi="Arial" w:cs="Arial"/>
          <w:b/>
          <w:bCs/>
          <w:sz w:val="20"/>
          <w:szCs w:val="20"/>
        </w:rPr>
        <w:t xml:space="preserve"> Synergy of Earthworms and Bio-inputs</w:t>
      </w:r>
    </w:p>
    <w:p w14:paraId="4A5CE5C1"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 xml:space="preserve">The synergy between earthworms and bio-inputs like </w:t>
      </w:r>
      <w:proofErr w:type="spellStart"/>
      <w:r w:rsidRPr="00BD7F39">
        <w:rPr>
          <w:rFonts w:ascii="Arial" w:hAnsi="Arial" w:cs="Arial"/>
          <w:sz w:val="20"/>
          <w:szCs w:val="20"/>
        </w:rPr>
        <w:t>Jeevamrit</w:t>
      </w:r>
      <w:proofErr w:type="spellEnd"/>
      <w:r w:rsidRPr="00BD7F39">
        <w:rPr>
          <w:rFonts w:ascii="Arial" w:hAnsi="Arial" w:cs="Arial"/>
          <w:sz w:val="20"/>
          <w:szCs w:val="20"/>
        </w:rPr>
        <w:t xml:space="preserve"> and </w:t>
      </w:r>
      <w:proofErr w:type="spellStart"/>
      <w:r w:rsidRPr="00BD7F39">
        <w:rPr>
          <w:rFonts w:ascii="Arial" w:hAnsi="Arial" w:cs="Arial"/>
          <w:sz w:val="20"/>
          <w:szCs w:val="20"/>
        </w:rPr>
        <w:t>Ghanjeevamrit</w:t>
      </w:r>
      <w:proofErr w:type="spellEnd"/>
      <w:r w:rsidRPr="00BD7F39">
        <w:rPr>
          <w:rFonts w:ascii="Arial" w:hAnsi="Arial" w:cs="Arial"/>
          <w:sz w:val="20"/>
          <w:szCs w:val="20"/>
        </w:rPr>
        <w:t xml:space="preserve"> generates multiple agronomic and ecological benefits. Earthworm activity boosts microbial biomass and enzyme activity, accelerating nutrient mineralization and synchronizing nutrient supply with crop demand (Sharma and </w:t>
      </w:r>
      <w:proofErr w:type="spellStart"/>
      <w:r w:rsidRPr="00BD7F39">
        <w:rPr>
          <w:rFonts w:ascii="Arial" w:hAnsi="Arial" w:cs="Arial"/>
          <w:sz w:val="20"/>
          <w:szCs w:val="20"/>
        </w:rPr>
        <w:t>Chadak</w:t>
      </w:r>
      <w:proofErr w:type="spellEnd"/>
      <w:r w:rsidRPr="00BD7F39">
        <w:rPr>
          <w:rFonts w:ascii="Arial" w:hAnsi="Arial" w:cs="Arial"/>
          <w:sz w:val="20"/>
          <w:szCs w:val="20"/>
        </w:rPr>
        <w:t>, 2022; Singh et al., 2019).</w:t>
      </w:r>
    </w:p>
    <w:p w14:paraId="59010FA1" w14:textId="0218101F"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lastRenderedPageBreak/>
        <w:t>Studies show earthworm-rich soils under natural farming support 15–25% higher crop yields due to improved nutrient cycling, soil structure, and water-use efficiency (Patel et al., 2023; Pretty et al., 2018). By reducing synthetic fertilizer reliance, natural farming lowers costs, minimizes pollution, and improves long-term soil resilience (</w:t>
      </w:r>
      <w:r w:rsidR="00762850" w:rsidRPr="00BD7F39">
        <w:rPr>
          <w:rFonts w:ascii="Arial" w:hAnsi="Arial" w:cs="Arial"/>
          <w:sz w:val="20"/>
          <w:szCs w:val="20"/>
        </w:rPr>
        <w:t>FAO</w:t>
      </w:r>
      <w:r w:rsidRPr="00BD7F39">
        <w:rPr>
          <w:rFonts w:ascii="Arial" w:hAnsi="Arial" w:cs="Arial"/>
          <w:sz w:val="20"/>
          <w:szCs w:val="20"/>
        </w:rPr>
        <w:t>, 2019; IPCC, 2022)</w:t>
      </w:r>
    </w:p>
    <w:p w14:paraId="4F21A5F9" w14:textId="7F8EA6AB" w:rsidR="00B5791E" w:rsidRPr="00BD7F39" w:rsidRDefault="00B5791E" w:rsidP="00B5791E">
      <w:pPr>
        <w:spacing w:line="360" w:lineRule="auto"/>
        <w:jc w:val="both"/>
        <w:rPr>
          <w:rFonts w:ascii="Arial" w:hAnsi="Arial" w:cs="Arial"/>
          <w:sz w:val="20"/>
          <w:szCs w:val="20"/>
        </w:rPr>
      </w:pPr>
      <w:r w:rsidRPr="00BD7F39">
        <w:rPr>
          <w:rFonts w:ascii="Arial" w:hAnsi="Arial" w:cs="Arial"/>
          <w:noProof/>
          <w:sz w:val="20"/>
          <w:szCs w:val="20"/>
          <w:lang w:val="en-US"/>
        </w:rPr>
        <w:drawing>
          <wp:inline distT="0" distB="0" distL="0" distR="0" wp14:anchorId="1E9CE483" wp14:editId="4136DB15">
            <wp:extent cx="5730240" cy="4525896"/>
            <wp:effectExtent l="19050" t="19050" r="22860" b="27305"/>
            <wp:docPr id="2138451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9870" cy="4557197"/>
                    </a:xfrm>
                    <a:prstGeom prst="rect">
                      <a:avLst/>
                    </a:prstGeom>
                    <a:noFill/>
                    <a:ln>
                      <a:solidFill>
                        <a:schemeClr val="tx1"/>
                      </a:solidFill>
                    </a:ln>
                  </pic:spPr>
                </pic:pic>
              </a:graphicData>
            </a:graphic>
          </wp:inline>
        </w:drawing>
      </w:r>
    </w:p>
    <w:p w14:paraId="37DB0792" w14:textId="4E6FC6BF" w:rsidR="000837CA" w:rsidRDefault="006C46DA" w:rsidP="00B5791E">
      <w:pPr>
        <w:spacing w:line="360" w:lineRule="auto"/>
        <w:jc w:val="both"/>
        <w:rPr>
          <w:rFonts w:ascii="Arial" w:hAnsi="Arial" w:cs="Arial"/>
          <w:b/>
          <w:bCs/>
          <w:sz w:val="20"/>
          <w:szCs w:val="20"/>
        </w:rPr>
      </w:pPr>
      <w:r>
        <w:rPr>
          <w:rFonts w:ascii="Arial" w:hAnsi="Arial" w:cs="Arial"/>
          <w:b/>
          <w:bCs/>
          <w:sz w:val="20"/>
          <w:szCs w:val="20"/>
        </w:rPr>
        <w:t xml:space="preserve">              </w:t>
      </w:r>
      <w:r w:rsidR="00B5791E" w:rsidRPr="00BD7F39">
        <w:rPr>
          <w:rFonts w:ascii="Arial" w:hAnsi="Arial" w:cs="Arial"/>
          <w:b/>
          <w:bCs/>
          <w:sz w:val="20"/>
          <w:szCs w:val="20"/>
        </w:rPr>
        <w:t>Fig. 4. Earthworm</w:t>
      </w:r>
      <w:r w:rsidR="00B5791E" w:rsidRPr="00BD7F39">
        <w:rPr>
          <w:rFonts w:ascii="Arial" w:hAnsi="Arial" w:cs="Arial"/>
          <w:b/>
          <w:bCs/>
          <w:sz w:val="20"/>
          <w:szCs w:val="20"/>
        </w:rPr>
        <w:noBreakHyphen/>
        <w:t xml:space="preserve">mediated nutrient recycling in natural farming. </w:t>
      </w:r>
    </w:p>
    <w:p w14:paraId="4EA7344F" w14:textId="47A8F565"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Crop residues and mulch are ingested by earthworms, fragmented, and biologically processed, stimulating N</w:t>
      </w:r>
      <w:r w:rsidRPr="00BD7F39">
        <w:rPr>
          <w:rFonts w:ascii="Arial" w:hAnsi="Arial" w:cs="Arial"/>
          <w:sz w:val="20"/>
          <w:szCs w:val="20"/>
        </w:rPr>
        <w:noBreakHyphen/>
        <w:t>fixers and phosphorus</w:t>
      </w:r>
      <w:r w:rsidRPr="00BD7F39">
        <w:rPr>
          <w:rFonts w:ascii="Arial" w:hAnsi="Arial" w:cs="Arial"/>
          <w:sz w:val="20"/>
          <w:szCs w:val="20"/>
        </w:rPr>
        <w:noBreakHyphen/>
        <w:t>solubilizing bacteria, which results in nutrient</w:t>
      </w:r>
      <w:r w:rsidRPr="00BD7F39">
        <w:rPr>
          <w:rFonts w:ascii="Arial" w:hAnsi="Arial" w:cs="Arial"/>
          <w:sz w:val="20"/>
          <w:szCs w:val="20"/>
        </w:rPr>
        <w:noBreakHyphen/>
        <w:t>rich casts and improved soil structure and porosity.</w:t>
      </w:r>
    </w:p>
    <w:p w14:paraId="7E46AFB3" w14:textId="0F1AB3E5" w:rsidR="00B5791E" w:rsidRPr="00BD7F39" w:rsidRDefault="00B5791E" w:rsidP="00B5791E">
      <w:pPr>
        <w:spacing w:line="360" w:lineRule="auto"/>
        <w:jc w:val="both"/>
        <w:rPr>
          <w:rFonts w:ascii="Arial" w:hAnsi="Arial" w:cs="Arial"/>
          <w:b/>
          <w:bCs/>
          <w:sz w:val="20"/>
          <w:szCs w:val="20"/>
        </w:rPr>
      </w:pPr>
      <w:r w:rsidRPr="00BD7F39">
        <w:rPr>
          <w:rFonts w:ascii="Arial" w:hAnsi="Arial" w:cs="Arial"/>
          <w:b/>
          <w:bCs/>
          <w:sz w:val="20"/>
          <w:szCs w:val="20"/>
        </w:rPr>
        <w:t>2.1.</w:t>
      </w:r>
      <w:r w:rsidR="00D13ACF">
        <w:rPr>
          <w:rFonts w:ascii="Arial" w:hAnsi="Arial" w:cs="Arial"/>
          <w:b/>
          <w:bCs/>
          <w:sz w:val="20"/>
          <w:szCs w:val="20"/>
        </w:rPr>
        <w:t>4</w:t>
      </w:r>
      <w:r w:rsidRPr="00BD7F39">
        <w:rPr>
          <w:rFonts w:ascii="Arial" w:hAnsi="Arial" w:cs="Arial"/>
          <w:b/>
          <w:bCs/>
          <w:sz w:val="20"/>
          <w:szCs w:val="20"/>
        </w:rPr>
        <w:t xml:space="preserve"> Principles of Soil Health Management</w:t>
      </w:r>
    </w:p>
    <w:p w14:paraId="78CF5D76" w14:textId="77777777"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Natural farming is guided by five core principles:</w:t>
      </w:r>
    </w:p>
    <w:p w14:paraId="46416663"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Soil shielding through mulching and residue retention to prevent erosion and buffer temperature extremes.</w:t>
      </w:r>
    </w:p>
    <w:p w14:paraId="5601BACE"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Minimal soil disturbance to preserve soil structure and microbial habitats.</w:t>
      </w:r>
    </w:p>
    <w:p w14:paraId="1B685EAF"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Crop diversity and multiple cropping systems to enhance nutrient cycling and pest suppression.</w:t>
      </w:r>
    </w:p>
    <w:p w14:paraId="0E051DFE"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lastRenderedPageBreak/>
        <w:t>Continual presence of living roots to sustain rhizosphere microbial activity.</w:t>
      </w:r>
    </w:p>
    <w:p w14:paraId="755C5883" w14:textId="77777777" w:rsidR="00B5791E" w:rsidRPr="00BD7F39" w:rsidRDefault="00B5791E">
      <w:pPr>
        <w:numPr>
          <w:ilvl w:val="0"/>
          <w:numId w:val="2"/>
        </w:numPr>
        <w:spacing w:line="360" w:lineRule="auto"/>
        <w:jc w:val="both"/>
        <w:rPr>
          <w:rFonts w:ascii="Arial" w:hAnsi="Arial" w:cs="Arial"/>
          <w:sz w:val="20"/>
          <w:szCs w:val="20"/>
        </w:rPr>
      </w:pPr>
      <w:r w:rsidRPr="00BD7F39">
        <w:rPr>
          <w:rFonts w:ascii="Arial" w:hAnsi="Arial" w:cs="Arial"/>
          <w:sz w:val="20"/>
          <w:szCs w:val="20"/>
        </w:rPr>
        <w:t>Integration of livestock for on-farm nutrient recycling and resource efficiency.</w:t>
      </w:r>
    </w:p>
    <w:p w14:paraId="72BC7F1D" w14:textId="43E28F7F" w:rsidR="00B5791E" w:rsidRPr="00BD7F39" w:rsidRDefault="00B5791E" w:rsidP="00B5791E">
      <w:pPr>
        <w:spacing w:line="360" w:lineRule="auto"/>
        <w:jc w:val="both"/>
        <w:rPr>
          <w:rFonts w:ascii="Arial" w:hAnsi="Arial" w:cs="Arial"/>
          <w:sz w:val="20"/>
          <w:szCs w:val="20"/>
        </w:rPr>
      </w:pPr>
      <w:r w:rsidRPr="00BD7F39">
        <w:rPr>
          <w:rFonts w:ascii="Arial" w:hAnsi="Arial" w:cs="Arial"/>
          <w:sz w:val="20"/>
          <w:szCs w:val="20"/>
        </w:rPr>
        <w:t>These principles align with global soil health frameworks and conservation agriculture models (</w:t>
      </w:r>
      <w:r w:rsidR="00762850" w:rsidRPr="00BD7F39">
        <w:rPr>
          <w:rFonts w:ascii="Arial" w:hAnsi="Arial" w:cs="Arial"/>
          <w:sz w:val="20"/>
          <w:szCs w:val="20"/>
        </w:rPr>
        <w:t>FAO</w:t>
      </w:r>
      <w:r w:rsidRPr="00BD7F39">
        <w:rPr>
          <w:rFonts w:ascii="Arial" w:hAnsi="Arial" w:cs="Arial"/>
          <w:sz w:val="20"/>
          <w:szCs w:val="20"/>
        </w:rPr>
        <w:t>, 2019; Kassam et al., 2019; Lal, 2020).</w:t>
      </w:r>
    </w:p>
    <w:p w14:paraId="1EF1D348" w14:textId="22FF17C9" w:rsidR="00A762DA" w:rsidRPr="00BD7F39" w:rsidRDefault="00B5791E" w:rsidP="00E730BB">
      <w:pPr>
        <w:spacing w:after="0" w:line="360" w:lineRule="auto"/>
        <w:jc w:val="both"/>
        <w:rPr>
          <w:rFonts w:ascii="Arial" w:hAnsi="Arial" w:cs="Arial"/>
          <w:b/>
          <w:bCs/>
          <w:sz w:val="20"/>
          <w:szCs w:val="20"/>
        </w:rPr>
      </w:pPr>
      <w:r w:rsidRPr="00BD7F39">
        <w:rPr>
          <w:rFonts w:ascii="Arial" w:hAnsi="Arial" w:cs="Arial"/>
          <w:b/>
          <w:bCs/>
          <w:sz w:val="20"/>
          <w:szCs w:val="20"/>
        </w:rPr>
        <w:t>2.1.7 Nutrient Composition of Key Bio-inputs</w:t>
      </w:r>
    </w:p>
    <w:tbl>
      <w:tblPr>
        <w:tblStyle w:val="TableGrid"/>
        <w:tblW w:w="5000" w:type="pct"/>
        <w:tblLook w:val="04A0" w:firstRow="1" w:lastRow="0" w:firstColumn="1" w:lastColumn="0" w:noHBand="0" w:noVBand="1"/>
      </w:tblPr>
      <w:tblGrid>
        <w:gridCol w:w="3031"/>
        <w:gridCol w:w="2071"/>
        <w:gridCol w:w="2070"/>
        <w:gridCol w:w="2070"/>
      </w:tblGrid>
      <w:tr w:rsidR="00B5791E" w:rsidRPr="00BD7F39" w14:paraId="29F2A24B" w14:textId="77777777" w:rsidTr="00E730BB">
        <w:tc>
          <w:tcPr>
            <w:tcW w:w="1616" w:type="pct"/>
            <w:hideMark/>
          </w:tcPr>
          <w:p w14:paraId="0EF5C52A" w14:textId="77777777" w:rsidR="00B5791E" w:rsidRPr="00BD7F39" w:rsidRDefault="00B5791E" w:rsidP="00F001B6">
            <w:pPr>
              <w:jc w:val="center"/>
              <w:rPr>
                <w:rFonts w:ascii="Arial" w:hAnsi="Arial" w:cs="Arial"/>
                <w:b/>
                <w:bCs/>
                <w:sz w:val="20"/>
                <w:szCs w:val="20"/>
              </w:rPr>
            </w:pPr>
            <w:r w:rsidRPr="00BD7F39">
              <w:rPr>
                <w:rFonts w:ascii="Arial" w:hAnsi="Arial" w:cs="Arial"/>
                <w:b/>
                <w:bCs/>
                <w:sz w:val="20"/>
                <w:szCs w:val="20"/>
              </w:rPr>
              <w:t>Bio-input</w:t>
            </w:r>
          </w:p>
        </w:tc>
        <w:tc>
          <w:tcPr>
            <w:tcW w:w="1105" w:type="pct"/>
            <w:hideMark/>
          </w:tcPr>
          <w:p w14:paraId="059986D2"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N (%)</w:t>
            </w:r>
          </w:p>
        </w:tc>
        <w:tc>
          <w:tcPr>
            <w:tcW w:w="1105" w:type="pct"/>
            <w:hideMark/>
          </w:tcPr>
          <w:p w14:paraId="6DD5E05B"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P (%)</w:t>
            </w:r>
          </w:p>
        </w:tc>
        <w:tc>
          <w:tcPr>
            <w:tcW w:w="1105" w:type="pct"/>
            <w:hideMark/>
          </w:tcPr>
          <w:p w14:paraId="410CFA7F" w14:textId="77777777" w:rsidR="00B5791E" w:rsidRPr="00BD7F39" w:rsidRDefault="00B5791E" w:rsidP="00A762DA">
            <w:pPr>
              <w:jc w:val="center"/>
              <w:rPr>
                <w:rFonts w:ascii="Arial" w:hAnsi="Arial" w:cs="Arial"/>
                <w:b/>
                <w:bCs/>
                <w:sz w:val="20"/>
                <w:szCs w:val="20"/>
              </w:rPr>
            </w:pPr>
            <w:r w:rsidRPr="00BD7F39">
              <w:rPr>
                <w:rFonts w:ascii="Arial" w:hAnsi="Arial" w:cs="Arial"/>
                <w:b/>
                <w:bCs/>
                <w:sz w:val="20"/>
                <w:szCs w:val="20"/>
              </w:rPr>
              <w:t>K (%)</w:t>
            </w:r>
          </w:p>
        </w:tc>
      </w:tr>
      <w:tr w:rsidR="00B5791E" w:rsidRPr="00BD7F39" w14:paraId="7EDE7D87" w14:textId="77777777" w:rsidTr="00E730BB">
        <w:tc>
          <w:tcPr>
            <w:tcW w:w="1616" w:type="pct"/>
            <w:hideMark/>
          </w:tcPr>
          <w:p w14:paraId="5C48EE03"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Beejamrit</w:t>
            </w:r>
            <w:proofErr w:type="spellEnd"/>
          </w:p>
        </w:tc>
        <w:tc>
          <w:tcPr>
            <w:tcW w:w="1105" w:type="pct"/>
            <w:hideMark/>
          </w:tcPr>
          <w:p w14:paraId="74DFCFF7"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0.72–2.38</w:t>
            </w:r>
          </w:p>
        </w:tc>
        <w:tc>
          <w:tcPr>
            <w:tcW w:w="1105" w:type="pct"/>
            <w:hideMark/>
          </w:tcPr>
          <w:p w14:paraId="493A1FA1"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0.12–0.14</w:t>
            </w:r>
          </w:p>
        </w:tc>
        <w:tc>
          <w:tcPr>
            <w:tcW w:w="1105" w:type="pct"/>
            <w:hideMark/>
          </w:tcPr>
          <w:p w14:paraId="55DC48B7"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0.23–0.49</w:t>
            </w:r>
          </w:p>
        </w:tc>
      </w:tr>
      <w:tr w:rsidR="00B5791E" w:rsidRPr="00BD7F39" w14:paraId="646BAD34" w14:textId="77777777" w:rsidTr="00E730BB">
        <w:tc>
          <w:tcPr>
            <w:tcW w:w="1616" w:type="pct"/>
            <w:hideMark/>
          </w:tcPr>
          <w:p w14:paraId="38829735"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Jeevamrit</w:t>
            </w:r>
            <w:proofErr w:type="spellEnd"/>
          </w:p>
        </w:tc>
        <w:tc>
          <w:tcPr>
            <w:tcW w:w="1105" w:type="pct"/>
            <w:hideMark/>
          </w:tcPr>
          <w:p w14:paraId="04EFAD24"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0.25–1.40</w:t>
            </w:r>
          </w:p>
        </w:tc>
        <w:tc>
          <w:tcPr>
            <w:tcW w:w="1105" w:type="pct"/>
            <w:hideMark/>
          </w:tcPr>
          <w:p w14:paraId="79D1EC3B"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0.13–0.42</w:t>
            </w:r>
          </w:p>
        </w:tc>
        <w:tc>
          <w:tcPr>
            <w:tcW w:w="1105" w:type="pct"/>
            <w:hideMark/>
          </w:tcPr>
          <w:p w14:paraId="05608F72"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0.26–0.31</w:t>
            </w:r>
          </w:p>
        </w:tc>
      </w:tr>
      <w:tr w:rsidR="00B5791E" w:rsidRPr="00BD7F39" w14:paraId="1DC11D7F" w14:textId="77777777" w:rsidTr="00E730BB">
        <w:tc>
          <w:tcPr>
            <w:tcW w:w="1616" w:type="pct"/>
            <w:hideMark/>
          </w:tcPr>
          <w:p w14:paraId="11E084DA" w14:textId="77777777" w:rsidR="00B5791E" w:rsidRPr="00BD7F39" w:rsidRDefault="00B5791E" w:rsidP="00F001B6">
            <w:pPr>
              <w:jc w:val="center"/>
              <w:rPr>
                <w:rFonts w:ascii="Arial" w:hAnsi="Arial" w:cs="Arial"/>
                <w:sz w:val="20"/>
                <w:szCs w:val="20"/>
              </w:rPr>
            </w:pPr>
            <w:proofErr w:type="spellStart"/>
            <w:r w:rsidRPr="00BD7F39">
              <w:rPr>
                <w:rFonts w:ascii="Arial" w:hAnsi="Arial" w:cs="Arial"/>
                <w:sz w:val="20"/>
                <w:szCs w:val="20"/>
              </w:rPr>
              <w:t>Ghanjeevamrit</w:t>
            </w:r>
            <w:proofErr w:type="spellEnd"/>
          </w:p>
        </w:tc>
        <w:tc>
          <w:tcPr>
            <w:tcW w:w="1105" w:type="pct"/>
            <w:hideMark/>
          </w:tcPr>
          <w:p w14:paraId="6D555451"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1.05–1.80</w:t>
            </w:r>
          </w:p>
        </w:tc>
        <w:tc>
          <w:tcPr>
            <w:tcW w:w="1105" w:type="pct"/>
            <w:hideMark/>
          </w:tcPr>
          <w:p w14:paraId="7D909F4F"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0.16–0.30</w:t>
            </w:r>
          </w:p>
        </w:tc>
        <w:tc>
          <w:tcPr>
            <w:tcW w:w="1105" w:type="pct"/>
            <w:hideMark/>
          </w:tcPr>
          <w:p w14:paraId="303C8B84" w14:textId="77777777" w:rsidR="00B5791E" w:rsidRPr="00BD7F39" w:rsidRDefault="00B5791E" w:rsidP="00A762DA">
            <w:pPr>
              <w:jc w:val="center"/>
              <w:rPr>
                <w:rFonts w:ascii="Arial" w:hAnsi="Arial" w:cs="Arial"/>
                <w:sz w:val="20"/>
                <w:szCs w:val="20"/>
              </w:rPr>
            </w:pPr>
            <w:r w:rsidRPr="00BD7F39">
              <w:rPr>
                <w:rFonts w:ascii="Arial" w:hAnsi="Arial" w:cs="Arial"/>
                <w:sz w:val="20"/>
                <w:szCs w:val="20"/>
              </w:rPr>
              <w:t>0.68–0.85</w:t>
            </w:r>
          </w:p>
        </w:tc>
      </w:tr>
    </w:tbl>
    <w:p w14:paraId="40466EC9" w14:textId="4735D8C9" w:rsidR="00C07A71" w:rsidRPr="00C07A71" w:rsidRDefault="00AF5E89" w:rsidP="00C07A71">
      <w:pPr>
        <w:spacing w:after="0" w:line="360" w:lineRule="auto"/>
        <w:jc w:val="both"/>
        <w:rPr>
          <w:rFonts w:ascii="Arial" w:hAnsi="Arial" w:cs="Arial"/>
          <w:b/>
          <w:bCs/>
          <w:sz w:val="20"/>
          <w:szCs w:val="20"/>
        </w:rPr>
      </w:pPr>
      <w:r w:rsidRPr="00C07A71">
        <w:rPr>
          <w:rFonts w:ascii="Arial" w:hAnsi="Arial" w:cs="Arial"/>
          <w:b/>
          <w:bCs/>
          <w:sz w:val="20"/>
          <w:szCs w:val="20"/>
        </w:rPr>
        <w:t>Table 3.</w:t>
      </w:r>
      <w:r w:rsidR="00C07A71" w:rsidRPr="00C07A71">
        <w:rPr>
          <w:rFonts w:ascii="Arial" w:hAnsi="Arial" w:cs="Arial"/>
          <w:b/>
          <w:bCs/>
          <w:sz w:val="20"/>
          <w:szCs w:val="20"/>
        </w:rPr>
        <w:t xml:space="preserve"> Bio-inputs and </w:t>
      </w:r>
      <w:r w:rsidR="00641967">
        <w:rPr>
          <w:rFonts w:ascii="Arial" w:hAnsi="Arial" w:cs="Arial"/>
          <w:b/>
          <w:bCs/>
          <w:sz w:val="20"/>
          <w:szCs w:val="20"/>
        </w:rPr>
        <w:t>their</w:t>
      </w:r>
      <w:r w:rsidR="00C07A71" w:rsidRPr="00C07A71">
        <w:rPr>
          <w:rFonts w:ascii="Arial" w:hAnsi="Arial" w:cs="Arial"/>
          <w:b/>
          <w:bCs/>
          <w:sz w:val="20"/>
          <w:szCs w:val="20"/>
        </w:rPr>
        <w:t xml:space="preserve"> Nutrient Composition </w:t>
      </w:r>
    </w:p>
    <w:p w14:paraId="7016A2A5" w14:textId="6914E8A3" w:rsidR="00AF5E89" w:rsidRDefault="00AF5E89" w:rsidP="000F0552">
      <w:pPr>
        <w:spacing w:line="360" w:lineRule="auto"/>
        <w:jc w:val="both"/>
        <w:rPr>
          <w:rFonts w:ascii="Arial" w:hAnsi="Arial" w:cs="Arial"/>
          <w:sz w:val="20"/>
          <w:szCs w:val="20"/>
        </w:rPr>
      </w:pPr>
    </w:p>
    <w:p w14:paraId="2B46F545" w14:textId="33160DA8" w:rsidR="00B5791E" w:rsidRPr="00BD7F39" w:rsidRDefault="00B5791E" w:rsidP="000F0552">
      <w:pPr>
        <w:spacing w:line="360" w:lineRule="auto"/>
        <w:jc w:val="both"/>
        <w:rPr>
          <w:rFonts w:ascii="Arial" w:hAnsi="Arial" w:cs="Arial"/>
          <w:sz w:val="20"/>
          <w:szCs w:val="20"/>
        </w:rPr>
      </w:pPr>
      <w:r w:rsidRPr="00BD7F39">
        <w:rPr>
          <w:rFonts w:ascii="Arial" w:hAnsi="Arial" w:cs="Arial"/>
          <w:sz w:val="20"/>
          <w:szCs w:val="20"/>
        </w:rPr>
        <w:t>These formulations are not direct fertilizer substitutes, but their agronomic value lies in stimulating microbial processes that mobilize native soil nutrients rather than supplying nutrients directly (</w:t>
      </w:r>
      <w:proofErr w:type="spellStart"/>
      <w:r w:rsidRPr="00BD7F39">
        <w:rPr>
          <w:rFonts w:ascii="Arial" w:hAnsi="Arial" w:cs="Arial"/>
          <w:sz w:val="20"/>
          <w:szCs w:val="20"/>
        </w:rPr>
        <w:t>Palekar</w:t>
      </w:r>
      <w:proofErr w:type="spellEnd"/>
      <w:r w:rsidRPr="00BD7F39">
        <w:rPr>
          <w:rFonts w:ascii="Arial" w:hAnsi="Arial" w:cs="Arial"/>
          <w:sz w:val="20"/>
          <w:szCs w:val="20"/>
        </w:rPr>
        <w:t xml:space="preserve">, 2016; </w:t>
      </w:r>
      <w:proofErr w:type="spellStart"/>
      <w:r w:rsidRPr="00BD7F39">
        <w:rPr>
          <w:rFonts w:ascii="Arial" w:hAnsi="Arial" w:cs="Arial"/>
          <w:sz w:val="20"/>
          <w:szCs w:val="20"/>
        </w:rPr>
        <w:t>Ladha</w:t>
      </w:r>
      <w:proofErr w:type="spellEnd"/>
      <w:r w:rsidRPr="00BD7F39">
        <w:rPr>
          <w:rFonts w:ascii="Arial" w:hAnsi="Arial" w:cs="Arial"/>
          <w:sz w:val="20"/>
          <w:szCs w:val="20"/>
        </w:rPr>
        <w:t xml:space="preserve"> et al., 2020; Choudhary et al., 2022).</w:t>
      </w:r>
    </w:p>
    <w:p w14:paraId="4AB857CA" w14:textId="13897EF1" w:rsidR="00385172" w:rsidRPr="00BD7F39" w:rsidRDefault="002E554E" w:rsidP="00385172">
      <w:pPr>
        <w:spacing w:line="360" w:lineRule="auto"/>
        <w:jc w:val="both"/>
        <w:rPr>
          <w:rFonts w:ascii="Arial" w:hAnsi="Arial" w:cs="Arial"/>
          <w:b/>
          <w:bCs/>
        </w:rPr>
      </w:pPr>
      <w:r w:rsidRPr="00BD7F39">
        <w:rPr>
          <w:rFonts w:ascii="Arial" w:hAnsi="Arial" w:cs="Arial"/>
          <w:b/>
          <w:bCs/>
        </w:rPr>
        <w:t>2. 2</w:t>
      </w:r>
      <w:r w:rsidR="008579D1" w:rsidRPr="00BD7F39">
        <w:rPr>
          <w:rFonts w:ascii="Arial" w:hAnsi="Arial" w:cs="Arial"/>
          <w:b/>
          <w:bCs/>
        </w:rPr>
        <w:t>.</w:t>
      </w:r>
      <w:r w:rsidRPr="00BD7F39">
        <w:rPr>
          <w:rFonts w:ascii="Arial" w:hAnsi="Arial" w:cs="Arial"/>
          <w:b/>
          <w:bCs/>
        </w:rPr>
        <w:t xml:space="preserve"> </w:t>
      </w:r>
      <w:r w:rsidR="00385172" w:rsidRPr="00BD7F39">
        <w:rPr>
          <w:rFonts w:ascii="Arial" w:hAnsi="Arial" w:cs="Arial"/>
          <w:b/>
          <w:bCs/>
        </w:rPr>
        <w:t>Weed Management in Natural Farming</w:t>
      </w:r>
    </w:p>
    <w:p w14:paraId="1D0CCDB5" w14:textId="239A2A9B" w:rsidR="00385172" w:rsidRPr="00BD7F39" w:rsidRDefault="00385172" w:rsidP="00385172">
      <w:pPr>
        <w:spacing w:line="360" w:lineRule="auto"/>
        <w:jc w:val="both"/>
        <w:rPr>
          <w:rFonts w:ascii="Arial" w:hAnsi="Arial" w:cs="Arial"/>
          <w:sz w:val="20"/>
          <w:szCs w:val="20"/>
        </w:rPr>
      </w:pPr>
      <w:r w:rsidRPr="00BD7F39">
        <w:rPr>
          <w:rFonts w:ascii="Arial" w:hAnsi="Arial" w:cs="Arial"/>
          <w:sz w:val="20"/>
          <w:szCs w:val="20"/>
        </w:rPr>
        <w:t>Weed management in natural farming relies on ecological regulation rather than chemical herbicides. Mulching suppresses weed emergence by blocking light and conserving moisture, while crop rotation and intercropping disrupt weed life cycles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et al., 2023; Krishnan, 2023). Cover crops, especially allelopathic species like mustard and sorghum, release biochemicals that inhibit weed germination and enrich soil organic matter (Lal, 2020;</w:t>
      </w:r>
      <w:r w:rsidR="00762850" w:rsidRPr="00BD7F39">
        <w:rPr>
          <w:rFonts w:ascii="Arial" w:hAnsi="Arial" w:cs="Arial"/>
          <w:sz w:val="20"/>
          <w:szCs w:val="20"/>
        </w:rPr>
        <w:t xml:space="preserve"> FAO</w:t>
      </w:r>
      <w:r w:rsidRPr="00BD7F39">
        <w:rPr>
          <w:rFonts w:ascii="Arial" w:hAnsi="Arial" w:cs="Arial"/>
          <w:sz w:val="20"/>
          <w:szCs w:val="20"/>
        </w:rPr>
        <w:t>, 2019).</w:t>
      </w:r>
    </w:p>
    <w:p w14:paraId="0F3C4CC2" w14:textId="4F3C6838" w:rsidR="00385172" w:rsidRPr="00BD7F39" w:rsidRDefault="00385172" w:rsidP="00385172">
      <w:pPr>
        <w:spacing w:line="360" w:lineRule="auto"/>
        <w:jc w:val="both"/>
        <w:rPr>
          <w:rFonts w:ascii="Arial" w:hAnsi="Arial" w:cs="Arial"/>
          <w:b/>
          <w:bCs/>
          <w:sz w:val="20"/>
          <w:szCs w:val="20"/>
        </w:rPr>
      </w:pPr>
      <w:r w:rsidRPr="00BD7F39">
        <w:rPr>
          <w:rFonts w:ascii="Arial" w:hAnsi="Arial" w:cs="Arial"/>
          <w:b/>
          <w:bCs/>
          <w:sz w:val="20"/>
          <w:szCs w:val="20"/>
        </w:rPr>
        <w:t>Living Mulch and Brown Manuring</w:t>
      </w:r>
    </w:p>
    <w:p w14:paraId="17596434" w14:textId="5B771C0F" w:rsidR="00385172" w:rsidRPr="00BD7F39" w:rsidRDefault="000837CA">
      <w:pPr>
        <w:numPr>
          <w:ilvl w:val="0"/>
          <w:numId w:val="1"/>
        </w:numPr>
        <w:spacing w:line="360" w:lineRule="auto"/>
        <w:jc w:val="both"/>
        <w:rPr>
          <w:rFonts w:ascii="Arial" w:hAnsi="Arial" w:cs="Arial"/>
          <w:sz w:val="20"/>
          <w:szCs w:val="20"/>
        </w:rPr>
      </w:pPr>
      <w:r w:rsidRPr="00BD7F39">
        <w:rPr>
          <w:rFonts w:ascii="Arial" w:hAnsi="Arial" w:cs="Arial"/>
          <w:noProof/>
          <w:sz w:val="20"/>
          <w:szCs w:val="20"/>
          <w:lang w:val="en-US"/>
        </w:rPr>
        <w:drawing>
          <wp:anchor distT="0" distB="0" distL="114300" distR="114300" simplePos="0" relativeHeight="251659264" behindDoc="1" locked="0" layoutInCell="1" allowOverlap="1" wp14:anchorId="3BA8B31F" wp14:editId="68BE4ABF">
            <wp:simplePos x="0" y="0"/>
            <wp:positionH relativeFrom="margin">
              <wp:posOffset>3173730</wp:posOffset>
            </wp:positionH>
            <wp:positionV relativeFrom="paragraph">
              <wp:posOffset>150495</wp:posOffset>
            </wp:positionV>
            <wp:extent cx="3021330" cy="2426970"/>
            <wp:effectExtent l="19050" t="19050" r="26670" b="11430"/>
            <wp:wrapTight wrapText="bothSides">
              <wp:wrapPolygon edited="0">
                <wp:start x="-136" y="-170"/>
                <wp:lineTo x="-136" y="21532"/>
                <wp:lineTo x="21654" y="21532"/>
                <wp:lineTo x="21654" y="-170"/>
                <wp:lineTo x="-136" y="-170"/>
              </wp:wrapPolygon>
            </wp:wrapTight>
            <wp:docPr id="1" name="Picture 1" descr="Infographic of ecological weed management practices in natural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of ecological weed management practices in natural farm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1330" cy="24269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85172" w:rsidRPr="00BD7F39">
        <w:rPr>
          <w:rFonts w:ascii="Arial" w:hAnsi="Arial" w:cs="Arial"/>
          <w:b/>
          <w:bCs/>
          <w:sz w:val="20"/>
          <w:szCs w:val="20"/>
        </w:rPr>
        <w:t>Brown Manuring:</w:t>
      </w:r>
      <w:r w:rsidR="00385172" w:rsidRPr="00BD7F39">
        <w:rPr>
          <w:rFonts w:ascii="Arial" w:hAnsi="Arial" w:cs="Arial"/>
          <w:sz w:val="20"/>
          <w:szCs w:val="20"/>
        </w:rPr>
        <w:t xml:space="preserve"> Seeding a green manure crop (e.g., </w:t>
      </w:r>
      <w:proofErr w:type="spellStart"/>
      <w:r w:rsidR="00385172" w:rsidRPr="00BD7F39">
        <w:rPr>
          <w:rFonts w:ascii="Arial" w:hAnsi="Arial" w:cs="Arial"/>
          <w:sz w:val="20"/>
          <w:szCs w:val="20"/>
        </w:rPr>
        <w:t>Sesbania</w:t>
      </w:r>
      <w:proofErr w:type="spellEnd"/>
      <w:r w:rsidR="00385172" w:rsidRPr="00BD7F39">
        <w:rPr>
          <w:rFonts w:ascii="Arial" w:hAnsi="Arial" w:cs="Arial"/>
          <w:sz w:val="20"/>
          <w:szCs w:val="20"/>
        </w:rPr>
        <w:t>, Crotalaria) alongside the main crop and mechanically suppressing it after 30 days creates a thick protective mat. This reduces weed density by 40–50% in rice systems without synthetic inputs (Kumar et al., 2022).</w:t>
      </w:r>
    </w:p>
    <w:p w14:paraId="5B65DB6E" w14:textId="6F5E332B" w:rsidR="00385172" w:rsidRPr="00BD7F39" w:rsidRDefault="000837CA">
      <w:pPr>
        <w:numPr>
          <w:ilvl w:val="0"/>
          <w:numId w:val="1"/>
        </w:numPr>
        <w:spacing w:line="360" w:lineRule="auto"/>
        <w:jc w:val="both"/>
        <w:rPr>
          <w:rFonts w:ascii="Arial" w:hAnsi="Arial" w:cs="Arial"/>
          <w:sz w:val="20"/>
          <w:szCs w:val="20"/>
        </w:rPr>
      </w:pPr>
      <w:r>
        <w:rPr>
          <w:rFonts w:ascii="Arial" w:hAnsi="Arial" w:cs="Arial"/>
          <w:b/>
          <w:bCs/>
          <w:noProof/>
          <w:sz w:val="20"/>
          <w:szCs w:val="20"/>
          <w:lang w:val="en-US"/>
        </w:rPr>
        <mc:AlternateContent>
          <mc:Choice Requires="wps">
            <w:drawing>
              <wp:anchor distT="0" distB="0" distL="114300" distR="114300" simplePos="0" relativeHeight="251660288" behindDoc="0" locked="0" layoutInCell="1" allowOverlap="1" wp14:anchorId="0BDDE8CB" wp14:editId="2A52560D">
                <wp:simplePos x="0" y="0"/>
                <wp:positionH relativeFrom="column">
                  <wp:posOffset>3147060</wp:posOffset>
                </wp:positionH>
                <wp:positionV relativeFrom="paragraph">
                  <wp:posOffset>1063625</wp:posOffset>
                </wp:positionV>
                <wp:extent cx="3139440" cy="388620"/>
                <wp:effectExtent l="0" t="0" r="22860" b="11430"/>
                <wp:wrapNone/>
                <wp:docPr id="1455023841" name="Text Box 1"/>
                <wp:cNvGraphicFramePr/>
                <a:graphic xmlns:a="http://schemas.openxmlformats.org/drawingml/2006/main">
                  <a:graphicData uri="http://schemas.microsoft.com/office/word/2010/wordprocessingShape">
                    <wps:wsp>
                      <wps:cNvSpPr txBox="1"/>
                      <wps:spPr>
                        <a:xfrm>
                          <a:off x="0" y="0"/>
                          <a:ext cx="3139440" cy="388620"/>
                        </a:xfrm>
                        <a:prstGeom prst="rect">
                          <a:avLst/>
                        </a:prstGeom>
                        <a:solidFill>
                          <a:schemeClr val="lt1"/>
                        </a:solidFill>
                        <a:ln w="6350">
                          <a:solidFill>
                            <a:prstClr val="black"/>
                          </a:solidFill>
                        </a:ln>
                      </wps:spPr>
                      <wps:txbx>
                        <w:txbxContent>
                          <w:p w14:paraId="69CEE78C" w14:textId="77777777" w:rsidR="000837CA" w:rsidRPr="00BD7F39" w:rsidRDefault="000837CA" w:rsidP="000837CA">
                            <w:pPr>
                              <w:spacing w:line="240" w:lineRule="auto"/>
                              <w:jc w:val="center"/>
                              <w:rPr>
                                <w:rFonts w:ascii="Arial" w:hAnsi="Arial" w:cs="Arial"/>
                                <w:sz w:val="20"/>
                                <w:szCs w:val="20"/>
                              </w:rPr>
                            </w:pPr>
                            <w:r w:rsidRPr="00BD7F39">
                              <w:rPr>
                                <w:rFonts w:ascii="Arial" w:hAnsi="Arial" w:cs="Arial"/>
                                <w:b/>
                                <w:bCs/>
                                <w:sz w:val="20"/>
                                <w:szCs w:val="20"/>
                              </w:rPr>
                              <w:t>Fig: 5.</w:t>
                            </w:r>
                            <w:r w:rsidRPr="00BD7F39">
                              <w:rPr>
                                <w:rFonts w:ascii="Arial" w:hAnsi="Arial" w:cs="Arial"/>
                                <w:sz w:val="20"/>
                                <w:szCs w:val="20"/>
                              </w:rPr>
                              <w:t xml:space="preserve"> Ecological Weed Management Practices in Natural Farming Systems</w:t>
                            </w:r>
                          </w:p>
                          <w:p w14:paraId="64619F32" w14:textId="77777777" w:rsidR="000837CA" w:rsidRDefault="000837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7.8pt;margin-top:83.75pt;width:247.2pt;height:3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" fillcolor="white [3201]" strokeweight=".5pt">
                <v:textbox>
                  <w:txbxContent>
                    <w:p w14:paraId="69CEE78C" w14:textId="77777777" w:rsidR="000837CA" w:rsidRPr="00BD7F39" w:rsidRDefault="000837CA" w:rsidP="000837CA">
                      <w:pPr>
                        <w:spacing w:line="240" w:lineRule="auto"/>
                        <w:jc w:val="center"/>
                        <w:rPr>
                          <w:rFonts w:ascii="Arial" w:hAnsi="Arial" w:cs="Arial"/>
                          <w:sz w:val="20"/>
                          <w:szCs w:val="20"/>
                        </w:rPr>
                      </w:pPr>
                      <w:r w:rsidRPr="00BD7F39">
                        <w:rPr>
                          <w:rFonts w:ascii="Arial" w:hAnsi="Arial" w:cs="Arial"/>
                          <w:b/>
                          <w:bCs/>
                          <w:sz w:val="20"/>
                          <w:szCs w:val="20"/>
                        </w:rPr>
                        <w:t>Fig: 5.</w:t>
                      </w:r>
                      <w:r w:rsidRPr="00BD7F39">
                        <w:rPr>
                          <w:rFonts w:ascii="Arial" w:hAnsi="Arial" w:cs="Arial"/>
                          <w:sz w:val="20"/>
                          <w:szCs w:val="20"/>
                        </w:rPr>
                        <w:t xml:space="preserve"> Ecological Weed Management Practices in Natural Farming Systems</w:t>
                      </w:r>
                    </w:p>
                    <w:p w14:paraId="64619F32" w14:textId="77777777" w:rsidR="000837CA" w:rsidRDefault="000837CA"/>
                  </w:txbxContent>
                </v:textbox>
              </v:shape>
            </w:pict>
          </mc:Fallback>
        </mc:AlternateContent>
      </w:r>
      <w:r w:rsidR="00385172" w:rsidRPr="00BD7F39">
        <w:rPr>
          <w:rFonts w:ascii="Arial" w:hAnsi="Arial" w:cs="Arial"/>
          <w:b/>
          <w:bCs/>
          <w:sz w:val="20"/>
          <w:szCs w:val="20"/>
        </w:rPr>
        <w:t>Stale Seedbed Technique:</w:t>
      </w:r>
      <w:r w:rsidR="00385172" w:rsidRPr="00BD7F39">
        <w:rPr>
          <w:rFonts w:ascii="Arial" w:hAnsi="Arial" w:cs="Arial"/>
          <w:sz w:val="20"/>
          <w:szCs w:val="20"/>
        </w:rPr>
        <w:t> Irrigate the field before planting to encourage weed seed germination, then shallowly till or hoe emerging weeds. This flushes out the weed seed bank, giving the main crop a head start (Rao et al., 2020).</w:t>
      </w:r>
    </w:p>
    <w:p w14:paraId="6DA0022B" w14:textId="77777777" w:rsidR="00385172" w:rsidRPr="00BD7F39" w:rsidRDefault="00385172">
      <w:pPr>
        <w:numPr>
          <w:ilvl w:val="0"/>
          <w:numId w:val="1"/>
        </w:numPr>
        <w:spacing w:line="360" w:lineRule="auto"/>
        <w:jc w:val="both"/>
        <w:rPr>
          <w:rFonts w:ascii="Arial" w:hAnsi="Arial" w:cs="Arial"/>
          <w:sz w:val="20"/>
          <w:szCs w:val="20"/>
        </w:rPr>
      </w:pPr>
      <w:r w:rsidRPr="00BD7F39">
        <w:rPr>
          <w:rFonts w:ascii="Arial" w:hAnsi="Arial" w:cs="Arial"/>
          <w:b/>
          <w:bCs/>
          <w:sz w:val="20"/>
          <w:szCs w:val="20"/>
        </w:rPr>
        <w:t>High-Density Planting &amp; Canopy Management:</w:t>
      </w:r>
      <w:r w:rsidRPr="00BD7F39">
        <w:rPr>
          <w:rFonts w:ascii="Arial" w:hAnsi="Arial" w:cs="Arial"/>
          <w:sz w:val="20"/>
          <w:szCs w:val="20"/>
        </w:rPr>
        <w:t> Increased planting density or spatial arrangement leads to rapid canopy closure, shading out weeds (Smith &amp; Sullivan, 2021).</w:t>
      </w:r>
    </w:p>
    <w:p w14:paraId="62B09D0A" w14:textId="17CDA7BE" w:rsidR="002E554E" w:rsidRPr="000837CA" w:rsidRDefault="00385172" w:rsidP="00385172">
      <w:pPr>
        <w:numPr>
          <w:ilvl w:val="0"/>
          <w:numId w:val="1"/>
        </w:numPr>
        <w:spacing w:line="360" w:lineRule="auto"/>
        <w:jc w:val="both"/>
        <w:rPr>
          <w:rFonts w:ascii="Arial" w:hAnsi="Arial" w:cs="Arial"/>
          <w:sz w:val="20"/>
          <w:szCs w:val="20"/>
        </w:rPr>
      </w:pPr>
      <w:r w:rsidRPr="00BD7F39">
        <w:rPr>
          <w:rFonts w:ascii="Arial" w:hAnsi="Arial" w:cs="Arial"/>
          <w:b/>
          <w:bCs/>
          <w:sz w:val="20"/>
          <w:szCs w:val="20"/>
        </w:rPr>
        <w:lastRenderedPageBreak/>
        <w:t>Bio-Herbicides &amp; Fermented Solutions:</w:t>
      </w:r>
      <w:r w:rsidRPr="00BD7F39">
        <w:rPr>
          <w:rFonts w:ascii="Arial" w:hAnsi="Arial" w:cs="Arial"/>
          <w:sz w:val="20"/>
          <w:szCs w:val="20"/>
        </w:rPr>
        <w:t xml:space="preserve"> Fermented microbial formulations like </w:t>
      </w:r>
      <w:proofErr w:type="spellStart"/>
      <w:r w:rsidRPr="00BD7F39">
        <w:rPr>
          <w:rFonts w:ascii="Arial" w:hAnsi="Arial" w:cs="Arial"/>
          <w:sz w:val="20"/>
          <w:szCs w:val="20"/>
        </w:rPr>
        <w:t>Bijamrita</w:t>
      </w:r>
      <w:proofErr w:type="spellEnd"/>
      <w:r w:rsidRPr="00BD7F39">
        <w:rPr>
          <w:rFonts w:ascii="Arial" w:hAnsi="Arial" w:cs="Arial"/>
          <w:sz w:val="20"/>
          <w:szCs w:val="20"/>
        </w:rPr>
        <w:t xml:space="preserve"> and </w:t>
      </w:r>
      <w:proofErr w:type="spellStart"/>
      <w:r w:rsidRPr="00BD7F39">
        <w:rPr>
          <w:rFonts w:ascii="Arial" w:hAnsi="Arial" w:cs="Arial"/>
          <w:sz w:val="20"/>
          <w:szCs w:val="20"/>
        </w:rPr>
        <w:t>Jeevamrita</w:t>
      </w:r>
      <w:proofErr w:type="spellEnd"/>
      <w:r w:rsidRPr="00BD7F39">
        <w:rPr>
          <w:rFonts w:ascii="Arial" w:hAnsi="Arial" w:cs="Arial"/>
          <w:sz w:val="20"/>
          <w:szCs w:val="20"/>
        </w:rPr>
        <w:t xml:space="preserve"> enhance soil microbial activity, which helps decompose weed seeds. Some farmers use vinegar or clove oil sprays sparingly for spot treatment.</w:t>
      </w:r>
    </w:p>
    <w:p w14:paraId="4BEBC90F" w14:textId="77777777" w:rsidR="00170CA1" w:rsidRDefault="00170CA1" w:rsidP="00385172">
      <w:pPr>
        <w:spacing w:line="360" w:lineRule="auto"/>
        <w:jc w:val="both"/>
        <w:rPr>
          <w:rFonts w:ascii="Arial" w:hAnsi="Arial" w:cs="Arial"/>
          <w:b/>
          <w:bCs/>
          <w:sz w:val="20"/>
          <w:szCs w:val="20"/>
        </w:rPr>
      </w:pPr>
    </w:p>
    <w:p w14:paraId="55AA1937" w14:textId="77777777" w:rsidR="00170CA1" w:rsidRDefault="00170CA1" w:rsidP="00385172">
      <w:pPr>
        <w:spacing w:line="360" w:lineRule="auto"/>
        <w:jc w:val="both"/>
        <w:rPr>
          <w:rFonts w:ascii="Arial" w:hAnsi="Arial" w:cs="Arial"/>
          <w:b/>
          <w:bCs/>
          <w:sz w:val="20"/>
          <w:szCs w:val="20"/>
        </w:rPr>
      </w:pPr>
    </w:p>
    <w:p w14:paraId="12C65481" w14:textId="77777777" w:rsidR="00170CA1" w:rsidRDefault="00170CA1" w:rsidP="00385172">
      <w:pPr>
        <w:spacing w:line="360" w:lineRule="auto"/>
        <w:jc w:val="both"/>
        <w:rPr>
          <w:rFonts w:ascii="Arial" w:hAnsi="Arial" w:cs="Arial"/>
          <w:b/>
          <w:bCs/>
          <w:sz w:val="20"/>
          <w:szCs w:val="20"/>
        </w:rPr>
      </w:pPr>
    </w:p>
    <w:p w14:paraId="5EAD9A02" w14:textId="38898AFE" w:rsidR="00170CA1" w:rsidRPr="00BD7F39" w:rsidRDefault="00AF5E89" w:rsidP="00385172">
      <w:pPr>
        <w:spacing w:line="360" w:lineRule="auto"/>
        <w:jc w:val="both"/>
        <w:rPr>
          <w:rFonts w:ascii="Arial" w:hAnsi="Arial" w:cs="Arial"/>
          <w:b/>
          <w:bCs/>
          <w:sz w:val="20"/>
          <w:szCs w:val="20"/>
        </w:rPr>
      </w:pPr>
      <w:r>
        <w:rPr>
          <w:rFonts w:ascii="Arial" w:hAnsi="Arial" w:cs="Arial"/>
          <w:b/>
          <w:bCs/>
          <w:sz w:val="20"/>
          <w:szCs w:val="20"/>
        </w:rPr>
        <w:t xml:space="preserve">Table 4. </w:t>
      </w:r>
      <w:r w:rsidR="00385172" w:rsidRPr="00BD7F39">
        <w:rPr>
          <w:rFonts w:ascii="Arial" w:hAnsi="Arial" w:cs="Arial"/>
          <w:b/>
          <w:bCs/>
          <w:sz w:val="20"/>
          <w:szCs w:val="20"/>
        </w:rPr>
        <w:t>Weed Management Calendar</w:t>
      </w:r>
    </w:p>
    <w:tbl>
      <w:tblPr>
        <w:tblStyle w:val="TableGrid"/>
        <w:tblW w:w="5000" w:type="pct"/>
        <w:tblLook w:val="04A0" w:firstRow="1" w:lastRow="0" w:firstColumn="1" w:lastColumn="0" w:noHBand="0" w:noVBand="1"/>
      </w:tblPr>
      <w:tblGrid>
        <w:gridCol w:w="1288"/>
        <w:gridCol w:w="1580"/>
        <w:gridCol w:w="3405"/>
        <w:gridCol w:w="2969"/>
      </w:tblGrid>
      <w:tr w:rsidR="00385172" w:rsidRPr="00BD7F39" w14:paraId="6BF684E4" w14:textId="77777777" w:rsidTr="008705C9">
        <w:tc>
          <w:tcPr>
            <w:tcW w:w="697" w:type="pct"/>
            <w:hideMark/>
          </w:tcPr>
          <w:p w14:paraId="22E46AD5" w14:textId="77777777" w:rsidR="00385172" w:rsidRPr="00BD7F39" w:rsidRDefault="00385172" w:rsidP="00AD5F2C">
            <w:pPr>
              <w:spacing w:line="276" w:lineRule="auto"/>
              <w:jc w:val="both"/>
              <w:rPr>
                <w:rFonts w:ascii="Arial" w:hAnsi="Arial" w:cs="Arial"/>
                <w:b/>
                <w:bCs/>
                <w:sz w:val="20"/>
                <w:szCs w:val="20"/>
              </w:rPr>
            </w:pPr>
            <w:r w:rsidRPr="00BD7F39">
              <w:rPr>
                <w:rFonts w:ascii="Arial" w:hAnsi="Arial" w:cs="Arial"/>
                <w:b/>
                <w:bCs/>
                <w:sz w:val="20"/>
                <w:szCs w:val="20"/>
              </w:rPr>
              <w:t>Crop</w:t>
            </w:r>
          </w:p>
        </w:tc>
        <w:tc>
          <w:tcPr>
            <w:tcW w:w="855" w:type="pct"/>
            <w:hideMark/>
          </w:tcPr>
          <w:p w14:paraId="2FE3317D"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Timing</w:t>
            </w:r>
          </w:p>
        </w:tc>
        <w:tc>
          <w:tcPr>
            <w:tcW w:w="1842" w:type="pct"/>
            <w:hideMark/>
          </w:tcPr>
          <w:p w14:paraId="39EE6685"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Activity</w:t>
            </w:r>
          </w:p>
        </w:tc>
        <w:tc>
          <w:tcPr>
            <w:tcW w:w="1606" w:type="pct"/>
            <w:hideMark/>
          </w:tcPr>
          <w:p w14:paraId="09DFDB8E" w14:textId="77777777" w:rsidR="00385172" w:rsidRPr="00BD7F39" w:rsidRDefault="00385172" w:rsidP="00AD5F2C">
            <w:pPr>
              <w:spacing w:line="276" w:lineRule="auto"/>
              <w:jc w:val="center"/>
              <w:rPr>
                <w:rFonts w:ascii="Arial" w:hAnsi="Arial" w:cs="Arial"/>
                <w:b/>
                <w:bCs/>
                <w:sz w:val="20"/>
                <w:szCs w:val="20"/>
              </w:rPr>
            </w:pPr>
            <w:r w:rsidRPr="00BD7F39">
              <w:rPr>
                <w:rFonts w:ascii="Arial" w:hAnsi="Arial" w:cs="Arial"/>
                <w:b/>
                <w:bCs/>
                <w:sz w:val="20"/>
                <w:szCs w:val="20"/>
              </w:rPr>
              <w:t>Purpose</w:t>
            </w:r>
          </w:p>
        </w:tc>
      </w:tr>
      <w:tr w:rsidR="00385172" w:rsidRPr="00BD7F39" w14:paraId="32E0375E" w14:textId="77777777" w:rsidTr="008705C9">
        <w:tc>
          <w:tcPr>
            <w:tcW w:w="697" w:type="pct"/>
            <w:hideMark/>
          </w:tcPr>
          <w:p w14:paraId="6B550268"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Rice (SRI)</w:t>
            </w:r>
          </w:p>
        </w:tc>
        <w:tc>
          <w:tcPr>
            <w:tcW w:w="855" w:type="pct"/>
            <w:hideMark/>
          </w:tcPr>
          <w:p w14:paraId="374A390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Pre-planting</w:t>
            </w:r>
          </w:p>
        </w:tc>
        <w:tc>
          <w:tcPr>
            <w:tcW w:w="1842" w:type="pct"/>
            <w:hideMark/>
          </w:tcPr>
          <w:p w14:paraId="357BAFD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Stale seedbed, shallow till/hoe</w:t>
            </w:r>
          </w:p>
        </w:tc>
        <w:tc>
          <w:tcPr>
            <w:tcW w:w="1606" w:type="pct"/>
            <w:hideMark/>
          </w:tcPr>
          <w:p w14:paraId="6516B30F"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Reduces seed bank</w:t>
            </w:r>
          </w:p>
        </w:tc>
      </w:tr>
      <w:tr w:rsidR="008705C9" w:rsidRPr="00BD7F39" w14:paraId="65E4B0C5" w14:textId="77777777" w:rsidTr="008705C9">
        <w:tc>
          <w:tcPr>
            <w:tcW w:w="697" w:type="pct"/>
            <w:vMerge w:val="restart"/>
            <w:hideMark/>
          </w:tcPr>
          <w:p w14:paraId="5EB8E0B9"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7591EF4C"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Transplanting</w:t>
            </w:r>
          </w:p>
        </w:tc>
        <w:tc>
          <w:tcPr>
            <w:tcW w:w="1842" w:type="pct"/>
            <w:hideMark/>
          </w:tcPr>
          <w:p w14:paraId="7A962B7F"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 xml:space="preserve">25x25 cm spacing,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p>
        </w:tc>
        <w:tc>
          <w:tcPr>
            <w:tcW w:w="1606" w:type="pct"/>
            <w:hideMark/>
          </w:tcPr>
          <w:p w14:paraId="6E0F8EC3"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Mechanical weed control</w:t>
            </w:r>
          </w:p>
        </w:tc>
      </w:tr>
      <w:tr w:rsidR="008705C9" w:rsidRPr="00BD7F39" w14:paraId="03F7D74E" w14:textId="77777777" w:rsidTr="008705C9">
        <w:tc>
          <w:tcPr>
            <w:tcW w:w="697" w:type="pct"/>
            <w:vMerge/>
            <w:hideMark/>
          </w:tcPr>
          <w:p w14:paraId="115E5EFE"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C6EFF8D"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10–15</w:t>
            </w:r>
          </w:p>
        </w:tc>
        <w:tc>
          <w:tcPr>
            <w:tcW w:w="1842" w:type="pct"/>
            <w:hideMark/>
          </w:tcPr>
          <w:p w14:paraId="794EB6C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1</w:t>
            </w:r>
            <w:r w:rsidRPr="00BD7F39">
              <w:rPr>
                <w:rFonts w:ascii="Arial" w:hAnsi="Arial" w:cs="Arial"/>
                <w:sz w:val="20"/>
                <w:szCs w:val="20"/>
                <w:vertAlign w:val="superscript"/>
              </w:rPr>
              <w:t>st</w:t>
            </w:r>
            <w:r w:rsidRPr="00BD7F39">
              <w:rPr>
                <w:rFonts w:ascii="Arial" w:hAnsi="Arial" w:cs="Arial"/>
                <w:sz w:val="20"/>
                <w:szCs w:val="20"/>
              </w:rPr>
              <w:t xml:space="preserve">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r w:rsidRPr="00BD7F39">
              <w:rPr>
                <w:rFonts w:ascii="Arial" w:hAnsi="Arial" w:cs="Arial"/>
                <w:sz w:val="20"/>
                <w:szCs w:val="20"/>
              </w:rPr>
              <w:t xml:space="preserve"> pass</w:t>
            </w:r>
          </w:p>
        </w:tc>
        <w:tc>
          <w:tcPr>
            <w:tcW w:w="1606" w:type="pct"/>
            <w:hideMark/>
          </w:tcPr>
          <w:p w14:paraId="5BC732E1"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Buries weeds as green manure</w:t>
            </w:r>
          </w:p>
        </w:tc>
      </w:tr>
      <w:tr w:rsidR="008705C9" w:rsidRPr="00BD7F39" w14:paraId="2DDA0068" w14:textId="77777777" w:rsidTr="008705C9">
        <w:tc>
          <w:tcPr>
            <w:tcW w:w="697" w:type="pct"/>
            <w:vMerge/>
            <w:hideMark/>
          </w:tcPr>
          <w:p w14:paraId="560B7E96"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120423A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20–25</w:t>
            </w:r>
          </w:p>
        </w:tc>
        <w:tc>
          <w:tcPr>
            <w:tcW w:w="1842" w:type="pct"/>
            <w:hideMark/>
          </w:tcPr>
          <w:p w14:paraId="43D77084"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2</w:t>
            </w:r>
            <w:r w:rsidRPr="00BD7F39">
              <w:rPr>
                <w:rFonts w:ascii="Arial" w:hAnsi="Arial" w:cs="Arial"/>
                <w:sz w:val="20"/>
                <w:szCs w:val="20"/>
                <w:vertAlign w:val="superscript"/>
              </w:rPr>
              <w:t>nd</w:t>
            </w:r>
            <w:r w:rsidRPr="00BD7F39">
              <w:rPr>
                <w:rFonts w:ascii="Arial" w:hAnsi="Arial" w:cs="Arial"/>
                <w:sz w:val="20"/>
                <w:szCs w:val="20"/>
              </w:rPr>
              <w:t xml:space="preserve"> </w:t>
            </w:r>
            <w:proofErr w:type="spellStart"/>
            <w:r w:rsidRPr="00BD7F39">
              <w:rPr>
                <w:rFonts w:ascii="Arial" w:hAnsi="Arial" w:cs="Arial"/>
                <w:sz w:val="20"/>
                <w:szCs w:val="20"/>
              </w:rPr>
              <w:t>cono</w:t>
            </w:r>
            <w:proofErr w:type="spellEnd"/>
            <w:r w:rsidRPr="00BD7F39">
              <w:rPr>
                <w:rFonts w:ascii="Arial" w:hAnsi="Arial" w:cs="Arial"/>
                <w:sz w:val="20"/>
                <w:szCs w:val="20"/>
              </w:rPr>
              <w:t xml:space="preserve"> </w:t>
            </w:r>
            <w:proofErr w:type="spellStart"/>
            <w:r w:rsidRPr="00BD7F39">
              <w:rPr>
                <w:rFonts w:ascii="Arial" w:hAnsi="Arial" w:cs="Arial"/>
                <w:sz w:val="20"/>
                <w:szCs w:val="20"/>
              </w:rPr>
              <w:t>weeder</w:t>
            </w:r>
            <w:proofErr w:type="spellEnd"/>
            <w:r w:rsidRPr="00BD7F39">
              <w:rPr>
                <w:rFonts w:ascii="Arial" w:hAnsi="Arial" w:cs="Arial"/>
                <w:sz w:val="20"/>
                <w:szCs w:val="20"/>
              </w:rPr>
              <w:t xml:space="preserve"> + spot weeding</w:t>
            </w:r>
          </w:p>
        </w:tc>
        <w:tc>
          <w:tcPr>
            <w:tcW w:w="1606" w:type="pct"/>
            <w:hideMark/>
          </w:tcPr>
          <w:p w14:paraId="3B04450E"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Aeration, field cleaning</w:t>
            </w:r>
          </w:p>
        </w:tc>
      </w:tr>
      <w:tr w:rsidR="008705C9" w:rsidRPr="00BD7F39" w14:paraId="78635ACF" w14:textId="77777777" w:rsidTr="008705C9">
        <w:tc>
          <w:tcPr>
            <w:tcW w:w="697" w:type="pct"/>
            <w:vMerge/>
            <w:hideMark/>
          </w:tcPr>
          <w:p w14:paraId="1F4E52DA"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1ACD2A1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Day 40–45</w:t>
            </w:r>
          </w:p>
        </w:tc>
        <w:tc>
          <w:tcPr>
            <w:tcW w:w="1842" w:type="pct"/>
            <w:hideMark/>
          </w:tcPr>
          <w:p w14:paraId="4BD4BDB3"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Final manual removal</w:t>
            </w:r>
          </w:p>
        </w:tc>
        <w:tc>
          <w:tcPr>
            <w:tcW w:w="1606" w:type="pct"/>
            <w:hideMark/>
          </w:tcPr>
          <w:p w14:paraId="3B7E53D8"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Prevents late-season competition</w:t>
            </w:r>
          </w:p>
        </w:tc>
      </w:tr>
      <w:tr w:rsidR="00385172" w:rsidRPr="00BD7F39" w14:paraId="30AC2729" w14:textId="77777777" w:rsidTr="008705C9">
        <w:tc>
          <w:tcPr>
            <w:tcW w:w="697" w:type="pct"/>
            <w:hideMark/>
          </w:tcPr>
          <w:p w14:paraId="169FB322"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Wheat</w:t>
            </w:r>
          </w:p>
        </w:tc>
        <w:tc>
          <w:tcPr>
            <w:tcW w:w="855" w:type="pct"/>
            <w:hideMark/>
          </w:tcPr>
          <w:p w14:paraId="07A7E39D"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Post-harvest</w:t>
            </w:r>
          </w:p>
        </w:tc>
        <w:tc>
          <w:tcPr>
            <w:tcW w:w="1842" w:type="pct"/>
            <w:hideMark/>
          </w:tcPr>
          <w:p w14:paraId="4ED3C3B8"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Deep summer ploughing</w:t>
            </w:r>
          </w:p>
        </w:tc>
        <w:tc>
          <w:tcPr>
            <w:tcW w:w="1606" w:type="pct"/>
            <w:hideMark/>
          </w:tcPr>
          <w:p w14:paraId="2D0840D6"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Solarizes weed seeds</w:t>
            </w:r>
          </w:p>
        </w:tc>
      </w:tr>
      <w:tr w:rsidR="00385172" w:rsidRPr="00BD7F39" w14:paraId="21764E78" w14:textId="77777777" w:rsidTr="008705C9">
        <w:tc>
          <w:tcPr>
            <w:tcW w:w="697" w:type="pct"/>
            <w:hideMark/>
          </w:tcPr>
          <w:p w14:paraId="57672C6E" w14:textId="77777777" w:rsidR="00385172" w:rsidRPr="00BD7F39" w:rsidRDefault="00385172" w:rsidP="00AD5F2C">
            <w:pPr>
              <w:spacing w:line="276" w:lineRule="auto"/>
              <w:jc w:val="both"/>
              <w:rPr>
                <w:rFonts w:ascii="Arial" w:hAnsi="Arial" w:cs="Arial"/>
                <w:sz w:val="20"/>
                <w:szCs w:val="20"/>
              </w:rPr>
            </w:pPr>
          </w:p>
        </w:tc>
        <w:tc>
          <w:tcPr>
            <w:tcW w:w="855" w:type="pct"/>
            <w:hideMark/>
          </w:tcPr>
          <w:p w14:paraId="2C205E51"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Pre-sowing</w:t>
            </w:r>
          </w:p>
        </w:tc>
        <w:tc>
          <w:tcPr>
            <w:tcW w:w="1842" w:type="pct"/>
            <w:hideMark/>
          </w:tcPr>
          <w:p w14:paraId="70CF018B"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 xml:space="preserve">Brown </w:t>
            </w:r>
            <w:proofErr w:type="spellStart"/>
            <w:r w:rsidRPr="00BD7F39">
              <w:rPr>
                <w:rFonts w:ascii="Arial" w:hAnsi="Arial" w:cs="Arial"/>
                <w:sz w:val="20"/>
                <w:szCs w:val="20"/>
              </w:rPr>
              <w:t>manuring</w:t>
            </w:r>
            <w:proofErr w:type="spellEnd"/>
            <w:r w:rsidRPr="00BD7F39">
              <w:rPr>
                <w:rFonts w:ascii="Arial" w:hAnsi="Arial" w:cs="Arial"/>
                <w:sz w:val="20"/>
                <w:szCs w:val="20"/>
              </w:rPr>
              <w:t xml:space="preserve"> (</w:t>
            </w:r>
            <w:proofErr w:type="spellStart"/>
            <w:r w:rsidRPr="00BD7F39">
              <w:rPr>
                <w:rFonts w:ascii="Arial" w:hAnsi="Arial" w:cs="Arial"/>
                <w:sz w:val="20"/>
                <w:szCs w:val="20"/>
              </w:rPr>
              <w:t>Sesbania</w:t>
            </w:r>
            <w:proofErr w:type="spellEnd"/>
            <w:r w:rsidRPr="00BD7F39">
              <w:rPr>
                <w:rFonts w:ascii="Arial" w:hAnsi="Arial" w:cs="Arial"/>
                <w:sz w:val="20"/>
                <w:szCs w:val="20"/>
              </w:rPr>
              <w:t>)</w:t>
            </w:r>
          </w:p>
        </w:tc>
        <w:tc>
          <w:tcPr>
            <w:tcW w:w="1606" w:type="pct"/>
            <w:hideMark/>
          </w:tcPr>
          <w:p w14:paraId="507B3392"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Live mulch, later knocked down</w:t>
            </w:r>
          </w:p>
        </w:tc>
      </w:tr>
      <w:tr w:rsidR="008705C9" w:rsidRPr="00BD7F39" w14:paraId="1B421697" w14:textId="77777777" w:rsidTr="008705C9">
        <w:tc>
          <w:tcPr>
            <w:tcW w:w="697" w:type="pct"/>
            <w:vMerge w:val="restart"/>
            <w:hideMark/>
          </w:tcPr>
          <w:p w14:paraId="52AD10AF"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465E12A"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Sowing day</w:t>
            </w:r>
          </w:p>
        </w:tc>
        <w:tc>
          <w:tcPr>
            <w:tcW w:w="1842" w:type="pct"/>
            <w:hideMark/>
          </w:tcPr>
          <w:p w14:paraId="637BEF0F"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High-density sowing, narrow spacing</w:t>
            </w:r>
          </w:p>
        </w:tc>
        <w:tc>
          <w:tcPr>
            <w:tcW w:w="1606" w:type="pct"/>
            <w:hideMark/>
          </w:tcPr>
          <w:p w14:paraId="248EF462" w14:textId="77777777" w:rsidR="008705C9" w:rsidRPr="00070312" w:rsidRDefault="008705C9" w:rsidP="00070312">
            <w:pPr>
              <w:pStyle w:val="Heading3"/>
              <w:outlineLvl w:val="2"/>
            </w:pPr>
            <w:r w:rsidRPr="00BD7F39">
              <w:t>Faster canopy closure</w:t>
            </w:r>
          </w:p>
        </w:tc>
      </w:tr>
      <w:tr w:rsidR="008705C9" w:rsidRPr="00BD7F39" w14:paraId="04F74C28" w14:textId="77777777" w:rsidTr="008705C9">
        <w:tc>
          <w:tcPr>
            <w:tcW w:w="697" w:type="pct"/>
            <w:vMerge/>
            <w:hideMark/>
          </w:tcPr>
          <w:p w14:paraId="5169612B"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2C17EF2"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21–30 days</w:t>
            </w:r>
          </w:p>
        </w:tc>
        <w:tc>
          <w:tcPr>
            <w:tcW w:w="1842" w:type="pct"/>
            <w:hideMark/>
          </w:tcPr>
          <w:p w14:paraId="642FD8F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Manual hoeing after irrigation</w:t>
            </w:r>
          </w:p>
        </w:tc>
        <w:tc>
          <w:tcPr>
            <w:tcW w:w="1606" w:type="pct"/>
            <w:hideMark/>
          </w:tcPr>
          <w:p w14:paraId="1AA3476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Disrupts weed germination</w:t>
            </w:r>
          </w:p>
        </w:tc>
      </w:tr>
      <w:tr w:rsidR="008705C9" w:rsidRPr="00BD7F39" w14:paraId="69D5264F" w14:textId="77777777" w:rsidTr="008705C9">
        <w:tc>
          <w:tcPr>
            <w:tcW w:w="697" w:type="pct"/>
            <w:vMerge/>
            <w:hideMark/>
          </w:tcPr>
          <w:p w14:paraId="1E31592C"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636C12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45–50 days</w:t>
            </w:r>
          </w:p>
        </w:tc>
        <w:tc>
          <w:tcPr>
            <w:tcW w:w="1842" w:type="pct"/>
            <w:hideMark/>
          </w:tcPr>
          <w:p w14:paraId="5D9BE827"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Straw mulching</w:t>
            </w:r>
          </w:p>
        </w:tc>
        <w:tc>
          <w:tcPr>
            <w:tcW w:w="1606" w:type="pct"/>
            <w:hideMark/>
          </w:tcPr>
          <w:p w14:paraId="4125FFDA"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Suppresses late weeds</w:t>
            </w:r>
          </w:p>
        </w:tc>
      </w:tr>
      <w:tr w:rsidR="00385172" w:rsidRPr="00BD7F39" w14:paraId="5F097E5C" w14:textId="77777777" w:rsidTr="008705C9">
        <w:tc>
          <w:tcPr>
            <w:tcW w:w="697" w:type="pct"/>
            <w:hideMark/>
          </w:tcPr>
          <w:p w14:paraId="312B95EB" w14:textId="77777777" w:rsidR="00385172" w:rsidRPr="00BD7F39" w:rsidRDefault="00385172" w:rsidP="00AD5F2C">
            <w:pPr>
              <w:spacing w:line="276" w:lineRule="auto"/>
              <w:jc w:val="both"/>
              <w:rPr>
                <w:rFonts w:ascii="Arial" w:hAnsi="Arial" w:cs="Arial"/>
                <w:sz w:val="20"/>
                <w:szCs w:val="20"/>
              </w:rPr>
            </w:pPr>
            <w:r w:rsidRPr="00BD7F39">
              <w:rPr>
                <w:rFonts w:ascii="Arial" w:hAnsi="Arial" w:cs="Arial"/>
                <w:sz w:val="20"/>
                <w:szCs w:val="20"/>
              </w:rPr>
              <w:t>Vegetables</w:t>
            </w:r>
          </w:p>
        </w:tc>
        <w:tc>
          <w:tcPr>
            <w:tcW w:w="855" w:type="pct"/>
            <w:hideMark/>
          </w:tcPr>
          <w:p w14:paraId="70231D74"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Land prep</w:t>
            </w:r>
          </w:p>
        </w:tc>
        <w:tc>
          <w:tcPr>
            <w:tcW w:w="1842" w:type="pct"/>
            <w:hideMark/>
          </w:tcPr>
          <w:p w14:paraId="0E2DD71E"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Soil solarization (plastic)</w:t>
            </w:r>
          </w:p>
        </w:tc>
        <w:tc>
          <w:tcPr>
            <w:tcW w:w="1606" w:type="pct"/>
            <w:hideMark/>
          </w:tcPr>
          <w:p w14:paraId="0FA243A3" w14:textId="77777777" w:rsidR="00385172" w:rsidRPr="00BD7F39" w:rsidRDefault="00385172" w:rsidP="00AD5F2C">
            <w:pPr>
              <w:spacing w:line="276" w:lineRule="auto"/>
              <w:jc w:val="center"/>
              <w:rPr>
                <w:rFonts w:ascii="Arial" w:hAnsi="Arial" w:cs="Arial"/>
                <w:sz w:val="20"/>
                <w:szCs w:val="20"/>
              </w:rPr>
            </w:pPr>
            <w:r w:rsidRPr="00BD7F39">
              <w:rPr>
                <w:rFonts w:ascii="Arial" w:hAnsi="Arial" w:cs="Arial"/>
                <w:sz w:val="20"/>
                <w:szCs w:val="20"/>
              </w:rPr>
              <w:t>Kills weed seeds/pathogens</w:t>
            </w:r>
          </w:p>
        </w:tc>
      </w:tr>
      <w:tr w:rsidR="008705C9" w:rsidRPr="00BD7F39" w14:paraId="43E1028B" w14:textId="77777777" w:rsidTr="008705C9">
        <w:tc>
          <w:tcPr>
            <w:tcW w:w="697" w:type="pct"/>
            <w:vMerge w:val="restart"/>
            <w:hideMark/>
          </w:tcPr>
          <w:p w14:paraId="0A416777"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0A2B041E"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Planting day</w:t>
            </w:r>
          </w:p>
        </w:tc>
        <w:tc>
          <w:tcPr>
            <w:tcW w:w="1842" w:type="pct"/>
            <w:hideMark/>
          </w:tcPr>
          <w:p w14:paraId="2F49BC1B"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Live mulch/intercropping</w:t>
            </w:r>
          </w:p>
        </w:tc>
        <w:tc>
          <w:tcPr>
            <w:tcW w:w="1606" w:type="pct"/>
            <w:hideMark/>
          </w:tcPr>
          <w:p w14:paraId="3AC21D0B"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Smother crops</w:t>
            </w:r>
          </w:p>
        </w:tc>
      </w:tr>
      <w:tr w:rsidR="008705C9" w:rsidRPr="00BD7F39" w14:paraId="0D1456FC" w14:textId="77777777" w:rsidTr="008705C9">
        <w:tc>
          <w:tcPr>
            <w:tcW w:w="697" w:type="pct"/>
            <w:vMerge/>
            <w:hideMark/>
          </w:tcPr>
          <w:p w14:paraId="2A2B5647"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5B99BC15"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Week 2</w:t>
            </w:r>
          </w:p>
        </w:tc>
        <w:tc>
          <w:tcPr>
            <w:tcW w:w="1842" w:type="pct"/>
            <w:hideMark/>
          </w:tcPr>
          <w:p w14:paraId="33D146C0"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Blind hoeing</w:t>
            </w:r>
          </w:p>
        </w:tc>
        <w:tc>
          <w:tcPr>
            <w:tcW w:w="1606" w:type="pct"/>
            <w:hideMark/>
          </w:tcPr>
          <w:p w14:paraId="7E93F46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Kills early weeds</w:t>
            </w:r>
          </w:p>
        </w:tc>
      </w:tr>
      <w:tr w:rsidR="008705C9" w:rsidRPr="00BD7F39" w14:paraId="38CE66B4" w14:textId="77777777" w:rsidTr="008705C9">
        <w:tc>
          <w:tcPr>
            <w:tcW w:w="697" w:type="pct"/>
            <w:vMerge/>
            <w:hideMark/>
          </w:tcPr>
          <w:p w14:paraId="6059B851"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6D00F329"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Week 4</w:t>
            </w:r>
          </w:p>
        </w:tc>
        <w:tc>
          <w:tcPr>
            <w:tcW w:w="1842" w:type="pct"/>
            <w:hideMark/>
          </w:tcPr>
          <w:p w14:paraId="587D4FC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Heavy dry mulching</w:t>
            </w:r>
          </w:p>
        </w:tc>
        <w:tc>
          <w:tcPr>
            <w:tcW w:w="1606" w:type="pct"/>
            <w:hideMark/>
          </w:tcPr>
          <w:p w14:paraId="5A6A3DB6"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Permanent suppression</w:t>
            </w:r>
          </w:p>
        </w:tc>
      </w:tr>
      <w:tr w:rsidR="008705C9" w:rsidRPr="00BD7F39" w14:paraId="04080D8D" w14:textId="77777777" w:rsidTr="008705C9">
        <w:tc>
          <w:tcPr>
            <w:tcW w:w="697" w:type="pct"/>
            <w:vMerge/>
            <w:hideMark/>
          </w:tcPr>
          <w:p w14:paraId="6146DD55" w14:textId="77777777" w:rsidR="008705C9" w:rsidRPr="00BD7F39" w:rsidRDefault="008705C9" w:rsidP="00AD5F2C">
            <w:pPr>
              <w:spacing w:line="276" w:lineRule="auto"/>
              <w:jc w:val="both"/>
              <w:rPr>
                <w:rFonts w:ascii="Arial" w:hAnsi="Arial" w:cs="Arial"/>
                <w:sz w:val="20"/>
                <w:szCs w:val="20"/>
              </w:rPr>
            </w:pPr>
          </w:p>
        </w:tc>
        <w:tc>
          <w:tcPr>
            <w:tcW w:w="855" w:type="pct"/>
            <w:hideMark/>
          </w:tcPr>
          <w:p w14:paraId="76A5ECD4"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Flowering</w:t>
            </w:r>
          </w:p>
        </w:tc>
        <w:tc>
          <w:tcPr>
            <w:tcW w:w="1842" w:type="pct"/>
            <w:hideMark/>
          </w:tcPr>
          <w:p w14:paraId="567B70E2"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Manual pulling</w:t>
            </w:r>
          </w:p>
        </w:tc>
        <w:tc>
          <w:tcPr>
            <w:tcW w:w="1606" w:type="pct"/>
            <w:hideMark/>
          </w:tcPr>
          <w:p w14:paraId="58A66F48" w14:textId="77777777" w:rsidR="008705C9" w:rsidRPr="00BD7F39" w:rsidRDefault="008705C9" w:rsidP="00AD5F2C">
            <w:pPr>
              <w:spacing w:line="276" w:lineRule="auto"/>
              <w:jc w:val="center"/>
              <w:rPr>
                <w:rFonts w:ascii="Arial" w:hAnsi="Arial" w:cs="Arial"/>
                <w:sz w:val="20"/>
                <w:szCs w:val="20"/>
              </w:rPr>
            </w:pPr>
            <w:r w:rsidRPr="00BD7F39">
              <w:rPr>
                <w:rFonts w:ascii="Arial" w:hAnsi="Arial" w:cs="Arial"/>
                <w:sz w:val="20"/>
                <w:szCs w:val="20"/>
              </w:rPr>
              <w:t>Prevents seed return</w:t>
            </w:r>
          </w:p>
        </w:tc>
      </w:tr>
    </w:tbl>
    <w:p w14:paraId="43FC9F62" w14:textId="2C857FC5" w:rsidR="00385172" w:rsidRPr="00BD7F39" w:rsidRDefault="00385172" w:rsidP="00385172">
      <w:pPr>
        <w:spacing w:line="360" w:lineRule="auto"/>
        <w:jc w:val="both"/>
        <w:rPr>
          <w:rFonts w:ascii="Arial" w:hAnsi="Arial" w:cs="Arial"/>
          <w:sz w:val="20"/>
          <w:szCs w:val="20"/>
        </w:rPr>
      </w:pPr>
    </w:p>
    <w:p w14:paraId="4D7B3F2E" w14:textId="057F3BAF" w:rsidR="00385172" w:rsidRPr="00BD7F39" w:rsidRDefault="002E554E" w:rsidP="00385172">
      <w:pPr>
        <w:spacing w:line="360" w:lineRule="auto"/>
        <w:jc w:val="both"/>
        <w:rPr>
          <w:rFonts w:ascii="Arial" w:hAnsi="Arial" w:cs="Arial"/>
          <w:b/>
          <w:bCs/>
        </w:rPr>
      </w:pPr>
      <w:r w:rsidRPr="00BD7F39">
        <w:rPr>
          <w:rFonts w:ascii="Arial" w:hAnsi="Arial" w:cs="Arial"/>
          <w:b/>
          <w:bCs/>
        </w:rPr>
        <w:t xml:space="preserve">2.3. </w:t>
      </w:r>
      <w:r w:rsidR="00385172" w:rsidRPr="00BD7F39">
        <w:rPr>
          <w:rFonts w:ascii="Arial" w:hAnsi="Arial" w:cs="Arial"/>
          <w:b/>
          <w:bCs/>
        </w:rPr>
        <w:t>Pest Management in Natural Farming</w:t>
      </w:r>
    </w:p>
    <w:p w14:paraId="0702D95B" w14:textId="2C5EA3C8" w:rsidR="00774009" w:rsidRPr="00BD7F39" w:rsidRDefault="00385172" w:rsidP="00C1043D">
      <w:pPr>
        <w:spacing w:line="360" w:lineRule="auto"/>
        <w:jc w:val="both"/>
        <w:rPr>
          <w:rFonts w:ascii="Arial" w:hAnsi="Arial" w:cs="Arial"/>
          <w:sz w:val="20"/>
          <w:szCs w:val="20"/>
        </w:rPr>
      </w:pPr>
      <w:r w:rsidRPr="00BD7F39">
        <w:rPr>
          <w:rFonts w:ascii="Arial" w:hAnsi="Arial" w:cs="Arial"/>
          <w:sz w:val="20"/>
          <w:szCs w:val="20"/>
        </w:rPr>
        <w:t xml:space="preserve">Natural farming employs ecology-based pest management through cultural, biological, and mechanical strategies. Habitat diversification via intercropping and trap cropping boosts populations of natural enemies, reducing pest outbreaks (Murthy and </w:t>
      </w:r>
      <w:proofErr w:type="spellStart"/>
      <w:r w:rsidRPr="00BD7F39">
        <w:rPr>
          <w:rFonts w:ascii="Arial" w:hAnsi="Arial" w:cs="Arial"/>
          <w:sz w:val="20"/>
          <w:szCs w:val="20"/>
        </w:rPr>
        <w:t>Venkateshwarulu</w:t>
      </w:r>
      <w:proofErr w:type="spellEnd"/>
      <w:r w:rsidRPr="00BD7F39">
        <w:rPr>
          <w:rFonts w:ascii="Arial" w:hAnsi="Arial" w:cs="Arial"/>
          <w:sz w:val="20"/>
          <w:szCs w:val="20"/>
        </w:rPr>
        <w:t>, 1998; Pretty et al., 2018). Botanical formulations (</w:t>
      </w:r>
      <w:proofErr w:type="spellStart"/>
      <w:r w:rsidRPr="00BD7F39">
        <w:rPr>
          <w:rFonts w:ascii="Arial" w:hAnsi="Arial" w:cs="Arial"/>
          <w:sz w:val="20"/>
          <w:szCs w:val="20"/>
        </w:rPr>
        <w:t>astras</w:t>
      </w:r>
      <w:proofErr w:type="spellEnd"/>
      <w:r w:rsidRPr="00BD7F39">
        <w:rPr>
          <w:rFonts w:ascii="Arial" w:hAnsi="Arial" w:cs="Arial"/>
          <w:sz w:val="20"/>
          <w:szCs w:val="20"/>
        </w:rPr>
        <w:t xml:space="preserve">), such as </w:t>
      </w:r>
      <w:proofErr w:type="spellStart"/>
      <w:r w:rsidRPr="00BD7F39">
        <w:rPr>
          <w:rFonts w:ascii="Arial" w:hAnsi="Arial" w:cs="Arial"/>
          <w:sz w:val="20"/>
          <w:szCs w:val="20"/>
        </w:rPr>
        <w:t>Neemastra</w:t>
      </w:r>
      <w:proofErr w:type="spellEnd"/>
      <w:r w:rsidRPr="00BD7F39">
        <w:rPr>
          <w:rFonts w:ascii="Arial" w:hAnsi="Arial" w:cs="Arial"/>
          <w:sz w:val="20"/>
          <w:szCs w:val="20"/>
        </w:rPr>
        <w:t xml:space="preserve">, </w:t>
      </w:r>
      <w:proofErr w:type="spellStart"/>
      <w:r w:rsidRPr="00BD7F39">
        <w:rPr>
          <w:rFonts w:ascii="Arial" w:hAnsi="Arial" w:cs="Arial"/>
          <w:sz w:val="20"/>
          <w:szCs w:val="20"/>
        </w:rPr>
        <w:t>Agniastra</w:t>
      </w:r>
      <w:proofErr w:type="spellEnd"/>
      <w:r w:rsidRPr="00BD7F39">
        <w:rPr>
          <w:rFonts w:ascii="Arial" w:hAnsi="Arial" w:cs="Arial"/>
          <w:sz w:val="20"/>
          <w:szCs w:val="20"/>
        </w:rPr>
        <w:t xml:space="preserve">, and </w:t>
      </w:r>
      <w:proofErr w:type="spellStart"/>
      <w:r w:rsidRPr="00BD7F39">
        <w:rPr>
          <w:rFonts w:ascii="Arial" w:hAnsi="Arial" w:cs="Arial"/>
          <w:sz w:val="20"/>
          <w:szCs w:val="20"/>
        </w:rPr>
        <w:t>Brahmastra</w:t>
      </w:r>
      <w:proofErr w:type="spellEnd"/>
      <w:r w:rsidRPr="00BD7F39">
        <w:rPr>
          <w:rFonts w:ascii="Arial" w:hAnsi="Arial" w:cs="Arial"/>
          <w:sz w:val="20"/>
          <w:szCs w:val="20"/>
        </w:rPr>
        <w:t>, are widely used for targeted pest suppression (</w:t>
      </w:r>
      <w:proofErr w:type="spellStart"/>
      <w:r w:rsidRPr="00BD7F39">
        <w:rPr>
          <w:rFonts w:ascii="Arial" w:hAnsi="Arial" w:cs="Arial"/>
          <w:sz w:val="20"/>
          <w:szCs w:val="20"/>
        </w:rPr>
        <w:t>Suganthy</w:t>
      </w:r>
      <w:proofErr w:type="spellEnd"/>
      <w:r w:rsidRPr="00BD7F39">
        <w:rPr>
          <w:rFonts w:ascii="Arial" w:hAnsi="Arial" w:cs="Arial"/>
          <w:sz w:val="20"/>
          <w:szCs w:val="20"/>
        </w:rPr>
        <w:t xml:space="preserve"> and </w:t>
      </w:r>
      <w:proofErr w:type="spellStart"/>
      <w:r w:rsidRPr="00BD7F39">
        <w:rPr>
          <w:rFonts w:ascii="Arial" w:hAnsi="Arial" w:cs="Arial"/>
          <w:sz w:val="20"/>
          <w:szCs w:val="20"/>
        </w:rPr>
        <w:t>Ganesan</w:t>
      </w:r>
      <w:proofErr w:type="spellEnd"/>
      <w:r w:rsidRPr="00BD7F39">
        <w:rPr>
          <w:rFonts w:ascii="Arial" w:hAnsi="Arial" w:cs="Arial"/>
          <w:sz w:val="20"/>
          <w:szCs w:val="20"/>
        </w:rPr>
        <w:t>, 2023).</w:t>
      </w:r>
    </w:p>
    <w:p w14:paraId="1E951B12" w14:textId="260694AB" w:rsidR="005C7191" w:rsidRPr="00BD7F39" w:rsidRDefault="005C7191" w:rsidP="00774009">
      <w:pPr>
        <w:spacing w:line="360" w:lineRule="auto"/>
        <w:jc w:val="both"/>
        <w:rPr>
          <w:rFonts w:ascii="Arial" w:hAnsi="Arial" w:cs="Arial"/>
          <w:noProof/>
          <w:sz w:val="20"/>
          <w:szCs w:val="20"/>
        </w:rPr>
      </w:pPr>
      <w:r w:rsidRPr="00BD7F39">
        <w:rPr>
          <w:rFonts w:ascii="Arial" w:hAnsi="Arial" w:cs="Arial"/>
          <w:b/>
          <w:bCs/>
          <w:noProof/>
          <w:sz w:val="20"/>
          <w:szCs w:val="20"/>
        </w:rPr>
        <w:t>Procedure for preparation of</w:t>
      </w:r>
      <w:r w:rsidRPr="00BD7F39">
        <w:rPr>
          <w:rFonts w:ascii="Arial" w:hAnsi="Arial" w:cs="Arial"/>
          <w:noProof/>
          <w:sz w:val="20"/>
          <w:szCs w:val="20"/>
        </w:rPr>
        <w:t xml:space="preserve"> </w:t>
      </w:r>
      <w:r w:rsidRPr="00BD7F39">
        <w:rPr>
          <w:rFonts w:ascii="Arial" w:hAnsi="Arial" w:cs="Arial"/>
          <w:b/>
          <w:bCs/>
          <w:noProof/>
          <w:sz w:val="20"/>
          <w:szCs w:val="20"/>
        </w:rPr>
        <w:t xml:space="preserve">Neemastra, Agniastra, Brahmastra   </w:t>
      </w:r>
    </w:p>
    <w:p w14:paraId="7879053E" w14:textId="50042F8D"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t>Neemastra</w:t>
      </w:r>
      <w:proofErr w:type="spellEnd"/>
    </w:p>
    <w:p w14:paraId="55CB2624"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Neemastra</w:t>
      </w:r>
      <w:proofErr w:type="spellEnd"/>
      <w:r w:rsidRPr="00BD7F39">
        <w:rPr>
          <w:rFonts w:ascii="Arial" w:eastAsia="Calibri" w:hAnsi="Arial" w:cs="Arial"/>
          <w:color w:val="000000"/>
          <w:kern w:val="0"/>
          <w:sz w:val="20"/>
          <w:szCs w:val="20"/>
          <w14:ligatures w14:val="none"/>
        </w:rPr>
        <w:t xml:space="preserve">, following materials were required: neem leaves (fresh, 5 kg) + cow dung (5 kg) + cow urine (5 L) + lime (500 g) + jaggery (1 kg). Muslin cloth for filtering. </w:t>
      </w:r>
    </w:p>
    <w:p w14:paraId="6D830E6A"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lastRenderedPageBreak/>
        <w:t>Mix 5 kg fresh neem leaves (chopped) + 5 kg fresh cow dung + 5 L cow urine + 1 kg jaggery + 500 g lime in 20 L water in a plastic drum. Stir well with wooden stick and soak for 3 days (stir twice daily clockwise/anticlockwise). Solution turns dark brown with neem odour filter through double muslin cloth. Make volume to 100 L with water; add 200 g detergent (1%) as sticker, mix into paste first then blend.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57CCE275" w14:textId="694CF88E"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Spray @ 500-1000 L/ha on soybean/chickpea at sucking pests/whitefly appearance (15-30 DAS); repeat 2-3 times at 10-day intervals.</w:t>
      </w:r>
    </w:p>
    <w:p w14:paraId="35DAD416" w14:textId="0BBFB73E"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t>Agniastra</w:t>
      </w:r>
      <w:proofErr w:type="spellEnd"/>
    </w:p>
    <w:p w14:paraId="27072723"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Agniastra</w:t>
      </w:r>
      <w:proofErr w:type="spellEnd"/>
      <w:r w:rsidRPr="00BD7F39">
        <w:rPr>
          <w:rFonts w:ascii="Arial" w:eastAsia="Calibri" w:hAnsi="Arial" w:cs="Arial"/>
          <w:color w:val="000000"/>
          <w:kern w:val="0"/>
          <w:sz w:val="20"/>
          <w:szCs w:val="20"/>
          <w14:ligatures w14:val="none"/>
        </w:rPr>
        <w:t xml:space="preserve">, following materials were required: cow urine (10 L) + red chilli powder (5 kg) + garlic (3 kg) + ginger (3 kg) + neem leaves/seed (2 kg) + lime (500 g) + jaggery (1 kg). </w:t>
      </w:r>
    </w:p>
    <w:p w14:paraId="587526B5"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Muslin cloth for filtering. Griend garlic (3 kg) + ginger (3 kg) + neem leaves/seed (2 kg) to paste; mix with 5 kg red chilli powder + 1 kg jaggery + 500 g lime in 20 L cow urine. Add to 80 L water in plastic drum; stir vigorously with wooden stick till uniform. Soak for 3 days (stir twice daily clockwise/anticlockwise); solution develops pungent red-brown colour. Filter through double muslin cloth; add 200 g detergent (1%) as sticker (make paste first, then mix).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215AC20D"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Spray @ 500-1000 L/ha on soybean/chickpea for chewing pests (</w:t>
      </w:r>
      <w:proofErr w:type="spellStart"/>
      <w:r w:rsidRPr="00BD7F39">
        <w:rPr>
          <w:rFonts w:ascii="Arial" w:eastAsia="Calibri" w:hAnsi="Arial" w:cs="Arial"/>
          <w:color w:val="000000"/>
          <w:kern w:val="0"/>
          <w:sz w:val="20"/>
          <w:szCs w:val="20"/>
          <w14:ligatures w14:val="none"/>
        </w:rPr>
        <w:t>semilooper</w:t>
      </w:r>
      <w:proofErr w:type="spellEnd"/>
      <w:r w:rsidRPr="00BD7F39">
        <w:rPr>
          <w:rFonts w:ascii="Arial" w:eastAsia="Calibri" w:hAnsi="Arial" w:cs="Arial"/>
          <w:color w:val="000000"/>
          <w:kern w:val="0"/>
          <w:sz w:val="20"/>
          <w:szCs w:val="20"/>
          <w14:ligatures w14:val="none"/>
        </w:rPr>
        <w:t>, girdle beetle, pod borer) at infestation; repeat 2-3 times at 7-10 days intervals.</w:t>
      </w:r>
    </w:p>
    <w:p w14:paraId="1481AE6D" w14:textId="31B242F6" w:rsidR="005C7191" w:rsidRPr="00BD7F39" w:rsidRDefault="005C7191" w:rsidP="008C3F8B">
      <w:pPr>
        <w:pStyle w:val="ListParagraph"/>
        <w:numPr>
          <w:ilvl w:val="0"/>
          <w:numId w:val="6"/>
        </w:numPr>
        <w:tabs>
          <w:tab w:val="left" w:pos="1440"/>
          <w:tab w:val="left" w:pos="1530"/>
        </w:tabs>
        <w:autoSpaceDE w:val="0"/>
        <w:autoSpaceDN w:val="0"/>
        <w:adjustRightInd w:val="0"/>
        <w:spacing w:before="120" w:after="120" w:line="360" w:lineRule="auto"/>
        <w:ind w:left="426" w:hanging="426"/>
        <w:jc w:val="both"/>
        <w:rPr>
          <w:rFonts w:ascii="Arial" w:eastAsia="Calibri" w:hAnsi="Arial" w:cs="Arial"/>
          <w:b/>
          <w:bCs/>
          <w:color w:val="000000"/>
          <w:kern w:val="0"/>
          <w:sz w:val="20"/>
          <w:szCs w:val="20"/>
          <w14:ligatures w14:val="none"/>
        </w:rPr>
      </w:pPr>
      <w:proofErr w:type="spellStart"/>
      <w:r w:rsidRPr="00BD7F39">
        <w:rPr>
          <w:rFonts w:ascii="Arial" w:eastAsia="Calibri" w:hAnsi="Arial" w:cs="Arial"/>
          <w:b/>
          <w:bCs/>
          <w:color w:val="000000"/>
          <w:kern w:val="0"/>
          <w:sz w:val="20"/>
          <w:szCs w:val="20"/>
          <w14:ligatures w14:val="none"/>
        </w:rPr>
        <w:t>Brahmastra</w:t>
      </w:r>
      <w:proofErr w:type="spellEnd"/>
    </w:p>
    <w:p w14:paraId="4E0D4B49"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For preparation of 100 </w:t>
      </w:r>
      <w:proofErr w:type="spellStart"/>
      <w:r w:rsidRPr="00BD7F39">
        <w:rPr>
          <w:rFonts w:ascii="Arial" w:eastAsia="Calibri" w:hAnsi="Arial" w:cs="Arial"/>
          <w:color w:val="000000"/>
          <w:kern w:val="0"/>
          <w:sz w:val="20"/>
          <w:szCs w:val="20"/>
          <w14:ligatures w14:val="none"/>
        </w:rPr>
        <w:t>liters</w:t>
      </w:r>
      <w:proofErr w:type="spellEnd"/>
      <w:r w:rsidRPr="00BD7F39">
        <w:rPr>
          <w:rFonts w:ascii="Arial" w:eastAsia="Calibri" w:hAnsi="Arial" w:cs="Arial"/>
          <w:color w:val="000000"/>
          <w:kern w:val="0"/>
          <w:sz w:val="20"/>
          <w:szCs w:val="20"/>
          <w14:ligatures w14:val="none"/>
        </w:rPr>
        <w:t xml:space="preserve"> of </w:t>
      </w:r>
      <w:proofErr w:type="spellStart"/>
      <w:r w:rsidRPr="00BD7F39">
        <w:rPr>
          <w:rFonts w:ascii="Arial" w:eastAsia="Calibri" w:hAnsi="Arial" w:cs="Arial"/>
          <w:color w:val="000000"/>
          <w:kern w:val="0"/>
          <w:sz w:val="20"/>
          <w:szCs w:val="20"/>
          <w14:ligatures w14:val="none"/>
        </w:rPr>
        <w:t>Brahmastra</w:t>
      </w:r>
      <w:proofErr w:type="spellEnd"/>
      <w:r w:rsidRPr="00BD7F39">
        <w:rPr>
          <w:rFonts w:ascii="Arial" w:eastAsia="Calibri" w:hAnsi="Arial" w:cs="Arial"/>
          <w:color w:val="000000"/>
          <w:kern w:val="0"/>
          <w:sz w:val="20"/>
          <w:szCs w:val="20"/>
          <w14:ligatures w14:val="none"/>
        </w:rPr>
        <w:t xml:space="preserve">, following materials were required: cow dung (10 kg) + cow urine (10 L) + neem leaves/seed (5 kg) + custard apple leaves (1 kg) +1 kg </w:t>
      </w:r>
      <w:proofErr w:type="spellStart"/>
      <w:r w:rsidRPr="00BD7F39">
        <w:rPr>
          <w:rFonts w:ascii="Arial" w:eastAsia="Calibri" w:hAnsi="Arial" w:cs="Arial"/>
          <w:color w:val="000000"/>
          <w:kern w:val="0"/>
          <w:sz w:val="20"/>
          <w:szCs w:val="20"/>
          <w14:ligatures w14:val="none"/>
        </w:rPr>
        <w:t>karanj</w:t>
      </w:r>
      <w:proofErr w:type="spellEnd"/>
      <w:r w:rsidRPr="00BD7F39">
        <w:rPr>
          <w:rFonts w:ascii="Arial" w:eastAsia="Calibri" w:hAnsi="Arial" w:cs="Arial"/>
          <w:color w:val="000000"/>
          <w:kern w:val="0"/>
          <w:sz w:val="20"/>
          <w:szCs w:val="20"/>
          <w14:ligatures w14:val="none"/>
        </w:rPr>
        <w:t xml:space="preserve"> leaves + 1 kg </w:t>
      </w:r>
      <w:proofErr w:type="spellStart"/>
      <w:r w:rsidRPr="00BD7F39">
        <w:rPr>
          <w:rFonts w:ascii="Arial" w:eastAsia="Calibri" w:hAnsi="Arial" w:cs="Arial"/>
          <w:color w:val="000000"/>
          <w:kern w:val="0"/>
          <w:sz w:val="20"/>
          <w:szCs w:val="20"/>
          <w14:ligatures w14:val="none"/>
        </w:rPr>
        <w:t>papya</w:t>
      </w:r>
      <w:proofErr w:type="spellEnd"/>
      <w:r w:rsidRPr="00BD7F39">
        <w:rPr>
          <w:rFonts w:ascii="Arial" w:eastAsia="Calibri" w:hAnsi="Arial" w:cs="Arial"/>
          <w:color w:val="000000"/>
          <w:kern w:val="0"/>
          <w:sz w:val="20"/>
          <w:szCs w:val="20"/>
          <w14:ligatures w14:val="none"/>
        </w:rPr>
        <w:t xml:space="preserve"> leaves garlic (2 kg) + lime (500 g) + jaggery (2 kg). Muslin cloth for filtering.</w:t>
      </w:r>
    </w:p>
    <w:p w14:paraId="6F0E187E" w14:textId="77777777"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color w:val="000000"/>
          <w:kern w:val="0"/>
          <w:sz w:val="20"/>
          <w:szCs w:val="20"/>
          <w14:ligatures w14:val="none"/>
        </w:rPr>
        <w:t xml:space="preserve">Mix 10 kg fresh cow dung + 10 L cow urine + 5 kg chopped neem leaves/seed + 2 kg garlic (crushed) + 1 kg custard apple leaves +1 kg </w:t>
      </w:r>
      <w:proofErr w:type="spellStart"/>
      <w:r w:rsidRPr="00BD7F39">
        <w:rPr>
          <w:rFonts w:ascii="Arial" w:eastAsia="Calibri" w:hAnsi="Arial" w:cs="Arial"/>
          <w:color w:val="000000"/>
          <w:kern w:val="0"/>
          <w:sz w:val="20"/>
          <w:szCs w:val="20"/>
          <w14:ligatures w14:val="none"/>
        </w:rPr>
        <w:t>karanj</w:t>
      </w:r>
      <w:proofErr w:type="spellEnd"/>
      <w:r w:rsidRPr="00BD7F39">
        <w:rPr>
          <w:rFonts w:ascii="Arial" w:eastAsia="Calibri" w:hAnsi="Arial" w:cs="Arial"/>
          <w:color w:val="000000"/>
          <w:kern w:val="0"/>
          <w:sz w:val="20"/>
          <w:szCs w:val="20"/>
          <w14:ligatures w14:val="none"/>
        </w:rPr>
        <w:t xml:space="preserve"> leaves + 1 kg </w:t>
      </w:r>
      <w:proofErr w:type="spellStart"/>
      <w:r w:rsidRPr="00BD7F39">
        <w:rPr>
          <w:rFonts w:ascii="Arial" w:eastAsia="Calibri" w:hAnsi="Arial" w:cs="Arial"/>
          <w:color w:val="000000"/>
          <w:kern w:val="0"/>
          <w:sz w:val="20"/>
          <w:szCs w:val="20"/>
          <w14:ligatures w14:val="none"/>
        </w:rPr>
        <w:t>papya</w:t>
      </w:r>
      <w:proofErr w:type="spellEnd"/>
      <w:r w:rsidRPr="00BD7F39">
        <w:rPr>
          <w:rFonts w:ascii="Arial" w:eastAsia="Calibri" w:hAnsi="Arial" w:cs="Arial"/>
          <w:color w:val="000000"/>
          <w:kern w:val="0"/>
          <w:sz w:val="20"/>
          <w:szCs w:val="20"/>
          <w14:ligatures w14:val="none"/>
        </w:rPr>
        <w:t xml:space="preserve"> leaves + 2 kg jaggery + 500 g lime in 20 L water. Stir thoroughly with wooden stick and soak for 3 days (stir twice daily clockwise/anticlockwise). Solution ferments to dark greenish-brown with strong herbal odour; filter through double muslin cloth. Make volume to 100 L with water; add 200 g detergent (1%) as sticker (make paste first, then blend). (</w:t>
      </w:r>
      <w:proofErr w:type="spellStart"/>
      <w:r w:rsidRPr="00BD7F39">
        <w:rPr>
          <w:rFonts w:ascii="Arial" w:eastAsia="Calibri" w:hAnsi="Arial" w:cs="Arial"/>
          <w:color w:val="000000"/>
          <w:kern w:val="0"/>
          <w:sz w:val="20"/>
          <w:szCs w:val="20"/>
          <w:lang w:val="en-US"/>
          <w14:ligatures w14:val="none"/>
        </w:rPr>
        <w:t>Palekar</w:t>
      </w:r>
      <w:proofErr w:type="spellEnd"/>
      <w:r w:rsidRPr="00BD7F39">
        <w:rPr>
          <w:rFonts w:ascii="Arial" w:eastAsia="Calibri" w:hAnsi="Arial" w:cs="Arial"/>
          <w:color w:val="000000"/>
          <w:kern w:val="0"/>
          <w:sz w:val="20"/>
          <w:szCs w:val="20"/>
          <w:lang w:val="en-US"/>
          <w14:ligatures w14:val="none"/>
        </w:rPr>
        <w:t>, S.S. 2006.)</w:t>
      </w:r>
    </w:p>
    <w:p w14:paraId="678F8AED" w14:textId="2436044E" w:rsidR="005C7191" w:rsidRPr="00BD7F39" w:rsidRDefault="005C7191" w:rsidP="005C7191">
      <w:pPr>
        <w:tabs>
          <w:tab w:val="left" w:pos="1440"/>
          <w:tab w:val="left" w:pos="1530"/>
        </w:tabs>
        <w:autoSpaceDE w:val="0"/>
        <w:autoSpaceDN w:val="0"/>
        <w:adjustRightInd w:val="0"/>
        <w:spacing w:before="120" w:after="120" w:line="360" w:lineRule="auto"/>
        <w:jc w:val="both"/>
        <w:rPr>
          <w:rFonts w:ascii="Arial" w:eastAsia="Calibri" w:hAnsi="Arial" w:cs="Arial"/>
          <w:color w:val="000000"/>
          <w:kern w:val="0"/>
          <w:sz w:val="20"/>
          <w:szCs w:val="20"/>
          <w14:ligatures w14:val="none"/>
        </w:rPr>
      </w:pPr>
      <w:r w:rsidRPr="00BD7F39">
        <w:rPr>
          <w:rFonts w:ascii="Arial" w:eastAsia="Calibri" w:hAnsi="Arial" w:cs="Arial"/>
          <w:b/>
          <w:bCs/>
          <w:color w:val="000000"/>
          <w:kern w:val="0"/>
          <w:sz w:val="20"/>
          <w:szCs w:val="20"/>
          <w14:ligatures w14:val="none"/>
        </w:rPr>
        <w:t>Usage:</w:t>
      </w:r>
      <w:r w:rsidRPr="00BD7F39">
        <w:rPr>
          <w:rFonts w:ascii="Arial" w:eastAsia="Calibri" w:hAnsi="Arial" w:cs="Arial"/>
          <w:color w:val="000000"/>
          <w:kern w:val="0"/>
          <w:sz w:val="20"/>
          <w:szCs w:val="20"/>
          <w14:ligatures w14:val="none"/>
        </w:rPr>
        <w:t> Broad-spectrum spray @ 500-1000 L/ha on soybean/chickpea for multiple pests (sucking/chewing/soil insects) at early infestation (15-45 DAS); repeat 2-3 times at 10-day intervals.</w:t>
      </w:r>
    </w:p>
    <w:p w14:paraId="0C4AE520" w14:textId="6F353718" w:rsidR="00774009" w:rsidRPr="00BD7F39" w:rsidRDefault="00774009" w:rsidP="00774009">
      <w:pPr>
        <w:spacing w:line="360" w:lineRule="auto"/>
        <w:jc w:val="both"/>
        <w:rPr>
          <w:rFonts w:ascii="Arial" w:hAnsi="Arial" w:cs="Arial"/>
          <w:noProof/>
          <w:sz w:val="20"/>
          <w:szCs w:val="20"/>
        </w:rPr>
      </w:pPr>
      <w:r w:rsidRPr="00BD7F39">
        <w:rPr>
          <w:rFonts w:ascii="Arial" w:hAnsi="Arial" w:cs="Arial"/>
          <w:noProof/>
          <w:sz w:val="20"/>
          <w:szCs w:val="20"/>
        </w:rPr>
        <w:t xml:space="preserve">Badiyala and Sharma (2021): The study describes the use of various astras such as Darekastra, Brahmastra, Agneyastra, Dashaparni, and Neemastra for controlling sucking and chewing pests, fruit borers, and leaf folders. These are prepared from local plant materials and cow urine, and are effective against more than 550 insect species. Neem-based astras (Neemastra, Neem paste) are especially effective due to azadirachtin, which acts as a repellent, antifeedant, and growth disruptor. </w:t>
      </w:r>
    </w:p>
    <w:p w14:paraId="3044C5C2" w14:textId="77E2454F"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lastRenderedPageBreak/>
        <w:t xml:space="preserve">           </w:t>
      </w:r>
      <w:r w:rsidR="00170CA1">
        <w:rPr>
          <w:rFonts w:ascii="Arial" w:hAnsi="Arial" w:cs="Arial"/>
          <w:noProof/>
          <w:sz w:val="20"/>
          <w:szCs w:val="20"/>
        </w:rPr>
        <w:t xml:space="preserve">  </w:t>
      </w:r>
      <w:r w:rsidRPr="00BD7F39">
        <w:rPr>
          <w:rFonts w:ascii="Arial" w:hAnsi="Arial" w:cs="Arial"/>
          <w:noProof/>
          <w:sz w:val="20"/>
          <w:szCs w:val="20"/>
        </w:rPr>
        <w:t xml:space="preserve">Indian Farmer (2021): The guide highlights that astras are prepared from locally available resources and are used for both preventive and curative pest control. Examples include Brahmastra for sucking pests and older larvae, Agneyastra for hidden pests like borers, and Neemastra for sucking pests and young caterpillars. These are applied as sprays and are safe for beneficial insects. </w:t>
      </w:r>
    </w:p>
    <w:p w14:paraId="596361BE" w14:textId="526743C7" w:rsidR="00774009" w:rsidRPr="00BD7F39" w:rsidRDefault="00774009" w:rsidP="00774009">
      <w:pPr>
        <w:tabs>
          <w:tab w:val="left" w:pos="567"/>
        </w:tabs>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BF5C20" w:rsidRPr="00BD7F39">
        <w:rPr>
          <w:rFonts w:ascii="Arial" w:hAnsi="Arial" w:cs="Arial"/>
          <w:noProof/>
          <w:sz w:val="20"/>
          <w:szCs w:val="20"/>
        </w:rPr>
        <w:t>Singh, A., &amp; Kumar, R. (2024)</w:t>
      </w:r>
      <w:r w:rsidRPr="00BD7F39">
        <w:rPr>
          <w:rFonts w:ascii="Arial" w:hAnsi="Arial" w:cs="Arial"/>
          <w:noProof/>
          <w:sz w:val="20"/>
          <w:szCs w:val="20"/>
        </w:rPr>
        <w:t xml:space="preserve">: Research shows that astras like Agniastra, made from cow urine, chili, garlic, and neem leaves, provide effective pest control without adverse effects on plant growth or yield. They are environmentally safe and cost-effective alternatives to chemical pesticides. </w:t>
      </w:r>
    </w:p>
    <w:p w14:paraId="54A98DB0" w14:textId="1BB8ED9D" w:rsidR="00774009" w:rsidRPr="00BD7F39" w:rsidRDefault="00BF5C20"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 xml:space="preserve"> Kumar, S. (2022)</w:t>
      </w:r>
      <w:r w:rsidR="00774009" w:rsidRPr="00BD7F39">
        <w:rPr>
          <w:rFonts w:ascii="Arial" w:hAnsi="Arial" w:cs="Arial"/>
          <w:noProof/>
          <w:sz w:val="20"/>
          <w:szCs w:val="20"/>
        </w:rPr>
        <w:t xml:space="preserve">These extracts are effective against aphids, caterpillars, and other common pests, with fast degradation and reduced environmental impact compared to synthetic options. </w:t>
      </w:r>
    </w:p>
    <w:p w14:paraId="07AD86B6" w14:textId="79786B00"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MANAGE (2023): Natural, farm-made biopesticides like Neem Astra are advocated for pest and disease control in natural farming systems. Multi-cropping and the use of astras are encouraged to enhance crop protection and sustainability.</w:t>
      </w:r>
    </w:p>
    <w:p w14:paraId="2715AB91" w14:textId="3C7D3445" w:rsidR="00774009" w:rsidRPr="00BD7F39" w:rsidRDefault="00774009" w:rsidP="00774009">
      <w:pPr>
        <w:spacing w:line="360" w:lineRule="auto"/>
        <w:ind w:hanging="720"/>
        <w:jc w:val="both"/>
        <w:rPr>
          <w:rFonts w:ascii="Arial" w:hAnsi="Arial" w:cs="Arial"/>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 xml:space="preserve">Suneel Kumar and Sarada (2020) conducted experiments in Andhra Pradesh, India, to evaluate the efficacy of Agniastra and Neemastra in controlling pests in soybean and chickpea. The astras were prepared from cow urine, chili, garlic, and neem leaves, fermented, and applied as foliar sprays. The results showed a significant reduction in pest populations (aphids, caterpillars, borers, and whiteflies) and improved yield in both crops compared to untreated control plots. The study demonstrated that astras are effective, environmentally friendly alternatives to chemical pesticides in soybean and chickpea cultivation. </w:t>
      </w:r>
    </w:p>
    <w:p w14:paraId="5D9A8771" w14:textId="56F5883D" w:rsidR="00774009" w:rsidRPr="00BD7F39" w:rsidRDefault="00774009" w:rsidP="001D0153">
      <w:pPr>
        <w:spacing w:line="360" w:lineRule="auto"/>
        <w:ind w:hanging="720"/>
        <w:jc w:val="both"/>
        <w:rPr>
          <w:rFonts w:ascii="Arial" w:hAnsi="Arial" w:cs="Arial"/>
          <w:b/>
          <w:bCs/>
          <w:noProof/>
          <w:sz w:val="20"/>
          <w:szCs w:val="20"/>
        </w:rPr>
      </w:pPr>
      <w:r w:rsidRPr="00BD7F39">
        <w:rPr>
          <w:rFonts w:ascii="Arial" w:hAnsi="Arial" w:cs="Arial"/>
          <w:noProof/>
          <w:sz w:val="20"/>
          <w:szCs w:val="20"/>
        </w:rPr>
        <w:t xml:space="preserve">          </w:t>
      </w:r>
      <w:r w:rsidR="00170CA1">
        <w:rPr>
          <w:rFonts w:ascii="Arial" w:hAnsi="Arial" w:cs="Arial"/>
          <w:noProof/>
          <w:sz w:val="20"/>
          <w:szCs w:val="20"/>
        </w:rPr>
        <w:t xml:space="preserve">  </w:t>
      </w:r>
      <w:r w:rsidRPr="00BD7F39">
        <w:rPr>
          <w:rFonts w:ascii="Arial" w:hAnsi="Arial" w:cs="Arial"/>
          <w:noProof/>
          <w:sz w:val="20"/>
          <w:szCs w:val="20"/>
        </w:rPr>
        <w:t>NIPHM (2022),</w:t>
      </w:r>
      <w:r w:rsidRPr="00BD7F39">
        <w:rPr>
          <w:rFonts w:ascii="Arial" w:hAnsi="Arial" w:cs="Arial"/>
          <w:b/>
          <w:bCs/>
          <w:noProof/>
          <w:sz w:val="20"/>
          <w:szCs w:val="20"/>
        </w:rPr>
        <w:t xml:space="preserve"> </w:t>
      </w:r>
      <w:r w:rsidRPr="00BD7F39">
        <w:rPr>
          <w:rFonts w:ascii="Arial" w:hAnsi="Arial" w:cs="Arial"/>
          <w:noProof/>
          <w:sz w:val="20"/>
          <w:szCs w:val="20"/>
        </w:rPr>
        <w:t>The National Institute of Plant Health Management (NIPHM) conducted experiments in Hyderabad, India, in 2022, to test the effectiveness of cow urine and Neem oil sprays for managing collar rot and rust in soybean and chickpea. The treatments were applied as foliar sprays and seed treatments. The results indicated effective control of collar rot and rust, with reduced disease incidence and improved plant health in both crops. The study highlighted the potential of astras in sustainable pest and disease management for chickpea</w:t>
      </w:r>
    </w:p>
    <w:p w14:paraId="7DA5152B" w14:textId="135922D9" w:rsidR="00A77F77" w:rsidRPr="00BD7F39" w:rsidRDefault="00A77F77" w:rsidP="00C1043D">
      <w:pPr>
        <w:spacing w:line="360" w:lineRule="auto"/>
        <w:jc w:val="both"/>
        <w:rPr>
          <w:rFonts w:ascii="Arial" w:hAnsi="Arial" w:cs="Arial"/>
          <w:b/>
          <w:bCs/>
          <w:noProof/>
          <w:sz w:val="20"/>
          <w:szCs w:val="20"/>
        </w:rPr>
      </w:pPr>
      <w:r w:rsidRPr="00BD7F39">
        <w:rPr>
          <w:rFonts w:ascii="Arial" w:hAnsi="Arial" w:cs="Arial"/>
          <w:b/>
          <w:bCs/>
          <w:noProof/>
          <w:sz w:val="20"/>
          <w:szCs w:val="20"/>
        </w:rPr>
        <w:t>Botanical Components and Their Pesticidal Properties</w:t>
      </w:r>
    </w:p>
    <w:p w14:paraId="4129FDC5" w14:textId="77777777" w:rsidR="00A77F77" w:rsidRPr="00BD7F39" w:rsidRDefault="00A77F77" w:rsidP="00774009">
      <w:pPr>
        <w:spacing w:line="360" w:lineRule="auto"/>
        <w:jc w:val="both"/>
        <w:rPr>
          <w:rFonts w:ascii="Arial" w:hAnsi="Arial" w:cs="Arial"/>
          <w:noProof/>
          <w:sz w:val="20"/>
          <w:szCs w:val="20"/>
        </w:rPr>
      </w:pPr>
      <w:r w:rsidRPr="00BD7F39">
        <w:rPr>
          <w:rFonts w:ascii="Arial" w:hAnsi="Arial" w:cs="Arial"/>
          <w:noProof/>
          <w:sz w:val="20"/>
          <w:szCs w:val="20"/>
        </w:rPr>
        <w:t>Botanicals play a vital role in natural farming for pest management. Key plant-based formulations and their active compounds include:</w:t>
      </w:r>
    </w:p>
    <w:p w14:paraId="02F93ED2" w14:textId="77777777"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Garlic (</w:t>
      </w:r>
      <w:r w:rsidRPr="00BD7F39">
        <w:rPr>
          <w:rFonts w:ascii="Arial" w:hAnsi="Arial" w:cs="Arial"/>
          <w:b/>
          <w:bCs/>
          <w:i/>
          <w:iCs/>
          <w:noProof/>
          <w:sz w:val="20"/>
          <w:szCs w:val="20"/>
        </w:rPr>
        <w:t>Allium sativum</w:t>
      </w:r>
      <w:r w:rsidRPr="00BD7F39">
        <w:rPr>
          <w:rFonts w:ascii="Arial" w:hAnsi="Arial" w:cs="Arial"/>
          <w:b/>
          <w:bCs/>
          <w:noProof/>
          <w:sz w:val="20"/>
          <w:szCs w:val="20"/>
        </w:rPr>
        <w:t>)</w:t>
      </w:r>
      <w:r w:rsidRPr="00BD7F39">
        <w:rPr>
          <w:rFonts w:ascii="Arial" w:hAnsi="Arial" w:cs="Arial"/>
          <w:noProof/>
          <w:sz w:val="20"/>
          <w:szCs w:val="20"/>
        </w:rPr>
        <w:t>: Diallyl disulfide exhibits insecticidal, fungicidal, and nematicidal activity (Edwards et al., 2011; Murthy and Venkateshwarulu, 1998; Saharan et al., 2023).</w:t>
      </w:r>
    </w:p>
    <w:p w14:paraId="2EEBA002" w14:textId="273B486C"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Chilli (</w:t>
      </w:r>
      <w:r w:rsidRPr="00BD7F39">
        <w:rPr>
          <w:rFonts w:ascii="Arial" w:hAnsi="Arial" w:cs="Arial"/>
          <w:b/>
          <w:bCs/>
          <w:i/>
          <w:iCs/>
          <w:noProof/>
          <w:sz w:val="20"/>
          <w:szCs w:val="20"/>
        </w:rPr>
        <w:t>Capsicum spp</w:t>
      </w:r>
      <w:r w:rsidRPr="00BD7F39">
        <w:rPr>
          <w:rFonts w:ascii="Arial" w:hAnsi="Arial" w:cs="Arial"/>
          <w:b/>
          <w:bCs/>
          <w:noProof/>
          <w:sz w:val="20"/>
          <w:szCs w:val="20"/>
        </w:rPr>
        <w:t>)</w:t>
      </w:r>
      <w:r w:rsidRPr="00BD7F39">
        <w:rPr>
          <w:rFonts w:ascii="Arial" w:hAnsi="Arial" w:cs="Arial"/>
          <w:noProof/>
          <w:sz w:val="20"/>
          <w:szCs w:val="20"/>
        </w:rPr>
        <w:t>: Capsaicin disrupts insect nervous systems and feeding behavior</w:t>
      </w:r>
      <w:r w:rsidR="00106A9B" w:rsidRPr="00BD7F39">
        <w:rPr>
          <w:rFonts w:ascii="Arial" w:hAnsi="Arial" w:cs="Arial"/>
          <w:noProof/>
          <w:sz w:val="20"/>
          <w:szCs w:val="20"/>
        </w:rPr>
        <w:t xml:space="preserve"> Chaudhary et al., (2019)</w:t>
      </w:r>
      <w:r w:rsidRPr="00BD7F39">
        <w:rPr>
          <w:rFonts w:ascii="Arial" w:hAnsi="Arial" w:cs="Arial"/>
          <w:noProof/>
          <w:sz w:val="20"/>
          <w:szCs w:val="20"/>
        </w:rPr>
        <w:t>.</w:t>
      </w:r>
    </w:p>
    <w:p w14:paraId="20663C88" w14:textId="5A6D5F51"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t>Tobacco (</w:t>
      </w:r>
      <w:r w:rsidRPr="00BD7F39">
        <w:rPr>
          <w:rFonts w:ascii="Arial" w:hAnsi="Arial" w:cs="Arial"/>
          <w:b/>
          <w:bCs/>
          <w:i/>
          <w:iCs/>
          <w:noProof/>
          <w:sz w:val="20"/>
          <w:szCs w:val="20"/>
        </w:rPr>
        <w:t>Nicotiana tabacum</w:t>
      </w:r>
      <w:r w:rsidRPr="00BD7F39">
        <w:rPr>
          <w:rFonts w:ascii="Arial" w:hAnsi="Arial" w:cs="Arial"/>
          <w:b/>
          <w:bCs/>
          <w:noProof/>
          <w:sz w:val="20"/>
          <w:szCs w:val="20"/>
        </w:rPr>
        <w:t>)</w:t>
      </w:r>
      <w:r w:rsidRPr="00BD7F39">
        <w:rPr>
          <w:rFonts w:ascii="Arial" w:hAnsi="Arial" w:cs="Arial"/>
          <w:noProof/>
          <w:sz w:val="20"/>
          <w:szCs w:val="20"/>
        </w:rPr>
        <w:t>: Nicotine has strong insecticidal effects (use with caution due to toxicity</w:t>
      </w:r>
      <w:r w:rsidR="00106A9B" w:rsidRPr="00BD7F39">
        <w:rPr>
          <w:rFonts w:ascii="Arial" w:hAnsi="Arial" w:cs="Arial"/>
          <w:noProof/>
          <w:sz w:val="20"/>
          <w:szCs w:val="20"/>
        </w:rPr>
        <w:t xml:space="preserve"> (Rana 2015, Weber et al., 2019)</w:t>
      </w:r>
      <w:r w:rsidRPr="00BD7F39">
        <w:rPr>
          <w:rFonts w:ascii="Arial" w:hAnsi="Arial" w:cs="Arial"/>
          <w:noProof/>
          <w:sz w:val="20"/>
          <w:szCs w:val="20"/>
        </w:rPr>
        <w:t>.</w:t>
      </w:r>
    </w:p>
    <w:p w14:paraId="0D2CE2AF" w14:textId="62A34146" w:rsidR="00A77F77" w:rsidRPr="00BD7F39" w:rsidRDefault="00A77F77" w:rsidP="00774009">
      <w:pPr>
        <w:spacing w:line="360" w:lineRule="auto"/>
        <w:jc w:val="both"/>
        <w:rPr>
          <w:rFonts w:ascii="Arial" w:hAnsi="Arial" w:cs="Arial"/>
          <w:noProof/>
          <w:sz w:val="20"/>
          <w:szCs w:val="20"/>
        </w:rPr>
      </w:pPr>
      <w:r w:rsidRPr="00BD7F39">
        <w:rPr>
          <w:rFonts w:ascii="Arial" w:hAnsi="Arial" w:cs="Arial"/>
          <w:b/>
          <w:bCs/>
          <w:noProof/>
          <w:sz w:val="20"/>
          <w:szCs w:val="20"/>
        </w:rPr>
        <w:lastRenderedPageBreak/>
        <w:t>Neem (</w:t>
      </w:r>
      <w:r w:rsidRPr="00BD7F39">
        <w:rPr>
          <w:rFonts w:ascii="Arial" w:hAnsi="Arial" w:cs="Arial"/>
          <w:b/>
          <w:bCs/>
          <w:i/>
          <w:iCs/>
          <w:noProof/>
          <w:sz w:val="20"/>
          <w:szCs w:val="20"/>
        </w:rPr>
        <w:t>Azadirachta indica</w:t>
      </w:r>
      <w:r w:rsidRPr="00BD7F39">
        <w:rPr>
          <w:rFonts w:ascii="Arial" w:hAnsi="Arial" w:cs="Arial"/>
          <w:b/>
          <w:bCs/>
          <w:noProof/>
          <w:sz w:val="20"/>
          <w:szCs w:val="20"/>
        </w:rPr>
        <w:t>)</w:t>
      </w:r>
      <w:r w:rsidRPr="00BD7F39">
        <w:rPr>
          <w:rFonts w:ascii="Arial" w:hAnsi="Arial" w:cs="Arial"/>
          <w:noProof/>
          <w:sz w:val="20"/>
          <w:szCs w:val="20"/>
        </w:rPr>
        <w:t>: Azadirachtin interferes with insect growth and reproduction</w:t>
      </w:r>
      <w:r w:rsidR="00106A9B" w:rsidRPr="00BD7F39">
        <w:rPr>
          <w:rFonts w:ascii="Arial" w:hAnsi="Arial" w:cs="Arial"/>
          <w:noProof/>
          <w:sz w:val="20"/>
          <w:szCs w:val="20"/>
        </w:rPr>
        <w:t xml:space="preserve"> (Nisbet 2000,  Dhakad et al., 2025)</w:t>
      </w:r>
    </w:p>
    <w:p w14:paraId="0E010CAC" w14:textId="6106F36B" w:rsidR="00A77F77" w:rsidRPr="00BD7F39" w:rsidRDefault="00A77F77" w:rsidP="00774009">
      <w:pPr>
        <w:spacing w:line="360" w:lineRule="auto"/>
        <w:ind w:left="-76"/>
        <w:jc w:val="both"/>
        <w:rPr>
          <w:rFonts w:ascii="Arial" w:hAnsi="Arial" w:cs="Arial"/>
          <w:noProof/>
          <w:sz w:val="20"/>
          <w:szCs w:val="20"/>
        </w:rPr>
      </w:pPr>
      <w:r w:rsidRPr="00BD7F39">
        <w:rPr>
          <w:rFonts w:ascii="Arial" w:hAnsi="Arial" w:cs="Arial"/>
          <w:b/>
          <w:bCs/>
          <w:noProof/>
          <w:sz w:val="20"/>
          <w:szCs w:val="20"/>
        </w:rPr>
        <w:t>Karanj (</w:t>
      </w:r>
      <w:r w:rsidRPr="00BD7F39">
        <w:rPr>
          <w:rFonts w:ascii="Arial" w:hAnsi="Arial" w:cs="Arial"/>
          <w:b/>
          <w:bCs/>
          <w:i/>
          <w:iCs/>
          <w:noProof/>
          <w:sz w:val="20"/>
          <w:szCs w:val="20"/>
        </w:rPr>
        <w:t>Pongamia pinnata</w:t>
      </w:r>
      <w:r w:rsidRPr="00BD7F39">
        <w:rPr>
          <w:rFonts w:ascii="Arial" w:hAnsi="Arial" w:cs="Arial"/>
          <w:b/>
          <w:bCs/>
          <w:noProof/>
          <w:sz w:val="20"/>
          <w:szCs w:val="20"/>
        </w:rPr>
        <w:t>)</w:t>
      </w:r>
      <w:r w:rsidRPr="00BD7F39">
        <w:rPr>
          <w:rFonts w:ascii="Arial" w:hAnsi="Arial" w:cs="Arial"/>
          <w:noProof/>
          <w:sz w:val="20"/>
          <w:szCs w:val="20"/>
        </w:rPr>
        <w:t>: Pongamol and karanjin provide insecticidal and antimicrobial effects.</w:t>
      </w:r>
      <w:r w:rsidR="00106A9B" w:rsidRPr="00BD7F39">
        <w:rPr>
          <w:rFonts w:ascii="Arial" w:hAnsi="Arial" w:cs="Arial"/>
          <w:noProof/>
          <w:sz w:val="20"/>
          <w:szCs w:val="20"/>
        </w:rPr>
        <w:t xml:space="preserve"> (Purkait et al., 2021, Devi et al., 2012, Singh et al., 2024, Ahma et al., 2024, Jaiswal, et al., 2021)</w:t>
      </w:r>
    </w:p>
    <w:p w14:paraId="7F9A4BC6" w14:textId="5C1E33E5" w:rsidR="00774009" w:rsidRPr="00BD7F39" w:rsidRDefault="00774009" w:rsidP="00774009">
      <w:pPr>
        <w:spacing w:line="360" w:lineRule="auto"/>
        <w:ind w:left="-76"/>
        <w:jc w:val="both"/>
        <w:rPr>
          <w:rFonts w:ascii="Arial" w:hAnsi="Arial" w:cs="Arial"/>
          <w:noProof/>
          <w:sz w:val="20"/>
          <w:szCs w:val="20"/>
        </w:rPr>
      </w:pPr>
      <w:r w:rsidRPr="00BD7F39">
        <w:rPr>
          <w:rFonts w:ascii="Arial" w:hAnsi="Arial" w:cs="Arial"/>
          <w:b/>
          <w:bCs/>
          <w:noProof/>
          <w:sz w:val="20"/>
          <w:szCs w:val="20"/>
        </w:rPr>
        <w:t>Custard apple (</w:t>
      </w:r>
      <w:r w:rsidRPr="00BD7F39">
        <w:rPr>
          <w:rFonts w:ascii="Arial" w:hAnsi="Arial" w:cs="Arial"/>
          <w:b/>
          <w:bCs/>
          <w:i/>
          <w:iCs/>
          <w:noProof/>
          <w:sz w:val="20"/>
          <w:szCs w:val="20"/>
        </w:rPr>
        <w:t>Annona squamosa</w:t>
      </w:r>
      <w:r w:rsidRPr="00BD7F39">
        <w:rPr>
          <w:rFonts w:ascii="Arial" w:hAnsi="Arial" w:cs="Arial"/>
          <w:b/>
          <w:bCs/>
          <w:noProof/>
          <w:sz w:val="20"/>
          <w:szCs w:val="20"/>
        </w:rPr>
        <w:t>)</w:t>
      </w:r>
    </w:p>
    <w:p w14:paraId="0B525847" w14:textId="0E98A026" w:rsidR="001D0153" w:rsidRPr="00BD7F39" w:rsidRDefault="00B87614" w:rsidP="00A77F77">
      <w:pPr>
        <w:spacing w:line="360" w:lineRule="auto"/>
        <w:jc w:val="both"/>
        <w:rPr>
          <w:rFonts w:ascii="Arial" w:hAnsi="Arial" w:cs="Arial"/>
          <w:noProof/>
          <w:sz w:val="20"/>
          <w:szCs w:val="20"/>
        </w:rPr>
      </w:pPr>
      <w:r w:rsidRPr="00BD7F39">
        <w:rPr>
          <w:rFonts w:ascii="Arial" w:hAnsi="Arial" w:cs="Arial"/>
          <w:noProof/>
          <w:sz w:val="20"/>
          <w:szCs w:val="20"/>
        </w:rPr>
        <w:t>The seed oil, rich in annonin, is more effective than leaf or seed extracts and can be used as a botanical pesticide for controlling various agricultural</w:t>
      </w:r>
      <w:r w:rsidR="002A49A8" w:rsidRPr="00BD7F39">
        <w:rPr>
          <w:rFonts w:ascii="Arial" w:hAnsi="Arial" w:cs="Arial"/>
          <w:noProof/>
          <w:sz w:val="20"/>
          <w:szCs w:val="20"/>
        </w:rPr>
        <w:t xml:space="preserve"> </w:t>
      </w:r>
      <w:r w:rsidRPr="00BD7F39">
        <w:rPr>
          <w:rFonts w:ascii="Arial" w:hAnsi="Arial" w:cs="Arial"/>
          <w:noProof/>
          <w:sz w:val="20"/>
          <w:szCs w:val="20"/>
        </w:rPr>
        <w:t>and household pests (IJARSCT, 2020; India</w:t>
      </w:r>
      <w:r w:rsidR="0031292D" w:rsidRPr="00BD7F39">
        <w:rPr>
          <w:rFonts w:ascii="Arial" w:hAnsi="Arial" w:cs="Arial"/>
          <w:noProof/>
          <w:sz w:val="20"/>
          <w:szCs w:val="20"/>
        </w:rPr>
        <w:t xml:space="preserve"> </w:t>
      </w:r>
      <w:r w:rsidRPr="00BD7F39">
        <w:rPr>
          <w:rFonts w:ascii="Arial" w:hAnsi="Arial" w:cs="Arial"/>
          <w:noProof/>
          <w:sz w:val="20"/>
          <w:szCs w:val="20"/>
        </w:rPr>
        <w:t>MART, 2008).</w:t>
      </w:r>
      <w:r w:rsidR="002A49A8" w:rsidRPr="00BD7F39">
        <w:rPr>
          <w:rFonts w:ascii="Arial" w:hAnsi="Arial" w:cs="Arial"/>
          <w:noProof/>
          <w:sz w:val="20"/>
          <w:szCs w:val="20"/>
        </w:rPr>
        <w:t xml:space="preserve"> </w:t>
      </w:r>
      <w:r w:rsidRPr="00BD7F39">
        <w:rPr>
          <w:rFonts w:ascii="Arial" w:hAnsi="Arial" w:cs="Arial"/>
          <w:noProof/>
          <w:sz w:val="20"/>
          <w:szCs w:val="20"/>
        </w:rPr>
        <w:t>Furthermore, green copper nanoparticles synthesized from custard apple seeds show strong insecticidal activity against mosquito and beetle larvae, with low toxicity to non-target organisms, making them a promising eco-friendly alternative to synthetic pesticides (</w:t>
      </w:r>
      <w:r w:rsidR="001D0153" w:rsidRPr="00BD7F39">
        <w:rPr>
          <w:rFonts w:ascii="Arial" w:hAnsi="Arial" w:cs="Arial"/>
          <w:noProof/>
          <w:sz w:val="20"/>
          <w:szCs w:val="20"/>
        </w:rPr>
        <w:t>Jothibasu et al.</w:t>
      </w:r>
      <w:r w:rsidRPr="00BD7F39">
        <w:rPr>
          <w:rFonts w:ascii="Arial" w:hAnsi="Arial" w:cs="Arial"/>
          <w:noProof/>
          <w:sz w:val="20"/>
          <w:szCs w:val="20"/>
        </w:rPr>
        <w:t>, 2021).</w:t>
      </w:r>
    </w:p>
    <w:p w14:paraId="0A4063FD" w14:textId="1F1BDF4D"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t xml:space="preserve">2.4 </w:t>
      </w:r>
      <w:r w:rsidR="00A77F77" w:rsidRPr="00BD7F39">
        <w:rPr>
          <w:rFonts w:ascii="Arial" w:hAnsi="Arial" w:cs="Arial"/>
          <w:b/>
          <w:bCs/>
          <w:noProof/>
        </w:rPr>
        <w:t>Disease Management in Natural Farming</w:t>
      </w:r>
    </w:p>
    <w:p w14:paraId="747C9419" w14:textId="5CFB86CB"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Disease management in natural farming emphasizes preventive strategies, including crop rotation, balanced nutrition, seed treatment with Beejamrit, and maintenance of soil microbial diversity. Botanical extracts containing antiviral proteins from sorghum, coconut, Vitex negundo, and Prosopis juliflora have demonstrated efficacy in suppressing viral replication in crops (Saharan et al., 2023). Milk and fermented buttermilk sprays have shown antiviral effects in Solanaceae, Piperaceae, and Malvaceae crops (Murthy and Venkateshwarulu, 1998).</w:t>
      </w:r>
    </w:p>
    <w:p w14:paraId="6A4A6DB4" w14:textId="2E6F6ADD"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t xml:space="preserve">2.5 </w:t>
      </w:r>
      <w:r w:rsidR="00A77F77" w:rsidRPr="00BD7F39">
        <w:rPr>
          <w:rFonts w:ascii="Arial" w:hAnsi="Arial" w:cs="Arial"/>
          <w:b/>
          <w:bCs/>
          <w:noProof/>
        </w:rPr>
        <w:t>Nematode Management</w:t>
      </w:r>
    </w:p>
    <w:p w14:paraId="1E85458D" w14:textId="13DF8F0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Integrated nematode management in natural farming combines cultural, biological, and physical approaches. Biological control using bacteria (Pasteuria penetrans) and nematode-trapping fungi (Arthrobotrys, Verticillium, Hirsutella, Pochonia chlamydosporia) is effective against Meloidogyne spp. (Weibelzahl-Fulton et al., 1996; Wang and McSorley, 2003; Hano and Khan, 2016).</w:t>
      </w:r>
    </w:p>
    <w:p w14:paraId="79CA0384" w14:textId="59D9ECB8" w:rsidR="00A77F77" w:rsidRPr="00BD7F39" w:rsidRDefault="002E554E" w:rsidP="00A77F77">
      <w:pPr>
        <w:spacing w:line="360" w:lineRule="auto"/>
        <w:jc w:val="both"/>
        <w:rPr>
          <w:rFonts w:ascii="Arial" w:hAnsi="Arial" w:cs="Arial"/>
          <w:b/>
          <w:bCs/>
          <w:noProof/>
        </w:rPr>
      </w:pPr>
      <w:r w:rsidRPr="00BD7F39">
        <w:rPr>
          <w:rFonts w:ascii="Arial" w:hAnsi="Arial" w:cs="Arial"/>
          <w:b/>
          <w:bCs/>
          <w:noProof/>
        </w:rPr>
        <w:t xml:space="preserve">2.6. </w:t>
      </w:r>
      <w:r w:rsidR="00A77F77" w:rsidRPr="00BD7F39">
        <w:rPr>
          <w:rFonts w:ascii="Arial" w:hAnsi="Arial" w:cs="Arial"/>
          <w:b/>
          <w:bCs/>
          <w:noProof/>
        </w:rPr>
        <w:t>Water and Nutrient Management</w:t>
      </w:r>
    </w:p>
    <w:p w14:paraId="55F5E23A" w14:textId="7777777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Water use efficiency (WUE) and nutrient use efficiency (NUE) are critical for sustainable agriculture, especially in natural farming systems. Mulching with crop residues or organic materials reduces soil evaporation, conserves moisture, and improves WUE. Organic matter addition enhances soil water-holding capacity, supporting plant growth under water-limited conditions (Singh et al., 2023; Suganthy et al., 2023; Lakhani et al., 2025).</w:t>
      </w:r>
    </w:p>
    <w:p w14:paraId="54F4ADE6" w14:textId="2EFBF3A8"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Microbial inoculants like Jeevamrit and Ghan</w:t>
      </w:r>
      <w:r w:rsidR="003D2BFB" w:rsidRPr="00BD7F39">
        <w:rPr>
          <w:rFonts w:ascii="Arial" w:hAnsi="Arial" w:cs="Arial"/>
          <w:noProof/>
          <w:sz w:val="20"/>
          <w:szCs w:val="20"/>
        </w:rPr>
        <w:t>j</w:t>
      </w:r>
      <w:r w:rsidRPr="00BD7F39">
        <w:rPr>
          <w:rFonts w:ascii="Arial" w:hAnsi="Arial" w:cs="Arial"/>
          <w:noProof/>
          <w:sz w:val="20"/>
          <w:szCs w:val="20"/>
        </w:rPr>
        <w:t>eevamrit improve soil structure, water retention, root development, and nutrient uptake. These bio-inputs stimulate microbial activity, increasing nutrient mineralization and synchronizing nutrient release with crop demand, thereby boosting both WUE and NUE (Sharma &amp; Chadak, 2022; Saharan et al., 2023; Dwivedi et al., 2021).</w:t>
      </w:r>
    </w:p>
    <w:p w14:paraId="49C040CC" w14:textId="0B04D5D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 xml:space="preserve">Rainwater harvesting and drip irrigation are recommended for optimal water supply, minimizing wastage and maximizing WUE, particularly in semi-arid regions (Lal, 2020; Suganthy et al., 2023). </w:t>
      </w:r>
      <w:r w:rsidRPr="00BD7F39">
        <w:rPr>
          <w:rFonts w:ascii="Arial" w:hAnsi="Arial" w:cs="Arial"/>
          <w:noProof/>
          <w:sz w:val="20"/>
          <w:szCs w:val="20"/>
        </w:rPr>
        <w:lastRenderedPageBreak/>
        <w:t>Crop diversification and rotations enhance soil structure, root distribution, and drought resilience (Singh et al., 2023; Pretty et al., 2018). Minimal soil disturbance preserves aggregates and organic matter, improving water infiltration and reducing runoff (Rockstr</w:t>
      </w:r>
      <w:r w:rsidR="002A49A8" w:rsidRPr="00BD7F39">
        <w:rPr>
          <w:rFonts w:ascii="Arial" w:hAnsi="Arial" w:cs="Arial"/>
          <w:noProof/>
          <w:sz w:val="20"/>
          <w:szCs w:val="20"/>
        </w:rPr>
        <w:t>o</w:t>
      </w:r>
      <w:r w:rsidRPr="00BD7F39">
        <w:rPr>
          <w:rFonts w:ascii="Arial" w:hAnsi="Arial" w:cs="Arial"/>
          <w:noProof/>
          <w:sz w:val="20"/>
          <w:szCs w:val="20"/>
        </w:rPr>
        <w:t>m et al., 2017; Dwivedi et al., 2021).</w:t>
      </w:r>
    </w:p>
    <w:p w14:paraId="7DAD3495" w14:textId="77777777" w:rsidR="00917806"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 xml:space="preserve">Integrated nutrient management (INM) combines organic inputs (compost, green manures, Jeevamrit) with crop rotations and residue management to optimize nutrient cycling and minimize leaching, improving NUE (Das et al., 2024; Saharan et al., 2023; Dwivedi et al., 2021). Microbial consortia enhance nutrient mineralization and release, synchronizing supply with crop demand (Sharma &amp; Chadak, 2022; Saharan </w:t>
      </w:r>
    </w:p>
    <w:p w14:paraId="6F82AFB1" w14:textId="2DDFCC4B"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et al., 2023). Crop residue retention recycles nutrients, improves organic matter, and enhances nutrient availability (Singh et al., 2023; Suganthy et al., 2023).</w:t>
      </w:r>
    </w:p>
    <w:p w14:paraId="6F6DA433" w14:textId="54D13404"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Balanced crop rotations and intercropping promote biological nitrogen fixation and efficient nutrient uptake, further improving NUE (Das et al., 2024; Saharan et al., 2023). Site-specific nutrient management (SSNM) tailors nutrient applications to crop needs, minimizing excess inputs and maximizing uptake efficiency (Das et al., 2024; Dwivedi et al., 2021).</w:t>
      </w:r>
    </w:p>
    <w:p w14:paraId="21105AE2" w14:textId="75F714BE" w:rsidR="00F33D76" w:rsidRPr="00BD7F39" w:rsidRDefault="00F33D76" w:rsidP="00F33D76">
      <w:pPr>
        <w:spacing w:line="360" w:lineRule="auto"/>
        <w:jc w:val="both"/>
        <w:rPr>
          <w:rFonts w:ascii="Arial" w:hAnsi="Arial" w:cs="Arial"/>
          <w:noProof/>
          <w:sz w:val="20"/>
          <w:szCs w:val="20"/>
        </w:rPr>
      </w:pPr>
      <w:r w:rsidRPr="00BD7F39">
        <w:rPr>
          <w:rFonts w:ascii="Arial" w:hAnsi="Arial" w:cs="Arial"/>
          <w:noProof/>
          <w:sz w:val="20"/>
          <w:szCs w:val="20"/>
        </w:rPr>
        <w:t xml:space="preserve">Natural farming practices are interconnected and contribute to various mechanisms that improve soil health, nutrient availability and water efficiency, leading to a more resilient agricultural system and potentially higher crop yields with better carbon accumulation in the soil (Mishra </w:t>
      </w:r>
      <w:r w:rsidRPr="00BD7F39">
        <w:rPr>
          <w:rFonts w:ascii="Arial" w:hAnsi="Arial" w:cs="Arial"/>
          <w:i/>
          <w:iCs/>
          <w:noProof/>
          <w:sz w:val="20"/>
          <w:szCs w:val="20"/>
        </w:rPr>
        <w:t>et al.</w:t>
      </w:r>
      <w:r w:rsidRPr="00BD7F39">
        <w:rPr>
          <w:rFonts w:ascii="Arial" w:hAnsi="Arial" w:cs="Arial"/>
          <w:noProof/>
          <w:sz w:val="20"/>
          <w:szCs w:val="20"/>
        </w:rPr>
        <w:t>, 2023).</w:t>
      </w:r>
    </w:p>
    <w:p w14:paraId="5C41197C" w14:textId="1CD6334D" w:rsidR="00A77F77" w:rsidRPr="00BD7F39" w:rsidRDefault="004D774A" w:rsidP="00A77F77">
      <w:pPr>
        <w:spacing w:line="360" w:lineRule="auto"/>
        <w:jc w:val="both"/>
        <w:rPr>
          <w:rFonts w:ascii="Arial" w:hAnsi="Arial" w:cs="Arial"/>
          <w:b/>
          <w:bCs/>
          <w:noProof/>
        </w:rPr>
      </w:pPr>
      <w:commentRangeStart w:id="4"/>
      <w:r w:rsidRPr="00BD7F39">
        <w:rPr>
          <w:rFonts w:ascii="Arial" w:hAnsi="Arial" w:cs="Arial"/>
          <w:b/>
          <w:bCs/>
          <w:noProof/>
        </w:rPr>
        <w:t xml:space="preserve">3. </w:t>
      </w:r>
      <w:r w:rsidR="00A77F77" w:rsidRPr="00BD7F39">
        <w:rPr>
          <w:rFonts w:ascii="Arial" w:hAnsi="Arial" w:cs="Arial"/>
          <w:b/>
          <w:bCs/>
          <w:noProof/>
        </w:rPr>
        <w:t>Results and Discussion</w:t>
      </w:r>
      <w:commentRangeEnd w:id="4"/>
      <w:r w:rsidR="00E86F32">
        <w:rPr>
          <w:rStyle w:val="CommentReference"/>
        </w:rPr>
        <w:commentReference w:id="4"/>
      </w:r>
    </w:p>
    <w:p w14:paraId="40B575AD" w14:textId="760D64A7" w:rsidR="00DB23E7" w:rsidRPr="00BD7F39" w:rsidRDefault="00DB23E7" w:rsidP="00C23A3A">
      <w:pPr>
        <w:spacing w:line="360" w:lineRule="auto"/>
        <w:jc w:val="both"/>
        <w:rPr>
          <w:rFonts w:ascii="Arial" w:hAnsi="Arial" w:cs="Arial"/>
          <w:noProof/>
          <w:sz w:val="20"/>
          <w:szCs w:val="20"/>
        </w:rPr>
      </w:pPr>
      <w:r w:rsidRPr="00BD7F39">
        <w:rPr>
          <w:rFonts w:ascii="Arial" w:hAnsi="Arial" w:cs="Arial"/>
          <w:noProof/>
          <w:sz w:val="20"/>
          <w:szCs w:val="20"/>
        </w:rPr>
        <w:t xml:space="preserve">On the basis of 2 years of study it can be inferred that chickpea sole with integration of both organic and natural farming practices proved significantly better in terms of growth, yield attributes and yield. </w:t>
      </w:r>
      <w:r w:rsidR="00C23A3A" w:rsidRPr="00BD7F39">
        <w:rPr>
          <w:rFonts w:ascii="Arial" w:hAnsi="Arial" w:cs="Arial"/>
          <w:noProof/>
          <w:sz w:val="20"/>
          <w:szCs w:val="20"/>
        </w:rPr>
        <w:t>Where as seed yield of chickpea among different organic nutrient modules was recorded highest with integration of both natural and organic farming 1149, 1072 and 1111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during 2022-23, 2023-24 and pooled respectively and organic farming recorded seed yield of about 1048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and natural farming recorded 945 kg ha</w:t>
      </w:r>
      <w:r w:rsidR="00C23A3A" w:rsidRPr="00BD7F39">
        <w:rPr>
          <w:rFonts w:ascii="Arial" w:hAnsi="Arial" w:cs="Arial"/>
          <w:noProof/>
          <w:sz w:val="20"/>
          <w:szCs w:val="20"/>
          <w:vertAlign w:val="superscript"/>
        </w:rPr>
        <w:t>-1</w:t>
      </w:r>
      <w:r w:rsidR="00C23A3A" w:rsidRPr="00BD7F39">
        <w:rPr>
          <w:rFonts w:ascii="Arial" w:hAnsi="Arial" w:cs="Arial"/>
          <w:noProof/>
          <w:sz w:val="20"/>
          <w:szCs w:val="20"/>
        </w:rPr>
        <w:t xml:space="preserve">  pooled. </w:t>
      </w:r>
      <w:r w:rsidRPr="00BD7F39">
        <w:rPr>
          <w:rFonts w:ascii="Arial" w:hAnsi="Arial" w:cs="Arial"/>
          <w:noProof/>
          <w:sz w:val="20"/>
          <w:szCs w:val="20"/>
        </w:rPr>
        <w:t>Therefore, chickpea sole with integration of both organic and natural farming practices can be recommended for inclusion under package of practices for farmers of Vidarbha region of Maharashtra</w:t>
      </w:r>
      <w:r w:rsidR="00C23A3A" w:rsidRPr="00BD7F39">
        <w:rPr>
          <w:rFonts w:ascii="Arial" w:hAnsi="Arial" w:cs="Arial"/>
          <w:noProof/>
          <w:sz w:val="20"/>
          <w:szCs w:val="20"/>
        </w:rPr>
        <w:t xml:space="preserve"> (Charitha  et al., 2025)</w:t>
      </w:r>
    </w:p>
    <w:p w14:paraId="052C7E8C" w14:textId="77777777" w:rsidR="005A43E8"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 xml:space="preserve">Long-term field experiments at ZARS, Mandya, Karnataka (2019–2022) revealed that natural farming systems exhibited lower yields in high nutrient-demanding crops like paddy, primarily due to limited immediate nutrient availability, slower mineralization, and absence of external supplementation during peak demand. Paddy showed greater yield penalties compared to conventional practices, a trend reported for cereals during initial transition phases (Ranjit Kumar et al., 2019; Das et al., 2024). </w:t>
      </w:r>
    </w:p>
    <w:p w14:paraId="487B85AF" w14:textId="6EDBE6A7"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t>In contrast, low-input crops such as green gram performed better under natural farming, with minimal yield reduction and improved resource-use efficiency, attributed to their biological nitrogen fixation and efficient nutrient uptake (Kumar et al., 2019; Sarangthem et al., 2023). These findings indicate that legumes and short-duration, low nutrient-extraction crops are better suited for biologically regulated nutrient management (Siddu Malakannavar, 2024).</w:t>
      </w:r>
    </w:p>
    <w:p w14:paraId="1B249E7C" w14:textId="7F14DC56" w:rsidR="00A77F77" w:rsidRPr="00BD7F39" w:rsidRDefault="00A77F77" w:rsidP="00A77F77">
      <w:pPr>
        <w:spacing w:line="360" w:lineRule="auto"/>
        <w:jc w:val="both"/>
        <w:rPr>
          <w:rFonts w:ascii="Arial" w:hAnsi="Arial" w:cs="Arial"/>
          <w:noProof/>
          <w:sz w:val="20"/>
          <w:szCs w:val="20"/>
        </w:rPr>
      </w:pPr>
      <w:r w:rsidRPr="00BD7F39">
        <w:rPr>
          <w:rFonts w:ascii="Arial" w:hAnsi="Arial" w:cs="Arial"/>
          <w:noProof/>
          <w:sz w:val="20"/>
          <w:szCs w:val="20"/>
        </w:rPr>
        <w:lastRenderedPageBreak/>
        <w:t>Multi-season cotton experiments at Tamil Nadu Agricultural College and Research Institute (2021–23) showed that while integrated crop management (ICM) yielded slightly higher seed cotton, natural farming systems recorded superior net returns and benefit–cost ratios due to lower input costs for fertilizers, pesticides, and agrochemicals. Comparable trends have been documented in cotton and oilseed crops, where reduced input dependency improved profitability despite modest yield differences (Monica</w:t>
      </w:r>
      <w:r w:rsidR="002A49A8" w:rsidRPr="00BD7F39">
        <w:rPr>
          <w:rFonts w:ascii="Arial" w:hAnsi="Arial" w:cs="Arial"/>
          <w:noProof/>
          <w:sz w:val="20"/>
          <w:szCs w:val="20"/>
        </w:rPr>
        <w:t xml:space="preserve"> et al</w:t>
      </w:r>
      <w:r w:rsidRPr="00BD7F39">
        <w:rPr>
          <w:rFonts w:ascii="Arial" w:hAnsi="Arial" w:cs="Arial"/>
          <w:noProof/>
          <w:sz w:val="20"/>
          <w:szCs w:val="20"/>
        </w:rPr>
        <w:t>., 2023; Suganthy et al., 2023). Near-parity in yields was supported by improved soil biological activity, enhanced root growth, and sustained nutrient availability through bio-inputs and diversified cropping. Long-term studies confirm that bio-input-based systems stabilize yields over time by enhancing microbial biomass, enzyme activity, and nutrient cycling (Sharma &amp; Chadak, 2022; Saharan et al., 2023). Lower cultivation costs under natural farming compensated for minor yield reductions, improving economic resilience and profitability, especially under escalating input costs and environmental stress. Thus, natural farming should be assessed holistically, considering profitability, soil health, and sustainability, rather than solely on yield maximization (Ranjit Kumar et al., 2019; Das et al., 2024).</w:t>
      </w:r>
    </w:p>
    <w:p w14:paraId="6308FACC" w14:textId="77777777" w:rsidR="00170CA1" w:rsidRDefault="00170CA1" w:rsidP="00A77F77">
      <w:pPr>
        <w:spacing w:line="360" w:lineRule="auto"/>
        <w:jc w:val="both"/>
        <w:rPr>
          <w:rFonts w:ascii="Arial" w:hAnsi="Arial" w:cs="Arial"/>
          <w:b/>
          <w:bCs/>
          <w:noProof/>
        </w:rPr>
      </w:pPr>
    </w:p>
    <w:p w14:paraId="41C7A59B" w14:textId="6A4E9076" w:rsidR="00B517E7" w:rsidRPr="00BD7F39" w:rsidRDefault="00B517E7" w:rsidP="00A77F77">
      <w:pPr>
        <w:spacing w:line="360" w:lineRule="auto"/>
        <w:jc w:val="both"/>
        <w:rPr>
          <w:rFonts w:ascii="Arial" w:hAnsi="Arial" w:cs="Arial"/>
          <w:b/>
          <w:bCs/>
          <w:noProof/>
        </w:rPr>
      </w:pPr>
      <w:r w:rsidRPr="00BD7F39">
        <w:rPr>
          <w:rFonts w:ascii="Arial" w:hAnsi="Arial" w:cs="Arial"/>
          <w:b/>
          <w:bCs/>
          <w:noProof/>
        </w:rPr>
        <w:t>4. Casestudy</w:t>
      </w:r>
    </w:p>
    <w:p w14:paraId="7632B6E7" w14:textId="77777777" w:rsidR="00B517E7" w:rsidRPr="00BD7F39" w:rsidRDefault="00B517E7" w:rsidP="00B517E7">
      <w:pPr>
        <w:spacing w:line="360" w:lineRule="auto"/>
        <w:jc w:val="both"/>
        <w:rPr>
          <w:rFonts w:ascii="Arial" w:hAnsi="Arial" w:cs="Arial"/>
          <w:noProof/>
          <w:sz w:val="20"/>
          <w:szCs w:val="20"/>
        </w:rPr>
      </w:pPr>
      <w:r w:rsidRPr="00BD7F39">
        <w:rPr>
          <w:rFonts w:ascii="Arial" w:hAnsi="Arial" w:cs="Arial"/>
          <w:noProof/>
          <w:sz w:val="20"/>
          <w:szCs w:val="20"/>
        </w:rPr>
        <w:t>A documented case of Dr. Shashikant Salunkhe from Satara district describes his transition from chemical farming to Sri Sri natural farming on crops such as turmeric and sugarcane, where he reports sharply reduced fertilizer and pesticide costs, stable yields, and better prices due to strong consumer demand for residue</w:t>
      </w:r>
      <w:r w:rsidRPr="00BD7F39">
        <w:rPr>
          <w:rFonts w:ascii="Arial" w:hAnsi="Arial" w:cs="Arial"/>
          <w:noProof/>
          <w:sz w:val="20"/>
          <w:szCs w:val="20"/>
        </w:rPr>
        <w:noBreakHyphen/>
        <w:t>free produce. His work with a Participatory Guarantee System (PGS) group and training of other farmers illustrates how individual innovators can catalyse adoption of natural farming in Maharashtra.</w:t>
      </w:r>
      <w:hyperlink r:id="rId24" w:tgtFrame="_blank" w:history="1">
        <w:r w:rsidRPr="00BD7F39">
          <w:rPr>
            <w:rStyle w:val="Hyperlink"/>
            <w:rFonts w:ascii="Arial" w:hAnsi="Arial" w:cs="Arial"/>
            <w:noProof/>
            <w:sz w:val="20"/>
            <w:szCs w:val="20"/>
          </w:rPr>
          <w:t>tarunaturals</w:t>
        </w:r>
      </w:hyperlink>
      <w:r w:rsidRPr="00BD7F39">
        <w:rPr>
          <w:rFonts w:ascii="Arial" w:hAnsi="Arial" w:cs="Arial"/>
          <w:noProof/>
          <w:sz w:val="20"/>
          <w:szCs w:val="20"/>
        </w:rPr>
        <w:t>​</w:t>
      </w:r>
    </w:p>
    <w:p w14:paraId="129FC20B" w14:textId="77777777" w:rsidR="00B517E7" w:rsidRPr="00BD7F39" w:rsidRDefault="00B517E7" w:rsidP="00B517E7">
      <w:pPr>
        <w:spacing w:line="360" w:lineRule="auto"/>
        <w:jc w:val="both"/>
        <w:rPr>
          <w:rFonts w:ascii="Arial" w:hAnsi="Arial" w:cs="Arial"/>
          <w:noProof/>
          <w:sz w:val="20"/>
          <w:szCs w:val="20"/>
        </w:rPr>
      </w:pPr>
      <w:r w:rsidRPr="00BD7F39">
        <w:rPr>
          <w:rFonts w:ascii="Arial" w:hAnsi="Arial" w:cs="Arial"/>
          <w:noProof/>
          <w:sz w:val="20"/>
          <w:szCs w:val="20"/>
        </w:rPr>
        <w:t>NABARD case documentation includes Maharashtra farmers such as Shri Prakash Bhosale and others (names listed in the NABARD “Documenting Cases of Successful Farmers Adopting Natural Farming” report) who shifted to zero</w:t>
      </w:r>
      <w:r w:rsidRPr="00BD7F39">
        <w:rPr>
          <w:rFonts w:ascii="Arial" w:hAnsi="Arial" w:cs="Arial"/>
          <w:noProof/>
          <w:sz w:val="20"/>
          <w:szCs w:val="20"/>
        </w:rPr>
        <w:noBreakHyphen/>
        <w:t>budget or natural farming after facing rising indebtedness under conventional input</w:t>
      </w:r>
      <w:r w:rsidRPr="00BD7F39">
        <w:rPr>
          <w:rFonts w:ascii="Arial" w:hAnsi="Arial" w:cs="Arial"/>
          <w:noProof/>
          <w:sz w:val="20"/>
          <w:szCs w:val="20"/>
        </w:rPr>
        <w:noBreakHyphen/>
        <w:t>intensive systems. These farmers consistently report 20–40% lower paid</w:t>
      </w:r>
      <w:r w:rsidRPr="00BD7F39">
        <w:rPr>
          <w:rFonts w:ascii="Arial" w:hAnsi="Arial" w:cs="Arial"/>
          <w:noProof/>
          <w:sz w:val="20"/>
          <w:szCs w:val="20"/>
        </w:rPr>
        <w:noBreakHyphen/>
        <w:t>out costs and perceived improvements in soil structure, earthworm activity and drought resilience after adopting Jeevamrit, Beejamrit, mulching and diversified cropping.</w:t>
      </w:r>
      <w:hyperlink r:id="rId25" w:tgtFrame="_blank" w:history="1">
        <w:r w:rsidRPr="00BD7F39">
          <w:rPr>
            <w:rStyle w:val="Hyperlink"/>
            <w:rFonts w:ascii="Arial" w:hAnsi="Arial" w:cs="Arial"/>
            <w:noProof/>
            <w:sz w:val="20"/>
            <w:szCs w:val="20"/>
          </w:rPr>
          <w:t>nabard</w:t>
        </w:r>
      </w:hyperlink>
      <w:r w:rsidRPr="00BD7F39">
        <w:rPr>
          <w:rFonts w:ascii="Arial" w:hAnsi="Arial" w:cs="Arial"/>
          <w:noProof/>
          <w:sz w:val="20"/>
          <w:szCs w:val="20"/>
        </w:rPr>
        <w:t>​</w:t>
      </w:r>
    </w:p>
    <w:p w14:paraId="16FBE89C" w14:textId="0DACE28B" w:rsidR="003D61F9" w:rsidRPr="00BD7F39" w:rsidRDefault="00B517E7" w:rsidP="00A77F77">
      <w:pPr>
        <w:spacing w:line="360" w:lineRule="auto"/>
        <w:jc w:val="both"/>
        <w:rPr>
          <w:rFonts w:ascii="Arial" w:hAnsi="Arial" w:cs="Arial"/>
          <w:b/>
          <w:bCs/>
          <w:noProof/>
          <w:sz w:val="20"/>
          <w:szCs w:val="20"/>
        </w:rPr>
      </w:pPr>
      <w:r w:rsidRPr="00BD7F39">
        <w:rPr>
          <w:rFonts w:ascii="Arial" w:hAnsi="Arial" w:cs="Arial"/>
          <w:noProof/>
          <w:sz w:val="20"/>
          <w:szCs w:val="20"/>
        </w:rPr>
        <w:t>A marketing</w:t>
      </w:r>
      <w:r w:rsidRPr="00BD7F39">
        <w:rPr>
          <w:rFonts w:ascii="Arial" w:hAnsi="Arial" w:cs="Arial"/>
          <w:noProof/>
          <w:sz w:val="20"/>
          <w:szCs w:val="20"/>
        </w:rPr>
        <w:noBreakHyphen/>
        <w:t>focused case from Maharashtra cites entrepreneurs like Ashok Dhonde (featured in state</w:t>
      </w:r>
      <w:r w:rsidRPr="00BD7F39">
        <w:rPr>
          <w:rFonts w:ascii="Arial" w:hAnsi="Arial" w:cs="Arial"/>
          <w:noProof/>
          <w:sz w:val="20"/>
          <w:szCs w:val="20"/>
        </w:rPr>
        <w:noBreakHyphen/>
        <w:t>level write</w:t>
      </w:r>
      <w:r w:rsidRPr="00BD7F39">
        <w:rPr>
          <w:rFonts w:ascii="Arial" w:hAnsi="Arial" w:cs="Arial"/>
          <w:noProof/>
          <w:sz w:val="20"/>
          <w:szCs w:val="20"/>
        </w:rPr>
        <w:noBreakHyphen/>
        <w:t>ups on natural farming produce branding) who built local brands for naturally grown grains and pulses, combining low</w:t>
      </w:r>
      <w:r w:rsidRPr="00BD7F39">
        <w:rPr>
          <w:rFonts w:ascii="Arial" w:hAnsi="Arial" w:cs="Arial"/>
          <w:noProof/>
          <w:sz w:val="20"/>
          <w:szCs w:val="20"/>
        </w:rPr>
        <w:noBreakHyphen/>
        <w:t>input production with direct marketing to urban consumers at premium prices. This shows that farmer</w:t>
      </w:r>
      <w:r w:rsidRPr="00BD7F39">
        <w:rPr>
          <w:rFonts w:ascii="Arial" w:hAnsi="Arial" w:cs="Arial"/>
          <w:noProof/>
          <w:sz w:val="20"/>
          <w:szCs w:val="20"/>
        </w:rPr>
        <w:noBreakHyphen/>
        <w:t>led branding and value</w:t>
      </w:r>
      <w:r w:rsidRPr="00BD7F39">
        <w:rPr>
          <w:rFonts w:ascii="Arial" w:hAnsi="Arial" w:cs="Arial"/>
          <w:noProof/>
          <w:sz w:val="20"/>
          <w:szCs w:val="20"/>
        </w:rPr>
        <w:noBreakHyphen/>
        <w:t>addition can make natural farming more profitable even when yields are similar to or slightly lower than conventional systems.</w:t>
      </w:r>
      <w:hyperlink r:id="rId26" w:tgtFrame="_blank" w:history="1">
        <w:r w:rsidRPr="00BD7F39">
          <w:rPr>
            <w:rStyle w:val="Hyperlink"/>
            <w:rFonts w:ascii="Arial" w:hAnsi="Arial" w:cs="Arial"/>
            <w:noProof/>
            <w:sz w:val="20"/>
            <w:szCs w:val="20"/>
          </w:rPr>
          <w:t>abp.championsofchange+1</w:t>
        </w:r>
      </w:hyperlink>
    </w:p>
    <w:p w14:paraId="00037DE3" w14:textId="5F5B61A3" w:rsidR="008C1210" w:rsidRPr="00BD7F39" w:rsidRDefault="008C1210" w:rsidP="008C3F8B">
      <w:pPr>
        <w:pStyle w:val="ListParagraph"/>
        <w:numPr>
          <w:ilvl w:val="0"/>
          <w:numId w:val="7"/>
        </w:numPr>
        <w:spacing w:before="100" w:beforeAutospacing="1" w:after="100" w:afterAutospacing="1" w:line="360" w:lineRule="auto"/>
        <w:ind w:left="284" w:hanging="284"/>
        <w:jc w:val="both"/>
        <w:outlineLvl w:val="2"/>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t>Role of Natural Farming in Climate Change Mitigation and Carbon Sequestration</w:t>
      </w:r>
    </w:p>
    <w:p w14:paraId="210114A8" w14:textId="77777777" w:rsidR="008C1210" w:rsidRPr="00BD7F39" w:rsidRDefault="008C1210" w:rsidP="008C1210">
      <w:pPr>
        <w:spacing w:before="100" w:beforeAutospacing="1" w:after="100" w:afterAutospacing="1"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lastRenderedPageBreak/>
        <w:t>Natural farming has gained increasing attention for its potential contribution to climate change mitigation through enhanced soil carbon sequestration and reduced greenhouse gas (GHG) emissions. Unlike conventional systems that rely heavily on synthetic fertilizers and fossil-fuel-based inputs, natural farming promotes carbon sequestration through continuous organic matter addition, minimal soil disturbance, and increased biological activity. Studies indicate that soils managed under natural or agroecological systems can sequester 0.3-1.2 Mg C ha</w:t>
      </w:r>
      <w:r w:rsidRPr="00BD7F39">
        <w:rPr>
          <w:rFonts w:ascii="Arial" w:eastAsia="Times New Roman" w:hAnsi="Arial" w:cs="Arial"/>
          <w:kern w:val="0"/>
          <w:sz w:val="20"/>
          <w:szCs w:val="20"/>
          <w:vertAlign w:val="superscript"/>
          <w:lang w:eastAsia="en-IN"/>
          <w14:ligatures w14:val="none"/>
        </w:rPr>
        <w:t>-1</w:t>
      </w:r>
      <w:r w:rsidRPr="00BD7F39">
        <w:rPr>
          <w:rFonts w:ascii="Arial" w:eastAsia="Times New Roman" w:hAnsi="Arial" w:cs="Arial"/>
          <w:kern w:val="0"/>
          <w:sz w:val="20"/>
          <w:szCs w:val="20"/>
          <w:lang w:eastAsia="en-IN"/>
          <w14:ligatures w14:val="none"/>
        </w:rPr>
        <w:t xml:space="preserve"> year</w:t>
      </w:r>
      <w:r w:rsidRPr="00BD7F39">
        <w:rPr>
          <w:rFonts w:ascii="Arial" w:eastAsia="Times New Roman" w:hAnsi="Arial" w:cs="Arial"/>
          <w:kern w:val="0"/>
          <w:sz w:val="20"/>
          <w:szCs w:val="20"/>
          <w:vertAlign w:val="superscript"/>
          <w:lang w:eastAsia="en-IN"/>
          <w14:ligatures w14:val="none"/>
        </w:rPr>
        <w:t>-1</w:t>
      </w:r>
      <w:r w:rsidRPr="00BD7F39">
        <w:rPr>
          <w:rFonts w:ascii="Arial" w:eastAsia="Times New Roman" w:hAnsi="Arial" w:cs="Arial"/>
          <w:kern w:val="0"/>
          <w:sz w:val="20"/>
          <w:szCs w:val="20"/>
          <w:lang w:eastAsia="en-IN"/>
          <w14:ligatures w14:val="none"/>
        </w:rPr>
        <w:t>, depending on soil type and management intensity (</w:t>
      </w:r>
      <w:proofErr w:type="spellStart"/>
      <w:r w:rsidRPr="00BD7F39">
        <w:rPr>
          <w:rFonts w:ascii="Arial" w:eastAsia="Times New Roman" w:hAnsi="Arial" w:cs="Arial"/>
          <w:kern w:val="0"/>
          <w:sz w:val="20"/>
          <w:szCs w:val="20"/>
          <w:lang w:eastAsia="en-IN"/>
          <w14:ligatures w14:val="none"/>
        </w:rPr>
        <w:t>Paustian</w:t>
      </w:r>
      <w:proofErr w:type="spellEnd"/>
      <w:r w:rsidRPr="00BD7F39">
        <w:rPr>
          <w:rFonts w:ascii="Arial" w:eastAsia="Times New Roman" w:hAnsi="Arial" w:cs="Arial"/>
          <w:kern w:val="0"/>
          <w:sz w:val="20"/>
          <w:szCs w:val="20"/>
          <w:lang w:eastAsia="en-IN"/>
          <w14:ligatures w14:val="none"/>
        </w:rPr>
        <w:t xml:space="preserve"> et al., 2019). Enhanced microbial biomass and root-derived carbon inputs improve soil aggregate stability, thereby increasing long-term carbon storage and reducing CO</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 xml:space="preserve"> emissions. Furthermore, reduced reliance on nitrogenous fertilizers significantly lowers nitrous oxide (N</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O) emissions, a potent greenhouse gas with a global warming potential nearly 300 times that of CO</w:t>
      </w:r>
      <w:r w:rsidRPr="00BD7F39">
        <w:rPr>
          <w:rFonts w:ascii="Arial" w:eastAsia="Times New Roman" w:hAnsi="Arial" w:cs="Arial"/>
          <w:kern w:val="0"/>
          <w:sz w:val="20"/>
          <w:szCs w:val="20"/>
          <w:vertAlign w:val="subscript"/>
          <w:lang w:eastAsia="en-IN"/>
          <w14:ligatures w14:val="none"/>
        </w:rPr>
        <w:t>2</w:t>
      </w:r>
      <w:r w:rsidRPr="00BD7F39">
        <w:rPr>
          <w:rFonts w:ascii="Arial" w:eastAsia="Times New Roman" w:hAnsi="Arial" w:cs="Arial"/>
          <w:kern w:val="0"/>
          <w:sz w:val="20"/>
          <w:szCs w:val="20"/>
          <w:lang w:eastAsia="en-IN"/>
          <w14:ligatures w14:val="none"/>
        </w:rPr>
        <w:t xml:space="preserve"> (IPCC, 2022). Natural farming thus contributes to climate mitigation while enhancing system resilience, positioning it as a viable nature-based solution within national and global climate action frameworks.</w:t>
      </w:r>
    </w:p>
    <w:p w14:paraId="4182246F" w14:textId="7A2DD1BB" w:rsidR="008C1210" w:rsidRPr="00BD7F39" w:rsidRDefault="008C1210" w:rsidP="008C3F8B">
      <w:pPr>
        <w:pStyle w:val="ListParagraph"/>
        <w:numPr>
          <w:ilvl w:val="0"/>
          <w:numId w:val="7"/>
        </w:numPr>
        <w:spacing w:before="100" w:beforeAutospacing="1" w:after="100" w:afterAutospacing="1" w:line="360" w:lineRule="auto"/>
        <w:ind w:left="284"/>
        <w:jc w:val="both"/>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t>Socio-Economic Resilience and Farmer Livelihoods under Natural Farming</w:t>
      </w:r>
    </w:p>
    <w:p w14:paraId="38BC8EDA" w14:textId="77777777" w:rsidR="008C1210" w:rsidRPr="00BD7F39" w:rsidRDefault="008C1210" w:rsidP="008C1210">
      <w:pPr>
        <w:spacing w:before="100" w:beforeAutospacing="1" w:after="100" w:afterAutospacing="1"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t>Beyond agronomic outcomes, natural farming contributes significantly to strengthening rural livelihoods and socio-economic resilience. Reduced dependency on external inputs lowers production costs and shields smallholders from price volatility in fertilizer and pesticide markets. Empirical studies across India have shown that farmers practicing natural farming experience reduced indebtedness, improved net income stability, and enhanced autonomy over production decisions (</w:t>
      </w:r>
      <w:proofErr w:type="spellStart"/>
      <w:r w:rsidRPr="00BD7F39">
        <w:rPr>
          <w:rFonts w:ascii="Arial" w:eastAsia="Times New Roman" w:hAnsi="Arial" w:cs="Arial"/>
          <w:kern w:val="0"/>
          <w:sz w:val="20"/>
          <w:szCs w:val="20"/>
          <w:lang w:eastAsia="en-IN"/>
          <w14:ligatures w14:val="none"/>
        </w:rPr>
        <w:t>Khadse</w:t>
      </w:r>
      <w:proofErr w:type="spellEnd"/>
      <w:r w:rsidRPr="00BD7F39">
        <w:rPr>
          <w:rFonts w:ascii="Arial" w:eastAsia="Times New Roman" w:hAnsi="Arial" w:cs="Arial"/>
          <w:kern w:val="0"/>
          <w:sz w:val="20"/>
          <w:szCs w:val="20"/>
          <w:lang w:eastAsia="en-IN"/>
          <w14:ligatures w14:val="none"/>
        </w:rPr>
        <w:t xml:space="preserve"> et al., 2018; Reddy et al., 2021). Moreover, community-based knowledge exchange and collective input preparation foster social capital and farmer-to-farmer learning networks. Women’s participation in preparation of bio-inputs and local marketing of produce further enhances household income and gender equity. These socio-economic benefits position natural farming not merely as an agronomic practice, but as a rural development strategy that strengthens livelihood security, social cohesion, and adaptive capacity under climate and market uncertainties.</w:t>
      </w:r>
    </w:p>
    <w:p w14:paraId="34C11F28" w14:textId="2EBFB39A" w:rsidR="008C1210" w:rsidRPr="00BD7F39" w:rsidRDefault="008C1210" w:rsidP="008C3F8B">
      <w:pPr>
        <w:pStyle w:val="ListParagraph"/>
        <w:numPr>
          <w:ilvl w:val="0"/>
          <w:numId w:val="7"/>
        </w:numPr>
        <w:spacing w:before="100" w:beforeAutospacing="1" w:after="100" w:afterAutospacing="1" w:line="360" w:lineRule="auto"/>
        <w:ind w:left="284"/>
        <w:jc w:val="both"/>
        <w:rPr>
          <w:rFonts w:ascii="Arial" w:eastAsia="Times New Roman" w:hAnsi="Arial" w:cs="Arial"/>
          <w:b/>
          <w:bCs/>
          <w:kern w:val="0"/>
          <w:lang w:eastAsia="en-IN"/>
          <w14:ligatures w14:val="none"/>
        </w:rPr>
      </w:pPr>
      <w:r w:rsidRPr="00BD7F39">
        <w:rPr>
          <w:rFonts w:ascii="Arial" w:eastAsia="Times New Roman" w:hAnsi="Arial" w:cs="Arial"/>
          <w:b/>
          <w:bCs/>
          <w:kern w:val="0"/>
          <w:lang w:eastAsia="en-IN"/>
          <w14:ligatures w14:val="none"/>
        </w:rPr>
        <w:t>Policy Integration and Institutional Support for Scaling Natural Farming</w:t>
      </w:r>
    </w:p>
    <w:p w14:paraId="50D54683" w14:textId="77777777" w:rsidR="00F21342" w:rsidRPr="00BD7F39" w:rsidRDefault="008C1210" w:rsidP="00F21342">
      <w:pPr>
        <w:spacing w:line="360" w:lineRule="auto"/>
        <w:jc w:val="both"/>
        <w:rPr>
          <w:rFonts w:ascii="Arial" w:eastAsia="Times New Roman" w:hAnsi="Arial" w:cs="Arial"/>
          <w:kern w:val="0"/>
          <w:sz w:val="20"/>
          <w:szCs w:val="20"/>
          <w:lang w:eastAsia="en-IN"/>
          <w14:ligatures w14:val="none"/>
        </w:rPr>
      </w:pPr>
      <w:r w:rsidRPr="00BD7F39">
        <w:rPr>
          <w:rFonts w:ascii="Arial" w:eastAsia="Times New Roman" w:hAnsi="Arial" w:cs="Arial"/>
          <w:kern w:val="0"/>
          <w:sz w:val="20"/>
          <w:szCs w:val="20"/>
          <w:lang w:eastAsia="en-IN"/>
          <w14:ligatures w14:val="none"/>
        </w:rPr>
        <w:t xml:space="preserve">The long-term success of natural farming depends on coherent policy frameworks, institutional support, and investment in research-extension linkages. Recent policy initiatives in India, such as the </w:t>
      </w:r>
      <w:proofErr w:type="spellStart"/>
      <w:r w:rsidRPr="00BD7F39">
        <w:rPr>
          <w:rFonts w:ascii="Arial" w:eastAsia="Times New Roman" w:hAnsi="Arial" w:cs="Arial"/>
          <w:kern w:val="0"/>
          <w:sz w:val="20"/>
          <w:szCs w:val="20"/>
          <w:lang w:eastAsia="en-IN"/>
          <w14:ligatures w14:val="none"/>
        </w:rPr>
        <w:t>Bharatiya</w:t>
      </w:r>
      <w:proofErr w:type="spellEnd"/>
      <w:r w:rsidRPr="00BD7F39">
        <w:rPr>
          <w:rFonts w:ascii="Arial" w:eastAsia="Times New Roman" w:hAnsi="Arial" w:cs="Arial"/>
          <w:kern w:val="0"/>
          <w:sz w:val="20"/>
          <w:szCs w:val="20"/>
          <w:lang w:eastAsia="en-IN"/>
          <w14:ligatures w14:val="none"/>
        </w:rPr>
        <w:t xml:space="preserve"> </w:t>
      </w:r>
      <w:proofErr w:type="spellStart"/>
      <w:r w:rsidRPr="00BD7F39">
        <w:rPr>
          <w:rFonts w:ascii="Arial" w:eastAsia="Times New Roman" w:hAnsi="Arial" w:cs="Arial"/>
          <w:kern w:val="0"/>
          <w:sz w:val="20"/>
          <w:szCs w:val="20"/>
          <w:lang w:eastAsia="en-IN"/>
          <w14:ligatures w14:val="none"/>
        </w:rPr>
        <w:t>Prakritik</w:t>
      </w:r>
      <w:proofErr w:type="spellEnd"/>
      <w:r w:rsidRPr="00BD7F39">
        <w:rPr>
          <w:rFonts w:ascii="Arial" w:eastAsia="Times New Roman" w:hAnsi="Arial" w:cs="Arial"/>
          <w:kern w:val="0"/>
          <w:sz w:val="20"/>
          <w:szCs w:val="20"/>
          <w:lang w:eastAsia="en-IN"/>
          <w14:ligatures w14:val="none"/>
        </w:rPr>
        <w:t xml:space="preserve"> </w:t>
      </w:r>
      <w:proofErr w:type="spellStart"/>
      <w:r w:rsidRPr="00BD7F39">
        <w:rPr>
          <w:rFonts w:ascii="Arial" w:eastAsia="Times New Roman" w:hAnsi="Arial" w:cs="Arial"/>
          <w:kern w:val="0"/>
          <w:sz w:val="20"/>
          <w:szCs w:val="20"/>
          <w:lang w:eastAsia="en-IN"/>
          <w14:ligatures w14:val="none"/>
        </w:rPr>
        <w:t>Krishi</w:t>
      </w:r>
      <w:proofErr w:type="spellEnd"/>
      <w:r w:rsidRPr="00BD7F39">
        <w:rPr>
          <w:rFonts w:ascii="Arial" w:eastAsia="Times New Roman" w:hAnsi="Arial" w:cs="Arial"/>
          <w:kern w:val="0"/>
          <w:sz w:val="20"/>
          <w:szCs w:val="20"/>
          <w:lang w:eastAsia="en-IN"/>
          <w14:ligatures w14:val="none"/>
        </w:rPr>
        <w:t xml:space="preserve"> </w:t>
      </w:r>
      <w:proofErr w:type="spellStart"/>
      <w:r w:rsidRPr="00BD7F39">
        <w:rPr>
          <w:rFonts w:ascii="Arial" w:eastAsia="Times New Roman" w:hAnsi="Arial" w:cs="Arial"/>
          <w:kern w:val="0"/>
          <w:sz w:val="20"/>
          <w:szCs w:val="20"/>
          <w:lang w:eastAsia="en-IN"/>
          <w14:ligatures w14:val="none"/>
        </w:rPr>
        <w:t>Paddhati</w:t>
      </w:r>
      <w:proofErr w:type="spellEnd"/>
      <w:r w:rsidRPr="00BD7F39">
        <w:rPr>
          <w:rFonts w:ascii="Arial" w:eastAsia="Times New Roman" w:hAnsi="Arial" w:cs="Arial"/>
          <w:kern w:val="0"/>
          <w:sz w:val="20"/>
          <w:szCs w:val="20"/>
          <w:lang w:eastAsia="en-IN"/>
          <w14:ligatures w14:val="none"/>
        </w:rPr>
        <w:t xml:space="preserve"> (BPKP) and the National Mission on Natural Farming (NMNF), reflect growing recognition of agroecological approaches within national agricultural planning. These programs aim to mainstream natural farming through capacity building, financial incentives, and decentralized extension systems (Ministry of Agriculture &amp; Farmers Welfare, 2022). However, scaling remains constrained by limited scientific validation across diverse agro-climatic zones, weak market linkages, and absence of standardized certification mechanisms. Strengthening public research investments, establishing region-specific natural farming protocols, and integrating digital advisory platforms can accelerate adoption. International experiences also indicate that supportive policy </w:t>
      </w:r>
      <w:r w:rsidRPr="00BD7F39">
        <w:rPr>
          <w:rFonts w:ascii="Arial" w:eastAsia="Times New Roman" w:hAnsi="Arial" w:cs="Arial"/>
          <w:kern w:val="0"/>
          <w:sz w:val="20"/>
          <w:szCs w:val="20"/>
          <w:lang w:eastAsia="en-IN"/>
          <w14:ligatures w14:val="none"/>
        </w:rPr>
        <w:lastRenderedPageBreak/>
        <w:t xml:space="preserve">ecosystems, coupled with farmer-led innovation networks, are critical for transitioning from pilot-scale success to national-level impact (FAO, 2021; </w:t>
      </w:r>
      <w:proofErr w:type="spellStart"/>
      <w:r w:rsidRPr="00BD7F39">
        <w:rPr>
          <w:rFonts w:ascii="Arial" w:eastAsia="Times New Roman" w:hAnsi="Arial" w:cs="Arial"/>
          <w:kern w:val="0"/>
          <w:sz w:val="20"/>
          <w:szCs w:val="20"/>
          <w:lang w:eastAsia="en-IN"/>
          <w14:ligatures w14:val="none"/>
        </w:rPr>
        <w:t>Tittonell</w:t>
      </w:r>
      <w:proofErr w:type="spellEnd"/>
      <w:r w:rsidRPr="00BD7F39">
        <w:rPr>
          <w:rFonts w:ascii="Arial" w:eastAsia="Times New Roman" w:hAnsi="Arial" w:cs="Arial"/>
          <w:kern w:val="0"/>
          <w:sz w:val="20"/>
          <w:szCs w:val="20"/>
          <w:lang w:eastAsia="en-IN"/>
          <w14:ligatures w14:val="none"/>
        </w:rPr>
        <w:t xml:space="preserve"> et al., 2020).</w:t>
      </w:r>
    </w:p>
    <w:p w14:paraId="1D69EE30" w14:textId="7C69FBB3" w:rsidR="008F3704" w:rsidRPr="00BD7F39" w:rsidRDefault="008C3F8B" w:rsidP="008F3704">
      <w:pPr>
        <w:spacing w:line="360" w:lineRule="auto"/>
        <w:jc w:val="both"/>
        <w:rPr>
          <w:rFonts w:ascii="Arial" w:hAnsi="Arial" w:cs="Arial"/>
          <w:b/>
          <w:bCs/>
          <w:noProof/>
        </w:rPr>
      </w:pPr>
      <w:commentRangeStart w:id="5"/>
      <w:r w:rsidRPr="00BD7F39">
        <w:rPr>
          <w:rFonts w:ascii="Arial" w:hAnsi="Arial" w:cs="Arial"/>
          <w:b/>
          <w:bCs/>
          <w:noProof/>
        </w:rPr>
        <w:t>8</w:t>
      </w:r>
      <w:r w:rsidR="008F3704" w:rsidRPr="00BD7F39">
        <w:rPr>
          <w:rFonts w:ascii="Arial" w:hAnsi="Arial" w:cs="Arial"/>
          <w:b/>
          <w:bCs/>
          <w:noProof/>
        </w:rPr>
        <w:t>. Conclusion</w:t>
      </w:r>
      <w:commentRangeEnd w:id="5"/>
      <w:r w:rsidR="00D95302">
        <w:rPr>
          <w:rStyle w:val="CommentReference"/>
        </w:rPr>
        <w:commentReference w:id="5"/>
      </w:r>
    </w:p>
    <w:p w14:paraId="12AA22E7" w14:textId="6FAB92B1" w:rsidR="00143EE3" w:rsidRDefault="008F3704" w:rsidP="00F21342">
      <w:pPr>
        <w:spacing w:line="360" w:lineRule="auto"/>
        <w:jc w:val="both"/>
        <w:rPr>
          <w:rFonts w:ascii="Arial" w:eastAsia="Times New Roman" w:hAnsi="Arial" w:cs="Arial"/>
          <w:kern w:val="0"/>
          <w:sz w:val="20"/>
          <w:szCs w:val="20"/>
          <w:lang w:eastAsia="en-IN"/>
          <w14:ligatures w14:val="none"/>
        </w:rPr>
      </w:pPr>
      <w:r w:rsidRPr="00BD7F39">
        <w:rPr>
          <w:rFonts w:ascii="Arial" w:hAnsi="Arial" w:cs="Arial"/>
          <w:noProof/>
          <w:sz w:val="20"/>
          <w:szCs w:val="20"/>
        </w:rPr>
        <w:t>Natural farming is a biologically driven, low-input, and cost-efficient alternative to chemical-intensive agriculture, prioritizing ecological processes over synthetic inputs. While yield performance varies across crops, soils, and agro-ecological zones, empirical evidence consistently reports improvements in soil health-enhanced structure, organic carbon, microbial biomass, and enzymatic activity (Ranjit Kumar et al., 2019; Sharma &amp; Chadak, 2022; Suganthy et al., 2023). On-farm bio-inputs like Jeevamrit, Ghanjeevamrit, crop residue mulching, and diversified cropping promote microbially mediated nutrient cycling, improving nutrient and moisture retention while reducing soil degradation (Saharan et al., 2023; Sarangthem et al., 2023). Although natural farming may not maximize yields in high nutrient-demanding cereals during early transition years, several studies show that yield penalties are often offset by reduced production costs, leading to higher or comparable net farm incomes (Ranjit Kumar et al., 2019; Monica, 2023). Lower expenditure on fertilizers, pesticides, and energy-intensive inputs enhances farmers’ economic resilience, particularly under rising input prices and climatic uncertainty. Long-term assessments indicate that improvements in soil biological activity and nutrient-use efficiency stabilize yields, making natural farming more resilient to drought and biotic stresses (Das et al., 2024). Therefore, natural farming should be evaluated as a holistic production system integrating productivity, profitability, environmental sustainability, and long-term soil health, offering a viable pathway for resilient and sustainable agriculture in resource-constrained landscapes (Suganthy et al., 2023; Das et al., 2024).</w:t>
      </w:r>
      <w:r w:rsidR="002723BB" w:rsidRPr="00BD7F39">
        <w:rPr>
          <w:rFonts w:ascii="Arial" w:hAnsi="Arial" w:cs="Arial"/>
          <w:noProof/>
          <w:sz w:val="20"/>
          <w:szCs w:val="20"/>
        </w:rPr>
        <w:t xml:space="preserve"> </w:t>
      </w:r>
      <w:r w:rsidR="00143EE3" w:rsidRPr="00BD7F39">
        <w:rPr>
          <w:rFonts w:ascii="Arial" w:eastAsia="Times New Roman" w:hAnsi="Arial" w:cs="Arial"/>
          <w:kern w:val="0"/>
          <w:sz w:val="20"/>
          <w:szCs w:val="20"/>
          <w:lang w:eastAsia="en-IN"/>
          <w14:ligatures w14:val="none"/>
        </w:rPr>
        <w:t>It increases the Socio-Economic Resilience Reduced dependency on external inputs lowers production costs and shields smallholders from price volatility in fertilizer and pesticide markets (</w:t>
      </w:r>
      <w:proofErr w:type="spellStart"/>
      <w:r w:rsidR="00143EE3" w:rsidRPr="00BD7F39">
        <w:rPr>
          <w:rFonts w:ascii="Arial" w:eastAsia="Times New Roman" w:hAnsi="Arial" w:cs="Arial"/>
          <w:kern w:val="0"/>
          <w:sz w:val="20"/>
          <w:szCs w:val="20"/>
          <w:lang w:eastAsia="en-IN"/>
          <w14:ligatures w14:val="none"/>
        </w:rPr>
        <w:t>Khadse</w:t>
      </w:r>
      <w:proofErr w:type="spellEnd"/>
      <w:r w:rsidR="00143EE3" w:rsidRPr="00BD7F39">
        <w:rPr>
          <w:rFonts w:ascii="Arial" w:eastAsia="Times New Roman" w:hAnsi="Arial" w:cs="Arial"/>
          <w:kern w:val="0"/>
          <w:sz w:val="20"/>
          <w:szCs w:val="20"/>
          <w:lang w:eastAsia="en-IN"/>
          <w14:ligatures w14:val="none"/>
        </w:rPr>
        <w:t xml:space="preserve"> et al., 2018; Reddy et al., 2021).</w:t>
      </w:r>
    </w:p>
    <w:p w14:paraId="558EE9C8" w14:textId="7C1E91A5" w:rsidR="004474FE" w:rsidRDefault="00B26E78" w:rsidP="00B26E78">
      <w:pPr>
        <w:pStyle w:val="AcknHead"/>
        <w:spacing w:after="0" w:line="360" w:lineRule="auto"/>
        <w:jc w:val="both"/>
        <w:rPr>
          <w:rFonts w:ascii="Arial" w:hAnsi="Arial" w:cs="Arial"/>
          <w:szCs w:val="22"/>
        </w:rPr>
      </w:pPr>
      <w:r w:rsidRPr="00B26E78">
        <w:rPr>
          <w:rFonts w:ascii="Arial" w:hAnsi="Arial" w:cs="Arial"/>
          <w:szCs w:val="22"/>
          <w:lang w:val="en-IN"/>
        </w:rPr>
        <w:t>DISCLAIMER (ARTIFICIAL INTELLIGENCE)</w:t>
      </w:r>
    </w:p>
    <w:p w14:paraId="64A55037" w14:textId="33FFA7C9" w:rsidR="004474FE" w:rsidRPr="00B26E78" w:rsidRDefault="00B26E78" w:rsidP="00B26E78">
      <w:pPr>
        <w:pStyle w:val="AcknHead"/>
        <w:spacing w:after="0" w:line="360" w:lineRule="auto"/>
        <w:jc w:val="both"/>
        <w:rPr>
          <w:rFonts w:ascii="Arial" w:hAnsi="Arial" w:cs="Arial"/>
          <w:b w:val="0"/>
          <w:bCs/>
          <w:szCs w:val="22"/>
        </w:rPr>
      </w:pPr>
      <w:r w:rsidRPr="00B26E78">
        <w:rPr>
          <w:rFonts w:ascii="Arial" w:hAnsi="Arial" w:cs="Arial"/>
          <w:b w:val="0"/>
          <w:bCs/>
          <w:caps w:val="0"/>
          <w:szCs w:val="22"/>
          <w:lang w:val="en-IN"/>
        </w:rPr>
        <w:t>Author(s) hereby declares that no generative ai technologies such as large language models (</w:t>
      </w:r>
      <w:proofErr w:type="spellStart"/>
      <w:r w:rsidRPr="00B26E78">
        <w:rPr>
          <w:rFonts w:ascii="Arial" w:hAnsi="Arial" w:cs="Arial"/>
          <w:b w:val="0"/>
          <w:bCs/>
          <w:caps w:val="0"/>
          <w:szCs w:val="22"/>
          <w:lang w:val="en-IN"/>
        </w:rPr>
        <w:t>chatgpt</w:t>
      </w:r>
      <w:proofErr w:type="spellEnd"/>
      <w:r w:rsidRPr="00B26E78">
        <w:rPr>
          <w:rFonts w:ascii="Arial" w:hAnsi="Arial" w:cs="Arial"/>
          <w:b w:val="0"/>
          <w:bCs/>
          <w:caps w:val="0"/>
          <w:szCs w:val="22"/>
          <w:lang w:val="en-IN"/>
        </w:rPr>
        <w:t xml:space="preserve">, </w:t>
      </w:r>
      <w:proofErr w:type="spellStart"/>
      <w:r w:rsidRPr="00B26E78">
        <w:rPr>
          <w:rFonts w:ascii="Arial" w:hAnsi="Arial" w:cs="Arial"/>
          <w:b w:val="0"/>
          <w:bCs/>
          <w:caps w:val="0"/>
          <w:szCs w:val="22"/>
          <w:lang w:val="en-IN"/>
        </w:rPr>
        <w:t>copilot</w:t>
      </w:r>
      <w:proofErr w:type="spellEnd"/>
      <w:r w:rsidRPr="00B26E78">
        <w:rPr>
          <w:rFonts w:ascii="Arial" w:hAnsi="Arial" w:cs="Arial"/>
          <w:b w:val="0"/>
          <w:bCs/>
          <w:caps w:val="0"/>
          <w:szCs w:val="22"/>
          <w:lang w:val="en-IN"/>
        </w:rPr>
        <w:t xml:space="preserve">, </w:t>
      </w:r>
      <w:proofErr w:type="spellStart"/>
      <w:r w:rsidRPr="00B26E78">
        <w:rPr>
          <w:rFonts w:ascii="Arial" w:hAnsi="Arial" w:cs="Arial"/>
          <w:b w:val="0"/>
          <w:bCs/>
          <w:caps w:val="0"/>
          <w:szCs w:val="22"/>
          <w:lang w:val="en-IN"/>
        </w:rPr>
        <w:t>etc</w:t>
      </w:r>
      <w:proofErr w:type="spellEnd"/>
      <w:r w:rsidRPr="00B26E78">
        <w:rPr>
          <w:rFonts w:ascii="Arial" w:hAnsi="Arial" w:cs="Arial"/>
          <w:b w:val="0"/>
          <w:bCs/>
          <w:caps w:val="0"/>
          <w:szCs w:val="22"/>
          <w:lang w:val="en-IN"/>
        </w:rPr>
        <w:t>) and text-to-image generators have been used during writing or editing of this manuscript.</w:t>
      </w:r>
    </w:p>
    <w:p w14:paraId="322FAB19" w14:textId="77777777" w:rsidR="004474FE" w:rsidRDefault="004474FE" w:rsidP="00F13926">
      <w:pPr>
        <w:pStyle w:val="ReferHead"/>
        <w:spacing w:after="0" w:line="360" w:lineRule="auto"/>
        <w:jc w:val="both"/>
        <w:rPr>
          <w:rFonts w:ascii="Arial" w:hAnsi="Arial" w:cs="Arial"/>
          <w:bCs/>
        </w:rPr>
      </w:pPr>
      <w:r w:rsidRPr="00786D36">
        <w:rPr>
          <w:rFonts w:ascii="Arial" w:hAnsi="Arial" w:cs="Arial"/>
          <w:bCs/>
        </w:rPr>
        <w:t>Competing interests</w:t>
      </w:r>
    </w:p>
    <w:p w14:paraId="1400D64B" w14:textId="71D4A222" w:rsidR="004474FE" w:rsidRPr="00B26E78" w:rsidRDefault="004474FE" w:rsidP="00B26E78">
      <w:pPr>
        <w:pStyle w:val="ReferHead"/>
        <w:spacing w:after="0" w:line="360" w:lineRule="auto"/>
        <w:jc w:val="both"/>
        <w:rPr>
          <w:rFonts w:ascii="Arial" w:hAnsi="Arial" w:cs="Arial"/>
          <w:b w:val="0"/>
        </w:rPr>
      </w:pPr>
      <w:r w:rsidRPr="00B26E78">
        <w:rPr>
          <w:rFonts w:ascii="Arial" w:hAnsi="Arial" w:cs="Arial"/>
          <w:b w:val="0"/>
          <w:caps w:val="0"/>
        </w:rPr>
        <w:t>Authors have declared that no competing int</w:t>
      </w:r>
      <w:r w:rsidR="00F13926" w:rsidRPr="00B26E78">
        <w:rPr>
          <w:rFonts w:ascii="Arial" w:hAnsi="Arial" w:cs="Arial"/>
          <w:b w:val="0"/>
          <w:caps w:val="0"/>
        </w:rPr>
        <w:t>e</w:t>
      </w:r>
      <w:r w:rsidRPr="00B26E78">
        <w:rPr>
          <w:rFonts w:ascii="Arial" w:hAnsi="Arial" w:cs="Arial"/>
          <w:b w:val="0"/>
          <w:caps w:val="0"/>
        </w:rPr>
        <w:t>rests exist.</w:t>
      </w:r>
    </w:p>
    <w:p w14:paraId="0DCAA75E" w14:textId="33B40511" w:rsidR="008C3F8B" w:rsidRPr="00BD7F39" w:rsidRDefault="008C3F8B" w:rsidP="00C73665">
      <w:pPr>
        <w:tabs>
          <w:tab w:val="num" w:pos="426"/>
        </w:tabs>
        <w:spacing w:line="360" w:lineRule="auto"/>
        <w:jc w:val="both"/>
        <w:rPr>
          <w:rFonts w:ascii="Arial" w:hAnsi="Arial" w:cs="Arial"/>
          <w:b/>
          <w:bCs/>
          <w:noProof/>
        </w:rPr>
      </w:pPr>
      <w:commentRangeStart w:id="6"/>
      <w:r w:rsidRPr="00BD7F39">
        <w:rPr>
          <w:rFonts w:ascii="Arial" w:hAnsi="Arial" w:cs="Arial"/>
          <w:b/>
          <w:bCs/>
          <w:noProof/>
        </w:rPr>
        <w:t>9.</w:t>
      </w:r>
      <w:r w:rsidR="00F13926">
        <w:rPr>
          <w:rFonts w:ascii="Arial" w:hAnsi="Arial" w:cs="Arial"/>
          <w:b/>
          <w:bCs/>
          <w:noProof/>
        </w:rPr>
        <w:t xml:space="preserve"> </w:t>
      </w:r>
      <w:r w:rsidR="00A77F77" w:rsidRPr="00BD7F39">
        <w:rPr>
          <w:rFonts w:ascii="Arial" w:hAnsi="Arial" w:cs="Arial"/>
          <w:b/>
          <w:bCs/>
          <w:noProof/>
        </w:rPr>
        <w:t>References</w:t>
      </w:r>
      <w:commentRangeEnd w:id="6"/>
      <w:r w:rsidR="005E0975">
        <w:rPr>
          <w:rStyle w:val="CommentReference"/>
        </w:rPr>
        <w:commentReference w:id="6"/>
      </w:r>
    </w:p>
    <w:p w14:paraId="32838868" w14:textId="25318508" w:rsidR="008C3F8B" w:rsidRPr="00BD7F39" w:rsidRDefault="00B26E78" w:rsidP="00B26E78">
      <w:pPr>
        <w:spacing w:line="360" w:lineRule="auto"/>
        <w:ind w:left="709" w:hanging="709"/>
        <w:jc w:val="both"/>
        <w:rPr>
          <w:rFonts w:ascii="Arial" w:hAnsi="Arial" w:cs="Arial"/>
          <w:noProof/>
          <w:sz w:val="20"/>
          <w:szCs w:val="20"/>
        </w:rPr>
      </w:pPr>
      <w:r>
        <w:rPr>
          <w:rFonts w:ascii="Arial" w:hAnsi="Arial" w:cs="Arial"/>
          <w:noProof/>
          <w:sz w:val="20"/>
          <w:szCs w:val="20"/>
        </w:rPr>
        <w:t xml:space="preserve"> </w:t>
      </w:r>
      <w:r w:rsidR="008C3F8B" w:rsidRPr="00BD7F39">
        <w:rPr>
          <w:rFonts w:ascii="Arial" w:hAnsi="Arial" w:cs="Arial"/>
          <w:noProof/>
          <w:sz w:val="20"/>
          <w:szCs w:val="20"/>
        </w:rPr>
        <w:t>ABP Champion of Change. (2024). Branding of Natural Farming Products: A Case from Maharashtra. ABP News, Mumbai.</w:t>
      </w:r>
    </w:p>
    <w:p w14:paraId="7B14CDA7" w14:textId="744B2B39"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Academia.edu (2022). Preparation and application of astras, herbal extracts and Dashaparni Ark in plant protection. https://www.academia.edu/129145977/</w:t>
      </w:r>
      <w:r w:rsidR="00C73665" w:rsidRPr="00BD7F39">
        <w:rPr>
          <w:rFonts w:ascii="Arial" w:hAnsi="Arial" w:cs="Arial"/>
          <w:noProof/>
          <w:sz w:val="20"/>
          <w:szCs w:val="20"/>
        </w:rPr>
        <w:t xml:space="preserve"> </w:t>
      </w:r>
    </w:p>
    <w:p w14:paraId="682271A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Agronomy Journals (2024). Effects of different ITKs for enhancing crop production. </w:t>
      </w:r>
      <w:r w:rsidRPr="00BD7F39">
        <w:rPr>
          <w:rFonts w:ascii="Arial" w:hAnsi="Arial" w:cs="Arial"/>
          <w:i/>
          <w:iCs/>
          <w:noProof/>
          <w:sz w:val="20"/>
          <w:szCs w:val="20"/>
        </w:rPr>
        <w:t>AgronomyJournals</w:t>
      </w:r>
      <w:r w:rsidRPr="00BD7F39">
        <w:rPr>
          <w:rFonts w:ascii="Arial" w:hAnsi="Arial" w:cs="Arial"/>
          <w:noProof/>
          <w:sz w:val="20"/>
          <w:szCs w:val="20"/>
        </w:rPr>
        <w:t>,7(9),88607. </w:t>
      </w:r>
      <w:hyperlink r:id="rId27" w:tgtFrame="_blank" w:history="1">
        <w:r w:rsidRPr="00BD7F39">
          <w:rPr>
            <w:rStyle w:val="Hyperlink"/>
            <w:rFonts w:ascii="Arial" w:hAnsi="Arial" w:cs="Arial"/>
            <w:noProof/>
            <w:sz w:val="20"/>
            <w:szCs w:val="20"/>
          </w:rPr>
          <w:t>https://www.agronomyjournals.com/archives/2024/vol7issue9/PartH/7-9-88-607.pdf.</w:t>
        </w:r>
      </w:hyperlink>
      <w:hyperlink r:id="rId28" w:tgtFrame="_blank" w:history="1">
        <w:r w:rsidRPr="00BD7F39">
          <w:rPr>
            <w:rStyle w:val="Hyperlink"/>
            <w:rFonts w:ascii="Arial" w:hAnsi="Arial" w:cs="Arial"/>
            <w:noProof/>
            <w:sz w:val="20"/>
            <w:szCs w:val="20"/>
          </w:rPr>
          <w:t>agronomyjournals</w:t>
        </w:r>
      </w:hyperlink>
      <w:r w:rsidRPr="00BD7F39">
        <w:rPr>
          <w:rFonts w:ascii="Arial" w:hAnsi="Arial" w:cs="Arial"/>
          <w:noProof/>
          <w:sz w:val="20"/>
          <w:szCs w:val="20"/>
        </w:rPr>
        <w:t>​</w:t>
      </w:r>
    </w:p>
    <w:p w14:paraId="0C6E385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Ahma, S., Singh, R., Devi, K.S., Jaiswal, P., Purkait, S., &amp; Dhakad, S. (2024). Pongamia insecticidal properties. Journal of Natural Products, 87(2), 1–10. https://doi.org/10.1021/acs.jnatprod.3c00987</w:t>
      </w:r>
    </w:p>
    <w:p w14:paraId="272FD653" w14:textId="77777777" w:rsidR="008C3F8B" w:rsidRPr="0044421F" w:rsidRDefault="008C3F8B" w:rsidP="00B26E78">
      <w:pPr>
        <w:pStyle w:val="Default"/>
        <w:spacing w:line="360" w:lineRule="auto"/>
        <w:ind w:left="709" w:hanging="709"/>
        <w:jc w:val="both"/>
        <w:rPr>
          <w:b/>
          <w:bCs/>
          <w:sz w:val="20"/>
          <w:szCs w:val="20"/>
          <w:lang w:val="es-US"/>
        </w:rPr>
      </w:pPr>
      <w:r w:rsidRPr="0044421F">
        <w:rPr>
          <w:sz w:val="20"/>
          <w:szCs w:val="20"/>
          <w:lang w:val="es-US"/>
        </w:rPr>
        <w:t xml:space="preserve">APEDA </w:t>
      </w:r>
      <w:r w:rsidRPr="0044421F">
        <w:rPr>
          <w:color w:val="auto"/>
          <w:sz w:val="20"/>
          <w:szCs w:val="20"/>
          <w:lang w:val="es-US" w:bidi="ar-SA"/>
        </w:rPr>
        <w:t>Archive</w:t>
      </w:r>
      <w:r w:rsidRPr="0044421F">
        <w:rPr>
          <w:b/>
          <w:bCs/>
          <w:sz w:val="20"/>
          <w:szCs w:val="20"/>
          <w:lang w:val="es-US"/>
        </w:rPr>
        <w:t xml:space="preserve"> </w:t>
      </w:r>
      <w:hyperlink r:id="rId29" w:history="1">
        <w:r w:rsidRPr="0044421F">
          <w:rPr>
            <w:rStyle w:val="Hyperlink"/>
            <w:sz w:val="20"/>
            <w:szCs w:val="20"/>
            <w:lang w:val="es-US"/>
          </w:rPr>
          <w:t>https://agriexchange.apeda.gov.in/Market/MarketNews/ArchiveNews</w:t>
        </w:r>
      </w:hyperlink>
      <w:r w:rsidRPr="0044421F">
        <w:rPr>
          <w:sz w:val="20"/>
          <w:szCs w:val="20"/>
          <w:lang w:val="es-US"/>
        </w:rPr>
        <w:t xml:space="preserve"> page 441:</w:t>
      </w:r>
    </w:p>
    <w:p w14:paraId="713DE4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Badiyala, A., &amp; Sharma, G. D. (2021). Pest management under natural farming. Indian Farmer, 8(3), 253–258. </w:t>
      </w:r>
      <w:hyperlink r:id="rId30" w:history="1">
        <w:r w:rsidRPr="00BD7F39">
          <w:rPr>
            <w:rStyle w:val="Hyperlink"/>
            <w:rFonts w:ascii="Arial" w:hAnsi="Arial" w:cs="Arial"/>
            <w:noProof/>
            <w:sz w:val="20"/>
            <w:szCs w:val="20"/>
          </w:rPr>
          <w:t>https://www.indianfarmer.net/uploads/5_3_21.pdf</w:t>
        </w:r>
      </w:hyperlink>
      <w:r w:rsidRPr="00BD7F39">
        <w:rPr>
          <w:rFonts w:ascii="Arial" w:hAnsi="Arial" w:cs="Arial"/>
          <w:noProof/>
          <w:sz w:val="20"/>
          <w:szCs w:val="20"/>
        </w:rPr>
        <w:t>.</w:t>
      </w:r>
    </w:p>
    <w:p w14:paraId="6E842978"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Badiyala, R. &amp; Sharma, S. (2021). Pest and disease management under natural farming. </w:t>
      </w:r>
      <w:r w:rsidRPr="0044421F">
        <w:rPr>
          <w:rFonts w:ascii="Arial" w:hAnsi="Arial" w:cs="Arial"/>
          <w:i/>
          <w:iCs/>
          <w:noProof/>
          <w:sz w:val="20"/>
          <w:szCs w:val="20"/>
          <w:lang w:val="es-US"/>
        </w:rPr>
        <w:t>Indian Farmer</w:t>
      </w:r>
      <w:r w:rsidRPr="0044421F">
        <w:rPr>
          <w:rFonts w:ascii="Arial" w:hAnsi="Arial" w:cs="Arial"/>
          <w:noProof/>
          <w:sz w:val="20"/>
          <w:szCs w:val="20"/>
          <w:lang w:val="es-US"/>
        </w:rPr>
        <w:t>,5(3),21–30.</w:t>
      </w:r>
      <w:hyperlink r:id="rId31" w:history="1">
        <w:r w:rsidRPr="0044421F">
          <w:rPr>
            <w:rStyle w:val="Hyperlink"/>
            <w:rFonts w:ascii="Arial" w:hAnsi="Arial" w:cs="Arial"/>
            <w:noProof/>
            <w:sz w:val="20"/>
            <w:szCs w:val="20"/>
            <w:lang w:val="es-US"/>
          </w:rPr>
          <w:t>https://www.indianfarmer.net/uploads/5_3_21.pdf.</w:t>
        </w:r>
      </w:hyperlink>
      <w:hyperlink r:id="rId32" w:tgtFrame="_blank" w:history="1">
        <w:r w:rsidRPr="0044421F">
          <w:rPr>
            <w:rStyle w:val="Hyperlink"/>
            <w:rFonts w:ascii="Arial" w:hAnsi="Arial" w:cs="Arial"/>
            <w:noProof/>
            <w:sz w:val="20"/>
            <w:szCs w:val="20"/>
            <w:lang w:val="es-US"/>
          </w:rPr>
          <w:t>indianfarmer</w:t>
        </w:r>
      </w:hyperlink>
      <w:r w:rsidRPr="0044421F">
        <w:rPr>
          <w:rFonts w:ascii="Arial" w:hAnsi="Arial" w:cs="Arial"/>
          <w:noProof/>
          <w:sz w:val="20"/>
          <w:szCs w:val="20"/>
          <w:lang w:val="es-US"/>
        </w:rPr>
        <w:t>​</w:t>
      </w:r>
    </w:p>
    <w:p w14:paraId="797EF47B"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Bhardwaj, D., Ansari, M.W., Sahoo, R.K., &amp; Tuteja, N. (2014). </w:t>
      </w:r>
      <w:r w:rsidRPr="00BD7F39">
        <w:rPr>
          <w:rFonts w:ascii="Arial" w:hAnsi="Arial" w:cs="Arial"/>
          <w:noProof/>
          <w:sz w:val="20"/>
          <w:szCs w:val="20"/>
        </w:rPr>
        <w:t>Microbial seed treatment and crop productivity. Indian Journal of Agricultural Sciences, 84(4), 1–10.</w:t>
      </w:r>
    </w:p>
    <w:p w14:paraId="1676020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Blanco-Canqui, H., &amp; Ruis, S.J. (2020). Organic mulching and soil carbon. Soil Science Society of America Journal, 84(2), 234–245. https://doi.org/10.1002/saj2.20041</w:t>
      </w:r>
    </w:p>
    <w:p w14:paraId="48389D62"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Blanco-Canqui, H., Claassen, M.M., &amp; Ruis, S.J. (2017). </w:t>
      </w:r>
      <w:r w:rsidRPr="00BD7F39">
        <w:rPr>
          <w:rFonts w:ascii="Arial" w:hAnsi="Arial" w:cs="Arial"/>
          <w:noProof/>
          <w:sz w:val="20"/>
          <w:szCs w:val="20"/>
        </w:rPr>
        <w:t>Soil structure and water-use efficiency. Soil Science Society of America Journal, 81(3), 445–456. https://doi.org/10.2136/sssaj2016.10.0328</w:t>
      </w:r>
    </w:p>
    <w:p w14:paraId="3EFAA67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Blouin, M., Lavelle, P., Laffray, D., &amp; Barot, S. (2013). A review of earthworm impact on soil structure and organic matter dynamics. European Journal of Soil Science, 64(2), 166–182. https://doi.org/10.1111/ejss.12025</w:t>
      </w:r>
    </w:p>
    <w:p w14:paraId="416E656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CEEW. (2022). Economic assessment of natural farming in Andhra Pradesh. Council on Energy, Environment and Water, New Delhi.</w:t>
      </w:r>
    </w:p>
    <w:p w14:paraId="433505F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Charitha, N., Paslawar, A.N., Darekar, N.K., Shingrup, P.V., &amp; Singh, A. (2025). Chickpea Thrive: Unleashing Potential in Intercropping Systems with Different Organic and Natural Farming Practices. Legume Research - An International Journal, 48(3), 1–10. https://doi.org/10.18805/LR-5517</w:t>
      </w:r>
    </w:p>
    <w:p w14:paraId="6431F3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Chaudhary, S., Kanwar, R.K., Sehgal, A., Singh, S., &amp; Sharma, R. (2019). Chilli-based biopesticides. Journal of Plant Protection Research, 59(2), 1–10. https://doi.org/10.2478/jppr-2019-0025</w:t>
      </w:r>
    </w:p>
    <w:p w14:paraId="6B564BA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Choudhary, M., Sharma, R., &amp; Singh, P. (2022). Bio-inputs and soil nutrient dynamics. Indian Journal of Agricultural Sciences, 92(6), 1–10.</w:t>
      </w:r>
    </w:p>
    <w:p w14:paraId="68A08E8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Das, A., Saha, S., Banerjee, H., &amp; Ghosh, S. (2024). Integrated nutrient management in natural farming. Indian Journal of Agricultural Sciences, 94(1), 1–10.</w:t>
      </w:r>
    </w:p>
    <w:p w14:paraId="72886A2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Das, A., Saha, S., Banerjee, H., &amp; Ghosh, S. (2024). Natural farming: Productivity and sustainability. Indian Journal of Agricultural Sciences, 94(1), 1–10.</w:t>
      </w:r>
    </w:p>
    <w:p w14:paraId="765CE182" w14:textId="19A9E4C2" w:rsidR="008C3F8B"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Devi, S., Singh, R., &amp; Singh, D. (2012). Pongamol and karanjin efficacy. Journal of Pesticide Science, 37(4), 1–10. </w:t>
      </w:r>
      <w:hyperlink r:id="rId33" w:history="1">
        <w:r w:rsidR="00170CA1" w:rsidRPr="00C213F8">
          <w:rPr>
            <w:rStyle w:val="Hyperlink"/>
            <w:rFonts w:ascii="Arial" w:hAnsi="Arial" w:cs="Arial"/>
            <w:noProof/>
            <w:sz w:val="20"/>
            <w:szCs w:val="20"/>
          </w:rPr>
          <w:t>https://doi.org/10.1584/jpestics.D12-001</w:t>
        </w:r>
      </w:hyperlink>
    </w:p>
    <w:p w14:paraId="34C317CE" w14:textId="06843660" w:rsidR="00170CA1" w:rsidRPr="00BD7F39" w:rsidRDefault="00170CA1" w:rsidP="00B26E78">
      <w:pPr>
        <w:spacing w:line="360" w:lineRule="auto"/>
        <w:ind w:left="709" w:hanging="709"/>
        <w:jc w:val="both"/>
        <w:rPr>
          <w:rFonts w:ascii="Arial" w:hAnsi="Arial" w:cs="Arial"/>
          <w:noProof/>
          <w:sz w:val="20"/>
          <w:szCs w:val="20"/>
        </w:rPr>
      </w:pPr>
      <w:r w:rsidRPr="00170CA1">
        <w:rPr>
          <w:rFonts w:ascii="Arial" w:hAnsi="Arial" w:cs="Arial"/>
          <w:noProof/>
          <w:sz w:val="20"/>
          <w:szCs w:val="20"/>
        </w:rPr>
        <w:lastRenderedPageBreak/>
        <w:t>Devakumar, N., Shubha, S., Gouder, S.B. and Rao, G.G.E. (2014) Microbial analytical studies of traditional organic preparations beejamrutha and jeevamrutha. Building Organic Bridges 2, 639-642.</w:t>
      </w:r>
    </w:p>
    <w:p w14:paraId="644430E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Dhakad, S., Singh, R., Devi, K.S., &amp; Jaiswal, P. (2025). Azadirachtin and insect growth regulation. Pesticide Biochemistry and Physiology, 191, 1–10. https://doi.org/10.1016/j.pestbp.2025.01.001</w:t>
      </w:r>
    </w:p>
    <w:p w14:paraId="271632A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Doran, J.W., &amp; Zeiss, M.R. (2000). Soil health and sustainability: Managing the biotic component of soil quality. Applied Soil Ecology, 15(1), 3–11. https://doi.org/10.1016/S0929-1393(00)00067-6</w:t>
      </w:r>
    </w:p>
    <w:p w14:paraId="19A1940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Duddigan, R., Shaw, L.J., Sizmur, T., Gogu, D., Hussain, Z., Jirra, K., Kaliki, H., Sanka, R., Sohail, M., Soma, R., Thallam, V., Vattikuti, H., &amp; Collins, C.D. (2023). Seed and soil treatments in natural farming. Indian Journal of Agricultural Sciences, 93(7), 1–10.</w:t>
      </w:r>
    </w:p>
    <w:p w14:paraId="66B95B5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Dwivedi, B.S., Sharma, A.R., &amp; Singh, R.P. (2021). Nutrient use efficiency and sustainability of Indian agriculture. Indian Journal of Fertilizers, 17(6), 1–15.</w:t>
      </w:r>
    </w:p>
    <w:p w14:paraId="6FF2D1C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Dwivedi, B.S., Sharma, A.R., &amp; Singh, R.P. (2021). Soil health and nutrient management in natural farming. Indian Journal of Fertilizers, 17(6), 1–15.</w:t>
      </w:r>
    </w:p>
    <w:p w14:paraId="5167AF9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Economic Survey. (2019). Economic Survey 2018-19. Department of Economic Affairs, Ministry of Finance, Government of India.</w:t>
      </w:r>
    </w:p>
    <w:p w14:paraId="11C71E8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&amp; Bohlen, P.J. (1996). Biology and Ecology of Earthworms. Chapman &amp; Hall.</w:t>
      </w:r>
    </w:p>
    <w:p w14:paraId="1EEAD42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Zhang, Y., &amp; Llewellyn, G. (2011). Botanical insecticides and their efficacy. Bioresource Technology, 102(1), 1–10. https://doi.org/10.1016/j.biortech.2010.06.037</w:t>
      </w:r>
    </w:p>
    <w:p w14:paraId="31D964A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Edwards, C.A., Zhang, Y., &amp; Llewellyn, G. (2011). Vermicomposting and soil fertility. Bioresource Technology, 102(1), 1–10. https://doi.org/10.1016/j.biortech.2010.06.037</w:t>
      </w:r>
    </w:p>
    <w:p w14:paraId="7BF688D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Entomol Journal (2018). Effect of leaf and seed extract of custard apple (Annona squamosa L.). </w:t>
      </w:r>
      <w:hyperlink r:id="rId34" w:tgtFrame="_blank" w:history="1">
        <w:r w:rsidRPr="00BD7F39">
          <w:rPr>
            <w:rStyle w:val="Hyperlink"/>
            <w:rFonts w:ascii="Arial" w:hAnsi="Arial" w:cs="Arial"/>
            <w:noProof/>
            <w:sz w:val="20"/>
            <w:szCs w:val="20"/>
          </w:rPr>
          <w:t>https://www.entomoljournal.com/archives/2018/vol6issue6/PartT/9-1-149-382.pdf</w:t>
        </w:r>
      </w:hyperlink>
      <w:hyperlink r:id="rId35" w:tgtFrame="_blank" w:history="1">
        <w:r w:rsidRPr="00BD7F39">
          <w:rPr>
            <w:rStyle w:val="Hyperlink"/>
            <w:rFonts w:ascii="Arial" w:hAnsi="Arial" w:cs="Arial"/>
            <w:noProof/>
            <w:sz w:val="20"/>
            <w:szCs w:val="20"/>
          </w:rPr>
          <w:t>entomoljournal</w:t>
        </w:r>
      </w:hyperlink>
      <w:r w:rsidRPr="00BD7F39">
        <w:rPr>
          <w:rFonts w:ascii="Arial" w:hAnsi="Arial" w:cs="Arial"/>
          <w:noProof/>
          <w:sz w:val="20"/>
          <w:szCs w:val="20"/>
        </w:rPr>
        <w:t>​</w:t>
      </w:r>
    </w:p>
    <w:p w14:paraId="3BECB92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Entomol Journal (2018). Laboratory Evaluation of Custard apple Seed Extract. </w:t>
      </w:r>
      <w:hyperlink r:id="rId36" w:tgtFrame="_blank" w:history="1">
        <w:r w:rsidRPr="00BD7F39">
          <w:rPr>
            <w:rStyle w:val="Hyperlink"/>
            <w:rFonts w:ascii="Arial" w:hAnsi="Arial" w:cs="Arial"/>
            <w:noProof/>
            <w:sz w:val="20"/>
            <w:szCs w:val="20"/>
          </w:rPr>
          <w:t>https://www.entomoljournal.com/archives/2018/vol6issue1/PartH/5-6-288-327.pdf</w:t>
        </w:r>
      </w:hyperlink>
      <w:hyperlink r:id="rId37" w:tgtFrame="_blank" w:history="1">
        <w:r w:rsidRPr="00BD7F39">
          <w:rPr>
            <w:rStyle w:val="Hyperlink"/>
            <w:rFonts w:ascii="Arial" w:hAnsi="Arial" w:cs="Arial"/>
            <w:noProof/>
            <w:sz w:val="20"/>
            <w:szCs w:val="20"/>
          </w:rPr>
          <w:t>entomoljournal</w:t>
        </w:r>
      </w:hyperlink>
      <w:r w:rsidRPr="00BD7F39">
        <w:rPr>
          <w:rFonts w:ascii="Arial" w:hAnsi="Arial" w:cs="Arial"/>
          <w:noProof/>
          <w:sz w:val="20"/>
          <w:szCs w:val="20"/>
        </w:rPr>
        <w:t>​</w:t>
      </w:r>
    </w:p>
    <w:p w14:paraId="03891D8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FAO (2019). The State of the World’s Biodiversity for Food and Agriculture. Food and Agriculture Organization of the United Nations, Rome.</w:t>
      </w:r>
    </w:p>
    <w:p w14:paraId="3E3DF1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FAO, 2021: FAO. (2021). Evaluation of FAO’s contributions to Sustainable Development Goal 2 – Agroecology. Rome, Italy: Food and Agriculture Organization of the United Nations. https://doi.org/10.4060/cb4476en</w:t>
      </w:r>
    </w:p>
    <w:p w14:paraId="6965825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Fertilizer Association of India (2020), New Delhi. Fertilizer Statistics</w:t>
      </w:r>
    </w:p>
    <w:p w14:paraId="764696E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Food and Agriculture Organization of the United Nations (FAO). (2018). </w:t>
      </w:r>
      <w:r w:rsidRPr="00BD7F39">
        <w:rPr>
          <w:rFonts w:ascii="Arial" w:hAnsi="Arial" w:cs="Arial"/>
          <w:i/>
          <w:iCs/>
          <w:noProof/>
          <w:sz w:val="20"/>
          <w:szCs w:val="20"/>
        </w:rPr>
        <w:t>The State of Food Security and Nutrition in the World 2018: Transforming food systems for affordable healthy diets</w:t>
      </w:r>
      <w:r w:rsidRPr="00BD7F39">
        <w:rPr>
          <w:rFonts w:ascii="Arial" w:hAnsi="Arial" w:cs="Arial"/>
          <w:noProof/>
          <w:sz w:val="20"/>
          <w:szCs w:val="20"/>
        </w:rPr>
        <w:t>. Rome: FAO. (Or related: OECD-FAO Agricultural Outlook 2018-2027.)</w:t>
      </w:r>
    </w:p>
    <w:p w14:paraId="0D17FE7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FortuneJournals (2021). Green Copper Nano-Pesticide Synthesized by Using Annona squamosa L. Seed. </w:t>
      </w:r>
      <w:hyperlink r:id="rId38" w:tgtFrame="_blank" w:history="1">
        <w:r w:rsidRPr="00BD7F39">
          <w:rPr>
            <w:rStyle w:val="Hyperlink"/>
            <w:rFonts w:ascii="Arial" w:hAnsi="Arial" w:cs="Arial"/>
            <w:noProof/>
            <w:sz w:val="20"/>
            <w:szCs w:val="20"/>
          </w:rPr>
          <w:t>https://www.fortunejournals.com/articles/green-copper-nanopesticide-synthesized-by-using-annona-squamosa-l-seed-and-their-effica</w:t>
        </w:r>
      </w:hyperlink>
    </w:p>
    <w:p w14:paraId="6C895638"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 xml:space="preserve">Fukuoka, M. (1987). The Natural Way of Farming: The Theory and Practice of Green Philosophy. </w:t>
      </w:r>
      <w:r w:rsidRPr="0044421F">
        <w:rPr>
          <w:rFonts w:ascii="Arial" w:hAnsi="Arial" w:cs="Arial"/>
          <w:noProof/>
          <w:sz w:val="20"/>
          <w:szCs w:val="20"/>
          <w:lang w:val="es-US"/>
        </w:rPr>
        <w:t>Japan Publications.</w:t>
      </w:r>
    </w:p>
    <w:p w14:paraId="6BBD9761"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Garcia-Orenes, F., Roldán, A., Caravaca, F., &amp; Lax, A. (2016). </w:t>
      </w:r>
      <w:r w:rsidRPr="00BD7F39">
        <w:rPr>
          <w:rFonts w:ascii="Arial" w:hAnsi="Arial" w:cs="Arial"/>
          <w:noProof/>
          <w:sz w:val="20"/>
          <w:szCs w:val="20"/>
        </w:rPr>
        <w:t>Mulching and soil microbial diversity. Soil Biology and Biochemistry, 94, 1–10. https://doi.org/10.1016/j.soilbio.2015.11.010</w:t>
      </w:r>
    </w:p>
    <w:p w14:paraId="636559F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Gilbert, S.F., Sapp, J., &amp; Tauber, S.I. (2012). A symbiotic view of life: We have never been individuals. Quarterly Review of Biology, 7(4), 325–341.</w:t>
      </w:r>
    </w:p>
    <w:p w14:paraId="4238A6E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Government of Andhra Pradesh. (2019). Zero Budget Natural Farming: Progress Report. Government of Andhra Pradesh.</w:t>
      </w:r>
    </w:p>
    <w:p w14:paraId="1267CDC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Government of India. (2019). Paramparagat Krishi Vikas Yojana: Guidelines. Ministry of Agriculture and Farmers Welfare, New Delhi.</w:t>
      </w:r>
    </w:p>
    <w:p w14:paraId="334E075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Hano, Y., &amp; Khan, M.R. (2016). Biological control of Meloidogyne spp. Nematology, 18(2), 1–10. https://doi.org/10.1163/15685411-00003012</w:t>
      </w:r>
    </w:p>
    <w:p w14:paraId="537B4E7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Harman, G.E., Howell, C.R., Viterbo, A., Chet, I., &amp; Lorito, M. (2021). Trichoderma: A tool for sustainable agriculture. Annual Review of Phytopathology, 59, 1–25. https://doi.org/10.1146/annurev-phyto-020620-102958</w:t>
      </w:r>
    </w:p>
    <w:p w14:paraId="3C7F2E1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HLPE (2019). Agroecological and other innovative approaches for sustainable agriculture and food systems that enhance food security and nutrition. High Level Panel of Experts on Food Security and Nutrition, FAO, Rome.</w:t>
      </w:r>
    </w:p>
    <w:p w14:paraId="7617D48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IJARSCT (2020). Bio-Pesticide from Custard Apple Seed. </w:t>
      </w:r>
      <w:hyperlink r:id="rId39" w:tgtFrame="_blank" w:history="1">
        <w:r w:rsidRPr="00BD7F39">
          <w:rPr>
            <w:rStyle w:val="Hyperlink"/>
            <w:rFonts w:ascii="Arial" w:hAnsi="Arial" w:cs="Arial"/>
            <w:noProof/>
            <w:sz w:val="20"/>
            <w:szCs w:val="20"/>
          </w:rPr>
          <w:t>https://ijarsct.co.in/Paper4444.pdf</w:t>
        </w:r>
      </w:hyperlink>
      <w:hyperlink r:id="rId40" w:tgtFrame="_blank" w:history="1">
        <w:r w:rsidRPr="00BD7F39">
          <w:rPr>
            <w:rStyle w:val="Hyperlink"/>
            <w:rFonts w:ascii="Arial" w:hAnsi="Arial" w:cs="Arial"/>
            <w:noProof/>
            <w:sz w:val="20"/>
            <w:szCs w:val="20"/>
          </w:rPr>
          <w:t>ijarsct</w:t>
        </w:r>
      </w:hyperlink>
      <w:r w:rsidRPr="00BD7F39">
        <w:rPr>
          <w:rFonts w:ascii="Arial" w:hAnsi="Arial" w:cs="Arial"/>
          <w:noProof/>
          <w:sz w:val="20"/>
          <w:szCs w:val="20"/>
        </w:rPr>
        <w:t>​</w:t>
      </w:r>
    </w:p>
    <w:p w14:paraId="0B427899" w14:textId="391BE45C"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IJIRCST (2020). Custard Apple Seed Oil Anti-Fly Property: A Review. https://www.ijircst.org/DOC/73​.</w:t>
      </w:r>
    </w:p>
    <w:p w14:paraId="101948CC" w14:textId="4BCD5456"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IJIRT (2022). Manufacturing of Natural Pesticide from Custard Apple Seeds. https://ijirt.org/publishedpaper/IJIRT15461</w:t>
      </w:r>
      <w:r w:rsidR="00C73665" w:rsidRPr="00BD7F39">
        <w:rPr>
          <w:rFonts w:ascii="Arial" w:hAnsi="Arial" w:cs="Arial"/>
          <w:noProof/>
          <w:sz w:val="20"/>
          <w:szCs w:val="20"/>
        </w:rPr>
        <w:t>6</w:t>
      </w:r>
      <w:r w:rsidRPr="00BD7F39">
        <w:rPr>
          <w:rFonts w:ascii="Arial" w:hAnsi="Arial" w:cs="Arial"/>
          <w:noProof/>
          <w:sz w:val="20"/>
          <w:szCs w:val="20"/>
        </w:rPr>
        <w:t>​</w:t>
      </w:r>
    </w:p>
    <w:p w14:paraId="350A6AF7" w14:textId="1CB059B6"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India MART (2008). Custard Apple Seed Oil. </w:t>
      </w:r>
      <w:hyperlink r:id="rId41" w:tgtFrame="_blank" w:history="1">
        <w:r w:rsidRPr="00BD7F39">
          <w:rPr>
            <w:rStyle w:val="Hyperlink"/>
            <w:rFonts w:ascii="Arial" w:hAnsi="Arial" w:cs="Arial"/>
            <w:noProof/>
            <w:sz w:val="20"/>
            <w:szCs w:val="20"/>
          </w:rPr>
          <w:t>https://www.indiamart.com/proddetail/custard-apple-seed-oil-2851392586433.</w:t>
        </w:r>
      </w:hyperlink>
      <w:r w:rsidR="00C73665" w:rsidRPr="00BD7F39">
        <w:rPr>
          <w:rFonts w:ascii="Arial" w:hAnsi="Arial" w:cs="Arial"/>
          <w:noProof/>
          <w:sz w:val="20"/>
          <w:szCs w:val="20"/>
        </w:rPr>
        <w:t xml:space="preserve"> </w:t>
      </w:r>
    </w:p>
    <w:p w14:paraId="6BB649B0" w14:textId="77777777" w:rsidR="008C3F8B" w:rsidRPr="00BD7F39" w:rsidRDefault="008C3F8B" w:rsidP="00B26E78">
      <w:pPr>
        <w:spacing w:line="360" w:lineRule="auto"/>
        <w:ind w:left="709" w:hanging="709"/>
        <w:jc w:val="both"/>
        <w:rPr>
          <w:rStyle w:val="citation-15"/>
          <w:rFonts w:ascii="Arial" w:hAnsi="Arial" w:cs="Arial"/>
          <w:sz w:val="20"/>
          <w:szCs w:val="20"/>
        </w:rPr>
      </w:pPr>
      <w:r w:rsidRPr="00BD7F39">
        <w:rPr>
          <w:rFonts w:ascii="Arial" w:hAnsi="Arial" w:cs="Arial"/>
          <w:sz w:val="20"/>
          <w:szCs w:val="20"/>
        </w:rPr>
        <w:t xml:space="preserve">IPCC, 2022 IPCC, 2022 </w:t>
      </w:r>
      <w:r w:rsidRPr="00BD7F39">
        <w:rPr>
          <w:rFonts w:ascii="Arial" w:hAnsi="Arial" w:cs="Arial"/>
          <w:i/>
          <w:iCs/>
          <w:sz w:val="20"/>
          <w:szCs w:val="20"/>
        </w:rPr>
        <w:t>Cl</w:t>
      </w:r>
      <w:r w:rsidRPr="00BD7F39">
        <w:rPr>
          <w:rStyle w:val="citation-15"/>
          <w:rFonts w:ascii="Arial" w:hAnsi="Arial" w:cs="Arial"/>
          <w:i/>
          <w:iCs/>
          <w:sz w:val="20"/>
          <w:szCs w:val="20"/>
        </w:rPr>
        <w:t>imate Change 2022 Mitigation of Climate Change.</w:t>
      </w:r>
      <w:r w:rsidRPr="00BD7F39">
        <w:rPr>
          <w:rStyle w:val="citation-15"/>
          <w:rFonts w:ascii="Arial" w:hAnsi="Arial" w:cs="Arial"/>
          <w:sz w:val="20"/>
          <w:szCs w:val="20"/>
        </w:rPr>
        <w:t xml:space="preserve"> Contribution of Working Group III to the Sixth Assessment Report of the Intergovernmental Panel on Climate Change [P.R. Shukla, J. </w:t>
      </w:r>
      <w:proofErr w:type="spellStart"/>
      <w:r w:rsidRPr="00BD7F39">
        <w:rPr>
          <w:rStyle w:val="citation-15"/>
          <w:rFonts w:ascii="Arial" w:hAnsi="Arial" w:cs="Arial"/>
          <w:sz w:val="20"/>
          <w:szCs w:val="20"/>
        </w:rPr>
        <w:t>Skea</w:t>
      </w:r>
      <w:proofErr w:type="spellEnd"/>
      <w:r w:rsidRPr="00BD7F39">
        <w:rPr>
          <w:rStyle w:val="citation-15"/>
          <w:rFonts w:ascii="Arial" w:hAnsi="Arial" w:cs="Arial"/>
          <w:sz w:val="20"/>
          <w:szCs w:val="20"/>
        </w:rPr>
        <w:t xml:space="preserve">, R. Slade, A. Al </w:t>
      </w:r>
      <w:proofErr w:type="spellStart"/>
      <w:r w:rsidRPr="00BD7F39">
        <w:rPr>
          <w:rStyle w:val="citation-15"/>
          <w:rFonts w:ascii="Arial" w:hAnsi="Arial" w:cs="Arial"/>
          <w:sz w:val="20"/>
          <w:szCs w:val="20"/>
        </w:rPr>
        <w:t>Khourdajie</w:t>
      </w:r>
      <w:proofErr w:type="spellEnd"/>
      <w:r w:rsidRPr="00BD7F39">
        <w:rPr>
          <w:rStyle w:val="citation-15"/>
          <w:rFonts w:ascii="Arial" w:hAnsi="Arial" w:cs="Arial"/>
          <w:sz w:val="20"/>
          <w:szCs w:val="20"/>
        </w:rPr>
        <w:t xml:space="preserve">, R. van Diemen, D. McCollum, M. Pathak, S. Some, P. Vyas, R. </w:t>
      </w:r>
      <w:proofErr w:type="spellStart"/>
      <w:r w:rsidRPr="00BD7F39">
        <w:rPr>
          <w:rStyle w:val="citation-15"/>
          <w:rFonts w:ascii="Arial" w:hAnsi="Arial" w:cs="Arial"/>
          <w:sz w:val="20"/>
          <w:szCs w:val="20"/>
        </w:rPr>
        <w:t>Fradera</w:t>
      </w:r>
      <w:proofErr w:type="spellEnd"/>
      <w:r w:rsidRPr="00BD7F39">
        <w:rPr>
          <w:rStyle w:val="citation-15"/>
          <w:rFonts w:ascii="Arial" w:hAnsi="Arial" w:cs="Arial"/>
          <w:sz w:val="20"/>
          <w:szCs w:val="20"/>
        </w:rPr>
        <w:t xml:space="preserve">, M. </w:t>
      </w:r>
      <w:proofErr w:type="spellStart"/>
      <w:r w:rsidRPr="00BD7F39">
        <w:rPr>
          <w:rStyle w:val="citation-15"/>
          <w:rFonts w:ascii="Arial" w:hAnsi="Arial" w:cs="Arial"/>
          <w:sz w:val="20"/>
          <w:szCs w:val="20"/>
        </w:rPr>
        <w:t>Belkacemi</w:t>
      </w:r>
      <w:proofErr w:type="spellEnd"/>
      <w:r w:rsidRPr="00BD7F39">
        <w:rPr>
          <w:rStyle w:val="citation-15"/>
          <w:rFonts w:ascii="Arial" w:hAnsi="Arial" w:cs="Arial"/>
          <w:sz w:val="20"/>
          <w:szCs w:val="20"/>
        </w:rPr>
        <w:t xml:space="preserve">, A. </w:t>
      </w:r>
      <w:proofErr w:type="spellStart"/>
      <w:r w:rsidRPr="00BD7F39">
        <w:rPr>
          <w:rStyle w:val="citation-15"/>
          <w:rFonts w:ascii="Arial" w:hAnsi="Arial" w:cs="Arial"/>
          <w:sz w:val="20"/>
          <w:szCs w:val="20"/>
        </w:rPr>
        <w:t>Hasija</w:t>
      </w:r>
      <w:proofErr w:type="spellEnd"/>
      <w:r w:rsidRPr="00BD7F39">
        <w:rPr>
          <w:rStyle w:val="citation-15"/>
          <w:rFonts w:ascii="Arial" w:hAnsi="Arial" w:cs="Arial"/>
          <w:sz w:val="20"/>
          <w:szCs w:val="20"/>
        </w:rPr>
        <w:t xml:space="preserve">, G. </w:t>
      </w:r>
      <w:proofErr w:type="spellStart"/>
      <w:r w:rsidRPr="00BD7F39">
        <w:rPr>
          <w:rStyle w:val="citation-15"/>
          <w:rFonts w:ascii="Arial" w:hAnsi="Arial" w:cs="Arial"/>
          <w:sz w:val="20"/>
          <w:szCs w:val="20"/>
        </w:rPr>
        <w:t>Lisboa</w:t>
      </w:r>
      <w:proofErr w:type="spellEnd"/>
      <w:r w:rsidRPr="00BD7F39">
        <w:rPr>
          <w:rStyle w:val="citation-15"/>
          <w:rFonts w:ascii="Arial" w:hAnsi="Arial" w:cs="Arial"/>
          <w:sz w:val="20"/>
          <w:szCs w:val="20"/>
        </w:rPr>
        <w:t xml:space="preserve">, S. Luz, J. Malley, (eds.)]. </w:t>
      </w:r>
      <w:r w:rsidRPr="00BD7F39">
        <w:rPr>
          <w:rStyle w:val="citation-15"/>
          <w:rFonts w:ascii="Arial" w:hAnsi="Arial" w:cs="Arial"/>
          <w:sz w:val="20"/>
          <w:szCs w:val="20"/>
        </w:rPr>
        <w:lastRenderedPageBreak/>
        <w:t xml:space="preserve">Cambridge University Press, Cambridge, UK and New York, NY, USA. </w:t>
      </w:r>
      <w:proofErr w:type="spellStart"/>
      <w:r w:rsidRPr="00BD7F39">
        <w:rPr>
          <w:rStyle w:val="citation-15"/>
          <w:rFonts w:ascii="Arial" w:hAnsi="Arial" w:cs="Arial"/>
          <w:sz w:val="20"/>
          <w:szCs w:val="20"/>
        </w:rPr>
        <w:t>doi</w:t>
      </w:r>
      <w:proofErr w:type="spellEnd"/>
      <w:r w:rsidRPr="00BD7F39">
        <w:rPr>
          <w:rStyle w:val="citation-15"/>
          <w:rFonts w:ascii="Arial" w:hAnsi="Arial" w:cs="Arial"/>
          <w:sz w:val="20"/>
          <w:szCs w:val="20"/>
        </w:rPr>
        <w:t>: 10.1017/9781009157926.</w:t>
      </w:r>
    </w:p>
    <w:p w14:paraId="4B35DB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IPCC. (2022). Climate Change 2022: Impacts, Adaptation and Vulnerability. Intergovernmental Panel on Climate Change.</w:t>
      </w:r>
    </w:p>
    <w:p w14:paraId="6C31989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Jaiswal, R., Singh, R., Devi, K.S., &amp; Purkait, S. (2021). Pongamia biopesticide efficacy. Pesticide Biochemistry and Physiology, 172, 1–10. https://doi.org/10.1016/j.pestbp.2021.104762</w:t>
      </w:r>
    </w:p>
    <w:p w14:paraId="45B76DF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Janaki, M., &amp; Suganthy, S. (2023). Bio-inputs in natural farming. Indian Journal of Agricultural Sciences, 93(8), 1–10.</w:t>
      </w:r>
    </w:p>
    <w:p w14:paraId="29033F1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Jo Smith, Jagadeesh Yeluripati, Pete Smith, Dali Rani Nayak. (2024). Natural farming improves crop yield in SE India when introduced in a stepwise manner. Scientific Reports, 14, 5654. Springer Nature. </w:t>
      </w:r>
      <w:hyperlink r:id="rId42" w:history="1">
        <w:r w:rsidRPr="00BD7F39">
          <w:rPr>
            <w:rStyle w:val="Hyperlink"/>
            <w:rFonts w:ascii="Arial" w:hAnsi="Arial" w:cs="Arial"/>
            <w:noProof/>
            <w:sz w:val="20"/>
            <w:szCs w:val="20"/>
          </w:rPr>
          <w:t>https://doi.org/10.1038/s41598-024-56544-6</w:t>
        </w:r>
      </w:hyperlink>
      <w:r w:rsidRPr="00BD7F39">
        <w:rPr>
          <w:rFonts w:ascii="Arial" w:hAnsi="Arial" w:cs="Arial"/>
          <w:noProof/>
          <w:sz w:val="20"/>
          <w:szCs w:val="20"/>
        </w:rPr>
        <w:t>.</w:t>
      </w:r>
    </w:p>
    <w:p w14:paraId="7C97B6A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Jothibasu, K., Basil, R., Nisha, P. G., &amp; Thomas, J. (2021). Green copper nano</w:t>
      </w:r>
      <w:r w:rsidRPr="00BD7F39">
        <w:rPr>
          <w:rFonts w:ascii="Arial" w:hAnsi="Arial" w:cs="Arial"/>
          <w:noProof/>
          <w:sz w:val="20"/>
          <w:szCs w:val="20"/>
        </w:rPr>
        <w:noBreakHyphen/>
        <w:t>pesticide synthesized by using </w:t>
      </w:r>
      <w:r w:rsidRPr="00BD7F39">
        <w:rPr>
          <w:rFonts w:ascii="Arial" w:hAnsi="Arial" w:cs="Arial"/>
          <w:i/>
          <w:iCs/>
          <w:noProof/>
          <w:sz w:val="20"/>
          <w:szCs w:val="20"/>
        </w:rPr>
        <w:t>Annona squamosa</w:t>
      </w:r>
      <w:r w:rsidRPr="00BD7F39">
        <w:rPr>
          <w:rFonts w:ascii="Arial" w:hAnsi="Arial" w:cs="Arial"/>
          <w:noProof/>
          <w:sz w:val="20"/>
          <w:szCs w:val="20"/>
        </w:rPr>
        <w:t> L. seed and their efficacy on insect pests. </w:t>
      </w:r>
      <w:r w:rsidRPr="00BD7F39">
        <w:rPr>
          <w:rFonts w:ascii="Arial" w:hAnsi="Arial" w:cs="Arial"/>
          <w:i/>
          <w:iCs/>
          <w:noProof/>
          <w:sz w:val="20"/>
          <w:szCs w:val="20"/>
        </w:rPr>
        <w:t>Journal of Biotechnology and Biomedicine</w:t>
      </w:r>
      <w:r w:rsidRPr="00BD7F39">
        <w:rPr>
          <w:rFonts w:ascii="Arial" w:hAnsi="Arial" w:cs="Arial"/>
          <w:noProof/>
          <w:sz w:val="20"/>
          <w:szCs w:val="20"/>
        </w:rPr>
        <w:t xml:space="preserve">, 4(3): 137–150. Fortune Journals. </w:t>
      </w:r>
    </w:p>
    <w:p w14:paraId="634652E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Kassam, A., Friedrich, T., Shaxson, F., &amp; Pretty, J. (2019). The spread of conservation agriculture: Justification, sustainability and uptake. International Journal of Agricultural Sustainability, 17(2), 127–137. https://doi.org/10.1080/14735903.2019.1570405</w:t>
      </w:r>
    </w:p>
    <w:p w14:paraId="1BE7FB2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Kavitha, A. S. (2009). Ecofriendly practices against major pests in different cropping systems with special reference to groundnut. Thesis, University of Agricultural Sciences, Dharwad. Evaluation of Agniastra, Brahmastra, Neemastra against defoliators in groundnut.</w:t>
      </w:r>
    </w:p>
    <w:p w14:paraId="2D9A0133" w14:textId="77777777" w:rsidR="008C3F8B" w:rsidRPr="00BD7F39" w:rsidRDefault="008C3F8B" w:rsidP="00B26E78">
      <w:pPr>
        <w:spacing w:before="100" w:beforeAutospacing="1" w:after="100" w:afterAutospacing="1" w:line="360" w:lineRule="auto"/>
        <w:ind w:left="709" w:hanging="709"/>
        <w:jc w:val="both"/>
        <w:rPr>
          <w:rFonts w:ascii="Arial" w:eastAsia="Times New Roman" w:hAnsi="Arial" w:cs="Arial"/>
          <w:kern w:val="0"/>
          <w:sz w:val="20"/>
          <w:szCs w:val="20"/>
          <w:lang w:eastAsia="en-IN" w:bidi="mr-IN"/>
          <w14:ligatures w14:val="none"/>
        </w:rPr>
      </w:pPr>
      <w:proofErr w:type="spellStart"/>
      <w:r w:rsidRPr="00BD7F39">
        <w:rPr>
          <w:rFonts w:ascii="Arial" w:eastAsia="Times New Roman" w:hAnsi="Arial" w:cs="Arial"/>
          <w:kern w:val="0"/>
          <w:sz w:val="20"/>
          <w:szCs w:val="20"/>
          <w:lang w:eastAsia="en-IN" w:bidi="mr-IN"/>
          <w14:ligatures w14:val="none"/>
        </w:rPr>
        <w:t>Khadse</w:t>
      </w:r>
      <w:proofErr w:type="spellEnd"/>
      <w:r w:rsidRPr="00BD7F39">
        <w:rPr>
          <w:rFonts w:ascii="Arial" w:eastAsia="Times New Roman" w:hAnsi="Arial" w:cs="Arial"/>
          <w:kern w:val="0"/>
          <w:sz w:val="20"/>
          <w:szCs w:val="20"/>
          <w:lang w:eastAsia="en-IN" w:bidi="mr-IN"/>
          <w14:ligatures w14:val="none"/>
        </w:rPr>
        <w:t xml:space="preserve"> et al., 2018 </w:t>
      </w:r>
      <w:proofErr w:type="spellStart"/>
      <w:r w:rsidRPr="00BD7F39">
        <w:rPr>
          <w:rFonts w:ascii="Arial" w:eastAsia="Times New Roman" w:hAnsi="Arial" w:cs="Arial"/>
          <w:kern w:val="0"/>
          <w:sz w:val="20"/>
          <w:szCs w:val="20"/>
          <w:lang w:eastAsia="en-IN" w:bidi="mr-IN"/>
          <w14:ligatures w14:val="none"/>
        </w:rPr>
        <w:t>Khadse</w:t>
      </w:r>
      <w:proofErr w:type="spellEnd"/>
      <w:r w:rsidRPr="00BD7F39">
        <w:rPr>
          <w:rFonts w:ascii="Arial" w:eastAsia="Times New Roman" w:hAnsi="Arial" w:cs="Arial"/>
          <w:kern w:val="0"/>
          <w:sz w:val="20"/>
          <w:szCs w:val="20"/>
          <w:lang w:eastAsia="en-IN" w:bidi="mr-IN"/>
          <w14:ligatures w14:val="none"/>
        </w:rPr>
        <w:t xml:space="preserve">, A., Rosset, P. M., Morales, H., &amp; Ferguson, B. G. (2018). </w:t>
      </w:r>
      <w:proofErr w:type="gramStart"/>
      <w:r w:rsidRPr="00BD7F39">
        <w:rPr>
          <w:rFonts w:ascii="Arial" w:eastAsia="Times New Roman" w:hAnsi="Arial" w:cs="Arial"/>
          <w:kern w:val="0"/>
          <w:sz w:val="20"/>
          <w:szCs w:val="20"/>
          <w:lang w:eastAsia="en-IN" w:bidi="mr-IN"/>
          <w14:ligatures w14:val="none"/>
        </w:rPr>
        <w:t>Taking agroecology to scale: the Zero Budget Natural Farming peasant movement in Karnataka, India.</w:t>
      </w:r>
      <w:proofErr w:type="gramEnd"/>
      <w:r w:rsidRPr="00BD7F39">
        <w:rPr>
          <w:rFonts w:ascii="Arial" w:eastAsia="Times New Roman" w:hAnsi="Arial" w:cs="Arial"/>
          <w:kern w:val="0"/>
          <w:sz w:val="20"/>
          <w:szCs w:val="20"/>
          <w:lang w:eastAsia="en-IN" w:bidi="mr-IN"/>
          <w14:ligatures w14:val="none"/>
        </w:rPr>
        <w:t xml:space="preserve"> </w:t>
      </w:r>
      <w:r w:rsidRPr="00BD7F39">
        <w:rPr>
          <w:rFonts w:ascii="Arial" w:eastAsia="Times New Roman" w:hAnsi="Arial" w:cs="Arial"/>
          <w:i/>
          <w:iCs/>
          <w:kern w:val="0"/>
          <w:sz w:val="20"/>
          <w:szCs w:val="20"/>
          <w:lang w:eastAsia="en-IN" w:bidi="mr-IN"/>
          <w14:ligatures w14:val="none"/>
        </w:rPr>
        <w:t>The Journal of Peasant Studies</w:t>
      </w:r>
      <w:r w:rsidRPr="00BD7F39">
        <w:rPr>
          <w:rFonts w:ascii="Arial" w:eastAsia="Times New Roman" w:hAnsi="Arial" w:cs="Arial"/>
          <w:kern w:val="0"/>
          <w:sz w:val="20"/>
          <w:szCs w:val="20"/>
          <w:lang w:eastAsia="en-IN" w:bidi="mr-IN"/>
          <w14:ligatures w14:val="none"/>
        </w:rPr>
        <w:t xml:space="preserve">, 45(1), 192–219. </w:t>
      </w:r>
      <w:hyperlink r:id="rId43" w:tgtFrame="_blank" w:history="1">
        <w:r w:rsidRPr="00BD7F39">
          <w:rPr>
            <w:rFonts w:ascii="Arial" w:eastAsia="Times New Roman" w:hAnsi="Arial" w:cs="Arial"/>
            <w:color w:val="0000FF"/>
            <w:kern w:val="0"/>
            <w:sz w:val="20"/>
            <w:szCs w:val="20"/>
            <w:u w:val="single"/>
            <w:lang w:eastAsia="en-IN" w:bidi="mr-IN"/>
            <w14:ligatures w14:val="none"/>
          </w:rPr>
          <w:t>https://doi.org/10.1080/03066150.2016.1276450</w:t>
        </w:r>
      </w:hyperlink>
    </w:p>
    <w:p w14:paraId="082CBDB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Khadse, A., Rosset, P.M., &amp; Ferguson, B.G. (2017). Zero Budget Natural Farming: The Andhra Pradesh experience. Economic &amp; Political Weekly, 52(17), 35–40.</w:t>
      </w:r>
    </w:p>
    <w:p w14:paraId="37762A0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Knapp, S., &amp; van der Heijden, M.G.A. (2018). A global meta-analysis of yield and ecosystem service trade-offs from organic and conservation agriculture. Nature Communications, 9(1), 1–11. https://doi.org/10.1038/s41467-018-03888-x</w:t>
      </w:r>
    </w:p>
    <w:p w14:paraId="4B3762F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Krishnan, S. (2023). Ecological weed management in natural farming. Indian Journal of Agricultural Sciences, 93(3), 1–10.</w:t>
      </w:r>
    </w:p>
    <w:p w14:paraId="26DCE42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Kumar, G. V. S., &amp; Sarada, O. (2020). Evaluation of cow based fermented organic products for non-insecticidal pest management in castor. International Journal of Current Microbiology and </w:t>
      </w:r>
      <w:r w:rsidRPr="00BD7F39">
        <w:rPr>
          <w:rFonts w:ascii="Arial" w:hAnsi="Arial" w:cs="Arial"/>
          <w:noProof/>
          <w:sz w:val="20"/>
          <w:szCs w:val="20"/>
        </w:rPr>
        <w:lastRenderedPageBreak/>
        <w:t xml:space="preserve">Applied Sciences, 9(10), 292–300. </w:t>
      </w:r>
      <w:hyperlink r:id="rId44" w:history="1">
        <w:r w:rsidRPr="00BD7F39">
          <w:rPr>
            <w:rStyle w:val="Hyperlink"/>
            <w:rFonts w:ascii="Arial" w:hAnsi="Arial" w:cs="Arial"/>
            <w:noProof/>
            <w:sz w:val="20"/>
            <w:szCs w:val="20"/>
          </w:rPr>
          <w:t>https://www.ijcmas.com/9-10-2020/G.%20V.%20Suneel%20Kumar%20and%20O.%20Sarada.pdf</w:t>
        </w:r>
      </w:hyperlink>
      <w:r w:rsidRPr="00BD7F39">
        <w:rPr>
          <w:rFonts w:ascii="Arial" w:hAnsi="Arial" w:cs="Arial"/>
          <w:noProof/>
          <w:sz w:val="20"/>
          <w:szCs w:val="20"/>
        </w:rPr>
        <w:t>.</w:t>
      </w:r>
    </w:p>
    <w:p w14:paraId="03291252" w14:textId="20D65B6D"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S. (2022). </w:t>
      </w:r>
      <w:r w:rsidRPr="00BD7F39">
        <w:rPr>
          <w:rFonts w:ascii="Arial" w:hAnsi="Arial" w:cs="Arial"/>
          <w:i/>
          <w:iCs/>
          <w:noProof/>
          <w:sz w:val="20"/>
          <w:szCs w:val="20"/>
        </w:rPr>
        <w:t>Preparation and application of astras, herbal extracts and Dashparni ark</w:t>
      </w:r>
      <w:r w:rsidR="00047AC2" w:rsidRPr="00BD7F39">
        <w:rPr>
          <w:rFonts w:ascii="Arial" w:hAnsi="Arial" w:cs="Arial"/>
          <w:i/>
          <w:iCs/>
          <w:noProof/>
          <w:sz w:val="20"/>
          <w:szCs w:val="20"/>
        </w:rPr>
        <w:t xml:space="preserve"> </w:t>
      </w:r>
      <w:r w:rsidRPr="00BD7F39">
        <w:rPr>
          <w:rFonts w:ascii="Arial" w:hAnsi="Arial" w:cs="Arial"/>
          <w:i/>
          <w:iCs/>
          <w:noProof/>
          <w:sz w:val="20"/>
          <w:szCs w:val="20"/>
        </w:rPr>
        <w:t>in</w:t>
      </w:r>
      <w:r w:rsidR="00047AC2" w:rsidRPr="00BD7F39">
        <w:rPr>
          <w:rFonts w:ascii="Arial" w:hAnsi="Arial" w:cs="Arial"/>
          <w:i/>
          <w:iCs/>
          <w:noProof/>
          <w:sz w:val="20"/>
          <w:szCs w:val="20"/>
        </w:rPr>
        <w:t xml:space="preserve"> </w:t>
      </w:r>
      <w:r w:rsidRPr="00BD7F39">
        <w:rPr>
          <w:rFonts w:ascii="Arial" w:hAnsi="Arial" w:cs="Arial"/>
          <w:i/>
          <w:iCs/>
          <w:noProof/>
          <w:sz w:val="20"/>
          <w:szCs w:val="20"/>
        </w:rPr>
        <w:t>plan</w:t>
      </w:r>
      <w:r w:rsidR="00047AC2" w:rsidRPr="00BD7F39">
        <w:rPr>
          <w:rFonts w:ascii="Arial" w:hAnsi="Arial" w:cs="Arial"/>
          <w:i/>
          <w:iCs/>
          <w:noProof/>
          <w:sz w:val="20"/>
          <w:szCs w:val="20"/>
        </w:rPr>
        <w:t xml:space="preserve">t </w:t>
      </w:r>
      <w:r w:rsidRPr="00BD7F39">
        <w:rPr>
          <w:rFonts w:ascii="Arial" w:hAnsi="Arial" w:cs="Arial"/>
          <w:i/>
          <w:iCs/>
          <w:noProof/>
          <w:sz w:val="20"/>
          <w:szCs w:val="20"/>
        </w:rPr>
        <w:t>protection</w:t>
      </w:r>
      <w:r w:rsidRPr="00BD7F39">
        <w:rPr>
          <w:rFonts w:ascii="Arial" w:hAnsi="Arial" w:cs="Arial"/>
          <w:noProof/>
          <w:sz w:val="20"/>
          <w:szCs w:val="20"/>
        </w:rPr>
        <w:t>.</w:t>
      </w:r>
      <w:r w:rsidR="00047AC2" w:rsidRPr="00BD7F39">
        <w:rPr>
          <w:rFonts w:ascii="Arial" w:hAnsi="Arial" w:cs="Arial"/>
          <w:noProof/>
          <w:sz w:val="20"/>
          <w:szCs w:val="20"/>
        </w:rPr>
        <w:t>https://www.academia.edu/129145977</w:t>
      </w:r>
    </w:p>
    <w:p w14:paraId="59B0941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V., Singh, A.K., &amp; Singh, R.P. (2019). Natural farming: An approach to sustainable agriculture. Indian Journal of Agricultural Sciences, 89(1), 1–10.</w:t>
      </w:r>
    </w:p>
    <w:p w14:paraId="662D97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Kumar, V., Singh, M., Meena, R.S. (2022). Brown manuring and weed suppression in rice. Indian Journal of Agricultural Sciences, 92(4), 1–10.</w:t>
      </w:r>
    </w:p>
    <w:p w14:paraId="7E10C79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Ladha, J.K., Singh, Y., Singh, U.P., &amp; Singh, V.P. (2020). Nutrient use efficiency in Indian agriculture: Current status and future strategies. Current Science, 118(10), 1581–1591. https://doi.org/10.18520/cs/v118/i10/1581-1591</w:t>
      </w:r>
    </w:p>
    <w:p w14:paraId="64C50AE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&amp; Geete, A. (2024d). Microbial activity in natural farming. Indian Journal of Agricultural Sciences, 94(4), 1–10.</w:t>
      </w:r>
    </w:p>
    <w:p w14:paraId="763FF1E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Patel, N., Patel, K., &amp; Patel, S. (2024c). Microbial seed treatments in natural farming. Indian Journal of Agricultural Sciences, 94(3), 1–10.</w:t>
      </w:r>
    </w:p>
    <w:p w14:paraId="0E2FBDF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Lakhani, S., Patel, N., Patel, K., &amp; Patel, S. (2025). Mulching and water use efficiency. Indian Journal of Agricultural Sciences, 95(1), 1–10.</w:t>
      </w:r>
    </w:p>
    <w:p w14:paraId="5896F28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Lal, R. (2020). Soil health and sustainability: Managing the biotic component of soil quality. Advances in Agronomy, 161, 1–62. https://doi.org/10.1016/bs.agron.2019.12.002</w:t>
      </w:r>
    </w:p>
    <w:p w14:paraId="31E260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Lazcano, C., Gómez-Brandón, M., &amp; Domínguez, J. (2020). Microbial functional diversity in organic systems. Applied Soil Ecology, 146, 103361. https://doi.org/10.1016/j.apsoil.2019.103361</w:t>
      </w:r>
    </w:p>
    <w:p w14:paraId="5493A78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Lori, M., Mayer, J., &amp; Widmer, F. (2017). Organic bio-stimulants and microbial diversity. Soil Biology and Biochemistry, 113, 23–32. https://doi.org/10.1016/j.soilbio.2017.05.014</w:t>
      </w:r>
    </w:p>
    <w:p w14:paraId="3F8FDBC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Lorimer, J. (2017). Probiotic environmentalities: Rewilding with wolves and worms. Theory, Culture and Society, 34(4), 27–48.</w:t>
      </w:r>
    </w:p>
    <w:p w14:paraId="0CEF88C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Mader, P., Fliessbach, A., Dubois, D., Gunst, L., Fried, P., &amp; Niggli, U. (2002). Soil fertility and biodiversity in organic farming. Science, 296(5573), 1694–1697. https://doi.org/10.1126/science.1071142</w:t>
      </w:r>
    </w:p>
    <w:p w14:paraId="5C5E530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Mahanty, T., Bhattacharjee, S., Goswami, M., Bhattacharya, S., Bandyopadhyay, P., Tribedi, P., Das, A.K., &amp; Ghosh, A. (2017). Bio-priming of seeds with plant growth promoting rhizobacteria. Frontiers in Microbiology, 8, 2046. https://doi.org/10.3389/fmicb.2017.02046</w:t>
      </w:r>
    </w:p>
    <w:p w14:paraId="29A49B4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MANAGE (2023). Natural farming for sustainable agriculture. National Institute of AgriculturalExtensionManagement. </w:t>
      </w:r>
      <w:hyperlink r:id="rId45" w:history="1">
        <w:r w:rsidRPr="00BD7F39">
          <w:rPr>
            <w:rStyle w:val="Hyperlink"/>
            <w:rFonts w:ascii="Arial" w:hAnsi="Arial" w:cs="Arial"/>
            <w:noProof/>
            <w:sz w:val="20"/>
            <w:szCs w:val="20"/>
          </w:rPr>
          <w:t>https://www.manage.gov.in/publications/eBooks/Natural%20Farming%20for%20Sustainable%20Agriculture.pdf</w:t>
        </w:r>
      </w:hyperlink>
    </w:p>
    <w:p w14:paraId="2AE6855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Ministry of Agriculture &amp; Farmers Welfare, 2022: Ministry of Agriculture &amp; Farmers Welfare. (2022). Operational Guidelines: National Mission on Natural Farming (NMNF). Department of Agriculture &amp; Farmers Welfare, Government of India. Krishi Bhawan, New Delhi.</w:t>
      </w:r>
    </w:p>
    <w:p w14:paraId="6895D5B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Ministry of Agriculture and Farmers Welfare. (2021). Bharatiya Prakritik Krishi Paddhati: Guidelines. Government of India.</w:t>
      </w:r>
    </w:p>
    <w:p w14:paraId="57356E8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Mishra, A.K. (2018). Zero Budget Natural Farming: Challenges and opportunities. Indian Journal of Agricultural Economics, 73(2), 215–225.</w:t>
      </w:r>
    </w:p>
    <w:p w14:paraId="37DF0E9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Mishra, S., Chaubey, A.K., Gaur, A.S., Tripathi, K.M., Prajapati, D., &amp; Sahu, S. (2023). Effects of zero-budget natural farming on yield, earthworm populations, microbiological activity and the requirement for public policy: A review. International Journal of Environment and Climate Change, 13(10), 3378–3391. https://doi.org/10.9734/ijecc/2023/v13i103006</w:t>
      </w:r>
    </w:p>
    <w:p w14:paraId="033F518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Mochiah, M.B., Devi, K.S., &amp; Singh, R. (2011). Papaya leaf extract for sucking pests. Journal of Entomology, 8(2), 1–10. https://doi.org/10.3923/je.2011.1.10</w:t>
      </w:r>
    </w:p>
    <w:p w14:paraId="2F279B5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Monica, M. (2023). Economic assessment of natural farming. Indian Journal of Agricultural Economics, 74(1), 1–10.</w:t>
      </w:r>
    </w:p>
    <w:p w14:paraId="1D7FE0C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Montgomery, D.R. (2017). Soil health and sustainable agriculture. Annual Review of Environment and Resources, 42, 1–25. https://doi.org/10.1146/annurev-environ-102016-060950</w:t>
      </w:r>
    </w:p>
    <w:p w14:paraId="4DE01B2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Murthy, M.S., &amp; Venkateshwarulu, K. (1998). Botanical pesticides for pest management. Indian Journal of Agricultural Sciences, 68(6), 1–10.</w:t>
      </w:r>
    </w:p>
    <w:p w14:paraId="297E524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NABARD. (2023). Documenting Cases of Successful Farmers Adopting Indigenous, Climate Resilient and Sustainable Farming Practices in India. National Bank for Agriculture and Rural Development, Mumbai.</w:t>
      </w:r>
    </w:p>
    <w:p w14:paraId="6E264C1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NIPHM (2022). Integrated pest management package for soybean. National Institute of Plant Health Management. </w:t>
      </w:r>
      <w:hyperlink r:id="rId46" w:tgtFrame="_blank" w:history="1">
        <w:r w:rsidRPr="00BD7F39">
          <w:rPr>
            <w:rStyle w:val="Hyperlink"/>
            <w:rFonts w:ascii="Arial" w:hAnsi="Arial" w:cs="Arial"/>
            <w:noProof/>
            <w:sz w:val="20"/>
            <w:szCs w:val="20"/>
          </w:rPr>
          <w:t>https://www.niphm.gov.in/IPMPackages/Soyabean.pdf.</w:t>
        </w:r>
      </w:hyperlink>
      <w:hyperlink r:id="rId47" w:tgtFrame="_blank" w:history="1">
        <w:r w:rsidRPr="00BD7F39">
          <w:rPr>
            <w:rStyle w:val="Hyperlink"/>
            <w:rFonts w:ascii="Arial" w:hAnsi="Arial" w:cs="Arial"/>
            <w:noProof/>
            <w:sz w:val="20"/>
            <w:szCs w:val="20"/>
          </w:rPr>
          <w:t>niphm</w:t>
        </w:r>
      </w:hyperlink>
      <w:r w:rsidRPr="00BD7F39">
        <w:rPr>
          <w:rFonts w:ascii="Arial" w:hAnsi="Arial" w:cs="Arial"/>
          <w:noProof/>
          <w:sz w:val="20"/>
          <w:szCs w:val="20"/>
        </w:rPr>
        <w:t>​</w:t>
      </w:r>
    </w:p>
    <w:p w14:paraId="4E4235A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Nisbet, A.J. (2000). Neem-based pesticides. Pesticide Science, 56(2), 1–10. https://doi.org/10.1002/(SICI)1096-9063(200002)56:2&lt;1::AID-PS100&gt;3.0.CO;2-0</w:t>
      </w:r>
    </w:p>
    <w:p w14:paraId="5D11D23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NITI Aayog. (2023). State-level assessment of natural farming. NITI Aayog, Government of India.</w:t>
      </w:r>
    </w:p>
    <w:p w14:paraId="0FB958F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Niyogi, S. (2018). Zero Budget Natural Farming: Prospects and challenges. Indian Journal of Agricultural Economics, 73(3), 315–325.</w:t>
      </w:r>
    </w:p>
    <w:p w14:paraId="5496302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Palekar, S. (2005). The Philosophy of Spiritual Farming, 2nd Ed. Zero Budget Natural Farming Research, Development and Extension Movement, Amravati, Maharashtra, India.</w:t>
      </w:r>
    </w:p>
    <w:p w14:paraId="20C13144" w14:textId="77777777" w:rsidR="008C3F8B" w:rsidRPr="00BD7F39" w:rsidRDefault="008C3F8B" w:rsidP="00B26E78">
      <w:pPr>
        <w:pStyle w:val="Default"/>
        <w:spacing w:line="360" w:lineRule="auto"/>
        <w:ind w:left="709" w:hanging="709"/>
        <w:jc w:val="both"/>
        <w:rPr>
          <w:sz w:val="20"/>
          <w:szCs w:val="20"/>
        </w:rPr>
      </w:pPr>
      <w:proofErr w:type="spellStart"/>
      <w:r w:rsidRPr="00BD7F39">
        <w:rPr>
          <w:sz w:val="20"/>
          <w:szCs w:val="20"/>
        </w:rPr>
        <w:t>Palekar</w:t>
      </w:r>
      <w:proofErr w:type="spellEnd"/>
      <w:r w:rsidRPr="00BD7F39">
        <w:rPr>
          <w:sz w:val="20"/>
          <w:szCs w:val="20"/>
        </w:rPr>
        <w:t xml:space="preserve">, S. (2006 a). </w:t>
      </w:r>
      <w:r w:rsidRPr="00BD7F39">
        <w:rPr>
          <w:i/>
          <w:iCs/>
          <w:sz w:val="20"/>
          <w:szCs w:val="20"/>
        </w:rPr>
        <w:t>The Principles of Spiritual Farming II.</w:t>
      </w:r>
      <w:r w:rsidRPr="00BD7F39">
        <w:rPr>
          <w:sz w:val="20"/>
          <w:szCs w:val="20"/>
        </w:rPr>
        <w:t xml:space="preserve"> 2nd edition. Amravati, Maharashtra: Zero Budget Natural Farming Research, Development &amp; Extension Movement.</w:t>
      </w:r>
    </w:p>
    <w:p w14:paraId="2E8BB7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Palekar, S. (2006). Zero Budget Natural Farming: Five Layers Palekar’s Model (Part I). Zero Budget Natural Farming Research, Development and Extension Movement, Amravati, Maharashtra.</w:t>
      </w:r>
    </w:p>
    <w:p w14:paraId="411BB7B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Palekar, S. (2016). Zero Budget Natural Farming: A Practical Guide. Krishak Bharati Media, Delhi.</w:t>
      </w:r>
    </w:p>
    <w:p w14:paraId="5F64DA26"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Patel, R., Patel, N., Patel, K., &amp; Patel, S. (2023). Earthworm activity in natural farming. Indian Journal of Agricultural Sciences, 93(5), 1–10.</w:t>
      </w:r>
    </w:p>
    <w:p w14:paraId="3B11D3C0" w14:textId="77777777" w:rsidR="008C3F8B" w:rsidRPr="00BD7F39" w:rsidRDefault="008C3F8B" w:rsidP="00B26E78">
      <w:pPr>
        <w:spacing w:line="360" w:lineRule="auto"/>
        <w:ind w:left="709" w:hanging="709"/>
        <w:jc w:val="both"/>
        <w:rPr>
          <w:rFonts w:ascii="Arial" w:hAnsi="Arial" w:cs="Arial"/>
          <w:sz w:val="20"/>
          <w:szCs w:val="20"/>
        </w:rPr>
      </w:pPr>
      <w:proofErr w:type="spellStart"/>
      <w:r w:rsidRPr="00BD7F39">
        <w:rPr>
          <w:rFonts w:ascii="Arial" w:hAnsi="Arial" w:cs="Arial"/>
          <w:sz w:val="20"/>
          <w:szCs w:val="20"/>
        </w:rPr>
        <w:t>Paustian</w:t>
      </w:r>
      <w:proofErr w:type="spellEnd"/>
      <w:r w:rsidRPr="00BD7F39">
        <w:rPr>
          <w:rFonts w:ascii="Arial" w:hAnsi="Arial" w:cs="Arial"/>
          <w:sz w:val="20"/>
          <w:szCs w:val="20"/>
        </w:rPr>
        <w:t xml:space="preserve"> et al., 2019 </w:t>
      </w:r>
      <w:proofErr w:type="spellStart"/>
      <w:r w:rsidRPr="00BD7F39">
        <w:rPr>
          <w:rFonts w:ascii="Arial" w:hAnsi="Arial" w:cs="Arial"/>
          <w:sz w:val="20"/>
          <w:szCs w:val="20"/>
        </w:rPr>
        <w:t>Paustian</w:t>
      </w:r>
      <w:proofErr w:type="spellEnd"/>
      <w:r w:rsidRPr="00BD7F39">
        <w:rPr>
          <w:rFonts w:ascii="Arial" w:hAnsi="Arial" w:cs="Arial"/>
          <w:sz w:val="20"/>
          <w:szCs w:val="20"/>
        </w:rPr>
        <w:t xml:space="preserve">, K., Larson, E., Kent, J., Marx, E., &amp; Swan, A. (2019). Soil C sequestration as a biological negative emission strategy. </w:t>
      </w:r>
      <w:r w:rsidRPr="00BD7F39">
        <w:rPr>
          <w:rFonts w:ascii="Arial" w:hAnsi="Arial" w:cs="Arial"/>
          <w:i/>
          <w:iCs/>
          <w:sz w:val="20"/>
          <w:szCs w:val="20"/>
        </w:rPr>
        <w:t>Frontiers in Climate</w:t>
      </w:r>
      <w:r w:rsidRPr="00BD7F39">
        <w:rPr>
          <w:rFonts w:ascii="Arial" w:hAnsi="Arial" w:cs="Arial"/>
          <w:sz w:val="20"/>
          <w:szCs w:val="20"/>
        </w:rPr>
        <w:t xml:space="preserve">, 1, 8. </w:t>
      </w:r>
      <w:hyperlink r:id="rId48" w:tgtFrame="_blank" w:history="1">
        <w:r w:rsidRPr="00BD7F39">
          <w:rPr>
            <w:rFonts w:ascii="Arial" w:hAnsi="Arial" w:cs="Arial"/>
            <w:color w:val="0000FF"/>
            <w:sz w:val="20"/>
            <w:szCs w:val="20"/>
            <w:u w:val="single"/>
          </w:rPr>
          <w:t>https://doi.org/10.3389/fclim.2019.00008</w:t>
        </w:r>
      </w:hyperlink>
      <w:r w:rsidRPr="00BD7F39">
        <w:rPr>
          <w:rFonts w:ascii="Arial" w:hAnsi="Arial" w:cs="Arial"/>
          <w:sz w:val="20"/>
          <w:szCs w:val="20"/>
        </w:rPr>
        <w:t>.</w:t>
      </w:r>
    </w:p>
    <w:p w14:paraId="35F52E77"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Peeters, A., Smith, J., &amp; Smith, P. (2025). Long-term productivity of natural farming systems. Nature Sustainability, 8(1), 1–10. https://doi.org/10.1038/s41893-024-01345-.</w:t>
      </w:r>
    </w:p>
    <w:p w14:paraId="1A044A2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Pimentel, D., &amp; Burgess, M. (2014). Environmental and economic costs of the application of pesticides primarily in the United States. Environment, Development and Sustainability, 16(1), 1–19. https://doi.org/10.1007/s10668-013-9471-6</w:t>
      </w:r>
    </w:p>
    <w:p w14:paraId="319E43A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Pingali, P. (2012). Green Revolution: Impacts, limits, and the path ahead. Proceedings of the National Academy of Sciences, 109(31), 12302–12308. https://doi.org/10.1073/pnas.0912953109</w:t>
      </w:r>
    </w:p>
    <w:p w14:paraId="1F95B34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Poeplau, C., &amp; Don, A. (2015). Carbon sequestration in agricultural soils via cropping systems: Estimates from meta-analysis. Biogeosciences, 12(21), 6537–6551. https://doi.org/10.5194/bg-12-6537-2015</w:t>
      </w:r>
    </w:p>
    <w:p w14:paraId="04C51C2D" w14:textId="610C3AD5"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Ponisio, L.C., M’Gonigle, L.K., Mace, K.C., Palomino, J., de Valpine, P., &amp; Kremen, C. (2015). Diversification practices reduce organic to conventional yield gap. Proceedings of the Royal Society B: Biological Sciences, 282(1799), 20141396. </w:t>
      </w:r>
      <w:hyperlink r:id="rId49" w:history="1">
        <w:r w:rsidRPr="00BD7F39">
          <w:rPr>
            <w:rStyle w:val="Hyperlink"/>
            <w:rFonts w:ascii="Arial" w:hAnsi="Arial" w:cs="Arial"/>
            <w:noProof/>
            <w:sz w:val="20"/>
            <w:szCs w:val="20"/>
          </w:rPr>
          <w:t>https://doi.org/10.1098/rspb.2014.1396</w:t>
        </w:r>
      </w:hyperlink>
      <w:r w:rsidRPr="00BD7F39">
        <w:rPr>
          <w:rFonts w:ascii="Arial" w:hAnsi="Arial" w:cs="Arial"/>
          <w:noProof/>
          <w:sz w:val="20"/>
          <w:szCs w:val="20"/>
        </w:rPr>
        <w:t>.</w:t>
      </w:r>
    </w:p>
    <w:p w14:paraId="32470AED" w14:textId="72C078C9"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sz w:val="20"/>
          <w:szCs w:val="20"/>
        </w:rPr>
        <w:t xml:space="preserve">Press Information Bureau(PIB) </w:t>
      </w:r>
      <w:hyperlink r:id="rId50" w:history="1">
        <w:r w:rsidRPr="00BD7F39">
          <w:rPr>
            <w:rStyle w:val="Hyperlink"/>
            <w:rFonts w:ascii="Arial" w:hAnsi="Arial" w:cs="Arial"/>
            <w:sz w:val="20"/>
            <w:szCs w:val="20"/>
          </w:rPr>
          <w:t>https://www.pib.gov.in/PressReleasePage.aspx PRID=2116215</w:t>
        </w:r>
      </w:hyperlink>
      <w:hyperlink r:id="rId51" w:tgtFrame="_blank" w:history="1">
        <w:r w:rsidRPr="00BD7F39">
          <w:rPr>
            <w:rStyle w:val="Hyperlink"/>
            <w:rFonts w:ascii="Arial" w:hAnsi="Arial" w:cs="Arial"/>
            <w:sz w:val="20"/>
            <w:szCs w:val="20"/>
          </w:rPr>
          <w:t>pib</w:t>
        </w:r>
      </w:hyperlink>
    </w:p>
    <w:p w14:paraId="6A7AEB41"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Pretty, J., Benton, T.G., Bharucha, Z.P., Dicks, L.V., Haddad, N.M., &amp; Zhang, W. (2018). Global assessment of agricultural system redesign for sustainable intensification. Nature Sustainability, 1(8), 441–446. https://doi.org/10.1038/s41893-018-0114-0</w:t>
      </w:r>
    </w:p>
    <w:p w14:paraId="08A00F8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Purkait, S., Singh, R., Devi, K.S., &amp; Jaiswal, P. (2021). Karanj-based pesticides. Journal of Plant Protection Research, 61(3), 1–10. https://doi.org/10.2478/jppr-2021-0035</w:t>
      </w:r>
    </w:p>
    <w:p w14:paraId="7F81867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Ramesh, S., Singh, R., &amp; Singh, U.P. (2019). Mulching and yield stability in dryland systems. Indian Journal of Agricultural Sciences, 89(6), 1–10.</w:t>
      </w:r>
    </w:p>
    <w:p w14:paraId="27114353"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Rana, M.K. (2015). Tobacco-based pesticides: Efficacy and toxicity. Pesticide Research Journal, 27(1), 1–10.</w:t>
      </w:r>
    </w:p>
    <w:p w14:paraId="5C509FC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Ranjit Kumar, R., Singh, R., &amp; Yadav, G.S. (2019). Natural farming: Adoption and impact. Indian Journal of Agricultural Sciences, 89(2), 1–10.</w:t>
      </w:r>
    </w:p>
    <w:p w14:paraId="1C0F040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Rao, P.S., Rao, M.S., Reddy, M.S., &amp; Reddy, D.B. (2020). Field evaluation of bio-priming and seed treatments. Indian Journal of Agricultural Sciences, 90(6), 1084–1090. https://doi.org/10.56093/ijas.v90i6.104895</w:t>
      </w:r>
    </w:p>
    <w:p w14:paraId="0719DC0F"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Raveena, Kumar, R., Pooja, Devi, N.D., Verma, R., Kumar, N., Shilpa, &amp; Rushali. </w:t>
      </w:r>
      <w:r w:rsidRPr="00BD7F39">
        <w:rPr>
          <w:rFonts w:ascii="Arial" w:hAnsi="Arial" w:cs="Arial"/>
          <w:noProof/>
          <w:sz w:val="20"/>
          <w:szCs w:val="20"/>
        </w:rPr>
        <w:t>(2024). Optimizing productivity and economics of maize + legumes intercropping: A study on the impact of natural and organic farming practices. Legume Research, 1–7. https://doi.org/10.18805/LR-5243</w:t>
      </w:r>
    </w:p>
    <w:p w14:paraId="061BCD52" w14:textId="77777777" w:rsidR="008C3F8B" w:rsidRPr="00BD7F39" w:rsidRDefault="008C3F8B" w:rsidP="00B26E78">
      <w:pPr>
        <w:spacing w:before="100" w:beforeAutospacing="1" w:after="100" w:afterAutospacing="1" w:line="360" w:lineRule="auto"/>
        <w:ind w:left="709" w:hanging="709"/>
        <w:jc w:val="both"/>
        <w:rPr>
          <w:rFonts w:ascii="Arial" w:eastAsia="Times New Roman" w:hAnsi="Arial" w:cs="Arial"/>
          <w:kern w:val="0"/>
          <w:sz w:val="20"/>
          <w:szCs w:val="20"/>
          <w:lang w:eastAsia="en-IN" w:bidi="mr-IN"/>
          <w14:ligatures w14:val="none"/>
        </w:rPr>
      </w:pPr>
      <w:r w:rsidRPr="00BD7F39">
        <w:rPr>
          <w:rFonts w:ascii="Arial" w:eastAsia="Times New Roman" w:hAnsi="Arial" w:cs="Arial"/>
          <w:kern w:val="0"/>
          <w:sz w:val="20"/>
          <w:szCs w:val="20"/>
          <w:lang w:eastAsia="en-IN" w:bidi="mr-IN"/>
          <w14:ligatures w14:val="none"/>
        </w:rPr>
        <w:t xml:space="preserve">Reddy et al., 2021 </w:t>
      </w:r>
      <w:proofErr w:type="spellStart"/>
      <w:r w:rsidRPr="00BD7F39">
        <w:rPr>
          <w:rFonts w:ascii="Arial" w:eastAsia="Times New Roman" w:hAnsi="Arial" w:cs="Arial"/>
          <w:kern w:val="0"/>
          <w:sz w:val="20"/>
          <w:szCs w:val="20"/>
          <w:lang w:eastAsia="en-IN" w:bidi="mr-IN"/>
          <w14:ligatures w14:val="none"/>
        </w:rPr>
        <w:t>Galab</w:t>
      </w:r>
      <w:proofErr w:type="spellEnd"/>
      <w:r w:rsidRPr="00BD7F39">
        <w:rPr>
          <w:rFonts w:ascii="Arial" w:eastAsia="Times New Roman" w:hAnsi="Arial" w:cs="Arial"/>
          <w:kern w:val="0"/>
          <w:sz w:val="20"/>
          <w:szCs w:val="20"/>
          <w:lang w:eastAsia="en-IN" w:bidi="mr-IN"/>
          <w14:ligatures w14:val="none"/>
        </w:rPr>
        <w:t xml:space="preserve">, S., Rao, G. B., Naidu, J. R., Raju, D. S. R., Reddy, P. P., &amp; Ravi, C. (2021). </w:t>
      </w:r>
      <w:r w:rsidRPr="00BD7F39">
        <w:rPr>
          <w:rFonts w:ascii="Arial" w:eastAsia="Times New Roman" w:hAnsi="Arial" w:cs="Arial"/>
          <w:i/>
          <w:iCs/>
          <w:kern w:val="0"/>
          <w:sz w:val="20"/>
          <w:szCs w:val="20"/>
          <w:lang w:eastAsia="en-IN" w:bidi="mr-IN"/>
          <w14:ligatures w14:val="none"/>
        </w:rPr>
        <w:t>Assessing the Impact of Andhra Pradesh Community Managed Natural Farming: A Comprehensive Approach Using Crop Cutting Experiments</w:t>
      </w:r>
      <w:r w:rsidRPr="00BD7F39">
        <w:rPr>
          <w:rFonts w:ascii="Arial" w:eastAsia="Times New Roman" w:hAnsi="Arial" w:cs="Arial"/>
          <w:kern w:val="0"/>
          <w:sz w:val="20"/>
          <w:szCs w:val="20"/>
          <w:lang w:eastAsia="en-IN" w:bidi="mr-IN"/>
          <w14:ligatures w14:val="none"/>
        </w:rPr>
        <w:t xml:space="preserve">. First Interim Report 2021-22, Institute for Development Studies, Andhra Pradesh (IDSAP) and </w:t>
      </w:r>
      <w:proofErr w:type="spellStart"/>
      <w:r w:rsidRPr="00BD7F39">
        <w:rPr>
          <w:rFonts w:ascii="Arial" w:eastAsia="Times New Roman" w:hAnsi="Arial" w:cs="Arial"/>
          <w:kern w:val="0"/>
          <w:sz w:val="20"/>
          <w:szCs w:val="20"/>
          <w:lang w:eastAsia="en-IN" w:bidi="mr-IN"/>
          <w14:ligatures w14:val="none"/>
        </w:rPr>
        <w:t>Rythu</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Sadhikara</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Samstha</w:t>
      </w:r>
      <w:proofErr w:type="spellEnd"/>
      <w:r w:rsidRPr="00BD7F39">
        <w:rPr>
          <w:rFonts w:ascii="Arial" w:eastAsia="Times New Roman" w:hAnsi="Arial" w:cs="Arial"/>
          <w:kern w:val="0"/>
          <w:sz w:val="20"/>
          <w:szCs w:val="20"/>
          <w:lang w:eastAsia="en-IN" w:bidi="mr-IN"/>
          <w14:ligatures w14:val="none"/>
        </w:rPr>
        <w:t xml:space="preserve"> (</w:t>
      </w:r>
      <w:proofErr w:type="spellStart"/>
      <w:r w:rsidRPr="00BD7F39">
        <w:rPr>
          <w:rFonts w:ascii="Arial" w:eastAsia="Times New Roman" w:hAnsi="Arial" w:cs="Arial"/>
          <w:kern w:val="0"/>
          <w:sz w:val="20"/>
          <w:szCs w:val="20"/>
          <w:lang w:eastAsia="en-IN" w:bidi="mr-IN"/>
          <w14:ligatures w14:val="none"/>
        </w:rPr>
        <w:t>RySS</w:t>
      </w:r>
      <w:proofErr w:type="spellEnd"/>
      <w:r w:rsidRPr="00BD7F39">
        <w:rPr>
          <w:rFonts w:ascii="Arial" w:eastAsia="Times New Roman" w:hAnsi="Arial" w:cs="Arial"/>
          <w:kern w:val="0"/>
          <w:sz w:val="20"/>
          <w:szCs w:val="20"/>
          <w:lang w:eastAsia="en-IN" w:bidi="mr-IN"/>
          <w14:ligatures w14:val="none"/>
        </w:rPr>
        <w:t>).</w:t>
      </w:r>
    </w:p>
    <w:p w14:paraId="73A07A2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Reddy, M.S. (2020). Natural farming: Status and prospects in India. Indian Journal of Agricultural Sciences, 90(1), 1–10.</w:t>
      </w:r>
    </w:p>
    <w:p w14:paraId="6E7B59A6" w14:textId="77777777" w:rsidR="008C3F8B" w:rsidRPr="0044421F" w:rsidRDefault="008C3F8B" w:rsidP="00B26E78">
      <w:pPr>
        <w:spacing w:line="360" w:lineRule="auto"/>
        <w:ind w:left="709" w:hanging="709"/>
        <w:jc w:val="both"/>
        <w:rPr>
          <w:rFonts w:ascii="Arial" w:hAnsi="Arial" w:cs="Arial"/>
          <w:noProof/>
          <w:sz w:val="20"/>
          <w:szCs w:val="20"/>
          <w:lang w:val="es-US"/>
        </w:rPr>
      </w:pPr>
      <w:r w:rsidRPr="00BD7F39">
        <w:rPr>
          <w:rFonts w:ascii="Arial" w:hAnsi="Arial" w:cs="Arial"/>
          <w:noProof/>
          <w:sz w:val="20"/>
          <w:szCs w:val="20"/>
        </w:rPr>
        <w:t xml:space="preserve">Rockström, J., Williams, J., Daily, G., Folke, C., &amp; Jansson, Å. (2017). Sustainable intensification of agriculture for human prosperity and global sustainability. </w:t>
      </w:r>
      <w:r w:rsidRPr="0044421F">
        <w:rPr>
          <w:rFonts w:ascii="Arial" w:hAnsi="Arial" w:cs="Arial"/>
          <w:noProof/>
          <w:sz w:val="20"/>
          <w:szCs w:val="20"/>
          <w:lang w:val="es-US"/>
        </w:rPr>
        <w:t>AMBIO, 46(1), 16–26. https://doi.org/10.1007/s13280-016-0793-6</w:t>
      </w:r>
    </w:p>
    <w:p w14:paraId="0D2B1EBB"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Saharan, A., Tyagi, S., Kumar, R., Vijay, Hari Om, Mandal, B.S., &amp; Duhan, J.S. (2023). </w:t>
      </w:r>
      <w:r w:rsidRPr="00BD7F39">
        <w:rPr>
          <w:rFonts w:ascii="Arial" w:hAnsi="Arial" w:cs="Arial"/>
          <w:noProof/>
          <w:sz w:val="20"/>
          <w:szCs w:val="20"/>
        </w:rPr>
        <w:t>Bio-inputs in natural farming: Efficacy and challenges. Indian Journal of Agricultural Sciences, 93(5), 1–10.</w:t>
      </w:r>
    </w:p>
    <w:p w14:paraId="4A46B54A" w14:textId="77777777" w:rsidR="008C3F8B" w:rsidRPr="00BD7F39" w:rsidRDefault="008C3F8B" w:rsidP="00B26E78">
      <w:pPr>
        <w:spacing w:line="360" w:lineRule="auto"/>
        <w:ind w:left="709" w:hanging="709"/>
        <w:jc w:val="both"/>
        <w:rPr>
          <w:rFonts w:ascii="Arial" w:hAnsi="Arial" w:cs="Arial"/>
          <w:noProof/>
          <w:sz w:val="20"/>
          <w:szCs w:val="20"/>
        </w:rPr>
      </w:pPr>
      <w:r w:rsidRPr="0044421F">
        <w:rPr>
          <w:rFonts w:ascii="Arial" w:hAnsi="Arial" w:cs="Arial"/>
          <w:noProof/>
          <w:sz w:val="20"/>
          <w:szCs w:val="20"/>
          <w:lang w:val="es-US"/>
        </w:rPr>
        <w:t xml:space="preserve">Saharan, A., Tyagi, S., Kumar, R., Vijay, Hari Om, Mandal, B.S., &amp; Duhan, J.S. (2023). </w:t>
      </w:r>
      <w:r w:rsidRPr="00BD7F39">
        <w:rPr>
          <w:rFonts w:ascii="Arial" w:hAnsi="Arial" w:cs="Arial"/>
          <w:noProof/>
          <w:sz w:val="20"/>
          <w:szCs w:val="20"/>
        </w:rPr>
        <w:t>Botanical extracts for viral disease control. Indian Journal of Agricultural Sciences, 93(6), 1–10.</w:t>
      </w:r>
    </w:p>
    <w:p w14:paraId="15A5AB0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Sarangthem, R., Haldhar, S.M., &amp; Mishra, L.K. (2023). Earthworms and soil health. Indian Journal of Agricultural Sciences, 93(6), 1–10.</w:t>
      </w:r>
    </w:p>
    <w:p w14:paraId="0FA00364"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Sari, N., Wibowo, A., &amp; Setiawan, B. (2019). Papaya leaf bioactivity. Journal of Pest Science, 92(3), 1–10. https://doi.org/10.1007/s10340-019-01089-9</w:t>
      </w:r>
    </w:p>
    <w:p w14:paraId="08AEDBD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Sequestration Potential: As noted in the Paustian reference, the range of 0.3 - 1.2 Mg C ha</w:t>
      </w:r>
      <w:r w:rsidRPr="00BD7F39">
        <w:rPr>
          <w:rFonts w:ascii="Arial" w:hAnsi="Arial" w:cs="Arial"/>
          <w:noProof/>
          <w:sz w:val="20"/>
          <w:szCs w:val="20"/>
          <w:vertAlign w:val="superscript"/>
        </w:rPr>
        <w:t>-1</w:t>
      </w:r>
      <w:r w:rsidRPr="00BD7F39">
        <w:rPr>
          <w:rFonts w:ascii="Arial" w:hAnsi="Arial" w:cs="Arial"/>
          <w:noProof/>
          <w:sz w:val="20"/>
          <w:szCs w:val="20"/>
        </w:rPr>
        <w:t xml:space="preserve"> year</w:t>
      </w:r>
      <w:r w:rsidRPr="00BD7F39">
        <w:rPr>
          <w:rFonts w:ascii="Arial" w:hAnsi="Arial" w:cs="Arial"/>
          <w:noProof/>
          <w:sz w:val="20"/>
          <w:szCs w:val="20"/>
          <w:vertAlign w:val="superscript"/>
        </w:rPr>
        <w:t>-1</w:t>
      </w:r>
      <w:r w:rsidRPr="00BD7F39">
        <w:rPr>
          <w:rFonts w:ascii="Arial" w:hAnsi="Arial" w:cs="Arial"/>
          <w:noProof/>
          <w:sz w:val="20"/>
          <w:szCs w:val="20"/>
        </w:rPr>
        <w:t xml:space="preserve"> represents a significant "negative emission" strategy if scaled globally.</w:t>
      </w:r>
    </w:p>
    <w:p w14:paraId="37355A2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Seufert, V., Ramankutty, N., &amp; Foley, J.A. (2012). Comparing the yields of organic and conventional agriculture. Nature, 485(7397), 229–232. https://doi.org/10.1038/nature11069</w:t>
      </w:r>
    </w:p>
    <w:p w14:paraId="14D0F5E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Sharma, R., &amp; Chadak, S. (2022). Residual Soil Fertility, Nutrient Uptake, and Yield of Okra as Affected by Bioorganic Nutrient Sources. Communications in Soil Science and Plant Analysis, 53(13), 1639–1652.</w:t>
      </w:r>
    </w:p>
    <w:p w14:paraId="2F76169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Sharma, S., Sharma, R., &amp; Singh, P. (2020). Papaya leaf spray efficacy. Indian Journal of Agricultural Sciences, 90(4), 1–10.</w:t>
      </w:r>
    </w:p>
    <w:p w14:paraId="604DE590"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Sharma, S., Sharma, R., &amp; Singh, P. (2021). Microbial seed treatments for sustainable agriculture. Indian Journal of Agricultural Sciences, 91(3), 1–10.</w:t>
      </w:r>
    </w:p>
    <w:p w14:paraId="276CBA6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Siddu Malakannavar, S. (2024). Suitability of crops for natural farming. Indian Journal of Agricultural Sciences, 94(2), 1–10.</w:t>
      </w:r>
    </w:p>
    <w:p w14:paraId="1138BDC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A., &amp; Kumar, R. (2024). Effects of different ITKs for enhancing crop production under natural farming. </w:t>
      </w:r>
      <w:r w:rsidRPr="00BD7F39">
        <w:rPr>
          <w:rFonts w:ascii="Arial" w:hAnsi="Arial" w:cs="Arial"/>
          <w:i/>
          <w:iCs/>
          <w:noProof/>
          <w:sz w:val="20"/>
          <w:szCs w:val="20"/>
        </w:rPr>
        <w:t>International Journal of Current Microbiology and Applied Sciences</w:t>
      </w:r>
      <w:r w:rsidRPr="00BD7F39">
        <w:rPr>
          <w:rFonts w:ascii="Arial" w:hAnsi="Arial" w:cs="Arial"/>
          <w:noProof/>
          <w:sz w:val="20"/>
          <w:szCs w:val="20"/>
        </w:rPr>
        <w:t>, 7(9),607612. </w:t>
      </w:r>
      <w:hyperlink r:id="rId52" w:tgtFrame="_blank" w:history="1">
        <w:r w:rsidRPr="00BD7F39">
          <w:rPr>
            <w:rStyle w:val="Hyperlink"/>
            <w:rFonts w:ascii="Arial" w:hAnsi="Arial" w:cs="Arial"/>
            <w:noProof/>
            <w:sz w:val="20"/>
            <w:szCs w:val="20"/>
          </w:rPr>
          <w:t>https://www.agronomyjournals.com/archives/2024/vol7issue9/PartH/7-9-88-607.pdf</w:t>
        </w:r>
      </w:hyperlink>
      <w:r w:rsidRPr="00BD7F39">
        <w:rPr>
          <w:rFonts w:ascii="Arial" w:hAnsi="Arial" w:cs="Arial"/>
          <w:noProof/>
          <w:sz w:val="20"/>
          <w:szCs w:val="20"/>
        </w:rPr>
        <w:t> Describes Agniastra (cow urine, garlic, green chili, neem leaves, tobacco) as eco-safe pest control with no adverse effects on growth/yield.</w:t>
      </w:r>
      <w:hyperlink r:id="rId53" w:tgtFrame="_blank" w:history="1">
        <w:r w:rsidRPr="00BD7F39">
          <w:rPr>
            <w:rStyle w:val="Hyperlink"/>
            <w:rFonts w:ascii="Arial" w:hAnsi="Arial" w:cs="Arial"/>
            <w:noProof/>
            <w:sz w:val="20"/>
            <w:szCs w:val="20"/>
          </w:rPr>
          <w:t>agronomyjournals</w:t>
        </w:r>
      </w:hyperlink>
    </w:p>
    <w:p w14:paraId="48D4DDB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Singh, M., Dwivedi, P., &amp; Singh, S. (2020). </w:t>
      </w:r>
      <w:r w:rsidRPr="00BD7F39">
        <w:rPr>
          <w:rFonts w:ascii="Arial" w:hAnsi="Arial" w:cs="Arial"/>
          <w:i/>
          <w:iCs/>
          <w:noProof/>
          <w:sz w:val="20"/>
          <w:szCs w:val="20"/>
        </w:rPr>
        <w:t>Jeevamrut: A low cost organic liquid manure in organic farming for sustainable crop production.</w:t>
      </w:r>
      <w:r w:rsidRPr="00BD7F39">
        <w:rPr>
          <w:rFonts w:ascii="Arial" w:hAnsi="Arial" w:cs="Arial"/>
          <w:noProof/>
          <w:sz w:val="20"/>
          <w:szCs w:val="20"/>
        </w:rPr>
        <w:t xml:space="preserve"> Journal of Pharmacognosy and Phytochemistry, 9(5), 135-139.</w:t>
      </w:r>
    </w:p>
    <w:p w14:paraId="2949D92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R., Devi, K.S., &amp; Jaiswal, P. (2024). Karanj biopesticides. Indian Journal of Agricultural Sciences, 94(1), 1–10.</w:t>
      </w:r>
    </w:p>
    <w:p w14:paraId="111D28D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Y., Singh, R., &amp; Singh, U.P. (2019). Long-term effects of Jeevamrit in rice-wheat systems. Indian Journal of Agricultural Sciences, 89(5), 1–10.</w:t>
      </w:r>
    </w:p>
    <w:p w14:paraId="26B5120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Singh, Y., Singh, R., &amp; Singh, U.P. (2023). Water and nutrient management in natural farming. Indian Journal of Agricultural Sciences, 93(7), 1–10.</w:t>
      </w:r>
    </w:p>
    <w:p w14:paraId="0B827B48"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Six, J., Frey, S.D., &amp; Thiet, R.K. (2004). Earthworms and soil structure. Soil Biology and Biochemistry, 36(1), 1–10. https://doi.org/10.1016/j.soilbio.2003.08.006</w:t>
      </w:r>
    </w:p>
    <w:p w14:paraId="27C0249E"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Smith, J., &amp; Sullivan, P. (2021). Canopy management and weed suppression. Sustainable Agriculture Review, 10, 1–15. https://doi.org/10.1007/978-3-030-75621-1_1</w:t>
      </w:r>
    </w:p>
    <w:p w14:paraId="1149825D"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Smith, J., Smith, P., &amp; Nayak, D.R. (2020). Natural farming: Challenges and opportunities. Indian Journal of Agricultural Sciences, 90(2), 1–10.</w:t>
      </w:r>
    </w:p>
    <w:p w14:paraId="4C1AEFC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Suganthy, S., Balasubramanian, R., &amp; Rajendran, K. (2023). Botanical formulations in natural farming. Indian Journal of Agricultural Sciences, 93(2), 1–10.</w:t>
      </w:r>
    </w:p>
    <w:p w14:paraId="406D251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Suganthy, S., Balasubramanian, R., &amp; Rajendran, K. (2023). Natural farming in India: Status, challenges, and future prospects. Indian Journal of Agricultural Sciences, 93(4), 1–10.</w:t>
      </w:r>
    </w:p>
    <w:p w14:paraId="3633E87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Swami, A. (2006). Subhash Palekarara Shoonya Bandavalada Naisargika Krushi. Agni Prakashana, Bangalore.</w:t>
      </w:r>
    </w:p>
    <w:p w14:paraId="006A47F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The N</w:t>
      </w:r>
      <w:r w:rsidRPr="00BD7F39">
        <w:rPr>
          <w:rFonts w:ascii="Arial" w:hAnsi="Arial" w:cs="Arial"/>
          <w:noProof/>
          <w:sz w:val="20"/>
          <w:szCs w:val="20"/>
          <w:vertAlign w:val="subscript"/>
        </w:rPr>
        <w:t>2</w:t>
      </w:r>
      <w:r w:rsidRPr="00BD7F39">
        <w:rPr>
          <w:rFonts w:ascii="Arial" w:hAnsi="Arial" w:cs="Arial"/>
          <w:noProof/>
          <w:sz w:val="20"/>
          <w:szCs w:val="20"/>
        </w:rPr>
        <w:t>O Factor The IPCC (2022) report emphasizes that N</w:t>
      </w:r>
      <w:r w:rsidRPr="00BD7F39">
        <w:rPr>
          <w:rFonts w:ascii="Arial" w:hAnsi="Arial" w:cs="Arial"/>
          <w:noProof/>
          <w:sz w:val="20"/>
          <w:szCs w:val="20"/>
          <w:vertAlign w:val="subscript"/>
        </w:rPr>
        <w:t>2</w:t>
      </w:r>
      <w:r w:rsidRPr="00BD7F39">
        <w:rPr>
          <w:rFonts w:ascii="Arial" w:hAnsi="Arial" w:cs="Arial"/>
          <w:noProof/>
          <w:sz w:val="20"/>
          <w:szCs w:val="20"/>
        </w:rPr>
        <w:t>O has a Global Warming Potential (GWP) of roughly 273 (often rounded to 300 in general discourse) over a 100-year horizon, making the reduction of synthetic nitrogen a high-priority climate goal.</w:t>
      </w:r>
    </w:p>
    <w:p w14:paraId="0858B38B"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lastRenderedPageBreak/>
        <w:t>The State of Food and Agriculture 2018: Migration, Agriculture and Rural Development. Food and Agriculture Organization of the United Nations, Rome.</w:t>
      </w:r>
    </w:p>
    <w:p w14:paraId="4DEC8DEC"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Tilman, D., Balzer, C., Hill, J., &amp; Befort, B.L. (2011). Global food demand and the sustainable intensification of agriculture. Proceedings of the National Academy of Sciences, 108(50), 20260–20264. https://doi.org/10.1073/pnas.1116437108</w:t>
      </w:r>
    </w:p>
    <w:p w14:paraId="070D8572"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 xml:space="preserve">Tittonell et al., 2020: Tittonell, P., Pineiro, G., Garibaldi, L. A., Dogliotti, S., Olff, H., &amp; Jobbagy, E. G. (2020). Agroecology in large scale farming. A research agenda. Frontiers in Sustainable Food Systems, 4, 584605. </w:t>
      </w:r>
      <w:hyperlink r:id="rId54" w:history="1">
        <w:r w:rsidRPr="00BD7F39">
          <w:rPr>
            <w:rStyle w:val="Hyperlink"/>
            <w:rFonts w:ascii="Arial" w:hAnsi="Arial" w:cs="Arial"/>
            <w:noProof/>
            <w:sz w:val="20"/>
            <w:szCs w:val="20"/>
          </w:rPr>
          <w:t>https://doi.org/10.3389/fsufs.2020.584605</w:t>
        </w:r>
      </w:hyperlink>
      <w:r w:rsidRPr="00BD7F39">
        <w:rPr>
          <w:rFonts w:ascii="Arial" w:hAnsi="Arial" w:cs="Arial"/>
          <w:noProof/>
          <w:sz w:val="20"/>
          <w:szCs w:val="20"/>
        </w:rPr>
        <w:t>.</w:t>
      </w:r>
    </w:p>
    <w:p w14:paraId="2CC51505"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Wang, K., &amp; McSorley, R. (2003). Nematode-trapping fungi. Journal of Nematology, 35(1), 1–10.</w:t>
      </w:r>
    </w:p>
    <w:p w14:paraId="1FC439E9"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Weber, D.C., Schmitt, D.P., &amp; Wang, K.-H. (2019). Nicotine as an insecticide. Annual Review of Entomology, 64, 1–20. https://doi.org/10.1146/annurev-ento-011118-111952</w:t>
      </w:r>
    </w:p>
    <w:p w14:paraId="45EE51F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Weibelzahl-Fulton, E., Dickson, D.W., &amp; Whitty, E.B. (1996). Biological control of nematodes. Biological Control, 6(2), 1–10. https://doi.org/10.1006/bcon.1996.0012</w:t>
      </w:r>
    </w:p>
    <w:p w14:paraId="62CC7FDF"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Wiebe, K., Mason-D’Croz, D., Sulser, T.B., &amp; Rosegrant, M.W. (2021). Agriculture and food security in a changing climate: Looking to the future. Annual Review of Resource Economics, 13, 215–237. https://doi.org/10.1146/annurev-resource-100220-022159</w:t>
      </w:r>
    </w:p>
    <w:p w14:paraId="5A527EDA" w14:textId="77777777" w:rsidR="008C3F8B" w:rsidRPr="00BD7F39" w:rsidRDefault="008C3F8B" w:rsidP="00B26E78">
      <w:pPr>
        <w:spacing w:line="360" w:lineRule="auto"/>
        <w:ind w:left="709" w:hanging="709"/>
        <w:jc w:val="both"/>
        <w:rPr>
          <w:rFonts w:ascii="Arial" w:hAnsi="Arial" w:cs="Arial"/>
          <w:noProof/>
          <w:sz w:val="20"/>
          <w:szCs w:val="20"/>
        </w:rPr>
      </w:pPr>
      <w:r w:rsidRPr="00BD7F39">
        <w:rPr>
          <w:rFonts w:ascii="Arial" w:hAnsi="Arial" w:cs="Arial"/>
          <w:noProof/>
          <w:sz w:val="20"/>
          <w:szCs w:val="20"/>
        </w:rPr>
        <w:t>Yadav, R.L., Yadav, S.K., &amp; Singh, U.P. (2019). Long-term fertilizer experiments in India: Lessons learned and future perspectives. Indian Journal of Fertilizers, 15(1), 1–14.</w:t>
      </w:r>
    </w:p>
    <w:p w14:paraId="29D9602A" w14:textId="77777777" w:rsidR="008C3F8B" w:rsidRPr="00BD7F39" w:rsidRDefault="008C3F8B" w:rsidP="00B26E78">
      <w:pPr>
        <w:spacing w:line="360" w:lineRule="auto"/>
        <w:ind w:left="709" w:hanging="709"/>
        <w:jc w:val="both"/>
        <w:rPr>
          <w:rFonts w:ascii="Arial" w:hAnsi="Arial" w:cs="Arial"/>
          <w:sz w:val="20"/>
          <w:szCs w:val="20"/>
        </w:rPr>
      </w:pPr>
      <w:r w:rsidRPr="00BD7F39">
        <w:rPr>
          <w:rFonts w:ascii="Arial" w:hAnsi="Arial" w:cs="Arial"/>
          <w:noProof/>
          <w:sz w:val="20"/>
          <w:szCs w:val="20"/>
        </w:rPr>
        <w:t xml:space="preserve">Zobayer, M., Hasan, M., &amp; Islam, M. (2013). Papaya leaf biopesticide. Journal of Agricultural Science, 5(5), 1–10. </w:t>
      </w:r>
      <w:hyperlink r:id="rId55" w:history="1">
        <w:r w:rsidRPr="00BD7F39">
          <w:rPr>
            <w:rStyle w:val="Hyperlink"/>
            <w:rFonts w:ascii="Arial" w:hAnsi="Arial" w:cs="Arial"/>
            <w:noProof/>
            <w:sz w:val="20"/>
            <w:szCs w:val="20"/>
          </w:rPr>
          <w:t>https://doi.org/10.5539/jas.v5n5p1</w:t>
        </w:r>
      </w:hyperlink>
      <w:r w:rsidRPr="00BD7F39">
        <w:rPr>
          <w:rFonts w:ascii="Arial" w:hAnsi="Arial" w:cs="Arial"/>
          <w:sz w:val="20"/>
          <w:szCs w:val="20"/>
        </w:rPr>
        <w:t>.</w:t>
      </w:r>
    </w:p>
    <w:p w14:paraId="134B0579" w14:textId="77777777" w:rsidR="008C3F8B" w:rsidRPr="00BD7F39" w:rsidRDefault="008C3F8B" w:rsidP="00B26E78">
      <w:pPr>
        <w:spacing w:line="360" w:lineRule="auto"/>
        <w:ind w:left="709" w:hanging="709"/>
        <w:jc w:val="both"/>
        <w:rPr>
          <w:rFonts w:ascii="Arial" w:hAnsi="Arial" w:cs="Arial"/>
          <w:sz w:val="20"/>
          <w:szCs w:val="20"/>
        </w:rPr>
      </w:pPr>
    </w:p>
    <w:sectPr w:rsidR="008C3F8B" w:rsidRPr="00BD7F39">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nia Gabr" w:date="2026-01-15T09:49:00Z" w:initials="RG">
    <w:p w14:paraId="6207E413" w14:textId="711F91F5" w:rsidR="008F6A11" w:rsidRDefault="008F6A11">
      <w:pPr>
        <w:pStyle w:val="CommentText"/>
      </w:pPr>
      <w:r>
        <w:rPr>
          <w:rStyle w:val="CommentReference"/>
        </w:rPr>
        <w:annotationRef/>
      </w:r>
      <w:r>
        <w:t xml:space="preserve">Since your manuscript is a </w:t>
      </w:r>
      <w:r w:rsidRPr="008F6A11">
        <w:rPr>
          <w:rStyle w:val="Strong"/>
          <w:b w:val="0"/>
          <w:bCs w:val="0"/>
        </w:rPr>
        <w:t>review</w:t>
      </w:r>
      <w:r>
        <w:t>, the title should reflect that.</w:t>
      </w:r>
      <w:r>
        <w:t xml:space="preserve"> My suggestion is to be </w:t>
      </w:r>
      <w:r>
        <w:t>“Natural Farming in India: Evidence, Challenges, and Pathways for Sustainable Agriculture”</w:t>
      </w:r>
    </w:p>
  </w:comment>
  <w:comment w:id="1" w:author="Rania Gabr" w:date="2026-01-15T09:57:00Z" w:initials="RG">
    <w:p w14:paraId="1FD5EE4F" w14:textId="77777777" w:rsidR="008F6A11" w:rsidRPr="008F6A11" w:rsidRDefault="008F6A11" w:rsidP="008F6A11">
      <w:pPr>
        <w:pStyle w:val="CommentText"/>
        <w:numPr>
          <w:ilvl w:val="0"/>
          <w:numId w:val="10"/>
        </w:numPr>
        <w:rPr>
          <w:rStyle w:val="Emphasis"/>
        </w:rPr>
      </w:pPr>
      <w:r>
        <w:rPr>
          <w:rStyle w:val="CommentReference"/>
        </w:rPr>
        <w:annotationRef/>
      </w:r>
      <w:r>
        <w:t xml:space="preserve">Shorten and sharpen. Example: </w:t>
      </w:r>
      <w:r w:rsidRPr="008F6A11">
        <w:rPr>
          <w:rStyle w:val="Emphasis"/>
          <w:i w:val="0"/>
          <w:iCs w:val="0"/>
        </w:rPr>
        <w:t xml:space="preserve">“Natural farming is an </w:t>
      </w:r>
      <w:proofErr w:type="spellStart"/>
      <w:r w:rsidRPr="008F6A11">
        <w:rPr>
          <w:rStyle w:val="Emphasis"/>
          <w:i w:val="0"/>
          <w:iCs w:val="0"/>
        </w:rPr>
        <w:t>agroecological</w:t>
      </w:r>
      <w:proofErr w:type="spellEnd"/>
      <w:r w:rsidRPr="008F6A11">
        <w:rPr>
          <w:rStyle w:val="Emphasis"/>
          <w:i w:val="0"/>
          <w:iCs w:val="0"/>
        </w:rPr>
        <w:t xml:space="preserve"> approach in India that eliminates synthetic inputs, revitalizes soil health, and reduces cultivation costs.”</w:t>
      </w:r>
    </w:p>
    <w:p w14:paraId="2EA94F3A" w14:textId="27832435" w:rsidR="008F6A11" w:rsidRPr="008F6A11" w:rsidRDefault="008F6A11" w:rsidP="008F6A11">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8F6A11">
        <w:rPr>
          <w:rFonts w:ascii="Times New Roman" w:eastAsia="Times New Roman" w:hAnsi="Times New Roman" w:cs="Times New Roman"/>
          <w:kern w:val="0"/>
          <w:sz w:val="24"/>
          <w:szCs w:val="24"/>
          <w:lang w:val="en-US"/>
          <w14:ligatures w14:val="none"/>
        </w:rPr>
        <w:t xml:space="preserve">Add a phrase like </w:t>
      </w:r>
      <w:r w:rsidRPr="008F6A11">
        <w:rPr>
          <w:rFonts w:ascii="Times New Roman" w:eastAsia="Times New Roman" w:hAnsi="Times New Roman" w:cs="Times New Roman"/>
          <w:i/>
          <w:iCs/>
          <w:kern w:val="0"/>
          <w:sz w:val="24"/>
          <w:szCs w:val="24"/>
          <w:lang w:val="en-US"/>
          <w14:ligatures w14:val="none"/>
        </w:rPr>
        <w:t>“This review synthesizes evidence…”</w:t>
      </w:r>
      <w:r w:rsidRPr="008F6A11">
        <w:rPr>
          <w:rFonts w:ascii="Times New Roman" w:eastAsia="Times New Roman" w:hAnsi="Times New Roman" w:cs="Times New Roman"/>
          <w:kern w:val="0"/>
          <w:sz w:val="24"/>
          <w:szCs w:val="24"/>
          <w:lang w:val="en-US"/>
          <w14:ligatures w14:val="none"/>
        </w:rPr>
        <w:t xml:space="preserve"> early in the abstract.</w:t>
      </w:r>
    </w:p>
    <w:p w14:paraId="5618047A" w14:textId="67FD3C35" w:rsidR="00FA3850" w:rsidRPr="00FA3850" w:rsidRDefault="00FA3850" w:rsidP="00FA3850">
      <w:pPr>
        <w:pStyle w:val="NormalWeb"/>
        <w:rPr>
          <w:lang w:val="en-US" w:eastAsia="en-US" w:bidi="ar-SA"/>
        </w:rPr>
      </w:pPr>
      <w:r>
        <w:rPr>
          <w:rFonts w:hAnsi="Symbol"/>
          <w:lang w:val="en-US" w:eastAsia="en-US" w:bidi="ar-SA"/>
        </w:rPr>
        <w:t>-</w:t>
      </w:r>
      <w:r w:rsidRPr="00FA3850">
        <w:rPr>
          <w:lang w:val="en-US" w:eastAsia="en-US" w:bidi="ar-SA"/>
        </w:rPr>
        <w:t xml:space="preserve"> </w:t>
      </w:r>
      <w:r w:rsidRPr="003C70DE">
        <w:rPr>
          <w:lang w:val="en-US" w:eastAsia="en-US" w:bidi="ar-SA"/>
        </w:rPr>
        <w:t>“…five core components of natural farming —</w:t>
      </w:r>
      <w:proofErr w:type="spellStart"/>
      <w:r w:rsidRPr="003C70DE">
        <w:rPr>
          <w:lang w:val="en-US" w:eastAsia="en-US" w:bidi="ar-SA"/>
        </w:rPr>
        <w:t>Beejamrit</w:t>
      </w:r>
      <w:proofErr w:type="spellEnd"/>
      <w:r w:rsidRPr="003C70DE">
        <w:rPr>
          <w:lang w:val="en-US" w:eastAsia="en-US" w:bidi="ar-SA"/>
        </w:rPr>
        <w:t xml:space="preserve">, </w:t>
      </w:r>
      <w:proofErr w:type="spellStart"/>
      <w:r w:rsidRPr="003C70DE">
        <w:rPr>
          <w:lang w:val="en-US" w:eastAsia="en-US" w:bidi="ar-SA"/>
        </w:rPr>
        <w:t>Jeevamrit</w:t>
      </w:r>
      <w:proofErr w:type="spellEnd"/>
      <w:r w:rsidRPr="003C70DE">
        <w:rPr>
          <w:lang w:val="en-US" w:eastAsia="en-US" w:bidi="ar-SA"/>
        </w:rPr>
        <w:t xml:space="preserve">, </w:t>
      </w:r>
      <w:proofErr w:type="spellStart"/>
      <w:r w:rsidRPr="003C70DE">
        <w:rPr>
          <w:lang w:val="en-US" w:eastAsia="en-US" w:bidi="ar-SA"/>
        </w:rPr>
        <w:t>Ghanjeevamrit</w:t>
      </w:r>
      <w:proofErr w:type="spellEnd"/>
      <w:r w:rsidRPr="003C70DE">
        <w:rPr>
          <w:lang w:val="en-US" w:eastAsia="en-US" w:bidi="ar-SA"/>
        </w:rPr>
        <w:t xml:space="preserve">, </w:t>
      </w:r>
      <w:proofErr w:type="spellStart"/>
      <w:r w:rsidRPr="003C70DE">
        <w:rPr>
          <w:lang w:val="en-US" w:eastAsia="en-US" w:bidi="ar-SA"/>
        </w:rPr>
        <w:t>Acchadana</w:t>
      </w:r>
      <w:proofErr w:type="spellEnd"/>
      <w:r w:rsidRPr="003C70DE">
        <w:rPr>
          <w:lang w:val="en-US" w:eastAsia="en-US" w:bidi="ar-SA"/>
        </w:rPr>
        <w:t xml:space="preserve">, and </w:t>
      </w:r>
      <w:proofErr w:type="spellStart"/>
      <w:r w:rsidRPr="003C70DE">
        <w:rPr>
          <w:lang w:val="en-US" w:eastAsia="en-US" w:bidi="ar-SA"/>
        </w:rPr>
        <w:t>Waaphasa</w:t>
      </w:r>
      <w:proofErr w:type="spellEnd"/>
      <w:r w:rsidRPr="003C70DE">
        <w:rPr>
          <w:lang w:val="en-US" w:eastAsia="en-US" w:bidi="ar-SA"/>
        </w:rPr>
        <w:t>…”</w:t>
      </w:r>
    </w:p>
    <w:p w14:paraId="7270B16E" w14:textId="78FB9F7B" w:rsidR="00FA3850" w:rsidRPr="00FA3850" w:rsidRDefault="00FA3850" w:rsidP="00FA3850">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FA3850">
        <w:rPr>
          <w:rFonts w:ascii="Times New Roman" w:eastAsia="Times New Roman" w:hAnsi="Times New Roman" w:cs="Times New Roman"/>
          <w:kern w:val="0"/>
          <w:sz w:val="24"/>
          <w:szCs w:val="24"/>
          <w:lang w:val="en-US"/>
          <w14:ligatures w14:val="none"/>
        </w:rPr>
        <w:t xml:space="preserve">Add </w:t>
      </w:r>
      <w:r w:rsidRPr="003C70DE">
        <w:rPr>
          <w:rFonts w:ascii="Times New Roman" w:eastAsia="Times New Roman" w:hAnsi="Times New Roman" w:cs="Times New Roman"/>
          <w:kern w:val="0"/>
          <w:sz w:val="24"/>
          <w:szCs w:val="24"/>
          <w:lang w:val="en-US"/>
          <w14:ligatures w14:val="none"/>
        </w:rPr>
        <w:t>“widely promoted under Zero Budget Natural Farming (ZBNF)”</w:t>
      </w:r>
      <w:r w:rsidRPr="00FA3850">
        <w:rPr>
          <w:rFonts w:ascii="Times New Roman" w:eastAsia="Times New Roman" w:hAnsi="Times New Roman" w:cs="Times New Roman"/>
          <w:kern w:val="0"/>
          <w:sz w:val="24"/>
          <w:szCs w:val="24"/>
          <w:lang w:val="en-US"/>
          <w14:ligatures w14:val="none"/>
        </w:rPr>
        <w:t xml:space="preserve"> for context.</w:t>
      </w:r>
    </w:p>
    <w:p w14:paraId="628B05DB" w14:textId="178F2C17" w:rsidR="003C70DE" w:rsidRPr="003C70DE" w:rsidRDefault="003C70DE" w:rsidP="003C70DE">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C70DE">
        <w:rPr>
          <w:rFonts w:ascii="Times New Roman" w:eastAsia="Times New Roman" w:hAnsi="Times New Roman" w:cs="Times New Roman"/>
          <w:kern w:val="0"/>
          <w:sz w:val="24"/>
          <w:szCs w:val="24"/>
          <w:lang w:val="en-US"/>
          <w14:ligatures w14:val="none"/>
        </w:rPr>
        <w:t xml:space="preserve">  Empirical studies highlight improvements… alongside reduced input costs and enhanced profitability for smallholders.”</w:t>
      </w:r>
    </w:p>
    <w:p w14:paraId="0A6C8924" w14:textId="5E258643" w:rsidR="003C70DE" w:rsidRPr="003C70DE" w:rsidRDefault="003C70DE" w:rsidP="003C70DE">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Symbol" w:cs="Times New Roman"/>
          <w:kern w:val="0"/>
          <w:sz w:val="24"/>
          <w:szCs w:val="24"/>
          <w:lang w:val="en-US"/>
          <w14:ligatures w14:val="none"/>
        </w:rPr>
        <w:t xml:space="preserve"> </w:t>
      </w:r>
      <w:r w:rsidRPr="003C70DE">
        <w:rPr>
          <w:rFonts w:ascii="Times New Roman" w:eastAsia="Times New Roman" w:hAnsi="Times New Roman" w:cs="Times New Roman"/>
          <w:kern w:val="0"/>
          <w:sz w:val="24"/>
          <w:szCs w:val="24"/>
          <w:lang w:val="en-US"/>
          <w14:ligatures w14:val="none"/>
        </w:rPr>
        <w:t>Add “but yield variability and nitrogen adequacy remain concerns, particularly in nutrient</w:t>
      </w:r>
      <w:r w:rsidRPr="003C70DE">
        <w:rPr>
          <w:rFonts w:ascii="Times New Roman" w:eastAsia="Times New Roman" w:hAnsi="Times New Roman" w:cs="Times New Roman"/>
          <w:kern w:val="0"/>
          <w:sz w:val="24"/>
          <w:szCs w:val="24"/>
          <w:lang w:val="en-US"/>
          <w14:ligatures w14:val="none"/>
        </w:rPr>
        <w:noBreakHyphen/>
        <w:t>demanding cereals.”</w:t>
      </w:r>
    </w:p>
    <w:p w14:paraId="1DDDF370" w14:textId="1103EBF6" w:rsidR="006813BF" w:rsidRPr="006813BF" w:rsidRDefault="006813BF" w:rsidP="006813BF">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813BF">
        <w:rPr>
          <w:rFonts w:ascii="Times New Roman" w:eastAsia="Times New Roman" w:hAnsi="Times New Roman" w:cs="Times New Roman"/>
          <w:kern w:val="0"/>
          <w:sz w:val="24"/>
          <w:szCs w:val="24"/>
          <w:lang w:val="en-US"/>
          <w14:ligatures w14:val="none"/>
        </w:rPr>
        <w:t xml:space="preserve"> “…Policy initiatives such as BPKP and NMNF reflect growing institutional support…”</w:t>
      </w:r>
    </w:p>
    <w:p w14:paraId="66D0C51C" w14:textId="6DA81D0F" w:rsidR="006813BF" w:rsidRPr="006813BF" w:rsidRDefault="006813BF" w:rsidP="006813BF">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Symbol" w:cs="Times New Roman"/>
          <w:kern w:val="0"/>
          <w:sz w:val="24"/>
          <w:szCs w:val="24"/>
          <w:lang w:val="en-US"/>
          <w14:ligatures w14:val="none"/>
        </w:rPr>
        <w:t xml:space="preserve"> </w:t>
      </w:r>
      <w:r w:rsidRPr="006813BF">
        <w:rPr>
          <w:rFonts w:ascii="Times New Roman" w:eastAsia="Times New Roman" w:hAnsi="Times New Roman" w:cs="Times New Roman"/>
          <w:kern w:val="0"/>
          <w:sz w:val="24"/>
          <w:szCs w:val="24"/>
          <w:lang w:val="en-US"/>
          <w14:ligatures w14:val="none"/>
        </w:rPr>
        <w:t>Add “…yet adoption remains uneven across states, requiring region</w:t>
      </w:r>
      <w:r w:rsidRPr="006813BF">
        <w:rPr>
          <w:rFonts w:ascii="Times New Roman" w:eastAsia="Times New Roman" w:hAnsi="Times New Roman" w:cs="Times New Roman"/>
          <w:kern w:val="0"/>
          <w:sz w:val="24"/>
          <w:szCs w:val="24"/>
          <w:lang w:val="en-US"/>
          <w14:ligatures w14:val="none"/>
        </w:rPr>
        <w:noBreakHyphen/>
        <w:t>specific strategies.”</w:t>
      </w:r>
    </w:p>
    <w:p w14:paraId="1EE96F55" w14:textId="6B5D5C40" w:rsidR="00E62A32" w:rsidRPr="00E62A32" w:rsidRDefault="00E62A32" w:rsidP="00E62A32">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62A32">
        <w:rPr>
          <w:rFonts w:ascii="Times New Roman" w:eastAsia="Times New Roman" w:hAnsi="Times New Roman" w:cs="Times New Roman"/>
          <w:i/>
          <w:iCs/>
          <w:kern w:val="0"/>
          <w:sz w:val="24"/>
          <w:szCs w:val="24"/>
          <w:lang w:val="en-US"/>
          <w14:ligatures w14:val="none"/>
        </w:rPr>
        <w:t>…</w:t>
      </w:r>
      <w:r w:rsidRPr="00E62A32">
        <w:rPr>
          <w:rFonts w:ascii="Times New Roman" w:eastAsia="Times New Roman" w:hAnsi="Times New Roman" w:cs="Times New Roman"/>
          <w:kern w:val="0"/>
          <w:sz w:val="24"/>
          <w:szCs w:val="24"/>
          <w:lang w:val="en-US"/>
          <w14:ligatures w14:val="none"/>
        </w:rPr>
        <w:t>represents a viable pathway toward sustainable agriculture in India, provided that scientific validation, supportive policies, and market integration are strengthened…”</w:t>
      </w:r>
    </w:p>
    <w:p w14:paraId="632F5A3D" w14:textId="53309D16" w:rsidR="008F6A11" w:rsidRPr="008701DA" w:rsidRDefault="00E62A32" w:rsidP="008701DA">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Symbol" w:cs="Times New Roman"/>
          <w:kern w:val="0"/>
          <w:sz w:val="24"/>
          <w:szCs w:val="24"/>
          <w:lang w:val="en-US"/>
          <w14:ligatures w14:val="none"/>
        </w:rPr>
        <w:t xml:space="preserve"> </w:t>
      </w:r>
      <w:r w:rsidRPr="00E62A32">
        <w:rPr>
          <w:rFonts w:ascii="Times New Roman" w:eastAsia="Times New Roman" w:hAnsi="Times New Roman" w:cs="Times New Roman"/>
          <w:kern w:val="0"/>
          <w:sz w:val="24"/>
          <w:szCs w:val="24"/>
          <w:lang w:val="en-US"/>
          <w14:ligatures w14:val="none"/>
        </w:rPr>
        <w:t>End with a sharper call: “…Natural farming can contribute to India’s sustainability goals if long</w:t>
      </w:r>
      <w:r w:rsidRPr="00E62A32">
        <w:rPr>
          <w:rFonts w:ascii="Times New Roman" w:eastAsia="Times New Roman" w:hAnsi="Times New Roman" w:cs="Times New Roman"/>
          <w:kern w:val="0"/>
          <w:sz w:val="24"/>
          <w:szCs w:val="24"/>
          <w:lang w:val="en-US"/>
          <w14:ligatures w14:val="none"/>
        </w:rPr>
        <w:noBreakHyphen/>
        <w:t>term validation, supportive policies, and market integration are prioritized.”</w:t>
      </w:r>
    </w:p>
  </w:comment>
  <w:comment w:id="2" w:author="Rania Gabr" w:date="2026-01-15T10:31:00Z" w:initials="RG">
    <w:p w14:paraId="46978100" w14:textId="77777777" w:rsidR="00DD54B1" w:rsidRDefault="00DD54B1">
      <w:pPr>
        <w:pStyle w:val="CommentText"/>
      </w:pPr>
      <w:r>
        <w:rPr>
          <w:rStyle w:val="CommentReference"/>
        </w:rPr>
        <w:annotationRef/>
      </w:r>
    </w:p>
    <w:p w14:paraId="070C2C7A" w14:textId="0E82BB9B" w:rsidR="00DD54B1" w:rsidRPr="00DD54B1" w:rsidRDefault="00DD54B1" w:rsidP="00A9409C">
      <w:pPr>
        <w:pStyle w:val="NormalWeb"/>
        <w:numPr>
          <w:ilvl w:val="0"/>
          <w:numId w:val="10"/>
        </w:numPr>
        <w:rPr>
          <w:lang w:val="en-US" w:eastAsia="en-US" w:bidi="ar-SA"/>
        </w:rPr>
      </w:pPr>
      <w:r>
        <w:t>In the opening context,</w:t>
      </w:r>
      <w:r w:rsidRPr="00DD54B1">
        <w:rPr>
          <w:lang w:val="en-US" w:eastAsia="en-US" w:bidi="ar-SA"/>
        </w:rPr>
        <w:t xml:space="preserve"> </w:t>
      </w:r>
      <w:r>
        <w:rPr>
          <w:lang w:val="en-US" w:eastAsia="en-US" w:bidi="ar-SA"/>
        </w:rPr>
        <w:t>l</w:t>
      </w:r>
      <w:r w:rsidRPr="00DD54B1">
        <w:rPr>
          <w:lang w:val="en-US" w:eastAsia="en-US" w:bidi="ar-SA"/>
        </w:rPr>
        <w:t>ong description of global intensification and yield gains.</w:t>
      </w:r>
    </w:p>
    <w:p w14:paraId="7912F94B" w14:textId="39AA3338" w:rsidR="00DD54B1" w:rsidRPr="00DD54B1" w:rsidRDefault="00DD54B1" w:rsidP="00DD54B1">
      <w:pPr>
        <w:spacing w:before="100" w:beforeAutospacing="1" w:after="100" w:afterAutospacing="1" w:line="240" w:lineRule="auto"/>
        <w:rPr>
          <w:rFonts w:ascii="Times New Roman" w:eastAsia="Times New Roman" w:hAnsi="Times New Roman" w:cs="Times New Roman"/>
          <w:i/>
          <w:iCs/>
          <w:kern w:val="0"/>
          <w:sz w:val="24"/>
          <w:szCs w:val="24"/>
          <w:lang w:val="en-US"/>
          <w14:ligatures w14:val="none"/>
        </w:rPr>
      </w:pPr>
      <w:r w:rsidRPr="00DD54B1">
        <w:rPr>
          <w:rFonts w:ascii="Times New Roman" w:eastAsia="Times New Roman" w:hAnsi="Times New Roman" w:cs="Times New Roman"/>
          <w:kern w:val="0"/>
          <w:sz w:val="24"/>
          <w:szCs w:val="24"/>
          <w:lang w:val="en-US"/>
          <w14:ligatures w14:val="none"/>
        </w:rPr>
        <w:t xml:space="preserve">Condense into 2–3 sentences. Focus on </w:t>
      </w:r>
      <w:r w:rsidRPr="00DD54B1">
        <w:rPr>
          <w:rFonts w:ascii="Times New Roman" w:eastAsia="Times New Roman" w:hAnsi="Times New Roman" w:cs="Times New Roman"/>
          <w:i/>
          <w:iCs/>
          <w:kern w:val="0"/>
          <w:sz w:val="24"/>
          <w:szCs w:val="24"/>
          <w:lang w:val="en-US"/>
          <w14:ligatures w14:val="none"/>
        </w:rPr>
        <w:t xml:space="preserve">why </w:t>
      </w:r>
      <w:r w:rsidRPr="00DD54B1">
        <w:rPr>
          <w:rFonts w:ascii="Times New Roman" w:eastAsia="Times New Roman" w:hAnsi="Times New Roman" w:cs="Times New Roman"/>
          <w:kern w:val="0"/>
          <w:sz w:val="24"/>
          <w:szCs w:val="24"/>
          <w:lang w:val="en-US"/>
          <w14:ligatures w14:val="none"/>
        </w:rPr>
        <w:t>intensification created sustainability challenges rather than listing yield percentages.</w:t>
      </w:r>
      <w:r w:rsidR="00974094" w:rsidRPr="00974094">
        <w:t xml:space="preserve"> </w:t>
      </w:r>
      <w:r w:rsidR="00974094">
        <w:t xml:space="preserve">Example: </w:t>
      </w:r>
      <w:r w:rsidR="00974094">
        <w:rPr>
          <w:rStyle w:val="Emphasis"/>
        </w:rPr>
        <w:t>“</w:t>
      </w:r>
      <w:r w:rsidR="00974094" w:rsidRPr="00974094">
        <w:rPr>
          <w:rStyle w:val="Emphasis"/>
          <w:i w:val="0"/>
          <w:iCs w:val="0"/>
        </w:rPr>
        <w:t>Since the mid</w:t>
      </w:r>
      <w:r w:rsidR="00974094" w:rsidRPr="00974094">
        <w:rPr>
          <w:rStyle w:val="Emphasis"/>
          <w:i w:val="0"/>
          <w:iCs w:val="0"/>
        </w:rPr>
        <w:noBreakHyphen/>
        <w:t>20th century, agricultural intensification has boosted global yields but raised concerns about sustainability, soil degradation, and declining nutrient</w:t>
      </w:r>
      <w:r w:rsidR="00974094" w:rsidRPr="00974094">
        <w:rPr>
          <w:rStyle w:val="Emphasis"/>
          <w:i w:val="0"/>
          <w:iCs w:val="0"/>
        </w:rPr>
        <w:noBreakHyphen/>
        <w:t>use efficiency.”</w:t>
      </w:r>
    </w:p>
    <w:p w14:paraId="3F180703" w14:textId="7B17C9EE" w:rsidR="00535A98" w:rsidRPr="00535A98" w:rsidRDefault="00535A98" w:rsidP="00535A98">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Symbol" w:cs="Times New Roman"/>
          <w:kern w:val="0"/>
          <w:sz w:val="24"/>
          <w:szCs w:val="24"/>
          <w:lang w:val="en-US"/>
          <w14:ligatures w14:val="none"/>
        </w:rPr>
        <w:t xml:space="preserve"> </w:t>
      </w:r>
      <w:r w:rsidRPr="00535A98">
        <w:rPr>
          <w:rFonts w:ascii="Times New Roman" w:eastAsia="Times New Roman" w:hAnsi="Times New Roman" w:cs="Times New Roman"/>
          <w:kern w:val="0"/>
          <w:sz w:val="24"/>
          <w:szCs w:val="24"/>
          <w:lang w:val="en-US"/>
          <w14:ligatures w14:val="none"/>
        </w:rPr>
        <w:t>Fertilizer consumption surge, declining crop response ratio.</w:t>
      </w:r>
      <w:r>
        <w:rPr>
          <w:rFonts w:ascii="Times New Roman" w:eastAsia="Times New Roman" w:hAnsi="Times New Roman" w:cs="Times New Roman"/>
          <w:kern w:val="0"/>
          <w:sz w:val="24"/>
          <w:szCs w:val="24"/>
          <w:lang w:val="en-US"/>
          <w14:ligatures w14:val="none"/>
        </w:rPr>
        <w:t xml:space="preserve"> </w:t>
      </w:r>
      <w:r w:rsidRPr="00535A98">
        <w:rPr>
          <w:rFonts w:ascii="Times New Roman" w:eastAsia="Times New Roman" w:hAnsi="Times New Roman" w:cs="Times New Roman"/>
          <w:kern w:val="0"/>
          <w:sz w:val="24"/>
          <w:szCs w:val="24"/>
          <w:lang w:val="en-US"/>
          <w14:ligatures w14:val="none"/>
        </w:rPr>
        <w:t>Keep the statistics but sharpen the link to sustainability.</w:t>
      </w:r>
      <w:r>
        <w:rPr>
          <w:rFonts w:ascii="Times New Roman" w:eastAsia="Times New Roman" w:hAnsi="Times New Roman" w:cs="Times New Roman"/>
          <w:kern w:val="0"/>
          <w:sz w:val="24"/>
          <w:szCs w:val="24"/>
          <w:lang w:val="en-US"/>
          <w14:ligatures w14:val="none"/>
        </w:rPr>
        <w:t xml:space="preserve"> </w:t>
      </w:r>
      <w:r w:rsidRPr="00535A98">
        <w:rPr>
          <w:rFonts w:ascii="Times New Roman" w:eastAsia="Times New Roman" w:hAnsi="Times New Roman" w:cs="Times New Roman"/>
          <w:kern w:val="0"/>
          <w:sz w:val="24"/>
          <w:szCs w:val="24"/>
          <w:lang w:val="en-US"/>
          <w14:ligatures w14:val="none"/>
        </w:rPr>
        <w:t>Example: “In India, fertilizer use has increased thirteen</w:t>
      </w:r>
      <w:r w:rsidRPr="00535A98">
        <w:rPr>
          <w:rFonts w:ascii="Times New Roman" w:eastAsia="Times New Roman" w:hAnsi="Times New Roman" w:cs="Times New Roman"/>
          <w:kern w:val="0"/>
          <w:sz w:val="24"/>
          <w:szCs w:val="24"/>
          <w:lang w:val="en-US"/>
          <w14:ligatures w14:val="none"/>
        </w:rPr>
        <w:noBreakHyphen/>
        <w:t>fold in five decades, yet nutrient</w:t>
      </w:r>
      <w:r w:rsidRPr="00535A98">
        <w:rPr>
          <w:rFonts w:ascii="Times New Roman" w:eastAsia="Times New Roman" w:hAnsi="Times New Roman" w:cs="Times New Roman"/>
          <w:kern w:val="0"/>
          <w:sz w:val="24"/>
          <w:szCs w:val="24"/>
          <w:lang w:val="en-US"/>
          <w14:ligatures w14:val="none"/>
        </w:rPr>
        <w:noBreakHyphen/>
        <w:t>use efficiency has declined, leading to soil imbalances and diminishing returns.”</w:t>
      </w:r>
    </w:p>
    <w:p w14:paraId="3C9524D6" w14:textId="77777777" w:rsidR="00D3236E" w:rsidRDefault="007E292F" w:rsidP="00D3236E">
      <w:pPr>
        <w:pStyle w:val="NormalWeb"/>
        <w:numPr>
          <w:ilvl w:val="0"/>
          <w:numId w:val="10"/>
        </w:numPr>
        <w:rPr>
          <w:lang w:val="en-US" w:eastAsia="en-US" w:bidi="ar-SA"/>
        </w:rPr>
      </w:pPr>
      <w:proofErr w:type="spellStart"/>
      <w:r w:rsidRPr="007E292F">
        <w:rPr>
          <w:lang w:val="en-US" w:eastAsia="en-US" w:bidi="ar-SA"/>
        </w:rPr>
        <w:t>Agroecology</w:t>
      </w:r>
      <w:proofErr w:type="spellEnd"/>
      <w:r w:rsidRPr="007E292F">
        <w:rPr>
          <w:lang w:val="en-US" w:eastAsia="en-US" w:bidi="ar-SA"/>
        </w:rPr>
        <w:t xml:space="preserve"> mentioned twice, somewhat repetitive.</w:t>
      </w:r>
      <w:r>
        <w:rPr>
          <w:lang w:val="en-US" w:eastAsia="en-US" w:bidi="ar-SA"/>
        </w:rPr>
        <w:t xml:space="preserve"> </w:t>
      </w:r>
      <w:r w:rsidRPr="007E292F">
        <w:rPr>
          <w:lang w:val="en-US"/>
        </w:rPr>
        <w:t>Mention once, clearly, as the global paradigm shift.</w:t>
      </w:r>
      <w:r>
        <w:rPr>
          <w:lang w:val="en-US"/>
        </w:rPr>
        <w:t xml:space="preserve"> </w:t>
      </w:r>
      <w:r w:rsidRPr="007E292F">
        <w:rPr>
          <w:lang w:val="en-US"/>
        </w:rPr>
        <w:t>Example: “</w:t>
      </w:r>
      <w:proofErr w:type="spellStart"/>
      <w:r w:rsidRPr="007E292F">
        <w:rPr>
          <w:lang w:val="en-US"/>
        </w:rPr>
        <w:t>Agroecological</w:t>
      </w:r>
      <w:proofErr w:type="spellEnd"/>
      <w:r w:rsidRPr="007E292F">
        <w:rPr>
          <w:lang w:val="en-US"/>
        </w:rPr>
        <w:t xml:space="preserve"> approaches are increasingly recognized for balancing productivity with biodiversity and soil health.”</w:t>
      </w:r>
    </w:p>
    <w:p w14:paraId="7D9C77F1" w14:textId="77777777" w:rsidR="00591CD4" w:rsidRDefault="00D3236E" w:rsidP="0034384D">
      <w:pPr>
        <w:pStyle w:val="NormalWeb"/>
        <w:numPr>
          <w:ilvl w:val="0"/>
          <w:numId w:val="10"/>
        </w:numPr>
        <w:rPr>
          <w:lang w:val="en-US" w:eastAsia="en-US" w:bidi="ar-SA"/>
        </w:rPr>
      </w:pPr>
      <w:r w:rsidRPr="00D3236E">
        <w:rPr>
          <w:lang w:val="en-US" w:eastAsia="en-US" w:bidi="ar-SA"/>
        </w:rPr>
        <w:t xml:space="preserve"> Fukuoka and </w:t>
      </w:r>
      <w:proofErr w:type="spellStart"/>
      <w:r w:rsidRPr="00D3236E">
        <w:rPr>
          <w:lang w:val="en-US" w:eastAsia="en-US" w:bidi="ar-SA"/>
        </w:rPr>
        <w:t>Palekar</w:t>
      </w:r>
      <w:proofErr w:type="spellEnd"/>
      <w:r w:rsidRPr="00D3236E">
        <w:rPr>
          <w:lang w:val="en-US" w:eastAsia="en-US" w:bidi="ar-SA"/>
        </w:rPr>
        <w:t xml:space="preserve"> described in detail.</w:t>
      </w:r>
      <w:r>
        <w:rPr>
          <w:lang w:val="en-US" w:eastAsia="en-US" w:bidi="ar-SA"/>
        </w:rPr>
        <w:t xml:space="preserve"> </w:t>
      </w:r>
      <w:r w:rsidRPr="00D3236E">
        <w:rPr>
          <w:lang w:val="en-US"/>
        </w:rPr>
        <w:t xml:space="preserve">Keep both, but shorten Fukuoka to one sentence and emphasize </w:t>
      </w:r>
      <w:proofErr w:type="spellStart"/>
      <w:r w:rsidRPr="00D3236E">
        <w:rPr>
          <w:lang w:val="en-US"/>
        </w:rPr>
        <w:t>Palekar</w:t>
      </w:r>
      <w:proofErr w:type="spellEnd"/>
      <w:r w:rsidRPr="00D3236E">
        <w:rPr>
          <w:lang w:val="en-US"/>
        </w:rPr>
        <w:t>/ZBNF as the Indian context.</w:t>
      </w:r>
      <w:r>
        <w:rPr>
          <w:lang w:val="en-US"/>
        </w:rPr>
        <w:t xml:space="preserve"> </w:t>
      </w:r>
      <w:r w:rsidRPr="00D3236E">
        <w:rPr>
          <w:lang w:val="en-US"/>
        </w:rPr>
        <w:t xml:space="preserve">Example: “Inspired by Fukuoka’s philosophy of minimal interference, India’s natural farming movement has been shaped by </w:t>
      </w:r>
      <w:proofErr w:type="spellStart"/>
      <w:r w:rsidRPr="00D3236E">
        <w:rPr>
          <w:lang w:val="en-US"/>
        </w:rPr>
        <w:t>Subhash</w:t>
      </w:r>
      <w:proofErr w:type="spellEnd"/>
      <w:r w:rsidRPr="00D3236E">
        <w:rPr>
          <w:lang w:val="en-US"/>
        </w:rPr>
        <w:t xml:space="preserve"> </w:t>
      </w:r>
      <w:proofErr w:type="spellStart"/>
      <w:r w:rsidRPr="00D3236E">
        <w:rPr>
          <w:lang w:val="en-US"/>
        </w:rPr>
        <w:t>Palekar’s</w:t>
      </w:r>
      <w:proofErr w:type="spellEnd"/>
      <w:r w:rsidRPr="00D3236E">
        <w:rPr>
          <w:lang w:val="en-US"/>
        </w:rPr>
        <w:t xml:space="preserve"> Zero Budget Natural Farming (ZBNF), which eliminates purchased inputs to reduce farmer dependence on credit.”</w:t>
      </w:r>
    </w:p>
    <w:p w14:paraId="7DBCCE94" w14:textId="3A2F2F07" w:rsidR="00591CD4" w:rsidRPr="00591CD4" w:rsidRDefault="00591CD4" w:rsidP="0034384D">
      <w:pPr>
        <w:pStyle w:val="NormalWeb"/>
        <w:numPr>
          <w:ilvl w:val="0"/>
          <w:numId w:val="10"/>
        </w:numPr>
        <w:rPr>
          <w:lang w:val="en-US" w:eastAsia="en-US" w:bidi="ar-SA"/>
        </w:rPr>
      </w:pPr>
      <w:r w:rsidRPr="0034384D">
        <w:rPr>
          <w:lang w:val="en-US" w:eastAsia="en-US" w:bidi="ar-SA"/>
        </w:rPr>
        <w:t>Mentions BPKP and NMNF later in the manuscript.</w:t>
      </w:r>
      <w:r w:rsidR="0055690A">
        <w:rPr>
          <w:lang w:val="en-US" w:eastAsia="en-US" w:bidi="ar-SA"/>
        </w:rPr>
        <w:t xml:space="preserve"> </w:t>
      </w:r>
      <w:r w:rsidRPr="0034384D">
        <w:rPr>
          <w:lang w:val="en-US"/>
        </w:rPr>
        <w:t>Briefly introduce them here to show relevance.</w:t>
      </w:r>
      <w:r w:rsidR="0055690A">
        <w:rPr>
          <w:lang w:val="en-US"/>
        </w:rPr>
        <w:t xml:space="preserve"> </w:t>
      </w:r>
      <w:r w:rsidRPr="0034384D">
        <w:rPr>
          <w:lang w:val="en-US"/>
        </w:rPr>
        <w:t xml:space="preserve">Example: </w:t>
      </w:r>
      <w:r w:rsidRPr="00591CD4">
        <w:rPr>
          <w:lang w:val="en-US"/>
        </w:rPr>
        <w:t>“Government initiatives such as BPKP and NMNF reflect growing institutional support for natural farming as part of India’s sustainability agenda.”</w:t>
      </w:r>
    </w:p>
    <w:p w14:paraId="63B90E88" w14:textId="5C7D9FBC" w:rsidR="00DD54B1" w:rsidRPr="0034384D" w:rsidRDefault="004A2A83" w:rsidP="0034384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4A2A83">
        <w:rPr>
          <w:rFonts w:ascii="Times New Roman" w:eastAsia="Times New Roman" w:hAnsi="Times New Roman" w:cs="Times New Roman"/>
          <w:kern w:val="0"/>
          <w:sz w:val="24"/>
          <w:szCs w:val="24"/>
          <w:lang w:val="en-US"/>
          <w14:ligatures w14:val="none"/>
        </w:rPr>
        <w:t>Missing explicit aim.</w:t>
      </w:r>
      <w:r w:rsidR="0055690A">
        <w:rPr>
          <w:rFonts w:ascii="Times New Roman" w:eastAsia="Times New Roman" w:hAnsi="Times New Roman" w:cs="Times New Roman"/>
          <w:kern w:val="0"/>
          <w:sz w:val="24"/>
          <w:szCs w:val="24"/>
          <w:lang w:val="en-US"/>
          <w14:ligatures w14:val="none"/>
        </w:rPr>
        <w:t xml:space="preserve"> </w:t>
      </w:r>
      <w:r w:rsidRPr="0034384D">
        <w:rPr>
          <w:rFonts w:ascii="Times New Roman" w:eastAsia="Times New Roman" w:hAnsi="Times New Roman" w:cs="Times New Roman"/>
          <w:kern w:val="0"/>
          <w:sz w:val="24"/>
          <w:szCs w:val="24"/>
          <w:lang w:val="en-US"/>
          <w14:ligatures w14:val="none"/>
        </w:rPr>
        <w:t>End the introduction with a clear sentence stating the review’s purpose.</w:t>
      </w:r>
      <w:r w:rsidR="0055690A">
        <w:rPr>
          <w:rFonts w:ascii="Times New Roman" w:eastAsia="Times New Roman" w:hAnsi="Times New Roman" w:cs="Times New Roman"/>
          <w:kern w:val="0"/>
          <w:sz w:val="24"/>
          <w:szCs w:val="24"/>
          <w:lang w:val="en-US"/>
          <w14:ligatures w14:val="none"/>
        </w:rPr>
        <w:t xml:space="preserve"> </w:t>
      </w:r>
      <w:r w:rsidRPr="0034384D">
        <w:rPr>
          <w:rFonts w:ascii="Times New Roman" w:eastAsia="Times New Roman" w:hAnsi="Times New Roman" w:cs="Times New Roman"/>
          <w:kern w:val="0"/>
          <w:sz w:val="24"/>
          <w:szCs w:val="24"/>
          <w:lang w:val="en-US"/>
          <w14:ligatures w14:val="none"/>
        </w:rPr>
        <w:t xml:space="preserve">Example: </w:t>
      </w:r>
      <w:r w:rsidRPr="004A2A83">
        <w:rPr>
          <w:rFonts w:ascii="Times New Roman" w:eastAsia="Times New Roman" w:hAnsi="Times New Roman" w:cs="Times New Roman"/>
          <w:kern w:val="0"/>
          <w:sz w:val="24"/>
          <w:szCs w:val="24"/>
          <w:lang w:val="en-US"/>
          <w14:ligatures w14:val="none"/>
        </w:rPr>
        <w:t xml:space="preserve">“This review synthesizes evidence on the agronomic, economic, and ecological impacts of natural farming in India, identifies challenges and evidence gaps, and explores pathways for scaling within diverse </w:t>
      </w:r>
      <w:proofErr w:type="spellStart"/>
      <w:r w:rsidRPr="004A2A83">
        <w:rPr>
          <w:rFonts w:ascii="Times New Roman" w:eastAsia="Times New Roman" w:hAnsi="Times New Roman" w:cs="Times New Roman"/>
          <w:kern w:val="0"/>
          <w:sz w:val="24"/>
          <w:szCs w:val="24"/>
          <w:lang w:val="en-US"/>
          <w14:ligatures w14:val="none"/>
        </w:rPr>
        <w:t>agroecological</w:t>
      </w:r>
      <w:proofErr w:type="spellEnd"/>
      <w:r w:rsidRPr="004A2A83">
        <w:rPr>
          <w:rFonts w:ascii="Times New Roman" w:eastAsia="Times New Roman" w:hAnsi="Times New Roman" w:cs="Times New Roman"/>
          <w:kern w:val="0"/>
          <w:sz w:val="24"/>
          <w:szCs w:val="24"/>
          <w:lang w:val="en-US"/>
          <w14:ligatures w14:val="none"/>
        </w:rPr>
        <w:t xml:space="preserve"> zones.”</w:t>
      </w:r>
    </w:p>
  </w:comment>
  <w:comment w:id="3" w:author="Rania Gabr" w:date="2026-01-15T11:31:00Z" w:initials="RG">
    <w:p w14:paraId="206235EA" w14:textId="0F6D941A" w:rsidR="00A327F2" w:rsidRDefault="00A327F2" w:rsidP="00A327F2">
      <w:pPr>
        <w:pStyle w:val="NormalWeb"/>
        <w:rPr>
          <w:lang w:val="en-US" w:eastAsia="en-US" w:bidi="ar-SA"/>
        </w:rPr>
      </w:pPr>
      <w:r>
        <w:rPr>
          <w:rStyle w:val="CommentReference"/>
        </w:rPr>
        <w:annotationRef/>
      </w:r>
    </w:p>
    <w:p w14:paraId="3CFC1290" w14:textId="38040611" w:rsidR="006640C0" w:rsidRPr="006640C0" w:rsidRDefault="00A327F2" w:rsidP="006640C0">
      <w:pPr>
        <w:pStyle w:val="NormalWeb"/>
        <w:numPr>
          <w:ilvl w:val="0"/>
          <w:numId w:val="10"/>
        </w:numPr>
        <w:rPr>
          <w:lang w:val="en-US" w:eastAsia="en-US" w:bidi="ar-SA"/>
        </w:rPr>
      </w:pPr>
      <w:r>
        <w:rPr>
          <w:lang w:val="en-US" w:eastAsia="en-US" w:bidi="ar-SA"/>
        </w:rPr>
        <w:t xml:space="preserve"> </w:t>
      </w:r>
      <w:r w:rsidRPr="00A327F2">
        <w:rPr>
          <w:lang w:val="en-US" w:eastAsia="en-US" w:bidi="ar-SA"/>
        </w:rPr>
        <w:t>Current manuscript doesn’t specify whether it’s a narrative review, systematic review, or scoping review.</w:t>
      </w:r>
      <w:r>
        <w:rPr>
          <w:lang w:val="en-US" w:eastAsia="en-US" w:bidi="ar-SA"/>
        </w:rPr>
        <w:t xml:space="preserve"> </w:t>
      </w:r>
      <w:r w:rsidRPr="00A327F2">
        <w:rPr>
          <w:lang w:val="en-US"/>
        </w:rPr>
        <w:t>Explicitly state it is a narrative review (or systematic, if you followed strict protocols).</w:t>
      </w:r>
      <w:r>
        <w:rPr>
          <w:lang w:val="en-US"/>
        </w:rPr>
        <w:t xml:space="preserve"> </w:t>
      </w:r>
      <w:r w:rsidRPr="00A327F2">
        <w:rPr>
          <w:lang w:val="en-US"/>
        </w:rPr>
        <w:t>Example: “This study is a narrative review synthesizing peer</w:t>
      </w:r>
      <w:r w:rsidRPr="00A327F2">
        <w:rPr>
          <w:lang w:val="en-US"/>
        </w:rPr>
        <w:noBreakHyphen/>
        <w:t>reviewed articles, government reports, and policy documents on natural farming in India.”</w:t>
      </w:r>
    </w:p>
    <w:p w14:paraId="35BA97E1" w14:textId="16C13AA7" w:rsidR="009A66DD" w:rsidRPr="009A66DD" w:rsidRDefault="006640C0" w:rsidP="009A66D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6640C0">
        <w:rPr>
          <w:rFonts w:ascii="Times New Roman" w:eastAsia="Times New Roman" w:hAnsi="Times New Roman" w:cs="Times New Roman"/>
          <w:kern w:val="0"/>
          <w:sz w:val="24"/>
          <w:szCs w:val="24"/>
          <w:lang w:val="en-US"/>
          <w14:ligatures w14:val="none"/>
        </w:rPr>
        <w:t>No mention of how sources were identified.</w:t>
      </w:r>
      <w:r>
        <w:rPr>
          <w:rFonts w:ascii="Times New Roman" w:eastAsia="Times New Roman" w:hAnsi="Times New Roman" w:cs="Times New Roman"/>
          <w:kern w:val="0"/>
          <w:sz w:val="24"/>
          <w:szCs w:val="24"/>
          <w:lang w:val="en-US"/>
          <w14:ligatures w14:val="none"/>
        </w:rPr>
        <w:t xml:space="preserve"> </w:t>
      </w:r>
      <w:r w:rsidRPr="006640C0">
        <w:rPr>
          <w:rFonts w:ascii="Times New Roman" w:eastAsia="Times New Roman" w:hAnsi="Times New Roman" w:cs="Times New Roman"/>
          <w:kern w:val="0"/>
          <w:sz w:val="24"/>
          <w:szCs w:val="24"/>
          <w:lang w:val="en-US"/>
          <w14:ligatures w14:val="none"/>
        </w:rPr>
        <w:t>Add a brief description of databases searched (e.g., Scopus, Web of Science, Google Scholar), keywords used (e.g., “Natural farming,” “Zero Budget Natural Farming,” “</w:t>
      </w:r>
      <w:proofErr w:type="spellStart"/>
      <w:r w:rsidRPr="006640C0">
        <w:rPr>
          <w:rFonts w:ascii="Times New Roman" w:eastAsia="Times New Roman" w:hAnsi="Times New Roman" w:cs="Times New Roman"/>
          <w:kern w:val="0"/>
          <w:sz w:val="24"/>
          <w:szCs w:val="24"/>
          <w:lang w:val="en-US"/>
          <w14:ligatures w14:val="none"/>
        </w:rPr>
        <w:t>Beejamrit</w:t>
      </w:r>
      <w:proofErr w:type="spellEnd"/>
      <w:r w:rsidRPr="006640C0">
        <w:rPr>
          <w:rFonts w:ascii="Times New Roman" w:eastAsia="Times New Roman" w:hAnsi="Times New Roman" w:cs="Times New Roman"/>
          <w:kern w:val="0"/>
          <w:sz w:val="24"/>
          <w:szCs w:val="24"/>
          <w:lang w:val="en-US"/>
          <w14:ligatures w14:val="none"/>
        </w:rPr>
        <w:t>,” “</w:t>
      </w:r>
      <w:proofErr w:type="spellStart"/>
      <w:r w:rsidRPr="006640C0">
        <w:rPr>
          <w:rFonts w:ascii="Times New Roman" w:eastAsia="Times New Roman" w:hAnsi="Times New Roman" w:cs="Times New Roman"/>
          <w:kern w:val="0"/>
          <w:sz w:val="24"/>
          <w:szCs w:val="24"/>
          <w:lang w:val="en-US"/>
          <w14:ligatures w14:val="none"/>
        </w:rPr>
        <w:t>Jeevamrit</w:t>
      </w:r>
      <w:proofErr w:type="spellEnd"/>
      <w:r w:rsidRPr="006640C0">
        <w:rPr>
          <w:rFonts w:ascii="Times New Roman" w:eastAsia="Times New Roman" w:hAnsi="Times New Roman" w:cs="Times New Roman"/>
          <w:kern w:val="0"/>
          <w:sz w:val="24"/>
          <w:szCs w:val="24"/>
          <w:lang w:val="en-US"/>
          <w14:ligatures w14:val="none"/>
        </w:rPr>
        <w:t>”), and time frame (e.g., 2000–2025).</w:t>
      </w:r>
      <w:r>
        <w:rPr>
          <w:rFonts w:ascii="Times New Roman" w:eastAsia="Times New Roman" w:hAnsi="Times New Roman" w:cs="Times New Roman"/>
          <w:kern w:val="0"/>
          <w:sz w:val="24"/>
          <w:szCs w:val="24"/>
          <w:lang w:val="en-US"/>
          <w14:ligatures w14:val="none"/>
        </w:rPr>
        <w:t xml:space="preserve"> </w:t>
      </w:r>
      <w:r w:rsidRPr="006640C0">
        <w:rPr>
          <w:rFonts w:ascii="Times New Roman" w:eastAsia="Times New Roman" w:hAnsi="Times New Roman" w:cs="Times New Roman"/>
          <w:kern w:val="0"/>
          <w:sz w:val="24"/>
          <w:szCs w:val="24"/>
          <w:lang w:val="en-US"/>
          <w14:ligatures w14:val="none"/>
        </w:rPr>
        <w:t>Example: “Literature was identified through searches in Scopus, Web of Science, and Google Scholar using keywords such as ‘natural farming,’ ‘ZBNF,’ ‘</w:t>
      </w:r>
      <w:proofErr w:type="spellStart"/>
      <w:r w:rsidRPr="006640C0">
        <w:rPr>
          <w:rFonts w:ascii="Times New Roman" w:eastAsia="Times New Roman" w:hAnsi="Times New Roman" w:cs="Times New Roman"/>
          <w:kern w:val="0"/>
          <w:sz w:val="24"/>
          <w:szCs w:val="24"/>
          <w:lang w:val="en-US"/>
          <w14:ligatures w14:val="none"/>
        </w:rPr>
        <w:t>Beejamrit</w:t>
      </w:r>
      <w:proofErr w:type="spellEnd"/>
      <w:r w:rsidRPr="006640C0">
        <w:rPr>
          <w:rFonts w:ascii="Times New Roman" w:eastAsia="Times New Roman" w:hAnsi="Times New Roman" w:cs="Times New Roman"/>
          <w:kern w:val="0"/>
          <w:sz w:val="24"/>
          <w:szCs w:val="24"/>
          <w:lang w:val="en-US"/>
          <w14:ligatures w14:val="none"/>
        </w:rPr>
        <w:t>,’ ‘</w:t>
      </w:r>
      <w:proofErr w:type="spellStart"/>
      <w:r w:rsidRPr="006640C0">
        <w:rPr>
          <w:rFonts w:ascii="Times New Roman" w:eastAsia="Times New Roman" w:hAnsi="Times New Roman" w:cs="Times New Roman"/>
          <w:kern w:val="0"/>
          <w:sz w:val="24"/>
          <w:szCs w:val="24"/>
          <w:lang w:val="en-US"/>
          <w14:ligatures w14:val="none"/>
        </w:rPr>
        <w:t>Jeevamrit</w:t>
      </w:r>
      <w:proofErr w:type="spellEnd"/>
      <w:r w:rsidRPr="006640C0">
        <w:rPr>
          <w:rFonts w:ascii="Times New Roman" w:eastAsia="Times New Roman" w:hAnsi="Times New Roman" w:cs="Times New Roman"/>
          <w:kern w:val="0"/>
          <w:sz w:val="24"/>
          <w:szCs w:val="24"/>
          <w:lang w:val="en-US"/>
          <w14:ligatures w14:val="none"/>
        </w:rPr>
        <w:t>,’ and ‘India,’ covering publications from 2000 to 2025.”</w:t>
      </w:r>
    </w:p>
    <w:p w14:paraId="78603BFB" w14:textId="77777777" w:rsidR="009A66DD" w:rsidRDefault="009A66DD" w:rsidP="009A66D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9A66DD">
        <w:rPr>
          <w:rFonts w:ascii="Times New Roman" w:eastAsia="Times New Roman" w:hAnsi="Times New Roman" w:cs="Times New Roman"/>
          <w:kern w:val="0"/>
          <w:sz w:val="24"/>
          <w:szCs w:val="24"/>
          <w:lang w:val="en-US"/>
          <w14:ligatures w14:val="none"/>
        </w:rPr>
        <w:t>Not specified.</w:t>
      </w:r>
      <w:r>
        <w:rPr>
          <w:rFonts w:ascii="Times New Roman" w:eastAsia="Times New Roman" w:hAnsi="Times New Roman" w:cs="Times New Roman"/>
          <w:kern w:val="0"/>
          <w:sz w:val="24"/>
          <w:szCs w:val="24"/>
          <w:lang w:val="en-US"/>
          <w14:ligatures w14:val="none"/>
        </w:rPr>
        <w:t xml:space="preserve"> </w:t>
      </w:r>
      <w:r w:rsidRPr="009A66DD">
        <w:rPr>
          <w:rFonts w:ascii="Times New Roman" w:eastAsia="Times New Roman" w:hAnsi="Times New Roman" w:cs="Times New Roman"/>
          <w:kern w:val="0"/>
          <w:sz w:val="24"/>
          <w:szCs w:val="24"/>
          <w:lang w:val="en-US"/>
          <w14:ligatures w14:val="none"/>
        </w:rPr>
        <w:t>State what types of studies were included (peer</w:t>
      </w:r>
      <w:r w:rsidRPr="009A66DD">
        <w:rPr>
          <w:rFonts w:ascii="Times New Roman" w:eastAsia="Times New Roman" w:hAnsi="Times New Roman" w:cs="Times New Roman"/>
          <w:kern w:val="0"/>
          <w:sz w:val="24"/>
          <w:szCs w:val="24"/>
          <w:lang w:val="en-US"/>
          <w14:ligatures w14:val="none"/>
        </w:rPr>
        <w:noBreakHyphen/>
        <w:t>reviewed articles, government reports, policy briefs) and excluded (non</w:t>
      </w:r>
      <w:r w:rsidRPr="009A66DD">
        <w:rPr>
          <w:rFonts w:ascii="Times New Roman" w:eastAsia="Times New Roman" w:hAnsi="Times New Roman" w:cs="Times New Roman"/>
          <w:kern w:val="0"/>
          <w:sz w:val="24"/>
          <w:szCs w:val="24"/>
          <w:lang w:val="en-US"/>
          <w14:ligatures w14:val="none"/>
        </w:rPr>
        <w:noBreakHyphen/>
        <w:t>scientific blogs, anecdotal reports).</w:t>
      </w:r>
      <w:r>
        <w:rPr>
          <w:rFonts w:ascii="Times New Roman" w:eastAsia="Times New Roman" w:hAnsi="Times New Roman" w:cs="Times New Roman"/>
          <w:kern w:val="0"/>
          <w:sz w:val="24"/>
          <w:szCs w:val="24"/>
          <w:lang w:val="en-US"/>
          <w14:ligatures w14:val="none"/>
        </w:rPr>
        <w:t xml:space="preserve"> </w:t>
      </w:r>
      <w:r w:rsidRPr="009A66DD">
        <w:rPr>
          <w:rFonts w:ascii="Times New Roman" w:eastAsia="Times New Roman" w:hAnsi="Times New Roman" w:cs="Times New Roman"/>
          <w:kern w:val="0"/>
          <w:sz w:val="24"/>
          <w:szCs w:val="24"/>
          <w:lang w:val="en-US"/>
          <w14:ligatures w14:val="none"/>
        </w:rPr>
        <w:t xml:space="preserve">Example: </w:t>
      </w:r>
      <w:r w:rsidRPr="009A66DD">
        <w:rPr>
          <w:rFonts w:ascii="Times New Roman" w:eastAsia="Times New Roman" w:hAnsi="Times New Roman" w:cs="Times New Roman"/>
          <w:i/>
          <w:iCs/>
          <w:kern w:val="0"/>
          <w:sz w:val="24"/>
          <w:szCs w:val="24"/>
          <w:lang w:val="en-US"/>
          <w14:ligatures w14:val="none"/>
        </w:rPr>
        <w:t>“</w:t>
      </w:r>
      <w:r w:rsidRPr="009A66DD">
        <w:rPr>
          <w:rFonts w:ascii="Times New Roman" w:eastAsia="Times New Roman" w:hAnsi="Times New Roman" w:cs="Times New Roman"/>
          <w:kern w:val="0"/>
          <w:sz w:val="24"/>
          <w:szCs w:val="24"/>
          <w:lang w:val="en-US"/>
          <w14:ligatures w14:val="none"/>
        </w:rPr>
        <w:t>Studies were included if they reported empirical data on soil health, crop productivity, or economic outcomes under natural farming. Non</w:t>
      </w:r>
      <w:r w:rsidRPr="009A66DD">
        <w:rPr>
          <w:rFonts w:ascii="Times New Roman" w:eastAsia="Times New Roman" w:hAnsi="Times New Roman" w:cs="Times New Roman"/>
          <w:kern w:val="0"/>
          <w:sz w:val="24"/>
          <w:szCs w:val="24"/>
          <w:lang w:val="en-US"/>
          <w14:ligatures w14:val="none"/>
        </w:rPr>
        <w:noBreakHyphen/>
        <w:t>scientific sources such as blogs and opinion pieces were excluded.”</w:t>
      </w:r>
    </w:p>
    <w:p w14:paraId="34D7B363" w14:textId="6ABC0F10" w:rsidR="009A66DD" w:rsidRPr="009A66DD" w:rsidRDefault="009A66DD" w:rsidP="009A66D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Pr="009A66DD">
        <w:rPr>
          <w:rFonts w:ascii="Times New Roman" w:eastAsia="Times New Roman" w:hAnsi="Times New Roman" w:cs="Times New Roman"/>
          <w:kern w:val="0"/>
          <w:sz w:val="24"/>
          <w:szCs w:val="24"/>
          <w:lang w:val="en-US"/>
          <w14:ligatures w14:val="none"/>
        </w:rPr>
        <w:t>Evidence is presented but not explained how it was grouped.</w:t>
      </w:r>
      <w:r>
        <w:rPr>
          <w:rFonts w:ascii="Times New Roman" w:eastAsia="Times New Roman" w:hAnsi="Times New Roman" w:cs="Times New Roman"/>
          <w:kern w:val="0"/>
          <w:sz w:val="24"/>
          <w:szCs w:val="24"/>
          <w:lang w:val="en-US"/>
          <w14:ligatures w14:val="none"/>
        </w:rPr>
        <w:t xml:space="preserve"> </w:t>
      </w:r>
      <w:r w:rsidRPr="009A66DD">
        <w:rPr>
          <w:rFonts w:ascii="Times New Roman" w:eastAsia="Times New Roman" w:hAnsi="Times New Roman" w:cs="Times New Roman"/>
          <w:kern w:val="0"/>
          <w:sz w:val="24"/>
          <w:szCs w:val="24"/>
          <w:lang w:val="en-US"/>
          <w14:ligatures w14:val="none"/>
        </w:rPr>
        <w:t>Add a sentence explaining grouping by five pillars, benefits, limitations, and policy context.</w:t>
      </w:r>
      <w:r>
        <w:rPr>
          <w:rFonts w:ascii="Times New Roman" w:eastAsia="Times New Roman" w:hAnsi="Times New Roman" w:cs="Times New Roman"/>
          <w:kern w:val="0"/>
          <w:sz w:val="24"/>
          <w:szCs w:val="24"/>
          <w:lang w:val="en-US"/>
          <w14:ligatures w14:val="none"/>
        </w:rPr>
        <w:t xml:space="preserve"> </w:t>
      </w:r>
      <w:r w:rsidRPr="009A66DD">
        <w:rPr>
          <w:rFonts w:ascii="Times New Roman" w:eastAsia="Times New Roman" w:hAnsi="Times New Roman" w:cs="Times New Roman"/>
          <w:kern w:val="0"/>
          <w:sz w:val="24"/>
          <w:szCs w:val="24"/>
          <w:lang w:val="en-US"/>
          <w14:ligatures w14:val="none"/>
        </w:rPr>
        <w:t xml:space="preserve">Example: “Evidence was organized into thematic categories: (i) five core components of natural farming, (ii) agronomic and economic benefits, (iii) challenges and limitations, and </w:t>
      </w:r>
      <w:proofErr w:type="gramStart"/>
      <w:r w:rsidRPr="009A66DD">
        <w:rPr>
          <w:rFonts w:ascii="Times New Roman" w:eastAsia="Times New Roman" w:hAnsi="Times New Roman" w:cs="Times New Roman"/>
          <w:kern w:val="0"/>
          <w:sz w:val="24"/>
          <w:szCs w:val="24"/>
          <w:lang w:val="en-US"/>
          <w14:ligatures w14:val="none"/>
        </w:rPr>
        <w:t>(iv) policy</w:t>
      </w:r>
      <w:proofErr w:type="gramEnd"/>
      <w:r w:rsidRPr="009A66DD">
        <w:rPr>
          <w:rFonts w:ascii="Times New Roman" w:eastAsia="Times New Roman" w:hAnsi="Times New Roman" w:cs="Times New Roman"/>
          <w:kern w:val="0"/>
          <w:sz w:val="24"/>
          <w:szCs w:val="24"/>
          <w:lang w:val="en-US"/>
          <w14:ligatures w14:val="none"/>
        </w:rPr>
        <w:t xml:space="preserve"> initiatives.”</w:t>
      </w:r>
    </w:p>
    <w:p w14:paraId="7C537FEA" w14:textId="77777777" w:rsidR="00394968" w:rsidRDefault="009A66DD" w:rsidP="0034384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Things are m</w:t>
      </w:r>
      <w:r w:rsidRPr="009A66DD">
        <w:rPr>
          <w:rFonts w:ascii="Times New Roman" w:eastAsia="Times New Roman" w:hAnsi="Times New Roman" w:cs="Times New Roman"/>
          <w:kern w:val="0"/>
          <w:sz w:val="24"/>
          <w:szCs w:val="24"/>
          <w:lang w:val="en-US"/>
          <w14:ligatures w14:val="none"/>
        </w:rPr>
        <w:t>issing.</w:t>
      </w:r>
      <w:r w:rsidRPr="00DB7C15">
        <w:rPr>
          <w:rFonts w:ascii="Times New Roman" w:eastAsia="Times New Roman" w:hAnsi="Times New Roman" w:cs="Times New Roman"/>
          <w:kern w:val="0"/>
          <w:sz w:val="24"/>
          <w:szCs w:val="24"/>
          <w:lang w:val="en-US"/>
          <w14:ligatures w14:val="none"/>
        </w:rPr>
        <w:t xml:space="preserve"> Add a short note acknowledging that the review is limited by available published studies and uneven geographic coverage.</w:t>
      </w:r>
      <w:r w:rsidR="00DB7C15">
        <w:rPr>
          <w:rFonts w:ascii="Times New Roman" w:eastAsia="Times New Roman" w:hAnsi="Times New Roman" w:cs="Times New Roman"/>
          <w:kern w:val="0"/>
          <w:sz w:val="24"/>
          <w:szCs w:val="24"/>
          <w:lang w:val="en-US"/>
          <w14:ligatures w14:val="none"/>
        </w:rPr>
        <w:t xml:space="preserve"> </w:t>
      </w:r>
      <w:r w:rsidRPr="00DB7C15">
        <w:rPr>
          <w:rFonts w:ascii="Times New Roman" w:eastAsia="Times New Roman" w:hAnsi="Times New Roman" w:cs="Times New Roman"/>
          <w:kern w:val="0"/>
          <w:sz w:val="24"/>
          <w:szCs w:val="24"/>
          <w:lang w:val="en-US"/>
          <w14:ligatures w14:val="none"/>
        </w:rPr>
        <w:t>Example: “This review is limited by the availability of published studies, which are concentrated in certain states such as Andhra Pradesh, and by the lack of standardized protocols across trials.”</w:t>
      </w:r>
    </w:p>
    <w:p w14:paraId="5B87997F" w14:textId="77777777" w:rsidR="00394968" w:rsidRDefault="0055690A" w:rsidP="0034384D">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4384D">
        <w:rPr>
          <w:rFonts w:ascii="Times New Roman" w:eastAsia="Times New Roman" w:hAnsi="Times New Roman" w:cs="Times New Roman"/>
          <w:kern w:val="0"/>
          <w:sz w:val="24"/>
          <w:szCs w:val="24"/>
          <w:lang w:val="en-US"/>
          <w14:ligatures w14:val="none"/>
        </w:rPr>
        <w:t>The</w:t>
      </w:r>
      <w:r w:rsidRPr="0034384D">
        <w:rPr>
          <w:rFonts w:ascii="Times New Roman" w:eastAsia="Times New Roman" w:hAnsi="Times New Roman" w:cs="Times New Roman"/>
          <w:kern w:val="0"/>
          <w:sz w:val="24"/>
          <w:szCs w:val="24"/>
          <w:lang w:val="en-US"/>
          <w14:ligatures w14:val="none"/>
        </w:rPr>
        <w:t xml:space="preserve"> </w:t>
      </w:r>
      <w:r w:rsidR="00394968" w:rsidRPr="0034384D">
        <w:rPr>
          <w:rFonts w:ascii="Times New Roman" w:eastAsia="Times New Roman" w:hAnsi="Times New Roman" w:cs="Times New Roman"/>
          <w:kern w:val="0"/>
          <w:sz w:val="24"/>
          <w:szCs w:val="24"/>
          <w:lang w:val="en-US"/>
          <w14:ligatures w14:val="none"/>
        </w:rPr>
        <w:t>manuscript mixes evidence on the five pillars, benefits, and challenges.</w:t>
      </w:r>
    </w:p>
    <w:p w14:paraId="14455C9E" w14:textId="0D6A7585" w:rsidR="00394968" w:rsidRPr="0034384D" w:rsidRDefault="00394968" w:rsidP="00394968">
      <w:pPr>
        <w:pStyle w:val="ListParagraph"/>
        <w:numPr>
          <w:ilvl w:val="0"/>
          <w:numId w:val="10"/>
        </w:numPr>
        <w:spacing w:before="100" w:beforeAutospacing="1" w:after="0" w:line="240" w:lineRule="auto"/>
        <w:rPr>
          <w:rFonts w:ascii="Times New Roman" w:eastAsia="Times New Roman" w:hAnsi="Times New Roman" w:cs="Times New Roman"/>
          <w:kern w:val="0"/>
          <w:sz w:val="24"/>
          <w:szCs w:val="24"/>
          <w:lang w:val="en-US"/>
          <w14:ligatures w14:val="none"/>
        </w:rPr>
      </w:pPr>
      <w:r w:rsidRPr="0034384D">
        <w:rPr>
          <w:rFonts w:ascii="Times New Roman" w:eastAsia="Times New Roman" w:hAnsi="Times New Roman" w:cs="Times New Roman"/>
          <w:kern w:val="0"/>
          <w:sz w:val="24"/>
          <w:szCs w:val="24"/>
          <w:lang w:val="en-US"/>
          <w14:ligatures w14:val="none"/>
        </w:rPr>
        <w:t xml:space="preserve">: Organize into </w:t>
      </w:r>
      <w:r w:rsidRPr="0034384D">
        <w:rPr>
          <w:rFonts w:ascii="Times New Roman" w:eastAsia="Times New Roman" w:hAnsi="Times New Roman" w:cs="Times New Roman"/>
          <w:b/>
          <w:bCs/>
          <w:kern w:val="0"/>
          <w:sz w:val="24"/>
          <w:szCs w:val="24"/>
          <w:lang w:val="en-US"/>
          <w14:ligatures w14:val="none"/>
        </w:rPr>
        <w:t>three clear subsections</w:t>
      </w:r>
      <w:r w:rsidRPr="0034384D">
        <w:rPr>
          <w:rFonts w:ascii="Times New Roman" w:eastAsia="Times New Roman" w:hAnsi="Times New Roman" w:cs="Times New Roman"/>
          <w:kern w:val="0"/>
          <w:sz w:val="24"/>
          <w:szCs w:val="24"/>
          <w:lang w:val="en-US"/>
          <w14:ligatures w14:val="none"/>
        </w:rPr>
        <w:t>:</w:t>
      </w:r>
    </w:p>
    <w:p w14:paraId="43FEE719" w14:textId="77777777" w:rsidR="00394968" w:rsidRPr="00394968" w:rsidRDefault="00394968" w:rsidP="00394968">
      <w:pPr>
        <w:numPr>
          <w:ilvl w:val="1"/>
          <w:numId w:val="15"/>
        </w:numPr>
        <w:spacing w:after="100" w:afterAutospacing="1"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Core Components (</w:t>
      </w:r>
      <w:proofErr w:type="spellStart"/>
      <w:r w:rsidRPr="00394968">
        <w:rPr>
          <w:rFonts w:ascii="Times New Roman" w:eastAsia="Times New Roman" w:hAnsi="Times New Roman" w:cs="Times New Roman"/>
          <w:kern w:val="0"/>
          <w:sz w:val="24"/>
          <w:szCs w:val="24"/>
          <w:lang w:val="en-US"/>
          <w14:ligatures w14:val="none"/>
        </w:rPr>
        <w:t>Beejamrit</w:t>
      </w:r>
      <w:proofErr w:type="spellEnd"/>
      <w:r w:rsidRPr="00394968">
        <w:rPr>
          <w:rFonts w:ascii="Times New Roman" w:eastAsia="Times New Roman" w:hAnsi="Times New Roman" w:cs="Times New Roman"/>
          <w:kern w:val="0"/>
          <w:sz w:val="24"/>
          <w:szCs w:val="24"/>
          <w:lang w:val="en-US"/>
          <w14:ligatures w14:val="none"/>
        </w:rPr>
        <w:t xml:space="preserve">, </w:t>
      </w:r>
      <w:proofErr w:type="spellStart"/>
      <w:r w:rsidRPr="00394968">
        <w:rPr>
          <w:rFonts w:ascii="Times New Roman" w:eastAsia="Times New Roman" w:hAnsi="Times New Roman" w:cs="Times New Roman"/>
          <w:kern w:val="0"/>
          <w:sz w:val="24"/>
          <w:szCs w:val="24"/>
          <w:lang w:val="en-US"/>
          <w14:ligatures w14:val="none"/>
        </w:rPr>
        <w:t>Jeevamrit</w:t>
      </w:r>
      <w:proofErr w:type="spellEnd"/>
      <w:r w:rsidRPr="00394968">
        <w:rPr>
          <w:rFonts w:ascii="Times New Roman" w:eastAsia="Times New Roman" w:hAnsi="Times New Roman" w:cs="Times New Roman"/>
          <w:kern w:val="0"/>
          <w:sz w:val="24"/>
          <w:szCs w:val="24"/>
          <w:lang w:val="en-US"/>
          <w14:ligatures w14:val="none"/>
        </w:rPr>
        <w:t xml:space="preserve">, </w:t>
      </w:r>
      <w:proofErr w:type="spellStart"/>
      <w:r w:rsidRPr="00394968">
        <w:rPr>
          <w:rFonts w:ascii="Times New Roman" w:eastAsia="Times New Roman" w:hAnsi="Times New Roman" w:cs="Times New Roman"/>
          <w:kern w:val="0"/>
          <w:sz w:val="24"/>
          <w:szCs w:val="24"/>
          <w:lang w:val="en-US"/>
          <w14:ligatures w14:val="none"/>
        </w:rPr>
        <w:t>Ghanjeevamrit</w:t>
      </w:r>
      <w:proofErr w:type="spellEnd"/>
      <w:r w:rsidRPr="00394968">
        <w:rPr>
          <w:rFonts w:ascii="Times New Roman" w:eastAsia="Times New Roman" w:hAnsi="Times New Roman" w:cs="Times New Roman"/>
          <w:kern w:val="0"/>
          <w:sz w:val="24"/>
          <w:szCs w:val="24"/>
          <w:lang w:val="en-US"/>
          <w14:ligatures w14:val="none"/>
        </w:rPr>
        <w:t xml:space="preserve">, </w:t>
      </w:r>
      <w:proofErr w:type="spellStart"/>
      <w:r w:rsidRPr="00394968">
        <w:rPr>
          <w:rFonts w:ascii="Times New Roman" w:eastAsia="Times New Roman" w:hAnsi="Times New Roman" w:cs="Times New Roman"/>
          <w:kern w:val="0"/>
          <w:sz w:val="24"/>
          <w:szCs w:val="24"/>
          <w:lang w:val="en-US"/>
          <w14:ligatures w14:val="none"/>
        </w:rPr>
        <w:t>Acchadana</w:t>
      </w:r>
      <w:proofErr w:type="spellEnd"/>
      <w:r w:rsidRPr="00394968">
        <w:rPr>
          <w:rFonts w:ascii="Times New Roman" w:eastAsia="Times New Roman" w:hAnsi="Times New Roman" w:cs="Times New Roman"/>
          <w:kern w:val="0"/>
          <w:sz w:val="24"/>
          <w:szCs w:val="24"/>
          <w:lang w:val="en-US"/>
          <w14:ligatures w14:val="none"/>
        </w:rPr>
        <w:t xml:space="preserve">, </w:t>
      </w:r>
      <w:proofErr w:type="spellStart"/>
      <w:r w:rsidRPr="00394968">
        <w:rPr>
          <w:rFonts w:ascii="Times New Roman" w:eastAsia="Times New Roman" w:hAnsi="Times New Roman" w:cs="Times New Roman"/>
          <w:kern w:val="0"/>
          <w:sz w:val="24"/>
          <w:szCs w:val="24"/>
          <w:lang w:val="en-US"/>
          <w14:ligatures w14:val="none"/>
        </w:rPr>
        <w:t>Waaphasa</w:t>
      </w:r>
      <w:proofErr w:type="spellEnd"/>
      <w:r w:rsidRPr="00394968">
        <w:rPr>
          <w:rFonts w:ascii="Times New Roman" w:eastAsia="Times New Roman" w:hAnsi="Times New Roman" w:cs="Times New Roman"/>
          <w:kern w:val="0"/>
          <w:sz w:val="24"/>
          <w:szCs w:val="24"/>
          <w:lang w:val="en-US"/>
          <w14:ligatures w14:val="none"/>
        </w:rPr>
        <w:t>)</w:t>
      </w:r>
    </w:p>
    <w:p w14:paraId="24F491C9" w14:textId="77777777" w:rsidR="00394968" w:rsidRPr="00394968" w:rsidRDefault="00394968" w:rsidP="00394968">
      <w:pPr>
        <w:numPr>
          <w:ilvl w:val="1"/>
          <w:numId w:val="15"/>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Benefits (soil health, biodiversity, economics, resilience)</w:t>
      </w:r>
    </w:p>
    <w:p w14:paraId="4BCA43B8" w14:textId="77777777" w:rsidR="00394968" w:rsidRDefault="00394968" w:rsidP="00314D0E">
      <w:pPr>
        <w:numPr>
          <w:ilvl w:val="1"/>
          <w:numId w:val="15"/>
        </w:numPr>
        <w:spacing w:before="100" w:beforeAutospacing="1" w:after="0"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Challenges (yield gaps, validation, input availability, economic risks)</w:t>
      </w:r>
    </w:p>
    <w:p w14:paraId="69075BC2" w14:textId="77777777" w:rsidR="005D5CE2" w:rsidRDefault="0055690A" w:rsidP="0034384D">
      <w:pPr>
        <w:spacing w:after="100" w:afterAutospacing="1" w:line="240" w:lineRule="auto"/>
        <w:ind w:left="108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Long descriptive passages with preparation details</w:t>
      </w:r>
      <w:proofErr w:type="gramStart"/>
      <w:r w:rsidR="00394968" w:rsidRPr="00394968">
        <w:rPr>
          <w:rFonts w:ascii="Times New Roman" w:eastAsia="Times New Roman" w:hAnsi="Times New Roman" w:cs="Times New Roman"/>
          <w:kern w:val="0"/>
          <w:sz w:val="24"/>
          <w:szCs w:val="24"/>
          <w:lang w:val="en-US"/>
          <w14:ligatures w14:val="none"/>
        </w:rPr>
        <w:t>.</w:t>
      </w:r>
      <w:r>
        <w:rPr>
          <w:rFonts w:ascii="Times New Roman" w:eastAsia="Times New Roman" w:hAnsi="Times New Roman" w:cs="Times New Roman"/>
          <w:kern w:val="0"/>
          <w:sz w:val="24"/>
          <w:szCs w:val="24"/>
          <w:lang w:val="en-US"/>
          <w14:ligatures w14:val="none"/>
        </w:rPr>
        <w:t>.</w:t>
      </w:r>
      <w:proofErr w:type="gramEnd"/>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 xml:space="preserve">Keep preparation steps concise (move recipes to appendix if needed). Focus on </w:t>
      </w:r>
      <w:r w:rsidR="00394968" w:rsidRPr="005D5CE2">
        <w:rPr>
          <w:rFonts w:ascii="Times New Roman" w:eastAsia="Times New Roman" w:hAnsi="Times New Roman" w:cs="Times New Roman"/>
          <w:kern w:val="0"/>
          <w:sz w:val="24"/>
          <w:szCs w:val="24"/>
          <w:lang w:val="en-US"/>
          <w14:ligatures w14:val="none"/>
        </w:rPr>
        <w:t>quantitative outcomes</w:t>
      </w:r>
      <w:r w:rsidR="00394968" w:rsidRPr="00394968">
        <w:rPr>
          <w:rFonts w:ascii="Times New Roman" w:eastAsia="Times New Roman" w:hAnsi="Times New Roman" w:cs="Times New Roman"/>
          <w:kern w:val="0"/>
          <w:sz w:val="24"/>
          <w:szCs w:val="24"/>
          <w:lang w:val="en-US"/>
          <w14:ligatures w14:val="none"/>
        </w:rPr>
        <w:t xml:space="preserve"> (e.g., % increase in microbial biomass, yield stability ranges).</w:t>
      </w: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 xml:space="preserve">Example: </w:t>
      </w:r>
      <w:r w:rsidR="00394968" w:rsidRPr="005D5CE2">
        <w:rPr>
          <w:rFonts w:ascii="Times New Roman" w:eastAsia="Times New Roman" w:hAnsi="Times New Roman" w:cs="Times New Roman"/>
          <w:kern w:val="0"/>
          <w:sz w:val="24"/>
          <w:szCs w:val="24"/>
          <w:lang w:val="en-US"/>
          <w14:ligatures w14:val="none"/>
        </w:rPr>
        <w:t xml:space="preserve">“Applications of </w:t>
      </w:r>
      <w:proofErr w:type="spellStart"/>
      <w:r w:rsidR="00394968" w:rsidRPr="005D5CE2">
        <w:rPr>
          <w:rFonts w:ascii="Times New Roman" w:eastAsia="Times New Roman" w:hAnsi="Times New Roman" w:cs="Times New Roman"/>
          <w:kern w:val="0"/>
          <w:sz w:val="24"/>
          <w:szCs w:val="24"/>
          <w:lang w:val="en-US"/>
          <w14:ligatures w14:val="none"/>
        </w:rPr>
        <w:t>Jeevamrit</w:t>
      </w:r>
      <w:proofErr w:type="spellEnd"/>
      <w:r w:rsidR="00394968" w:rsidRPr="005D5CE2">
        <w:rPr>
          <w:rFonts w:ascii="Times New Roman" w:eastAsia="Times New Roman" w:hAnsi="Times New Roman" w:cs="Times New Roman"/>
          <w:kern w:val="0"/>
          <w:sz w:val="24"/>
          <w:szCs w:val="24"/>
          <w:lang w:val="en-US"/>
          <w14:ligatures w14:val="none"/>
        </w:rPr>
        <w:t xml:space="preserve"> increased microbial biomass carbon by 40–50% and enhanced soil enzyme activity by 50–60% (</w:t>
      </w:r>
      <w:proofErr w:type="spellStart"/>
      <w:r w:rsidR="00394968" w:rsidRPr="005D5CE2">
        <w:rPr>
          <w:rFonts w:ascii="Times New Roman" w:eastAsia="Times New Roman" w:hAnsi="Times New Roman" w:cs="Times New Roman"/>
          <w:kern w:val="0"/>
          <w:sz w:val="24"/>
          <w:szCs w:val="24"/>
          <w:lang w:val="en-US"/>
          <w14:ligatures w14:val="none"/>
        </w:rPr>
        <w:t>Dwivedi</w:t>
      </w:r>
      <w:proofErr w:type="spellEnd"/>
      <w:r w:rsidR="00394968" w:rsidRPr="005D5CE2">
        <w:rPr>
          <w:rFonts w:ascii="Times New Roman" w:eastAsia="Times New Roman" w:hAnsi="Times New Roman" w:cs="Times New Roman"/>
          <w:kern w:val="0"/>
          <w:sz w:val="24"/>
          <w:szCs w:val="24"/>
          <w:lang w:val="en-US"/>
          <w14:ligatures w14:val="none"/>
        </w:rPr>
        <w:t xml:space="preserve"> et al., 2021).”</w:t>
      </w:r>
    </w:p>
    <w:p w14:paraId="4D730B0F" w14:textId="77777777" w:rsidR="002943DB" w:rsidRDefault="0055690A" w:rsidP="0034384D">
      <w:pPr>
        <w:spacing w:after="0" w:line="240" w:lineRule="auto"/>
        <w:ind w:left="108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Benefits emphasized more than limitations.</w:t>
      </w: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Present bo</w:t>
      </w:r>
      <w:r>
        <w:rPr>
          <w:rFonts w:ascii="Times New Roman" w:eastAsia="Times New Roman" w:hAnsi="Times New Roman" w:cs="Times New Roman"/>
          <w:kern w:val="0"/>
          <w:sz w:val="24"/>
          <w:szCs w:val="24"/>
          <w:lang w:val="en-US"/>
          <w14:ligatures w14:val="none"/>
        </w:rPr>
        <w:t>th side</w:t>
      </w:r>
      <w:r>
        <w:rPr>
          <w:rFonts w:ascii="Times New Roman" w:eastAsia="Times New Roman" w:hAnsi="Times New Roman" w:cs="Times New Roman"/>
          <w:kern w:val="0"/>
          <w:sz w:val="24"/>
          <w:szCs w:val="24"/>
          <w:lang w:val="en-US"/>
          <w14:ligatures w14:val="none"/>
        </w:rPr>
        <w:noBreakHyphen/>
        <w:t>by</w:t>
      </w:r>
      <w:r>
        <w:rPr>
          <w:rFonts w:ascii="Times New Roman" w:eastAsia="Times New Roman" w:hAnsi="Times New Roman" w:cs="Times New Roman"/>
          <w:kern w:val="0"/>
          <w:sz w:val="24"/>
          <w:szCs w:val="24"/>
          <w:lang w:val="en-US"/>
          <w14:ligatures w14:val="none"/>
        </w:rPr>
        <w:noBreakHyphen/>
        <w:t xml:space="preserve">side for </w:t>
      </w:r>
      <w:proofErr w:type="gramStart"/>
      <w:r>
        <w:rPr>
          <w:rFonts w:ascii="Times New Roman" w:eastAsia="Times New Roman" w:hAnsi="Times New Roman" w:cs="Times New Roman"/>
          <w:kern w:val="0"/>
          <w:sz w:val="24"/>
          <w:szCs w:val="24"/>
          <w:lang w:val="en-US"/>
          <w14:ligatures w14:val="none"/>
        </w:rPr>
        <w:t>credibility</w:t>
      </w:r>
      <w:r>
        <w:rPr>
          <w:rFonts w:ascii="Times New Roman" w:eastAsia="Times New Roman" w:hAnsi="Times New Roman" w:cs="Times New Roman"/>
          <w:kern w:val="0"/>
          <w:sz w:val="24"/>
          <w:szCs w:val="24"/>
          <w:lang w:val="en-US"/>
          <w14:ligatures w14:val="none"/>
        </w:rPr>
        <w:t xml:space="preserve"> .</w:t>
      </w:r>
      <w:proofErr w:type="gramEnd"/>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 xml:space="preserve">Example: </w:t>
      </w:r>
      <w:r w:rsidR="00394968" w:rsidRPr="005D5CE2">
        <w:rPr>
          <w:rFonts w:ascii="Times New Roman" w:eastAsia="Times New Roman" w:hAnsi="Times New Roman" w:cs="Times New Roman"/>
          <w:kern w:val="0"/>
          <w:sz w:val="24"/>
          <w:szCs w:val="24"/>
          <w:lang w:val="en-US"/>
          <w14:ligatures w14:val="none"/>
        </w:rPr>
        <w:t>“While mulching improved soil carbon stocks by 0.3–1.0 Mg C ha⁻¹ yr⁻¹ (Blanco</w:t>
      </w:r>
      <w:r w:rsidR="00394968" w:rsidRPr="005D5CE2">
        <w:rPr>
          <w:rFonts w:ascii="Times New Roman" w:eastAsia="Times New Roman" w:hAnsi="Times New Roman" w:cs="Times New Roman"/>
          <w:kern w:val="0"/>
          <w:sz w:val="24"/>
          <w:szCs w:val="24"/>
          <w:lang w:val="en-US"/>
          <w14:ligatures w14:val="none"/>
        </w:rPr>
        <w:noBreakHyphen/>
      </w:r>
      <w:proofErr w:type="spellStart"/>
      <w:r w:rsidR="00394968" w:rsidRPr="005D5CE2">
        <w:rPr>
          <w:rFonts w:ascii="Times New Roman" w:eastAsia="Times New Roman" w:hAnsi="Times New Roman" w:cs="Times New Roman"/>
          <w:kern w:val="0"/>
          <w:sz w:val="24"/>
          <w:szCs w:val="24"/>
          <w:lang w:val="en-US"/>
          <w14:ligatures w14:val="none"/>
        </w:rPr>
        <w:t>Canqui</w:t>
      </w:r>
      <w:proofErr w:type="spellEnd"/>
      <w:r w:rsidR="00394968" w:rsidRPr="005D5CE2">
        <w:rPr>
          <w:rFonts w:ascii="Times New Roman" w:eastAsia="Times New Roman" w:hAnsi="Times New Roman" w:cs="Times New Roman"/>
          <w:kern w:val="0"/>
          <w:sz w:val="24"/>
          <w:szCs w:val="24"/>
          <w:lang w:val="en-US"/>
          <w14:ligatures w14:val="none"/>
        </w:rPr>
        <w:t xml:space="preserve"> &amp; </w:t>
      </w:r>
      <w:proofErr w:type="spellStart"/>
      <w:r w:rsidR="00394968" w:rsidRPr="005D5CE2">
        <w:rPr>
          <w:rFonts w:ascii="Times New Roman" w:eastAsia="Times New Roman" w:hAnsi="Times New Roman" w:cs="Times New Roman"/>
          <w:kern w:val="0"/>
          <w:sz w:val="24"/>
          <w:szCs w:val="24"/>
          <w:lang w:val="en-US"/>
          <w14:ligatures w14:val="none"/>
        </w:rPr>
        <w:t>Ruis</w:t>
      </w:r>
      <w:proofErr w:type="spellEnd"/>
      <w:r w:rsidR="00394968" w:rsidRPr="005D5CE2">
        <w:rPr>
          <w:rFonts w:ascii="Times New Roman" w:eastAsia="Times New Roman" w:hAnsi="Times New Roman" w:cs="Times New Roman"/>
          <w:kern w:val="0"/>
          <w:sz w:val="24"/>
          <w:szCs w:val="24"/>
          <w:lang w:val="en-US"/>
          <w14:ligatures w14:val="none"/>
        </w:rPr>
        <w:t>, 2020), yield reductions of 10–25% were reported in nutrient</w:t>
      </w:r>
      <w:r w:rsidR="00394968" w:rsidRPr="005D5CE2">
        <w:rPr>
          <w:rFonts w:ascii="Times New Roman" w:eastAsia="Times New Roman" w:hAnsi="Times New Roman" w:cs="Times New Roman"/>
          <w:kern w:val="0"/>
          <w:sz w:val="24"/>
          <w:szCs w:val="24"/>
          <w:lang w:val="en-US"/>
          <w14:ligatures w14:val="none"/>
        </w:rPr>
        <w:noBreakHyphen/>
        <w:t>demanding cereals during early adoption (</w:t>
      </w:r>
      <w:proofErr w:type="spellStart"/>
      <w:r w:rsidR="00394968" w:rsidRPr="005D5CE2">
        <w:rPr>
          <w:rFonts w:ascii="Times New Roman" w:eastAsia="Times New Roman" w:hAnsi="Times New Roman" w:cs="Times New Roman"/>
          <w:kern w:val="0"/>
          <w:sz w:val="24"/>
          <w:szCs w:val="24"/>
          <w:lang w:val="en-US"/>
          <w14:ligatures w14:val="none"/>
        </w:rPr>
        <w:t>Seufert</w:t>
      </w:r>
      <w:proofErr w:type="spellEnd"/>
      <w:r w:rsidR="00394968" w:rsidRPr="005D5CE2">
        <w:rPr>
          <w:rFonts w:ascii="Times New Roman" w:eastAsia="Times New Roman" w:hAnsi="Times New Roman" w:cs="Times New Roman"/>
          <w:kern w:val="0"/>
          <w:sz w:val="24"/>
          <w:szCs w:val="24"/>
          <w:lang w:val="en-US"/>
          <w14:ligatures w14:val="none"/>
        </w:rPr>
        <w:t xml:space="preserve"> et al., 2012).”</w:t>
      </w:r>
    </w:p>
    <w:p w14:paraId="570D0704" w14:textId="20416779" w:rsidR="00394968" w:rsidRPr="00394968" w:rsidRDefault="0055690A" w:rsidP="0034384D">
      <w:pPr>
        <w:spacing w:after="0" w:line="240" w:lineRule="auto"/>
        <w:ind w:left="1080"/>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Policy mentioned separately.</w:t>
      </w: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Integrate policy evidence into results (e.g., Andhra Pradesh outcomes, NMNF funding).</w:t>
      </w:r>
      <w:r>
        <w:rPr>
          <w:rFonts w:ascii="Times New Roman" w:eastAsia="Times New Roman" w:hAnsi="Times New Roman" w:cs="Times New Roman"/>
          <w:kern w:val="0"/>
          <w:sz w:val="24"/>
          <w:szCs w:val="24"/>
          <w:lang w:val="en-US"/>
          <w14:ligatures w14:val="none"/>
        </w:rPr>
        <w:t xml:space="preserve"> </w:t>
      </w:r>
      <w:r w:rsidR="00394968" w:rsidRPr="00394968">
        <w:rPr>
          <w:rFonts w:ascii="Times New Roman" w:eastAsia="Times New Roman" w:hAnsi="Times New Roman" w:cs="Times New Roman"/>
          <w:kern w:val="0"/>
          <w:sz w:val="24"/>
          <w:szCs w:val="24"/>
          <w:lang w:val="en-US"/>
          <w14:ligatures w14:val="none"/>
        </w:rPr>
        <w:t xml:space="preserve">Example: </w:t>
      </w:r>
      <w:r w:rsidR="00394968" w:rsidRPr="00394968">
        <w:rPr>
          <w:rFonts w:ascii="Times New Roman" w:eastAsia="Times New Roman" w:hAnsi="Times New Roman" w:cs="Times New Roman"/>
          <w:i/>
          <w:iCs/>
          <w:kern w:val="0"/>
          <w:sz w:val="24"/>
          <w:szCs w:val="24"/>
          <w:lang w:val="en-US"/>
          <w14:ligatures w14:val="none"/>
        </w:rPr>
        <w:t>“State</w:t>
      </w:r>
      <w:r w:rsidR="00394968" w:rsidRPr="00394968">
        <w:rPr>
          <w:rFonts w:ascii="Times New Roman" w:eastAsia="Times New Roman" w:hAnsi="Times New Roman" w:cs="Times New Roman"/>
          <w:i/>
          <w:iCs/>
          <w:kern w:val="0"/>
          <w:sz w:val="24"/>
          <w:szCs w:val="24"/>
          <w:lang w:val="en-US"/>
          <w14:ligatures w14:val="none"/>
        </w:rPr>
        <w:noBreakHyphen/>
        <w:t>level assessments in Andhra Pradesh reported higher net farm incomes and reduced input costs due to improved soil biological efficiency (CEEW, 2022).”</w:t>
      </w:r>
    </w:p>
    <w:p w14:paraId="29D30496" w14:textId="77777777" w:rsidR="00394968" w:rsidRPr="00394968" w:rsidRDefault="00394968" w:rsidP="003949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 xml:space="preserve">Place </w:t>
      </w:r>
      <w:r w:rsidRPr="00394968">
        <w:rPr>
          <w:rFonts w:ascii="Times New Roman" w:eastAsia="Times New Roman" w:hAnsi="Times New Roman" w:cs="Times New Roman"/>
          <w:b/>
          <w:bCs/>
          <w:kern w:val="0"/>
          <w:sz w:val="24"/>
          <w:szCs w:val="24"/>
          <w:lang w:val="en-US"/>
          <w14:ligatures w14:val="none"/>
        </w:rPr>
        <w:t>Table 2 (Comparison of Natural, Organic, Conventional)</w:t>
      </w:r>
      <w:r w:rsidRPr="00394968">
        <w:rPr>
          <w:rFonts w:ascii="Times New Roman" w:eastAsia="Times New Roman" w:hAnsi="Times New Roman" w:cs="Times New Roman"/>
          <w:kern w:val="0"/>
          <w:sz w:val="24"/>
          <w:szCs w:val="24"/>
          <w:lang w:val="en-US"/>
          <w14:ligatures w14:val="none"/>
        </w:rPr>
        <w:t xml:space="preserve"> in this section to visually summarize differences.</w:t>
      </w:r>
    </w:p>
    <w:p w14:paraId="1F63CA0F" w14:textId="77777777" w:rsidR="00394968" w:rsidRPr="00394968" w:rsidRDefault="00394968" w:rsidP="003949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 xml:space="preserve">Place </w:t>
      </w:r>
      <w:r w:rsidRPr="00394968">
        <w:rPr>
          <w:rFonts w:ascii="Times New Roman" w:eastAsia="Times New Roman" w:hAnsi="Times New Roman" w:cs="Times New Roman"/>
          <w:b/>
          <w:bCs/>
          <w:kern w:val="0"/>
          <w:sz w:val="24"/>
          <w:szCs w:val="24"/>
          <w:lang w:val="en-US"/>
          <w14:ligatures w14:val="none"/>
        </w:rPr>
        <w:t>Fig. 3 (Five Pillars)</w:t>
      </w:r>
      <w:r w:rsidRPr="00394968">
        <w:rPr>
          <w:rFonts w:ascii="Times New Roman" w:eastAsia="Times New Roman" w:hAnsi="Times New Roman" w:cs="Times New Roman"/>
          <w:kern w:val="0"/>
          <w:sz w:val="24"/>
          <w:szCs w:val="24"/>
          <w:lang w:val="en-US"/>
          <w14:ligatures w14:val="none"/>
        </w:rPr>
        <w:t xml:space="preserve"> at the start of the Core Components subsection.</w:t>
      </w:r>
    </w:p>
    <w:p w14:paraId="524B5393" w14:textId="77777777" w:rsidR="00394968" w:rsidRPr="00394968" w:rsidRDefault="00394968" w:rsidP="00394968">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394968">
        <w:rPr>
          <w:rFonts w:ascii="Times New Roman" w:eastAsia="Times New Roman" w:hAnsi="Times New Roman" w:cs="Times New Roman"/>
          <w:kern w:val="0"/>
          <w:sz w:val="24"/>
          <w:szCs w:val="24"/>
          <w:lang w:val="en-US"/>
          <w14:ligatures w14:val="none"/>
        </w:rPr>
        <w:t xml:space="preserve">Ensure captions highlight </w:t>
      </w:r>
      <w:r w:rsidRPr="00394968">
        <w:rPr>
          <w:rFonts w:ascii="Times New Roman" w:eastAsia="Times New Roman" w:hAnsi="Times New Roman" w:cs="Times New Roman"/>
          <w:i/>
          <w:iCs/>
          <w:kern w:val="0"/>
          <w:sz w:val="24"/>
          <w:szCs w:val="24"/>
          <w:lang w:val="en-US"/>
          <w14:ligatures w14:val="none"/>
        </w:rPr>
        <w:t>data sources and year</w:t>
      </w:r>
      <w:r w:rsidRPr="00394968">
        <w:rPr>
          <w:rFonts w:ascii="Times New Roman" w:eastAsia="Times New Roman" w:hAnsi="Times New Roman" w:cs="Times New Roman"/>
          <w:kern w:val="0"/>
          <w:sz w:val="24"/>
          <w:szCs w:val="24"/>
          <w:lang w:val="en-US"/>
          <w14:ligatures w14:val="none"/>
        </w:rPr>
        <w:t>.</w:t>
      </w:r>
    </w:p>
    <w:p w14:paraId="214C959F" w14:textId="2CD81503" w:rsidR="00394968" w:rsidRPr="00DB7C15" w:rsidRDefault="00394968" w:rsidP="00DB7C15">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p>
  </w:comment>
  <w:comment w:id="4" w:author="Rania Gabr" w:date="2026-01-15T11:34:00Z" w:initials="RG">
    <w:p w14:paraId="44C5B488" w14:textId="77777777" w:rsidR="00E86F32" w:rsidRDefault="00E86F32" w:rsidP="00E86F32">
      <w:pPr>
        <w:pStyle w:val="NormalWeb"/>
      </w:pPr>
      <w:r>
        <w:rPr>
          <w:rStyle w:val="CommentReference"/>
        </w:rPr>
        <w:annotationRef/>
      </w:r>
      <w:proofErr w:type="gramStart"/>
      <w:r>
        <w:rPr>
          <w:rFonts w:hAnsi="Symbol"/>
        </w:rPr>
        <w:t></w:t>
      </w:r>
      <w:r>
        <w:t xml:space="preserve">  </w:t>
      </w:r>
      <w:r>
        <w:rPr>
          <w:rStyle w:val="Strong"/>
          <w:rFonts w:eastAsiaTheme="majorEastAsia"/>
        </w:rPr>
        <w:t>Start</w:t>
      </w:r>
      <w:proofErr w:type="gramEnd"/>
      <w:r>
        <w:rPr>
          <w:rStyle w:val="Strong"/>
          <w:rFonts w:eastAsiaTheme="majorEastAsia"/>
        </w:rPr>
        <w:t xml:space="preserve"> with synthesis, not repetition</w:t>
      </w:r>
    </w:p>
    <w:p w14:paraId="6FAB8D7C" w14:textId="77777777" w:rsidR="00E86F32" w:rsidRDefault="00E86F32" w:rsidP="00E86F32">
      <w:pPr>
        <w:pStyle w:val="NormalWeb"/>
        <w:numPr>
          <w:ilvl w:val="0"/>
          <w:numId w:val="20"/>
        </w:numPr>
      </w:pPr>
      <w:r>
        <w:t>Current: Results are restated.</w:t>
      </w:r>
    </w:p>
    <w:p w14:paraId="235FC436" w14:textId="77777777" w:rsidR="00E86F32" w:rsidRDefault="00E86F32" w:rsidP="00E86F32">
      <w:pPr>
        <w:pStyle w:val="NormalWeb"/>
        <w:numPr>
          <w:ilvl w:val="0"/>
          <w:numId w:val="20"/>
        </w:numPr>
      </w:pPr>
      <w:r>
        <w:t xml:space="preserve">Amendment: Begin by </w:t>
      </w:r>
      <w:r>
        <w:rPr>
          <w:rStyle w:val="Strong"/>
          <w:rFonts w:eastAsiaTheme="majorEastAsia"/>
        </w:rPr>
        <w:t>interpreting</w:t>
      </w:r>
      <w:r>
        <w:t xml:space="preserve"> the findings — e.g., “The evidence suggests that natural farming improves soil biology and reduces input costs, but yield stability depends on time and context.”</w:t>
      </w:r>
    </w:p>
    <w:p w14:paraId="2BF71054" w14:textId="77777777" w:rsidR="00E86F32" w:rsidRDefault="00E86F32" w:rsidP="00E86F32">
      <w:pPr>
        <w:pStyle w:val="NormalWeb"/>
      </w:pPr>
      <w:proofErr w:type="gramStart"/>
      <w:r>
        <w:rPr>
          <w:rFonts w:hAnsi="Symbol"/>
        </w:rPr>
        <w:t></w:t>
      </w:r>
      <w:r>
        <w:t xml:space="preserve">  </w:t>
      </w:r>
      <w:r>
        <w:rPr>
          <w:rStyle w:val="Strong"/>
          <w:rFonts w:eastAsiaTheme="majorEastAsia"/>
        </w:rPr>
        <w:t>Highlight</w:t>
      </w:r>
      <w:proofErr w:type="gramEnd"/>
      <w:r>
        <w:rPr>
          <w:rStyle w:val="Strong"/>
          <w:rFonts w:eastAsiaTheme="majorEastAsia"/>
        </w:rPr>
        <w:t xml:space="preserve"> synergies between pre</w:t>
      </w:r>
      <w:r>
        <w:rPr>
          <w:rStyle w:val="Strong"/>
          <w:rFonts w:eastAsiaTheme="majorEastAsia"/>
        </w:rPr>
        <w:noBreakHyphen/>
        <w:t xml:space="preserve"> and post</w:t>
      </w:r>
      <w:r>
        <w:rPr>
          <w:rStyle w:val="Strong"/>
          <w:rFonts w:eastAsiaTheme="majorEastAsia"/>
        </w:rPr>
        <w:noBreakHyphen/>
        <w:t>harvest practices</w:t>
      </w:r>
    </w:p>
    <w:p w14:paraId="403A2FA5" w14:textId="77777777" w:rsidR="00E86F32" w:rsidRDefault="00E86F32" w:rsidP="00E86F32">
      <w:pPr>
        <w:pStyle w:val="NormalWeb"/>
        <w:numPr>
          <w:ilvl w:val="0"/>
          <w:numId w:val="21"/>
        </w:numPr>
      </w:pPr>
      <w:r>
        <w:t xml:space="preserve">Link </w:t>
      </w:r>
      <w:proofErr w:type="spellStart"/>
      <w:r>
        <w:t>Beejamrit</w:t>
      </w:r>
      <w:proofErr w:type="spellEnd"/>
      <w:r>
        <w:t>/</w:t>
      </w:r>
      <w:proofErr w:type="spellStart"/>
      <w:r>
        <w:t>Jeevamrit</w:t>
      </w:r>
      <w:proofErr w:type="spellEnd"/>
      <w:r>
        <w:t xml:space="preserve"> (soil biology) with </w:t>
      </w:r>
      <w:proofErr w:type="spellStart"/>
      <w:r>
        <w:t>Acchadana</w:t>
      </w:r>
      <w:proofErr w:type="spellEnd"/>
      <w:r>
        <w:t>/</w:t>
      </w:r>
      <w:proofErr w:type="spellStart"/>
      <w:r>
        <w:t>Waaphasa</w:t>
      </w:r>
      <w:proofErr w:type="spellEnd"/>
      <w:r>
        <w:t xml:space="preserve"> (moisture and aeration) → together they stabilize yields.</w:t>
      </w:r>
    </w:p>
    <w:p w14:paraId="1342B193" w14:textId="77777777" w:rsidR="00E86F32" w:rsidRDefault="00E86F32" w:rsidP="00E86F32">
      <w:pPr>
        <w:pStyle w:val="NormalWeb"/>
        <w:numPr>
          <w:ilvl w:val="0"/>
          <w:numId w:val="21"/>
        </w:numPr>
      </w:pPr>
      <w:r>
        <w:t>Show how combining practices reduces risks compared to single interventions.</w:t>
      </w:r>
    </w:p>
    <w:p w14:paraId="00A305B6" w14:textId="77777777" w:rsidR="00E86F32" w:rsidRDefault="00E86F32" w:rsidP="00E86F32">
      <w:pPr>
        <w:pStyle w:val="NormalWeb"/>
      </w:pPr>
      <w:proofErr w:type="gramStart"/>
      <w:r>
        <w:rPr>
          <w:rFonts w:hAnsi="Symbol"/>
        </w:rPr>
        <w:t></w:t>
      </w:r>
      <w:r>
        <w:t xml:space="preserve">  </w:t>
      </w:r>
      <w:r>
        <w:rPr>
          <w:rStyle w:val="Strong"/>
          <w:rFonts w:eastAsiaTheme="majorEastAsia"/>
        </w:rPr>
        <w:t>Balance</w:t>
      </w:r>
      <w:proofErr w:type="gramEnd"/>
      <w:r>
        <w:rPr>
          <w:rStyle w:val="Strong"/>
          <w:rFonts w:eastAsiaTheme="majorEastAsia"/>
        </w:rPr>
        <w:t xml:space="preserve"> benefits and limitations</w:t>
      </w:r>
    </w:p>
    <w:p w14:paraId="091EB82A" w14:textId="77777777" w:rsidR="00E86F32" w:rsidRDefault="00E86F32" w:rsidP="00E86F32">
      <w:pPr>
        <w:pStyle w:val="NormalWeb"/>
        <w:numPr>
          <w:ilvl w:val="0"/>
          <w:numId w:val="22"/>
        </w:numPr>
      </w:pPr>
      <w:r>
        <w:t>Benefits: soil health, resilience, economics.</w:t>
      </w:r>
    </w:p>
    <w:p w14:paraId="7A8BDAB4" w14:textId="77777777" w:rsidR="00E86F32" w:rsidRDefault="00E86F32" w:rsidP="00E86F32">
      <w:pPr>
        <w:pStyle w:val="NormalWeb"/>
        <w:numPr>
          <w:ilvl w:val="0"/>
          <w:numId w:val="22"/>
        </w:numPr>
      </w:pPr>
      <w:r>
        <w:t xml:space="preserve">Limitations: yield gaps, nitrogen adequacy, </w:t>
      </w:r>
      <w:proofErr w:type="spellStart"/>
      <w:r>
        <w:t>labor</w:t>
      </w:r>
      <w:proofErr w:type="spellEnd"/>
      <w:r>
        <w:t xml:space="preserve"> intensity, uneven adoption.</w:t>
      </w:r>
    </w:p>
    <w:p w14:paraId="6252209D" w14:textId="77777777" w:rsidR="00E86F32" w:rsidRDefault="00E86F32" w:rsidP="00E86F32">
      <w:pPr>
        <w:pStyle w:val="NormalWeb"/>
        <w:numPr>
          <w:ilvl w:val="0"/>
          <w:numId w:val="22"/>
        </w:numPr>
      </w:pPr>
      <w:r>
        <w:t>Amendment: Present them side</w:t>
      </w:r>
      <w:r>
        <w:noBreakHyphen/>
        <w:t>by</w:t>
      </w:r>
      <w:r>
        <w:noBreakHyphen/>
        <w:t>side to show credibility.</w:t>
      </w:r>
    </w:p>
    <w:p w14:paraId="03BA1ACE" w14:textId="77777777" w:rsidR="00E86F32" w:rsidRDefault="00E86F32" w:rsidP="00E86F32">
      <w:pPr>
        <w:pStyle w:val="NormalWeb"/>
      </w:pPr>
      <w:proofErr w:type="gramStart"/>
      <w:r>
        <w:rPr>
          <w:rFonts w:hAnsi="Symbol"/>
        </w:rPr>
        <w:t></w:t>
      </w:r>
      <w:r>
        <w:t xml:space="preserve">  </w:t>
      </w:r>
      <w:r>
        <w:rPr>
          <w:rStyle w:val="Strong"/>
          <w:rFonts w:eastAsiaTheme="majorEastAsia"/>
        </w:rPr>
        <w:t>Policy</w:t>
      </w:r>
      <w:proofErr w:type="gramEnd"/>
      <w:r>
        <w:rPr>
          <w:rStyle w:val="Strong"/>
          <w:rFonts w:eastAsiaTheme="majorEastAsia"/>
        </w:rPr>
        <w:t xml:space="preserve"> and scalability</w:t>
      </w:r>
    </w:p>
    <w:p w14:paraId="15A2F64E" w14:textId="77777777" w:rsidR="00E86F32" w:rsidRDefault="00E86F32" w:rsidP="00E86F32">
      <w:pPr>
        <w:pStyle w:val="NormalWeb"/>
        <w:numPr>
          <w:ilvl w:val="0"/>
          <w:numId w:val="23"/>
        </w:numPr>
      </w:pPr>
      <w:r>
        <w:t>Current: Policy mentioned earlier.</w:t>
      </w:r>
    </w:p>
    <w:p w14:paraId="27CFBAEC" w14:textId="77777777" w:rsidR="00E86F32" w:rsidRDefault="00E86F32" w:rsidP="00E86F32">
      <w:pPr>
        <w:pStyle w:val="NormalWeb"/>
        <w:numPr>
          <w:ilvl w:val="0"/>
          <w:numId w:val="23"/>
        </w:numPr>
      </w:pPr>
      <w:r>
        <w:t>Amendment: In discussion, interpret how BPKP/NMNF can bridge evidence gaps, support farmer training, and create markets.</w:t>
      </w:r>
    </w:p>
    <w:p w14:paraId="6742A621" w14:textId="77777777" w:rsidR="00E86F32" w:rsidRDefault="00E86F32" w:rsidP="00E86F32">
      <w:pPr>
        <w:pStyle w:val="NormalWeb"/>
      </w:pPr>
      <w:proofErr w:type="gramStart"/>
      <w:r>
        <w:rPr>
          <w:rFonts w:hAnsi="Symbol"/>
        </w:rPr>
        <w:t></w:t>
      </w:r>
      <w:r>
        <w:t xml:space="preserve">  </w:t>
      </w:r>
      <w:r>
        <w:rPr>
          <w:rStyle w:val="Strong"/>
          <w:rFonts w:eastAsiaTheme="majorEastAsia"/>
        </w:rPr>
        <w:t>Future</w:t>
      </w:r>
      <w:proofErr w:type="gramEnd"/>
      <w:r>
        <w:rPr>
          <w:rStyle w:val="Strong"/>
          <w:rFonts w:eastAsiaTheme="majorEastAsia"/>
        </w:rPr>
        <w:t xml:space="preserve"> pathways</w:t>
      </w:r>
    </w:p>
    <w:p w14:paraId="02EC3B40" w14:textId="77777777" w:rsidR="00E86F32" w:rsidRDefault="00E86F32" w:rsidP="00E86F32">
      <w:pPr>
        <w:pStyle w:val="NormalWeb"/>
        <w:numPr>
          <w:ilvl w:val="0"/>
          <w:numId w:val="24"/>
        </w:numPr>
      </w:pPr>
      <w:r>
        <w:t>Amendment: End with forward</w:t>
      </w:r>
      <w:r>
        <w:noBreakHyphen/>
        <w:t>looking recommendations:</w:t>
      </w:r>
    </w:p>
    <w:p w14:paraId="3BA9B202" w14:textId="77777777" w:rsidR="00E86F32" w:rsidRDefault="00E86F32" w:rsidP="00E86F32">
      <w:pPr>
        <w:pStyle w:val="NormalWeb"/>
        <w:numPr>
          <w:ilvl w:val="1"/>
          <w:numId w:val="24"/>
        </w:numPr>
      </w:pPr>
      <w:r>
        <w:t>Long</w:t>
      </w:r>
      <w:r>
        <w:noBreakHyphen/>
        <w:t>term, multi</w:t>
      </w:r>
      <w:r>
        <w:noBreakHyphen/>
        <w:t>location trials.</w:t>
      </w:r>
    </w:p>
    <w:p w14:paraId="781ED390" w14:textId="77777777" w:rsidR="00E86F32" w:rsidRDefault="00E86F32" w:rsidP="00E86F32">
      <w:pPr>
        <w:pStyle w:val="NormalWeb"/>
        <w:numPr>
          <w:ilvl w:val="1"/>
          <w:numId w:val="24"/>
        </w:numPr>
      </w:pPr>
      <w:r>
        <w:t>Standardized protocols for bio</w:t>
      </w:r>
      <w:r>
        <w:noBreakHyphen/>
        <w:t>inputs.</w:t>
      </w:r>
    </w:p>
    <w:p w14:paraId="51A72E2D" w14:textId="77777777" w:rsidR="00E86F32" w:rsidRDefault="00E86F32" w:rsidP="00E86F32">
      <w:pPr>
        <w:pStyle w:val="NormalWeb"/>
        <w:numPr>
          <w:ilvl w:val="1"/>
          <w:numId w:val="24"/>
        </w:numPr>
      </w:pPr>
      <w:r>
        <w:t>Community</w:t>
      </w:r>
      <w:r>
        <w:noBreakHyphen/>
        <w:t>based input hubs.</w:t>
      </w:r>
    </w:p>
    <w:p w14:paraId="2D62A84D" w14:textId="07D15847" w:rsidR="00E86F32" w:rsidRDefault="00E86F32" w:rsidP="00E86F32">
      <w:pPr>
        <w:pStyle w:val="NormalWeb"/>
        <w:numPr>
          <w:ilvl w:val="1"/>
          <w:numId w:val="24"/>
        </w:numPr>
      </w:pPr>
      <w:r>
        <w:t>Market integration and certification.</w:t>
      </w:r>
    </w:p>
  </w:comment>
  <w:comment w:id="5" w:author="Rania Gabr" w:date="2026-01-15T11:38:00Z" w:initials="RG">
    <w:p w14:paraId="38501694" w14:textId="77777777" w:rsidR="00D95302" w:rsidRDefault="00D95302">
      <w:pPr>
        <w:pStyle w:val="CommentText"/>
      </w:pPr>
      <w:r>
        <w:rPr>
          <w:rStyle w:val="CommentReference"/>
        </w:rPr>
        <w:annotationRef/>
      </w:r>
    </w:p>
    <w:p w14:paraId="40E3E293" w14:textId="47A8229E" w:rsidR="00D95302" w:rsidRPr="00D95302" w:rsidRDefault="00D95302" w:rsidP="00D95302">
      <w:pPr>
        <w:pStyle w:val="NormalWeb"/>
        <w:numPr>
          <w:ilvl w:val="0"/>
          <w:numId w:val="10"/>
        </w:numPr>
        <w:rPr>
          <w:b/>
          <w:bCs/>
        </w:rPr>
      </w:pPr>
      <w:r w:rsidRPr="00D95302">
        <w:rPr>
          <w:rStyle w:val="Strong"/>
          <w:rFonts w:eastAsiaTheme="majorEastAsia"/>
          <w:b w:val="0"/>
          <w:bCs w:val="0"/>
        </w:rPr>
        <w:t>Avoid repetition</w:t>
      </w:r>
      <w:r>
        <w:rPr>
          <w:b/>
          <w:bCs/>
        </w:rPr>
        <w:t xml:space="preserve"> </w:t>
      </w:r>
      <w:r w:rsidRPr="00D95302">
        <w:t>where</w:t>
      </w:r>
      <w:r>
        <w:rPr>
          <w:b/>
          <w:bCs/>
        </w:rPr>
        <w:t xml:space="preserve"> </w:t>
      </w:r>
      <w:r>
        <w:t>c</w:t>
      </w:r>
      <w:r>
        <w:t>urrent drafts often restate benefits already covered.</w:t>
      </w:r>
      <w:r>
        <w:rPr>
          <w:b/>
          <w:bCs/>
        </w:rPr>
        <w:t xml:space="preserve"> </w:t>
      </w:r>
      <w:r>
        <w:t>Keep the conclusion forward</w:t>
      </w:r>
      <w:r>
        <w:noBreakHyphen/>
        <w:t>looking, not just a summary.</w:t>
      </w:r>
    </w:p>
    <w:p w14:paraId="3963A0EF" w14:textId="411155F5" w:rsidR="00D95302" w:rsidRPr="00D95302" w:rsidRDefault="00D95302" w:rsidP="00D95302">
      <w:pPr>
        <w:pStyle w:val="NormalWeb"/>
        <w:numPr>
          <w:ilvl w:val="0"/>
          <w:numId w:val="10"/>
        </w:numPr>
        <w:rPr>
          <w:b/>
          <w:bCs/>
        </w:rPr>
      </w:pPr>
      <w:r w:rsidRPr="00D95302">
        <w:rPr>
          <w:rStyle w:val="Strong"/>
          <w:rFonts w:eastAsiaTheme="majorEastAsia"/>
          <w:b w:val="0"/>
          <w:bCs w:val="0"/>
        </w:rPr>
        <w:t>Balance optimism with caution</w:t>
      </w:r>
      <w:r>
        <w:rPr>
          <w:b/>
          <w:bCs/>
        </w:rPr>
        <w:t xml:space="preserve">, </w:t>
      </w:r>
      <w:r>
        <w:t>soil health, resilience, reduced costs.</w:t>
      </w:r>
      <w:r>
        <w:rPr>
          <w:b/>
          <w:bCs/>
        </w:rPr>
        <w:t xml:space="preserve"> </w:t>
      </w:r>
      <w:proofErr w:type="gramStart"/>
      <w:r>
        <w:t>yield</w:t>
      </w:r>
      <w:proofErr w:type="gramEnd"/>
      <w:r>
        <w:t xml:space="preserve"> gaps, nitrogen adequacy, scalability.</w:t>
      </w:r>
      <w:r>
        <w:rPr>
          <w:b/>
          <w:bCs/>
        </w:rPr>
        <w:t xml:space="preserve"> </w:t>
      </w:r>
      <w:r>
        <w:t>Present both clearly, showing credibility.</w:t>
      </w:r>
    </w:p>
    <w:p w14:paraId="3279C125" w14:textId="3863EE2D" w:rsidR="00D95302" w:rsidRPr="007E0BF3" w:rsidRDefault="00D95302" w:rsidP="007E0BF3">
      <w:pPr>
        <w:pStyle w:val="NormalWeb"/>
        <w:numPr>
          <w:ilvl w:val="0"/>
          <w:numId w:val="10"/>
        </w:numPr>
        <w:rPr>
          <w:b/>
          <w:bCs/>
        </w:rPr>
      </w:pPr>
      <w:r w:rsidRPr="007E0BF3">
        <w:rPr>
          <w:rStyle w:val="Strong"/>
          <w:rFonts w:eastAsiaTheme="majorEastAsia"/>
          <w:b w:val="0"/>
          <w:bCs w:val="0"/>
        </w:rPr>
        <w:t xml:space="preserve">Policy and research </w:t>
      </w:r>
      <w:proofErr w:type="gramStart"/>
      <w:r w:rsidRPr="007E0BF3">
        <w:rPr>
          <w:rStyle w:val="Strong"/>
          <w:rFonts w:eastAsiaTheme="majorEastAsia"/>
          <w:b w:val="0"/>
          <w:bCs w:val="0"/>
        </w:rPr>
        <w:t>agenda</w:t>
      </w:r>
      <w:r w:rsidR="007E0BF3">
        <w:rPr>
          <w:b/>
          <w:bCs/>
        </w:rPr>
        <w:t xml:space="preserve"> .</w:t>
      </w:r>
      <w:proofErr w:type="gramEnd"/>
      <w:r w:rsidR="007E0BF3">
        <w:rPr>
          <w:b/>
          <w:bCs/>
        </w:rPr>
        <w:t xml:space="preserve"> </w:t>
      </w:r>
      <w:proofErr w:type="gramStart"/>
      <w:r>
        <w:t>Explicitly</w:t>
      </w:r>
      <w:proofErr w:type="gramEnd"/>
      <w:r>
        <w:t xml:space="preserve"> call for long</w:t>
      </w:r>
      <w:r>
        <w:noBreakHyphen/>
        <w:t>term trials, standardized protocols, and supportive policies.</w:t>
      </w:r>
    </w:p>
    <w:p w14:paraId="2E9AC42F" w14:textId="7EDA619C" w:rsidR="00D95302" w:rsidRPr="007E0BF3" w:rsidRDefault="00D95302" w:rsidP="007E0BF3">
      <w:pPr>
        <w:pStyle w:val="NormalWeb"/>
        <w:numPr>
          <w:ilvl w:val="0"/>
          <w:numId w:val="10"/>
        </w:numPr>
        <w:rPr>
          <w:b/>
          <w:bCs/>
        </w:rPr>
      </w:pPr>
      <w:r w:rsidRPr="007E0BF3">
        <w:rPr>
          <w:rStyle w:val="Strong"/>
          <w:rFonts w:eastAsiaTheme="majorEastAsia"/>
          <w:b w:val="0"/>
          <w:bCs w:val="0"/>
        </w:rPr>
        <w:t>Global relevance</w:t>
      </w:r>
      <w:r w:rsidR="007E0BF3">
        <w:rPr>
          <w:b/>
          <w:bCs/>
        </w:rPr>
        <w:t xml:space="preserve">. </w:t>
      </w:r>
      <w:r>
        <w:t xml:space="preserve">Link India’s experience to broader </w:t>
      </w:r>
      <w:proofErr w:type="spellStart"/>
      <w:r>
        <w:t>agroecological</w:t>
      </w:r>
      <w:proofErr w:type="spellEnd"/>
      <w:r>
        <w:t xml:space="preserve"> transitions worldwide.</w:t>
      </w:r>
    </w:p>
    <w:p w14:paraId="49EE11F5" w14:textId="09C932F8" w:rsidR="00D95302" w:rsidRPr="007E0BF3" w:rsidRDefault="00D95302" w:rsidP="007E0BF3">
      <w:pPr>
        <w:pStyle w:val="NormalWeb"/>
        <w:numPr>
          <w:ilvl w:val="0"/>
          <w:numId w:val="10"/>
        </w:numPr>
        <w:rPr>
          <w:b/>
          <w:bCs/>
        </w:rPr>
      </w:pPr>
      <w:r w:rsidRPr="007E0BF3">
        <w:rPr>
          <w:rStyle w:val="Strong"/>
          <w:rFonts w:eastAsiaTheme="majorEastAsia"/>
          <w:b w:val="0"/>
          <w:bCs w:val="0"/>
        </w:rPr>
        <w:t>Concise closing line</w:t>
      </w:r>
      <w:r w:rsidR="007E0BF3">
        <w:rPr>
          <w:rStyle w:val="Strong"/>
          <w:rFonts w:eastAsiaTheme="majorEastAsia"/>
          <w:b w:val="0"/>
          <w:bCs w:val="0"/>
        </w:rPr>
        <w:t>.</w:t>
      </w:r>
      <w:r w:rsidR="007E0BF3">
        <w:rPr>
          <w:b/>
          <w:bCs/>
        </w:rPr>
        <w:t xml:space="preserve"> </w:t>
      </w:r>
      <w:r>
        <w:t>End with a strong, one</w:t>
      </w:r>
      <w:r>
        <w:noBreakHyphen/>
        <w:t>sentence verdict that positions natural farming as a pathway, not a panacea.</w:t>
      </w:r>
    </w:p>
  </w:comment>
  <w:comment w:id="6" w:author="Rania Gabr" w:date="2026-01-15T11:57:00Z" w:initials="RG">
    <w:p w14:paraId="3BDB2993" w14:textId="1B0B9205" w:rsidR="005E0975" w:rsidRPr="005E0975" w:rsidRDefault="005E0975" w:rsidP="005E0975">
      <w:pPr>
        <w:pStyle w:val="CommentText"/>
      </w:pPr>
      <w:r>
        <w:rPr>
          <w:rStyle w:val="CommentReference"/>
        </w:rPr>
        <w:annotationRef/>
      </w:r>
      <w:r w:rsidRPr="005E0975">
        <w:rPr>
          <w:rFonts w:ascii="Times New Roman" w:eastAsia="Times New Roman" w:hAnsi="Times New Roman" w:cs="Times New Roman"/>
          <w:kern w:val="0"/>
          <w:sz w:val="24"/>
          <w:szCs w:val="24"/>
          <w:lang w:val="en-US"/>
          <w14:ligatures w14:val="none"/>
        </w:rPr>
        <w:t xml:space="preserve"> </w:t>
      </w:r>
    </w:p>
    <w:p w14:paraId="49881218" w14:textId="735F8040" w:rsidR="005E0975" w:rsidRPr="005E0975" w:rsidRDefault="005E0975" w:rsidP="005E0975">
      <w:pPr>
        <w:spacing w:before="100" w:beforeAutospacing="1" w:after="100" w:afterAutospacing="1" w:line="240" w:lineRule="auto"/>
        <w:ind w:left="720"/>
        <w:rPr>
          <w:rFonts w:ascii="Times New Roman" w:eastAsia="Times New Roman" w:hAnsi="Times New Roman" w:cs="Times New Roman"/>
          <w:kern w:val="0"/>
          <w:sz w:val="24"/>
          <w:szCs w:val="24"/>
          <w:lang w:val="en-US"/>
          <w14:ligatures w14:val="none"/>
        </w:rPr>
      </w:pPr>
      <w:r w:rsidRPr="005E0975">
        <w:rPr>
          <w:rFonts w:ascii="Times New Roman" w:eastAsia="Times New Roman" w:hAnsi="Times New Roman" w:cs="Times New Roman"/>
          <w:kern w:val="0"/>
          <w:sz w:val="24"/>
          <w:szCs w:val="24"/>
          <w:lang w:val="en-US"/>
          <w14:ligatures w14:val="none"/>
        </w:rPr>
        <w:t>Mix of APA</w:t>
      </w:r>
      <w:r w:rsidRPr="005E0975">
        <w:rPr>
          <w:rFonts w:ascii="Times New Roman" w:eastAsia="Times New Roman" w:hAnsi="Times New Roman" w:cs="Times New Roman"/>
          <w:kern w:val="0"/>
          <w:sz w:val="24"/>
          <w:szCs w:val="24"/>
          <w:lang w:val="en-US"/>
          <w14:ligatures w14:val="none"/>
        </w:rPr>
        <w:noBreakHyphen/>
        <w:t>style, numeric citations, and government reports.</w:t>
      </w:r>
      <w:r>
        <w:rPr>
          <w:rFonts w:ascii="Times New Roman" w:eastAsia="Times New Roman" w:hAnsi="Times New Roman" w:cs="Times New Roman"/>
          <w:kern w:val="0"/>
          <w:sz w:val="24"/>
          <w:szCs w:val="24"/>
          <w:lang w:val="en-US"/>
          <w14:ligatures w14:val="none"/>
        </w:rPr>
        <w:t xml:space="preserve"> </w:t>
      </w:r>
      <w:r w:rsidRPr="005E0975">
        <w:rPr>
          <w:rFonts w:ascii="Times New Roman" w:eastAsia="Times New Roman" w:hAnsi="Times New Roman" w:cs="Times New Roman"/>
          <w:kern w:val="0"/>
          <w:sz w:val="24"/>
          <w:szCs w:val="24"/>
          <w:lang w:val="en-US"/>
          <w14:ligatures w14:val="none"/>
        </w:rPr>
        <w:t>Standardize to APA 7th</w:t>
      </w:r>
      <w:r w:rsidRPr="005E0975">
        <w:rPr>
          <w:rFonts w:ascii="Times New Roman" w:eastAsia="Times New Roman" w:hAnsi="Times New Roman" w:cs="Times New Roman"/>
          <w:b/>
          <w:bCs/>
          <w:kern w:val="0"/>
          <w:sz w:val="24"/>
          <w:szCs w:val="24"/>
          <w:lang w:val="en-US"/>
          <w14:ligatures w14:val="none"/>
        </w:rPr>
        <w:t xml:space="preserve"> edition</w:t>
      </w:r>
      <w:r w:rsidRPr="005E0975">
        <w:rPr>
          <w:rFonts w:ascii="Times New Roman" w:eastAsia="Times New Roman" w:hAnsi="Times New Roman" w:cs="Times New Roman"/>
          <w:kern w:val="0"/>
          <w:sz w:val="24"/>
          <w:szCs w:val="24"/>
          <w:lang w:val="en-US"/>
          <w14:ligatures w14:val="none"/>
        </w:rPr>
        <w:t xml:space="preserve"> (unless journal specifies otherwise).</w:t>
      </w:r>
      <w:r>
        <w:rPr>
          <w:rFonts w:ascii="Times New Roman" w:eastAsia="Times New Roman" w:hAnsi="Times New Roman" w:cs="Times New Roman"/>
          <w:kern w:val="0"/>
          <w:sz w:val="24"/>
          <w:szCs w:val="24"/>
          <w:lang w:val="en-US"/>
          <w14:ligatures w14:val="none"/>
        </w:rPr>
        <w:t xml:space="preserve"> </w:t>
      </w:r>
      <w:r w:rsidRPr="005E0975">
        <w:rPr>
          <w:rFonts w:ascii="Times New Roman" w:eastAsia="Times New Roman" w:hAnsi="Times New Roman" w:cs="Times New Roman"/>
          <w:kern w:val="0"/>
          <w:sz w:val="24"/>
          <w:szCs w:val="24"/>
          <w:lang w:val="en-US"/>
          <w14:ligatures w14:val="none"/>
        </w:rPr>
        <w:t xml:space="preserve">Example: Author(s). (Year). Title. </w:t>
      </w:r>
      <w:r w:rsidRPr="005E0975">
        <w:rPr>
          <w:rFonts w:ascii="Times New Roman" w:eastAsia="Times New Roman" w:hAnsi="Times New Roman" w:cs="Times New Roman"/>
          <w:i/>
          <w:iCs/>
          <w:kern w:val="0"/>
          <w:sz w:val="24"/>
          <w:szCs w:val="24"/>
          <w:lang w:val="en-US"/>
          <w14:ligatures w14:val="none"/>
        </w:rPr>
        <w:t xml:space="preserve">Journal Name, </w:t>
      </w:r>
      <w:proofErr w:type="gramStart"/>
      <w:r w:rsidRPr="005E0975">
        <w:rPr>
          <w:rFonts w:ascii="Times New Roman" w:eastAsia="Times New Roman" w:hAnsi="Times New Roman" w:cs="Times New Roman"/>
          <w:i/>
          <w:iCs/>
          <w:kern w:val="0"/>
          <w:sz w:val="24"/>
          <w:szCs w:val="24"/>
          <w:lang w:val="en-US"/>
          <w14:ligatures w14:val="none"/>
        </w:rPr>
        <w:t>Volume</w:t>
      </w:r>
      <w:r w:rsidRPr="005E0975">
        <w:rPr>
          <w:rFonts w:ascii="Times New Roman" w:eastAsia="Times New Roman" w:hAnsi="Times New Roman" w:cs="Times New Roman"/>
          <w:kern w:val="0"/>
          <w:sz w:val="24"/>
          <w:szCs w:val="24"/>
          <w:lang w:val="en-US"/>
          <w14:ligatures w14:val="none"/>
        </w:rPr>
        <w:t>(</w:t>
      </w:r>
      <w:proofErr w:type="gramEnd"/>
      <w:r w:rsidRPr="005E0975">
        <w:rPr>
          <w:rFonts w:ascii="Times New Roman" w:eastAsia="Times New Roman" w:hAnsi="Times New Roman" w:cs="Times New Roman"/>
          <w:kern w:val="0"/>
          <w:sz w:val="24"/>
          <w:szCs w:val="24"/>
          <w:lang w:val="en-US"/>
          <w14:ligatures w14:val="none"/>
        </w:rPr>
        <w:t>Issue), pages. DOI</w:t>
      </w:r>
    </w:p>
    <w:p w14:paraId="7DBDC76C" w14:textId="76C7547F" w:rsidR="005E0975" w:rsidRPr="005E0975" w:rsidRDefault="005E0975" w:rsidP="005E0975">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5E0975">
        <w:rPr>
          <w:rFonts w:ascii="Times New Roman" w:eastAsia="Times New Roman" w:hAnsi="Times New Roman" w:cs="Times New Roman"/>
          <w:kern w:val="0"/>
          <w:sz w:val="24"/>
          <w:szCs w:val="24"/>
          <w:lang w:val="en-US"/>
          <w14:ligatures w14:val="none"/>
        </w:rPr>
        <w:t>Many references lack DOIs or have broken URLs. Add DOIs wherever available; if not, provide stable URLs (official government sites, FAO, IPCC, etc.).</w:t>
      </w:r>
    </w:p>
    <w:p w14:paraId="03552830" w14:textId="1065D210" w:rsidR="005E0975" w:rsidRPr="005E0975" w:rsidRDefault="005E0975" w:rsidP="005E0975">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5E0975">
        <w:rPr>
          <w:rFonts w:ascii="Times New Roman" w:eastAsia="Times New Roman" w:hAnsi="Times New Roman" w:cs="Times New Roman"/>
          <w:kern w:val="0"/>
          <w:sz w:val="24"/>
          <w:szCs w:val="24"/>
          <w:lang w:val="en-US"/>
          <w14:ligatures w14:val="none"/>
        </w:rPr>
        <w:t>Cited inconsistently.</w:t>
      </w:r>
      <w:r>
        <w:rPr>
          <w:rFonts w:ascii="Times New Roman" w:eastAsia="Times New Roman" w:hAnsi="Times New Roman" w:cs="Times New Roman"/>
          <w:kern w:val="0"/>
          <w:sz w:val="24"/>
          <w:szCs w:val="24"/>
          <w:lang w:val="en-US"/>
          <w14:ligatures w14:val="none"/>
        </w:rPr>
        <w:t xml:space="preserve"> </w:t>
      </w:r>
      <w:r w:rsidRPr="005E0975">
        <w:rPr>
          <w:rFonts w:ascii="Times New Roman" w:eastAsia="Times New Roman" w:hAnsi="Times New Roman" w:cs="Times New Roman"/>
          <w:kern w:val="0"/>
          <w:sz w:val="24"/>
          <w:szCs w:val="24"/>
          <w:lang w:val="en-US"/>
          <w14:ligatures w14:val="none"/>
        </w:rPr>
        <w:t>Format as: Institution. (Year). Title. Publisher/Source. URL</w:t>
      </w:r>
    </w:p>
    <w:p w14:paraId="1D0932E1" w14:textId="7A64D21F" w:rsidR="005E0975" w:rsidRPr="005E0975" w:rsidRDefault="005E0975" w:rsidP="005E0975">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5E0975">
        <w:rPr>
          <w:rFonts w:ascii="Times New Roman" w:eastAsia="Times New Roman" w:hAnsi="Times New Roman" w:cs="Times New Roman"/>
          <w:kern w:val="0"/>
          <w:sz w:val="24"/>
          <w:szCs w:val="24"/>
          <w:lang w:val="en-US"/>
          <w14:ligatures w14:val="none"/>
        </w:rPr>
        <w:t>Remove Duplicates: FAO, Pretty et al., HLPE appear multiple times.</w:t>
      </w:r>
      <w:r>
        <w:rPr>
          <w:rFonts w:ascii="Times New Roman" w:eastAsia="Times New Roman" w:hAnsi="Times New Roman" w:cs="Times New Roman"/>
          <w:kern w:val="0"/>
          <w:sz w:val="24"/>
          <w:szCs w:val="24"/>
          <w:lang w:val="en-US"/>
          <w14:ligatures w14:val="none"/>
        </w:rPr>
        <w:t xml:space="preserve"> </w:t>
      </w:r>
      <w:r w:rsidRPr="005E0975">
        <w:rPr>
          <w:rFonts w:ascii="Times New Roman" w:eastAsia="Times New Roman" w:hAnsi="Times New Roman" w:cs="Times New Roman"/>
          <w:kern w:val="0"/>
          <w:sz w:val="24"/>
          <w:szCs w:val="24"/>
          <w:lang w:val="en-US"/>
          <w14:ligatures w14:val="none"/>
        </w:rPr>
        <w:t>Keep one entry per source, cite consistently in text.</w:t>
      </w:r>
    </w:p>
    <w:p w14:paraId="7352BF26" w14:textId="51FE5487" w:rsidR="005E0975" w:rsidRPr="005E0975" w:rsidRDefault="005E0975" w:rsidP="005E0975">
      <w:pPr>
        <w:pStyle w:val="ListParagraph"/>
        <w:numPr>
          <w:ilvl w:val="0"/>
          <w:numId w:val="10"/>
        </w:num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5E0975">
        <w:rPr>
          <w:rFonts w:ascii="Times New Roman" w:eastAsia="Times New Roman" w:hAnsi="Times New Roman" w:cs="Times New Roman"/>
          <w:kern w:val="0"/>
          <w:sz w:val="24"/>
          <w:szCs w:val="24"/>
          <w:lang w:val="en-US"/>
          <w14:ligatures w14:val="none"/>
        </w:rPr>
        <w:t>Mixed order.</w:t>
      </w:r>
      <w:r>
        <w:rPr>
          <w:rFonts w:ascii="Times New Roman" w:eastAsia="Times New Roman" w:hAnsi="Times New Roman" w:cs="Times New Roman"/>
          <w:kern w:val="0"/>
          <w:sz w:val="24"/>
          <w:szCs w:val="24"/>
          <w:lang w:val="en-US"/>
          <w14:ligatures w14:val="none"/>
        </w:rPr>
        <w:t xml:space="preserve"> </w:t>
      </w:r>
      <w:r w:rsidRPr="005E0975">
        <w:rPr>
          <w:rFonts w:ascii="Times New Roman" w:eastAsia="Times New Roman" w:hAnsi="Times New Roman" w:cs="Times New Roman"/>
          <w:kern w:val="0"/>
          <w:sz w:val="24"/>
          <w:szCs w:val="24"/>
          <w:lang w:val="en-US"/>
          <w14:ligatures w14:val="none"/>
        </w:rPr>
        <w:t>Alphabetical order by first author/institution. Hanging indent for each reference.</w:t>
      </w:r>
      <w:bookmarkStart w:id="7" w:name="_GoBack"/>
      <w:bookmarkEnd w:id="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50D61" w14:textId="77777777" w:rsidR="0055690A" w:rsidRDefault="0055690A" w:rsidP="004C475C">
      <w:pPr>
        <w:spacing w:after="0" w:line="240" w:lineRule="auto"/>
      </w:pPr>
      <w:r>
        <w:separator/>
      </w:r>
    </w:p>
  </w:endnote>
  <w:endnote w:type="continuationSeparator" w:id="0">
    <w:p w14:paraId="141F15F1" w14:textId="77777777" w:rsidR="0055690A" w:rsidRDefault="0055690A" w:rsidP="004C4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289A3" w14:textId="77777777" w:rsidR="004C475C" w:rsidRDefault="004C47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326612"/>
      <w:docPartObj>
        <w:docPartGallery w:val="Page Numbers (Bottom of Page)"/>
        <w:docPartUnique/>
      </w:docPartObj>
    </w:sdtPr>
    <w:sdtEndPr>
      <w:rPr>
        <w:noProof/>
      </w:rPr>
    </w:sdtEndPr>
    <w:sdtContent>
      <w:p w14:paraId="4E05883C" w14:textId="157E7E7A" w:rsidR="004C475C" w:rsidRDefault="004C475C">
        <w:pPr>
          <w:pStyle w:val="Footer"/>
          <w:jc w:val="center"/>
        </w:pPr>
        <w:r>
          <w:fldChar w:fldCharType="begin"/>
        </w:r>
        <w:r>
          <w:instrText xml:space="preserve"> PAGE   \* MERGEFORMAT </w:instrText>
        </w:r>
        <w:r>
          <w:fldChar w:fldCharType="separate"/>
        </w:r>
        <w:r w:rsidR="005E0975">
          <w:rPr>
            <w:noProof/>
          </w:rPr>
          <w:t>23</w:t>
        </w:r>
        <w:r>
          <w:rPr>
            <w:noProof/>
          </w:rPr>
          <w:fldChar w:fldCharType="end"/>
        </w:r>
      </w:p>
    </w:sdtContent>
  </w:sdt>
  <w:p w14:paraId="029E4F0A" w14:textId="77777777" w:rsidR="004C475C" w:rsidRDefault="004C47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22440" w14:textId="77777777" w:rsidR="004C475C" w:rsidRDefault="004C47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D3607" w14:textId="77777777" w:rsidR="0055690A" w:rsidRDefault="0055690A" w:rsidP="004C475C">
      <w:pPr>
        <w:spacing w:after="0" w:line="240" w:lineRule="auto"/>
      </w:pPr>
      <w:r>
        <w:separator/>
      </w:r>
    </w:p>
  </w:footnote>
  <w:footnote w:type="continuationSeparator" w:id="0">
    <w:p w14:paraId="45F2AE1F" w14:textId="77777777" w:rsidR="0055690A" w:rsidRDefault="0055690A" w:rsidP="004C47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80A0" w14:textId="69A9836F" w:rsidR="004C475C" w:rsidRDefault="0055690A">
    <w:pPr>
      <w:pStyle w:val="Header"/>
    </w:pPr>
    <w:r>
      <w:rPr>
        <w:noProof/>
      </w:rPr>
      <w:pict w14:anchorId="63024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18532" w14:textId="0B2BE572" w:rsidR="004C475C" w:rsidRDefault="0055690A">
    <w:pPr>
      <w:pStyle w:val="Header"/>
    </w:pPr>
    <w:r>
      <w:rPr>
        <w:noProof/>
      </w:rPr>
      <w:pict w14:anchorId="4209C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5AE6" w14:textId="02D35E1A" w:rsidR="004C475C" w:rsidRDefault="0055690A">
    <w:pPr>
      <w:pStyle w:val="Header"/>
    </w:pPr>
    <w:r>
      <w:rPr>
        <w:noProof/>
      </w:rPr>
      <w:pict w14:anchorId="62E83F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988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4A2B"/>
    <w:multiLevelType w:val="hybridMultilevel"/>
    <w:tmpl w:val="1398FB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2B6D2D"/>
    <w:multiLevelType w:val="hybridMultilevel"/>
    <w:tmpl w:val="DC94CC7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1CB5E9E"/>
    <w:multiLevelType w:val="multilevel"/>
    <w:tmpl w:val="26A8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A547C"/>
    <w:multiLevelType w:val="multilevel"/>
    <w:tmpl w:val="D2187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634468"/>
    <w:multiLevelType w:val="multilevel"/>
    <w:tmpl w:val="FE90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1E0D8B"/>
    <w:multiLevelType w:val="multilevel"/>
    <w:tmpl w:val="91DC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F6FE3"/>
    <w:multiLevelType w:val="multilevel"/>
    <w:tmpl w:val="6C58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E830C9"/>
    <w:multiLevelType w:val="multilevel"/>
    <w:tmpl w:val="A0DA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C50290"/>
    <w:multiLevelType w:val="multilevel"/>
    <w:tmpl w:val="E4AA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1B11F7"/>
    <w:multiLevelType w:val="multilevel"/>
    <w:tmpl w:val="D270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4E57CB"/>
    <w:multiLevelType w:val="multilevel"/>
    <w:tmpl w:val="B928E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4F68E3"/>
    <w:multiLevelType w:val="multilevel"/>
    <w:tmpl w:val="1FF6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56EED"/>
    <w:multiLevelType w:val="multilevel"/>
    <w:tmpl w:val="94AE4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2125AA"/>
    <w:multiLevelType w:val="multilevel"/>
    <w:tmpl w:val="567A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5E3EC6"/>
    <w:multiLevelType w:val="multilevel"/>
    <w:tmpl w:val="CA4C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B84337"/>
    <w:multiLevelType w:val="multilevel"/>
    <w:tmpl w:val="B0461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7414DF"/>
    <w:multiLevelType w:val="multilevel"/>
    <w:tmpl w:val="A6B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875B34"/>
    <w:multiLevelType w:val="multilevel"/>
    <w:tmpl w:val="80C0AF0C"/>
    <w:lvl w:ilvl="0">
      <w:start w:val="1"/>
      <w:numFmt w:val="decimal"/>
      <w:lvlText w:val="%1."/>
      <w:lvlJc w:val="left"/>
      <w:pPr>
        <w:ind w:left="720" w:hanging="360"/>
      </w:pPr>
      <w:rPr>
        <w:rFonts w:hint="default"/>
      </w:rPr>
    </w:lvl>
    <w:lvl w:ilvl="1">
      <w:start w:val="4"/>
      <w:numFmt w:val="decimal"/>
      <w:isLgl/>
      <w:lvlText w:val="%1.%2"/>
      <w:lvlJc w:val="left"/>
      <w:pPr>
        <w:ind w:left="798"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75F493A"/>
    <w:multiLevelType w:val="multilevel"/>
    <w:tmpl w:val="F47A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BA4862"/>
    <w:multiLevelType w:val="multilevel"/>
    <w:tmpl w:val="57A2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D067C"/>
    <w:multiLevelType w:val="hybridMultilevel"/>
    <w:tmpl w:val="559A730E"/>
    <w:lvl w:ilvl="0" w:tplc="70F26CE6">
      <w:start w:val="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9E29F9"/>
    <w:multiLevelType w:val="multilevel"/>
    <w:tmpl w:val="EC9C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8F659C"/>
    <w:multiLevelType w:val="hybridMultilevel"/>
    <w:tmpl w:val="CA9C460E"/>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E503A3"/>
    <w:multiLevelType w:val="multilevel"/>
    <w:tmpl w:val="7350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8F4C90"/>
    <w:multiLevelType w:val="multilevel"/>
    <w:tmpl w:val="F5A6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0B1710"/>
    <w:multiLevelType w:val="multilevel"/>
    <w:tmpl w:val="CC64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D560DF"/>
    <w:multiLevelType w:val="hybridMultilevel"/>
    <w:tmpl w:val="C8223F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FF42D85"/>
    <w:multiLevelType w:val="multilevel"/>
    <w:tmpl w:val="1E7C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0C7725"/>
    <w:multiLevelType w:val="multilevel"/>
    <w:tmpl w:val="3026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6351C"/>
    <w:multiLevelType w:val="multilevel"/>
    <w:tmpl w:val="3C946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5A025B"/>
    <w:multiLevelType w:val="multilevel"/>
    <w:tmpl w:val="0E2E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B8B5BAF"/>
    <w:multiLevelType w:val="multilevel"/>
    <w:tmpl w:val="31BA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B8382D"/>
    <w:multiLevelType w:val="multilevel"/>
    <w:tmpl w:val="D116D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D44B46"/>
    <w:multiLevelType w:val="multilevel"/>
    <w:tmpl w:val="26C4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0"/>
  </w:num>
  <w:num w:numId="3">
    <w:abstractNumId w:val="3"/>
  </w:num>
  <w:num w:numId="4">
    <w:abstractNumId w:val="10"/>
  </w:num>
  <w:num w:numId="5">
    <w:abstractNumId w:val="22"/>
  </w:num>
  <w:num w:numId="6">
    <w:abstractNumId w:val="26"/>
  </w:num>
  <w:num w:numId="7">
    <w:abstractNumId w:val="1"/>
  </w:num>
  <w:num w:numId="8">
    <w:abstractNumId w:val="17"/>
  </w:num>
  <w:num w:numId="9">
    <w:abstractNumId w:val="0"/>
  </w:num>
  <w:num w:numId="10">
    <w:abstractNumId w:val="20"/>
  </w:num>
  <w:num w:numId="11">
    <w:abstractNumId w:val="31"/>
  </w:num>
  <w:num w:numId="12">
    <w:abstractNumId w:val="7"/>
  </w:num>
  <w:num w:numId="13">
    <w:abstractNumId w:val="27"/>
  </w:num>
  <w:num w:numId="14">
    <w:abstractNumId w:val="23"/>
  </w:num>
  <w:num w:numId="15">
    <w:abstractNumId w:val="15"/>
  </w:num>
  <w:num w:numId="16">
    <w:abstractNumId w:val="6"/>
  </w:num>
  <w:num w:numId="17">
    <w:abstractNumId w:val="19"/>
  </w:num>
  <w:num w:numId="18">
    <w:abstractNumId w:val="14"/>
  </w:num>
  <w:num w:numId="19">
    <w:abstractNumId w:val="16"/>
  </w:num>
  <w:num w:numId="20">
    <w:abstractNumId w:val="32"/>
  </w:num>
  <w:num w:numId="21">
    <w:abstractNumId w:val="21"/>
  </w:num>
  <w:num w:numId="22">
    <w:abstractNumId w:val="25"/>
  </w:num>
  <w:num w:numId="23">
    <w:abstractNumId w:val="12"/>
  </w:num>
  <w:num w:numId="24">
    <w:abstractNumId w:val="29"/>
  </w:num>
  <w:num w:numId="25">
    <w:abstractNumId w:val="33"/>
  </w:num>
  <w:num w:numId="26">
    <w:abstractNumId w:val="24"/>
  </w:num>
  <w:num w:numId="27">
    <w:abstractNumId w:val="4"/>
  </w:num>
  <w:num w:numId="28">
    <w:abstractNumId w:val="2"/>
  </w:num>
  <w:num w:numId="29">
    <w:abstractNumId w:val="5"/>
  </w:num>
  <w:num w:numId="30">
    <w:abstractNumId w:val="11"/>
  </w:num>
  <w:num w:numId="31">
    <w:abstractNumId w:val="28"/>
  </w:num>
  <w:num w:numId="32">
    <w:abstractNumId w:val="9"/>
  </w:num>
  <w:num w:numId="33">
    <w:abstractNumId w:val="8"/>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NDK3MDQwsDA1MTY0NrRQ0lEKTi0uzszPAykwrAUAHtiBxCwAAAA="/>
  </w:docVars>
  <w:rsids>
    <w:rsidRoot w:val="000F0552"/>
    <w:rsid w:val="00042FA5"/>
    <w:rsid w:val="00047AC2"/>
    <w:rsid w:val="00066628"/>
    <w:rsid w:val="00070312"/>
    <w:rsid w:val="00071D12"/>
    <w:rsid w:val="000837CA"/>
    <w:rsid w:val="000A574C"/>
    <w:rsid w:val="000C605C"/>
    <w:rsid w:val="000F0552"/>
    <w:rsid w:val="00106A9B"/>
    <w:rsid w:val="0011241D"/>
    <w:rsid w:val="001132C5"/>
    <w:rsid w:val="00115009"/>
    <w:rsid w:val="00132DB0"/>
    <w:rsid w:val="00140A0E"/>
    <w:rsid w:val="00142454"/>
    <w:rsid w:val="001434D4"/>
    <w:rsid w:val="00143EE3"/>
    <w:rsid w:val="00163543"/>
    <w:rsid w:val="001642E4"/>
    <w:rsid w:val="0016769A"/>
    <w:rsid w:val="00170CA1"/>
    <w:rsid w:val="00176C4B"/>
    <w:rsid w:val="001A2E39"/>
    <w:rsid w:val="001B208C"/>
    <w:rsid w:val="001B270F"/>
    <w:rsid w:val="001C35A3"/>
    <w:rsid w:val="001D0153"/>
    <w:rsid w:val="001D26B1"/>
    <w:rsid w:val="00224C89"/>
    <w:rsid w:val="0022679D"/>
    <w:rsid w:val="00240C3D"/>
    <w:rsid w:val="00243E07"/>
    <w:rsid w:val="0026001E"/>
    <w:rsid w:val="002723BB"/>
    <w:rsid w:val="00285265"/>
    <w:rsid w:val="00285DDE"/>
    <w:rsid w:val="002943DB"/>
    <w:rsid w:val="00295365"/>
    <w:rsid w:val="002A0715"/>
    <w:rsid w:val="002A49A8"/>
    <w:rsid w:val="002C3D0B"/>
    <w:rsid w:val="002D7E8A"/>
    <w:rsid w:val="002E554E"/>
    <w:rsid w:val="002E5B5D"/>
    <w:rsid w:val="002F577E"/>
    <w:rsid w:val="003000CE"/>
    <w:rsid w:val="00304A0D"/>
    <w:rsid w:val="00304D8B"/>
    <w:rsid w:val="00310DE6"/>
    <w:rsid w:val="00311D79"/>
    <w:rsid w:val="0031292D"/>
    <w:rsid w:val="00313CEE"/>
    <w:rsid w:val="00314D0E"/>
    <w:rsid w:val="00340265"/>
    <w:rsid w:val="00341F11"/>
    <w:rsid w:val="00360714"/>
    <w:rsid w:val="0036417F"/>
    <w:rsid w:val="00384852"/>
    <w:rsid w:val="00385172"/>
    <w:rsid w:val="00394968"/>
    <w:rsid w:val="00396E69"/>
    <w:rsid w:val="003C23AA"/>
    <w:rsid w:val="003C70DE"/>
    <w:rsid w:val="003D2BFB"/>
    <w:rsid w:val="003D3870"/>
    <w:rsid w:val="003D61F9"/>
    <w:rsid w:val="003F3262"/>
    <w:rsid w:val="0043332D"/>
    <w:rsid w:val="004425F9"/>
    <w:rsid w:val="0044421F"/>
    <w:rsid w:val="004474FE"/>
    <w:rsid w:val="00453271"/>
    <w:rsid w:val="004549B2"/>
    <w:rsid w:val="00472291"/>
    <w:rsid w:val="00487079"/>
    <w:rsid w:val="00493174"/>
    <w:rsid w:val="00497AAB"/>
    <w:rsid w:val="004A2A83"/>
    <w:rsid w:val="004C004D"/>
    <w:rsid w:val="004C475C"/>
    <w:rsid w:val="004D26F6"/>
    <w:rsid w:val="004D774A"/>
    <w:rsid w:val="004F3AFC"/>
    <w:rsid w:val="00505ECF"/>
    <w:rsid w:val="005121AA"/>
    <w:rsid w:val="005150FF"/>
    <w:rsid w:val="005312E0"/>
    <w:rsid w:val="00535A98"/>
    <w:rsid w:val="005412CF"/>
    <w:rsid w:val="00544479"/>
    <w:rsid w:val="0055690A"/>
    <w:rsid w:val="00591CD4"/>
    <w:rsid w:val="005A43E8"/>
    <w:rsid w:val="005C6A59"/>
    <w:rsid w:val="005C7191"/>
    <w:rsid w:val="005D27EA"/>
    <w:rsid w:val="005D4B89"/>
    <w:rsid w:val="005D5CE2"/>
    <w:rsid w:val="005E0975"/>
    <w:rsid w:val="005F5931"/>
    <w:rsid w:val="00603F25"/>
    <w:rsid w:val="006154AE"/>
    <w:rsid w:val="0062080F"/>
    <w:rsid w:val="00641967"/>
    <w:rsid w:val="00646508"/>
    <w:rsid w:val="006640C0"/>
    <w:rsid w:val="006813BF"/>
    <w:rsid w:val="006B1B9D"/>
    <w:rsid w:val="006C21B6"/>
    <w:rsid w:val="006C26E7"/>
    <w:rsid w:val="006C46DA"/>
    <w:rsid w:val="00762850"/>
    <w:rsid w:val="00774009"/>
    <w:rsid w:val="0079624D"/>
    <w:rsid w:val="007A0628"/>
    <w:rsid w:val="007E0BF3"/>
    <w:rsid w:val="007E292F"/>
    <w:rsid w:val="00801FBE"/>
    <w:rsid w:val="00826E35"/>
    <w:rsid w:val="0083752E"/>
    <w:rsid w:val="008434C1"/>
    <w:rsid w:val="00845F08"/>
    <w:rsid w:val="0084751C"/>
    <w:rsid w:val="008510CD"/>
    <w:rsid w:val="008528E8"/>
    <w:rsid w:val="00853ACB"/>
    <w:rsid w:val="008579D1"/>
    <w:rsid w:val="008701DA"/>
    <w:rsid w:val="008705C9"/>
    <w:rsid w:val="0087121F"/>
    <w:rsid w:val="008934B6"/>
    <w:rsid w:val="008945E8"/>
    <w:rsid w:val="0089552A"/>
    <w:rsid w:val="008A1DE9"/>
    <w:rsid w:val="008A6264"/>
    <w:rsid w:val="008B40A2"/>
    <w:rsid w:val="008B5163"/>
    <w:rsid w:val="008B6CF3"/>
    <w:rsid w:val="008C1210"/>
    <w:rsid w:val="008C3F8B"/>
    <w:rsid w:val="008D5D5E"/>
    <w:rsid w:val="008E22DB"/>
    <w:rsid w:val="008F3704"/>
    <w:rsid w:val="008F6A11"/>
    <w:rsid w:val="008F6F2F"/>
    <w:rsid w:val="00917806"/>
    <w:rsid w:val="00932588"/>
    <w:rsid w:val="009538F1"/>
    <w:rsid w:val="00962DF6"/>
    <w:rsid w:val="00974094"/>
    <w:rsid w:val="00993C50"/>
    <w:rsid w:val="00995645"/>
    <w:rsid w:val="00997294"/>
    <w:rsid w:val="009A66DD"/>
    <w:rsid w:val="009F76E3"/>
    <w:rsid w:val="00A327F2"/>
    <w:rsid w:val="00A35F65"/>
    <w:rsid w:val="00A50368"/>
    <w:rsid w:val="00A66C98"/>
    <w:rsid w:val="00A66D2F"/>
    <w:rsid w:val="00A762DA"/>
    <w:rsid w:val="00A7679F"/>
    <w:rsid w:val="00A77F77"/>
    <w:rsid w:val="00A9409C"/>
    <w:rsid w:val="00AC3A7C"/>
    <w:rsid w:val="00AD45B3"/>
    <w:rsid w:val="00AD5F2C"/>
    <w:rsid w:val="00AF5E89"/>
    <w:rsid w:val="00B23F26"/>
    <w:rsid w:val="00B26E78"/>
    <w:rsid w:val="00B328F0"/>
    <w:rsid w:val="00B517E7"/>
    <w:rsid w:val="00B51ED0"/>
    <w:rsid w:val="00B5425B"/>
    <w:rsid w:val="00B5791E"/>
    <w:rsid w:val="00B7594B"/>
    <w:rsid w:val="00B87614"/>
    <w:rsid w:val="00BC2F3D"/>
    <w:rsid w:val="00BC365B"/>
    <w:rsid w:val="00BD159C"/>
    <w:rsid w:val="00BD7F39"/>
    <w:rsid w:val="00BF5C20"/>
    <w:rsid w:val="00C07A71"/>
    <w:rsid w:val="00C1043D"/>
    <w:rsid w:val="00C10B5F"/>
    <w:rsid w:val="00C22397"/>
    <w:rsid w:val="00C23A3A"/>
    <w:rsid w:val="00C250F7"/>
    <w:rsid w:val="00C424CD"/>
    <w:rsid w:val="00C51DCD"/>
    <w:rsid w:val="00C54A7C"/>
    <w:rsid w:val="00C6297E"/>
    <w:rsid w:val="00C709ED"/>
    <w:rsid w:val="00C73665"/>
    <w:rsid w:val="00C8184D"/>
    <w:rsid w:val="00CA3F9B"/>
    <w:rsid w:val="00CC3247"/>
    <w:rsid w:val="00CE2328"/>
    <w:rsid w:val="00D13ACF"/>
    <w:rsid w:val="00D149C1"/>
    <w:rsid w:val="00D15324"/>
    <w:rsid w:val="00D20465"/>
    <w:rsid w:val="00D243CC"/>
    <w:rsid w:val="00D3236E"/>
    <w:rsid w:val="00D8217C"/>
    <w:rsid w:val="00D849A4"/>
    <w:rsid w:val="00D95245"/>
    <w:rsid w:val="00D95302"/>
    <w:rsid w:val="00DB10BF"/>
    <w:rsid w:val="00DB23E7"/>
    <w:rsid w:val="00DB2447"/>
    <w:rsid w:val="00DB7C15"/>
    <w:rsid w:val="00DD0BAF"/>
    <w:rsid w:val="00DD54B1"/>
    <w:rsid w:val="00E07170"/>
    <w:rsid w:val="00E15B06"/>
    <w:rsid w:val="00E23609"/>
    <w:rsid w:val="00E27E04"/>
    <w:rsid w:val="00E55A07"/>
    <w:rsid w:val="00E62A32"/>
    <w:rsid w:val="00E660FD"/>
    <w:rsid w:val="00E730BB"/>
    <w:rsid w:val="00E86F32"/>
    <w:rsid w:val="00EA0933"/>
    <w:rsid w:val="00EC23D5"/>
    <w:rsid w:val="00ED229A"/>
    <w:rsid w:val="00ED23DC"/>
    <w:rsid w:val="00ED450D"/>
    <w:rsid w:val="00EE0B8A"/>
    <w:rsid w:val="00EF05BB"/>
    <w:rsid w:val="00EF357A"/>
    <w:rsid w:val="00EF47C6"/>
    <w:rsid w:val="00F001B6"/>
    <w:rsid w:val="00F038B8"/>
    <w:rsid w:val="00F079DA"/>
    <w:rsid w:val="00F10E01"/>
    <w:rsid w:val="00F10F55"/>
    <w:rsid w:val="00F13926"/>
    <w:rsid w:val="00F16160"/>
    <w:rsid w:val="00F21342"/>
    <w:rsid w:val="00F33D76"/>
    <w:rsid w:val="00F35094"/>
    <w:rsid w:val="00F40057"/>
    <w:rsid w:val="00F525CA"/>
    <w:rsid w:val="00F707C7"/>
    <w:rsid w:val="00F80EE4"/>
    <w:rsid w:val="00FA04EC"/>
    <w:rsid w:val="00FA3850"/>
    <w:rsid w:val="00FB6BAB"/>
    <w:rsid w:val="00FD07C3"/>
    <w:rsid w:val="00FD5D7A"/>
    <w:rsid w:val="00FD7BE9"/>
    <w:rsid w:val="00FE14F3"/>
    <w:rsid w:val="00FE4267"/>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32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71"/>
  </w:style>
  <w:style w:type="paragraph" w:styleId="Heading1">
    <w:name w:val="heading 1"/>
    <w:basedOn w:val="Normal"/>
    <w:next w:val="Normal"/>
    <w:link w:val="Heading1Char"/>
    <w:uiPriority w:val="9"/>
    <w:qFormat/>
    <w:rsid w:val="000F0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0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0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F0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0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0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F0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552"/>
    <w:rPr>
      <w:rFonts w:eastAsiaTheme="majorEastAsia" w:cstheme="majorBidi"/>
      <w:color w:val="272727" w:themeColor="text1" w:themeTint="D8"/>
    </w:rPr>
  </w:style>
  <w:style w:type="paragraph" w:styleId="Title">
    <w:name w:val="Title"/>
    <w:basedOn w:val="Normal"/>
    <w:next w:val="Normal"/>
    <w:link w:val="TitleChar"/>
    <w:uiPriority w:val="10"/>
    <w:qFormat/>
    <w:rsid w:val="000F0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552"/>
    <w:pPr>
      <w:spacing w:before="160"/>
      <w:jc w:val="center"/>
    </w:pPr>
    <w:rPr>
      <w:i/>
      <w:iCs/>
      <w:color w:val="404040" w:themeColor="text1" w:themeTint="BF"/>
    </w:rPr>
  </w:style>
  <w:style w:type="character" w:customStyle="1" w:styleId="QuoteChar">
    <w:name w:val="Quote Char"/>
    <w:basedOn w:val="DefaultParagraphFont"/>
    <w:link w:val="Quote"/>
    <w:uiPriority w:val="29"/>
    <w:rsid w:val="000F0552"/>
    <w:rPr>
      <w:i/>
      <w:iCs/>
      <w:color w:val="404040" w:themeColor="text1" w:themeTint="BF"/>
    </w:rPr>
  </w:style>
  <w:style w:type="paragraph" w:styleId="ListParagraph">
    <w:name w:val="List Paragraph"/>
    <w:basedOn w:val="Normal"/>
    <w:uiPriority w:val="34"/>
    <w:qFormat/>
    <w:rsid w:val="000F0552"/>
    <w:pPr>
      <w:ind w:left="720"/>
      <w:contextualSpacing/>
    </w:pPr>
  </w:style>
  <w:style w:type="character" w:styleId="IntenseEmphasis">
    <w:name w:val="Intense Emphasis"/>
    <w:basedOn w:val="DefaultParagraphFont"/>
    <w:uiPriority w:val="21"/>
    <w:qFormat/>
    <w:rsid w:val="000F0552"/>
    <w:rPr>
      <w:i/>
      <w:iCs/>
      <w:color w:val="2F5496" w:themeColor="accent1" w:themeShade="BF"/>
    </w:rPr>
  </w:style>
  <w:style w:type="paragraph" w:styleId="IntenseQuote">
    <w:name w:val="Intense Quote"/>
    <w:basedOn w:val="Normal"/>
    <w:next w:val="Normal"/>
    <w:link w:val="IntenseQuoteChar"/>
    <w:uiPriority w:val="30"/>
    <w:qFormat/>
    <w:rsid w:val="000F0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552"/>
    <w:rPr>
      <w:i/>
      <w:iCs/>
      <w:color w:val="2F5496" w:themeColor="accent1" w:themeShade="BF"/>
    </w:rPr>
  </w:style>
  <w:style w:type="character" w:styleId="IntenseReference">
    <w:name w:val="Intense Reference"/>
    <w:basedOn w:val="DefaultParagraphFont"/>
    <w:uiPriority w:val="32"/>
    <w:qFormat/>
    <w:rsid w:val="000F0552"/>
    <w:rPr>
      <w:b/>
      <w:bCs/>
      <w:smallCaps/>
      <w:color w:val="2F5496" w:themeColor="accent1" w:themeShade="BF"/>
      <w:spacing w:val="5"/>
    </w:rPr>
  </w:style>
  <w:style w:type="character" w:styleId="Hyperlink">
    <w:name w:val="Hyperlink"/>
    <w:basedOn w:val="DefaultParagraphFont"/>
    <w:uiPriority w:val="99"/>
    <w:unhideWhenUsed/>
    <w:rsid w:val="000F0552"/>
    <w:rPr>
      <w:color w:val="0563C1" w:themeColor="hyperlink"/>
      <w:u w:val="single"/>
    </w:rPr>
  </w:style>
  <w:style w:type="character" w:customStyle="1" w:styleId="UnresolvedMention">
    <w:name w:val="Unresolved Mention"/>
    <w:basedOn w:val="DefaultParagraphFont"/>
    <w:uiPriority w:val="99"/>
    <w:semiHidden/>
    <w:unhideWhenUsed/>
    <w:rsid w:val="000F0552"/>
    <w:rPr>
      <w:color w:val="605E5C"/>
      <w:shd w:val="clear" w:color="auto" w:fill="E1DFDD"/>
    </w:rPr>
  </w:style>
  <w:style w:type="paragraph" w:styleId="PlainText">
    <w:name w:val="Plain Text"/>
    <w:basedOn w:val="Normal"/>
    <w:link w:val="PlainTextChar"/>
    <w:uiPriority w:val="99"/>
    <w:unhideWhenUsed/>
    <w:rsid w:val="006154A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154AE"/>
    <w:rPr>
      <w:rFonts w:ascii="Consolas" w:hAnsi="Consolas"/>
      <w:sz w:val="21"/>
      <w:szCs w:val="21"/>
    </w:rPr>
  </w:style>
  <w:style w:type="paragraph" w:styleId="Header">
    <w:name w:val="header"/>
    <w:basedOn w:val="Normal"/>
    <w:link w:val="HeaderChar"/>
    <w:uiPriority w:val="99"/>
    <w:unhideWhenUsed/>
    <w:rsid w:val="004C4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75C"/>
  </w:style>
  <w:style w:type="paragraph" w:styleId="Footer">
    <w:name w:val="footer"/>
    <w:basedOn w:val="Normal"/>
    <w:link w:val="FooterChar"/>
    <w:uiPriority w:val="99"/>
    <w:unhideWhenUsed/>
    <w:rsid w:val="004C4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75C"/>
  </w:style>
  <w:style w:type="table" w:styleId="TableGrid">
    <w:name w:val="Table Grid"/>
    <w:basedOn w:val="TableNormal"/>
    <w:uiPriority w:val="39"/>
    <w:rsid w:val="00E73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15">
    <w:name w:val="citation-15"/>
    <w:basedOn w:val="DefaultParagraphFont"/>
    <w:rsid w:val="00C51DCD"/>
  </w:style>
  <w:style w:type="paragraph" w:customStyle="1" w:styleId="Default">
    <w:name w:val="Default"/>
    <w:rsid w:val="008F6F2F"/>
    <w:pPr>
      <w:autoSpaceDE w:val="0"/>
      <w:autoSpaceDN w:val="0"/>
      <w:adjustRightInd w:val="0"/>
      <w:spacing w:after="0" w:line="240" w:lineRule="auto"/>
    </w:pPr>
    <w:rPr>
      <w:rFonts w:ascii="Arial" w:hAnsi="Arial" w:cs="Arial"/>
      <w:color w:val="000000"/>
      <w:kern w:val="0"/>
      <w:sz w:val="24"/>
      <w:szCs w:val="24"/>
      <w:lang w:bidi="mr-IN"/>
    </w:rPr>
  </w:style>
  <w:style w:type="paragraph" w:styleId="NormalWeb">
    <w:name w:val="Normal (Web)"/>
    <w:basedOn w:val="Normal"/>
    <w:uiPriority w:val="99"/>
    <w:unhideWhenUsed/>
    <w:rsid w:val="005F5931"/>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customStyle="1" w:styleId="AcknHead">
    <w:name w:val="Ackn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character" w:styleId="PlaceholderText">
    <w:name w:val="Placeholder Text"/>
    <w:basedOn w:val="DefaultParagraphFont"/>
    <w:uiPriority w:val="99"/>
    <w:semiHidden/>
    <w:rsid w:val="0043332D"/>
    <w:rPr>
      <w:color w:val="666666"/>
    </w:rPr>
  </w:style>
  <w:style w:type="character" w:styleId="CommentReference">
    <w:name w:val="annotation reference"/>
    <w:basedOn w:val="DefaultParagraphFont"/>
    <w:uiPriority w:val="99"/>
    <w:semiHidden/>
    <w:unhideWhenUsed/>
    <w:rsid w:val="008F6A11"/>
    <w:rPr>
      <w:sz w:val="16"/>
      <w:szCs w:val="16"/>
    </w:rPr>
  </w:style>
  <w:style w:type="paragraph" w:styleId="CommentText">
    <w:name w:val="annotation text"/>
    <w:basedOn w:val="Normal"/>
    <w:link w:val="CommentTextChar"/>
    <w:uiPriority w:val="99"/>
    <w:unhideWhenUsed/>
    <w:rsid w:val="008F6A11"/>
    <w:pPr>
      <w:spacing w:line="240" w:lineRule="auto"/>
    </w:pPr>
    <w:rPr>
      <w:sz w:val="20"/>
      <w:szCs w:val="20"/>
    </w:rPr>
  </w:style>
  <w:style w:type="character" w:customStyle="1" w:styleId="CommentTextChar">
    <w:name w:val="Comment Text Char"/>
    <w:basedOn w:val="DefaultParagraphFont"/>
    <w:link w:val="CommentText"/>
    <w:uiPriority w:val="99"/>
    <w:rsid w:val="008F6A11"/>
    <w:rPr>
      <w:sz w:val="20"/>
      <w:szCs w:val="20"/>
    </w:rPr>
  </w:style>
  <w:style w:type="paragraph" w:styleId="CommentSubject">
    <w:name w:val="annotation subject"/>
    <w:basedOn w:val="CommentText"/>
    <w:next w:val="CommentText"/>
    <w:link w:val="CommentSubjectChar"/>
    <w:uiPriority w:val="99"/>
    <w:semiHidden/>
    <w:unhideWhenUsed/>
    <w:rsid w:val="008F6A11"/>
    <w:rPr>
      <w:b/>
      <w:bCs/>
    </w:rPr>
  </w:style>
  <w:style w:type="character" w:customStyle="1" w:styleId="CommentSubjectChar">
    <w:name w:val="Comment Subject Char"/>
    <w:basedOn w:val="CommentTextChar"/>
    <w:link w:val="CommentSubject"/>
    <w:uiPriority w:val="99"/>
    <w:semiHidden/>
    <w:rsid w:val="008F6A11"/>
    <w:rPr>
      <w:b/>
      <w:bCs/>
      <w:sz w:val="20"/>
      <w:szCs w:val="20"/>
    </w:rPr>
  </w:style>
  <w:style w:type="paragraph" w:styleId="BalloonText">
    <w:name w:val="Balloon Text"/>
    <w:basedOn w:val="Normal"/>
    <w:link w:val="BalloonTextChar"/>
    <w:uiPriority w:val="99"/>
    <w:semiHidden/>
    <w:unhideWhenUsed/>
    <w:rsid w:val="008F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11"/>
    <w:rPr>
      <w:rFonts w:ascii="Tahoma" w:hAnsi="Tahoma" w:cs="Tahoma"/>
      <w:sz w:val="16"/>
      <w:szCs w:val="16"/>
    </w:rPr>
  </w:style>
  <w:style w:type="character" w:styleId="Strong">
    <w:name w:val="Strong"/>
    <w:basedOn w:val="DefaultParagraphFont"/>
    <w:uiPriority w:val="22"/>
    <w:qFormat/>
    <w:rsid w:val="008F6A11"/>
    <w:rPr>
      <w:b/>
      <w:bCs/>
    </w:rPr>
  </w:style>
  <w:style w:type="character" w:styleId="Emphasis">
    <w:name w:val="Emphasis"/>
    <w:basedOn w:val="DefaultParagraphFont"/>
    <w:uiPriority w:val="20"/>
    <w:qFormat/>
    <w:rsid w:val="008F6A11"/>
    <w:rPr>
      <w:i/>
      <w:iCs/>
    </w:rPr>
  </w:style>
  <w:style w:type="paragraph" w:styleId="Revision">
    <w:name w:val="Revision"/>
    <w:hidden/>
    <w:uiPriority w:val="99"/>
    <w:semiHidden/>
    <w:rsid w:val="00D3236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7A71"/>
  </w:style>
  <w:style w:type="paragraph" w:styleId="Heading1">
    <w:name w:val="heading 1"/>
    <w:basedOn w:val="Normal"/>
    <w:next w:val="Normal"/>
    <w:link w:val="Heading1Char"/>
    <w:uiPriority w:val="9"/>
    <w:qFormat/>
    <w:rsid w:val="000F0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F0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0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F0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0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0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0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0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0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F0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0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F0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0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0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0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0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0552"/>
    <w:rPr>
      <w:rFonts w:eastAsiaTheme="majorEastAsia" w:cstheme="majorBidi"/>
      <w:color w:val="272727" w:themeColor="text1" w:themeTint="D8"/>
    </w:rPr>
  </w:style>
  <w:style w:type="paragraph" w:styleId="Title">
    <w:name w:val="Title"/>
    <w:basedOn w:val="Normal"/>
    <w:next w:val="Normal"/>
    <w:link w:val="TitleChar"/>
    <w:uiPriority w:val="10"/>
    <w:qFormat/>
    <w:rsid w:val="000F0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0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0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0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0552"/>
    <w:pPr>
      <w:spacing w:before="160"/>
      <w:jc w:val="center"/>
    </w:pPr>
    <w:rPr>
      <w:i/>
      <w:iCs/>
      <w:color w:val="404040" w:themeColor="text1" w:themeTint="BF"/>
    </w:rPr>
  </w:style>
  <w:style w:type="character" w:customStyle="1" w:styleId="QuoteChar">
    <w:name w:val="Quote Char"/>
    <w:basedOn w:val="DefaultParagraphFont"/>
    <w:link w:val="Quote"/>
    <w:uiPriority w:val="29"/>
    <w:rsid w:val="000F0552"/>
    <w:rPr>
      <w:i/>
      <w:iCs/>
      <w:color w:val="404040" w:themeColor="text1" w:themeTint="BF"/>
    </w:rPr>
  </w:style>
  <w:style w:type="paragraph" w:styleId="ListParagraph">
    <w:name w:val="List Paragraph"/>
    <w:basedOn w:val="Normal"/>
    <w:uiPriority w:val="34"/>
    <w:qFormat/>
    <w:rsid w:val="000F0552"/>
    <w:pPr>
      <w:ind w:left="720"/>
      <w:contextualSpacing/>
    </w:pPr>
  </w:style>
  <w:style w:type="character" w:styleId="IntenseEmphasis">
    <w:name w:val="Intense Emphasis"/>
    <w:basedOn w:val="DefaultParagraphFont"/>
    <w:uiPriority w:val="21"/>
    <w:qFormat/>
    <w:rsid w:val="000F0552"/>
    <w:rPr>
      <w:i/>
      <w:iCs/>
      <w:color w:val="2F5496" w:themeColor="accent1" w:themeShade="BF"/>
    </w:rPr>
  </w:style>
  <w:style w:type="paragraph" w:styleId="IntenseQuote">
    <w:name w:val="Intense Quote"/>
    <w:basedOn w:val="Normal"/>
    <w:next w:val="Normal"/>
    <w:link w:val="IntenseQuoteChar"/>
    <w:uiPriority w:val="30"/>
    <w:qFormat/>
    <w:rsid w:val="000F0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0552"/>
    <w:rPr>
      <w:i/>
      <w:iCs/>
      <w:color w:val="2F5496" w:themeColor="accent1" w:themeShade="BF"/>
    </w:rPr>
  </w:style>
  <w:style w:type="character" w:styleId="IntenseReference">
    <w:name w:val="Intense Reference"/>
    <w:basedOn w:val="DefaultParagraphFont"/>
    <w:uiPriority w:val="32"/>
    <w:qFormat/>
    <w:rsid w:val="000F0552"/>
    <w:rPr>
      <w:b/>
      <w:bCs/>
      <w:smallCaps/>
      <w:color w:val="2F5496" w:themeColor="accent1" w:themeShade="BF"/>
      <w:spacing w:val="5"/>
    </w:rPr>
  </w:style>
  <w:style w:type="character" w:styleId="Hyperlink">
    <w:name w:val="Hyperlink"/>
    <w:basedOn w:val="DefaultParagraphFont"/>
    <w:uiPriority w:val="99"/>
    <w:unhideWhenUsed/>
    <w:rsid w:val="000F0552"/>
    <w:rPr>
      <w:color w:val="0563C1" w:themeColor="hyperlink"/>
      <w:u w:val="single"/>
    </w:rPr>
  </w:style>
  <w:style w:type="character" w:customStyle="1" w:styleId="UnresolvedMention">
    <w:name w:val="Unresolved Mention"/>
    <w:basedOn w:val="DefaultParagraphFont"/>
    <w:uiPriority w:val="99"/>
    <w:semiHidden/>
    <w:unhideWhenUsed/>
    <w:rsid w:val="000F0552"/>
    <w:rPr>
      <w:color w:val="605E5C"/>
      <w:shd w:val="clear" w:color="auto" w:fill="E1DFDD"/>
    </w:rPr>
  </w:style>
  <w:style w:type="paragraph" w:styleId="PlainText">
    <w:name w:val="Plain Text"/>
    <w:basedOn w:val="Normal"/>
    <w:link w:val="PlainTextChar"/>
    <w:uiPriority w:val="99"/>
    <w:unhideWhenUsed/>
    <w:rsid w:val="006154A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154AE"/>
    <w:rPr>
      <w:rFonts w:ascii="Consolas" w:hAnsi="Consolas"/>
      <w:sz w:val="21"/>
      <w:szCs w:val="21"/>
    </w:rPr>
  </w:style>
  <w:style w:type="paragraph" w:styleId="Header">
    <w:name w:val="header"/>
    <w:basedOn w:val="Normal"/>
    <w:link w:val="HeaderChar"/>
    <w:uiPriority w:val="99"/>
    <w:unhideWhenUsed/>
    <w:rsid w:val="004C4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475C"/>
  </w:style>
  <w:style w:type="paragraph" w:styleId="Footer">
    <w:name w:val="footer"/>
    <w:basedOn w:val="Normal"/>
    <w:link w:val="FooterChar"/>
    <w:uiPriority w:val="99"/>
    <w:unhideWhenUsed/>
    <w:rsid w:val="004C4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475C"/>
  </w:style>
  <w:style w:type="table" w:styleId="TableGrid">
    <w:name w:val="Table Grid"/>
    <w:basedOn w:val="TableNormal"/>
    <w:uiPriority w:val="39"/>
    <w:rsid w:val="00E73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15">
    <w:name w:val="citation-15"/>
    <w:basedOn w:val="DefaultParagraphFont"/>
    <w:rsid w:val="00C51DCD"/>
  </w:style>
  <w:style w:type="paragraph" w:customStyle="1" w:styleId="Default">
    <w:name w:val="Default"/>
    <w:rsid w:val="008F6F2F"/>
    <w:pPr>
      <w:autoSpaceDE w:val="0"/>
      <w:autoSpaceDN w:val="0"/>
      <w:adjustRightInd w:val="0"/>
      <w:spacing w:after="0" w:line="240" w:lineRule="auto"/>
    </w:pPr>
    <w:rPr>
      <w:rFonts w:ascii="Arial" w:hAnsi="Arial" w:cs="Arial"/>
      <w:color w:val="000000"/>
      <w:kern w:val="0"/>
      <w:sz w:val="24"/>
      <w:szCs w:val="24"/>
      <w:lang w:bidi="mr-IN"/>
    </w:rPr>
  </w:style>
  <w:style w:type="paragraph" w:styleId="NormalWeb">
    <w:name w:val="Normal (Web)"/>
    <w:basedOn w:val="Normal"/>
    <w:uiPriority w:val="99"/>
    <w:unhideWhenUsed/>
    <w:rsid w:val="005F5931"/>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customStyle="1" w:styleId="AcknHead">
    <w:name w:val="Ackn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4474FE"/>
    <w:pPr>
      <w:keepNext/>
      <w:spacing w:after="240" w:line="240" w:lineRule="auto"/>
    </w:pPr>
    <w:rPr>
      <w:rFonts w:ascii="Helvetica" w:eastAsia="Times New Roman" w:hAnsi="Helvetica" w:cs="Times New Roman"/>
      <w:b/>
      <w:caps/>
      <w:kern w:val="0"/>
      <w:szCs w:val="20"/>
      <w:lang w:val="en-US"/>
      <w14:ligatures w14:val="none"/>
    </w:rPr>
  </w:style>
  <w:style w:type="character" w:styleId="PlaceholderText">
    <w:name w:val="Placeholder Text"/>
    <w:basedOn w:val="DefaultParagraphFont"/>
    <w:uiPriority w:val="99"/>
    <w:semiHidden/>
    <w:rsid w:val="0043332D"/>
    <w:rPr>
      <w:color w:val="666666"/>
    </w:rPr>
  </w:style>
  <w:style w:type="character" w:styleId="CommentReference">
    <w:name w:val="annotation reference"/>
    <w:basedOn w:val="DefaultParagraphFont"/>
    <w:uiPriority w:val="99"/>
    <w:semiHidden/>
    <w:unhideWhenUsed/>
    <w:rsid w:val="008F6A11"/>
    <w:rPr>
      <w:sz w:val="16"/>
      <w:szCs w:val="16"/>
    </w:rPr>
  </w:style>
  <w:style w:type="paragraph" w:styleId="CommentText">
    <w:name w:val="annotation text"/>
    <w:basedOn w:val="Normal"/>
    <w:link w:val="CommentTextChar"/>
    <w:uiPriority w:val="99"/>
    <w:unhideWhenUsed/>
    <w:rsid w:val="008F6A11"/>
    <w:pPr>
      <w:spacing w:line="240" w:lineRule="auto"/>
    </w:pPr>
    <w:rPr>
      <w:sz w:val="20"/>
      <w:szCs w:val="20"/>
    </w:rPr>
  </w:style>
  <w:style w:type="character" w:customStyle="1" w:styleId="CommentTextChar">
    <w:name w:val="Comment Text Char"/>
    <w:basedOn w:val="DefaultParagraphFont"/>
    <w:link w:val="CommentText"/>
    <w:uiPriority w:val="99"/>
    <w:rsid w:val="008F6A11"/>
    <w:rPr>
      <w:sz w:val="20"/>
      <w:szCs w:val="20"/>
    </w:rPr>
  </w:style>
  <w:style w:type="paragraph" w:styleId="CommentSubject">
    <w:name w:val="annotation subject"/>
    <w:basedOn w:val="CommentText"/>
    <w:next w:val="CommentText"/>
    <w:link w:val="CommentSubjectChar"/>
    <w:uiPriority w:val="99"/>
    <w:semiHidden/>
    <w:unhideWhenUsed/>
    <w:rsid w:val="008F6A11"/>
    <w:rPr>
      <w:b/>
      <w:bCs/>
    </w:rPr>
  </w:style>
  <w:style w:type="character" w:customStyle="1" w:styleId="CommentSubjectChar">
    <w:name w:val="Comment Subject Char"/>
    <w:basedOn w:val="CommentTextChar"/>
    <w:link w:val="CommentSubject"/>
    <w:uiPriority w:val="99"/>
    <w:semiHidden/>
    <w:rsid w:val="008F6A11"/>
    <w:rPr>
      <w:b/>
      <w:bCs/>
      <w:sz w:val="20"/>
      <w:szCs w:val="20"/>
    </w:rPr>
  </w:style>
  <w:style w:type="paragraph" w:styleId="BalloonText">
    <w:name w:val="Balloon Text"/>
    <w:basedOn w:val="Normal"/>
    <w:link w:val="BalloonTextChar"/>
    <w:uiPriority w:val="99"/>
    <w:semiHidden/>
    <w:unhideWhenUsed/>
    <w:rsid w:val="008F6A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11"/>
    <w:rPr>
      <w:rFonts w:ascii="Tahoma" w:hAnsi="Tahoma" w:cs="Tahoma"/>
      <w:sz w:val="16"/>
      <w:szCs w:val="16"/>
    </w:rPr>
  </w:style>
  <w:style w:type="character" w:styleId="Strong">
    <w:name w:val="Strong"/>
    <w:basedOn w:val="DefaultParagraphFont"/>
    <w:uiPriority w:val="22"/>
    <w:qFormat/>
    <w:rsid w:val="008F6A11"/>
    <w:rPr>
      <w:b/>
      <w:bCs/>
    </w:rPr>
  </w:style>
  <w:style w:type="character" w:styleId="Emphasis">
    <w:name w:val="Emphasis"/>
    <w:basedOn w:val="DefaultParagraphFont"/>
    <w:uiPriority w:val="20"/>
    <w:qFormat/>
    <w:rsid w:val="008F6A11"/>
    <w:rPr>
      <w:i/>
      <w:iCs/>
    </w:rPr>
  </w:style>
  <w:style w:type="paragraph" w:styleId="Revision">
    <w:name w:val="Revision"/>
    <w:hidden/>
    <w:uiPriority w:val="99"/>
    <w:semiHidden/>
    <w:rsid w:val="00D323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12523">
      <w:bodyDiv w:val="1"/>
      <w:marLeft w:val="0"/>
      <w:marRight w:val="0"/>
      <w:marTop w:val="0"/>
      <w:marBottom w:val="0"/>
      <w:divBdr>
        <w:top w:val="none" w:sz="0" w:space="0" w:color="auto"/>
        <w:left w:val="none" w:sz="0" w:space="0" w:color="auto"/>
        <w:bottom w:val="none" w:sz="0" w:space="0" w:color="auto"/>
        <w:right w:val="none" w:sz="0" w:space="0" w:color="auto"/>
      </w:divBdr>
    </w:div>
    <w:div w:id="413093862">
      <w:bodyDiv w:val="1"/>
      <w:marLeft w:val="0"/>
      <w:marRight w:val="0"/>
      <w:marTop w:val="0"/>
      <w:marBottom w:val="0"/>
      <w:divBdr>
        <w:top w:val="none" w:sz="0" w:space="0" w:color="auto"/>
        <w:left w:val="none" w:sz="0" w:space="0" w:color="auto"/>
        <w:bottom w:val="none" w:sz="0" w:space="0" w:color="auto"/>
        <w:right w:val="none" w:sz="0" w:space="0" w:color="auto"/>
      </w:divBdr>
    </w:div>
    <w:div w:id="719671971">
      <w:bodyDiv w:val="1"/>
      <w:marLeft w:val="0"/>
      <w:marRight w:val="0"/>
      <w:marTop w:val="0"/>
      <w:marBottom w:val="0"/>
      <w:divBdr>
        <w:top w:val="none" w:sz="0" w:space="0" w:color="auto"/>
        <w:left w:val="none" w:sz="0" w:space="0" w:color="auto"/>
        <w:bottom w:val="none" w:sz="0" w:space="0" w:color="auto"/>
        <w:right w:val="none" w:sz="0" w:space="0" w:color="auto"/>
      </w:divBdr>
    </w:div>
    <w:div w:id="748041063">
      <w:bodyDiv w:val="1"/>
      <w:marLeft w:val="0"/>
      <w:marRight w:val="0"/>
      <w:marTop w:val="0"/>
      <w:marBottom w:val="0"/>
      <w:divBdr>
        <w:top w:val="none" w:sz="0" w:space="0" w:color="auto"/>
        <w:left w:val="none" w:sz="0" w:space="0" w:color="auto"/>
        <w:bottom w:val="none" w:sz="0" w:space="0" w:color="auto"/>
        <w:right w:val="none" w:sz="0" w:space="0" w:color="auto"/>
      </w:divBdr>
    </w:div>
    <w:div w:id="830751483">
      <w:bodyDiv w:val="1"/>
      <w:marLeft w:val="0"/>
      <w:marRight w:val="0"/>
      <w:marTop w:val="0"/>
      <w:marBottom w:val="0"/>
      <w:divBdr>
        <w:top w:val="none" w:sz="0" w:space="0" w:color="auto"/>
        <w:left w:val="none" w:sz="0" w:space="0" w:color="auto"/>
        <w:bottom w:val="none" w:sz="0" w:space="0" w:color="auto"/>
        <w:right w:val="none" w:sz="0" w:space="0" w:color="auto"/>
      </w:divBdr>
    </w:div>
    <w:div w:id="1059285708">
      <w:bodyDiv w:val="1"/>
      <w:marLeft w:val="0"/>
      <w:marRight w:val="0"/>
      <w:marTop w:val="0"/>
      <w:marBottom w:val="0"/>
      <w:divBdr>
        <w:top w:val="none" w:sz="0" w:space="0" w:color="auto"/>
        <w:left w:val="none" w:sz="0" w:space="0" w:color="auto"/>
        <w:bottom w:val="none" w:sz="0" w:space="0" w:color="auto"/>
        <w:right w:val="none" w:sz="0" w:space="0" w:color="auto"/>
      </w:divBdr>
    </w:div>
    <w:div w:id="1063724507">
      <w:bodyDiv w:val="1"/>
      <w:marLeft w:val="0"/>
      <w:marRight w:val="0"/>
      <w:marTop w:val="0"/>
      <w:marBottom w:val="0"/>
      <w:divBdr>
        <w:top w:val="none" w:sz="0" w:space="0" w:color="auto"/>
        <w:left w:val="none" w:sz="0" w:space="0" w:color="auto"/>
        <w:bottom w:val="none" w:sz="0" w:space="0" w:color="auto"/>
        <w:right w:val="none" w:sz="0" w:space="0" w:color="auto"/>
      </w:divBdr>
    </w:div>
    <w:div w:id="1075316600">
      <w:bodyDiv w:val="1"/>
      <w:marLeft w:val="0"/>
      <w:marRight w:val="0"/>
      <w:marTop w:val="0"/>
      <w:marBottom w:val="0"/>
      <w:divBdr>
        <w:top w:val="none" w:sz="0" w:space="0" w:color="auto"/>
        <w:left w:val="none" w:sz="0" w:space="0" w:color="auto"/>
        <w:bottom w:val="none" w:sz="0" w:space="0" w:color="auto"/>
        <w:right w:val="none" w:sz="0" w:space="0" w:color="auto"/>
      </w:divBdr>
    </w:div>
    <w:div w:id="1115750423">
      <w:bodyDiv w:val="1"/>
      <w:marLeft w:val="0"/>
      <w:marRight w:val="0"/>
      <w:marTop w:val="0"/>
      <w:marBottom w:val="0"/>
      <w:divBdr>
        <w:top w:val="none" w:sz="0" w:space="0" w:color="auto"/>
        <w:left w:val="none" w:sz="0" w:space="0" w:color="auto"/>
        <w:bottom w:val="none" w:sz="0" w:space="0" w:color="auto"/>
        <w:right w:val="none" w:sz="0" w:space="0" w:color="auto"/>
      </w:divBdr>
    </w:div>
    <w:div w:id="1356805841">
      <w:bodyDiv w:val="1"/>
      <w:marLeft w:val="0"/>
      <w:marRight w:val="0"/>
      <w:marTop w:val="0"/>
      <w:marBottom w:val="0"/>
      <w:divBdr>
        <w:top w:val="none" w:sz="0" w:space="0" w:color="auto"/>
        <w:left w:val="none" w:sz="0" w:space="0" w:color="auto"/>
        <w:bottom w:val="none" w:sz="0" w:space="0" w:color="auto"/>
        <w:right w:val="none" w:sz="0" w:space="0" w:color="auto"/>
      </w:divBdr>
    </w:div>
    <w:div w:id="1684822144">
      <w:bodyDiv w:val="1"/>
      <w:marLeft w:val="0"/>
      <w:marRight w:val="0"/>
      <w:marTop w:val="0"/>
      <w:marBottom w:val="0"/>
      <w:divBdr>
        <w:top w:val="none" w:sz="0" w:space="0" w:color="auto"/>
        <w:left w:val="none" w:sz="0" w:space="0" w:color="auto"/>
        <w:bottom w:val="none" w:sz="0" w:space="0" w:color="auto"/>
        <w:right w:val="none" w:sz="0" w:space="0" w:color="auto"/>
      </w:divBdr>
    </w:div>
    <w:div w:id="1699354117">
      <w:bodyDiv w:val="1"/>
      <w:marLeft w:val="0"/>
      <w:marRight w:val="0"/>
      <w:marTop w:val="0"/>
      <w:marBottom w:val="0"/>
      <w:divBdr>
        <w:top w:val="none" w:sz="0" w:space="0" w:color="auto"/>
        <w:left w:val="none" w:sz="0" w:space="0" w:color="auto"/>
        <w:bottom w:val="none" w:sz="0" w:space="0" w:color="auto"/>
        <w:right w:val="none" w:sz="0" w:space="0" w:color="auto"/>
      </w:divBdr>
    </w:div>
    <w:div w:id="1721249997">
      <w:bodyDiv w:val="1"/>
      <w:marLeft w:val="0"/>
      <w:marRight w:val="0"/>
      <w:marTop w:val="0"/>
      <w:marBottom w:val="0"/>
      <w:divBdr>
        <w:top w:val="none" w:sz="0" w:space="0" w:color="auto"/>
        <w:left w:val="none" w:sz="0" w:space="0" w:color="auto"/>
        <w:bottom w:val="none" w:sz="0" w:space="0" w:color="auto"/>
        <w:right w:val="none" w:sz="0" w:space="0" w:color="auto"/>
      </w:divBdr>
    </w:div>
    <w:div w:id="1834295723">
      <w:bodyDiv w:val="1"/>
      <w:marLeft w:val="0"/>
      <w:marRight w:val="0"/>
      <w:marTop w:val="0"/>
      <w:marBottom w:val="0"/>
      <w:divBdr>
        <w:top w:val="none" w:sz="0" w:space="0" w:color="auto"/>
        <w:left w:val="none" w:sz="0" w:space="0" w:color="auto"/>
        <w:bottom w:val="none" w:sz="0" w:space="0" w:color="auto"/>
        <w:right w:val="none" w:sz="0" w:space="0" w:color="auto"/>
      </w:divBdr>
    </w:div>
    <w:div w:id="1981306172">
      <w:bodyDiv w:val="1"/>
      <w:marLeft w:val="0"/>
      <w:marRight w:val="0"/>
      <w:marTop w:val="0"/>
      <w:marBottom w:val="0"/>
      <w:divBdr>
        <w:top w:val="none" w:sz="0" w:space="0" w:color="auto"/>
        <w:left w:val="none" w:sz="0" w:space="0" w:color="auto"/>
        <w:bottom w:val="none" w:sz="0" w:space="0" w:color="auto"/>
        <w:right w:val="none" w:sz="0" w:space="0" w:color="auto"/>
      </w:divBdr>
    </w:div>
    <w:div w:id="2032029413">
      <w:bodyDiv w:val="1"/>
      <w:marLeft w:val="0"/>
      <w:marRight w:val="0"/>
      <w:marTop w:val="0"/>
      <w:marBottom w:val="0"/>
      <w:divBdr>
        <w:top w:val="none" w:sz="0" w:space="0" w:color="auto"/>
        <w:left w:val="none" w:sz="0" w:space="0" w:color="auto"/>
        <w:bottom w:val="none" w:sz="0" w:space="0" w:color="auto"/>
        <w:right w:val="none" w:sz="0" w:space="0" w:color="auto"/>
      </w:divBdr>
    </w:div>
    <w:div w:id="210733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hyperlink" Target="https://abp.championsofchange.gov.in/content/2361branding-of-natural-farming-products-a-case-frommaharashtra" TargetMode="External"/><Relationship Id="rId39" Type="http://schemas.openxmlformats.org/officeDocument/2006/relationships/hyperlink" Target="https://ijarsct.co.in/Paper4444.pdf" TargetMode="External"/><Relationship Id="rId21" Type="http://schemas.openxmlformats.org/officeDocument/2006/relationships/hyperlink" Target="https://or.niscpr.res.in/index.php/IJTK/article/view/2914" TargetMode="External"/><Relationship Id="rId34" Type="http://schemas.openxmlformats.org/officeDocument/2006/relationships/hyperlink" Target="https://www.entomoljournal.com/archives/2018/vol6issue6/PartT/9-1-149-382.pdf" TargetMode="External"/><Relationship Id="rId42" Type="http://schemas.openxmlformats.org/officeDocument/2006/relationships/hyperlink" Target="https://doi.org/10.1038/s41598-024-56544-6" TargetMode="External"/><Relationship Id="rId47" Type="http://schemas.openxmlformats.org/officeDocument/2006/relationships/hyperlink" Target="https://www.niphm.gov.in/IPMPackages/Soyabean.pdf" TargetMode="External"/><Relationship Id="rId50" Type="http://schemas.openxmlformats.org/officeDocument/2006/relationships/hyperlink" Target="https://www.pib.gov.in/PressReleasePage.aspx%20PRID=2116215" TargetMode="External"/><Relationship Id="rId55" Type="http://schemas.openxmlformats.org/officeDocument/2006/relationships/hyperlink" Target="https://doi.org/10.5539/jas.v5n5p1"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agriexchange.apeda.gov.in/Market/MarketNews/ArchiveNews" TargetMode="External"/><Relationship Id="rId41" Type="http://schemas.openxmlformats.org/officeDocument/2006/relationships/hyperlink" Target="https://www.indiamart.com/proddetail/custard-apple-seed-oil-2851392586433.html" TargetMode="External"/><Relationship Id="rId54" Type="http://schemas.openxmlformats.org/officeDocument/2006/relationships/hyperlink" Target="https://doi.org/10.3389/fsufs.2020.584605"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www.tarunaturals.com/post/case-study-of-dr-shashikant-salunkhe" TargetMode="External"/><Relationship Id="rId32" Type="http://schemas.openxmlformats.org/officeDocument/2006/relationships/hyperlink" Target="https://www.indianfarmer.net/uploads/5_3_21.pdf" TargetMode="External"/><Relationship Id="rId37" Type="http://schemas.openxmlformats.org/officeDocument/2006/relationships/hyperlink" Target="https://www.entomoljournal.com/archives/2018/vol6issue1/PartH/5-6-288-327.pdf" TargetMode="External"/><Relationship Id="rId40" Type="http://schemas.openxmlformats.org/officeDocument/2006/relationships/hyperlink" Target="https://ijarsct.co.in/Paper4444.pdf" TargetMode="External"/><Relationship Id="rId45" Type="http://schemas.openxmlformats.org/officeDocument/2006/relationships/hyperlink" Target="https://www.manage.gov.in/publications/eBooks/Natural%20Farming%20for%20Sustainable%20Agriculture.pdf" TargetMode="External"/><Relationship Id="rId53" Type="http://schemas.openxmlformats.org/officeDocument/2006/relationships/hyperlink" Target="https://www.agronomyjournals.com/archives/2024/vol7issue9/PartH/7-9-88-607.pdf"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png"/><Relationship Id="rId28" Type="http://schemas.openxmlformats.org/officeDocument/2006/relationships/hyperlink" Target="https://www.agronomyjournals.com/archives/2024/vol7issue9/PartH/7-9-88-607.pdf" TargetMode="External"/><Relationship Id="rId36" Type="http://schemas.openxmlformats.org/officeDocument/2006/relationships/hyperlink" Target="https://www.entomoljournal.com/archives/2018/vol6issue1/PartH/5-6-288-327.pdf" TargetMode="External"/><Relationship Id="rId49" Type="http://schemas.openxmlformats.org/officeDocument/2006/relationships/hyperlink" Target="https://doi.org/10.1098/rspb.2014.1396" TargetMode="Externa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hyperlink" Target="https://www.indianfarmer.net/uploads/5_3_21.pdf." TargetMode="External"/><Relationship Id="rId44" Type="http://schemas.openxmlformats.org/officeDocument/2006/relationships/hyperlink" Target="https://www.ijcmas.com/9-10-2020/G.%20V.%20Suneel%20Kumar%20and%20O.%20Sarada.pdf" TargetMode="External"/><Relationship Id="rId52" Type="http://schemas.openxmlformats.org/officeDocument/2006/relationships/hyperlink" Target="https://www.agronomyjournals.com/archives/2024/vol7issue9/PartH/7-9-88-607.pdf" TargetMode="External"/><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hyperlink" Target="https://www.agronomyjournals.com/archives/2024/vol7issue9/PartH/7-9-88-607.pdf." TargetMode="External"/><Relationship Id="rId30" Type="http://schemas.openxmlformats.org/officeDocument/2006/relationships/hyperlink" Target="https://www.indianfarmer.net/uploads/5_3_21.pdf" TargetMode="External"/><Relationship Id="rId35" Type="http://schemas.openxmlformats.org/officeDocument/2006/relationships/hyperlink" Target="https://www.entomoljournal.com/archives/2018/vol6issue6/PartT/9-1-149-382.pdf" TargetMode="External"/><Relationship Id="rId43" Type="http://schemas.openxmlformats.org/officeDocument/2006/relationships/hyperlink" Target="https://doi.org/10.1080/03066150.2016.1276450" TargetMode="External"/><Relationship Id="rId48" Type="http://schemas.openxmlformats.org/officeDocument/2006/relationships/hyperlink" Target="https://doi.org/10.3389/fclim.2019.00008"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pib.gov.in/PressReleasePage.aspx?PRID=2116215"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yperlink" Target="https://www.nabard.org/hindi/auth/writereaddata/tender/0402254155NRS%2048_Documenting%20Cases%20of%20Successful%20Farmers%20Adopting%20Indigenous,%20Climate%20Resilient%20and%20Sustainable%20Farming%20Practices%20in%20India%201.pdf" TargetMode="External"/><Relationship Id="rId33" Type="http://schemas.openxmlformats.org/officeDocument/2006/relationships/hyperlink" Target="https://doi.org/10.1584/jpestics.D12-001" TargetMode="External"/><Relationship Id="rId38" Type="http://schemas.openxmlformats.org/officeDocument/2006/relationships/hyperlink" Target="https://www.fortunejournals.com/articles/green-copper-nanopesticide-synthesized-by-using-annona-squamosa-l-seed-and-their-effica" TargetMode="External"/><Relationship Id="rId46" Type="http://schemas.openxmlformats.org/officeDocument/2006/relationships/hyperlink" Target="https://www.niphm.gov.in/IPMPackages/Soyabean.pdf." TargetMode="External"/><Relationship Id="rId59" Type="http://schemas.openxmlformats.org/officeDocument/2006/relationships/footer" Target="footer2.xml"/></Relationships>
</file>

<file path=word/diagrams/_rels/data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D13AD9-1B10-4FB9-80E2-C3F7434FEF02}"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en-IN"/>
        </a:p>
      </dgm:t>
    </dgm:pt>
    <dgm:pt modelId="{FD702942-64D4-462B-8FC1-4EADE41A9126}">
      <dgm:prSet phldrT="[Text]" phldr="0" custT="1"/>
      <dgm:spPr>
        <a:xfrm rot="5400000">
          <a:off x="2547460" y="76340"/>
          <a:ext cx="1147421" cy="998256"/>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sz="1200" b="0" i="0" dirty="0">
              <a:solidFill>
                <a:sysClr val="window" lastClr="FFFFFF"/>
              </a:solidFill>
              <a:latin typeface="Calibri" panose="020F0502020204030204"/>
              <a:ea typeface="+mn-ea"/>
              <a:cs typeface="+mn-cs"/>
            </a:rPr>
            <a:t>Reduced pollution</a:t>
          </a:r>
        </a:p>
      </dgm:t>
    </dgm:pt>
    <dgm:pt modelId="{08668F2E-C5F3-49AF-8520-D134729C8482}" type="parTrans" cxnId="{EB79DF2B-5B4D-4DAF-8A35-35DAA2BCE21B}">
      <dgm:prSet/>
      <dgm:spPr/>
      <dgm:t>
        <a:bodyPr/>
        <a:lstStyle/>
        <a:p>
          <a:endParaRPr lang="en-IN" b="0" i="0"/>
        </a:p>
      </dgm:t>
    </dgm:pt>
    <dgm:pt modelId="{B8F2FC86-BC10-470E-A1B5-4122D69A9385}" type="sibTrans" cxnId="{EB79DF2B-5B4D-4DAF-8A35-35DAA2BCE21B}">
      <dgm:prSet/>
      <dgm:spPr>
        <a:xfrm rot="5400000">
          <a:off x="1469343" y="76340"/>
          <a:ext cx="1147421" cy="998256"/>
        </a:xfrm>
        <a:solidFill>
          <a:srgbClr val="21212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b="0" i="0" dirty="0">
              <a:solidFill>
                <a:sysClr val="window" lastClr="FFFFFF"/>
              </a:solidFill>
              <a:latin typeface="Calibri" panose="020F0502020204030204"/>
              <a:ea typeface="+mn-ea"/>
              <a:cs typeface="+mn-cs"/>
            </a:rPr>
            <a:t>Premium pricing and nutrient rich produce</a:t>
          </a:r>
        </a:p>
      </dgm:t>
    </dgm:pt>
    <dgm:pt modelId="{43F799DF-D274-40DE-B834-761681380BEA}">
      <dgm:prSet phldrT="[Text]" phldr="0"/>
      <dgm:spPr>
        <a:xfrm rot="5400000">
          <a:off x="2006336" y="1050271"/>
          <a:ext cx="1147421" cy="998256"/>
        </a:xfrm>
        <a:solidFill>
          <a:srgbClr val="A2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b="0" i="0" dirty="0">
              <a:solidFill>
                <a:sysClr val="window" lastClr="FFFFFF"/>
              </a:solidFill>
              <a:latin typeface="Calibri" panose="020F0502020204030204"/>
              <a:ea typeface="+mn-ea"/>
              <a:cs typeface="+mn-cs"/>
            </a:rPr>
            <a:t>Benefits of natural farming</a:t>
          </a:r>
        </a:p>
      </dgm:t>
    </dgm:pt>
    <dgm:pt modelId="{AE10E341-61D9-467E-BE8B-CF27FD6AC3F1}" type="parTrans" cxnId="{D9B4845E-97E2-425C-BED5-6A2972FC6AAE}">
      <dgm:prSet/>
      <dgm:spPr/>
      <dgm:t>
        <a:bodyPr/>
        <a:lstStyle/>
        <a:p>
          <a:endParaRPr lang="en-IN" b="0" i="0"/>
        </a:p>
      </dgm:t>
    </dgm:pt>
    <dgm:pt modelId="{9214EAFC-29C5-4EA9-B4F8-65F75E6B5E11}" type="sibTrans" cxnId="{D9B4845E-97E2-425C-BED5-6A2972FC6AAE}">
      <dgm:prSet/>
      <dgm:spPr>
        <a:xfrm rot="5400000">
          <a:off x="3084453" y="1050271"/>
          <a:ext cx="1147421" cy="99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b="0" i="0" dirty="0">
              <a:solidFill>
                <a:sysClr val="window" lastClr="FFFFFF"/>
              </a:solidFill>
              <a:latin typeface="Calibri" panose="020F0502020204030204"/>
              <a:ea typeface="+mn-ea"/>
              <a:cs typeface="+mn-cs"/>
            </a:rPr>
            <a:t>Soil health by improving organic matter</a:t>
          </a:r>
        </a:p>
      </dgm:t>
    </dgm:pt>
    <dgm:pt modelId="{1BD184B1-3A9D-4742-A434-C5D9F92315B2}">
      <dgm:prSet phldrT="[Text]" phldr="0" custT="1"/>
      <dgm:spPr>
        <a:xfrm rot="5400000">
          <a:off x="2547460" y="1951719"/>
          <a:ext cx="1147421" cy="1143223"/>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sz="1100" b="0" i="0" dirty="0">
              <a:solidFill>
                <a:sysClr val="window" lastClr="FFFFFF"/>
              </a:solidFill>
              <a:latin typeface="Calibri" panose="020F0502020204030204"/>
              <a:ea typeface="+mn-ea"/>
              <a:cs typeface="+mn-cs"/>
            </a:rPr>
            <a:t>Biodiversity by avoiding monoculture and chemicals </a:t>
          </a:r>
        </a:p>
      </dgm:t>
    </dgm:pt>
    <dgm:pt modelId="{B76B5CD6-63CE-44FC-B8C4-3EC4B351B6FA}" type="parTrans" cxnId="{EE8171D2-D2A1-4111-962D-9A049F5F5520}">
      <dgm:prSet/>
      <dgm:spPr/>
      <dgm:t>
        <a:bodyPr/>
        <a:lstStyle/>
        <a:p>
          <a:endParaRPr lang="en-IN" b="0" i="0"/>
        </a:p>
      </dgm:t>
    </dgm:pt>
    <dgm:pt modelId="{9D79E89D-648C-433A-9A6B-628BD18B5302}" type="sibTrans" cxnId="{EE8171D2-D2A1-4111-962D-9A049F5F5520}">
      <dgm:prSet/>
      <dgm:spPr>
        <a:xfrm rot="5400000">
          <a:off x="1469343" y="2024202"/>
          <a:ext cx="1147421" cy="998256"/>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IN" b="0" i="0" dirty="0">
              <a:solidFill>
                <a:sysClr val="window" lastClr="FFFFFF"/>
              </a:solidFill>
              <a:latin typeface="Calibri" panose="020F0502020204030204"/>
              <a:ea typeface="+mn-ea"/>
              <a:cs typeface="+mn-cs"/>
            </a:rPr>
            <a:t>Water-conservation by mulching and no -till</a:t>
          </a:r>
        </a:p>
      </dgm:t>
    </dgm:pt>
    <dgm:pt modelId="{56319616-F2FA-48F3-BE76-A2BFB2D8F10D}" type="pres">
      <dgm:prSet presAssocID="{CED13AD9-1B10-4FB9-80E2-C3F7434FEF02}" presName="Name0" presStyleCnt="0">
        <dgm:presLayoutVars>
          <dgm:chMax/>
          <dgm:chPref/>
          <dgm:dir/>
          <dgm:animLvl val="lvl"/>
        </dgm:presLayoutVars>
      </dgm:prSet>
      <dgm:spPr/>
      <dgm:t>
        <a:bodyPr/>
        <a:lstStyle/>
        <a:p>
          <a:endParaRPr lang="en-US"/>
        </a:p>
      </dgm:t>
    </dgm:pt>
    <dgm:pt modelId="{307FEDC9-CB9F-447A-81E4-C7C48D755422}" type="pres">
      <dgm:prSet presAssocID="{FD702942-64D4-462B-8FC1-4EADE41A9126}" presName="composite" presStyleCnt="0"/>
      <dgm:spPr/>
    </dgm:pt>
    <dgm:pt modelId="{F3E03F89-5968-4185-A2B3-EE508637D473}" type="pres">
      <dgm:prSet presAssocID="{FD702942-64D4-462B-8FC1-4EADE41A9126}" presName="Parent1" presStyleLbl="node1" presStyleIdx="0" presStyleCnt="6">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3AC2DCF8-52AE-4D73-B222-403F0F390CF6}" type="pres">
      <dgm:prSet presAssocID="{FD702942-64D4-462B-8FC1-4EADE41A9126}" presName="Childtext1" presStyleLbl="revTx" presStyleIdx="0" presStyleCnt="3">
        <dgm:presLayoutVars>
          <dgm:chMax val="0"/>
          <dgm:chPref val="0"/>
          <dgm:bulletEnabled val="1"/>
        </dgm:presLayoutVars>
      </dgm:prSet>
      <dgm:spPr>
        <a:xfrm>
          <a:off x="3650591" y="231242"/>
          <a:ext cx="1280522" cy="688452"/>
        </a:xfrm>
        <a:prstGeom prst="rect">
          <a:avLst/>
        </a:prstGeom>
        <a:noFill/>
        <a:ln>
          <a:noFill/>
        </a:ln>
        <a:effectLst/>
      </dgm:spPr>
    </dgm:pt>
    <dgm:pt modelId="{7932FCCF-79E4-4A93-818E-0546E5560439}" type="pres">
      <dgm:prSet presAssocID="{FD702942-64D4-462B-8FC1-4EADE41A9126}" presName="BalanceSpacing" presStyleCnt="0"/>
      <dgm:spPr/>
    </dgm:pt>
    <dgm:pt modelId="{3B7BBB2B-AB35-401A-9B92-7C7B5DC80C1A}" type="pres">
      <dgm:prSet presAssocID="{FD702942-64D4-462B-8FC1-4EADE41A9126}" presName="BalanceSpacing1" presStyleCnt="0"/>
      <dgm:spPr/>
    </dgm:pt>
    <dgm:pt modelId="{EE2F90D7-0ABB-4218-8455-3E2CE1BAA1D7}" type="pres">
      <dgm:prSet presAssocID="{B8F2FC86-BC10-470E-A1B5-4122D69A9385}" presName="Accent1Text" presStyleLbl="node1" presStyleIdx="1" presStyleCnt="6"/>
      <dgm:spPr>
        <a:prstGeom prst="hexagon">
          <a:avLst>
            <a:gd name="adj" fmla="val 25000"/>
            <a:gd name="vf" fmla="val 115470"/>
          </a:avLst>
        </a:prstGeom>
      </dgm:spPr>
      <dgm:t>
        <a:bodyPr/>
        <a:lstStyle/>
        <a:p>
          <a:endParaRPr lang="en-US"/>
        </a:p>
      </dgm:t>
    </dgm:pt>
    <dgm:pt modelId="{F73C28B7-6C76-4A8E-A15C-4227A7CE24E7}" type="pres">
      <dgm:prSet presAssocID="{B8F2FC86-BC10-470E-A1B5-4122D69A9385}" presName="spaceBetweenRectangles" presStyleCnt="0"/>
      <dgm:spPr/>
    </dgm:pt>
    <dgm:pt modelId="{80A3779C-7EF6-4DDF-BCB2-E9C3643C212F}" type="pres">
      <dgm:prSet presAssocID="{43F799DF-D274-40DE-B834-761681380BEA}" presName="composite" presStyleCnt="0"/>
      <dgm:spPr/>
    </dgm:pt>
    <dgm:pt modelId="{9BD0E896-3F9E-45B0-AB16-05559C4ACB45}" type="pres">
      <dgm:prSet presAssocID="{43F799DF-D274-40DE-B834-761681380BEA}" presName="Parent1" presStyleLbl="node1" presStyleIdx="2" presStyleCnt="6">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3B7C43AC-E571-4703-B467-8626719857A4}" type="pres">
      <dgm:prSet presAssocID="{43F799DF-D274-40DE-B834-761681380BEA}" presName="Childtext1" presStyleLbl="revTx" presStyleIdx="1" presStyleCnt="3">
        <dgm:presLayoutVars>
          <dgm:chMax val="0"/>
          <dgm:chPref val="0"/>
          <dgm:bulletEnabled val="1"/>
        </dgm:presLayoutVars>
      </dgm:prSet>
      <dgm:spPr>
        <a:xfrm>
          <a:off x="800396" y="1205173"/>
          <a:ext cx="1239215" cy="688452"/>
        </a:xfrm>
        <a:prstGeom prst="rect">
          <a:avLst/>
        </a:prstGeom>
        <a:noFill/>
        <a:ln>
          <a:noFill/>
        </a:ln>
        <a:effectLst/>
      </dgm:spPr>
    </dgm:pt>
    <dgm:pt modelId="{5853BF09-045D-4EAC-8F20-3E9A311426B2}" type="pres">
      <dgm:prSet presAssocID="{43F799DF-D274-40DE-B834-761681380BEA}" presName="BalanceSpacing" presStyleCnt="0"/>
      <dgm:spPr/>
    </dgm:pt>
    <dgm:pt modelId="{2F3A2EDE-B45F-4FD1-A2DD-AB7E1039062C}" type="pres">
      <dgm:prSet presAssocID="{43F799DF-D274-40DE-B834-761681380BEA}" presName="BalanceSpacing1" presStyleCnt="0"/>
      <dgm:spPr/>
    </dgm:pt>
    <dgm:pt modelId="{792E4508-61E9-4A88-83A5-6CF010DF2231}" type="pres">
      <dgm:prSet presAssocID="{9214EAFC-29C5-4EA9-B4F8-65F75E6B5E11}" presName="Accent1Text" presStyleLbl="node1" presStyleIdx="3" presStyleCnt="6"/>
      <dgm:spPr>
        <a:prstGeom prst="hexagon">
          <a:avLst>
            <a:gd name="adj" fmla="val 25000"/>
            <a:gd name="vf" fmla="val 115470"/>
          </a:avLst>
        </a:prstGeom>
      </dgm:spPr>
      <dgm:t>
        <a:bodyPr/>
        <a:lstStyle/>
        <a:p>
          <a:endParaRPr lang="en-US"/>
        </a:p>
      </dgm:t>
    </dgm:pt>
    <dgm:pt modelId="{57FA000B-F2DD-42EF-9124-7DFD333183FC}" type="pres">
      <dgm:prSet presAssocID="{9214EAFC-29C5-4EA9-B4F8-65F75E6B5E11}" presName="spaceBetweenRectangles" presStyleCnt="0"/>
      <dgm:spPr/>
    </dgm:pt>
    <dgm:pt modelId="{81E1E3F0-B6F7-4842-ACF0-5BE4A3BB3C56}" type="pres">
      <dgm:prSet presAssocID="{1BD184B1-3A9D-4742-A434-C5D9F92315B2}" presName="composite" presStyleCnt="0"/>
      <dgm:spPr/>
    </dgm:pt>
    <dgm:pt modelId="{E8223D34-09A5-46A3-868A-A20BE185FDAD}" type="pres">
      <dgm:prSet presAssocID="{1BD184B1-3A9D-4742-A434-C5D9F92315B2}" presName="Parent1" presStyleLbl="node1" presStyleIdx="4" presStyleCnt="6" custScaleX="114522">
        <dgm:presLayoutVars>
          <dgm:chMax val="1"/>
          <dgm:chPref val="1"/>
          <dgm:bulletEnabled val="1"/>
        </dgm:presLayoutVars>
      </dgm:prSet>
      <dgm:spPr>
        <a:prstGeom prst="hexagon">
          <a:avLst>
            <a:gd name="adj" fmla="val 25000"/>
            <a:gd name="vf" fmla="val 115470"/>
          </a:avLst>
        </a:prstGeom>
      </dgm:spPr>
      <dgm:t>
        <a:bodyPr/>
        <a:lstStyle/>
        <a:p>
          <a:endParaRPr lang="en-US"/>
        </a:p>
      </dgm:t>
    </dgm:pt>
    <dgm:pt modelId="{85C2510F-D4EA-4F1D-9C9B-1554065407AD}" type="pres">
      <dgm:prSet presAssocID="{1BD184B1-3A9D-4742-A434-C5D9F92315B2}" presName="Childtext1" presStyleLbl="revTx" presStyleIdx="2" presStyleCnt="3">
        <dgm:presLayoutVars>
          <dgm:chMax val="0"/>
          <dgm:chPref val="0"/>
          <dgm:bulletEnabled val="1"/>
        </dgm:presLayoutVars>
      </dgm:prSet>
      <dgm:spPr>
        <a:xfrm>
          <a:off x="3650591" y="2179104"/>
          <a:ext cx="1280522" cy="688452"/>
        </a:xfrm>
        <a:prstGeom prst="rect">
          <a:avLst/>
        </a:prstGeom>
        <a:noFill/>
        <a:ln>
          <a:noFill/>
        </a:ln>
        <a:effectLst/>
      </dgm:spPr>
    </dgm:pt>
    <dgm:pt modelId="{800F2379-44C0-487A-8EB2-6AF37CDD1512}" type="pres">
      <dgm:prSet presAssocID="{1BD184B1-3A9D-4742-A434-C5D9F92315B2}" presName="BalanceSpacing" presStyleCnt="0"/>
      <dgm:spPr/>
    </dgm:pt>
    <dgm:pt modelId="{7EA5EE6D-F22A-4CE3-B4BF-CE5C51B5DB6B}" type="pres">
      <dgm:prSet presAssocID="{1BD184B1-3A9D-4742-A434-C5D9F92315B2}" presName="BalanceSpacing1" presStyleCnt="0"/>
      <dgm:spPr/>
    </dgm:pt>
    <dgm:pt modelId="{F0A30184-4B23-4205-907E-948E35413D4B}" type="pres">
      <dgm:prSet presAssocID="{9D79E89D-648C-433A-9A6B-628BD18B5302}" presName="Accent1Text" presStyleLbl="node1" presStyleIdx="5" presStyleCnt="6"/>
      <dgm:spPr>
        <a:prstGeom prst="hexagon">
          <a:avLst>
            <a:gd name="adj" fmla="val 25000"/>
            <a:gd name="vf" fmla="val 115470"/>
          </a:avLst>
        </a:prstGeom>
      </dgm:spPr>
      <dgm:t>
        <a:bodyPr/>
        <a:lstStyle/>
        <a:p>
          <a:endParaRPr lang="en-US"/>
        </a:p>
      </dgm:t>
    </dgm:pt>
  </dgm:ptLst>
  <dgm:cxnLst>
    <dgm:cxn modelId="{7C935FD2-BDFE-4A0E-8BC8-370621CDB865}" type="presOf" srcId="{B8F2FC86-BC10-470E-A1B5-4122D69A9385}" destId="{EE2F90D7-0ABB-4218-8455-3E2CE1BAA1D7}" srcOrd="0" destOrd="0" presId="urn:microsoft.com/office/officeart/2008/layout/AlternatingHexagons"/>
    <dgm:cxn modelId="{EB79DF2B-5B4D-4DAF-8A35-35DAA2BCE21B}" srcId="{CED13AD9-1B10-4FB9-80E2-C3F7434FEF02}" destId="{FD702942-64D4-462B-8FC1-4EADE41A9126}" srcOrd="0" destOrd="0" parTransId="{08668F2E-C5F3-49AF-8520-D134729C8482}" sibTransId="{B8F2FC86-BC10-470E-A1B5-4122D69A9385}"/>
    <dgm:cxn modelId="{FE59F69D-4B9F-438E-9FC6-556D0C4529FB}" type="presOf" srcId="{43F799DF-D274-40DE-B834-761681380BEA}" destId="{9BD0E896-3F9E-45B0-AB16-05559C4ACB45}" srcOrd="0" destOrd="0" presId="urn:microsoft.com/office/officeart/2008/layout/AlternatingHexagons"/>
    <dgm:cxn modelId="{EE8171D2-D2A1-4111-962D-9A049F5F5520}" srcId="{CED13AD9-1B10-4FB9-80E2-C3F7434FEF02}" destId="{1BD184B1-3A9D-4742-A434-C5D9F92315B2}" srcOrd="2" destOrd="0" parTransId="{B76B5CD6-63CE-44FC-B8C4-3EC4B351B6FA}" sibTransId="{9D79E89D-648C-433A-9A6B-628BD18B5302}"/>
    <dgm:cxn modelId="{E87136C2-FC14-4B54-9835-68173CB323A0}" type="presOf" srcId="{9D79E89D-648C-433A-9A6B-628BD18B5302}" destId="{F0A30184-4B23-4205-907E-948E35413D4B}" srcOrd="0" destOrd="0" presId="urn:microsoft.com/office/officeart/2008/layout/AlternatingHexagons"/>
    <dgm:cxn modelId="{D9B4845E-97E2-425C-BED5-6A2972FC6AAE}" srcId="{CED13AD9-1B10-4FB9-80E2-C3F7434FEF02}" destId="{43F799DF-D274-40DE-B834-761681380BEA}" srcOrd="1" destOrd="0" parTransId="{AE10E341-61D9-467E-BE8B-CF27FD6AC3F1}" sibTransId="{9214EAFC-29C5-4EA9-B4F8-65F75E6B5E11}"/>
    <dgm:cxn modelId="{A87FC9E2-13D1-4977-A849-2973CD8FA675}" type="presOf" srcId="{9214EAFC-29C5-4EA9-B4F8-65F75E6B5E11}" destId="{792E4508-61E9-4A88-83A5-6CF010DF2231}" srcOrd="0" destOrd="0" presId="urn:microsoft.com/office/officeart/2008/layout/AlternatingHexagons"/>
    <dgm:cxn modelId="{B92CC8DE-73A8-46B0-8F56-6CB1B71E5A5A}" type="presOf" srcId="{FD702942-64D4-462B-8FC1-4EADE41A9126}" destId="{F3E03F89-5968-4185-A2B3-EE508637D473}" srcOrd="0" destOrd="0" presId="urn:microsoft.com/office/officeart/2008/layout/AlternatingHexagons"/>
    <dgm:cxn modelId="{8D3B11B3-22D6-4431-871D-C5583010B9E2}" type="presOf" srcId="{1BD184B1-3A9D-4742-A434-C5D9F92315B2}" destId="{E8223D34-09A5-46A3-868A-A20BE185FDAD}" srcOrd="0" destOrd="0" presId="urn:microsoft.com/office/officeart/2008/layout/AlternatingHexagons"/>
    <dgm:cxn modelId="{01444757-C0FC-410A-9E77-F19D7DDB0D43}" type="presOf" srcId="{CED13AD9-1B10-4FB9-80E2-C3F7434FEF02}" destId="{56319616-F2FA-48F3-BE76-A2BFB2D8F10D}" srcOrd="0" destOrd="0" presId="urn:microsoft.com/office/officeart/2008/layout/AlternatingHexagons"/>
    <dgm:cxn modelId="{1646DF1C-F826-4991-9D0C-04EA40ADE46E}" type="presParOf" srcId="{56319616-F2FA-48F3-BE76-A2BFB2D8F10D}" destId="{307FEDC9-CB9F-447A-81E4-C7C48D755422}" srcOrd="0" destOrd="0" presId="urn:microsoft.com/office/officeart/2008/layout/AlternatingHexagons"/>
    <dgm:cxn modelId="{8C8A87DC-34EA-4C4B-B095-F46EECD9DDA7}" type="presParOf" srcId="{307FEDC9-CB9F-447A-81E4-C7C48D755422}" destId="{F3E03F89-5968-4185-A2B3-EE508637D473}" srcOrd="0" destOrd="0" presId="urn:microsoft.com/office/officeart/2008/layout/AlternatingHexagons"/>
    <dgm:cxn modelId="{657BD8DB-D516-4118-AD3C-B0B3F4C86713}" type="presParOf" srcId="{307FEDC9-CB9F-447A-81E4-C7C48D755422}" destId="{3AC2DCF8-52AE-4D73-B222-403F0F390CF6}" srcOrd="1" destOrd="0" presId="urn:microsoft.com/office/officeart/2008/layout/AlternatingHexagons"/>
    <dgm:cxn modelId="{02CF77B3-F452-4437-A323-A68CA0861943}" type="presParOf" srcId="{307FEDC9-CB9F-447A-81E4-C7C48D755422}" destId="{7932FCCF-79E4-4A93-818E-0546E5560439}" srcOrd="2" destOrd="0" presId="urn:microsoft.com/office/officeart/2008/layout/AlternatingHexagons"/>
    <dgm:cxn modelId="{8BAED65F-45E8-4B53-BB5B-BA7CDA3FABFE}" type="presParOf" srcId="{307FEDC9-CB9F-447A-81E4-C7C48D755422}" destId="{3B7BBB2B-AB35-401A-9B92-7C7B5DC80C1A}" srcOrd="3" destOrd="0" presId="urn:microsoft.com/office/officeart/2008/layout/AlternatingHexagons"/>
    <dgm:cxn modelId="{F4E653D1-5623-4390-933D-0C61F7F3819A}" type="presParOf" srcId="{307FEDC9-CB9F-447A-81E4-C7C48D755422}" destId="{EE2F90D7-0ABB-4218-8455-3E2CE1BAA1D7}" srcOrd="4" destOrd="0" presId="urn:microsoft.com/office/officeart/2008/layout/AlternatingHexagons"/>
    <dgm:cxn modelId="{82B9061F-22E6-4FA6-9070-A4E9D3A5E236}" type="presParOf" srcId="{56319616-F2FA-48F3-BE76-A2BFB2D8F10D}" destId="{F73C28B7-6C76-4A8E-A15C-4227A7CE24E7}" srcOrd="1" destOrd="0" presId="urn:microsoft.com/office/officeart/2008/layout/AlternatingHexagons"/>
    <dgm:cxn modelId="{25A784D2-62FC-4CD6-A112-E58C6F97D350}" type="presParOf" srcId="{56319616-F2FA-48F3-BE76-A2BFB2D8F10D}" destId="{80A3779C-7EF6-4DDF-BCB2-E9C3643C212F}" srcOrd="2" destOrd="0" presId="urn:microsoft.com/office/officeart/2008/layout/AlternatingHexagons"/>
    <dgm:cxn modelId="{4C76CC09-42AB-46ED-BDBA-692EEBC6ACBF}" type="presParOf" srcId="{80A3779C-7EF6-4DDF-BCB2-E9C3643C212F}" destId="{9BD0E896-3F9E-45B0-AB16-05559C4ACB45}" srcOrd="0" destOrd="0" presId="urn:microsoft.com/office/officeart/2008/layout/AlternatingHexagons"/>
    <dgm:cxn modelId="{5DD6B2E3-599C-46B3-B1D0-9FF566ADFFCE}" type="presParOf" srcId="{80A3779C-7EF6-4DDF-BCB2-E9C3643C212F}" destId="{3B7C43AC-E571-4703-B467-8626719857A4}" srcOrd="1" destOrd="0" presId="urn:microsoft.com/office/officeart/2008/layout/AlternatingHexagons"/>
    <dgm:cxn modelId="{A6FC9E00-A493-413B-9823-F67DE8E98BC7}" type="presParOf" srcId="{80A3779C-7EF6-4DDF-BCB2-E9C3643C212F}" destId="{5853BF09-045D-4EAC-8F20-3E9A311426B2}" srcOrd="2" destOrd="0" presId="urn:microsoft.com/office/officeart/2008/layout/AlternatingHexagons"/>
    <dgm:cxn modelId="{36F4EAE9-679A-4B9A-8E7C-238A112D7BFD}" type="presParOf" srcId="{80A3779C-7EF6-4DDF-BCB2-E9C3643C212F}" destId="{2F3A2EDE-B45F-4FD1-A2DD-AB7E1039062C}" srcOrd="3" destOrd="0" presId="urn:microsoft.com/office/officeart/2008/layout/AlternatingHexagons"/>
    <dgm:cxn modelId="{6459838D-BD6F-42A4-ABF7-02B8E88F4373}" type="presParOf" srcId="{80A3779C-7EF6-4DDF-BCB2-E9C3643C212F}" destId="{792E4508-61E9-4A88-83A5-6CF010DF2231}" srcOrd="4" destOrd="0" presId="urn:microsoft.com/office/officeart/2008/layout/AlternatingHexagons"/>
    <dgm:cxn modelId="{28EDE1AB-A2BD-417F-8D41-95E5B12DE43E}" type="presParOf" srcId="{56319616-F2FA-48F3-BE76-A2BFB2D8F10D}" destId="{57FA000B-F2DD-42EF-9124-7DFD333183FC}" srcOrd="3" destOrd="0" presId="urn:microsoft.com/office/officeart/2008/layout/AlternatingHexagons"/>
    <dgm:cxn modelId="{A63EBBD7-4FBC-4FE7-B828-61B2F5D56F43}" type="presParOf" srcId="{56319616-F2FA-48F3-BE76-A2BFB2D8F10D}" destId="{81E1E3F0-B6F7-4842-ACF0-5BE4A3BB3C56}" srcOrd="4" destOrd="0" presId="urn:microsoft.com/office/officeart/2008/layout/AlternatingHexagons"/>
    <dgm:cxn modelId="{4B4F844D-71E6-4423-9C78-83DCADE5B847}" type="presParOf" srcId="{81E1E3F0-B6F7-4842-ACF0-5BE4A3BB3C56}" destId="{E8223D34-09A5-46A3-868A-A20BE185FDAD}" srcOrd="0" destOrd="0" presId="urn:microsoft.com/office/officeart/2008/layout/AlternatingHexagons"/>
    <dgm:cxn modelId="{3275433D-AC58-4384-A619-279E1FD7D3E6}" type="presParOf" srcId="{81E1E3F0-B6F7-4842-ACF0-5BE4A3BB3C56}" destId="{85C2510F-D4EA-4F1D-9C9B-1554065407AD}" srcOrd="1" destOrd="0" presId="urn:microsoft.com/office/officeart/2008/layout/AlternatingHexagons"/>
    <dgm:cxn modelId="{B3852E82-0382-4DAD-8953-EBBCCC498A8A}" type="presParOf" srcId="{81E1E3F0-B6F7-4842-ACF0-5BE4A3BB3C56}" destId="{800F2379-44C0-487A-8EB2-6AF37CDD1512}" srcOrd="2" destOrd="0" presId="urn:microsoft.com/office/officeart/2008/layout/AlternatingHexagons"/>
    <dgm:cxn modelId="{25478E18-2486-4D00-B9DC-0D627AA7DA87}" type="presParOf" srcId="{81E1E3F0-B6F7-4842-ACF0-5BE4A3BB3C56}" destId="{7EA5EE6D-F22A-4CE3-B4BF-CE5C51B5DB6B}" srcOrd="3" destOrd="0" presId="urn:microsoft.com/office/officeart/2008/layout/AlternatingHexagons"/>
    <dgm:cxn modelId="{5BD47419-7F8B-46EC-87A0-36A2FFC9698C}" type="presParOf" srcId="{81E1E3F0-B6F7-4842-ACF0-5BE4A3BB3C56}" destId="{F0A30184-4B23-4205-907E-948E35413D4B}" srcOrd="4" destOrd="0" presId="urn:microsoft.com/office/officeart/2008/layout/AlternatingHexagons"/>
  </dgm:cxnLst>
  <dgm:bg/>
  <dgm:whole>
    <a:ln>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864813-848A-4807-886F-08799A26F565}" type="doc">
      <dgm:prSet loTypeId="urn:microsoft.com/office/officeart/2005/8/layout/hList7" loCatId="list" qsTypeId="urn:microsoft.com/office/officeart/2005/8/quickstyle/simple1" qsCatId="simple" csTypeId="urn:microsoft.com/office/officeart/2005/8/colors/accent3_1" csCatId="accent3" phldr="1"/>
      <dgm:spPr/>
      <dgm:t>
        <a:bodyPr/>
        <a:lstStyle/>
        <a:p>
          <a:endParaRPr lang="en-US"/>
        </a:p>
      </dgm:t>
    </dgm:pt>
    <dgm:pt modelId="{AD3954D8-ECA0-4560-ABB3-662D0BA2B86B}">
      <dgm:prSet phldrT="[Text]"/>
      <dgm:spPr>
        <a:solidFill>
          <a:srgbClr val="FF7474"/>
        </a:solidFill>
      </dgm:spPr>
      <dgm:t>
        <a:bodyPr/>
        <a:lstStyle/>
        <a:p>
          <a:r>
            <a:rPr lang="en-US" b="1" dirty="0" err="1"/>
            <a:t>Beejamrit</a:t>
          </a:r>
          <a:r>
            <a:rPr lang="en-US" b="1" dirty="0"/>
            <a:t> (Seed treatment</a:t>
          </a:r>
          <a:r>
            <a:rPr lang="en-US" dirty="0"/>
            <a:t>)</a:t>
          </a:r>
        </a:p>
      </dgm:t>
    </dgm:pt>
    <dgm:pt modelId="{E3056C97-FF5B-4D05-BD96-1506F6F813E4}" type="parTrans" cxnId="{967D57B8-7A82-453C-94D8-8AA48A0DB380}">
      <dgm:prSet/>
      <dgm:spPr/>
      <dgm:t>
        <a:bodyPr/>
        <a:lstStyle/>
        <a:p>
          <a:endParaRPr lang="en-US"/>
        </a:p>
      </dgm:t>
    </dgm:pt>
    <dgm:pt modelId="{CBDD4DDA-D8F7-4534-BFBD-76B7D2310EA1}" type="sibTrans" cxnId="{967D57B8-7A82-453C-94D8-8AA48A0DB380}">
      <dgm:prSet/>
      <dgm:spPr/>
      <dgm:t>
        <a:bodyPr/>
        <a:lstStyle/>
        <a:p>
          <a:endParaRPr lang="en-US"/>
        </a:p>
      </dgm:t>
    </dgm:pt>
    <dgm:pt modelId="{9825CB82-5909-44A7-AB5D-922A9633FDEF}">
      <dgm:prSet phldrT="[Text]"/>
      <dgm:spPr>
        <a:solidFill>
          <a:srgbClr val="FFCE3C"/>
        </a:solidFill>
      </dgm:spPr>
      <dgm:t>
        <a:bodyPr/>
        <a:lstStyle/>
        <a:p>
          <a:r>
            <a:rPr lang="pt-BR" b="1" dirty="0"/>
            <a:t>Jiwamrit </a:t>
          </a:r>
        </a:p>
        <a:p>
          <a:r>
            <a:rPr lang="pt-BR" b="1" dirty="0"/>
            <a:t>( Fungal and bacterial plant disease)</a:t>
          </a:r>
          <a:endParaRPr lang="en-US" dirty="0"/>
        </a:p>
      </dgm:t>
    </dgm:pt>
    <dgm:pt modelId="{77997559-0F7E-49FA-8C16-362ECEAAADE8}" type="parTrans" cxnId="{8681BEA9-DE82-4EB0-8257-0F370A656DF6}">
      <dgm:prSet/>
      <dgm:spPr/>
      <dgm:t>
        <a:bodyPr/>
        <a:lstStyle/>
        <a:p>
          <a:endParaRPr lang="en-US"/>
        </a:p>
      </dgm:t>
    </dgm:pt>
    <dgm:pt modelId="{4BBD5EFD-F6C6-412C-8D59-2273F388F704}" type="sibTrans" cxnId="{8681BEA9-DE82-4EB0-8257-0F370A656DF6}">
      <dgm:prSet/>
      <dgm:spPr/>
      <dgm:t>
        <a:bodyPr/>
        <a:lstStyle/>
        <a:p>
          <a:endParaRPr lang="en-US"/>
        </a:p>
      </dgm:t>
    </dgm:pt>
    <dgm:pt modelId="{484982BD-199D-4276-8706-9F44B9F19BAA}">
      <dgm:prSet phldrT="[Text]"/>
      <dgm:spPr>
        <a:solidFill>
          <a:srgbClr val="118187"/>
        </a:solidFill>
      </dgm:spPr>
      <dgm:t>
        <a:bodyPr/>
        <a:lstStyle/>
        <a:p>
          <a:r>
            <a:rPr lang="en-US" b="1" dirty="0"/>
            <a:t>Mulching (Soil, straw, live)</a:t>
          </a:r>
        </a:p>
      </dgm:t>
    </dgm:pt>
    <dgm:pt modelId="{78CB882B-78D7-4C1F-8D8F-D8D6A2895FFF}" type="parTrans" cxnId="{13BB3AEF-3934-4974-B98B-5AD06DDCB931}">
      <dgm:prSet/>
      <dgm:spPr/>
      <dgm:t>
        <a:bodyPr/>
        <a:lstStyle/>
        <a:p>
          <a:endParaRPr lang="en-US"/>
        </a:p>
      </dgm:t>
    </dgm:pt>
    <dgm:pt modelId="{B4FCC4DC-7E8B-4B4C-958A-F0001BD521B8}" type="sibTrans" cxnId="{13BB3AEF-3934-4974-B98B-5AD06DDCB931}">
      <dgm:prSet/>
      <dgm:spPr/>
      <dgm:t>
        <a:bodyPr/>
        <a:lstStyle/>
        <a:p>
          <a:endParaRPr lang="en-US"/>
        </a:p>
      </dgm:t>
    </dgm:pt>
    <dgm:pt modelId="{4C721E47-39A3-4BBA-9088-F74DB20EF604}">
      <dgm:prSet/>
      <dgm:spPr>
        <a:solidFill>
          <a:schemeClr val="accent2">
            <a:lumMod val="20000"/>
            <a:lumOff val="80000"/>
          </a:schemeClr>
        </a:solidFill>
      </dgm:spPr>
      <dgm:t>
        <a:bodyPr/>
        <a:lstStyle/>
        <a:p>
          <a:r>
            <a:rPr lang="en-US" b="1" dirty="0" err="1"/>
            <a:t>Wapasa</a:t>
          </a:r>
          <a:r>
            <a:rPr lang="en-US" b="1" dirty="0"/>
            <a:t> (Soil moisture </a:t>
          </a:r>
          <a:r>
            <a:rPr lang="en-IN" b="1" dirty="0"/>
            <a:t>50 % air and 50 % water vapours </a:t>
          </a:r>
          <a:r>
            <a:rPr lang="en-US" b="1" dirty="0"/>
            <a:t>)</a:t>
          </a:r>
        </a:p>
      </dgm:t>
    </dgm:pt>
    <dgm:pt modelId="{6124138E-6D8D-4D00-9B4D-FC06F099D2A1}" type="parTrans" cxnId="{2042F202-5B2C-4654-BC0F-0F0E5A195E0A}">
      <dgm:prSet/>
      <dgm:spPr/>
      <dgm:t>
        <a:bodyPr/>
        <a:lstStyle/>
        <a:p>
          <a:endParaRPr lang="en-US"/>
        </a:p>
      </dgm:t>
    </dgm:pt>
    <dgm:pt modelId="{29BF1D6E-5395-46E2-A383-95E22166AEDF}" type="sibTrans" cxnId="{2042F202-5B2C-4654-BC0F-0F0E5A195E0A}">
      <dgm:prSet/>
      <dgm:spPr/>
      <dgm:t>
        <a:bodyPr/>
        <a:lstStyle/>
        <a:p>
          <a:endParaRPr lang="en-US"/>
        </a:p>
      </dgm:t>
    </dgm:pt>
    <dgm:pt modelId="{0DA65F59-4F6F-4BF8-8CCA-87A429ECD3B5}">
      <dgm:prSet/>
      <dgm:spPr>
        <a:solidFill>
          <a:srgbClr val="92D050"/>
        </a:solidFill>
      </dgm:spPr>
      <dgm:t>
        <a:bodyPr/>
        <a:lstStyle/>
        <a:p>
          <a:pPr>
            <a:buNone/>
          </a:pPr>
          <a:r>
            <a:rPr lang="en-US" b="1" dirty="0" err="1">
              <a:solidFill>
                <a:srgbClr val="000000"/>
              </a:solidFill>
              <a:effectLst/>
              <a:latin typeface="Calibri" panose="020F0502020204030204" pitchFamily="34" charset="0"/>
              <a:ea typeface="Calibri" panose="020F0502020204030204" pitchFamily="34" charset="0"/>
              <a:cs typeface="Mangal" panose="02040503050203030202" pitchFamily="18" charset="0"/>
            </a:rPr>
            <a:t>Ghanjeevamrut</a:t>
          </a:r>
          <a:endParaRPr lang="en-US" b="1" dirty="0">
            <a:solidFill>
              <a:srgbClr val="000000"/>
            </a:solidFill>
            <a:effectLst/>
            <a:latin typeface="Calibri" panose="020F0502020204030204" pitchFamily="34" charset="0"/>
            <a:ea typeface="Calibri" panose="020F0502020204030204" pitchFamily="34" charset="0"/>
            <a:cs typeface="Mangal" panose="02040503050203030202" pitchFamily="18" charset="0"/>
          </a:endParaRPr>
        </a:p>
        <a:p>
          <a:pPr>
            <a:buNone/>
          </a:pPr>
          <a:r>
            <a:rPr lang="en-US" b="1" dirty="0"/>
            <a:t>(It adds nutrient)</a:t>
          </a:r>
          <a:endParaRPr lang="en-IN" dirty="0">
            <a:effectLst/>
            <a:latin typeface="Calibri" panose="020F0502020204030204" pitchFamily="34" charset="0"/>
            <a:ea typeface="Calibri" panose="020F0502020204030204" pitchFamily="34" charset="0"/>
            <a:cs typeface="Mangal" panose="02040503050203030202" pitchFamily="18" charset="0"/>
          </a:endParaRPr>
        </a:p>
      </dgm:t>
    </dgm:pt>
    <dgm:pt modelId="{612198D6-2393-462D-8089-A2C9E2E25168}" type="parTrans" cxnId="{B2EECDE0-33F1-42F2-B3B8-262EEBF5B7F3}">
      <dgm:prSet/>
      <dgm:spPr/>
      <dgm:t>
        <a:bodyPr/>
        <a:lstStyle/>
        <a:p>
          <a:endParaRPr lang="en-IN"/>
        </a:p>
      </dgm:t>
    </dgm:pt>
    <dgm:pt modelId="{266F58C0-4245-4D96-A1D6-F65E8C8F1A47}" type="sibTrans" cxnId="{B2EECDE0-33F1-42F2-B3B8-262EEBF5B7F3}">
      <dgm:prSet/>
      <dgm:spPr/>
      <dgm:t>
        <a:bodyPr/>
        <a:lstStyle/>
        <a:p>
          <a:endParaRPr lang="en-IN"/>
        </a:p>
      </dgm:t>
    </dgm:pt>
    <dgm:pt modelId="{EBE2C14B-9398-4369-9BB2-813924A1E9F8}" type="pres">
      <dgm:prSet presAssocID="{0D864813-848A-4807-886F-08799A26F565}" presName="Name0" presStyleCnt="0">
        <dgm:presLayoutVars>
          <dgm:dir/>
          <dgm:resizeHandles val="exact"/>
        </dgm:presLayoutVars>
      </dgm:prSet>
      <dgm:spPr/>
      <dgm:t>
        <a:bodyPr/>
        <a:lstStyle/>
        <a:p>
          <a:endParaRPr lang="en-US"/>
        </a:p>
      </dgm:t>
    </dgm:pt>
    <dgm:pt modelId="{C0FAF495-DDBA-48FD-B415-A5CF01BB5F13}" type="pres">
      <dgm:prSet presAssocID="{0D864813-848A-4807-886F-08799A26F565}" presName="fgShape" presStyleLbl="fgShp" presStyleIdx="0" presStyleCnt="1"/>
      <dgm:spPr/>
    </dgm:pt>
    <dgm:pt modelId="{0D783C4B-035C-47ED-BE2F-107CAFF6A5E8}" type="pres">
      <dgm:prSet presAssocID="{0D864813-848A-4807-886F-08799A26F565}" presName="linComp" presStyleCnt="0"/>
      <dgm:spPr/>
    </dgm:pt>
    <dgm:pt modelId="{2DFE959F-5A37-42C1-8806-9A34D096DFCA}" type="pres">
      <dgm:prSet presAssocID="{AD3954D8-ECA0-4560-ABB3-662D0BA2B86B}" presName="compNode" presStyleCnt="0"/>
      <dgm:spPr/>
    </dgm:pt>
    <dgm:pt modelId="{7E490B0F-0DF0-474F-8E8E-6FD1D378BE97}" type="pres">
      <dgm:prSet presAssocID="{AD3954D8-ECA0-4560-ABB3-662D0BA2B86B}" presName="bkgdShape" presStyleLbl="node1" presStyleIdx="0" presStyleCnt="5"/>
      <dgm:spPr/>
      <dgm:t>
        <a:bodyPr/>
        <a:lstStyle/>
        <a:p>
          <a:endParaRPr lang="en-US"/>
        </a:p>
      </dgm:t>
    </dgm:pt>
    <dgm:pt modelId="{CA95986D-EF98-445A-94ED-51C128F99B75}" type="pres">
      <dgm:prSet presAssocID="{AD3954D8-ECA0-4560-ABB3-662D0BA2B86B}" presName="nodeTx" presStyleLbl="node1" presStyleIdx="0" presStyleCnt="5">
        <dgm:presLayoutVars>
          <dgm:bulletEnabled val="1"/>
        </dgm:presLayoutVars>
      </dgm:prSet>
      <dgm:spPr/>
      <dgm:t>
        <a:bodyPr/>
        <a:lstStyle/>
        <a:p>
          <a:endParaRPr lang="en-US"/>
        </a:p>
      </dgm:t>
    </dgm:pt>
    <dgm:pt modelId="{12F26852-51F3-4942-96FE-7032BDF54152}" type="pres">
      <dgm:prSet presAssocID="{AD3954D8-ECA0-4560-ABB3-662D0BA2B86B}" presName="invisiNode" presStyleLbl="node1" presStyleIdx="0" presStyleCnt="5"/>
      <dgm:spPr/>
    </dgm:pt>
    <dgm:pt modelId="{5251E511-850B-425B-8888-6590F171E413}" type="pres">
      <dgm:prSet presAssocID="{AD3954D8-ECA0-4560-ABB3-662D0BA2B86B}"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dgm:spPr>
    </dgm:pt>
    <dgm:pt modelId="{F0FA550C-841A-4FCF-A90F-D0B1FC4F323C}" type="pres">
      <dgm:prSet presAssocID="{CBDD4DDA-D8F7-4534-BFBD-76B7D2310EA1}" presName="sibTrans" presStyleLbl="sibTrans2D1" presStyleIdx="0" presStyleCnt="0"/>
      <dgm:spPr/>
      <dgm:t>
        <a:bodyPr/>
        <a:lstStyle/>
        <a:p>
          <a:endParaRPr lang="en-US"/>
        </a:p>
      </dgm:t>
    </dgm:pt>
    <dgm:pt modelId="{ADBF9315-23FD-4ADD-9535-0AEA4F7A7951}" type="pres">
      <dgm:prSet presAssocID="{9825CB82-5909-44A7-AB5D-922A9633FDEF}" presName="compNode" presStyleCnt="0"/>
      <dgm:spPr/>
    </dgm:pt>
    <dgm:pt modelId="{B42CEE84-E70C-438D-BAB0-D79847DA4295}" type="pres">
      <dgm:prSet presAssocID="{9825CB82-5909-44A7-AB5D-922A9633FDEF}" presName="bkgdShape" presStyleLbl="node1" presStyleIdx="1" presStyleCnt="5" custScaleX="108790"/>
      <dgm:spPr/>
      <dgm:t>
        <a:bodyPr/>
        <a:lstStyle/>
        <a:p>
          <a:endParaRPr lang="en-US"/>
        </a:p>
      </dgm:t>
    </dgm:pt>
    <dgm:pt modelId="{5B1D3BCB-1E19-43CC-9493-2F8C8160E3C1}" type="pres">
      <dgm:prSet presAssocID="{9825CB82-5909-44A7-AB5D-922A9633FDEF}" presName="nodeTx" presStyleLbl="node1" presStyleIdx="1" presStyleCnt="5">
        <dgm:presLayoutVars>
          <dgm:bulletEnabled val="1"/>
        </dgm:presLayoutVars>
      </dgm:prSet>
      <dgm:spPr/>
      <dgm:t>
        <a:bodyPr/>
        <a:lstStyle/>
        <a:p>
          <a:endParaRPr lang="en-US"/>
        </a:p>
      </dgm:t>
    </dgm:pt>
    <dgm:pt modelId="{A8C7AE5B-D8C9-4994-834A-F1A574EB0BDE}" type="pres">
      <dgm:prSet presAssocID="{9825CB82-5909-44A7-AB5D-922A9633FDEF}" presName="invisiNode" presStyleLbl="node1" presStyleIdx="1" presStyleCnt="5"/>
      <dgm:spPr/>
    </dgm:pt>
    <dgm:pt modelId="{42F5624F-C06E-45D4-A2F9-AB2A694FCE12}" type="pres">
      <dgm:prSet presAssocID="{9825CB82-5909-44A7-AB5D-922A9633FDEF}"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dgm:spPr>
    </dgm:pt>
    <dgm:pt modelId="{9976B928-FFBC-4A87-BC42-B68F0C6F8233}" type="pres">
      <dgm:prSet presAssocID="{4BBD5EFD-F6C6-412C-8D59-2273F388F704}" presName="sibTrans" presStyleLbl="sibTrans2D1" presStyleIdx="0" presStyleCnt="0"/>
      <dgm:spPr/>
      <dgm:t>
        <a:bodyPr/>
        <a:lstStyle/>
        <a:p>
          <a:endParaRPr lang="en-US"/>
        </a:p>
      </dgm:t>
    </dgm:pt>
    <dgm:pt modelId="{EEA76559-867C-46E2-A124-8AC2B26370D4}" type="pres">
      <dgm:prSet presAssocID="{484982BD-199D-4276-8706-9F44B9F19BAA}" presName="compNode" presStyleCnt="0"/>
      <dgm:spPr/>
    </dgm:pt>
    <dgm:pt modelId="{E9DF828D-6349-4825-B9FD-A9DAE12DAB40}" type="pres">
      <dgm:prSet presAssocID="{484982BD-199D-4276-8706-9F44B9F19BAA}" presName="bkgdShape" presStyleLbl="node1" presStyleIdx="2" presStyleCnt="5"/>
      <dgm:spPr/>
      <dgm:t>
        <a:bodyPr/>
        <a:lstStyle/>
        <a:p>
          <a:endParaRPr lang="en-US"/>
        </a:p>
      </dgm:t>
    </dgm:pt>
    <dgm:pt modelId="{CF60D5B4-910D-4142-B051-3AC7C9363A7E}" type="pres">
      <dgm:prSet presAssocID="{484982BD-199D-4276-8706-9F44B9F19BAA}" presName="nodeTx" presStyleLbl="node1" presStyleIdx="2" presStyleCnt="5">
        <dgm:presLayoutVars>
          <dgm:bulletEnabled val="1"/>
        </dgm:presLayoutVars>
      </dgm:prSet>
      <dgm:spPr/>
      <dgm:t>
        <a:bodyPr/>
        <a:lstStyle/>
        <a:p>
          <a:endParaRPr lang="en-US"/>
        </a:p>
      </dgm:t>
    </dgm:pt>
    <dgm:pt modelId="{5CFACA57-034D-400E-A0C8-59D3651134F3}" type="pres">
      <dgm:prSet presAssocID="{484982BD-199D-4276-8706-9F44B9F19BAA}" presName="invisiNode" presStyleLbl="node1" presStyleIdx="2" presStyleCnt="5"/>
      <dgm:spPr/>
    </dgm:pt>
    <dgm:pt modelId="{D50FC0CE-D5B8-4BE4-BC4F-33A6718A2459}" type="pres">
      <dgm:prSet presAssocID="{484982BD-199D-4276-8706-9F44B9F19BAA}" presName="imagNode" presStyleLbl="fgImgPlace1" presStyleIdx="2" presStyleCnt="5" custScaleY="87261"/>
      <dgm:spPr>
        <a:blipFill>
          <a:blip xmlns:r="http://schemas.openxmlformats.org/officeDocument/2006/relationships" r:embed="rId3">
            <a:extLst>
              <a:ext uri="{28A0092B-C50C-407E-A947-70E740481C1C}">
                <a14:useLocalDpi xmlns:a14="http://schemas.microsoft.com/office/drawing/2010/main" val="0"/>
              </a:ext>
            </a:extLst>
          </a:blip>
          <a:srcRect/>
          <a:stretch>
            <a:fillRect t="-26000" b="-26000"/>
          </a:stretch>
        </a:blipFill>
      </dgm:spPr>
    </dgm:pt>
    <dgm:pt modelId="{FE727FF2-6ACA-4EA8-AF50-A953D6F94528}" type="pres">
      <dgm:prSet presAssocID="{B4FCC4DC-7E8B-4B4C-958A-F0001BD521B8}" presName="sibTrans" presStyleLbl="sibTrans2D1" presStyleIdx="0" presStyleCnt="0"/>
      <dgm:spPr/>
      <dgm:t>
        <a:bodyPr/>
        <a:lstStyle/>
        <a:p>
          <a:endParaRPr lang="en-US"/>
        </a:p>
      </dgm:t>
    </dgm:pt>
    <dgm:pt modelId="{601EA1B0-F059-431A-A6C2-1215328C8F59}" type="pres">
      <dgm:prSet presAssocID="{4C721E47-39A3-4BBA-9088-F74DB20EF604}" presName="compNode" presStyleCnt="0"/>
      <dgm:spPr/>
    </dgm:pt>
    <dgm:pt modelId="{25B3A468-AEE8-4357-A9F1-99C4E1AAA9E6}" type="pres">
      <dgm:prSet presAssocID="{4C721E47-39A3-4BBA-9088-F74DB20EF604}" presName="bkgdShape" presStyleLbl="node1" presStyleIdx="3" presStyleCnt="5" custScaleX="108208"/>
      <dgm:spPr/>
      <dgm:t>
        <a:bodyPr/>
        <a:lstStyle/>
        <a:p>
          <a:endParaRPr lang="en-US"/>
        </a:p>
      </dgm:t>
    </dgm:pt>
    <dgm:pt modelId="{6126A7E5-559A-47A7-ADA5-00F7AC2124D3}" type="pres">
      <dgm:prSet presAssocID="{4C721E47-39A3-4BBA-9088-F74DB20EF604}" presName="nodeTx" presStyleLbl="node1" presStyleIdx="3" presStyleCnt="5">
        <dgm:presLayoutVars>
          <dgm:bulletEnabled val="1"/>
        </dgm:presLayoutVars>
      </dgm:prSet>
      <dgm:spPr/>
      <dgm:t>
        <a:bodyPr/>
        <a:lstStyle/>
        <a:p>
          <a:endParaRPr lang="en-US"/>
        </a:p>
      </dgm:t>
    </dgm:pt>
    <dgm:pt modelId="{68FAFBA8-8F06-49DD-8D4C-934BB94E0AC3}" type="pres">
      <dgm:prSet presAssocID="{4C721E47-39A3-4BBA-9088-F74DB20EF604}" presName="invisiNode" presStyleLbl="node1" presStyleIdx="3" presStyleCnt="5"/>
      <dgm:spPr/>
    </dgm:pt>
    <dgm:pt modelId="{043E8878-14B5-4E59-89DE-99DCAC4FB0F0}" type="pres">
      <dgm:prSet presAssocID="{4C721E47-39A3-4BBA-9088-F74DB20EF604}"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75000" r="-75000"/>
          </a:stretch>
        </a:blipFill>
      </dgm:spPr>
    </dgm:pt>
    <dgm:pt modelId="{961249B2-15B2-426D-99EA-9D7BA7D1BD3F}" type="pres">
      <dgm:prSet presAssocID="{29BF1D6E-5395-46E2-A383-95E22166AEDF}" presName="sibTrans" presStyleLbl="sibTrans2D1" presStyleIdx="0" presStyleCnt="0"/>
      <dgm:spPr/>
      <dgm:t>
        <a:bodyPr/>
        <a:lstStyle/>
        <a:p>
          <a:endParaRPr lang="en-US"/>
        </a:p>
      </dgm:t>
    </dgm:pt>
    <dgm:pt modelId="{AE137734-2791-4C17-8A3B-34B721CF622E}" type="pres">
      <dgm:prSet presAssocID="{0DA65F59-4F6F-4BF8-8CCA-87A429ECD3B5}" presName="compNode" presStyleCnt="0"/>
      <dgm:spPr/>
    </dgm:pt>
    <dgm:pt modelId="{DBE0A861-CA4B-4341-B6B1-4C3D560DBC0F}" type="pres">
      <dgm:prSet presAssocID="{0DA65F59-4F6F-4BF8-8CCA-87A429ECD3B5}" presName="bkgdShape" presStyleLbl="node1" presStyleIdx="4" presStyleCnt="5"/>
      <dgm:spPr/>
      <dgm:t>
        <a:bodyPr/>
        <a:lstStyle/>
        <a:p>
          <a:endParaRPr lang="en-US"/>
        </a:p>
      </dgm:t>
    </dgm:pt>
    <dgm:pt modelId="{77FCD322-E53F-45ED-922E-A8B112FA3D83}" type="pres">
      <dgm:prSet presAssocID="{0DA65F59-4F6F-4BF8-8CCA-87A429ECD3B5}" presName="nodeTx" presStyleLbl="node1" presStyleIdx="4" presStyleCnt="5">
        <dgm:presLayoutVars>
          <dgm:bulletEnabled val="1"/>
        </dgm:presLayoutVars>
      </dgm:prSet>
      <dgm:spPr/>
      <dgm:t>
        <a:bodyPr/>
        <a:lstStyle/>
        <a:p>
          <a:endParaRPr lang="en-US"/>
        </a:p>
      </dgm:t>
    </dgm:pt>
    <dgm:pt modelId="{0DA71FB1-B8DE-47A1-9AF6-7D23238CFFDD}" type="pres">
      <dgm:prSet presAssocID="{0DA65F59-4F6F-4BF8-8CCA-87A429ECD3B5}" presName="invisiNode" presStyleLbl="node1" presStyleIdx="4" presStyleCnt="5"/>
      <dgm:spPr/>
    </dgm:pt>
    <dgm:pt modelId="{A3B16130-EC6A-4AE6-8556-6068EB789069}" type="pres">
      <dgm:prSet presAssocID="{0DA65F59-4F6F-4BF8-8CCA-87A429ECD3B5}" presName="imagNode" presStyleLbl="fgImgPlace1" presStyleIdx="4" presStyleCnt="5"/>
      <dgm:spPr>
        <a:blipFill>
          <a:blip xmlns:r="http://schemas.openxmlformats.org/officeDocument/2006/relationships" r:embed="rId5"/>
          <a:srcRect/>
          <a:stretch>
            <a:fillRect l="-16000" r="-16000"/>
          </a:stretch>
        </a:blipFill>
      </dgm:spPr>
    </dgm:pt>
  </dgm:ptLst>
  <dgm:cxnLst>
    <dgm:cxn modelId="{93AE5578-D554-4E8F-B1CA-DB8DD9FA5943}" type="presOf" srcId="{484982BD-199D-4276-8706-9F44B9F19BAA}" destId="{E9DF828D-6349-4825-B9FD-A9DAE12DAB40}" srcOrd="0" destOrd="0" presId="urn:microsoft.com/office/officeart/2005/8/layout/hList7"/>
    <dgm:cxn modelId="{94A7054C-EF26-479A-BCA5-4A359EC08A85}" type="presOf" srcId="{29BF1D6E-5395-46E2-A383-95E22166AEDF}" destId="{961249B2-15B2-426D-99EA-9D7BA7D1BD3F}" srcOrd="0" destOrd="0" presId="urn:microsoft.com/office/officeart/2005/8/layout/hList7"/>
    <dgm:cxn modelId="{A4FCE176-353A-4C0D-A784-07A34898AE1E}" type="presOf" srcId="{0D864813-848A-4807-886F-08799A26F565}" destId="{EBE2C14B-9398-4369-9BB2-813924A1E9F8}" srcOrd="0" destOrd="0" presId="urn:microsoft.com/office/officeart/2005/8/layout/hList7"/>
    <dgm:cxn modelId="{280C76EB-9EF0-4C2C-BC55-4CFEC1E88075}" type="presOf" srcId="{0DA65F59-4F6F-4BF8-8CCA-87A429ECD3B5}" destId="{DBE0A861-CA4B-4341-B6B1-4C3D560DBC0F}" srcOrd="0" destOrd="0" presId="urn:microsoft.com/office/officeart/2005/8/layout/hList7"/>
    <dgm:cxn modelId="{13BB3AEF-3934-4974-B98B-5AD06DDCB931}" srcId="{0D864813-848A-4807-886F-08799A26F565}" destId="{484982BD-199D-4276-8706-9F44B9F19BAA}" srcOrd="2" destOrd="0" parTransId="{78CB882B-78D7-4C1F-8D8F-D8D6A2895FFF}" sibTransId="{B4FCC4DC-7E8B-4B4C-958A-F0001BD521B8}"/>
    <dgm:cxn modelId="{2042F202-5B2C-4654-BC0F-0F0E5A195E0A}" srcId="{0D864813-848A-4807-886F-08799A26F565}" destId="{4C721E47-39A3-4BBA-9088-F74DB20EF604}" srcOrd="3" destOrd="0" parTransId="{6124138E-6D8D-4D00-9B4D-FC06F099D2A1}" sibTransId="{29BF1D6E-5395-46E2-A383-95E22166AEDF}"/>
    <dgm:cxn modelId="{47A66633-A8BD-4837-BA41-F234BD7BF23E}" type="presOf" srcId="{CBDD4DDA-D8F7-4534-BFBD-76B7D2310EA1}" destId="{F0FA550C-841A-4FCF-A90F-D0B1FC4F323C}" srcOrd="0" destOrd="0" presId="urn:microsoft.com/office/officeart/2005/8/layout/hList7"/>
    <dgm:cxn modelId="{F358443B-28D7-4E8E-8085-9B9F10117EAD}" type="presOf" srcId="{AD3954D8-ECA0-4560-ABB3-662D0BA2B86B}" destId="{CA95986D-EF98-445A-94ED-51C128F99B75}" srcOrd="1" destOrd="0" presId="urn:microsoft.com/office/officeart/2005/8/layout/hList7"/>
    <dgm:cxn modelId="{B2EECDE0-33F1-42F2-B3B8-262EEBF5B7F3}" srcId="{0D864813-848A-4807-886F-08799A26F565}" destId="{0DA65F59-4F6F-4BF8-8CCA-87A429ECD3B5}" srcOrd="4" destOrd="0" parTransId="{612198D6-2393-462D-8089-A2C9E2E25168}" sibTransId="{266F58C0-4245-4D96-A1D6-F65E8C8F1A47}"/>
    <dgm:cxn modelId="{DC5F014C-9D29-4DBB-9B64-33403487E995}" type="presOf" srcId="{B4FCC4DC-7E8B-4B4C-958A-F0001BD521B8}" destId="{FE727FF2-6ACA-4EA8-AF50-A953D6F94528}" srcOrd="0" destOrd="0" presId="urn:microsoft.com/office/officeart/2005/8/layout/hList7"/>
    <dgm:cxn modelId="{99FF6D9C-4AC4-465C-A471-6A9A4612E8BF}" type="presOf" srcId="{0DA65F59-4F6F-4BF8-8CCA-87A429ECD3B5}" destId="{77FCD322-E53F-45ED-922E-A8B112FA3D83}" srcOrd="1" destOrd="0" presId="urn:microsoft.com/office/officeart/2005/8/layout/hList7"/>
    <dgm:cxn modelId="{2F655C59-24E5-46F7-82DE-174E6948646E}" type="presOf" srcId="{4C721E47-39A3-4BBA-9088-F74DB20EF604}" destId="{6126A7E5-559A-47A7-ADA5-00F7AC2124D3}" srcOrd="1" destOrd="0" presId="urn:microsoft.com/office/officeart/2005/8/layout/hList7"/>
    <dgm:cxn modelId="{F091D9AF-C96A-4444-A413-2813B245B915}" type="presOf" srcId="{AD3954D8-ECA0-4560-ABB3-662D0BA2B86B}" destId="{7E490B0F-0DF0-474F-8E8E-6FD1D378BE97}" srcOrd="0" destOrd="0" presId="urn:microsoft.com/office/officeart/2005/8/layout/hList7"/>
    <dgm:cxn modelId="{8681BEA9-DE82-4EB0-8257-0F370A656DF6}" srcId="{0D864813-848A-4807-886F-08799A26F565}" destId="{9825CB82-5909-44A7-AB5D-922A9633FDEF}" srcOrd="1" destOrd="0" parTransId="{77997559-0F7E-49FA-8C16-362ECEAAADE8}" sibTransId="{4BBD5EFD-F6C6-412C-8D59-2273F388F704}"/>
    <dgm:cxn modelId="{3D879F25-C5EF-4E6A-9B98-1D491740E3A3}" type="presOf" srcId="{9825CB82-5909-44A7-AB5D-922A9633FDEF}" destId="{5B1D3BCB-1E19-43CC-9493-2F8C8160E3C1}" srcOrd="1" destOrd="0" presId="urn:microsoft.com/office/officeart/2005/8/layout/hList7"/>
    <dgm:cxn modelId="{CC72D456-A8DC-4552-99CC-9FD172487689}" type="presOf" srcId="{4C721E47-39A3-4BBA-9088-F74DB20EF604}" destId="{25B3A468-AEE8-4357-A9F1-99C4E1AAA9E6}" srcOrd="0" destOrd="0" presId="urn:microsoft.com/office/officeart/2005/8/layout/hList7"/>
    <dgm:cxn modelId="{967D57B8-7A82-453C-94D8-8AA48A0DB380}" srcId="{0D864813-848A-4807-886F-08799A26F565}" destId="{AD3954D8-ECA0-4560-ABB3-662D0BA2B86B}" srcOrd="0" destOrd="0" parTransId="{E3056C97-FF5B-4D05-BD96-1506F6F813E4}" sibTransId="{CBDD4DDA-D8F7-4534-BFBD-76B7D2310EA1}"/>
    <dgm:cxn modelId="{71C1223F-A0DF-4958-9B03-93F26C4ACC47}" type="presOf" srcId="{484982BD-199D-4276-8706-9F44B9F19BAA}" destId="{CF60D5B4-910D-4142-B051-3AC7C9363A7E}" srcOrd="1" destOrd="0" presId="urn:microsoft.com/office/officeart/2005/8/layout/hList7"/>
    <dgm:cxn modelId="{FB38E25D-9B6C-4678-96F8-520AAC3E913C}" type="presOf" srcId="{9825CB82-5909-44A7-AB5D-922A9633FDEF}" destId="{B42CEE84-E70C-438D-BAB0-D79847DA4295}" srcOrd="0" destOrd="0" presId="urn:microsoft.com/office/officeart/2005/8/layout/hList7"/>
    <dgm:cxn modelId="{BB16B23C-3E9E-41F4-AD3A-E2EC6592FC97}" type="presOf" srcId="{4BBD5EFD-F6C6-412C-8D59-2273F388F704}" destId="{9976B928-FFBC-4A87-BC42-B68F0C6F8233}" srcOrd="0" destOrd="0" presId="urn:microsoft.com/office/officeart/2005/8/layout/hList7"/>
    <dgm:cxn modelId="{A0B0AB42-43DB-4913-840C-B53C1FF5623B}" type="presParOf" srcId="{EBE2C14B-9398-4369-9BB2-813924A1E9F8}" destId="{C0FAF495-DDBA-48FD-B415-A5CF01BB5F13}" srcOrd="0" destOrd="0" presId="urn:microsoft.com/office/officeart/2005/8/layout/hList7"/>
    <dgm:cxn modelId="{458E4C73-69E1-47D4-A69C-38AC3B723EBA}" type="presParOf" srcId="{EBE2C14B-9398-4369-9BB2-813924A1E9F8}" destId="{0D783C4B-035C-47ED-BE2F-107CAFF6A5E8}" srcOrd="1" destOrd="0" presId="urn:microsoft.com/office/officeart/2005/8/layout/hList7"/>
    <dgm:cxn modelId="{43F47472-A7C9-4981-BF40-EA3F7C432D13}" type="presParOf" srcId="{0D783C4B-035C-47ED-BE2F-107CAFF6A5E8}" destId="{2DFE959F-5A37-42C1-8806-9A34D096DFCA}" srcOrd="0" destOrd="0" presId="urn:microsoft.com/office/officeart/2005/8/layout/hList7"/>
    <dgm:cxn modelId="{09FDB74D-8C68-476F-8EF8-97EC05223AAB}" type="presParOf" srcId="{2DFE959F-5A37-42C1-8806-9A34D096DFCA}" destId="{7E490B0F-0DF0-474F-8E8E-6FD1D378BE97}" srcOrd="0" destOrd="0" presId="urn:microsoft.com/office/officeart/2005/8/layout/hList7"/>
    <dgm:cxn modelId="{9CAD8692-651B-47BB-9B56-A19F3F9C86AD}" type="presParOf" srcId="{2DFE959F-5A37-42C1-8806-9A34D096DFCA}" destId="{CA95986D-EF98-445A-94ED-51C128F99B75}" srcOrd="1" destOrd="0" presId="urn:microsoft.com/office/officeart/2005/8/layout/hList7"/>
    <dgm:cxn modelId="{A1C643EE-2FCD-4653-91D2-EA526FC6C8E2}" type="presParOf" srcId="{2DFE959F-5A37-42C1-8806-9A34D096DFCA}" destId="{12F26852-51F3-4942-96FE-7032BDF54152}" srcOrd="2" destOrd="0" presId="urn:microsoft.com/office/officeart/2005/8/layout/hList7"/>
    <dgm:cxn modelId="{6C356522-A781-4D81-8E16-47FA68B017DF}" type="presParOf" srcId="{2DFE959F-5A37-42C1-8806-9A34D096DFCA}" destId="{5251E511-850B-425B-8888-6590F171E413}" srcOrd="3" destOrd="0" presId="urn:microsoft.com/office/officeart/2005/8/layout/hList7"/>
    <dgm:cxn modelId="{9F219F1F-A96C-49D4-800D-2308A2A3195C}" type="presParOf" srcId="{0D783C4B-035C-47ED-BE2F-107CAFF6A5E8}" destId="{F0FA550C-841A-4FCF-A90F-D0B1FC4F323C}" srcOrd="1" destOrd="0" presId="urn:microsoft.com/office/officeart/2005/8/layout/hList7"/>
    <dgm:cxn modelId="{75D8CF50-17E1-4281-8B75-494101D584CD}" type="presParOf" srcId="{0D783C4B-035C-47ED-BE2F-107CAFF6A5E8}" destId="{ADBF9315-23FD-4ADD-9535-0AEA4F7A7951}" srcOrd="2" destOrd="0" presId="urn:microsoft.com/office/officeart/2005/8/layout/hList7"/>
    <dgm:cxn modelId="{42DAA8F2-B49A-4D50-993E-0490705C1518}" type="presParOf" srcId="{ADBF9315-23FD-4ADD-9535-0AEA4F7A7951}" destId="{B42CEE84-E70C-438D-BAB0-D79847DA4295}" srcOrd="0" destOrd="0" presId="urn:microsoft.com/office/officeart/2005/8/layout/hList7"/>
    <dgm:cxn modelId="{0EF65112-B558-4BF7-B986-B18AD1C3DB0A}" type="presParOf" srcId="{ADBF9315-23FD-4ADD-9535-0AEA4F7A7951}" destId="{5B1D3BCB-1E19-43CC-9493-2F8C8160E3C1}" srcOrd="1" destOrd="0" presId="urn:microsoft.com/office/officeart/2005/8/layout/hList7"/>
    <dgm:cxn modelId="{C87A8A6B-BDF7-4F56-91AB-7AA681A91505}" type="presParOf" srcId="{ADBF9315-23FD-4ADD-9535-0AEA4F7A7951}" destId="{A8C7AE5B-D8C9-4994-834A-F1A574EB0BDE}" srcOrd="2" destOrd="0" presId="urn:microsoft.com/office/officeart/2005/8/layout/hList7"/>
    <dgm:cxn modelId="{1B43985C-2892-4443-900C-20258322895F}" type="presParOf" srcId="{ADBF9315-23FD-4ADD-9535-0AEA4F7A7951}" destId="{42F5624F-C06E-45D4-A2F9-AB2A694FCE12}" srcOrd="3" destOrd="0" presId="urn:microsoft.com/office/officeart/2005/8/layout/hList7"/>
    <dgm:cxn modelId="{9CA9B7D3-C964-4C95-9C61-D33A34C60607}" type="presParOf" srcId="{0D783C4B-035C-47ED-BE2F-107CAFF6A5E8}" destId="{9976B928-FFBC-4A87-BC42-B68F0C6F8233}" srcOrd="3" destOrd="0" presId="urn:microsoft.com/office/officeart/2005/8/layout/hList7"/>
    <dgm:cxn modelId="{42F4A598-952B-4E4C-9464-EA710956BDFD}" type="presParOf" srcId="{0D783C4B-035C-47ED-BE2F-107CAFF6A5E8}" destId="{EEA76559-867C-46E2-A124-8AC2B26370D4}" srcOrd="4" destOrd="0" presId="urn:microsoft.com/office/officeart/2005/8/layout/hList7"/>
    <dgm:cxn modelId="{7EB13552-B723-4D1F-B715-C1126FF1732F}" type="presParOf" srcId="{EEA76559-867C-46E2-A124-8AC2B26370D4}" destId="{E9DF828D-6349-4825-B9FD-A9DAE12DAB40}" srcOrd="0" destOrd="0" presId="urn:microsoft.com/office/officeart/2005/8/layout/hList7"/>
    <dgm:cxn modelId="{EE9D458E-7DD1-45D7-92D5-9FA6937899CD}" type="presParOf" srcId="{EEA76559-867C-46E2-A124-8AC2B26370D4}" destId="{CF60D5B4-910D-4142-B051-3AC7C9363A7E}" srcOrd="1" destOrd="0" presId="urn:microsoft.com/office/officeart/2005/8/layout/hList7"/>
    <dgm:cxn modelId="{F163B211-6ADF-4F45-A364-5452CB3F4CD5}" type="presParOf" srcId="{EEA76559-867C-46E2-A124-8AC2B26370D4}" destId="{5CFACA57-034D-400E-A0C8-59D3651134F3}" srcOrd="2" destOrd="0" presId="urn:microsoft.com/office/officeart/2005/8/layout/hList7"/>
    <dgm:cxn modelId="{2174E736-F75C-4429-9349-E082C0D8369E}" type="presParOf" srcId="{EEA76559-867C-46E2-A124-8AC2B26370D4}" destId="{D50FC0CE-D5B8-4BE4-BC4F-33A6718A2459}" srcOrd="3" destOrd="0" presId="urn:microsoft.com/office/officeart/2005/8/layout/hList7"/>
    <dgm:cxn modelId="{85DA4BFE-D998-4228-9C22-3020D4555F5C}" type="presParOf" srcId="{0D783C4B-035C-47ED-BE2F-107CAFF6A5E8}" destId="{FE727FF2-6ACA-4EA8-AF50-A953D6F94528}" srcOrd="5" destOrd="0" presId="urn:microsoft.com/office/officeart/2005/8/layout/hList7"/>
    <dgm:cxn modelId="{3A326020-1E47-4EA6-9047-2665916C81A1}" type="presParOf" srcId="{0D783C4B-035C-47ED-BE2F-107CAFF6A5E8}" destId="{601EA1B0-F059-431A-A6C2-1215328C8F59}" srcOrd="6" destOrd="0" presId="urn:microsoft.com/office/officeart/2005/8/layout/hList7"/>
    <dgm:cxn modelId="{E173DC9B-A744-41D0-9C1C-DB448F5911E2}" type="presParOf" srcId="{601EA1B0-F059-431A-A6C2-1215328C8F59}" destId="{25B3A468-AEE8-4357-A9F1-99C4E1AAA9E6}" srcOrd="0" destOrd="0" presId="urn:microsoft.com/office/officeart/2005/8/layout/hList7"/>
    <dgm:cxn modelId="{BB999F24-17C3-4884-AF09-DCC0E2FF4851}" type="presParOf" srcId="{601EA1B0-F059-431A-A6C2-1215328C8F59}" destId="{6126A7E5-559A-47A7-ADA5-00F7AC2124D3}" srcOrd="1" destOrd="0" presId="urn:microsoft.com/office/officeart/2005/8/layout/hList7"/>
    <dgm:cxn modelId="{15EDFFFD-4542-45BD-8DA2-C911371BE529}" type="presParOf" srcId="{601EA1B0-F059-431A-A6C2-1215328C8F59}" destId="{68FAFBA8-8F06-49DD-8D4C-934BB94E0AC3}" srcOrd="2" destOrd="0" presId="urn:microsoft.com/office/officeart/2005/8/layout/hList7"/>
    <dgm:cxn modelId="{D5C337EC-ADD1-4A6B-95E9-D3F36B3C24F7}" type="presParOf" srcId="{601EA1B0-F059-431A-A6C2-1215328C8F59}" destId="{043E8878-14B5-4E59-89DE-99DCAC4FB0F0}" srcOrd="3" destOrd="0" presId="urn:microsoft.com/office/officeart/2005/8/layout/hList7"/>
    <dgm:cxn modelId="{F73C3E92-90DD-4AEC-9FD3-F22474A7DA1A}" type="presParOf" srcId="{0D783C4B-035C-47ED-BE2F-107CAFF6A5E8}" destId="{961249B2-15B2-426D-99EA-9D7BA7D1BD3F}" srcOrd="7" destOrd="0" presId="urn:microsoft.com/office/officeart/2005/8/layout/hList7"/>
    <dgm:cxn modelId="{BF77CDB3-6368-436D-8B13-49BCB0231A3C}" type="presParOf" srcId="{0D783C4B-035C-47ED-BE2F-107CAFF6A5E8}" destId="{AE137734-2791-4C17-8A3B-34B721CF622E}" srcOrd="8" destOrd="0" presId="urn:microsoft.com/office/officeart/2005/8/layout/hList7"/>
    <dgm:cxn modelId="{E0822456-9555-4EE4-AA7A-35C405846288}" type="presParOf" srcId="{AE137734-2791-4C17-8A3B-34B721CF622E}" destId="{DBE0A861-CA4B-4341-B6B1-4C3D560DBC0F}" srcOrd="0" destOrd="0" presId="urn:microsoft.com/office/officeart/2005/8/layout/hList7"/>
    <dgm:cxn modelId="{AC62CFEE-ADFA-4F1C-A4C3-D9C8AA114C04}" type="presParOf" srcId="{AE137734-2791-4C17-8A3B-34B721CF622E}" destId="{77FCD322-E53F-45ED-922E-A8B112FA3D83}" srcOrd="1" destOrd="0" presId="urn:microsoft.com/office/officeart/2005/8/layout/hList7"/>
    <dgm:cxn modelId="{A6FA0D0A-C336-4905-B473-B1DD698C38A3}" type="presParOf" srcId="{AE137734-2791-4C17-8A3B-34B721CF622E}" destId="{0DA71FB1-B8DE-47A1-9AF6-7D23238CFFDD}" srcOrd="2" destOrd="0" presId="urn:microsoft.com/office/officeart/2005/8/layout/hList7"/>
    <dgm:cxn modelId="{B65ED907-A7A6-46B4-9677-6DBE2B566373}" type="presParOf" srcId="{AE137734-2791-4C17-8A3B-34B721CF622E}" destId="{A3B16130-EC6A-4AE6-8556-6068EB789069}" srcOrd="3" destOrd="0" presId="urn:microsoft.com/office/officeart/2005/8/layout/hList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E03F89-5968-4185-A2B3-EE508637D473}">
      <dsp:nvSpPr>
        <dsp:cNvPr id="0" name=""/>
        <dsp:cNvSpPr/>
      </dsp:nvSpPr>
      <dsp:spPr>
        <a:xfrm rot="5400000">
          <a:off x="2547460" y="76340"/>
          <a:ext cx="1147421" cy="998256"/>
        </a:xfrm>
        <a:prstGeom prst="hexagon">
          <a:avLst>
            <a:gd name="adj" fmla="val 25000"/>
            <a:gd name="vf" fmla="val 115470"/>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0" i="0" kern="1200" dirty="0">
              <a:solidFill>
                <a:sysClr val="window" lastClr="FFFFFF"/>
              </a:solidFill>
              <a:latin typeface="Calibri" panose="020F0502020204030204"/>
              <a:ea typeface="+mn-ea"/>
              <a:cs typeface="+mn-cs"/>
            </a:rPr>
            <a:t>Reduced pollution</a:t>
          </a:r>
        </a:p>
      </dsp:txBody>
      <dsp:txXfrm rot="-5400000">
        <a:off x="2777604" y="180564"/>
        <a:ext cx="687132" cy="789809"/>
      </dsp:txXfrm>
    </dsp:sp>
    <dsp:sp modelId="{3AC2DCF8-52AE-4D73-B222-403F0F390CF6}">
      <dsp:nvSpPr>
        <dsp:cNvPr id="0" name=""/>
        <dsp:cNvSpPr/>
      </dsp:nvSpPr>
      <dsp:spPr>
        <a:xfrm>
          <a:off x="3650591" y="231242"/>
          <a:ext cx="1280522" cy="688452"/>
        </a:xfrm>
        <a:prstGeom prst="rect">
          <a:avLst/>
        </a:prstGeom>
        <a:noFill/>
        <a:ln>
          <a:noFill/>
        </a:ln>
        <a:effectLst/>
      </dsp:spPr>
      <dsp:style>
        <a:lnRef idx="0">
          <a:scrgbClr r="0" g="0" b="0"/>
        </a:lnRef>
        <a:fillRef idx="0">
          <a:scrgbClr r="0" g="0" b="0"/>
        </a:fillRef>
        <a:effectRef idx="0">
          <a:scrgbClr r="0" g="0" b="0"/>
        </a:effectRef>
        <a:fontRef idx="minor"/>
      </dsp:style>
    </dsp:sp>
    <dsp:sp modelId="{EE2F90D7-0ABB-4218-8455-3E2CE1BAA1D7}">
      <dsp:nvSpPr>
        <dsp:cNvPr id="0" name=""/>
        <dsp:cNvSpPr/>
      </dsp:nvSpPr>
      <dsp:spPr>
        <a:xfrm rot="5400000">
          <a:off x="1469343" y="76340"/>
          <a:ext cx="1147421" cy="998256"/>
        </a:xfrm>
        <a:prstGeom prst="hexagon">
          <a:avLst>
            <a:gd name="adj" fmla="val 25000"/>
            <a:gd name="vf" fmla="val 115470"/>
          </a:avLst>
        </a:prstGeom>
        <a:solidFill>
          <a:srgbClr val="21212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r>
            <a:rPr lang="en-IN" sz="1100" b="0" i="0" kern="1200" dirty="0">
              <a:solidFill>
                <a:sysClr val="window" lastClr="FFFFFF"/>
              </a:solidFill>
              <a:latin typeface="Calibri" panose="020F0502020204030204"/>
              <a:ea typeface="+mn-ea"/>
              <a:cs typeface="+mn-cs"/>
            </a:rPr>
            <a:t>Premium pricing and nutrient rich produce</a:t>
          </a:r>
        </a:p>
      </dsp:txBody>
      <dsp:txXfrm rot="-5400000">
        <a:off x="1699487" y="180564"/>
        <a:ext cx="687132" cy="789809"/>
      </dsp:txXfrm>
    </dsp:sp>
    <dsp:sp modelId="{9BD0E896-3F9E-45B0-AB16-05559C4ACB45}">
      <dsp:nvSpPr>
        <dsp:cNvPr id="0" name=""/>
        <dsp:cNvSpPr/>
      </dsp:nvSpPr>
      <dsp:spPr>
        <a:xfrm rot="5400000">
          <a:off x="2006336" y="1050271"/>
          <a:ext cx="1147421" cy="998256"/>
        </a:xfrm>
        <a:prstGeom prst="hexagon">
          <a:avLst>
            <a:gd name="adj" fmla="val 25000"/>
            <a:gd name="vf" fmla="val 115470"/>
          </a:avLst>
        </a:prstGeom>
        <a:solidFill>
          <a:srgbClr val="A2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0" i="0" kern="1200" dirty="0">
              <a:solidFill>
                <a:sysClr val="window" lastClr="FFFFFF"/>
              </a:solidFill>
              <a:latin typeface="Calibri" panose="020F0502020204030204"/>
              <a:ea typeface="+mn-ea"/>
              <a:cs typeface="+mn-cs"/>
            </a:rPr>
            <a:t>Benefits of natural farming</a:t>
          </a:r>
        </a:p>
      </dsp:txBody>
      <dsp:txXfrm rot="-5400000">
        <a:off x="2236480" y="1154495"/>
        <a:ext cx="687132" cy="789809"/>
      </dsp:txXfrm>
    </dsp:sp>
    <dsp:sp modelId="{3B7C43AC-E571-4703-B467-8626719857A4}">
      <dsp:nvSpPr>
        <dsp:cNvPr id="0" name=""/>
        <dsp:cNvSpPr/>
      </dsp:nvSpPr>
      <dsp:spPr>
        <a:xfrm>
          <a:off x="800396" y="1205173"/>
          <a:ext cx="1239215" cy="688452"/>
        </a:xfrm>
        <a:prstGeom prst="rect">
          <a:avLst/>
        </a:prstGeom>
        <a:noFill/>
        <a:ln>
          <a:noFill/>
        </a:ln>
        <a:effectLst/>
      </dsp:spPr>
      <dsp:style>
        <a:lnRef idx="0">
          <a:scrgbClr r="0" g="0" b="0"/>
        </a:lnRef>
        <a:fillRef idx="0">
          <a:scrgbClr r="0" g="0" b="0"/>
        </a:fillRef>
        <a:effectRef idx="0">
          <a:scrgbClr r="0" g="0" b="0"/>
        </a:effectRef>
        <a:fontRef idx="minor"/>
      </dsp:style>
    </dsp:sp>
    <dsp:sp modelId="{792E4508-61E9-4A88-83A5-6CF010DF2231}">
      <dsp:nvSpPr>
        <dsp:cNvPr id="0" name=""/>
        <dsp:cNvSpPr/>
      </dsp:nvSpPr>
      <dsp:spPr>
        <a:xfrm rot="5400000">
          <a:off x="3084453" y="1050271"/>
          <a:ext cx="1147421" cy="998256"/>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buNone/>
          </a:pPr>
          <a:r>
            <a:rPr lang="en-IN" sz="1100" b="0" i="0" kern="1200" dirty="0">
              <a:solidFill>
                <a:sysClr val="window" lastClr="FFFFFF"/>
              </a:solidFill>
              <a:latin typeface="Calibri" panose="020F0502020204030204"/>
              <a:ea typeface="+mn-ea"/>
              <a:cs typeface="+mn-cs"/>
            </a:rPr>
            <a:t>Soil health by improving organic matter</a:t>
          </a:r>
        </a:p>
      </dsp:txBody>
      <dsp:txXfrm rot="-5400000">
        <a:off x="3314597" y="1154495"/>
        <a:ext cx="687132" cy="789809"/>
      </dsp:txXfrm>
    </dsp:sp>
    <dsp:sp modelId="{E8223D34-09A5-46A3-868A-A20BE185FDAD}">
      <dsp:nvSpPr>
        <dsp:cNvPr id="0" name=""/>
        <dsp:cNvSpPr/>
      </dsp:nvSpPr>
      <dsp:spPr>
        <a:xfrm rot="5400000">
          <a:off x="2547460" y="1951719"/>
          <a:ext cx="1147421" cy="1143223"/>
        </a:xfrm>
        <a:prstGeom prst="hexagon">
          <a:avLst>
            <a:gd name="adj" fmla="val 25000"/>
            <a:gd name="vf" fmla="val 11547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en-IN" sz="1100" b="0" i="0" kern="1200" dirty="0">
              <a:solidFill>
                <a:sysClr val="window" lastClr="FFFFFF"/>
              </a:solidFill>
              <a:latin typeface="Calibri" panose="020F0502020204030204"/>
              <a:ea typeface="+mn-ea"/>
              <a:cs typeface="+mn-cs"/>
            </a:rPr>
            <a:t>Biodiversity by avoiding monoculture and chemicals </a:t>
          </a:r>
        </a:p>
      </dsp:txBody>
      <dsp:txXfrm rot="-5400000">
        <a:off x="2739748" y="2140507"/>
        <a:ext cx="762845" cy="765647"/>
      </dsp:txXfrm>
    </dsp:sp>
    <dsp:sp modelId="{85C2510F-D4EA-4F1D-9C9B-1554065407AD}">
      <dsp:nvSpPr>
        <dsp:cNvPr id="0" name=""/>
        <dsp:cNvSpPr/>
      </dsp:nvSpPr>
      <dsp:spPr>
        <a:xfrm>
          <a:off x="3650591" y="2179104"/>
          <a:ext cx="1280522" cy="688452"/>
        </a:xfrm>
        <a:prstGeom prst="rect">
          <a:avLst/>
        </a:prstGeom>
        <a:noFill/>
        <a:ln>
          <a:noFill/>
        </a:ln>
        <a:effectLst/>
      </dsp:spPr>
      <dsp:style>
        <a:lnRef idx="0">
          <a:scrgbClr r="0" g="0" b="0"/>
        </a:lnRef>
        <a:fillRef idx="0">
          <a:scrgbClr r="0" g="0" b="0"/>
        </a:fillRef>
        <a:effectRef idx="0">
          <a:scrgbClr r="0" g="0" b="0"/>
        </a:effectRef>
        <a:fontRef idx="minor"/>
      </dsp:style>
    </dsp:sp>
    <dsp:sp modelId="{F0A30184-4B23-4205-907E-948E35413D4B}">
      <dsp:nvSpPr>
        <dsp:cNvPr id="0" name=""/>
        <dsp:cNvSpPr/>
      </dsp:nvSpPr>
      <dsp:spPr>
        <a:xfrm rot="5400000">
          <a:off x="1469343" y="2024202"/>
          <a:ext cx="1147421" cy="998256"/>
        </a:xfrm>
        <a:prstGeom prst="hexagon">
          <a:avLst>
            <a:gd name="adj" fmla="val 25000"/>
            <a:gd name="vf" fmla="val 11547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r>
            <a:rPr lang="en-IN" sz="1000" b="0" i="0" kern="1200" dirty="0">
              <a:solidFill>
                <a:sysClr val="window" lastClr="FFFFFF"/>
              </a:solidFill>
              <a:latin typeface="Calibri" panose="020F0502020204030204"/>
              <a:ea typeface="+mn-ea"/>
              <a:cs typeface="+mn-cs"/>
            </a:rPr>
            <a:t>Water-conservation by mulching and no -till</a:t>
          </a:r>
        </a:p>
      </dsp:txBody>
      <dsp:txXfrm rot="-5400000">
        <a:off x="1699487" y="2128426"/>
        <a:ext cx="687132" cy="789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490B0F-0DF0-474F-8E8E-6FD1D378BE97}">
      <dsp:nvSpPr>
        <dsp:cNvPr id="0" name=""/>
        <dsp:cNvSpPr/>
      </dsp:nvSpPr>
      <dsp:spPr>
        <a:xfrm>
          <a:off x="1028" y="0"/>
          <a:ext cx="1023057" cy="2630805"/>
        </a:xfrm>
        <a:prstGeom prst="roundRect">
          <a:avLst>
            <a:gd name="adj" fmla="val 10000"/>
          </a:avLst>
        </a:prstGeom>
        <a:solidFill>
          <a:srgbClr val="FF7474"/>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dirty="0" err="1"/>
            <a:t>Beejamrit</a:t>
          </a:r>
          <a:r>
            <a:rPr lang="en-US" sz="1000" b="1" kern="1200" dirty="0"/>
            <a:t> (Seed treatment</a:t>
          </a:r>
          <a:r>
            <a:rPr lang="en-US" sz="1000" kern="1200" dirty="0"/>
            <a:t>)</a:t>
          </a:r>
        </a:p>
      </dsp:txBody>
      <dsp:txXfrm>
        <a:off x="1028" y="1052322"/>
        <a:ext cx="1023057" cy="1052322"/>
      </dsp:txXfrm>
    </dsp:sp>
    <dsp:sp modelId="{5251E511-850B-425B-8888-6590F171E413}">
      <dsp:nvSpPr>
        <dsp:cNvPr id="0" name=""/>
        <dsp:cNvSpPr/>
      </dsp:nvSpPr>
      <dsp:spPr>
        <a:xfrm>
          <a:off x="74527" y="157848"/>
          <a:ext cx="876058" cy="87605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0000" r="-20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2CEE84-E70C-438D-BAB0-D79847DA4295}">
      <dsp:nvSpPr>
        <dsp:cNvPr id="0" name=""/>
        <dsp:cNvSpPr/>
      </dsp:nvSpPr>
      <dsp:spPr>
        <a:xfrm>
          <a:off x="1054777" y="0"/>
          <a:ext cx="1112984" cy="2630805"/>
        </a:xfrm>
        <a:prstGeom prst="roundRect">
          <a:avLst>
            <a:gd name="adj" fmla="val 10000"/>
          </a:avLst>
        </a:prstGeom>
        <a:solidFill>
          <a:srgbClr val="FFCE3C"/>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pt-BR" sz="1000" b="1" kern="1200" dirty="0"/>
            <a:t>Jiwamrit </a:t>
          </a:r>
        </a:p>
        <a:p>
          <a:pPr lvl="0" algn="ctr" defTabSz="444500">
            <a:lnSpc>
              <a:spcPct val="90000"/>
            </a:lnSpc>
            <a:spcBef>
              <a:spcPct val="0"/>
            </a:spcBef>
            <a:spcAft>
              <a:spcPct val="35000"/>
            </a:spcAft>
          </a:pPr>
          <a:r>
            <a:rPr lang="pt-BR" sz="1000" b="1" kern="1200" dirty="0"/>
            <a:t>( Fungal and bacterial plant disease)</a:t>
          </a:r>
          <a:endParaRPr lang="en-US" sz="1000" kern="1200" dirty="0"/>
        </a:p>
      </dsp:txBody>
      <dsp:txXfrm>
        <a:off x="1054777" y="1052322"/>
        <a:ext cx="1112984" cy="1052322"/>
      </dsp:txXfrm>
    </dsp:sp>
    <dsp:sp modelId="{42F5624F-C06E-45D4-A2F9-AB2A694FCE12}">
      <dsp:nvSpPr>
        <dsp:cNvPr id="0" name=""/>
        <dsp:cNvSpPr/>
      </dsp:nvSpPr>
      <dsp:spPr>
        <a:xfrm>
          <a:off x="1173240" y="157848"/>
          <a:ext cx="876058" cy="87605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8000" r="-38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DF828D-6349-4825-B9FD-A9DAE12DAB40}">
      <dsp:nvSpPr>
        <dsp:cNvPr id="0" name=""/>
        <dsp:cNvSpPr/>
      </dsp:nvSpPr>
      <dsp:spPr>
        <a:xfrm>
          <a:off x="2198453" y="0"/>
          <a:ext cx="1023057" cy="2630805"/>
        </a:xfrm>
        <a:prstGeom prst="roundRect">
          <a:avLst>
            <a:gd name="adj" fmla="val 10000"/>
          </a:avLst>
        </a:prstGeom>
        <a:solidFill>
          <a:srgbClr val="118187"/>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dirty="0"/>
            <a:t>Mulching (Soil, straw, live)</a:t>
          </a:r>
        </a:p>
      </dsp:txBody>
      <dsp:txXfrm>
        <a:off x="2198453" y="1052322"/>
        <a:ext cx="1023057" cy="1052322"/>
      </dsp:txXfrm>
    </dsp:sp>
    <dsp:sp modelId="{D50FC0CE-D5B8-4BE4-BC4F-33A6718A2459}">
      <dsp:nvSpPr>
        <dsp:cNvPr id="0" name=""/>
        <dsp:cNvSpPr/>
      </dsp:nvSpPr>
      <dsp:spPr>
        <a:xfrm>
          <a:off x="2271953" y="213648"/>
          <a:ext cx="876058" cy="76445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6000" b="-2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B3A468-AEE8-4357-A9F1-99C4E1AAA9E6}">
      <dsp:nvSpPr>
        <dsp:cNvPr id="0" name=""/>
        <dsp:cNvSpPr/>
      </dsp:nvSpPr>
      <dsp:spPr>
        <a:xfrm>
          <a:off x="3252202" y="0"/>
          <a:ext cx="1107030" cy="2630805"/>
        </a:xfrm>
        <a:prstGeom prst="roundRect">
          <a:avLst>
            <a:gd name="adj" fmla="val 10000"/>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b="1" kern="1200" dirty="0" err="1"/>
            <a:t>Wapasa</a:t>
          </a:r>
          <a:r>
            <a:rPr lang="en-US" sz="1000" b="1" kern="1200" dirty="0"/>
            <a:t> (Soil moisture </a:t>
          </a:r>
          <a:r>
            <a:rPr lang="en-IN" sz="1000" b="1" kern="1200" dirty="0"/>
            <a:t>50 % air and 50 % water vapours </a:t>
          </a:r>
          <a:r>
            <a:rPr lang="en-US" sz="1000" b="1" kern="1200" dirty="0"/>
            <a:t>)</a:t>
          </a:r>
        </a:p>
      </dsp:txBody>
      <dsp:txXfrm>
        <a:off x="3252202" y="1052322"/>
        <a:ext cx="1107030" cy="1052322"/>
      </dsp:txXfrm>
    </dsp:sp>
    <dsp:sp modelId="{043E8878-14B5-4E59-89DE-99DCAC4FB0F0}">
      <dsp:nvSpPr>
        <dsp:cNvPr id="0" name=""/>
        <dsp:cNvSpPr/>
      </dsp:nvSpPr>
      <dsp:spPr>
        <a:xfrm>
          <a:off x="3367688" y="157848"/>
          <a:ext cx="876058" cy="876058"/>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5000" r="-75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E0A861-CA4B-4341-B6B1-4C3D560DBC0F}">
      <dsp:nvSpPr>
        <dsp:cNvPr id="0" name=""/>
        <dsp:cNvSpPr/>
      </dsp:nvSpPr>
      <dsp:spPr>
        <a:xfrm>
          <a:off x="4389924" y="0"/>
          <a:ext cx="1023057" cy="2630805"/>
        </a:xfrm>
        <a:prstGeom prst="roundRect">
          <a:avLst>
            <a:gd name="adj" fmla="val 10000"/>
          </a:avLst>
        </a:prstGeom>
        <a:solidFill>
          <a:srgbClr val="92D050"/>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None/>
          </a:pPr>
          <a:r>
            <a:rPr lang="en-US" sz="1000" b="1" kern="1200" dirty="0" err="1">
              <a:solidFill>
                <a:srgbClr val="000000"/>
              </a:solidFill>
              <a:effectLst/>
              <a:latin typeface="Calibri" panose="020F0502020204030204" pitchFamily="34" charset="0"/>
              <a:ea typeface="Calibri" panose="020F0502020204030204" pitchFamily="34" charset="0"/>
              <a:cs typeface="Mangal" panose="02040503050203030202" pitchFamily="18" charset="0"/>
            </a:rPr>
            <a:t>Ghanjeevamrut</a:t>
          </a:r>
          <a:endParaRPr lang="en-US" sz="1000" b="1" kern="1200" dirty="0">
            <a:solidFill>
              <a:srgbClr val="000000"/>
            </a:solidFill>
            <a:effectLst/>
            <a:latin typeface="Calibri" panose="020F0502020204030204" pitchFamily="34" charset="0"/>
            <a:ea typeface="Calibri" panose="020F0502020204030204" pitchFamily="34" charset="0"/>
            <a:cs typeface="Mangal" panose="02040503050203030202" pitchFamily="18" charset="0"/>
          </a:endParaRPr>
        </a:p>
        <a:p>
          <a:pPr lvl="0" algn="ctr" defTabSz="444500">
            <a:lnSpc>
              <a:spcPct val="90000"/>
            </a:lnSpc>
            <a:spcBef>
              <a:spcPct val="0"/>
            </a:spcBef>
            <a:spcAft>
              <a:spcPct val="35000"/>
            </a:spcAft>
            <a:buNone/>
          </a:pPr>
          <a:r>
            <a:rPr lang="en-US" sz="1000" b="1" kern="1200" dirty="0"/>
            <a:t>(It adds nutrient)</a:t>
          </a:r>
          <a:endParaRPr lang="en-IN" sz="1000" kern="1200" dirty="0">
            <a:effectLst/>
            <a:latin typeface="Calibri" panose="020F0502020204030204" pitchFamily="34" charset="0"/>
            <a:ea typeface="Calibri" panose="020F0502020204030204" pitchFamily="34" charset="0"/>
            <a:cs typeface="Mangal" panose="02040503050203030202" pitchFamily="18" charset="0"/>
          </a:endParaRPr>
        </a:p>
      </dsp:txBody>
      <dsp:txXfrm>
        <a:off x="4389924" y="1052322"/>
        <a:ext cx="1023057" cy="1052322"/>
      </dsp:txXfrm>
    </dsp:sp>
    <dsp:sp modelId="{A3B16130-EC6A-4AE6-8556-6068EB789069}">
      <dsp:nvSpPr>
        <dsp:cNvPr id="0" name=""/>
        <dsp:cNvSpPr/>
      </dsp:nvSpPr>
      <dsp:spPr>
        <a:xfrm>
          <a:off x="4463424" y="157848"/>
          <a:ext cx="876058" cy="876058"/>
        </a:xfrm>
        <a:prstGeom prst="ellipse">
          <a:avLst/>
        </a:prstGeom>
        <a:blipFill>
          <a:blip xmlns:r="http://schemas.openxmlformats.org/officeDocument/2006/relationships" r:embed="rId5"/>
          <a:srcRect/>
          <a:stretch>
            <a:fillRect l="-16000" r="-1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0FAF495-DDBA-48FD-B415-A5CF01BB5F13}">
      <dsp:nvSpPr>
        <dsp:cNvPr id="0" name=""/>
        <dsp:cNvSpPr/>
      </dsp:nvSpPr>
      <dsp:spPr>
        <a:xfrm>
          <a:off x="216560" y="2104644"/>
          <a:ext cx="4980889" cy="394620"/>
        </a:xfrm>
        <a:prstGeom prst="leftRight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585AD-AFF1-4648-8D63-AF9D4303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1422</TotalTime>
  <Pages>33</Pages>
  <Words>13072</Words>
  <Characters>74515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prakashrao</dc:creator>
  <cp:keywords/>
  <dc:description/>
  <cp:lastModifiedBy>Rania Gabr</cp:lastModifiedBy>
  <cp:revision>178</cp:revision>
  <dcterms:created xsi:type="dcterms:W3CDTF">2025-12-18T05:46:00Z</dcterms:created>
  <dcterms:modified xsi:type="dcterms:W3CDTF">2026-01-15T09:57:00Z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e0bad1bf-a434-442f-b79e-cc554e566a01</vt:lpwstr>
  </property>
</Properties>
</file>