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E4D3" w14:textId="77777777" w:rsidR="00754C9A" w:rsidRDefault="00754C9A" w:rsidP="00441B6F">
      <w:pPr>
        <w:pStyle w:val="Title"/>
        <w:spacing w:after="0"/>
        <w:jc w:val="both"/>
        <w:rPr>
          <w:rFonts w:ascii="Arial" w:hAnsi="Arial" w:cs="Arial"/>
        </w:rPr>
      </w:pPr>
    </w:p>
    <w:p w14:paraId="23FE6B10" w14:textId="47AB4C87" w:rsidR="00163BC4" w:rsidRPr="00277EC7" w:rsidRDefault="00841585" w:rsidP="00441B6F">
      <w:pPr>
        <w:pStyle w:val="Author"/>
        <w:spacing w:line="240" w:lineRule="auto"/>
        <w:rPr>
          <w:rFonts w:ascii="Arial" w:hAnsi="Arial" w:cs="Arial"/>
          <w:bCs/>
          <w:iCs/>
          <w:color w:val="EE0000"/>
          <w:kern w:val="28"/>
          <w:sz w:val="36"/>
        </w:rPr>
      </w:pPr>
      <w:r w:rsidRPr="00841585">
        <w:rPr>
          <w:rFonts w:ascii="Arial" w:hAnsi="Arial" w:cs="Arial"/>
          <w:bCs/>
          <w:iCs/>
          <w:kern w:val="28"/>
          <w:sz w:val="36"/>
        </w:rPr>
        <w:t xml:space="preserve">A Qualitative Exploration of Challenges Faced </w:t>
      </w:r>
      <w:r w:rsidRPr="00774F6F">
        <w:rPr>
          <w:rFonts w:ascii="Arial" w:hAnsi="Arial" w:cs="Arial"/>
          <w:bCs/>
          <w:i/>
          <w:kern w:val="28"/>
          <w:sz w:val="36"/>
        </w:rPr>
        <w:t>by Farmer Producer Organizations</w:t>
      </w:r>
      <w:r w:rsidR="00277EC7">
        <w:rPr>
          <w:rFonts w:ascii="Arial" w:hAnsi="Arial" w:cs="Arial"/>
          <w:bCs/>
          <w:i/>
          <w:kern w:val="28"/>
          <w:sz w:val="36"/>
        </w:rPr>
        <w:t xml:space="preserve"> </w:t>
      </w:r>
      <w:commentRangeStart w:id="0"/>
      <w:r w:rsidR="00277EC7" w:rsidRPr="00277EC7">
        <w:rPr>
          <w:rFonts w:ascii="Arial" w:hAnsi="Arial" w:cs="Arial"/>
          <w:bCs/>
          <w:i/>
          <w:color w:val="EE0000"/>
          <w:kern w:val="28"/>
          <w:sz w:val="36"/>
        </w:rPr>
        <w:t>(FPOs)</w:t>
      </w:r>
      <w:commentRangeEnd w:id="0"/>
      <w:r w:rsidR="00277EC7">
        <w:rPr>
          <w:rStyle w:val="CommentReference"/>
          <w:rFonts w:ascii="Times New Roman" w:hAnsi="Times New Roman"/>
          <w:b w:val="0"/>
          <w:lang w:val="nb-NO" w:eastAsia="nb-NO"/>
        </w:rPr>
        <w:commentReference w:id="0"/>
      </w:r>
    </w:p>
    <w:p w14:paraId="725E1AAD" w14:textId="77777777" w:rsidR="00A258C3" w:rsidRPr="00790ADA" w:rsidRDefault="00A258C3" w:rsidP="00441B6F">
      <w:pPr>
        <w:pStyle w:val="Author"/>
        <w:spacing w:line="240" w:lineRule="auto"/>
        <w:jc w:val="both"/>
        <w:rPr>
          <w:rFonts w:ascii="Arial" w:hAnsi="Arial" w:cs="Arial"/>
          <w:sz w:val="36"/>
        </w:rPr>
      </w:pPr>
    </w:p>
    <w:p w14:paraId="1B382863" w14:textId="77777777" w:rsidR="002C57D2" w:rsidRPr="00F44CD1" w:rsidRDefault="002C57D2" w:rsidP="00441B6F">
      <w:pPr>
        <w:pStyle w:val="Affiliation"/>
        <w:spacing w:after="0" w:line="240" w:lineRule="auto"/>
        <w:jc w:val="both"/>
        <w:rPr>
          <w:rFonts w:ascii="Arial" w:hAnsi="Arial" w:cs="Arial"/>
          <w:bCs/>
        </w:rPr>
      </w:pPr>
    </w:p>
    <w:p w14:paraId="54721CC1" w14:textId="1CC9FE63" w:rsidR="00B01FCD" w:rsidRPr="00FB3A86" w:rsidRDefault="00ED24BF" w:rsidP="00441B6F">
      <w:pPr>
        <w:pStyle w:val="Copyright"/>
        <w:spacing w:after="0" w:line="240" w:lineRule="auto"/>
        <w:jc w:val="both"/>
        <w:rPr>
          <w:rFonts w:ascii="Arial" w:hAnsi="Arial" w:cs="Arial"/>
        </w:rPr>
        <w:sectPr w:rsidR="00B01FCD" w:rsidRPr="00FB3A86" w:rsidSect="00CE2EFA">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D7407" wp14:editId="49591CAA">
                <wp:extent cx="5303520" cy="635"/>
                <wp:effectExtent l="0" t="12700" r="5080" b="12065"/>
                <wp:docPr id="9632679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38845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246D48C6" w14:textId="77777777" w:rsidR="00E27075" w:rsidRDefault="00E27075" w:rsidP="00441B6F">
      <w:pPr>
        <w:pStyle w:val="AbstHead"/>
        <w:spacing w:after="0"/>
        <w:jc w:val="both"/>
        <w:rPr>
          <w:rFonts w:ascii="Arial" w:hAnsi="Arial" w:cs="Arial"/>
        </w:rPr>
      </w:pPr>
    </w:p>
    <w:p w14:paraId="38C5FA32" w14:textId="4E120597" w:rsidR="00B01FCD" w:rsidRDefault="00B01FCD" w:rsidP="00441B6F">
      <w:pPr>
        <w:pStyle w:val="AbstHead"/>
        <w:spacing w:after="0"/>
        <w:jc w:val="both"/>
        <w:rPr>
          <w:rFonts w:ascii="Arial" w:hAnsi="Arial" w:cs="Arial"/>
        </w:rPr>
      </w:pPr>
      <w:r w:rsidRPr="00FB3A86">
        <w:rPr>
          <w:rFonts w:ascii="Arial" w:hAnsi="Arial" w:cs="Arial"/>
        </w:rPr>
        <w:t>ABSTRACT</w:t>
      </w:r>
    </w:p>
    <w:p w14:paraId="1E1C21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12FAD6B" w14:textId="77777777" w:rsidTr="001E44FE">
        <w:tc>
          <w:tcPr>
            <w:tcW w:w="9576" w:type="dxa"/>
            <w:shd w:val="clear" w:color="auto" w:fill="F2F2F2"/>
          </w:tcPr>
          <w:p w14:paraId="126C7A11" w14:textId="77777777" w:rsidR="00E3114E" w:rsidRDefault="00E3114E" w:rsidP="00441B6F">
            <w:pPr>
              <w:pStyle w:val="Body"/>
              <w:spacing w:after="0"/>
              <w:rPr>
                <w:rFonts w:ascii="Arial" w:eastAsia="Calibri" w:hAnsi="Arial" w:cs="Arial"/>
                <w:b/>
                <w:szCs w:val="22"/>
              </w:rPr>
            </w:pPr>
          </w:p>
          <w:p w14:paraId="66939FF6" w14:textId="76DD7DAA" w:rsidR="00BA1B01" w:rsidRPr="00EF5439"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EF5439" w:rsidRPr="00EF5439">
              <w:rPr>
                <w:rFonts w:ascii="Arial" w:eastAsia="Calibri" w:hAnsi="Arial" w:cs="Arial"/>
                <w:bCs/>
                <w:szCs w:val="22"/>
              </w:rPr>
              <w:t>The study aimed to explore and analyze</w:t>
            </w:r>
            <w:r w:rsidR="003C445E">
              <w:rPr>
                <w:rFonts w:ascii="Arial" w:eastAsia="Calibri" w:hAnsi="Arial" w:cs="Arial"/>
                <w:bCs/>
                <w:szCs w:val="22"/>
              </w:rPr>
              <w:t xml:space="preserve"> </w:t>
            </w:r>
            <w:r w:rsidR="00EF5439" w:rsidRPr="00EF5439">
              <w:rPr>
                <w:rFonts w:ascii="Arial" w:eastAsia="Calibri" w:hAnsi="Arial" w:cs="Arial"/>
                <w:bCs/>
                <w:szCs w:val="22"/>
              </w:rPr>
              <w:t>the key management challenges confronting Farmer Producer Organizations (FPOs) that influence their overall functioning, efficiency, and long-term sustainability. It specifically sought to identify, categorize, and interpret the major problem areas. Through this, the study intended to provide an evidence-based understanding of the internal and external constraints affecting FPO performance and institutional development.</w:t>
            </w:r>
          </w:p>
          <w:p w14:paraId="486C8CA3" w14:textId="227BB8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F5439" w:rsidRPr="00EF5439">
              <w:rPr>
                <w:rFonts w:ascii="Arial" w:eastAsia="Calibri" w:hAnsi="Arial" w:cs="Arial"/>
                <w:szCs w:val="22"/>
              </w:rPr>
              <w:t>A qualitative, exploratory research design was employed to gain in-depth insights into the management problems experienced by FPOs.</w:t>
            </w:r>
          </w:p>
          <w:p w14:paraId="075C351E" w14:textId="03830F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F5439" w:rsidRPr="00EF5439">
              <w:rPr>
                <w:rFonts w:ascii="Arial" w:eastAsia="Calibri" w:hAnsi="Arial" w:cs="Arial"/>
                <w:szCs w:val="22"/>
              </w:rPr>
              <w:t>The study was conducted among selected Farmer Producer Organizations in </w:t>
            </w:r>
            <w:r w:rsidR="00EF5439" w:rsidRPr="00DC2429">
              <w:rPr>
                <w:rFonts w:ascii="Arial" w:eastAsia="Calibri" w:hAnsi="Arial" w:cs="Arial"/>
                <w:szCs w:val="22"/>
              </w:rPr>
              <w:t>Arunachal Pradesh between </w:t>
            </w:r>
            <w:r w:rsidR="00C362BF">
              <w:rPr>
                <w:rFonts w:ascii="Arial" w:eastAsia="Calibri" w:hAnsi="Arial" w:cs="Arial"/>
                <w:szCs w:val="22"/>
              </w:rPr>
              <w:t>April</w:t>
            </w:r>
            <w:r w:rsidR="00EF5439" w:rsidRPr="00DC2429">
              <w:rPr>
                <w:rFonts w:ascii="Arial" w:eastAsia="Calibri" w:hAnsi="Arial" w:cs="Arial"/>
                <w:szCs w:val="22"/>
              </w:rPr>
              <w:t xml:space="preserve"> and </w:t>
            </w:r>
            <w:r w:rsidR="00C362BF">
              <w:rPr>
                <w:rFonts w:ascii="Arial" w:eastAsia="Calibri" w:hAnsi="Arial" w:cs="Arial"/>
                <w:szCs w:val="22"/>
              </w:rPr>
              <w:t>June</w:t>
            </w:r>
            <w:r w:rsidR="00EF5439" w:rsidRPr="00DC2429">
              <w:rPr>
                <w:rFonts w:ascii="Arial" w:eastAsia="Calibri" w:hAnsi="Arial" w:cs="Arial"/>
                <w:szCs w:val="22"/>
              </w:rPr>
              <w:t xml:space="preserve"> 2025,</w:t>
            </w:r>
            <w:r w:rsidR="00EF5439" w:rsidRPr="00EF5439">
              <w:rPr>
                <w:rFonts w:ascii="Arial" w:eastAsia="Calibri" w:hAnsi="Arial" w:cs="Arial"/>
                <w:szCs w:val="22"/>
              </w:rPr>
              <w:t xml:space="preserve"> covering FPOs functioning across different </w:t>
            </w:r>
            <w:r w:rsidR="00EF5439">
              <w:rPr>
                <w:rFonts w:ascii="Arial" w:eastAsia="Calibri" w:hAnsi="Arial" w:cs="Arial"/>
                <w:szCs w:val="22"/>
              </w:rPr>
              <w:t xml:space="preserve">districts </w:t>
            </w:r>
            <w:r w:rsidR="00EF5439" w:rsidRPr="00EF5439">
              <w:rPr>
                <w:rFonts w:ascii="Arial" w:eastAsia="Calibri" w:hAnsi="Arial" w:cs="Arial"/>
                <w:szCs w:val="22"/>
              </w:rPr>
              <w:t>of the state.</w:t>
            </w:r>
          </w:p>
          <w:p w14:paraId="776E6296" w14:textId="3F3CDD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commentRangeStart w:id="1"/>
            <w:r w:rsidR="00EF5439" w:rsidRPr="00EF5439">
              <w:rPr>
                <w:rFonts w:ascii="Arial" w:eastAsia="Calibri" w:hAnsi="Arial" w:cs="Arial"/>
                <w:szCs w:val="22"/>
              </w:rPr>
              <w:t>Primary data were collected from </w:t>
            </w:r>
            <w:r w:rsidR="00EF5439" w:rsidRPr="00DC2429">
              <w:rPr>
                <w:rFonts w:ascii="Arial" w:eastAsia="Calibri" w:hAnsi="Arial" w:cs="Arial"/>
                <w:szCs w:val="22"/>
              </w:rPr>
              <w:t>88 respondents</w:t>
            </w:r>
            <w:r w:rsidR="00EF5439" w:rsidRPr="00EF5439">
              <w:rPr>
                <w:rFonts w:ascii="Arial" w:eastAsia="Calibri" w:hAnsi="Arial" w:cs="Arial"/>
                <w:szCs w:val="22"/>
              </w:rPr>
              <w:t>, including FPO Chief Executive Officers, accountants, and farmer members, through </w:t>
            </w:r>
            <w:r w:rsidR="00EF5439" w:rsidRPr="00DC2429">
              <w:rPr>
                <w:rFonts w:ascii="Arial" w:eastAsia="Calibri" w:hAnsi="Arial" w:cs="Arial"/>
                <w:szCs w:val="22"/>
              </w:rPr>
              <w:t>personal interviews</w:t>
            </w:r>
            <w:r w:rsidR="00EF5439">
              <w:rPr>
                <w:rFonts w:ascii="Arial" w:eastAsia="Calibri" w:hAnsi="Arial" w:cs="Arial"/>
                <w:b/>
                <w:bCs/>
                <w:szCs w:val="22"/>
              </w:rPr>
              <w:t>.</w:t>
            </w:r>
            <w:r w:rsidR="00EF5439" w:rsidRPr="00EF5439">
              <w:rPr>
                <w:rFonts w:ascii="Arial" w:eastAsia="Calibri" w:hAnsi="Arial" w:cs="Arial"/>
                <w:szCs w:val="22"/>
              </w:rPr>
              <w:t xml:space="preserve"> The collected responses were analyzed using </w:t>
            </w:r>
            <w:r w:rsidR="00EF5439" w:rsidRPr="00DC2429">
              <w:rPr>
                <w:rFonts w:ascii="Arial" w:eastAsia="Calibri" w:hAnsi="Arial" w:cs="Arial"/>
                <w:szCs w:val="22"/>
              </w:rPr>
              <w:t>thematic mapping</w:t>
            </w:r>
            <w:r w:rsidR="00EF5439" w:rsidRPr="00EF5439">
              <w:rPr>
                <w:rFonts w:ascii="Arial" w:eastAsia="Calibri" w:hAnsi="Arial" w:cs="Arial"/>
                <w:szCs w:val="22"/>
              </w:rPr>
              <w:t> to identify key problem areas, while </w:t>
            </w:r>
            <w:r w:rsidR="00EF5439" w:rsidRPr="00DC2429">
              <w:rPr>
                <w:rFonts w:ascii="Arial" w:eastAsia="Calibri" w:hAnsi="Arial" w:cs="Arial"/>
                <w:szCs w:val="22"/>
              </w:rPr>
              <w:t>frequency mapping</w:t>
            </w:r>
            <w:r w:rsidR="00EF5439" w:rsidRPr="00EF5439">
              <w:rPr>
                <w:rFonts w:ascii="Arial" w:eastAsia="Calibri" w:hAnsi="Arial" w:cs="Arial"/>
                <w:szCs w:val="22"/>
              </w:rPr>
              <w:t> was applied to determine the intensity and prevalence of issues under each theme.</w:t>
            </w:r>
            <w:commentRangeEnd w:id="1"/>
            <w:r w:rsidR="00277EC7">
              <w:rPr>
                <w:rStyle w:val="CommentReference"/>
                <w:rFonts w:ascii="Times New Roman" w:hAnsi="Times New Roman"/>
                <w:lang w:val="nb-NO" w:eastAsia="nb-NO"/>
              </w:rPr>
              <w:commentReference w:id="1"/>
            </w:r>
          </w:p>
          <w:p w14:paraId="60C91884" w14:textId="0BED6A4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F5439" w:rsidRPr="00EF5439">
              <w:rPr>
                <w:rFonts w:ascii="Arial" w:eastAsia="Calibri" w:hAnsi="Arial" w:cs="Arial"/>
                <w:szCs w:val="22"/>
              </w:rPr>
              <w:t>The findings revealed that </w:t>
            </w:r>
            <w:r w:rsidR="00EF5439" w:rsidRPr="00DC2429">
              <w:rPr>
                <w:rFonts w:ascii="Arial" w:eastAsia="Calibri" w:hAnsi="Arial" w:cs="Arial"/>
                <w:szCs w:val="22"/>
              </w:rPr>
              <w:t>financial constraints</w:t>
            </w:r>
            <w:r w:rsidR="00EF5439" w:rsidRPr="00EF5439">
              <w:rPr>
                <w:rFonts w:ascii="Arial" w:eastAsia="Calibri" w:hAnsi="Arial" w:cs="Arial"/>
                <w:szCs w:val="22"/>
              </w:rPr>
              <w:t> were among the most critical issues, with 67.05% reporting delayed release of government funds and 57.95% citing inadequate working capital. </w:t>
            </w:r>
            <w:r w:rsidR="00EF5439" w:rsidRPr="00DC2429">
              <w:rPr>
                <w:rFonts w:ascii="Arial" w:eastAsia="Calibri" w:hAnsi="Arial" w:cs="Arial"/>
                <w:szCs w:val="22"/>
              </w:rPr>
              <w:t>Infrastructure deficits</w:t>
            </w:r>
            <w:r w:rsidR="00EF5439" w:rsidRPr="00EF5439">
              <w:rPr>
                <w:rFonts w:ascii="Arial" w:eastAsia="Calibri" w:hAnsi="Arial" w:cs="Arial"/>
                <w:szCs w:val="22"/>
              </w:rPr>
              <w:t>, such as the lack of warehouse and cold storage facilities (92.05%), were nearly universal. </w:t>
            </w:r>
            <w:r w:rsidR="00EF5439" w:rsidRPr="00DC2429">
              <w:rPr>
                <w:rFonts w:ascii="Arial" w:eastAsia="Calibri" w:hAnsi="Arial" w:cs="Arial"/>
                <w:szCs w:val="22"/>
              </w:rPr>
              <w:t>Governance issues</w:t>
            </w:r>
            <w:r w:rsidR="00EF5439" w:rsidRPr="00EF5439">
              <w:rPr>
                <w:rFonts w:ascii="Arial" w:eastAsia="Calibri" w:hAnsi="Arial" w:cs="Arial"/>
                <w:szCs w:val="22"/>
              </w:rPr>
              <w:t> included members being unaware of leadership details (57.95%) and irregularly held Annual General Meetings (51.14%). </w:t>
            </w:r>
            <w:r w:rsidR="00EF5439" w:rsidRPr="00DC2429">
              <w:rPr>
                <w:rFonts w:ascii="Arial" w:eastAsia="Calibri" w:hAnsi="Arial" w:cs="Arial"/>
                <w:szCs w:val="22"/>
              </w:rPr>
              <w:t>Weak market linkages</w:t>
            </w:r>
            <w:r w:rsidR="002700E9">
              <w:rPr>
                <w:rFonts w:ascii="Arial" w:eastAsia="Calibri" w:hAnsi="Arial" w:cs="Arial"/>
                <w:szCs w:val="22"/>
              </w:rPr>
              <w:t xml:space="preserve"> </w:t>
            </w:r>
            <w:r w:rsidR="00EF5439" w:rsidRPr="00EF5439">
              <w:rPr>
                <w:rFonts w:ascii="Arial" w:eastAsia="Calibri" w:hAnsi="Arial" w:cs="Arial"/>
                <w:szCs w:val="22"/>
              </w:rPr>
              <w:t>(lack of brand visibility, 55.68%), </w:t>
            </w:r>
            <w:r w:rsidR="00EF5439" w:rsidRPr="00DC2429">
              <w:rPr>
                <w:rFonts w:ascii="Arial" w:eastAsia="Calibri" w:hAnsi="Arial" w:cs="Arial"/>
                <w:szCs w:val="22"/>
              </w:rPr>
              <w:t>low member engagemen</w:t>
            </w:r>
            <w:r w:rsidR="00EF5439" w:rsidRPr="00EF5439">
              <w:rPr>
                <w:rFonts w:ascii="Arial" w:eastAsia="Calibri" w:hAnsi="Arial" w:cs="Arial"/>
                <w:b/>
                <w:bCs/>
                <w:szCs w:val="22"/>
              </w:rPr>
              <w:t>t</w:t>
            </w:r>
            <w:r w:rsidR="00EF5439" w:rsidRPr="00EF5439">
              <w:rPr>
                <w:rFonts w:ascii="Arial" w:eastAsia="Calibri" w:hAnsi="Arial" w:cs="Arial"/>
                <w:szCs w:val="22"/>
              </w:rPr>
              <w:t> (meeting attendance, 52.27%), and </w:t>
            </w:r>
            <w:r w:rsidR="00EF5439" w:rsidRPr="00DC2429">
              <w:rPr>
                <w:rFonts w:ascii="Arial" w:eastAsia="Calibri" w:hAnsi="Arial" w:cs="Arial"/>
                <w:szCs w:val="22"/>
              </w:rPr>
              <w:t>information g</w:t>
            </w:r>
            <w:r w:rsidR="00EF5439" w:rsidRPr="00F64DDC">
              <w:rPr>
                <w:rFonts w:ascii="Arial" w:eastAsia="Calibri" w:hAnsi="Arial" w:cs="Arial"/>
                <w:szCs w:val="22"/>
              </w:rPr>
              <w:t>aps</w:t>
            </w:r>
            <w:r w:rsidR="00C362BF">
              <w:rPr>
                <w:rFonts w:ascii="Arial" w:eastAsia="Calibri" w:hAnsi="Arial" w:cs="Arial"/>
                <w:szCs w:val="22"/>
              </w:rPr>
              <w:t xml:space="preserve"> </w:t>
            </w:r>
            <w:r w:rsidR="00EF5439" w:rsidRPr="00EF5439">
              <w:rPr>
                <w:rFonts w:ascii="Arial" w:eastAsia="Calibri" w:hAnsi="Arial" w:cs="Arial"/>
                <w:szCs w:val="22"/>
              </w:rPr>
              <w:t>(members not updated on prices and schemes, 64.77%) further constrained performance. Capacity-building needs and policy compliance delays also emerged as significant organizational weaknesses.</w:t>
            </w:r>
          </w:p>
          <w:p w14:paraId="1DBE5BBE" w14:textId="5240A6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A39D7">
              <w:rPr>
                <w:rFonts w:ascii="Arial" w:eastAsia="Calibri" w:hAnsi="Arial" w:cs="Arial"/>
                <w:szCs w:val="22"/>
              </w:rPr>
              <w:t>A significant disconnect was found between policy intent and field level implementation was evident, therefore policy focus must shift from formation to consolidation</w:t>
            </w:r>
            <w:r w:rsidR="007F3F96">
              <w:rPr>
                <w:rFonts w:ascii="Arial" w:eastAsia="Calibri" w:hAnsi="Arial" w:cs="Arial"/>
                <w:szCs w:val="22"/>
              </w:rPr>
              <w:t xml:space="preserve">. </w:t>
            </w:r>
            <w:r w:rsidR="007F3F96" w:rsidRPr="007F3F96">
              <w:rPr>
                <w:rFonts w:ascii="Arial" w:eastAsia="Calibri" w:hAnsi="Arial" w:cs="Arial"/>
                <w:szCs w:val="22"/>
              </w:rPr>
              <w:t>Future interventions should adopt a systems approach</w:t>
            </w:r>
            <w:r w:rsidR="007F3F96">
              <w:rPr>
                <w:rFonts w:ascii="Arial" w:eastAsia="Calibri" w:hAnsi="Arial" w:cs="Arial"/>
                <w:szCs w:val="22"/>
              </w:rPr>
              <w:t xml:space="preserve"> </w:t>
            </w:r>
            <w:r w:rsidR="007F3F96" w:rsidRPr="007F3F96">
              <w:rPr>
                <w:rFonts w:ascii="Arial" w:eastAsia="Calibri" w:hAnsi="Arial" w:cs="Arial"/>
                <w:szCs w:val="22"/>
              </w:rPr>
              <w:t>linking finance, governance, and technology</w:t>
            </w:r>
            <w:r w:rsidR="007F3F96">
              <w:rPr>
                <w:rFonts w:ascii="Arial" w:eastAsia="Calibri" w:hAnsi="Arial" w:cs="Arial"/>
                <w:szCs w:val="22"/>
              </w:rPr>
              <w:t xml:space="preserve"> </w:t>
            </w:r>
            <w:r w:rsidR="007F3F96" w:rsidRPr="007F3F96">
              <w:rPr>
                <w:rFonts w:ascii="Arial" w:eastAsia="Calibri" w:hAnsi="Arial" w:cs="Arial"/>
                <w:szCs w:val="22"/>
              </w:rPr>
              <w:t>to create resilient, transparent, and self-sustaining farmer institutions capable of navigating the complexity of modern agricultural markets</w:t>
            </w:r>
            <w:r w:rsidR="007F3F96">
              <w:rPr>
                <w:rFonts w:ascii="Arial" w:eastAsia="Calibri" w:hAnsi="Arial" w:cs="Arial"/>
                <w:szCs w:val="22"/>
              </w:rPr>
              <w:t>.</w:t>
            </w:r>
          </w:p>
          <w:p w14:paraId="2AD24F0F" w14:textId="5BA57679" w:rsidR="00505F06" w:rsidRPr="00BA1B01" w:rsidRDefault="00505F06" w:rsidP="00441B6F">
            <w:pPr>
              <w:pStyle w:val="Body"/>
              <w:spacing w:after="0"/>
              <w:rPr>
                <w:rFonts w:ascii="Arial" w:eastAsia="Calibri" w:hAnsi="Arial" w:cs="Arial"/>
                <w:szCs w:val="22"/>
              </w:rPr>
            </w:pPr>
          </w:p>
        </w:tc>
      </w:tr>
    </w:tbl>
    <w:p w14:paraId="7D1CB9D5" w14:textId="77777777" w:rsidR="00636EB2" w:rsidRDefault="00636EB2" w:rsidP="00441B6F">
      <w:pPr>
        <w:pStyle w:val="Body"/>
        <w:spacing w:after="0"/>
        <w:rPr>
          <w:rFonts w:ascii="Arial" w:hAnsi="Arial" w:cs="Arial"/>
          <w:i/>
        </w:rPr>
      </w:pPr>
    </w:p>
    <w:p w14:paraId="52122A05" w14:textId="72F74C3D" w:rsidR="00A24E7E" w:rsidRDefault="00A24E7E" w:rsidP="00441B6F">
      <w:pPr>
        <w:pStyle w:val="Body"/>
        <w:spacing w:after="0"/>
        <w:rPr>
          <w:rFonts w:ascii="Arial" w:hAnsi="Arial" w:cs="Arial"/>
          <w:i/>
        </w:rPr>
      </w:pPr>
      <w:r>
        <w:rPr>
          <w:rFonts w:ascii="Arial" w:hAnsi="Arial" w:cs="Arial"/>
          <w:i/>
        </w:rPr>
        <w:t xml:space="preserve">Keywords: </w:t>
      </w:r>
      <w:r w:rsidR="00EF5439">
        <w:rPr>
          <w:rFonts w:ascii="Arial" w:hAnsi="Arial" w:cs="Arial"/>
          <w:i/>
        </w:rPr>
        <w:t>FPO, Thematic analysis, Management, Challenges</w:t>
      </w:r>
    </w:p>
    <w:p w14:paraId="70171D29" w14:textId="77777777" w:rsidR="00505F06" w:rsidRPr="00A24E7E" w:rsidRDefault="00505F06" w:rsidP="00441B6F">
      <w:pPr>
        <w:pStyle w:val="Body"/>
        <w:spacing w:after="0"/>
        <w:rPr>
          <w:rFonts w:ascii="Arial" w:hAnsi="Arial" w:cs="Arial"/>
          <w:i/>
        </w:rPr>
      </w:pPr>
    </w:p>
    <w:p w14:paraId="41C6B118" w14:textId="2B073C1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84C1A7" w14:textId="77777777" w:rsidR="00790ADA" w:rsidRPr="00FB3A86" w:rsidRDefault="00790ADA" w:rsidP="00441B6F">
      <w:pPr>
        <w:pStyle w:val="AbstHead"/>
        <w:spacing w:after="0"/>
        <w:jc w:val="both"/>
        <w:rPr>
          <w:rFonts w:ascii="Arial" w:hAnsi="Arial" w:cs="Arial"/>
        </w:rPr>
      </w:pPr>
    </w:p>
    <w:p w14:paraId="60C3B30D" w14:textId="77777777" w:rsidR="00092983" w:rsidRDefault="00841585" w:rsidP="00092983">
      <w:pPr>
        <w:pStyle w:val="Body"/>
        <w:rPr>
          <w:rFonts w:ascii="Arial" w:hAnsi="Arial" w:cs="Arial"/>
          <w:lang w:val="en-IN"/>
        </w:rPr>
      </w:pPr>
      <w:r w:rsidRPr="00841585">
        <w:rPr>
          <w:rFonts w:ascii="Arial" w:hAnsi="Arial" w:cs="Arial"/>
          <w:lang w:val="en-IN"/>
        </w:rPr>
        <w:t>The population of small and marginal farmers in India continues to rise due to ongoing land fragmentation and intergenerational subdivision of holdings (</w:t>
      </w:r>
      <w:r w:rsidR="00100250" w:rsidRPr="00841585">
        <w:rPr>
          <w:rFonts w:ascii="Arial" w:hAnsi="Arial" w:cs="Arial"/>
          <w:lang w:val="en-IN"/>
        </w:rPr>
        <w:t xml:space="preserve">Roy </w:t>
      </w:r>
      <w:r w:rsidRPr="00841585">
        <w:rPr>
          <w:rFonts w:ascii="Arial" w:hAnsi="Arial" w:cs="Arial"/>
          <w:lang w:val="en-IN"/>
        </w:rPr>
        <w:t xml:space="preserve">et al., 2020). Farmers owning up to two hectares of land are categorized as small and marginal, which limits their access to resources and weakens their bargaining power in both input and output markets (Vijayakumar, </w:t>
      </w:r>
      <w:r w:rsidRPr="00841585">
        <w:rPr>
          <w:rFonts w:ascii="Arial" w:hAnsi="Arial" w:cs="Arial"/>
          <w:lang w:val="en-IN"/>
        </w:rPr>
        <w:lastRenderedPageBreak/>
        <w:t>2021). To overcome these structural limitations, the Government of India launched the </w:t>
      </w:r>
      <w:r w:rsidRPr="00841585">
        <w:rPr>
          <w:rFonts w:ascii="Arial" w:hAnsi="Arial" w:cs="Arial"/>
          <w:bCs/>
          <w:lang w:val="en-IN"/>
        </w:rPr>
        <w:t>Central Sector Scheme on the “Formation and Promotion of 10,000 Farmer Producer Organizations (FPOs)”</w:t>
      </w:r>
      <w:r w:rsidRPr="00841585">
        <w:rPr>
          <w:rFonts w:ascii="Arial" w:hAnsi="Arial" w:cs="Arial"/>
          <w:lang w:val="en-IN"/>
        </w:rPr>
        <w:t xml:space="preserve"> in 2020–2021, with a total financial outlay of ₹6,862 crore. The initiative aims to empower farmers by promoting collective action, achieving economies of scale, improving market access, and enhancing income opportunities. </w:t>
      </w:r>
      <w:r w:rsidR="00092983" w:rsidRPr="00092983">
        <w:rPr>
          <w:rFonts w:ascii="Arial" w:hAnsi="Arial" w:cs="Arial"/>
          <w:lang w:val="en-IN"/>
        </w:rPr>
        <w:t>By 8th August 2025, a total of 10,000 FPOs had been established across the</w:t>
      </w:r>
      <w:r w:rsidR="00092983">
        <w:rPr>
          <w:rFonts w:ascii="Arial" w:hAnsi="Arial" w:cs="Arial"/>
          <w:lang w:val="en-IN"/>
        </w:rPr>
        <w:t xml:space="preserve"> </w:t>
      </w:r>
      <w:r w:rsidR="00092983" w:rsidRPr="00092983">
        <w:rPr>
          <w:rFonts w:ascii="Arial" w:hAnsi="Arial" w:cs="Arial"/>
          <w:lang w:val="en-IN"/>
        </w:rPr>
        <w:t>India. The interventions introduced under this initiative have collectively enabled FPOs</w:t>
      </w:r>
      <w:r w:rsidR="00092983">
        <w:rPr>
          <w:rFonts w:ascii="Arial" w:hAnsi="Arial" w:cs="Arial"/>
          <w:lang w:val="en-IN"/>
        </w:rPr>
        <w:t xml:space="preserve"> </w:t>
      </w:r>
      <w:r w:rsidR="00092983" w:rsidRPr="00092983">
        <w:rPr>
          <w:rFonts w:ascii="Arial" w:hAnsi="Arial" w:cs="Arial"/>
          <w:lang w:val="en-IN"/>
        </w:rPr>
        <w:t>to achieve a turnover of ₹5,035.5 crore as of 30th June 2025 (PIB,2025).</w:t>
      </w:r>
    </w:p>
    <w:p w14:paraId="18BED716" w14:textId="0CB0413F" w:rsidR="00841585" w:rsidRPr="00841585" w:rsidRDefault="00841585" w:rsidP="00092983">
      <w:pPr>
        <w:pStyle w:val="Body"/>
        <w:rPr>
          <w:rFonts w:ascii="Arial" w:hAnsi="Arial" w:cs="Arial"/>
          <w:lang w:val="en-IN"/>
        </w:rPr>
      </w:pPr>
      <w:r w:rsidRPr="00841585">
        <w:rPr>
          <w:rFonts w:ascii="Arial" w:hAnsi="Arial" w:cs="Arial"/>
          <w:lang w:val="en-IN"/>
        </w:rPr>
        <w:t xml:space="preserve">A Farmer Producer Organization (FPO) is a member-based collective enterprise designed to strengthen farmers’ livelihoods through shared ownership and profit distribution (Adhikari et al., 2021). FPOs enable smallholders to collectively procure inputs, access extension services, obtain credit, and establish forward linkages for marketing and processing (Singh and </w:t>
      </w:r>
      <w:proofErr w:type="spellStart"/>
      <w:r w:rsidRPr="00841585">
        <w:rPr>
          <w:rFonts w:ascii="Arial" w:hAnsi="Arial" w:cs="Arial"/>
          <w:lang w:val="en-IN"/>
        </w:rPr>
        <w:t>Vatta</w:t>
      </w:r>
      <w:proofErr w:type="spellEnd"/>
      <w:r w:rsidRPr="00841585">
        <w:rPr>
          <w:rFonts w:ascii="Arial" w:hAnsi="Arial" w:cs="Arial"/>
          <w:lang w:val="en-IN"/>
        </w:rPr>
        <w:t>, 2019). These organizations have the potential to increase farmers’ incomes by reducing transaction costs, mitigating risks, and promoting better access to technology and markets (</w:t>
      </w:r>
      <w:proofErr w:type="spellStart"/>
      <w:r w:rsidRPr="00841585">
        <w:rPr>
          <w:rFonts w:ascii="Arial" w:hAnsi="Arial" w:cs="Arial"/>
          <w:lang w:val="en-IN"/>
        </w:rPr>
        <w:t>Rathour</w:t>
      </w:r>
      <w:proofErr w:type="spellEnd"/>
      <w:r w:rsidRPr="00841585">
        <w:rPr>
          <w:rFonts w:ascii="Arial" w:hAnsi="Arial" w:cs="Arial"/>
          <w:lang w:val="en-IN"/>
        </w:rPr>
        <w:t>, 2022).</w:t>
      </w:r>
    </w:p>
    <w:p w14:paraId="6C4E1F69" w14:textId="708B8928" w:rsidR="00841585" w:rsidRPr="00841585" w:rsidRDefault="00841585" w:rsidP="00841585">
      <w:pPr>
        <w:pStyle w:val="Body"/>
        <w:spacing w:after="0"/>
        <w:rPr>
          <w:rFonts w:ascii="Arial" w:hAnsi="Arial" w:cs="Arial"/>
          <w:lang w:val="en-IN"/>
        </w:rPr>
      </w:pPr>
      <w:r w:rsidRPr="00841585">
        <w:rPr>
          <w:rFonts w:ascii="Arial" w:hAnsi="Arial" w:cs="Arial"/>
          <w:lang w:val="en-IN"/>
        </w:rPr>
        <w:t xml:space="preserve">In the Northeastern region of India, the FPO concept has gained increasing attention in recent years. However, the growth trajectory of these organizations has been uneven, and their performance has yet to reach full potential. </w:t>
      </w:r>
      <w:r w:rsidR="00E63213">
        <w:rPr>
          <w:rFonts w:ascii="Arial" w:hAnsi="Arial" w:cs="Arial"/>
          <w:lang w:val="en-IN"/>
        </w:rPr>
        <w:t xml:space="preserve">In the Northeast hilly region scenario, </w:t>
      </w:r>
      <w:r w:rsidRPr="00841585">
        <w:rPr>
          <w:rFonts w:ascii="Arial" w:hAnsi="Arial" w:cs="Arial"/>
          <w:lang w:val="en-IN"/>
        </w:rPr>
        <w:t>Arunachal Pradesh currently has the highest number of FPOs registered under the Central Sector Scheme, followed by Nagaland, Manipur, Tripura, Meghalaya, Mizoram, and Sikkim (</w:t>
      </w:r>
      <w:r w:rsidR="00EC7738">
        <w:rPr>
          <w:rFonts w:ascii="Arial" w:hAnsi="Arial" w:cs="Arial"/>
          <w:lang w:val="en-IN"/>
        </w:rPr>
        <w:t>PIB</w:t>
      </w:r>
      <w:r w:rsidRPr="00841585">
        <w:rPr>
          <w:rFonts w:ascii="Arial" w:hAnsi="Arial" w:cs="Arial"/>
          <w:lang w:val="en-IN"/>
        </w:rPr>
        <w:t xml:space="preserve">, 2024). Despite steady expansion, </w:t>
      </w:r>
      <w:r w:rsidR="00E2747F">
        <w:rPr>
          <w:rFonts w:ascii="Arial" w:hAnsi="Arial" w:cs="Arial"/>
          <w:lang w:val="en-IN"/>
        </w:rPr>
        <w:t>limited s</w:t>
      </w:r>
      <w:r w:rsidRPr="00841585">
        <w:rPr>
          <w:rFonts w:ascii="Arial" w:hAnsi="Arial" w:cs="Arial"/>
          <w:lang w:val="en-IN"/>
        </w:rPr>
        <w:t xml:space="preserve">tudies </w:t>
      </w:r>
      <w:r w:rsidR="00E2747F">
        <w:rPr>
          <w:rFonts w:ascii="Arial" w:hAnsi="Arial" w:cs="Arial"/>
          <w:lang w:val="en-IN"/>
        </w:rPr>
        <w:t xml:space="preserve">have been conducted in the Northeast region </w:t>
      </w:r>
      <w:r w:rsidRPr="00841585">
        <w:rPr>
          <w:rFonts w:ascii="Arial" w:hAnsi="Arial" w:cs="Arial"/>
          <w:lang w:val="en-IN"/>
        </w:rPr>
        <w:t>(</w:t>
      </w:r>
      <w:r w:rsidR="00E2747F">
        <w:rPr>
          <w:rFonts w:ascii="Arial" w:hAnsi="Arial" w:cs="Arial"/>
          <w:lang w:val="en-IN"/>
        </w:rPr>
        <w:t>Gurung</w:t>
      </w:r>
      <w:r w:rsidRPr="00841585">
        <w:rPr>
          <w:rFonts w:ascii="Arial" w:hAnsi="Arial" w:cs="Arial"/>
          <w:lang w:val="en-IN"/>
        </w:rPr>
        <w:t xml:space="preserve"> et al., 202</w:t>
      </w:r>
      <w:r w:rsidR="00E2747F">
        <w:rPr>
          <w:rFonts w:ascii="Arial" w:hAnsi="Arial" w:cs="Arial"/>
          <w:lang w:val="en-IN"/>
        </w:rPr>
        <w:t>3</w:t>
      </w:r>
      <w:r w:rsidRPr="00841585">
        <w:rPr>
          <w:rFonts w:ascii="Arial" w:hAnsi="Arial" w:cs="Arial"/>
          <w:lang w:val="en-IN"/>
        </w:rPr>
        <w:t>).</w:t>
      </w:r>
    </w:p>
    <w:p w14:paraId="0C17F6BC" w14:textId="4445D038" w:rsidR="00841585" w:rsidRPr="00841585" w:rsidRDefault="00841585" w:rsidP="00841585">
      <w:pPr>
        <w:pStyle w:val="Body"/>
        <w:spacing w:after="0"/>
        <w:rPr>
          <w:rFonts w:ascii="Arial" w:hAnsi="Arial" w:cs="Arial"/>
          <w:lang w:val="en-IN"/>
        </w:rPr>
      </w:pPr>
      <w:r w:rsidRPr="00841585">
        <w:rPr>
          <w:rFonts w:ascii="Arial" w:hAnsi="Arial" w:cs="Arial"/>
          <w:lang w:val="en-IN"/>
        </w:rPr>
        <w:t>Across India, FPOs encounter numerous managerial, financial, and institutional constraints. Commonly reported challenges include </w:t>
      </w:r>
      <w:r w:rsidRPr="00E63213">
        <w:rPr>
          <w:rFonts w:ascii="Arial" w:hAnsi="Arial" w:cs="Arial"/>
          <w:lang w:val="en-IN"/>
        </w:rPr>
        <w:t>inadequate professional management, lack of working capital, limited access to credit,</w:t>
      </w:r>
      <w:r w:rsidRPr="00841585">
        <w:rPr>
          <w:rFonts w:ascii="Arial" w:hAnsi="Arial" w:cs="Arial"/>
          <w:b/>
          <w:bCs/>
          <w:lang w:val="en-IN"/>
        </w:rPr>
        <w:t xml:space="preserve"> </w:t>
      </w:r>
      <w:r w:rsidRPr="00E63213">
        <w:rPr>
          <w:rFonts w:ascii="Arial" w:hAnsi="Arial" w:cs="Arial"/>
          <w:lang w:val="en-IN"/>
        </w:rPr>
        <w:t>weak governance practices, low member participation, and insufficient infrastructure</w:t>
      </w:r>
      <w:r w:rsidRPr="00841585">
        <w:rPr>
          <w:rFonts w:ascii="Arial" w:hAnsi="Arial" w:cs="Arial"/>
          <w:lang w:val="en-IN"/>
        </w:rPr>
        <w:t> (Gorai et al., 2022). Moreover, the agricultural sector’s growing complexity</w:t>
      </w:r>
      <w:r w:rsidR="00655446">
        <w:rPr>
          <w:rFonts w:ascii="Arial" w:hAnsi="Arial" w:cs="Arial"/>
          <w:lang w:val="en-IN"/>
        </w:rPr>
        <w:t xml:space="preserve"> </w:t>
      </w:r>
      <w:r w:rsidRPr="00841585">
        <w:rPr>
          <w:rFonts w:ascii="Arial" w:hAnsi="Arial" w:cs="Arial"/>
          <w:lang w:val="en-IN"/>
        </w:rPr>
        <w:t>marked by market volatility, information asymmetry, and rapid technological change</w:t>
      </w:r>
      <w:r w:rsidR="00655446">
        <w:rPr>
          <w:rFonts w:ascii="Arial" w:hAnsi="Arial" w:cs="Arial"/>
          <w:lang w:val="en-IN"/>
        </w:rPr>
        <w:t xml:space="preserve"> </w:t>
      </w:r>
      <w:r w:rsidRPr="00841585">
        <w:rPr>
          <w:rFonts w:ascii="Arial" w:hAnsi="Arial" w:cs="Arial"/>
          <w:lang w:val="en-IN"/>
        </w:rPr>
        <w:t xml:space="preserve">demands stronger organizational and leadership capacity within FPOs (Malik and </w:t>
      </w:r>
      <w:proofErr w:type="spellStart"/>
      <w:r w:rsidRPr="00841585">
        <w:rPr>
          <w:rFonts w:ascii="Arial" w:hAnsi="Arial" w:cs="Arial"/>
          <w:lang w:val="en-IN"/>
        </w:rPr>
        <w:t>Kajale</w:t>
      </w:r>
      <w:proofErr w:type="spellEnd"/>
      <w:r w:rsidRPr="00841585">
        <w:rPr>
          <w:rFonts w:ascii="Arial" w:hAnsi="Arial" w:cs="Arial"/>
          <w:lang w:val="en-IN"/>
        </w:rPr>
        <w:t>, 2024). While digital and data-driven innovations are transforming agriculture globally (Nowak, 2021), many FPOs and their stakeholders struggle to translate these opportunities into effective organizational practices due to capacity and coordination gaps (Charvat et al., 2018).</w:t>
      </w:r>
    </w:p>
    <w:p w14:paraId="0E6139E1"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Given these challenges, a deeper understanding of the </w:t>
      </w:r>
      <w:r w:rsidRPr="00E63213">
        <w:rPr>
          <w:rFonts w:ascii="Arial" w:hAnsi="Arial" w:cs="Arial"/>
          <w:lang w:val="en-IN"/>
        </w:rPr>
        <w:t>management constraints</w:t>
      </w:r>
      <w:r w:rsidRPr="00841585">
        <w:rPr>
          <w:rFonts w:ascii="Arial" w:hAnsi="Arial" w:cs="Arial"/>
          <w:lang w:val="en-IN"/>
        </w:rPr>
        <w:t> faced by FPOs is crucial to improving their functioning and long-term viability. Existing studies have largely focused on economic or marketing aspects, leaving a gap in the literature regarding the </w:t>
      </w:r>
      <w:r w:rsidRPr="00E63213">
        <w:rPr>
          <w:rFonts w:ascii="Arial" w:hAnsi="Arial" w:cs="Arial"/>
          <w:lang w:val="en-IN"/>
        </w:rPr>
        <w:t>managerial and organizational dynamics</w:t>
      </w:r>
      <w:r w:rsidRPr="00841585">
        <w:rPr>
          <w:rFonts w:ascii="Arial" w:hAnsi="Arial" w:cs="Arial"/>
          <w:lang w:val="en-IN"/>
        </w:rPr>
        <w:t> that shape FPO performance.</w:t>
      </w:r>
    </w:p>
    <w:p w14:paraId="42F62D54"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This study, therefore, adopts a </w:t>
      </w:r>
      <w:r w:rsidRPr="00E63213">
        <w:rPr>
          <w:rFonts w:ascii="Arial" w:hAnsi="Arial" w:cs="Arial"/>
          <w:lang w:val="en-IN"/>
        </w:rPr>
        <w:t>qualitative approach</w:t>
      </w:r>
      <w:r w:rsidRPr="00841585">
        <w:rPr>
          <w:rFonts w:ascii="Arial" w:hAnsi="Arial" w:cs="Arial"/>
          <w:lang w:val="en-IN"/>
        </w:rPr>
        <w:t xml:space="preserve"> to explore and </w:t>
      </w:r>
      <w:proofErr w:type="spellStart"/>
      <w:r w:rsidRPr="00841585">
        <w:rPr>
          <w:rFonts w:ascii="Arial" w:hAnsi="Arial" w:cs="Arial"/>
          <w:lang w:val="en-IN"/>
        </w:rPr>
        <w:t>analyze</w:t>
      </w:r>
      <w:proofErr w:type="spellEnd"/>
      <w:r w:rsidRPr="00841585">
        <w:rPr>
          <w:rFonts w:ascii="Arial" w:hAnsi="Arial" w:cs="Arial"/>
          <w:lang w:val="en-IN"/>
        </w:rPr>
        <w:t xml:space="preserve"> the management challenges faced by FPOs. By documenting the experiences and perceptions of FPO leaders, accountants, and farmer members, the study aims to provide an evidence-based understanding of the factors that influence FPO operations, transparency, and sustainability. The findings are expected to contribute to policy and institutional strategies that strengthen the managerial foundations of FPOs and enhance their role as farmer-led, self-sustaining organizations.</w:t>
      </w:r>
    </w:p>
    <w:p w14:paraId="2EBEC9C7" w14:textId="77777777" w:rsidR="00790ADA" w:rsidRPr="00FB3A86" w:rsidRDefault="00790ADA" w:rsidP="00441B6F">
      <w:pPr>
        <w:pStyle w:val="Body"/>
        <w:spacing w:after="0"/>
        <w:rPr>
          <w:rFonts w:ascii="Arial" w:hAnsi="Arial" w:cs="Arial"/>
        </w:rPr>
      </w:pPr>
    </w:p>
    <w:p w14:paraId="5200D168" w14:textId="5D1B54B8" w:rsidR="00790ADA" w:rsidRDefault="00902823" w:rsidP="00441B6F">
      <w:pPr>
        <w:pStyle w:val="AbstHead"/>
        <w:spacing w:after="0"/>
        <w:jc w:val="both"/>
        <w:rPr>
          <w:rFonts w:ascii="Arial" w:hAnsi="Arial" w:cs="Arial"/>
        </w:rPr>
      </w:pPr>
      <w:r>
        <w:rPr>
          <w:rFonts w:ascii="Arial" w:hAnsi="Arial" w:cs="Arial"/>
        </w:rPr>
        <w:t xml:space="preserve">2. </w:t>
      </w:r>
      <w:r w:rsidRPr="00277EC7">
        <w:rPr>
          <w:rFonts w:ascii="Arial" w:hAnsi="Arial" w:cs="Arial"/>
          <w:strike/>
          <w:color w:val="EE0000"/>
        </w:rPr>
        <w:t>material and</w:t>
      </w:r>
      <w:r w:rsidRPr="00277EC7">
        <w:rPr>
          <w:rFonts w:ascii="Arial" w:hAnsi="Arial" w:cs="Arial"/>
          <w:color w:val="EE0000"/>
        </w:rPr>
        <w:t xml:space="preserve"> </w:t>
      </w:r>
      <w:commentRangeStart w:id="2"/>
      <w:r w:rsidRPr="00277EC7">
        <w:rPr>
          <w:rFonts w:ascii="Arial" w:hAnsi="Arial" w:cs="Arial"/>
          <w:highlight w:val="yellow"/>
        </w:rPr>
        <w:t>method</w:t>
      </w:r>
      <w:r w:rsidR="00277EC7" w:rsidRPr="00277EC7">
        <w:rPr>
          <w:rFonts w:ascii="Arial" w:hAnsi="Arial" w:cs="Arial"/>
          <w:highlight w:val="yellow"/>
        </w:rPr>
        <w:t>OLOGY</w:t>
      </w:r>
      <w:r w:rsidR="00000F8F">
        <w:rPr>
          <w:rFonts w:ascii="Arial" w:hAnsi="Arial" w:cs="Arial"/>
        </w:rPr>
        <w:t xml:space="preserve"> </w:t>
      </w:r>
      <w:commentRangeEnd w:id="2"/>
      <w:r w:rsidR="00277EC7">
        <w:rPr>
          <w:rStyle w:val="CommentReference"/>
          <w:rFonts w:ascii="Times New Roman" w:hAnsi="Times New Roman"/>
          <w:b w:val="0"/>
          <w:caps w:val="0"/>
          <w:lang w:val="nb-NO" w:eastAsia="nb-NO"/>
        </w:rPr>
        <w:commentReference w:id="2"/>
      </w:r>
    </w:p>
    <w:p w14:paraId="135CEAE3" w14:textId="77777777" w:rsidR="008F2BE7" w:rsidRDefault="008F2BE7" w:rsidP="00441B6F">
      <w:pPr>
        <w:pStyle w:val="AbstHead"/>
        <w:spacing w:after="0"/>
        <w:jc w:val="both"/>
        <w:rPr>
          <w:rFonts w:ascii="Arial" w:hAnsi="Arial" w:cs="Arial"/>
        </w:rPr>
      </w:pPr>
    </w:p>
    <w:p w14:paraId="0C024E80" w14:textId="6CFF3F6E" w:rsidR="00BF11C5" w:rsidRDefault="008F2BE7" w:rsidP="008F2BE7">
      <w:pPr>
        <w:pStyle w:val="AbstHead"/>
        <w:spacing w:after="0"/>
        <w:jc w:val="both"/>
        <w:rPr>
          <w:rFonts w:ascii="Arial" w:hAnsi="Arial" w:cs="Arial"/>
          <w:b w:val="0"/>
          <w:bCs/>
          <w:caps w:val="0"/>
          <w:sz w:val="20"/>
        </w:rPr>
      </w:pPr>
      <w:r w:rsidRPr="008F2BE7">
        <w:rPr>
          <w:rFonts w:ascii="Arial" w:hAnsi="Arial" w:cs="Arial"/>
          <w:b w:val="0"/>
          <w:bCs/>
          <w:caps w:val="0"/>
          <w:sz w:val="20"/>
        </w:rPr>
        <w:t xml:space="preserve">The present study employed a qualitative case study research design, grounded in the methodological framework articulated by Creswell (2009), to systematically examine the major management challenges affecting the functioning and long-term sustainability of Farmer Producer Organizations (FPOs). According to Cresswell (2009), a qualitative case study design is particularly appropriate when the research aims to generate an in-depth and </w:t>
      </w:r>
      <w:r w:rsidRPr="008F2BE7">
        <w:rPr>
          <w:rFonts w:ascii="Arial" w:hAnsi="Arial" w:cs="Arial"/>
          <w:b w:val="0"/>
          <w:bCs/>
          <w:caps w:val="0"/>
          <w:sz w:val="20"/>
        </w:rPr>
        <w:lastRenderedPageBreak/>
        <w:t xml:space="preserve">contextually embedded understanding of a bounded system, allowing for the comprehensive analysis of complex organizational phenomena within their real-life settings </w:t>
      </w:r>
      <w:r w:rsidR="000856B7" w:rsidRPr="008F2BE7">
        <w:rPr>
          <w:rFonts w:ascii="Arial" w:hAnsi="Arial" w:cs="Arial"/>
          <w:b w:val="0"/>
          <w:bCs/>
          <w:caps w:val="0"/>
          <w:sz w:val="20"/>
        </w:rPr>
        <w:t>using</w:t>
      </w:r>
      <w:r w:rsidRPr="008F2BE7">
        <w:rPr>
          <w:rFonts w:ascii="Arial" w:hAnsi="Arial" w:cs="Arial"/>
          <w:b w:val="0"/>
          <w:bCs/>
          <w:caps w:val="0"/>
          <w:sz w:val="20"/>
        </w:rPr>
        <w:t xml:space="preserve"> multiple sources of qualitative evidence.</w:t>
      </w:r>
    </w:p>
    <w:p w14:paraId="6B82AB59" w14:textId="463EAD96" w:rsidR="008F2BE7" w:rsidRPr="000856B7" w:rsidRDefault="008F2BE7" w:rsidP="008F2BE7">
      <w:pPr>
        <w:pStyle w:val="AbstHead"/>
        <w:spacing w:after="0"/>
        <w:jc w:val="both"/>
        <w:rPr>
          <w:rFonts w:ascii="Arial" w:hAnsi="Arial" w:cs="Arial"/>
          <w:b w:val="0"/>
          <w:sz w:val="20"/>
          <w:lang w:val="en-IN"/>
        </w:rPr>
      </w:pPr>
      <w:r w:rsidRPr="000856B7">
        <w:rPr>
          <w:rFonts w:ascii="Arial" w:hAnsi="Arial" w:cs="Arial"/>
          <w:b w:val="0"/>
          <w:caps w:val="0"/>
          <w:sz w:val="20"/>
          <w:lang w:val="en-IN"/>
        </w:rPr>
        <w:t xml:space="preserve">The study was conducted in Arunachal Pradesh, which was purposively selected due to its diverse </w:t>
      </w:r>
      <w:proofErr w:type="spellStart"/>
      <w:r w:rsidRPr="000856B7">
        <w:rPr>
          <w:rFonts w:ascii="Arial" w:hAnsi="Arial" w:cs="Arial"/>
          <w:b w:val="0"/>
          <w:caps w:val="0"/>
          <w:sz w:val="20"/>
          <w:lang w:val="en-IN"/>
        </w:rPr>
        <w:t>agro</w:t>
      </w:r>
      <w:proofErr w:type="spellEnd"/>
      <w:r w:rsidRPr="000856B7">
        <w:rPr>
          <w:rFonts w:ascii="Arial" w:hAnsi="Arial" w:cs="Arial"/>
          <w:b w:val="0"/>
          <w:caps w:val="0"/>
          <w:sz w:val="20"/>
          <w:lang w:val="en-IN"/>
        </w:rPr>
        <w:t xml:space="preserve">-climatic conditions and the presence of several active FPOs promoted under the central sector scheme on “formation and promotion of 10,000 </w:t>
      </w:r>
      <w:proofErr w:type="spellStart"/>
      <w:r w:rsidRPr="000856B7">
        <w:rPr>
          <w:rFonts w:ascii="Arial" w:hAnsi="Arial" w:cs="Arial"/>
          <w:b w:val="0"/>
          <w:caps w:val="0"/>
          <w:sz w:val="20"/>
          <w:lang w:val="en-IN"/>
        </w:rPr>
        <w:t>fpos</w:t>
      </w:r>
      <w:proofErr w:type="spellEnd"/>
      <w:r w:rsidRPr="000856B7">
        <w:rPr>
          <w:rFonts w:ascii="Arial" w:hAnsi="Arial" w:cs="Arial"/>
          <w:b w:val="0"/>
          <w:caps w:val="0"/>
          <w:sz w:val="20"/>
          <w:lang w:val="en-IN"/>
        </w:rPr>
        <w:t>.” four farmer producer companies (</w:t>
      </w:r>
      <w:r w:rsidR="000856B7" w:rsidRPr="000856B7">
        <w:rPr>
          <w:rFonts w:ascii="Arial" w:hAnsi="Arial" w:cs="Arial"/>
          <w:b w:val="0"/>
          <w:caps w:val="0"/>
          <w:sz w:val="20"/>
          <w:lang w:val="en-IN"/>
        </w:rPr>
        <w:t>FPC</w:t>
      </w:r>
      <w:r w:rsidRPr="000856B7">
        <w:rPr>
          <w:rFonts w:ascii="Arial" w:hAnsi="Arial" w:cs="Arial"/>
          <w:b w:val="0"/>
          <w:caps w:val="0"/>
          <w:sz w:val="20"/>
          <w:lang w:val="en-IN"/>
        </w:rPr>
        <w:t>s), namely </w:t>
      </w:r>
      <w:r w:rsidR="000856B7" w:rsidRPr="000856B7">
        <w:rPr>
          <w:rFonts w:ascii="Arial" w:hAnsi="Arial" w:cs="Arial"/>
          <w:b w:val="0"/>
          <w:caps w:val="0"/>
          <w:sz w:val="20"/>
          <w:lang w:val="en-IN"/>
        </w:rPr>
        <w:t>Palin</w:t>
      </w:r>
      <w:r w:rsidRPr="000856B7">
        <w:rPr>
          <w:rFonts w:ascii="Arial" w:hAnsi="Arial" w:cs="Arial"/>
          <w:b w:val="0"/>
          <w:caps w:val="0"/>
          <w:sz w:val="20"/>
          <w:lang w:val="en-IN"/>
        </w:rPr>
        <w:t xml:space="preserve">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pices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w:t>
      </w:r>
      <w:r w:rsidRPr="000856B7">
        <w:rPr>
          <w:rFonts w:ascii="Arial" w:hAnsi="Arial" w:cs="Arial"/>
          <w:b w:val="0"/>
          <w:caps w:val="0"/>
          <w:sz w:val="20"/>
          <w:lang w:val="en-IN"/>
        </w:rPr>
        <w:t>imited,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ip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orang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pices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w:t>
      </w:r>
      <w:r w:rsidRPr="000856B7">
        <w:rPr>
          <w:rFonts w:ascii="Arial" w:hAnsi="Arial" w:cs="Arial"/>
          <w:b w:val="0"/>
          <w:caps w:val="0"/>
          <w:sz w:val="20"/>
          <w:lang w:val="en-IN"/>
        </w:rPr>
        <w:t>imited, </w:t>
      </w:r>
      <w:r w:rsidR="000856B7" w:rsidRPr="000856B7">
        <w:rPr>
          <w:rFonts w:ascii="Arial" w:hAnsi="Arial" w:cs="Arial"/>
          <w:b w:val="0"/>
          <w:caps w:val="0"/>
          <w:sz w:val="20"/>
          <w:lang w:val="en-IN"/>
        </w:rPr>
        <w:t>Y</w:t>
      </w:r>
      <w:r w:rsidRPr="000856B7">
        <w:rPr>
          <w:rFonts w:ascii="Arial" w:hAnsi="Arial" w:cs="Arial"/>
          <w:b w:val="0"/>
          <w:caps w:val="0"/>
          <w:sz w:val="20"/>
          <w:lang w:val="en-IN"/>
        </w:rPr>
        <w:t xml:space="preserve">angte </w:t>
      </w:r>
      <w:r w:rsidR="000856B7" w:rsidRPr="000856B7">
        <w:rPr>
          <w:rFonts w:ascii="Arial" w:hAnsi="Arial" w:cs="Arial"/>
          <w:b w:val="0"/>
          <w:caps w:val="0"/>
          <w:sz w:val="20"/>
          <w:lang w:val="en-IN"/>
        </w:rPr>
        <w:t>S</w:t>
      </w:r>
      <w:r w:rsidRPr="000856B7">
        <w:rPr>
          <w:rFonts w:ascii="Arial" w:hAnsi="Arial" w:cs="Arial"/>
          <w:b w:val="0"/>
          <w:caps w:val="0"/>
          <w:sz w:val="20"/>
          <w:lang w:val="en-IN"/>
        </w:rPr>
        <w:t xml:space="preserve">pice </w:t>
      </w:r>
      <w:r w:rsidR="000856B7" w:rsidRPr="000856B7">
        <w:rPr>
          <w:rFonts w:ascii="Arial" w:hAnsi="Arial" w:cs="Arial"/>
          <w:b w:val="0"/>
          <w:caps w:val="0"/>
          <w:sz w:val="20"/>
          <w:lang w:val="en-IN"/>
        </w:rPr>
        <w:t>H</w:t>
      </w:r>
      <w:r w:rsidRPr="000856B7">
        <w:rPr>
          <w:rFonts w:ascii="Arial" w:hAnsi="Arial" w:cs="Arial"/>
          <w:b w:val="0"/>
          <w:caps w:val="0"/>
          <w:sz w:val="20"/>
          <w:lang w:val="en-IN"/>
        </w:rPr>
        <w:t xml:space="preserve">ub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w:t>
      </w:r>
      <w:r w:rsidRPr="000856B7">
        <w:rPr>
          <w:rFonts w:ascii="Arial" w:hAnsi="Arial" w:cs="Arial"/>
          <w:b w:val="0"/>
          <w:caps w:val="0"/>
          <w:sz w:val="20"/>
          <w:lang w:val="en-IN"/>
        </w:rPr>
        <w:t>imited, and </w:t>
      </w:r>
      <w:proofErr w:type="spellStart"/>
      <w:r w:rsidR="000856B7" w:rsidRPr="000856B7">
        <w:rPr>
          <w:rFonts w:ascii="Arial" w:hAnsi="Arial" w:cs="Arial"/>
          <w:b w:val="0"/>
          <w:caps w:val="0"/>
          <w:sz w:val="20"/>
          <w:lang w:val="en-IN"/>
        </w:rPr>
        <w:t>B</w:t>
      </w:r>
      <w:r w:rsidRPr="000856B7">
        <w:rPr>
          <w:rFonts w:ascii="Arial" w:hAnsi="Arial" w:cs="Arial"/>
          <w:b w:val="0"/>
          <w:caps w:val="0"/>
          <w:sz w:val="20"/>
          <w:lang w:val="en-IN"/>
        </w:rPr>
        <w:t>aririjo</w:t>
      </w:r>
      <w:proofErr w:type="spellEnd"/>
      <w:r w:rsidRPr="000856B7">
        <w:rPr>
          <w:rFonts w:ascii="Arial" w:hAnsi="Arial" w:cs="Arial"/>
          <w:b w:val="0"/>
          <w:caps w:val="0"/>
          <w:sz w:val="20"/>
          <w:lang w:val="en-IN"/>
        </w:rPr>
        <w:t xml:space="preserve"> </w:t>
      </w:r>
      <w:proofErr w:type="spellStart"/>
      <w:r w:rsidR="000856B7" w:rsidRPr="000856B7">
        <w:rPr>
          <w:rFonts w:ascii="Arial" w:hAnsi="Arial" w:cs="Arial"/>
          <w:b w:val="0"/>
          <w:caps w:val="0"/>
          <w:sz w:val="20"/>
          <w:lang w:val="en-IN"/>
        </w:rPr>
        <w:t>A</w:t>
      </w:r>
      <w:r w:rsidRPr="000856B7">
        <w:rPr>
          <w:rFonts w:ascii="Arial" w:hAnsi="Arial" w:cs="Arial"/>
          <w:b w:val="0"/>
          <w:caps w:val="0"/>
          <w:sz w:val="20"/>
          <w:lang w:val="en-IN"/>
        </w:rPr>
        <w:t>gro</w:t>
      </w:r>
      <w:proofErr w:type="spellEnd"/>
      <w:r w:rsidRPr="000856B7">
        <w:rPr>
          <w:rFonts w:ascii="Arial" w:hAnsi="Arial" w:cs="Arial"/>
          <w:b w:val="0"/>
          <w:caps w:val="0"/>
          <w:sz w:val="20"/>
          <w:lang w:val="en-IN"/>
        </w:rPr>
        <w:t xml:space="preserve">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ulture </w:t>
      </w:r>
      <w:r w:rsidR="000856B7" w:rsidRPr="000856B7">
        <w:rPr>
          <w:rFonts w:ascii="Arial" w:hAnsi="Arial" w:cs="Arial"/>
          <w:b w:val="0"/>
          <w:caps w:val="0"/>
          <w:sz w:val="20"/>
          <w:lang w:val="en-IN"/>
        </w:rPr>
        <w:t>F</w:t>
      </w:r>
      <w:r w:rsidRPr="000856B7">
        <w:rPr>
          <w:rFonts w:ascii="Arial" w:hAnsi="Arial" w:cs="Arial"/>
          <w:b w:val="0"/>
          <w:caps w:val="0"/>
          <w:sz w:val="20"/>
          <w:lang w:val="en-IN"/>
        </w:rPr>
        <w:t xml:space="preserve">armer </w:t>
      </w:r>
      <w:r w:rsidR="000856B7" w:rsidRPr="000856B7">
        <w:rPr>
          <w:rFonts w:ascii="Arial" w:hAnsi="Arial" w:cs="Arial"/>
          <w:b w:val="0"/>
          <w:caps w:val="0"/>
          <w:sz w:val="20"/>
          <w:lang w:val="en-IN"/>
        </w:rPr>
        <w:t>P</w:t>
      </w:r>
      <w:r w:rsidRPr="000856B7">
        <w:rPr>
          <w:rFonts w:ascii="Arial" w:hAnsi="Arial" w:cs="Arial"/>
          <w:b w:val="0"/>
          <w:caps w:val="0"/>
          <w:sz w:val="20"/>
          <w:lang w:val="en-IN"/>
        </w:rPr>
        <w:t xml:space="preserve">roducer </w:t>
      </w:r>
      <w:r w:rsidR="000856B7" w:rsidRPr="000856B7">
        <w:rPr>
          <w:rFonts w:ascii="Arial" w:hAnsi="Arial" w:cs="Arial"/>
          <w:b w:val="0"/>
          <w:caps w:val="0"/>
          <w:sz w:val="20"/>
          <w:lang w:val="en-IN"/>
        </w:rPr>
        <w:t>C</w:t>
      </w:r>
      <w:r w:rsidRPr="000856B7">
        <w:rPr>
          <w:rFonts w:ascii="Arial" w:hAnsi="Arial" w:cs="Arial"/>
          <w:b w:val="0"/>
          <w:caps w:val="0"/>
          <w:sz w:val="20"/>
          <w:lang w:val="en-IN"/>
        </w:rPr>
        <w:t xml:space="preserve">ompany </w:t>
      </w:r>
      <w:r w:rsidR="000856B7" w:rsidRPr="000856B7">
        <w:rPr>
          <w:rFonts w:ascii="Arial" w:hAnsi="Arial" w:cs="Arial"/>
          <w:b w:val="0"/>
          <w:caps w:val="0"/>
          <w:sz w:val="20"/>
          <w:lang w:val="en-IN"/>
        </w:rPr>
        <w:t>Li</w:t>
      </w:r>
      <w:r w:rsidRPr="000856B7">
        <w:rPr>
          <w:rFonts w:ascii="Arial" w:hAnsi="Arial" w:cs="Arial"/>
          <w:b w:val="0"/>
          <w:caps w:val="0"/>
          <w:sz w:val="20"/>
          <w:lang w:val="en-IN"/>
        </w:rPr>
        <w:t>mited, promoted under the central agricultural university (</w:t>
      </w:r>
      <w:r w:rsidR="000856B7" w:rsidRPr="000856B7">
        <w:rPr>
          <w:rFonts w:ascii="Arial" w:hAnsi="Arial" w:cs="Arial"/>
          <w:b w:val="0"/>
          <w:caps w:val="0"/>
          <w:sz w:val="20"/>
          <w:lang w:val="en-IN"/>
        </w:rPr>
        <w:t>CAU</w:t>
      </w:r>
      <w:r w:rsidRPr="000856B7">
        <w:rPr>
          <w:rFonts w:ascii="Arial" w:hAnsi="Arial" w:cs="Arial"/>
          <w:b w:val="0"/>
          <w:caps w:val="0"/>
          <w:sz w:val="20"/>
          <w:lang w:val="en-IN"/>
        </w:rPr>
        <w:t xml:space="preserve">), </w:t>
      </w:r>
      <w:r w:rsidR="000856B7" w:rsidRPr="000856B7">
        <w:rPr>
          <w:rFonts w:ascii="Arial" w:hAnsi="Arial" w:cs="Arial"/>
          <w:b w:val="0"/>
          <w:caps w:val="0"/>
          <w:sz w:val="20"/>
          <w:lang w:val="en-IN"/>
        </w:rPr>
        <w:t>Imphal</w:t>
      </w:r>
      <w:r w:rsidRPr="000856B7">
        <w:rPr>
          <w:rFonts w:ascii="Arial" w:hAnsi="Arial" w:cs="Arial"/>
          <w:b w:val="0"/>
          <w:caps w:val="0"/>
          <w:sz w:val="20"/>
          <w:lang w:val="en-IN"/>
        </w:rPr>
        <w:t xml:space="preserve">, as the </w:t>
      </w:r>
      <w:r w:rsidR="000856B7" w:rsidRPr="000856B7">
        <w:rPr>
          <w:rFonts w:ascii="Arial" w:hAnsi="Arial" w:cs="Arial"/>
          <w:b w:val="0"/>
          <w:caps w:val="0"/>
          <w:sz w:val="20"/>
          <w:lang w:val="en-IN"/>
        </w:rPr>
        <w:t>I</w:t>
      </w:r>
      <w:r w:rsidRPr="000856B7">
        <w:rPr>
          <w:rFonts w:ascii="Arial" w:hAnsi="Arial" w:cs="Arial"/>
          <w:b w:val="0"/>
          <w:caps w:val="0"/>
          <w:sz w:val="20"/>
          <w:lang w:val="en-IN"/>
        </w:rPr>
        <w:t xml:space="preserve">mplementing </w:t>
      </w:r>
      <w:r w:rsidR="000856B7" w:rsidRPr="000856B7">
        <w:rPr>
          <w:rFonts w:ascii="Arial" w:hAnsi="Arial" w:cs="Arial"/>
          <w:b w:val="0"/>
          <w:caps w:val="0"/>
          <w:sz w:val="20"/>
          <w:lang w:val="en-IN"/>
        </w:rPr>
        <w:t>A</w:t>
      </w:r>
      <w:r w:rsidRPr="000856B7">
        <w:rPr>
          <w:rFonts w:ascii="Arial" w:hAnsi="Arial" w:cs="Arial"/>
          <w:b w:val="0"/>
          <w:caps w:val="0"/>
          <w:sz w:val="20"/>
          <w:lang w:val="en-IN"/>
        </w:rPr>
        <w:t>gency, were purposively selected as the case units for the study.</w:t>
      </w:r>
    </w:p>
    <w:p w14:paraId="0EF464C1" w14:textId="17E21E0D" w:rsidR="008F2BE7" w:rsidRPr="000856B7" w:rsidRDefault="000856B7" w:rsidP="008F2BE7">
      <w:pPr>
        <w:pStyle w:val="AbstHead"/>
        <w:spacing w:after="0"/>
        <w:jc w:val="both"/>
        <w:rPr>
          <w:rFonts w:ascii="Arial" w:hAnsi="Arial" w:cs="Arial"/>
          <w:b w:val="0"/>
          <w:sz w:val="20"/>
          <w:lang w:val="en-IN"/>
        </w:rPr>
      </w:pPr>
      <w:r w:rsidRPr="000856B7">
        <w:rPr>
          <w:rFonts w:ascii="Arial" w:hAnsi="Arial" w:cs="Arial"/>
          <w:b w:val="0"/>
          <w:caps w:val="0"/>
          <w:sz w:val="20"/>
          <w:lang w:val="en-IN"/>
        </w:rPr>
        <w:t>F</w:t>
      </w:r>
      <w:r w:rsidR="008F2BE7" w:rsidRPr="000856B7">
        <w:rPr>
          <w:rFonts w:ascii="Arial" w:hAnsi="Arial" w:cs="Arial"/>
          <w:b w:val="0"/>
          <w:caps w:val="0"/>
          <w:sz w:val="20"/>
          <w:lang w:val="en-IN"/>
        </w:rPr>
        <w:t xml:space="preserve">rom each selected </w:t>
      </w:r>
      <w:r w:rsidRPr="000856B7">
        <w:rPr>
          <w:rFonts w:ascii="Arial" w:hAnsi="Arial" w:cs="Arial"/>
          <w:b w:val="0"/>
          <w:caps w:val="0"/>
          <w:sz w:val="20"/>
          <w:lang w:val="en-IN"/>
        </w:rPr>
        <w:t xml:space="preserve">FPC, </w:t>
      </w:r>
      <w:r w:rsidR="008F2BE7" w:rsidRPr="000856B7">
        <w:rPr>
          <w:rFonts w:ascii="Arial" w:hAnsi="Arial" w:cs="Arial"/>
          <w:b w:val="0"/>
          <w:caps w:val="0"/>
          <w:sz w:val="20"/>
          <w:lang w:val="en-IN"/>
        </w:rPr>
        <w:t>one </w:t>
      </w:r>
      <w:r w:rsidRPr="000856B7">
        <w:rPr>
          <w:rFonts w:ascii="Arial" w:hAnsi="Arial" w:cs="Arial"/>
          <w:b w:val="0"/>
          <w:caps w:val="0"/>
          <w:sz w:val="20"/>
          <w:lang w:val="en-IN"/>
        </w:rPr>
        <w:t>C</w:t>
      </w:r>
      <w:r w:rsidR="008F2BE7" w:rsidRPr="000856B7">
        <w:rPr>
          <w:rFonts w:ascii="Arial" w:hAnsi="Arial" w:cs="Arial"/>
          <w:b w:val="0"/>
          <w:caps w:val="0"/>
          <w:sz w:val="20"/>
          <w:lang w:val="en-IN"/>
        </w:rPr>
        <w:t xml:space="preserve">hief </w:t>
      </w:r>
      <w:r w:rsidRPr="000856B7">
        <w:rPr>
          <w:rFonts w:ascii="Arial" w:hAnsi="Arial" w:cs="Arial"/>
          <w:b w:val="0"/>
          <w:caps w:val="0"/>
          <w:sz w:val="20"/>
          <w:lang w:val="en-IN"/>
        </w:rPr>
        <w:t>E</w:t>
      </w:r>
      <w:r w:rsidR="008F2BE7" w:rsidRPr="000856B7">
        <w:rPr>
          <w:rFonts w:ascii="Arial" w:hAnsi="Arial" w:cs="Arial"/>
          <w:b w:val="0"/>
          <w:caps w:val="0"/>
          <w:sz w:val="20"/>
          <w:lang w:val="en-IN"/>
        </w:rPr>
        <w:t xml:space="preserve">xecutive </w:t>
      </w:r>
      <w:r w:rsidRPr="000856B7">
        <w:rPr>
          <w:rFonts w:ascii="Arial" w:hAnsi="Arial" w:cs="Arial"/>
          <w:b w:val="0"/>
          <w:caps w:val="0"/>
          <w:sz w:val="20"/>
          <w:lang w:val="en-IN"/>
        </w:rPr>
        <w:t>O</w:t>
      </w:r>
      <w:r w:rsidR="008F2BE7" w:rsidRPr="000856B7">
        <w:rPr>
          <w:rFonts w:ascii="Arial" w:hAnsi="Arial" w:cs="Arial"/>
          <w:b w:val="0"/>
          <w:caps w:val="0"/>
          <w:sz w:val="20"/>
          <w:lang w:val="en-IN"/>
        </w:rPr>
        <w:t>fficer (</w:t>
      </w:r>
      <w:r w:rsidRPr="000856B7">
        <w:rPr>
          <w:rFonts w:ascii="Arial" w:hAnsi="Arial" w:cs="Arial"/>
          <w:b w:val="0"/>
          <w:caps w:val="0"/>
          <w:sz w:val="20"/>
          <w:lang w:val="en-IN"/>
        </w:rPr>
        <w:t>CEO</w:t>
      </w:r>
      <w:r w:rsidR="008F2BE7" w:rsidRPr="000856B7">
        <w:rPr>
          <w:rFonts w:ascii="Arial" w:hAnsi="Arial" w:cs="Arial"/>
          <w:b w:val="0"/>
          <w:caps w:val="0"/>
          <w:sz w:val="20"/>
          <w:lang w:val="en-IN"/>
        </w:rPr>
        <w:t xml:space="preserve">), one accountant, and twenty farmer members were chosen, resulting in a total sample of 88 respondents (8 staff members and 80 farmer members). </w:t>
      </w:r>
      <w:r w:rsidRPr="000856B7">
        <w:rPr>
          <w:rFonts w:ascii="Arial" w:hAnsi="Arial" w:cs="Arial"/>
          <w:b w:val="0"/>
          <w:caps w:val="0"/>
          <w:sz w:val="20"/>
          <w:lang w:val="en-IN"/>
        </w:rPr>
        <w:t>T</w:t>
      </w:r>
      <w:r w:rsidR="008F2BE7" w:rsidRPr="000856B7">
        <w:rPr>
          <w:rFonts w:ascii="Arial" w:hAnsi="Arial" w:cs="Arial"/>
          <w:b w:val="0"/>
          <w:caps w:val="0"/>
          <w:sz w:val="20"/>
          <w:lang w:val="en-IN"/>
        </w:rPr>
        <w:t xml:space="preserve">he respondents were selected using a convenience sampling technique, based on their active involvement and experiential knowledge of </w:t>
      </w:r>
      <w:r w:rsidRPr="000856B7">
        <w:rPr>
          <w:rFonts w:ascii="Arial" w:hAnsi="Arial" w:cs="Arial"/>
          <w:b w:val="0"/>
          <w:caps w:val="0"/>
          <w:sz w:val="20"/>
          <w:lang w:val="en-IN"/>
        </w:rPr>
        <w:t xml:space="preserve">FPO </w:t>
      </w:r>
      <w:r w:rsidR="008F2BE7" w:rsidRPr="000856B7">
        <w:rPr>
          <w:rFonts w:ascii="Arial" w:hAnsi="Arial" w:cs="Arial"/>
          <w:b w:val="0"/>
          <w:caps w:val="0"/>
          <w:sz w:val="20"/>
          <w:lang w:val="en-IN"/>
        </w:rPr>
        <w:t>operations, which is acceptable in qualitative case study research where information-rich participants are prioritized (</w:t>
      </w:r>
      <w:r w:rsidRPr="000856B7">
        <w:rPr>
          <w:rFonts w:ascii="Arial" w:hAnsi="Arial" w:cs="Arial"/>
          <w:b w:val="0"/>
          <w:caps w:val="0"/>
          <w:sz w:val="20"/>
          <w:lang w:val="en-IN"/>
        </w:rPr>
        <w:t>Creswell</w:t>
      </w:r>
      <w:r w:rsidR="008F2BE7" w:rsidRPr="000856B7">
        <w:rPr>
          <w:rFonts w:ascii="Arial" w:hAnsi="Arial" w:cs="Arial"/>
          <w:b w:val="0"/>
          <w:caps w:val="0"/>
          <w:sz w:val="20"/>
          <w:lang w:val="en-IN"/>
        </w:rPr>
        <w:t>, 2009).</w:t>
      </w:r>
    </w:p>
    <w:p w14:paraId="16A8F4E0" w14:textId="556751D7" w:rsidR="008F2BE7" w:rsidRDefault="000856B7" w:rsidP="008F2BE7">
      <w:pPr>
        <w:pStyle w:val="AbstHead"/>
        <w:spacing w:after="0"/>
        <w:jc w:val="both"/>
        <w:rPr>
          <w:rFonts w:ascii="Arial" w:hAnsi="Arial" w:cs="Arial"/>
          <w:b w:val="0"/>
          <w:caps w:val="0"/>
          <w:lang w:val="en-IN"/>
        </w:rPr>
      </w:pPr>
      <w:r w:rsidRPr="000856B7">
        <w:rPr>
          <w:rFonts w:ascii="Arial" w:hAnsi="Arial" w:cs="Arial"/>
          <w:b w:val="0"/>
          <w:caps w:val="0"/>
          <w:sz w:val="20"/>
          <w:lang w:val="en-IN"/>
        </w:rPr>
        <w:t>P</w:t>
      </w:r>
      <w:r w:rsidR="008F2BE7" w:rsidRPr="000856B7">
        <w:rPr>
          <w:rFonts w:ascii="Arial" w:hAnsi="Arial" w:cs="Arial"/>
          <w:b w:val="0"/>
          <w:caps w:val="0"/>
          <w:sz w:val="20"/>
          <w:lang w:val="en-IN"/>
        </w:rPr>
        <w:t>rimary data were collected through in-depth personal interviews conducted between </w:t>
      </w:r>
      <w:r w:rsidRPr="000856B7">
        <w:rPr>
          <w:rFonts w:ascii="Arial" w:hAnsi="Arial" w:cs="Arial"/>
          <w:b w:val="0"/>
          <w:caps w:val="0"/>
          <w:sz w:val="20"/>
          <w:lang w:val="en-IN"/>
        </w:rPr>
        <w:t>April</w:t>
      </w:r>
      <w:r w:rsidR="008F2BE7" w:rsidRPr="000856B7">
        <w:rPr>
          <w:rFonts w:ascii="Arial" w:hAnsi="Arial" w:cs="Arial"/>
          <w:b w:val="0"/>
          <w:caps w:val="0"/>
          <w:sz w:val="20"/>
          <w:lang w:val="en-IN"/>
        </w:rPr>
        <w:t xml:space="preserve"> and </w:t>
      </w:r>
      <w:r w:rsidRPr="000856B7">
        <w:rPr>
          <w:rFonts w:ascii="Arial" w:hAnsi="Arial" w:cs="Arial"/>
          <w:b w:val="0"/>
          <w:caps w:val="0"/>
          <w:sz w:val="20"/>
          <w:lang w:val="en-IN"/>
        </w:rPr>
        <w:t>J</w:t>
      </w:r>
      <w:r w:rsidR="008F2BE7" w:rsidRPr="000856B7">
        <w:rPr>
          <w:rFonts w:ascii="Arial" w:hAnsi="Arial" w:cs="Arial"/>
          <w:b w:val="0"/>
          <w:caps w:val="0"/>
          <w:sz w:val="20"/>
          <w:lang w:val="en-IN"/>
        </w:rPr>
        <w:t xml:space="preserve">une 2025, using open-ended questions. </w:t>
      </w:r>
      <w:r w:rsidRPr="000856B7">
        <w:rPr>
          <w:rFonts w:ascii="Arial" w:hAnsi="Arial" w:cs="Arial"/>
          <w:b w:val="0"/>
          <w:caps w:val="0"/>
          <w:sz w:val="20"/>
          <w:lang w:val="en-IN"/>
        </w:rPr>
        <w:t>T</w:t>
      </w:r>
      <w:r w:rsidR="008F2BE7" w:rsidRPr="000856B7">
        <w:rPr>
          <w:rFonts w:ascii="Arial" w:hAnsi="Arial" w:cs="Arial"/>
          <w:b w:val="0"/>
          <w:caps w:val="0"/>
          <w:sz w:val="20"/>
          <w:lang w:val="en-IN"/>
        </w:rPr>
        <w:t xml:space="preserve">hese interviews were designed to capture participants’ perspectives on key management dimensions, including financial and funding constraints, governance and transparency issues, infrastructural limitations, member participation, market linkages, communication processes, and compliance-related challenges. </w:t>
      </w:r>
      <w:r w:rsidRPr="000856B7">
        <w:rPr>
          <w:rFonts w:ascii="Arial" w:hAnsi="Arial" w:cs="Arial"/>
          <w:b w:val="0"/>
          <w:caps w:val="0"/>
          <w:sz w:val="20"/>
          <w:lang w:val="en-IN"/>
        </w:rPr>
        <w:t>T</w:t>
      </w:r>
      <w:r w:rsidR="008F2BE7" w:rsidRPr="000856B7">
        <w:rPr>
          <w:rFonts w:ascii="Arial" w:hAnsi="Arial" w:cs="Arial"/>
          <w:b w:val="0"/>
          <w:caps w:val="0"/>
          <w:sz w:val="20"/>
          <w:lang w:val="en-IN"/>
        </w:rPr>
        <w:t>he interview responses were systematically recorded, organized, and prepared for thematic analysis to identify recurring patterns and core managerial problem areas across the selected cases</w:t>
      </w:r>
      <w:r>
        <w:rPr>
          <w:rFonts w:ascii="Arial" w:hAnsi="Arial" w:cs="Arial"/>
          <w:b w:val="0"/>
          <w:caps w:val="0"/>
          <w:lang w:val="en-IN"/>
        </w:rPr>
        <w:t>.</w:t>
      </w:r>
    </w:p>
    <w:p w14:paraId="71ADFCCE" w14:textId="77777777" w:rsidR="000856B7" w:rsidRPr="008F2BE7" w:rsidRDefault="000856B7" w:rsidP="008F2BE7">
      <w:pPr>
        <w:pStyle w:val="AbstHead"/>
        <w:spacing w:after="0"/>
        <w:jc w:val="both"/>
        <w:rPr>
          <w:rFonts w:ascii="Arial" w:hAnsi="Arial" w:cs="Arial"/>
          <w:b w:val="0"/>
          <w:bCs/>
          <w:sz w:val="20"/>
        </w:rPr>
      </w:pPr>
    </w:p>
    <w:p w14:paraId="1E3164EE" w14:textId="35DCB63C" w:rsidR="00BF11C5" w:rsidRDefault="00BF11C5" w:rsidP="00BF11C5">
      <w:pPr>
        <w:pStyle w:val="Head1"/>
        <w:spacing w:after="0"/>
        <w:jc w:val="both"/>
        <w:rPr>
          <w:rFonts w:ascii="Arial" w:hAnsi="Arial" w:cs="Arial"/>
        </w:rPr>
      </w:pPr>
      <w:r>
        <w:rPr>
          <w:rFonts w:ascii="Arial" w:hAnsi="Arial" w:cs="Arial"/>
        </w:rPr>
        <w:t>2.1. Data ANalysis</w:t>
      </w:r>
    </w:p>
    <w:p w14:paraId="71976FB4" w14:textId="77777777" w:rsidR="00BF11C5" w:rsidRDefault="00BF11C5" w:rsidP="00BF11C5">
      <w:pPr>
        <w:pStyle w:val="Head1"/>
        <w:spacing w:after="0"/>
        <w:jc w:val="both"/>
        <w:rPr>
          <w:rFonts w:ascii="Arial" w:hAnsi="Arial" w:cs="Arial"/>
        </w:rPr>
      </w:pPr>
    </w:p>
    <w:p w14:paraId="56AF6969" w14:textId="20E3762D" w:rsidR="00BF11C5" w:rsidRDefault="00BF11C5" w:rsidP="00BF11C5">
      <w:pPr>
        <w:pStyle w:val="Head1"/>
        <w:spacing w:after="0"/>
        <w:jc w:val="both"/>
        <w:rPr>
          <w:rFonts w:ascii="Arial" w:hAnsi="Arial" w:cs="Arial"/>
          <w:b w:val="0"/>
          <w:bCs/>
          <w:caps w:val="0"/>
          <w:sz w:val="20"/>
          <w:lang w:val="en-IN"/>
        </w:rPr>
      </w:pPr>
      <w:r>
        <w:rPr>
          <w:rFonts w:ascii="Arial" w:hAnsi="Arial" w:cs="Arial"/>
          <w:b w:val="0"/>
          <w:bCs/>
          <w:caps w:val="0"/>
          <w:sz w:val="20"/>
          <w:lang w:val="en-IN"/>
        </w:rPr>
        <w:t>T</w:t>
      </w:r>
      <w:r w:rsidRPr="00BF11C5">
        <w:rPr>
          <w:rFonts w:ascii="Arial" w:hAnsi="Arial" w:cs="Arial"/>
          <w:b w:val="0"/>
          <w:bCs/>
          <w:caps w:val="0"/>
          <w:sz w:val="20"/>
          <w:lang w:val="en-IN"/>
        </w:rPr>
        <w:t>he data obtained from the open-ended responses were subjected to thematic analysis to systematically identify and interpret patterns related to management challenges faced by farmer producer organizations (</w:t>
      </w:r>
      <w:r w:rsidR="002700E9" w:rsidRPr="00BF11C5">
        <w:rPr>
          <w:rFonts w:ascii="Arial" w:hAnsi="Arial" w:cs="Arial"/>
          <w:b w:val="0"/>
          <w:bCs/>
          <w:caps w:val="0"/>
          <w:sz w:val="20"/>
          <w:lang w:val="en-IN"/>
        </w:rPr>
        <w:t>FPO</w:t>
      </w:r>
      <w:r w:rsidR="00915FE9">
        <w:rPr>
          <w:rFonts w:ascii="Arial" w:hAnsi="Arial" w:cs="Arial"/>
          <w:b w:val="0"/>
          <w:bCs/>
          <w:caps w:val="0"/>
          <w:sz w:val="20"/>
          <w:lang w:val="en-IN"/>
        </w:rPr>
        <w:t>s</w:t>
      </w:r>
      <w:r w:rsidRPr="00BF11C5">
        <w:rPr>
          <w:rFonts w:ascii="Arial" w:hAnsi="Arial" w:cs="Arial"/>
          <w:b w:val="0"/>
          <w:bCs/>
          <w:caps w:val="0"/>
          <w:sz w:val="20"/>
          <w:lang w:val="en-IN"/>
        </w:rPr>
        <w:t xml:space="preserve">). </w:t>
      </w:r>
      <w:r w:rsidR="00E63213">
        <w:rPr>
          <w:rFonts w:ascii="Arial" w:hAnsi="Arial" w:cs="Arial"/>
          <w:b w:val="0"/>
          <w:bCs/>
          <w:caps w:val="0"/>
          <w:sz w:val="20"/>
          <w:lang w:val="en-IN"/>
        </w:rPr>
        <w:t>T</w:t>
      </w:r>
      <w:r w:rsidRPr="00BF11C5">
        <w:rPr>
          <w:rFonts w:ascii="Arial" w:hAnsi="Arial" w:cs="Arial"/>
          <w:b w:val="0"/>
          <w:bCs/>
          <w:caps w:val="0"/>
          <w:sz w:val="20"/>
          <w:lang w:val="en-IN"/>
        </w:rPr>
        <w:t>he analysis followed the six-phase framework proposed by </w:t>
      </w:r>
      <w:r w:rsidR="00E63213">
        <w:rPr>
          <w:rFonts w:ascii="Arial" w:hAnsi="Arial" w:cs="Arial"/>
          <w:b w:val="0"/>
          <w:bCs/>
          <w:caps w:val="0"/>
          <w:sz w:val="20"/>
          <w:lang w:val="en-IN"/>
        </w:rPr>
        <w:t>B</w:t>
      </w:r>
      <w:r w:rsidRPr="00BF11C5">
        <w:rPr>
          <w:rFonts w:ascii="Arial" w:hAnsi="Arial" w:cs="Arial"/>
          <w:b w:val="0"/>
          <w:bCs/>
          <w:caps w:val="0"/>
          <w:sz w:val="20"/>
          <w:lang w:val="en-IN"/>
        </w:rPr>
        <w:t xml:space="preserve">raun and </w:t>
      </w:r>
      <w:r w:rsidR="00E63213" w:rsidRPr="00BF11C5">
        <w:rPr>
          <w:rFonts w:ascii="Arial" w:hAnsi="Arial" w:cs="Arial"/>
          <w:b w:val="0"/>
          <w:bCs/>
          <w:caps w:val="0"/>
          <w:sz w:val="20"/>
          <w:lang w:val="en-IN"/>
        </w:rPr>
        <w:t>Clarke</w:t>
      </w:r>
      <w:r w:rsidRPr="00BF11C5">
        <w:rPr>
          <w:rFonts w:ascii="Arial" w:hAnsi="Arial" w:cs="Arial"/>
          <w:b w:val="0"/>
          <w:bCs/>
          <w:caps w:val="0"/>
          <w:sz w:val="20"/>
          <w:lang w:val="en-IN"/>
        </w:rPr>
        <w:t xml:space="preserve"> (2006), which included familiarization with the data, generation of initial codes, searching for potential themes, reviewing themes, defining and naming themes, and preparing the final analytical report. </w:t>
      </w:r>
      <w:r w:rsidR="00E63213">
        <w:rPr>
          <w:rFonts w:ascii="Arial" w:hAnsi="Arial" w:cs="Arial"/>
          <w:b w:val="0"/>
          <w:bCs/>
          <w:caps w:val="0"/>
          <w:sz w:val="20"/>
          <w:lang w:val="en-IN"/>
        </w:rPr>
        <w:t>A</w:t>
      </w:r>
      <w:r w:rsidRPr="00BF11C5">
        <w:rPr>
          <w:rFonts w:ascii="Arial" w:hAnsi="Arial" w:cs="Arial"/>
          <w:b w:val="0"/>
          <w:bCs/>
          <w:caps w:val="0"/>
          <w:sz w:val="20"/>
          <w:lang w:val="en-IN"/>
        </w:rPr>
        <w:t xml:space="preserve">ll responses were carefully examined, and statements expressing similar meanings were coded and grouped into categories reflecting recurrent patterns and issues. </w:t>
      </w:r>
      <w:r w:rsidR="00E63213">
        <w:rPr>
          <w:rFonts w:ascii="Arial" w:hAnsi="Arial" w:cs="Arial"/>
          <w:b w:val="0"/>
          <w:bCs/>
          <w:caps w:val="0"/>
          <w:sz w:val="20"/>
          <w:lang w:val="en-IN"/>
        </w:rPr>
        <w:t>T</w:t>
      </w:r>
      <w:r w:rsidRPr="00BF11C5">
        <w:rPr>
          <w:rFonts w:ascii="Arial" w:hAnsi="Arial" w:cs="Arial"/>
          <w:b w:val="0"/>
          <w:bCs/>
          <w:caps w:val="0"/>
          <w:sz w:val="20"/>
          <w:lang w:val="en-IN"/>
        </w:rPr>
        <w:t xml:space="preserve">hese categories were subsequently organized into broader thematic constructs representing the major management problem areas encountered by </w:t>
      </w:r>
      <w:r w:rsidR="00E63213">
        <w:rPr>
          <w:rFonts w:ascii="Arial" w:hAnsi="Arial" w:cs="Arial"/>
          <w:b w:val="0"/>
          <w:bCs/>
          <w:caps w:val="0"/>
          <w:sz w:val="20"/>
          <w:lang w:val="en-IN"/>
        </w:rPr>
        <w:t>FPOs</w:t>
      </w:r>
      <w:r w:rsidRPr="00BF11C5">
        <w:rPr>
          <w:rFonts w:ascii="Arial" w:hAnsi="Arial" w:cs="Arial"/>
          <w:b w:val="0"/>
          <w:bCs/>
          <w:caps w:val="0"/>
          <w:sz w:val="20"/>
          <w:lang w:val="en-IN"/>
        </w:rPr>
        <w:t>.</w:t>
      </w:r>
    </w:p>
    <w:p w14:paraId="60CB9AC5" w14:textId="77777777" w:rsidR="00867EF0" w:rsidRPr="00BF11C5" w:rsidRDefault="00867EF0" w:rsidP="00BF11C5">
      <w:pPr>
        <w:pStyle w:val="Head1"/>
        <w:spacing w:after="0"/>
        <w:jc w:val="both"/>
        <w:rPr>
          <w:rFonts w:ascii="Arial" w:hAnsi="Arial" w:cs="Arial"/>
          <w:b w:val="0"/>
          <w:bCs/>
          <w:sz w:val="20"/>
          <w:lang w:val="en-IN"/>
        </w:rPr>
      </w:pPr>
    </w:p>
    <w:p w14:paraId="09D204CC" w14:textId="15451498" w:rsidR="00BF11C5" w:rsidRPr="0032518E" w:rsidRDefault="00867EF0" w:rsidP="0032518E">
      <w:pPr>
        <w:pStyle w:val="Head1"/>
        <w:spacing w:after="0"/>
        <w:jc w:val="both"/>
        <w:rPr>
          <w:rFonts w:ascii="Arial" w:hAnsi="Arial" w:cs="Arial"/>
          <w:b w:val="0"/>
          <w:bCs/>
          <w:lang w:val="en-IN"/>
        </w:rPr>
      </w:pPr>
      <w:r>
        <w:rPr>
          <w:rFonts w:ascii="Arial" w:hAnsi="Arial" w:cs="Arial"/>
          <w:b w:val="0"/>
          <w:bCs/>
          <w:caps w:val="0"/>
          <w:sz w:val="20"/>
          <w:lang w:val="en-IN"/>
        </w:rPr>
        <w:t>T</w:t>
      </w:r>
      <w:r w:rsidR="00BF11C5" w:rsidRPr="00BF11C5">
        <w:rPr>
          <w:rFonts w:ascii="Arial" w:hAnsi="Arial" w:cs="Arial"/>
          <w:b w:val="0"/>
          <w:bCs/>
          <w:caps w:val="0"/>
          <w:sz w:val="20"/>
          <w:lang w:val="en-IN"/>
        </w:rPr>
        <w:t>o assess the relative prominence of each theme, a frequency mapping technique was employed following the methodological suggestions of</w:t>
      </w:r>
      <w:r w:rsidR="00BA4C9F">
        <w:rPr>
          <w:rFonts w:ascii="Arial" w:hAnsi="Arial" w:cs="Arial"/>
          <w:b w:val="0"/>
          <w:bCs/>
          <w:caps w:val="0"/>
          <w:sz w:val="20"/>
          <w:lang w:val="en-IN"/>
        </w:rPr>
        <w:t xml:space="preserve"> </w:t>
      </w:r>
      <w:r w:rsidR="00E63213">
        <w:rPr>
          <w:rFonts w:ascii="Arial" w:hAnsi="Arial" w:cs="Arial"/>
          <w:b w:val="0"/>
          <w:bCs/>
          <w:caps w:val="0"/>
          <w:sz w:val="20"/>
          <w:lang w:val="en-IN"/>
        </w:rPr>
        <w:t>M</w:t>
      </w:r>
      <w:r w:rsidR="00BF11C5" w:rsidRPr="00BF11C5">
        <w:rPr>
          <w:rFonts w:ascii="Arial" w:hAnsi="Arial" w:cs="Arial"/>
          <w:b w:val="0"/>
          <w:bCs/>
          <w:caps w:val="0"/>
          <w:sz w:val="20"/>
          <w:lang w:val="en-IN"/>
        </w:rPr>
        <w:t xml:space="preserve">iles (1994). </w:t>
      </w:r>
      <w:r w:rsidR="00E63213">
        <w:rPr>
          <w:rFonts w:ascii="Arial" w:hAnsi="Arial" w:cs="Arial"/>
          <w:b w:val="0"/>
          <w:bCs/>
          <w:caps w:val="0"/>
          <w:sz w:val="20"/>
          <w:lang w:val="en-IN"/>
        </w:rPr>
        <w:t>E</w:t>
      </w:r>
      <w:r w:rsidR="00BF11C5" w:rsidRPr="00BF11C5">
        <w:rPr>
          <w:rFonts w:ascii="Arial" w:hAnsi="Arial" w:cs="Arial"/>
          <w:b w:val="0"/>
          <w:bCs/>
          <w:caps w:val="0"/>
          <w:sz w:val="20"/>
          <w:lang w:val="en-IN"/>
        </w:rPr>
        <w:t xml:space="preserve">ach coded response was counted to determine the number of occurrences of specific issues, and these counts were converted into percentage values to reflect the relative weight or importance of each theme within the dataset. </w:t>
      </w:r>
      <w:r w:rsidR="00E63213">
        <w:rPr>
          <w:rFonts w:ascii="Arial" w:hAnsi="Arial" w:cs="Arial"/>
          <w:b w:val="0"/>
          <w:bCs/>
          <w:caps w:val="0"/>
          <w:sz w:val="20"/>
          <w:lang w:val="en-IN"/>
        </w:rPr>
        <w:t>T</w:t>
      </w:r>
      <w:r w:rsidR="00BF11C5" w:rsidRPr="00BF11C5">
        <w:rPr>
          <w:rFonts w:ascii="Arial" w:hAnsi="Arial" w:cs="Arial"/>
          <w:b w:val="0"/>
          <w:bCs/>
          <w:caps w:val="0"/>
          <w:sz w:val="20"/>
          <w:lang w:val="en-IN"/>
        </w:rPr>
        <w:t xml:space="preserve">he integration of qualitative thematic interpretation with descriptive quantification provided a balanced analytical perspective, allowing the identification of both the depth and magnitude of key management challenges. </w:t>
      </w:r>
      <w:r w:rsidR="00E63213">
        <w:rPr>
          <w:rFonts w:ascii="Arial" w:hAnsi="Arial" w:cs="Arial"/>
          <w:b w:val="0"/>
          <w:bCs/>
          <w:caps w:val="0"/>
          <w:sz w:val="20"/>
          <w:lang w:val="en-IN"/>
        </w:rPr>
        <w:t>T</w:t>
      </w:r>
      <w:r w:rsidR="00BF11C5" w:rsidRPr="00BF11C5">
        <w:rPr>
          <w:rFonts w:ascii="Arial" w:hAnsi="Arial" w:cs="Arial"/>
          <w:b w:val="0"/>
          <w:bCs/>
          <w:caps w:val="0"/>
          <w:sz w:val="20"/>
          <w:lang w:val="en-IN"/>
        </w:rPr>
        <w:t>his analytical procedure resulted in the identification of eight distinct thematic domains, which are described and discussed in detail in the subsequent section</w:t>
      </w:r>
      <w:r w:rsidR="00BF11C5" w:rsidRPr="00BF11C5">
        <w:rPr>
          <w:rFonts w:ascii="Arial" w:hAnsi="Arial" w:cs="Arial"/>
          <w:b w:val="0"/>
          <w:bCs/>
          <w:lang w:val="en-IN"/>
        </w:rPr>
        <w:t>.</w:t>
      </w:r>
    </w:p>
    <w:p w14:paraId="336D052C" w14:textId="5F7D890D" w:rsidR="00790ADA" w:rsidRPr="00FB3A86" w:rsidRDefault="00BF11C5" w:rsidP="00441B6F">
      <w:pPr>
        <w:pStyle w:val="Body"/>
        <w:spacing w:after="0"/>
        <w:rPr>
          <w:rFonts w:ascii="Arial" w:hAnsi="Arial" w:cs="Arial"/>
        </w:rPr>
      </w:pPr>
      <w:r>
        <w:rPr>
          <w:rFonts w:ascii="Arial" w:hAnsi="Arial" w:cs="Arial"/>
        </w:rPr>
        <w:t xml:space="preserve"> </w:t>
      </w:r>
    </w:p>
    <w:p w14:paraId="786C308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85D363" w14:textId="77777777" w:rsidR="00790ADA" w:rsidRDefault="00790ADA" w:rsidP="00441B6F">
      <w:pPr>
        <w:pStyle w:val="Body"/>
        <w:spacing w:after="0"/>
        <w:rPr>
          <w:rFonts w:ascii="Arial" w:hAnsi="Arial" w:cs="Arial"/>
        </w:rPr>
      </w:pPr>
    </w:p>
    <w:p w14:paraId="250B431A" w14:textId="2613B273" w:rsidR="00863BD3" w:rsidRDefault="009500A6" w:rsidP="00441B6F">
      <w:pPr>
        <w:tabs>
          <w:tab w:val="left" w:pos="1080"/>
        </w:tabs>
        <w:jc w:val="both"/>
        <w:rPr>
          <w:rFonts w:ascii="Arial" w:hAnsi="Arial"/>
          <w:b/>
        </w:rPr>
      </w:pPr>
      <w:r>
        <w:rPr>
          <w:rFonts w:ascii="Arial" w:hAnsi="Arial"/>
          <w:b/>
        </w:rPr>
        <w:t>Table 1</w:t>
      </w:r>
      <w:r w:rsidR="0032518E">
        <w:rPr>
          <w:rFonts w:ascii="Arial" w:hAnsi="Arial"/>
          <w:b/>
        </w:rPr>
        <w:t xml:space="preserve">. </w:t>
      </w:r>
      <w:r w:rsidR="00E63213">
        <w:rPr>
          <w:rFonts w:ascii="Arial" w:hAnsi="Arial"/>
          <w:b/>
          <w:lang w:val="en-IN"/>
        </w:rPr>
        <w:t>M</w:t>
      </w:r>
      <w:r w:rsidR="0032518E" w:rsidRPr="0032518E">
        <w:rPr>
          <w:rFonts w:ascii="Arial" w:hAnsi="Arial"/>
          <w:b/>
          <w:lang w:val="en-IN"/>
        </w:rPr>
        <w:t>anagement problems reported by respondents</w:t>
      </w:r>
      <w:r w:rsidR="00E63213">
        <w:rPr>
          <w:rFonts w:ascii="Arial" w:hAnsi="Arial"/>
          <w:b/>
          <w:lang w:val="en-IN"/>
        </w:rPr>
        <w:t xml:space="preserve"> (N=88).</w:t>
      </w:r>
    </w:p>
    <w:p w14:paraId="3C19F085" w14:textId="77777777" w:rsidR="00863BD3" w:rsidRPr="00DC3180" w:rsidRDefault="00863BD3" w:rsidP="00441B6F">
      <w:pPr>
        <w:tabs>
          <w:tab w:val="left" w:pos="1080"/>
        </w:tabs>
        <w:jc w:val="both"/>
        <w:rPr>
          <w:rFonts w:ascii="Arial" w:hAnsi="Arial"/>
          <w:b/>
        </w:rPr>
      </w:pPr>
    </w:p>
    <w:tbl>
      <w:tblPr>
        <w:tblStyle w:val="TableGrid"/>
        <w:tblW w:w="5042" w:type="pct"/>
        <w:tblInd w:w="113" w:type="dxa"/>
        <w:tblLook w:val="04A0" w:firstRow="1" w:lastRow="0" w:firstColumn="1" w:lastColumn="0" w:noHBand="0" w:noVBand="1"/>
      </w:tblPr>
      <w:tblGrid>
        <w:gridCol w:w="1821"/>
        <w:gridCol w:w="4019"/>
        <w:gridCol w:w="1119"/>
        <w:gridCol w:w="1308"/>
      </w:tblGrid>
      <w:tr w:rsidR="0032518E" w:rsidRPr="0032518E" w14:paraId="7FA09D91" w14:textId="77777777" w:rsidTr="0032518E">
        <w:trPr>
          <w:trHeight w:val="85"/>
        </w:trPr>
        <w:tc>
          <w:tcPr>
            <w:tcW w:w="1101" w:type="pct"/>
          </w:tcPr>
          <w:p w14:paraId="79211A4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Theme</w:t>
            </w:r>
          </w:p>
        </w:tc>
        <w:tc>
          <w:tcPr>
            <w:tcW w:w="2431" w:type="pct"/>
          </w:tcPr>
          <w:p w14:paraId="05F96B5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Specific problem</w:t>
            </w:r>
          </w:p>
        </w:tc>
        <w:tc>
          <w:tcPr>
            <w:tcW w:w="677" w:type="pct"/>
          </w:tcPr>
          <w:p w14:paraId="4C968FFD"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Total mentions</w:t>
            </w:r>
          </w:p>
        </w:tc>
        <w:tc>
          <w:tcPr>
            <w:tcW w:w="791" w:type="pct"/>
          </w:tcPr>
          <w:p w14:paraId="471EB20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Percentage (%) Overall</w:t>
            </w:r>
          </w:p>
        </w:tc>
      </w:tr>
      <w:tr w:rsidR="0032518E" w:rsidRPr="0032518E" w14:paraId="39F39744" w14:textId="77777777" w:rsidTr="0032518E">
        <w:trPr>
          <w:trHeight w:val="319"/>
        </w:trPr>
        <w:tc>
          <w:tcPr>
            <w:tcW w:w="1101" w:type="pct"/>
            <w:vMerge w:val="restart"/>
          </w:tcPr>
          <w:p w14:paraId="4FC9BA8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Financial Bottleneck</w:t>
            </w:r>
          </w:p>
        </w:tc>
        <w:tc>
          <w:tcPr>
            <w:tcW w:w="2431" w:type="pct"/>
          </w:tcPr>
          <w:p w14:paraId="0905109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Delayed release of Govt Funds/subsidies</w:t>
            </w:r>
          </w:p>
        </w:tc>
        <w:tc>
          <w:tcPr>
            <w:tcW w:w="677" w:type="pct"/>
          </w:tcPr>
          <w:p w14:paraId="2259C13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59</w:t>
            </w:r>
          </w:p>
        </w:tc>
        <w:tc>
          <w:tcPr>
            <w:tcW w:w="791" w:type="pct"/>
          </w:tcPr>
          <w:p w14:paraId="6855ADA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67.05</w:t>
            </w:r>
          </w:p>
        </w:tc>
      </w:tr>
      <w:tr w:rsidR="0032518E" w:rsidRPr="0032518E" w14:paraId="5A08BA1D" w14:textId="77777777" w:rsidTr="0032518E">
        <w:trPr>
          <w:trHeight w:val="165"/>
        </w:trPr>
        <w:tc>
          <w:tcPr>
            <w:tcW w:w="1101" w:type="pct"/>
            <w:vMerge/>
          </w:tcPr>
          <w:p w14:paraId="50FEDD00" w14:textId="77777777" w:rsidR="0032518E" w:rsidRPr="0032518E" w:rsidRDefault="0032518E" w:rsidP="0032518E">
            <w:pPr>
              <w:jc w:val="both"/>
              <w:rPr>
                <w:rFonts w:ascii="Arial" w:eastAsia="Times New Roman" w:hAnsi="Arial"/>
                <w:b/>
                <w:bCs/>
                <w:sz w:val="20"/>
                <w:lang w:val="en-IN"/>
              </w:rPr>
            </w:pPr>
          </w:p>
        </w:tc>
        <w:tc>
          <w:tcPr>
            <w:tcW w:w="2431" w:type="pct"/>
          </w:tcPr>
          <w:p w14:paraId="5C7125E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Cash flow gaps in procurement season</w:t>
            </w:r>
          </w:p>
        </w:tc>
        <w:tc>
          <w:tcPr>
            <w:tcW w:w="677" w:type="pct"/>
          </w:tcPr>
          <w:p w14:paraId="7BC83E7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53</w:t>
            </w:r>
          </w:p>
        </w:tc>
        <w:tc>
          <w:tcPr>
            <w:tcW w:w="791" w:type="pct"/>
          </w:tcPr>
          <w:p w14:paraId="4C11983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60.23</w:t>
            </w:r>
          </w:p>
        </w:tc>
      </w:tr>
      <w:tr w:rsidR="0032518E" w:rsidRPr="0032518E" w14:paraId="1336E35A" w14:textId="77777777" w:rsidTr="0032518E">
        <w:trPr>
          <w:trHeight w:val="277"/>
        </w:trPr>
        <w:tc>
          <w:tcPr>
            <w:tcW w:w="1101" w:type="pct"/>
            <w:vMerge/>
          </w:tcPr>
          <w:p w14:paraId="1BD8BF5B" w14:textId="77777777" w:rsidR="0032518E" w:rsidRPr="0032518E" w:rsidRDefault="0032518E" w:rsidP="0032518E">
            <w:pPr>
              <w:jc w:val="both"/>
              <w:rPr>
                <w:rFonts w:ascii="Arial" w:eastAsia="Times New Roman" w:hAnsi="Arial"/>
                <w:b/>
                <w:bCs/>
                <w:sz w:val="20"/>
                <w:lang w:val="en-IN"/>
              </w:rPr>
            </w:pPr>
          </w:p>
        </w:tc>
        <w:tc>
          <w:tcPr>
            <w:tcW w:w="2431" w:type="pct"/>
          </w:tcPr>
          <w:p w14:paraId="6531D13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Inadequate working capital</w:t>
            </w:r>
          </w:p>
        </w:tc>
        <w:tc>
          <w:tcPr>
            <w:tcW w:w="677" w:type="pct"/>
          </w:tcPr>
          <w:p w14:paraId="4333E59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38FB13E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3128B3B3" w14:textId="77777777" w:rsidTr="0032518E">
        <w:trPr>
          <w:trHeight w:val="165"/>
        </w:trPr>
        <w:tc>
          <w:tcPr>
            <w:tcW w:w="1101" w:type="pct"/>
            <w:vMerge/>
          </w:tcPr>
          <w:p w14:paraId="3BBCBF26" w14:textId="77777777" w:rsidR="0032518E" w:rsidRPr="0032518E" w:rsidRDefault="0032518E" w:rsidP="0032518E">
            <w:pPr>
              <w:jc w:val="both"/>
              <w:rPr>
                <w:rFonts w:ascii="Arial" w:eastAsia="Times New Roman" w:hAnsi="Arial"/>
                <w:b/>
                <w:bCs/>
                <w:sz w:val="20"/>
                <w:lang w:val="en-IN"/>
              </w:rPr>
            </w:pPr>
          </w:p>
        </w:tc>
        <w:tc>
          <w:tcPr>
            <w:tcW w:w="2431" w:type="pct"/>
          </w:tcPr>
          <w:p w14:paraId="52FDEB4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Credit-based procurement mistrust</w:t>
            </w:r>
          </w:p>
        </w:tc>
        <w:tc>
          <w:tcPr>
            <w:tcW w:w="677" w:type="pct"/>
          </w:tcPr>
          <w:p w14:paraId="7237A76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43</w:t>
            </w:r>
          </w:p>
        </w:tc>
        <w:tc>
          <w:tcPr>
            <w:tcW w:w="791" w:type="pct"/>
          </w:tcPr>
          <w:p w14:paraId="5C1F205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48.86</w:t>
            </w:r>
          </w:p>
        </w:tc>
      </w:tr>
      <w:tr w:rsidR="0032518E" w:rsidRPr="0032518E" w14:paraId="0CDAE968" w14:textId="77777777" w:rsidTr="0032518E">
        <w:trPr>
          <w:trHeight w:val="168"/>
        </w:trPr>
        <w:tc>
          <w:tcPr>
            <w:tcW w:w="1101" w:type="pct"/>
            <w:vMerge w:val="restart"/>
          </w:tcPr>
          <w:p w14:paraId="0182AAC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Governance Transparency</w:t>
            </w:r>
          </w:p>
        </w:tc>
        <w:tc>
          <w:tcPr>
            <w:tcW w:w="2431" w:type="pct"/>
          </w:tcPr>
          <w:p w14:paraId="0CDF4CF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Members unaware of FPO leadership details</w:t>
            </w:r>
          </w:p>
        </w:tc>
        <w:tc>
          <w:tcPr>
            <w:tcW w:w="677" w:type="pct"/>
          </w:tcPr>
          <w:p w14:paraId="6D989F6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132851E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4AA068CE" w14:textId="77777777" w:rsidTr="0032518E">
        <w:trPr>
          <w:trHeight w:val="165"/>
        </w:trPr>
        <w:tc>
          <w:tcPr>
            <w:tcW w:w="1101" w:type="pct"/>
            <w:vMerge/>
          </w:tcPr>
          <w:p w14:paraId="4538F021" w14:textId="77777777" w:rsidR="0032518E" w:rsidRPr="0032518E" w:rsidRDefault="0032518E" w:rsidP="0032518E">
            <w:pPr>
              <w:jc w:val="both"/>
              <w:rPr>
                <w:rFonts w:ascii="Arial" w:eastAsia="Times New Roman" w:hAnsi="Arial"/>
                <w:b/>
                <w:bCs/>
                <w:sz w:val="20"/>
                <w:lang w:val="en-IN"/>
              </w:rPr>
            </w:pPr>
          </w:p>
        </w:tc>
        <w:tc>
          <w:tcPr>
            <w:tcW w:w="2431" w:type="pct"/>
          </w:tcPr>
          <w:p w14:paraId="3461086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Irregular/poorly documented AGMs</w:t>
            </w:r>
          </w:p>
        </w:tc>
        <w:tc>
          <w:tcPr>
            <w:tcW w:w="677" w:type="pct"/>
          </w:tcPr>
          <w:p w14:paraId="098CAFF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45</w:t>
            </w:r>
          </w:p>
        </w:tc>
        <w:tc>
          <w:tcPr>
            <w:tcW w:w="791" w:type="pct"/>
          </w:tcPr>
          <w:p w14:paraId="754747F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51.14</w:t>
            </w:r>
          </w:p>
        </w:tc>
      </w:tr>
      <w:tr w:rsidR="0032518E" w:rsidRPr="0032518E" w14:paraId="692ED2C9" w14:textId="77777777" w:rsidTr="0032518E">
        <w:trPr>
          <w:trHeight w:val="165"/>
        </w:trPr>
        <w:tc>
          <w:tcPr>
            <w:tcW w:w="1101" w:type="pct"/>
            <w:vMerge/>
          </w:tcPr>
          <w:p w14:paraId="06E188C5" w14:textId="77777777" w:rsidR="0032518E" w:rsidRPr="0032518E" w:rsidRDefault="0032518E" w:rsidP="0032518E">
            <w:pPr>
              <w:jc w:val="both"/>
              <w:rPr>
                <w:rFonts w:ascii="Arial" w:eastAsia="Times New Roman" w:hAnsi="Arial"/>
                <w:b/>
                <w:bCs/>
                <w:sz w:val="20"/>
                <w:lang w:val="en-IN"/>
              </w:rPr>
            </w:pPr>
          </w:p>
        </w:tc>
        <w:tc>
          <w:tcPr>
            <w:tcW w:w="2431" w:type="pct"/>
          </w:tcPr>
          <w:p w14:paraId="1548B08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Dominance of few individuals in decisions</w:t>
            </w:r>
          </w:p>
        </w:tc>
        <w:tc>
          <w:tcPr>
            <w:tcW w:w="677" w:type="pct"/>
          </w:tcPr>
          <w:p w14:paraId="20A9F9E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33E4BCE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D8A247F" w14:textId="77777777" w:rsidTr="0032518E">
        <w:trPr>
          <w:trHeight w:val="165"/>
        </w:trPr>
        <w:tc>
          <w:tcPr>
            <w:tcW w:w="1101" w:type="pct"/>
            <w:vMerge/>
          </w:tcPr>
          <w:p w14:paraId="44595B0F" w14:textId="77777777" w:rsidR="0032518E" w:rsidRPr="0032518E" w:rsidRDefault="0032518E" w:rsidP="0032518E">
            <w:pPr>
              <w:jc w:val="both"/>
              <w:rPr>
                <w:rFonts w:ascii="Arial" w:eastAsia="Times New Roman" w:hAnsi="Arial"/>
                <w:b/>
                <w:bCs/>
                <w:sz w:val="20"/>
                <w:lang w:val="en-IN"/>
              </w:rPr>
            </w:pPr>
          </w:p>
        </w:tc>
        <w:tc>
          <w:tcPr>
            <w:tcW w:w="2431" w:type="pct"/>
          </w:tcPr>
          <w:p w14:paraId="330739D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clear succession planning</w:t>
            </w:r>
          </w:p>
        </w:tc>
        <w:tc>
          <w:tcPr>
            <w:tcW w:w="677" w:type="pct"/>
          </w:tcPr>
          <w:p w14:paraId="3742124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7CC49B6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4C2D97A8" w14:textId="77777777" w:rsidTr="0032518E">
        <w:trPr>
          <w:trHeight w:val="333"/>
        </w:trPr>
        <w:tc>
          <w:tcPr>
            <w:tcW w:w="1101" w:type="pct"/>
            <w:vMerge w:val="restart"/>
          </w:tcPr>
          <w:p w14:paraId="57A6D57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Infrastructure Deficits</w:t>
            </w:r>
          </w:p>
        </w:tc>
        <w:tc>
          <w:tcPr>
            <w:tcW w:w="2431" w:type="pct"/>
          </w:tcPr>
          <w:p w14:paraId="3657C19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warehouse/cold storage</w:t>
            </w:r>
          </w:p>
        </w:tc>
        <w:tc>
          <w:tcPr>
            <w:tcW w:w="677" w:type="pct"/>
          </w:tcPr>
          <w:p w14:paraId="5FABBB9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81</w:t>
            </w:r>
          </w:p>
        </w:tc>
        <w:tc>
          <w:tcPr>
            <w:tcW w:w="791" w:type="pct"/>
          </w:tcPr>
          <w:p w14:paraId="5A49617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92.05</w:t>
            </w:r>
          </w:p>
        </w:tc>
      </w:tr>
      <w:tr w:rsidR="0032518E" w:rsidRPr="0032518E" w14:paraId="094E396C" w14:textId="77777777" w:rsidTr="0032518E">
        <w:trPr>
          <w:trHeight w:val="332"/>
        </w:trPr>
        <w:tc>
          <w:tcPr>
            <w:tcW w:w="1101" w:type="pct"/>
            <w:vMerge/>
          </w:tcPr>
          <w:p w14:paraId="0C1FD80F" w14:textId="77777777" w:rsidR="0032518E" w:rsidRPr="0032518E" w:rsidRDefault="0032518E" w:rsidP="0032518E">
            <w:pPr>
              <w:jc w:val="both"/>
              <w:rPr>
                <w:rFonts w:ascii="Arial" w:eastAsia="Times New Roman" w:hAnsi="Arial"/>
                <w:b/>
                <w:bCs/>
                <w:sz w:val="20"/>
                <w:lang w:val="en-IN"/>
              </w:rPr>
            </w:pPr>
          </w:p>
        </w:tc>
        <w:tc>
          <w:tcPr>
            <w:tcW w:w="2431" w:type="pct"/>
          </w:tcPr>
          <w:p w14:paraId="3CB06AA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Transport dependency on private traders</w:t>
            </w:r>
          </w:p>
        </w:tc>
        <w:tc>
          <w:tcPr>
            <w:tcW w:w="677" w:type="pct"/>
          </w:tcPr>
          <w:p w14:paraId="56F7584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63</w:t>
            </w:r>
          </w:p>
        </w:tc>
        <w:tc>
          <w:tcPr>
            <w:tcW w:w="791" w:type="pct"/>
          </w:tcPr>
          <w:p w14:paraId="6A02D26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71.59</w:t>
            </w:r>
          </w:p>
        </w:tc>
      </w:tr>
      <w:tr w:rsidR="0032518E" w:rsidRPr="0032518E" w14:paraId="71276448" w14:textId="77777777" w:rsidTr="0032518E">
        <w:trPr>
          <w:trHeight w:val="222"/>
        </w:trPr>
        <w:tc>
          <w:tcPr>
            <w:tcW w:w="1101" w:type="pct"/>
            <w:vMerge w:val="restart"/>
          </w:tcPr>
          <w:p w14:paraId="18FD97B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Market Linkage Weakness</w:t>
            </w:r>
          </w:p>
        </w:tc>
        <w:tc>
          <w:tcPr>
            <w:tcW w:w="2431" w:type="pct"/>
          </w:tcPr>
          <w:p w14:paraId="53B1F2C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 xml:space="preserve">No systematic buyer engagement </w:t>
            </w:r>
          </w:p>
        </w:tc>
        <w:tc>
          <w:tcPr>
            <w:tcW w:w="677" w:type="pct"/>
          </w:tcPr>
          <w:p w14:paraId="6CBC08C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41</w:t>
            </w:r>
          </w:p>
        </w:tc>
        <w:tc>
          <w:tcPr>
            <w:tcW w:w="791" w:type="pct"/>
          </w:tcPr>
          <w:p w14:paraId="04A9622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46.59</w:t>
            </w:r>
          </w:p>
        </w:tc>
      </w:tr>
      <w:tr w:rsidR="0032518E" w:rsidRPr="0032518E" w14:paraId="4757840B" w14:textId="77777777" w:rsidTr="0032518E">
        <w:trPr>
          <w:trHeight w:val="221"/>
        </w:trPr>
        <w:tc>
          <w:tcPr>
            <w:tcW w:w="1101" w:type="pct"/>
            <w:vMerge/>
          </w:tcPr>
          <w:p w14:paraId="0F3F1080" w14:textId="77777777" w:rsidR="0032518E" w:rsidRPr="0032518E" w:rsidRDefault="0032518E" w:rsidP="0032518E">
            <w:pPr>
              <w:jc w:val="both"/>
              <w:rPr>
                <w:rFonts w:ascii="Arial" w:eastAsia="Times New Roman" w:hAnsi="Arial"/>
                <w:b/>
                <w:bCs/>
                <w:sz w:val="20"/>
                <w:lang w:val="en-IN"/>
              </w:rPr>
            </w:pPr>
          </w:p>
        </w:tc>
        <w:tc>
          <w:tcPr>
            <w:tcW w:w="2431" w:type="pct"/>
          </w:tcPr>
          <w:p w14:paraId="0168B90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Lack of brand visibility</w:t>
            </w:r>
          </w:p>
        </w:tc>
        <w:tc>
          <w:tcPr>
            <w:tcW w:w="677" w:type="pct"/>
          </w:tcPr>
          <w:p w14:paraId="298EC95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49</w:t>
            </w:r>
          </w:p>
        </w:tc>
        <w:tc>
          <w:tcPr>
            <w:tcW w:w="791" w:type="pct"/>
          </w:tcPr>
          <w:p w14:paraId="65CEBDE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55.68</w:t>
            </w:r>
          </w:p>
        </w:tc>
      </w:tr>
      <w:tr w:rsidR="0032518E" w:rsidRPr="0032518E" w14:paraId="2BB58D79" w14:textId="77777777" w:rsidTr="0032518E">
        <w:trPr>
          <w:trHeight w:val="221"/>
        </w:trPr>
        <w:tc>
          <w:tcPr>
            <w:tcW w:w="1101" w:type="pct"/>
            <w:vMerge/>
          </w:tcPr>
          <w:p w14:paraId="037182AD" w14:textId="77777777" w:rsidR="0032518E" w:rsidRPr="0032518E" w:rsidRDefault="0032518E" w:rsidP="0032518E">
            <w:pPr>
              <w:jc w:val="both"/>
              <w:rPr>
                <w:rFonts w:ascii="Arial" w:eastAsia="Times New Roman" w:hAnsi="Arial"/>
                <w:b/>
                <w:bCs/>
                <w:sz w:val="20"/>
                <w:lang w:val="en-IN"/>
              </w:rPr>
            </w:pPr>
          </w:p>
        </w:tc>
        <w:tc>
          <w:tcPr>
            <w:tcW w:w="2431" w:type="pct"/>
          </w:tcPr>
          <w:p w14:paraId="34AED0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Weak delivery tracking</w:t>
            </w:r>
          </w:p>
        </w:tc>
        <w:tc>
          <w:tcPr>
            <w:tcW w:w="677" w:type="pct"/>
          </w:tcPr>
          <w:p w14:paraId="318D644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29</w:t>
            </w:r>
          </w:p>
        </w:tc>
        <w:tc>
          <w:tcPr>
            <w:tcW w:w="791" w:type="pct"/>
          </w:tcPr>
          <w:p w14:paraId="184BB6E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32.95</w:t>
            </w:r>
          </w:p>
        </w:tc>
      </w:tr>
      <w:tr w:rsidR="0032518E" w:rsidRPr="0032518E" w14:paraId="64438430" w14:textId="77777777" w:rsidTr="0032518E">
        <w:trPr>
          <w:trHeight w:val="230"/>
        </w:trPr>
        <w:tc>
          <w:tcPr>
            <w:tcW w:w="1101" w:type="pct"/>
            <w:vMerge w:val="restart"/>
          </w:tcPr>
          <w:p w14:paraId="6F01199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Member Engagement &amp; Trust</w:t>
            </w:r>
          </w:p>
        </w:tc>
        <w:tc>
          <w:tcPr>
            <w:tcW w:w="2431" w:type="pct"/>
          </w:tcPr>
          <w:p w14:paraId="183FD6B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Low attendance in meetings/trainings</w:t>
            </w:r>
          </w:p>
        </w:tc>
        <w:tc>
          <w:tcPr>
            <w:tcW w:w="677" w:type="pct"/>
          </w:tcPr>
          <w:p w14:paraId="641D76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w:t>
            </w:r>
          </w:p>
        </w:tc>
        <w:tc>
          <w:tcPr>
            <w:tcW w:w="791" w:type="pct"/>
          </w:tcPr>
          <w:p w14:paraId="5963C9D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52.27</w:t>
            </w:r>
          </w:p>
        </w:tc>
      </w:tr>
      <w:tr w:rsidR="0032518E" w:rsidRPr="0032518E" w14:paraId="5536F8A2" w14:textId="77777777" w:rsidTr="0032518E">
        <w:trPr>
          <w:trHeight w:val="229"/>
        </w:trPr>
        <w:tc>
          <w:tcPr>
            <w:tcW w:w="1101" w:type="pct"/>
            <w:vMerge/>
          </w:tcPr>
          <w:p w14:paraId="0D331708" w14:textId="77777777" w:rsidR="0032518E" w:rsidRPr="0032518E" w:rsidRDefault="0032518E" w:rsidP="0032518E">
            <w:pPr>
              <w:jc w:val="both"/>
              <w:rPr>
                <w:rFonts w:ascii="Arial" w:eastAsia="Times New Roman" w:hAnsi="Arial"/>
                <w:b/>
                <w:bCs/>
                <w:sz w:val="20"/>
                <w:lang w:val="en-IN"/>
              </w:rPr>
            </w:pPr>
          </w:p>
        </w:tc>
        <w:tc>
          <w:tcPr>
            <w:tcW w:w="2431" w:type="pct"/>
          </w:tcPr>
          <w:p w14:paraId="7C074F7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Perceived bias in service delivery</w:t>
            </w:r>
          </w:p>
        </w:tc>
        <w:tc>
          <w:tcPr>
            <w:tcW w:w="677" w:type="pct"/>
          </w:tcPr>
          <w:p w14:paraId="3F8085F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39</w:t>
            </w:r>
          </w:p>
        </w:tc>
        <w:tc>
          <w:tcPr>
            <w:tcW w:w="791" w:type="pct"/>
          </w:tcPr>
          <w:p w14:paraId="40A0004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44.32</w:t>
            </w:r>
          </w:p>
        </w:tc>
      </w:tr>
      <w:tr w:rsidR="0032518E" w:rsidRPr="0032518E" w14:paraId="0B106C0E" w14:textId="77777777" w:rsidTr="0032518E">
        <w:trPr>
          <w:trHeight w:val="229"/>
        </w:trPr>
        <w:tc>
          <w:tcPr>
            <w:tcW w:w="1101" w:type="pct"/>
            <w:vMerge/>
          </w:tcPr>
          <w:p w14:paraId="38ED4714" w14:textId="77777777" w:rsidR="0032518E" w:rsidRPr="0032518E" w:rsidRDefault="0032518E" w:rsidP="0032518E">
            <w:pPr>
              <w:jc w:val="both"/>
              <w:rPr>
                <w:rFonts w:ascii="Arial" w:eastAsia="Times New Roman" w:hAnsi="Arial"/>
                <w:b/>
                <w:bCs/>
                <w:sz w:val="20"/>
                <w:lang w:val="en-IN"/>
              </w:rPr>
            </w:pPr>
          </w:p>
        </w:tc>
        <w:tc>
          <w:tcPr>
            <w:tcW w:w="2431" w:type="pct"/>
          </w:tcPr>
          <w:p w14:paraId="01CC972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Complaints unresolved transparently</w:t>
            </w:r>
          </w:p>
        </w:tc>
        <w:tc>
          <w:tcPr>
            <w:tcW w:w="677" w:type="pct"/>
          </w:tcPr>
          <w:p w14:paraId="20CF27D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42</w:t>
            </w:r>
          </w:p>
        </w:tc>
        <w:tc>
          <w:tcPr>
            <w:tcW w:w="791" w:type="pct"/>
          </w:tcPr>
          <w:p w14:paraId="4638C5F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47.73</w:t>
            </w:r>
          </w:p>
        </w:tc>
      </w:tr>
      <w:tr w:rsidR="0032518E" w:rsidRPr="0032518E" w14:paraId="6872B2A8" w14:textId="77777777" w:rsidTr="0032518E">
        <w:trPr>
          <w:trHeight w:val="229"/>
        </w:trPr>
        <w:tc>
          <w:tcPr>
            <w:tcW w:w="1101" w:type="pct"/>
            <w:vMerge/>
          </w:tcPr>
          <w:p w14:paraId="100E1334" w14:textId="77777777" w:rsidR="0032518E" w:rsidRPr="0032518E" w:rsidRDefault="0032518E" w:rsidP="0032518E">
            <w:pPr>
              <w:jc w:val="both"/>
              <w:rPr>
                <w:rFonts w:ascii="Arial" w:eastAsia="Times New Roman" w:hAnsi="Arial"/>
                <w:b/>
                <w:bCs/>
                <w:sz w:val="20"/>
                <w:lang w:val="en-IN"/>
              </w:rPr>
            </w:pPr>
          </w:p>
        </w:tc>
        <w:tc>
          <w:tcPr>
            <w:tcW w:w="2431" w:type="pct"/>
          </w:tcPr>
          <w:p w14:paraId="07037BA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feedback-to-action mechanism</w:t>
            </w:r>
          </w:p>
        </w:tc>
        <w:tc>
          <w:tcPr>
            <w:tcW w:w="677" w:type="pct"/>
          </w:tcPr>
          <w:p w14:paraId="2BAA526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4028633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8296E93" w14:textId="77777777" w:rsidTr="0032518E">
        <w:trPr>
          <w:trHeight w:val="307"/>
        </w:trPr>
        <w:tc>
          <w:tcPr>
            <w:tcW w:w="1101" w:type="pct"/>
            <w:vMerge w:val="restart"/>
          </w:tcPr>
          <w:p w14:paraId="133CBF0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Capacity &amp; Knowledge Gaps</w:t>
            </w:r>
          </w:p>
        </w:tc>
        <w:tc>
          <w:tcPr>
            <w:tcW w:w="2431" w:type="pct"/>
          </w:tcPr>
          <w:p w14:paraId="1C79743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Lack of regular skill training</w:t>
            </w:r>
          </w:p>
        </w:tc>
        <w:tc>
          <w:tcPr>
            <w:tcW w:w="677" w:type="pct"/>
          </w:tcPr>
          <w:p w14:paraId="7A6D3C4C"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54</w:t>
            </w:r>
          </w:p>
        </w:tc>
        <w:tc>
          <w:tcPr>
            <w:tcW w:w="791" w:type="pct"/>
          </w:tcPr>
          <w:p w14:paraId="4BAF1E4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61.36</w:t>
            </w:r>
          </w:p>
        </w:tc>
      </w:tr>
      <w:tr w:rsidR="0032518E" w:rsidRPr="0032518E" w14:paraId="45465252" w14:textId="77777777" w:rsidTr="0032518E">
        <w:trPr>
          <w:trHeight w:val="306"/>
        </w:trPr>
        <w:tc>
          <w:tcPr>
            <w:tcW w:w="1101" w:type="pct"/>
            <w:vMerge/>
          </w:tcPr>
          <w:p w14:paraId="0883BCA5" w14:textId="77777777" w:rsidR="0032518E" w:rsidRPr="0032518E" w:rsidRDefault="0032518E" w:rsidP="0032518E">
            <w:pPr>
              <w:jc w:val="both"/>
              <w:rPr>
                <w:rFonts w:ascii="Arial" w:eastAsia="Times New Roman" w:hAnsi="Arial"/>
                <w:b/>
                <w:bCs/>
                <w:sz w:val="20"/>
                <w:lang w:val="en-IN"/>
              </w:rPr>
            </w:pPr>
          </w:p>
        </w:tc>
        <w:tc>
          <w:tcPr>
            <w:tcW w:w="2431" w:type="pct"/>
          </w:tcPr>
          <w:p w14:paraId="40E8C51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Training not localized</w:t>
            </w:r>
          </w:p>
        </w:tc>
        <w:tc>
          <w:tcPr>
            <w:tcW w:w="677" w:type="pct"/>
          </w:tcPr>
          <w:p w14:paraId="3CDE7B5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3E2FA7D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60A8B12D" w14:textId="77777777" w:rsidTr="0032518E">
        <w:trPr>
          <w:trHeight w:val="306"/>
        </w:trPr>
        <w:tc>
          <w:tcPr>
            <w:tcW w:w="1101" w:type="pct"/>
            <w:vMerge/>
          </w:tcPr>
          <w:p w14:paraId="35D0F99E" w14:textId="77777777" w:rsidR="0032518E" w:rsidRPr="0032518E" w:rsidRDefault="0032518E" w:rsidP="0032518E">
            <w:pPr>
              <w:jc w:val="both"/>
              <w:rPr>
                <w:rFonts w:ascii="Arial" w:eastAsia="Times New Roman" w:hAnsi="Arial"/>
                <w:b/>
                <w:bCs/>
                <w:sz w:val="20"/>
                <w:lang w:val="en-IN"/>
              </w:rPr>
            </w:pPr>
          </w:p>
        </w:tc>
        <w:tc>
          <w:tcPr>
            <w:tcW w:w="2431" w:type="pct"/>
          </w:tcPr>
          <w:p w14:paraId="2D04F6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exposure visits</w:t>
            </w:r>
          </w:p>
        </w:tc>
        <w:tc>
          <w:tcPr>
            <w:tcW w:w="677" w:type="pct"/>
          </w:tcPr>
          <w:p w14:paraId="32702BC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144CC83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3344C05B" w14:textId="77777777" w:rsidTr="0032518E">
        <w:trPr>
          <w:trHeight w:val="307"/>
        </w:trPr>
        <w:tc>
          <w:tcPr>
            <w:tcW w:w="1101" w:type="pct"/>
            <w:vMerge w:val="restart"/>
          </w:tcPr>
          <w:p w14:paraId="42A2001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Policy &amp; Compliance Delays</w:t>
            </w:r>
          </w:p>
        </w:tc>
        <w:tc>
          <w:tcPr>
            <w:tcW w:w="2431" w:type="pct"/>
          </w:tcPr>
          <w:p w14:paraId="5BEA25A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Slow statutory filing</w:t>
            </w:r>
          </w:p>
        </w:tc>
        <w:tc>
          <w:tcPr>
            <w:tcW w:w="677" w:type="pct"/>
          </w:tcPr>
          <w:p w14:paraId="40B46E4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34</w:t>
            </w:r>
          </w:p>
        </w:tc>
        <w:tc>
          <w:tcPr>
            <w:tcW w:w="791" w:type="pct"/>
          </w:tcPr>
          <w:p w14:paraId="64F8AE5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38.64</w:t>
            </w:r>
          </w:p>
        </w:tc>
      </w:tr>
      <w:tr w:rsidR="0032518E" w:rsidRPr="0032518E" w14:paraId="0D8B7BCA" w14:textId="77777777" w:rsidTr="0032518E">
        <w:trPr>
          <w:trHeight w:val="306"/>
        </w:trPr>
        <w:tc>
          <w:tcPr>
            <w:tcW w:w="1101" w:type="pct"/>
            <w:vMerge/>
          </w:tcPr>
          <w:p w14:paraId="6F9435DA" w14:textId="77777777" w:rsidR="0032518E" w:rsidRPr="0032518E" w:rsidRDefault="0032518E" w:rsidP="0032518E">
            <w:pPr>
              <w:jc w:val="both"/>
              <w:rPr>
                <w:rFonts w:ascii="Arial" w:eastAsia="Times New Roman" w:hAnsi="Arial"/>
                <w:b/>
                <w:bCs/>
                <w:sz w:val="20"/>
                <w:lang w:val="en-IN"/>
              </w:rPr>
            </w:pPr>
          </w:p>
        </w:tc>
        <w:tc>
          <w:tcPr>
            <w:tcW w:w="2431" w:type="pct"/>
          </w:tcPr>
          <w:p w14:paraId="23E2E16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Delayed audits</w:t>
            </w:r>
          </w:p>
        </w:tc>
        <w:tc>
          <w:tcPr>
            <w:tcW w:w="677" w:type="pct"/>
          </w:tcPr>
          <w:p w14:paraId="51ED49B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1732A90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03558C5F" w14:textId="77777777" w:rsidTr="0032518E">
        <w:trPr>
          <w:trHeight w:val="306"/>
        </w:trPr>
        <w:tc>
          <w:tcPr>
            <w:tcW w:w="1101" w:type="pct"/>
            <w:vMerge/>
          </w:tcPr>
          <w:p w14:paraId="3B18ACBB" w14:textId="77777777" w:rsidR="0032518E" w:rsidRPr="0032518E" w:rsidRDefault="0032518E" w:rsidP="0032518E">
            <w:pPr>
              <w:jc w:val="both"/>
              <w:rPr>
                <w:rFonts w:ascii="Arial" w:eastAsia="Times New Roman" w:hAnsi="Arial"/>
                <w:b/>
                <w:bCs/>
                <w:sz w:val="20"/>
                <w:lang w:val="en-IN"/>
              </w:rPr>
            </w:pPr>
          </w:p>
        </w:tc>
        <w:tc>
          <w:tcPr>
            <w:tcW w:w="2431" w:type="pct"/>
          </w:tcPr>
          <w:p w14:paraId="3CA74C3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Weak govt dept coordination</w:t>
            </w:r>
          </w:p>
        </w:tc>
        <w:tc>
          <w:tcPr>
            <w:tcW w:w="677" w:type="pct"/>
          </w:tcPr>
          <w:p w14:paraId="7922A78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27</w:t>
            </w:r>
          </w:p>
        </w:tc>
        <w:tc>
          <w:tcPr>
            <w:tcW w:w="791" w:type="pct"/>
          </w:tcPr>
          <w:p w14:paraId="4180C01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30.68</w:t>
            </w:r>
          </w:p>
        </w:tc>
      </w:tr>
      <w:tr w:rsidR="0032518E" w:rsidRPr="0032518E" w14:paraId="277C18E8" w14:textId="77777777" w:rsidTr="0032518E">
        <w:trPr>
          <w:trHeight w:val="234"/>
        </w:trPr>
        <w:tc>
          <w:tcPr>
            <w:tcW w:w="1101" w:type="pct"/>
            <w:vMerge w:val="restart"/>
          </w:tcPr>
          <w:p w14:paraId="03F6C8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Information &amp; Communication Failures</w:t>
            </w:r>
          </w:p>
        </w:tc>
        <w:tc>
          <w:tcPr>
            <w:tcW w:w="2431" w:type="pct"/>
          </w:tcPr>
          <w:p w14:paraId="2D7560A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Members not updated on prices/schemes</w:t>
            </w:r>
          </w:p>
        </w:tc>
        <w:tc>
          <w:tcPr>
            <w:tcW w:w="677" w:type="pct"/>
          </w:tcPr>
          <w:p w14:paraId="0B0A0EA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w:t>
            </w:r>
          </w:p>
        </w:tc>
        <w:tc>
          <w:tcPr>
            <w:tcW w:w="791" w:type="pct"/>
          </w:tcPr>
          <w:p w14:paraId="1BE1260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64.77</w:t>
            </w:r>
          </w:p>
        </w:tc>
      </w:tr>
      <w:tr w:rsidR="0032518E" w:rsidRPr="0032518E" w14:paraId="28029CDE" w14:textId="77777777" w:rsidTr="0032518E">
        <w:trPr>
          <w:trHeight w:val="306"/>
        </w:trPr>
        <w:tc>
          <w:tcPr>
            <w:tcW w:w="1101" w:type="pct"/>
            <w:vMerge/>
          </w:tcPr>
          <w:p w14:paraId="5ED4519F" w14:textId="77777777" w:rsidR="0032518E" w:rsidRPr="0032518E" w:rsidRDefault="0032518E" w:rsidP="0032518E">
            <w:pPr>
              <w:jc w:val="both"/>
              <w:rPr>
                <w:rFonts w:ascii="Arial" w:eastAsia="Times New Roman" w:hAnsi="Arial"/>
                <w:b/>
                <w:bCs/>
                <w:sz w:val="20"/>
                <w:lang w:val="en-IN"/>
              </w:rPr>
            </w:pPr>
          </w:p>
        </w:tc>
        <w:tc>
          <w:tcPr>
            <w:tcW w:w="2431" w:type="pct"/>
          </w:tcPr>
          <w:p w14:paraId="124C3CB2"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unified communication channel</w:t>
            </w:r>
          </w:p>
        </w:tc>
        <w:tc>
          <w:tcPr>
            <w:tcW w:w="677" w:type="pct"/>
          </w:tcPr>
          <w:p w14:paraId="11C13CC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D45560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r w:rsidR="0032518E" w:rsidRPr="0032518E" w14:paraId="58FFDD49" w14:textId="77777777" w:rsidTr="0032518E">
        <w:trPr>
          <w:trHeight w:val="306"/>
        </w:trPr>
        <w:tc>
          <w:tcPr>
            <w:tcW w:w="1101" w:type="pct"/>
            <w:vMerge/>
          </w:tcPr>
          <w:p w14:paraId="0748C552" w14:textId="77777777" w:rsidR="0032518E" w:rsidRPr="0032518E" w:rsidRDefault="0032518E" w:rsidP="0032518E">
            <w:pPr>
              <w:jc w:val="both"/>
              <w:rPr>
                <w:rFonts w:ascii="Arial" w:eastAsia="Times New Roman" w:hAnsi="Arial"/>
                <w:b/>
                <w:bCs/>
                <w:sz w:val="20"/>
                <w:lang w:val="en-IN"/>
              </w:rPr>
            </w:pPr>
          </w:p>
        </w:tc>
        <w:tc>
          <w:tcPr>
            <w:tcW w:w="2431" w:type="pct"/>
          </w:tcPr>
          <w:p w14:paraId="0DC6980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Market information delays</w:t>
            </w:r>
          </w:p>
        </w:tc>
        <w:tc>
          <w:tcPr>
            <w:tcW w:w="677" w:type="pct"/>
          </w:tcPr>
          <w:p w14:paraId="16C2479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6403A0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bl>
    <w:p w14:paraId="56D19776" w14:textId="4414A4FC" w:rsidR="00DD2A0E" w:rsidRPr="00DD2A0E" w:rsidRDefault="00DD2A0E" w:rsidP="00DD2A0E">
      <w:pPr>
        <w:pStyle w:val="BodyText3"/>
        <w:tabs>
          <w:tab w:val="left" w:pos="1080"/>
        </w:tabs>
        <w:spacing w:after="0"/>
        <w:ind w:left="1080" w:hanging="1080"/>
        <w:jc w:val="both"/>
        <w:rPr>
          <w:rFonts w:ascii="Arial" w:hAnsi="Arial"/>
          <w:b/>
          <w:sz w:val="20"/>
          <w:szCs w:val="20"/>
        </w:rPr>
      </w:pPr>
    </w:p>
    <w:p w14:paraId="5E01CBCB" w14:textId="5C3A5A35" w:rsidR="0032518E" w:rsidRPr="0032518E" w:rsidRDefault="0032518E" w:rsidP="0032518E">
      <w:pPr>
        <w:pStyle w:val="Body"/>
        <w:rPr>
          <w:rFonts w:ascii="Arial" w:hAnsi="Arial" w:cs="Arial"/>
          <w:lang w:val="en-IN"/>
        </w:rPr>
      </w:pPr>
      <w:r w:rsidRPr="0032518E">
        <w:rPr>
          <w:rFonts w:ascii="Arial" w:hAnsi="Arial" w:cs="Arial"/>
          <w:lang w:val="en-IN"/>
        </w:rPr>
        <w:t>The analysis of management</w:t>
      </w:r>
      <w:r w:rsidR="00E63213">
        <w:rPr>
          <w:rFonts w:ascii="Arial" w:hAnsi="Arial" w:cs="Arial"/>
          <w:lang w:val="en-IN"/>
        </w:rPr>
        <w:t xml:space="preserve"> </w:t>
      </w:r>
      <w:r w:rsidRPr="0032518E">
        <w:rPr>
          <w:rFonts w:ascii="Arial" w:hAnsi="Arial" w:cs="Arial"/>
          <w:lang w:val="en-IN"/>
        </w:rPr>
        <w:t>related challenges faced by FPOs was carried out using qualitative data collected from 88 respondents, including FPO CEOs, accountants, and farmer members. Through thematic coding of interview data, eight major themes emerged—</w:t>
      </w:r>
      <w:r w:rsidRPr="0032518E">
        <w:rPr>
          <w:rFonts w:ascii="Arial" w:hAnsi="Arial" w:cs="Arial"/>
          <w:b/>
          <w:bCs/>
          <w:lang w:val="en-IN"/>
        </w:rPr>
        <w:t>Financial and Funding Bottlenecks, Governance and Leadership Transparency, Infrastructure and Logistics Deficits, Market Linkage Weaknesses, Member Engagement and Trust, Capacity and Knowledge Gaps, Policy and Compliance Delays,</w:t>
      </w:r>
      <w:r w:rsidRPr="0032518E">
        <w:rPr>
          <w:rFonts w:ascii="Arial" w:hAnsi="Arial" w:cs="Arial"/>
          <w:lang w:val="en-IN"/>
        </w:rPr>
        <w:t> and </w:t>
      </w:r>
      <w:r w:rsidRPr="0032518E">
        <w:rPr>
          <w:rFonts w:ascii="Arial" w:hAnsi="Arial" w:cs="Arial"/>
          <w:b/>
          <w:bCs/>
          <w:lang w:val="en-IN"/>
        </w:rPr>
        <w:t>Information and Communication Failures.</w:t>
      </w:r>
      <w:r w:rsidRPr="0032518E">
        <w:rPr>
          <w:rFonts w:ascii="Arial" w:hAnsi="Arial" w:cs="Arial"/>
          <w:lang w:val="en-IN"/>
        </w:rPr>
        <w:t xml:space="preserve"> The frequency and percentage distribution of these problems are presented in Table </w:t>
      </w:r>
      <w:r w:rsidR="00E63213">
        <w:rPr>
          <w:rFonts w:ascii="Arial" w:hAnsi="Arial" w:cs="Arial"/>
          <w:lang w:val="en-IN"/>
        </w:rPr>
        <w:t>1</w:t>
      </w:r>
      <w:r w:rsidRPr="0032518E">
        <w:rPr>
          <w:rFonts w:ascii="Arial" w:hAnsi="Arial" w:cs="Arial"/>
          <w:lang w:val="en-IN"/>
        </w:rPr>
        <w:t xml:space="preserve">. </w:t>
      </w:r>
    </w:p>
    <w:p w14:paraId="05F41AFE" w14:textId="577DE757" w:rsidR="0032518E" w:rsidRPr="004A35F4" w:rsidRDefault="004A35F4" w:rsidP="0032518E">
      <w:pPr>
        <w:pStyle w:val="Body"/>
        <w:spacing w:after="0"/>
        <w:rPr>
          <w:rFonts w:ascii="Arial" w:hAnsi="Arial" w:cs="Arial"/>
          <w:b/>
          <w:bCs/>
          <w:sz w:val="22"/>
          <w:szCs w:val="22"/>
          <w:lang w:val="en-IN"/>
        </w:rPr>
      </w:pPr>
      <w:r>
        <w:rPr>
          <w:rFonts w:ascii="Arial" w:hAnsi="Arial" w:cs="Arial"/>
          <w:b/>
          <w:bCs/>
          <w:sz w:val="22"/>
          <w:szCs w:val="22"/>
          <w:lang w:val="en-IN"/>
        </w:rPr>
        <w:t>3.</w:t>
      </w:r>
      <w:r w:rsidR="0032518E" w:rsidRPr="004A35F4">
        <w:rPr>
          <w:rFonts w:ascii="Arial" w:hAnsi="Arial" w:cs="Arial"/>
          <w:b/>
          <w:bCs/>
          <w:sz w:val="22"/>
          <w:szCs w:val="22"/>
          <w:lang w:val="en-IN"/>
        </w:rPr>
        <w:t>1. Financial and Funding Bottlenecks</w:t>
      </w:r>
    </w:p>
    <w:p w14:paraId="020653C7" w14:textId="644FCE0E" w:rsidR="002C2614" w:rsidRPr="002C2614" w:rsidRDefault="002C2614" w:rsidP="002C2614">
      <w:pPr>
        <w:pStyle w:val="Body"/>
        <w:spacing w:after="0"/>
        <w:rPr>
          <w:rFonts w:ascii="Arial" w:hAnsi="Arial" w:cs="Arial"/>
          <w:lang w:val="en-IN"/>
        </w:rPr>
      </w:pPr>
      <w:r w:rsidRPr="002C2614">
        <w:rPr>
          <w:rFonts w:ascii="Arial" w:hAnsi="Arial" w:cs="Arial"/>
          <w:lang w:val="en-IN"/>
        </w:rPr>
        <w:t>The analysis shows that financing remains one of the most pressing challenges for FPOs. The </w:t>
      </w:r>
      <w:r w:rsidRPr="002C2614">
        <w:rPr>
          <w:rFonts w:ascii="Arial" w:hAnsi="Arial" w:cs="Arial"/>
          <w:b/>
          <w:bCs/>
          <w:lang w:val="en-IN"/>
        </w:rPr>
        <w:t>delayed release of government funds and subsidies</w:t>
      </w:r>
      <w:r w:rsidRPr="002C2614">
        <w:rPr>
          <w:rFonts w:ascii="Arial" w:hAnsi="Arial" w:cs="Arial"/>
          <w:lang w:val="en-IN"/>
        </w:rPr>
        <w:t xml:space="preserve"> disrupts procurement schedules, creates cash flow imbalances, and reduces the ability to make timely payments to farmers. Such delays were also noted by Suresh </w:t>
      </w:r>
      <w:r w:rsidRPr="002C2614">
        <w:rPr>
          <w:rFonts w:ascii="Arial" w:hAnsi="Arial" w:cs="Arial"/>
          <w:i/>
          <w:iCs/>
          <w:lang w:val="en-IN"/>
        </w:rPr>
        <w:t>et al</w:t>
      </w:r>
      <w:r w:rsidRPr="002C2614">
        <w:rPr>
          <w:rFonts w:ascii="Arial" w:hAnsi="Arial" w:cs="Arial"/>
          <w:lang w:val="en-IN"/>
        </w:rPr>
        <w:t>.</w:t>
      </w:r>
      <w:r w:rsidRPr="002C2614">
        <w:rPr>
          <w:rFonts w:ascii="Arial" w:hAnsi="Arial" w:cs="Arial"/>
          <w:i/>
          <w:iCs/>
          <w:lang w:val="en-IN"/>
        </w:rPr>
        <w:t xml:space="preserve"> (20</w:t>
      </w:r>
      <w:r w:rsidR="0058487B">
        <w:rPr>
          <w:rFonts w:ascii="Arial" w:hAnsi="Arial" w:cs="Arial"/>
          <w:i/>
          <w:iCs/>
          <w:lang w:val="en-IN"/>
        </w:rPr>
        <w:t>24</w:t>
      </w:r>
      <w:r w:rsidRPr="002C2614">
        <w:rPr>
          <w:rFonts w:ascii="Arial" w:hAnsi="Arial" w:cs="Arial"/>
          <w:i/>
          <w:iCs/>
          <w:lang w:val="en-IN"/>
        </w:rPr>
        <w:t>)</w:t>
      </w:r>
      <w:r w:rsidRPr="002C2614">
        <w:rPr>
          <w:rFonts w:ascii="Arial" w:hAnsi="Arial" w:cs="Arial"/>
          <w:lang w:val="en-IN"/>
        </w:rPr>
        <w:t>, who observed that subsidy dependency often undermines member confidence and trust in collective systems. During peak procurement seasons, </w:t>
      </w:r>
      <w:r w:rsidRPr="002C2614">
        <w:rPr>
          <w:rFonts w:ascii="Arial" w:hAnsi="Arial" w:cs="Arial"/>
          <w:b/>
          <w:bCs/>
          <w:lang w:val="en-IN"/>
        </w:rPr>
        <w:t>cash flow gaps</w:t>
      </w:r>
      <w:r w:rsidRPr="002C2614">
        <w:rPr>
          <w:rFonts w:ascii="Arial" w:hAnsi="Arial" w:cs="Arial"/>
          <w:lang w:val="en-IN"/>
        </w:rPr>
        <w:t> become particularly visible. FPOs require bulk liquidity to purchase produce; however, inadequate working capital forces reliance on costly credit or results in delayed procurement. This aligns with </w:t>
      </w:r>
      <w:r w:rsidRPr="002C2614">
        <w:rPr>
          <w:rFonts w:ascii="Arial" w:hAnsi="Arial" w:cs="Arial"/>
          <w:i/>
          <w:iCs/>
          <w:lang w:val="en-IN"/>
        </w:rPr>
        <w:t xml:space="preserve"> </w:t>
      </w:r>
      <w:r w:rsidRPr="002C2614">
        <w:rPr>
          <w:rFonts w:ascii="Arial" w:hAnsi="Arial" w:cs="Arial"/>
          <w:lang w:val="en-IN"/>
        </w:rPr>
        <w:t xml:space="preserve"> Fink </w:t>
      </w:r>
      <w:r w:rsidRPr="002C2614">
        <w:rPr>
          <w:rFonts w:ascii="Arial" w:hAnsi="Arial" w:cs="Arial"/>
          <w:i/>
          <w:iCs/>
          <w:lang w:val="en-IN"/>
        </w:rPr>
        <w:t>et al</w:t>
      </w:r>
      <w:r w:rsidRPr="002C2614">
        <w:rPr>
          <w:rFonts w:ascii="Arial" w:hAnsi="Arial" w:cs="Arial"/>
          <w:lang w:val="en-IN"/>
        </w:rPr>
        <w:t>. (2020), who highlighted seasonal liquidity crunches as a structural weakness in producer organizations.</w:t>
      </w:r>
    </w:p>
    <w:p w14:paraId="47C8B589" w14:textId="4FB127BF" w:rsidR="002C2614" w:rsidRPr="002C2614" w:rsidRDefault="002C2614" w:rsidP="002C2614">
      <w:pPr>
        <w:pStyle w:val="Body"/>
        <w:spacing w:after="0"/>
        <w:rPr>
          <w:rFonts w:ascii="Arial" w:hAnsi="Arial" w:cs="Arial"/>
          <w:lang w:val="en-IN"/>
        </w:rPr>
      </w:pPr>
      <w:r w:rsidRPr="002C2614">
        <w:rPr>
          <w:rFonts w:ascii="Arial" w:hAnsi="Arial" w:cs="Arial"/>
          <w:lang w:val="en-IN"/>
        </w:rPr>
        <w:t>Further, </w:t>
      </w:r>
      <w:r w:rsidRPr="002C2614">
        <w:rPr>
          <w:rFonts w:ascii="Arial" w:hAnsi="Arial" w:cs="Arial"/>
          <w:b/>
          <w:bCs/>
          <w:lang w:val="en-IN"/>
        </w:rPr>
        <w:t>inadequate working capital</w:t>
      </w:r>
      <w:r w:rsidRPr="002C2614">
        <w:rPr>
          <w:rFonts w:ascii="Arial" w:hAnsi="Arial" w:cs="Arial"/>
          <w:lang w:val="en-IN"/>
        </w:rPr>
        <w:t> constrains everyday operations such as input procurement and service delivery. FPOs often lack revolving funds, making them vulnerable to short-term shocks. In addition, </w:t>
      </w:r>
      <w:r w:rsidRPr="002C2614">
        <w:rPr>
          <w:rFonts w:ascii="Arial" w:hAnsi="Arial" w:cs="Arial"/>
          <w:b/>
          <w:bCs/>
          <w:lang w:val="en-IN"/>
        </w:rPr>
        <w:t>credit-based procurement</w:t>
      </w:r>
      <w:r w:rsidRPr="002C2614">
        <w:rPr>
          <w:rFonts w:ascii="Arial" w:hAnsi="Arial" w:cs="Arial"/>
          <w:lang w:val="en-IN"/>
        </w:rPr>
        <w:t xml:space="preserve"> is widely mistrusted, as farmers hesitate to supply on credit due to delayed payments and perceived weak financial discipline within FPOs. </w:t>
      </w:r>
    </w:p>
    <w:p w14:paraId="4AE741C3" w14:textId="77777777" w:rsidR="00DD2A0E" w:rsidRPr="0032518E" w:rsidRDefault="00DD2A0E" w:rsidP="0032518E">
      <w:pPr>
        <w:pStyle w:val="Body"/>
        <w:spacing w:after="0"/>
        <w:rPr>
          <w:rFonts w:ascii="Arial" w:hAnsi="Arial" w:cs="Arial"/>
          <w:lang w:val="en-IN"/>
        </w:rPr>
      </w:pPr>
    </w:p>
    <w:p w14:paraId="23268BB0" w14:textId="5C5A36A3" w:rsidR="00023AFC"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2. Governance and Leadership Transparency</w:t>
      </w:r>
    </w:p>
    <w:p w14:paraId="00A5078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Governance challenges also emerged prominently. Many members reported being </w:t>
      </w:r>
      <w:r w:rsidRPr="00023AFC">
        <w:rPr>
          <w:rFonts w:ascii="Arial" w:hAnsi="Arial" w:cs="Arial"/>
          <w:b/>
          <w:bCs/>
          <w:lang w:val="en-IN"/>
        </w:rPr>
        <w:t>unaware of leadership details</w:t>
      </w:r>
      <w:r w:rsidRPr="00023AFC">
        <w:rPr>
          <w:rFonts w:ascii="Arial" w:hAnsi="Arial" w:cs="Arial"/>
          <w:lang w:val="en-IN"/>
        </w:rPr>
        <w:t>, which creates distance between the staff, board and the general membership. Coupled with </w:t>
      </w:r>
      <w:r w:rsidRPr="00023AFC">
        <w:rPr>
          <w:rFonts w:ascii="Arial" w:hAnsi="Arial" w:cs="Arial"/>
          <w:b/>
          <w:bCs/>
          <w:lang w:val="en-IN"/>
        </w:rPr>
        <w:t>irregular or poorly documented AGMs</w:t>
      </w:r>
      <w:r w:rsidRPr="00023AFC">
        <w:rPr>
          <w:rFonts w:ascii="Arial" w:hAnsi="Arial" w:cs="Arial"/>
          <w:lang w:val="en-IN"/>
        </w:rPr>
        <w:t>, this undermines transparency in decision-making. Weak governance practices of this nature have been discussed by Liu</w:t>
      </w:r>
      <w:r w:rsidRPr="00023AFC">
        <w:rPr>
          <w:rFonts w:ascii="Arial" w:hAnsi="Arial" w:cs="Arial"/>
          <w:i/>
          <w:iCs/>
          <w:lang w:val="en-IN"/>
        </w:rPr>
        <w:t xml:space="preserve"> et al. </w:t>
      </w:r>
      <w:r w:rsidRPr="00023AFC">
        <w:rPr>
          <w:rFonts w:ascii="Arial" w:hAnsi="Arial" w:cs="Arial"/>
          <w:lang w:val="en-IN"/>
        </w:rPr>
        <w:t>(2024), who found that the lack of information flow from leaders to members often reduces accountability.</w:t>
      </w:r>
    </w:p>
    <w:p w14:paraId="561E8402"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Another key concern was the </w:t>
      </w:r>
      <w:r w:rsidRPr="00023AFC">
        <w:rPr>
          <w:rFonts w:ascii="Arial" w:hAnsi="Arial" w:cs="Arial"/>
          <w:b/>
          <w:bCs/>
          <w:lang w:val="en-IN"/>
        </w:rPr>
        <w:t>dominance of a few individuals in decision-making</w:t>
      </w:r>
      <w:r w:rsidRPr="00023AFC">
        <w:rPr>
          <w:rFonts w:ascii="Arial" w:hAnsi="Arial" w:cs="Arial"/>
          <w:lang w:val="en-IN"/>
        </w:rPr>
        <w:t>, particularly by the chairperson or a small elite, which limits democratic participation. Finally, the </w:t>
      </w:r>
      <w:r w:rsidRPr="00023AFC">
        <w:rPr>
          <w:rFonts w:ascii="Arial" w:hAnsi="Arial" w:cs="Arial"/>
          <w:b/>
          <w:bCs/>
          <w:lang w:val="en-IN"/>
        </w:rPr>
        <w:t>absence of succession planning</w:t>
      </w:r>
      <w:r w:rsidRPr="00023AFC">
        <w:rPr>
          <w:rFonts w:ascii="Arial" w:hAnsi="Arial" w:cs="Arial"/>
          <w:lang w:val="en-IN"/>
        </w:rPr>
        <w:t> threatens leadership continuity; operations become vulnerable when key leaders step down. These findings are consistent with Gothard and Austin</w:t>
      </w:r>
      <w:r w:rsidRPr="00023AFC">
        <w:rPr>
          <w:rFonts w:ascii="Arial" w:hAnsi="Arial" w:cs="Arial"/>
          <w:i/>
          <w:iCs/>
          <w:lang w:val="en-IN"/>
        </w:rPr>
        <w:t xml:space="preserve"> (2013)</w:t>
      </w:r>
      <w:r w:rsidRPr="00023AFC">
        <w:rPr>
          <w:rFonts w:ascii="Arial" w:hAnsi="Arial" w:cs="Arial"/>
          <w:lang w:val="en-IN"/>
        </w:rPr>
        <w:t>, which reported that farmer organizations without structured leadership transition plans often face operational breakdowns.</w:t>
      </w:r>
    </w:p>
    <w:p w14:paraId="1246FC7C" w14:textId="77777777" w:rsidR="00DD2A0E" w:rsidRPr="0032518E" w:rsidRDefault="00DD2A0E" w:rsidP="0032518E">
      <w:pPr>
        <w:pStyle w:val="Body"/>
        <w:spacing w:after="0"/>
        <w:rPr>
          <w:rFonts w:ascii="Arial" w:hAnsi="Arial" w:cs="Arial"/>
          <w:lang w:val="en-IN"/>
        </w:rPr>
      </w:pPr>
    </w:p>
    <w:p w14:paraId="17A1125A" w14:textId="20FDAB84"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3. Infrastructure and Logistics Deficits</w:t>
      </w:r>
    </w:p>
    <w:p w14:paraId="65716C4C"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The lack of </w:t>
      </w:r>
      <w:r w:rsidRPr="00023AFC">
        <w:rPr>
          <w:rFonts w:ascii="Arial" w:hAnsi="Arial" w:cs="Arial"/>
          <w:b/>
          <w:bCs/>
          <w:lang w:val="en-IN"/>
        </w:rPr>
        <w:t>warehouse and cold storage facilities</w:t>
      </w:r>
      <w:r w:rsidRPr="00023AFC">
        <w:rPr>
          <w:rFonts w:ascii="Arial" w:hAnsi="Arial" w:cs="Arial"/>
          <w:lang w:val="en-IN"/>
        </w:rPr>
        <w:t> was the single most critical constraint raised by both staff and members. Without such infrastructure, farmers are forced into distress sales, particularly for perishables, thereby reducing their bargaining power. This is consistent with Jarman</w:t>
      </w:r>
      <w:r w:rsidRPr="00023AFC">
        <w:rPr>
          <w:rFonts w:ascii="Arial" w:hAnsi="Arial" w:cs="Arial"/>
          <w:i/>
          <w:iCs/>
          <w:lang w:val="en-IN"/>
        </w:rPr>
        <w:t xml:space="preserve"> et al</w:t>
      </w:r>
      <w:r w:rsidRPr="00023AFC">
        <w:rPr>
          <w:rFonts w:ascii="Arial" w:hAnsi="Arial" w:cs="Arial"/>
          <w:lang w:val="en-IN"/>
        </w:rPr>
        <w:t>. (2023), who showed that inadequate storage results in both post-harvest losses and reduced income stability.</w:t>
      </w:r>
    </w:p>
    <w:p w14:paraId="4B54947F"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Dependence on </w:t>
      </w:r>
      <w:r w:rsidRPr="00023AFC">
        <w:rPr>
          <w:rFonts w:ascii="Arial" w:hAnsi="Arial" w:cs="Arial"/>
          <w:b/>
          <w:bCs/>
          <w:lang w:val="en-IN"/>
        </w:rPr>
        <w:t>private traders for transport</w:t>
      </w:r>
      <w:r w:rsidRPr="00023AFC">
        <w:rPr>
          <w:rFonts w:ascii="Arial" w:hAnsi="Arial" w:cs="Arial"/>
          <w:lang w:val="en-IN"/>
        </w:rPr>
        <w:t xml:space="preserve"> was another key challenge. In the absence of FPO-owned logistics, farmers must rely on middlemen, which increases costs and diminishes margins. Prior studies have similarly emphasized that logistics dependency limits FPO competitiveness and reduces their ability to integrate into efficient supply chains (Kumar </w:t>
      </w:r>
      <w:r w:rsidRPr="00023AFC">
        <w:rPr>
          <w:rFonts w:ascii="Arial" w:hAnsi="Arial" w:cs="Arial"/>
          <w:i/>
          <w:iCs/>
          <w:lang w:val="en-IN"/>
        </w:rPr>
        <w:t>et al</w:t>
      </w:r>
      <w:r w:rsidRPr="00023AFC">
        <w:rPr>
          <w:rFonts w:ascii="Arial" w:hAnsi="Arial" w:cs="Arial"/>
          <w:lang w:val="en-IN"/>
        </w:rPr>
        <w:t>., 2023).</w:t>
      </w:r>
    </w:p>
    <w:p w14:paraId="3D8070B4" w14:textId="77777777" w:rsidR="00DD2A0E" w:rsidRPr="0032518E" w:rsidRDefault="00DD2A0E" w:rsidP="0032518E">
      <w:pPr>
        <w:pStyle w:val="Body"/>
        <w:spacing w:after="0"/>
        <w:rPr>
          <w:rFonts w:ascii="Arial" w:hAnsi="Arial" w:cs="Arial"/>
          <w:lang w:val="en-IN"/>
        </w:rPr>
      </w:pPr>
    </w:p>
    <w:p w14:paraId="28C570C1" w14:textId="070ECE75"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4. Market Linkage Weaknesses</w:t>
      </w:r>
    </w:p>
    <w:p w14:paraId="63B8275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FPOs reported </w:t>
      </w:r>
      <w:r w:rsidRPr="00023AFC">
        <w:rPr>
          <w:rFonts w:ascii="Arial" w:hAnsi="Arial" w:cs="Arial"/>
          <w:b/>
          <w:bCs/>
          <w:lang w:val="en-IN"/>
        </w:rPr>
        <w:t>no systematic buyer engagement</w:t>
      </w:r>
      <w:r w:rsidRPr="00023AFC">
        <w:rPr>
          <w:rFonts w:ascii="Arial" w:hAnsi="Arial" w:cs="Arial"/>
          <w:lang w:val="en-IN"/>
        </w:rPr>
        <w:t xml:space="preserve">, often depending on spot sales rather than formal contracts. This reduces income stability and limits long-term market partnerships. In addition, the </w:t>
      </w:r>
      <w:r w:rsidRPr="00023AFC">
        <w:rPr>
          <w:rFonts w:ascii="Arial" w:hAnsi="Arial" w:cs="Arial"/>
          <w:b/>
          <w:bCs/>
          <w:lang w:val="en-IN"/>
        </w:rPr>
        <w:t>lack of brand visibility</w:t>
      </w:r>
      <w:r w:rsidRPr="00023AFC">
        <w:rPr>
          <w:rFonts w:ascii="Arial" w:hAnsi="Arial" w:cs="Arial"/>
          <w:lang w:val="en-IN"/>
        </w:rPr>
        <w:t xml:space="preserve"> limits the FPO’s ability to establish a distinct market identity; without branding, its produce is sold as undifferentiated bulk commodities, making it difficult to secure consistent buyer engagement. Surendra-Padmaja and Ojha (2025) similarly note that organizations lacking branding strategies struggle to build recognition and trust among buyers, which restricts their access to stable market linkages</w:t>
      </w:r>
    </w:p>
    <w:p w14:paraId="2ACB02D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Finally, </w:t>
      </w:r>
      <w:r w:rsidRPr="00023AFC">
        <w:rPr>
          <w:rFonts w:ascii="Arial" w:hAnsi="Arial" w:cs="Arial"/>
          <w:b/>
          <w:bCs/>
          <w:lang w:val="en-IN"/>
        </w:rPr>
        <w:t>weak delivery tracking</w:t>
      </w:r>
      <w:r w:rsidRPr="00023AFC">
        <w:rPr>
          <w:rFonts w:ascii="Arial" w:hAnsi="Arial" w:cs="Arial"/>
          <w:lang w:val="en-IN"/>
        </w:rPr>
        <w:t xml:space="preserve"> emerged as a concern. Without proper systems to monitor whether goods are delivered on time and in the right quantity, disputes with buyers arise and trust erodes. These corroborate the findings of Khan </w:t>
      </w:r>
      <w:r w:rsidRPr="00023AFC">
        <w:rPr>
          <w:rFonts w:ascii="Arial" w:hAnsi="Arial" w:cs="Arial"/>
          <w:i/>
          <w:iCs/>
          <w:lang w:val="en-IN"/>
        </w:rPr>
        <w:t xml:space="preserve">et al. </w:t>
      </w:r>
      <w:r w:rsidRPr="00023AFC">
        <w:rPr>
          <w:rFonts w:ascii="Arial" w:hAnsi="Arial" w:cs="Arial"/>
          <w:lang w:val="en-IN"/>
        </w:rPr>
        <w:t>(2023), who noted that digital tracking systems improve accountability and enhance market credibility.</w:t>
      </w:r>
    </w:p>
    <w:p w14:paraId="2B0146E0" w14:textId="77777777" w:rsidR="00DD2A0E" w:rsidRPr="0032518E" w:rsidRDefault="00DD2A0E" w:rsidP="0032518E">
      <w:pPr>
        <w:pStyle w:val="Body"/>
        <w:spacing w:after="0"/>
        <w:rPr>
          <w:rFonts w:ascii="Arial" w:hAnsi="Arial" w:cs="Arial"/>
          <w:lang w:val="en-IN"/>
        </w:rPr>
      </w:pPr>
    </w:p>
    <w:p w14:paraId="619B9108" w14:textId="7B97CBA7"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5. Member Engagement and Trust</w:t>
      </w:r>
    </w:p>
    <w:p w14:paraId="13EE9A62" w14:textId="510A530C" w:rsidR="00023AFC" w:rsidRPr="00023AFC" w:rsidRDefault="0032518E" w:rsidP="00023AFC">
      <w:pPr>
        <w:pStyle w:val="Body"/>
        <w:spacing w:after="0"/>
        <w:rPr>
          <w:rFonts w:ascii="Arial" w:hAnsi="Arial" w:cs="Arial"/>
          <w:lang w:val="en-IN"/>
        </w:rPr>
      </w:pPr>
      <w:r w:rsidRPr="0032518E">
        <w:rPr>
          <w:rFonts w:ascii="Arial" w:hAnsi="Arial" w:cs="Arial"/>
          <w:lang w:val="en-IN"/>
        </w:rPr>
        <w:t>Member engagement was found to be another critical weakness. </w:t>
      </w:r>
      <w:r w:rsidR="00023AFC" w:rsidRPr="00023AFC">
        <w:rPr>
          <w:rFonts w:ascii="Arial" w:hAnsi="Arial" w:cs="Arial"/>
          <w:b/>
          <w:bCs/>
          <w:lang w:val="en-IN"/>
        </w:rPr>
        <w:t xml:space="preserve">Low attendance in meetings and trainings </w:t>
      </w:r>
      <w:r w:rsidR="00023AFC" w:rsidRPr="00023AFC">
        <w:rPr>
          <w:rFonts w:ascii="Arial" w:hAnsi="Arial" w:cs="Arial"/>
          <w:lang w:val="en-IN"/>
        </w:rPr>
        <w:t>reflects members’ perception that these events provide limited benefits or are often scheduled at inconvenient times and locations, making participation difficult. This weakens collective ownership and reduce</w:t>
      </w:r>
      <w:r w:rsidR="00E27075">
        <w:rPr>
          <w:rFonts w:ascii="Arial" w:hAnsi="Arial" w:cs="Arial"/>
          <w:lang w:val="en-IN"/>
        </w:rPr>
        <w:t>s</w:t>
      </w:r>
      <w:r w:rsidR="00023AFC" w:rsidRPr="00023AFC">
        <w:rPr>
          <w:rFonts w:ascii="Arial" w:hAnsi="Arial" w:cs="Arial"/>
          <w:lang w:val="en-IN"/>
        </w:rPr>
        <w:t xml:space="preserve"> knowledge sharing. Moreover, </w:t>
      </w:r>
      <w:r w:rsidR="00023AFC" w:rsidRPr="00023AFC">
        <w:rPr>
          <w:rFonts w:ascii="Arial" w:hAnsi="Arial" w:cs="Arial"/>
          <w:b/>
          <w:bCs/>
          <w:lang w:val="en-IN"/>
        </w:rPr>
        <w:t>perceived bias in service delivery</w:t>
      </w:r>
      <w:r w:rsidR="00023AFC" w:rsidRPr="00023AFC">
        <w:rPr>
          <w:rFonts w:ascii="Arial" w:hAnsi="Arial" w:cs="Arial"/>
          <w:lang w:val="en-IN"/>
        </w:rPr>
        <w:t>, particularly regarding inputs or loans, fosters dissatisfaction among members. </w:t>
      </w:r>
      <w:r w:rsidR="00023AFC" w:rsidRPr="00023AFC">
        <w:rPr>
          <w:rFonts w:ascii="Arial" w:hAnsi="Arial" w:cs="Arial"/>
          <w:b/>
          <w:bCs/>
          <w:lang w:val="en-IN"/>
        </w:rPr>
        <w:t>Complaints unresolved transparently</w:t>
      </w:r>
      <w:r w:rsidR="00023AFC" w:rsidRPr="00023AFC">
        <w:rPr>
          <w:rFonts w:ascii="Arial" w:hAnsi="Arial" w:cs="Arial"/>
          <w:lang w:val="en-IN"/>
        </w:rPr>
        <w:t> further erode confidence, while the absence of a </w:t>
      </w:r>
      <w:r w:rsidR="00023AFC" w:rsidRPr="00023AFC">
        <w:rPr>
          <w:rFonts w:ascii="Arial" w:hAnsi="Arial" w:cs="Arial"/>
          <w:b/>
          <w:bCs/>
          <w:lang w:val="en-IN"/>
        </w:rPr>
        <w:t>feedback-to-action mechanism</w:t>
      </w:r>
      <w:r w:rsidR="00023AFC" w:rsidRPr="00023AFC">
        <w:rPr>
          <w:rFonts w:ascii="Arial" w:hAnsi="Arial" w:cs="Arial"/>
          <w:lang w:val="en-IN"/>
        </w:rPr>
        <w:t> discourages members from raising concerns in the future. This resonates with </w:t>
      </w:r>
      <w:proofErr w:type="spellStart"/>
      <w:r w:rsidR="00023AFC" w:rsidRPr="00023AFC">
        <w:rPr>
          <w:rFonts w:ascii="Arial" w:hAnsi="Arial" w:cs="Arial"/>
          <w:lang w:val="en-IN"/>
        </w:rPr>
        <w:t>Magakwe</w:t>
      </w:r>
      <w:proofErr w:type="spellEnd"/>
      <w:r w:rsidR="00023AFC" w:rsidRPr="00023AFC">
        <w:rPr>
          <w:rFonts w:ascii="Arial" w:hAnsi="Arial" w:cs="Arial"/>
          <w:lang w:val="en-IN"/>
        </w:rPr>
        <w:t xml:space="preserve"> and Olorunfemi</w:t>
      </w:r>
      <w:r w:rsidR="00023AFC" w:rsidRPr="00023AFC">
        <w:rPr>
          <w:rFonts w:ascii="Arial" w:hAnsi="Arial" w:cs="Arial"/>
          <w:i/>
          <w:iCs/>
          <w:lang w:val="en-IN"/>
        </w:rPr>
        <w:t xml:space="preserve"> </w:t>
      </w:r>
      <w:r w:rsidR="00023AFC" w:rsidRPr="00023AFC">
        <w:rPr>
          <w:rFonts w:ascii="Arial" w:hAnsi="Arial" w:cs="Arial"/>
          <w:lang w:val="en-IN"/>
        </w:rPr>
        <w:t>(2024), who emphasized that responsiveness to member concerns is critical to sustaining collective action.</w:t>
      </w:r>
    </w:p>
    <w:p w14:paraId="389C27EB" w14:textId="77777777" w:rsidR="00DD2A0E" w:rsidRPr="0032518E" w:rsidRDefault="00DD2A0E" w:rsidP="0032518E">
      <w:pPr>
        <w:pStyle w:val="Body"/>
        <w:spacing w:after="0"/>
        <w:rPr>
          <w:rFonts w:ascii="Arial" w:hAnsi="Arial" w:cs="Arial"/>
          <w:lang w:val="en-IN"/>
        </w:rPr>
      </w:pPr>
    </w:p>
    <w:p w14:paraId="543325A7" w14:textId="797E263B"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6. Capacity and Knowledge Gaps</w:t>
      </w:r>
    </w:p>
    <w:p w14:paraId="51E89F1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 xml:space="preserve">Capacity-building issues were consistently reported. Members face a </w:t>
      </w:r>
      <w:r w:rsidRPr="00023AFC">
        <w:rPr>
          <w:rFonts w:ascii="Arial" w:hAnsi="Arial" w:cs="Arial"/>
          <w:b/>
          <w:bCs/>
          <w:lang w:val="en-IN"/>
        </w:rPr>
        <w:t>lack of regular skill training,</w:t>
      </w:r>
      <w:r w:rsidRPr="00023AFC">
        <w:rPr>
          <w:rFonts w:ascii="Arial" w:hAnsi="Arial" w:cs="Arial"/>
          <w:lang w:val="en-IN"/>
        </w:rPr>
        <w:t xml:space="preserve"> leaving them unprepared for adopting modern production practices. Even when trainings are organized, they are often generic and not localized to specific crops, or markets, reducing its effectiveness. The absence of exposure visits further restricts opportunities to learn from successful FPOs or replicate innovative practices. Staff also indicated significant capacity needs, particularly in understanding their job responsibilities and compliance requirements. While members often perceive trainings as repetitive or not directly beneficial, staff expressed a demand for structured, role-specific programs that can equip them to manage financial, legal, and digital systems more effectively. Together, these findings highlight the necessity of continuous and contextualized training as a foundation for building resilient and well-functioning organizations, consistent with the observations of Kumari et al (2023).</w:t>
      </w:r>
    </w:p>
    <w:p w14:paraId="0C74687F" w14:textId="77777777" w:rsidR="00DD2A0E" w:rsidRDefault="00DD2A0E" w:rsidP="0032518E">
      <w:pPr>
        <w:pStyle w:val="Body"/>
        <w:spacing w:after="0"/>
        <w:rPr>
          <w:rFonts w:ascii="Arial" w:hAnsi="Arial" w:cs="Arial"/>
          <w:lang w:val="en-IN"/>
        </w:rPr>
      </w:pPr>
    </w:p>
    <w:p w14:paraId="681B22F8" w14:textId="0D4E3555" w:rsidR="0032518E" w:rsidRPr="0032518E" w:rsidRDefault="004A35F4" w:rsidP="0032518E">
      <w:pPr>
        <w:pStyle w:val="Body"/>
        <w:spacing w:after="0"/>
        <w:rPr>
          <w:rFonts w:ascii="Arial" w:hAnsi="Arial" w:cs="Arial"/>
          <w:lang w:val="en-IN"/>
        </w:rPr>
      </w:pPr>
      <w:r>
        <w:rPr>
          <w:rFonts w:ascii="Arial" w:hAnsi="Arial" w:cs="Arial"/>
          <w:b/>
          <w:bCs/>
          <w:lang w:val="en-IN"/>
        </w:rPr>
        <w:t>3.</w:t>
      </w:r>
      <w:r w:rsidR="0032518E" w:rsidRPr="0032518E">
        <w:rPr>
          <w:rFonts w:ascii="Arial" w:hAnsi="Arial" w:cs="Arial"/>
          <w:b/>
          <w:bCs/>
          <w:lang w:val="en-IN"/>
        </w:rPr>
        <w:t>7. Policy and Compliance Delays</w:t>
      </w:r>
    </w:p>
    <w:p w14:paraId="741968DF" w14:textId="57BCF4F4" w:rsidR="0046703E" w:rsidRDefault="0032518E" w:rsidP="0046703E">
      <w:pPr>
        <w:pStyle w:val="Body"/>
        <w:spacing w:after="0"/>
        <w:rPr>
          <w:rFonts w:ascii="Arial" w:hAnsi="Arial" w:cs="Arial"/>
          <w:lang w:val="en-IN"/>
        </w:rPr>
      </w:pPr>
      <w:r w:rsidRPr="0032518E">
        <w:rPr>
          <w:rFonts w:ascii="Arial" w:hAnsi="Arial" w:cs="Arial"/>
          <w:lang w:val="en-IN"/>
        </w:rPr>
        <w:t>Policy-related challenges, though less frequently mentioned, have significant repercussions. </w:t>
      </w:r>
    </w:p>
    <w:p w14:paraId="7F44A635" w14:textId="6D876019" w:rsidR="0046703E" w:rsidRPr="0046703E" w:rsidRDefault="00023AFC" w:rsidP="0046703E">
      <w:pPr>
        <w:pStyle w:val="Body"/>
        <w:spacing w:after="0"/>
        <w:rPr>
          <w:rFonts w:ascii="Arial" w:hAnsi="Arial" w:cs="Arial"/>
          <w:lang w:val="en-IN"/>
        </w:rPr>
      </w:pPr>
      <w:r>
        <w:rPr>
          <w:rFonts w:ascii="Arial" w:hAnsi="Arial" w:cs="Arial"/>
          <w:lang w:val="en-IN"/>
        </w:rPr>
        <w:t xml:space="preserve"> </w:t>
      </w:r>
      <w:r w:rsidR="0046703E" w:rsidRPr="0046703E">
        <w:rPr>
          <w:rFonts w:ascii="Arial" w:hAnsi="Arial" w:cs="Arial"/>
          <w:b/>
          <w:bCs/>
          <w:lang w:val="en-IN"/>
        </w:rPr>
        <w:t>Slow statutory filings and delayed audits</w:t>
      </w:r>
      <w:r w:rsidR="0046703E" w:rsidRPr="0046703E">
        <w:rPr>
          <w:rFonts w:ascii="Arial" w:hAnsi="Arial" w:cs="Arial"/>
          <w:lang w:val="en-IN"/>
        </w:rPr>
        <w:t> erode the financial credibility of FPOs with banking and regulatory institutions. Likewise, </w:t>
      </w:r>
      <w:r w:rsidR="0046703E" w:rsidRPr="0046703E">
        <w:rPr>
          <w:rFonts w:ascii="Arial" w:hAnsi="Arial" w:cs="Arial"/>
          <w:b/>
          <w:bCs/>
          <w:lang w:val="en-IN"/>
        </w:rPr>
        <w:t>weak coordination with government departments</w:t>
      </w:r>
      <w:r w:rsidR="0046703E" w:rsidRPr="0046703E">
        <w:rPr>
          <w:rFonts w:ascii="Arial" w:hAnsi="Arial" w:cs="Arial"/>
          <w:lang w:val="en-IN"/>
        </w:rPr>
        <w:t> constrains access to key schemes and institutional support</w:t>
      </w:r>
      <w:r w:rsidR="00EC7738">
        <w:rPr>
          <w:rFonts w:ascii="Arial" w:hAnsi="Arial" w:cs="Arial"/>
          <w:lang w:val="en-IN"/>
        </w:rPr>
        <w:t xml:space="preserve"> which affects both the members and FPO.</w:t>
      </w:r>
    </w:p>
    <w:p w14:paraId="6E2CD2A7" w14:textId="77777777" w:rsidR="00DD2A0E" w:rsidRPr="0032518E" w:rsidRDefault="00DD2A0E" w:rsidP="0032518E">
      <w:pPr>
        <w:pStyle w:val="Body"/>
        <w:spacing w:after="0"/>
        <w:rPr>
          <w:rFonts w:ascii="Arial" w:hAnsi="Arial" w:cs="Arial"/>
          <w:lang w:val="en-IN"/>
        </w:rPr>
      </w:pPr>
    </w:p>
    <w:p w14:paraId="5C922490" w14:textId="1C18D7AD"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8. Information and Communication Failures</w:t>
      </w:r>
    </w:p>
    <w:p w14:paraId="392081BB" w14:textId="2634D576" w:rsidR="0046703E" w:rsidRPr="0046703E" w:rsidRDefault="0032518E" w:rsidP="0046703E">
      <w:pPr>
        <w:pStyle w:val="Body"/>
        <w:spacing w:after="0"/>
        <w:rPr>
          <w:rFonts w:ascii="Arial" w:hAnsi="Arial" w:cs="Arial"/>
          <w:lang w:val="en-IN"/>
        </w:rPr>
      </w:pPr>
      <w:r w:rsidRPr="0032518E">
        <w:rPr>
          <w:rFonts w:ascii="Arial" w:hAnsi="Arial" w:cs="Arial"/>
          <w:lang w:val="en-IN"/>
        </w:rPr>
        <w:t>Finally, information flow within FPOs remains highly inadequate. </w:t>
      </w:r>
      <w:r w:rsidR="0046703E" w:rsidRPr="0046703E">
        <w:rPr>
          <w:rFonts w:ascii="Arial" w:hAnsi="Arial" w:cs="Arial"/>
          <w:lang w:val="en-IN"/>
        </w:rPr>
        <w:t>Members consistently reported that they were </w:t>
      </w:r>
      <w:r w:rsidR="0046703E" w:rsidRPr="0046703E">
        <w:rPr>
          <w:rFonts w:ascii="Arial" w:hAnsi="Arial" w:cs="Arial"/>
          <w:b/>
          <w:bCs/>
          <w:lang w:val="en-IN"/>
        </w:rPr>
        <w:t>not updated on prices and government schemes</w:t>
      </w:r>
      <w:r w:rsidR="0046703E" w:rsidRPr="0046703E">
        <w:rPr>
          <w:rFonts w:ascii="Arial" w:hAnsi="Arial" w:cs="Arial"/>
          <w:lang w:val="en-IN"/>
        </w:rPr>
        <w:t>, leading to missed opportunities. The </w:t>
      </w:r>
      <w:r w:rsidR="0046703E" w:rsidRPr="0046703E">
        <w:rPr>
          <w:rFonts w:ascii="Arial" w:hAnsi="Arial" w:cs="Arial"/>
          <w:b/>
          <w:bCs/>
          <w:lang w:val="en-IN"/>
        </w:rPr>
        <w:t>absence of a unified communication channel</w:t>
      </w:r>
      <w:r w:rsidR="0046703E" w:rsidRPr="0046703E">
        <w:rPr>
          <w:rFonts w:ascii="Arial" w:hAnsi="Arial" w:cs="Arial"/>
          <w:lang w:val="en-IN"/>
        </w:rPr>
        <w:t> was another major concern, as it restricts FPOs from reaching members efficiently. Finally, </w:t>
      </w:r>
      <w:r w:rsidR="0046703E" w:rsidRPr="0046703E">
        <w:rPr>
          <w:rFonts w:ascii="Arial" w:hAnsi="Arial" w:cs="Arial"/>
          <w:b/>
          <w:bCs/>
          <w:lang w:val="en-IN"/>
        </w:rPr>
        <w:t>delays in sharing market information</w:t>
      </w:r>
      <w:r w:rsidR="0046703E" w:rsidRPr="0046703E">
        <w:rPr>
          <w:rFonts w:ascii="Arial" w:hAnsi="Arial" w:cs="Arial"/>
          <w:lang w:val="en-IN"/>
        </w:rPr>
        <w:t>, such as buyer requirements or price changes, constrain decision-making. This finding is consistent with Mahapatra</w:t>
      </w:r>
      <w:r w:rsidR="0046703E" w:rsidRPr="0046703E">
        <w:rPr>
          <w:rFonts w:ascii="Arial" w:hAnsi="Arial" w:cs="Arial"/>
          <w:i/>
          <w:iCs/>
          <w:lang w:val="en-IN"/>
        </w:rPr>
        <w:t xml:space="preserve">. </w:t>
      </w:r>
      <w:r w:rsidR="0046703E" w:rsidRPr="0046703E">
        <w:rPr>
          <w:rFonts w:ascii="Arial" w:hAnsi="Arial" w:cs="Arial"/>
          <w:lang w:val="en-IN"/>
        </w:rPr>
        <w:t>(2021), who argued that timely and transparent information flows are fundamental to building farmer confidence and collective participation.</w:t>
      </w:r>
    </w:p>
    <w:p w14:paraId="7BA9FABF" w14:textId="77777777" w:rsidR="00790ADA" w:rsidRPr="00FB3A86" w:rsidRDefault="00790ADA" w:rsidP="00441B6F">
      <w:pPr>
        <w:pStyle w:val="Body"/>
        <w:spacing w:after="0"/>
        <w:rPr>
          <w:rFonts w:ascii="Arial" w:hAnsi="Arial" w:cs="Arial"/>
        </w:rPr>
      </w:pPr>
    </w:p>
    <w:p w14:paraId="430576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8D17E6" w14:textId="77777777" w:rsidR="00790ADA" w:rsidRPr="00FB3A86" w:rsidRDefault="00790ADA" w:rsidP="00441B6F">
      <w:pPr>
        <w:pStyle w:val="ConcHead"/>
        <w:spacing w:after="0"/>
        <w:jc w:val="both"/>
        <w:rPr>
          <w:rFonts w:ascii="Arial" w:hAnsi="Arial" w:cs="Arial"/>
        </w:rPr>
      </w:pPr>
    </w:p>
    <w:p w14:paraId="45717FF6" w14:textId="40F32203" w:rsidR="00BC0D8C" w:rsidRPr="00BC0D8C" w:rsidRDefault="00DD2A0E" w:rsidP="00BC0D8C">
      <w:pPr>
        <w:pStyle w:val="Body"/>
        <w:spacing w:after="0"/>
        <w:rPr>
          <w:rFonts w:ascii="Arial" w:hAnsi="Arial" w:cs="Arial"/>
          <w:lang w:val="en-IN"/>
        </w:rPr>
      </w:pPr>
      <w:r w:rsidRPr="00DD2A0E">
        <w:rPr>
          <w:rFonts w:ascii="Arial" w:hAnsi="Arial" w:cs="Arial"/>
          <w:lang w:val="en-IN"/>
        </w:rPr>
        <w:t>The study revealed that FPOs</w:t>
      </w:r>
      <w:r w:rsidR="005F1F67">
        <w:rPr>
          <w:rFonts w:ascii="Arial" w:hAnsi="Arial" w:cs="Arial"/>
          <w:lang w:val="en-IN"/>
        </w:rPr>
        <w:t xml:space="preserve"> in Arunachal Pradesh, though instrumental in improving collective bargaining power and market access, continue to</w:t>
      </w:r>
      <w:r w:rsidRPr="00DD2A0E">
        <w:rPr>
          <w:rFonts w:ascii="Arial" w:hAnsi="Arial" w:cs="Arial"/>
          <w:lang w:val="en-IN"/>
        </w:rPr>
        <w:t xml:space="preserve"> face a range of interrelated management challenges that significantly affect their efficiency and sustainability. </w:t>
      </w:r>
      <w:r w:rsidR="00BC0D8C" w:rsidRPr="00BC0D8C">
        <w:rPr>
          <w:rFonts w:ascii="Arial" w:hAnsi="Arial" w:cs="Arial"/>
          <w:lang w:val="en-IN"/>
        </w:rPr>
        <w:t>The analysis identifies eight interrelated management domains</w:t>
      </w:r>
      <w:r w:rsidR="006A3B17">
        <w:rPr>
          <w:rFonts w:ascii="Arial" w:hAnsi="Arial" w:cs="Arial"/>
          <w:lang w:val="en-IN"/>
        </w:rPr>
        <w:t xml:space="preserve">, </w:t>
      </w:r>
      <w:proofErr w:type="spellStart"/>
      <w:r w:rsidR="006A3B17">
        <w:rPr>
          <w:rFonts w:ascii="Arial" w:hAnsi="Arial" w:cs="Arial"/>
          <w:lang w:val="en-IN"/>
        </w:rPr>
        <w:t>i.e</w:t>
      </w:r>
      <w:proofErr w:type="spellEnd"/>
      <w:r w:rsidR="006A3B17">
        <w:rPr>
          <w:rFonts w:ascii="Arial" w:hAnsi="Arial" w:cs="Arial"/>
          <w:lang w:val="en-IN"/>
        </w:rPr>
        <w:t xml:space="preserve">, </w:t>
      </w:r>
      <w:r w:rsidR="00BC0D8C" w:rsidRPr="00BC0D8C">
        <w:rPr>
          <w:rFonts w:ascii="Arial" w:hAnsi="Arial" w:cs="Arial"/>
          <w:lang w:val="en-IN"/>
        </w:rPr>
        <w:t>financial constraints, governance inefficiencies, inadequate infrastructure, weak market linkages, low member participation, limited managerial capacity, compliance challenges, and information gaps</w:t>
      </w:r>
      <w:r w:rsidR="006A3B17">
        <w:rPr>
          <w:rFonts w:ascii="Arial" w:hAnsi="Arial" w:cs="Arial"/>
          <w:lang w:val="en-IN"/>
        </w:rPr>
        <w:t xml:space="preserve">, </w:t>
      </w:r>
      <w:r w:rsidR="00BC0D8C" w:rsidRPr="00BC0D8C">
        <w:rPr>
          <w:rFonts w:ascii="Arial" w:hAnsi="Arial" w:cs="Arial"/>
          <w:lang w:val="en-IN"/>
        </w:rPr>
        <w:t>that together contribute to the structural fragility of FPOs in the region. Among these, financial bottlenecks, infrastructure shortages, and weak governance mechanisms emerged as the most critical barriers, directly affecting procurement efficiency, transparency, and member trust.</w:t>
      </w:r>
    </w:p>
    <w:p w14:paraId="347A7984" w14:textId="2F0D9744" w:rsidR="00DF72F2" w:rsidRPr="00DD2A0E" w:rsidRDefault="00BC0D8C" w:rsidP="00DD2A0E">
      <w:pPr>
        <w:pStyle w:val="Body"/>
        <w:spacing w:after="0"/>
        <w:rPr>
          <w:rFonts w:ascii="Arial" w:hAnsi="Arial" w:cs="Arial"/>
          <w:lang w:val="en-IN"/>
        </w:rPr>
      </w:pPr>
      <w:r w:rsidRPr="00BC0D8C">
        <w:rPr>
          <w:rFonts w:ascii="Arial" w:hAnsi="Arial" w:cs="Arial"/>
          <w:lang w:val="en-IN"/>
        </w:rPr>
        <w:t>The findings further reveal a pronounced gap between policy intent and field-level implementation, driven largely by managerial inefficiencies, insufficient capacity-building, and ineffective communication systems. These challenges are particularly acute in geographically remote and hilly areas, where limited access to markets, infrastructure, and professional expertise compounds institutional vulnerability. Therefore, strengthening FPOs requires a shift from a narrow focus on formation targets to more emphasis on consolidation, professionalization, and institutional maturity.</w:t>
      </w:r>
    </w:p>
    <w:p w14:paraId="52ABFD95" w14:textId="0B08B9AA" w:rsidR="00BC0D8C" w:rsidRPr="00BC0D8C" w:rsidRDefault="00BC0D8C" w:rsidP="00BC0D8C">
      <w:pPr>
        <w:pStyle w:val="Body"/>
        <w:spacing w:after="0"/>
        <w:rPr>
          <w:rFonts w:ascii="Arial" w:hAnsi="Arial" w:cs="Arial"/>
          <w:lang w:val="en-IN"/>
        </w:rPr>
      </w:pPr>
      <w:r w:rsidRPr="00BC0D8C">
        <w:rPr>
          <w:rFonts w:ascii="Arial" w:hAnsi="Arial" w:cs="Arial"/>
          <w:lang w:val="en-IN"/>
        </w:rPr>
        <w:t xml:space="preserve">Based on the </w:t>
      </w:r>
      <w:r>
        <w:rPr>
          <w:rFonts w:ascii="Arial" w:hAnsi="Arial" w:cs="Arial"/>
          <w:lang w:val="en-IN"/>
        </w:rPr>
        <w:t>findings of the study</w:t>
      </w:r>
      <w:r w:rsidRPr="00BC0D8C">
        <w:rPr>
          <w:rFonts w:ascii="Arial" w:hAnsi="Arial" w:cs="Arial"/>
          <w:lang w:val="en-IN"/>
        </w:rPr>
        <w:t>, key policy recommendations include strengthening FPO financial ecosystems through credit guarantees and revolving funds; professionalizing management via structured training and deployment of skilled professionals; and prioritizing investment in shared infrastructure and cold-chain logistics. Further, improving market integration through digital platforms, collective branding, and certification can enhance price realization. Enhancing transparency, member participation, and trust through digital governance tools and grievance redressal systems is equally essential. Simplifying compliance frameworks and enabling robust information and communication systems will reduce administrative burdens and</w:t>
      </w:r>
      <w:r w:rsidR="006A3B17">
        <w:rPr>
          <w:rFonts w:ascii="Arial" w:hAnsi="Arial" w:cs="Arial"/>
          <w:lang w:val="en-IN"/>
        </w:rPr>
        <w:t xml:space="preserve"> also</w:t>
      </w:r>
      <w:r w:rsidRPr="00BC0D8C">
        <w:rPr>
          <w:rFonts w:ascii="Arial" w:hAnsi="Arial" w:cs="Arial"/>
          <w:lang w:val="en-IN"/>
        </w:rPr>
        <w:t xml:space="preserve"> improve decision-making</w:t>
      </w:r>
      <w:r w:rsidR="006A3B17">
        <w:rPr>
          <w:rFonts w:ascii="Arial" w:hAnsi="Arial" w:cs="Arial"/>
          <w:lang w:val="en-IN"/>
        </w:rPr>
        <w:t xml:space="preserve"> in the FPOs</w:t>
      </w:r>
      <w:r w:rsidRPr="00BC0D8C">
        <w:rPr>
          <w:rFonts w:ascii="Arial" w:hAnsi="Arial" w:cs="Arial"/>
          <w:lang w:val="en-IN"/>
        </w:rPr>
        <w:t>.</w:t>
      </w:r>
    </w:p>
    <w:p w14:paraId="7D3B8EC0" w14:textId="77777777" w:rsidR="00BC0D8C" w:rsidRDefault="00BC0D8C" w:rsidP="00DD2A0E">
      <w:pPr>
        <w:pStyle w:val="Body"/>
        <w:spacing w:after="0"/>
        <w:rPr>
          <w:rFonts w:ascii="Arial" w:hAnsi="Arial" w:cs="Arial"/>
          <w:lang w:val="en-IN"/>
        </w:rPr>
      </w:pPr>
    </w:p>
    <w:p w14:paraId="6E93ECC4" w14:textId="77777777" w:rsidR="00D60214" w:rsidRPr="00740879" w:rsidRDefault="00D60214" w:rsidP="00D60214">
      <w:pPr>
        <w:rPr>
          <w:highlight w:val="yellow"/>
        </w:rPr>
      </w:pPr>
      <w:r w:rsidRPr="00740879">
        <w:rPr>
          <w:highlight w:val="yellow"/>
        </w:rPr>
        <w:t>Disclaimer (Artificial intelligence)</w:t>
      </w:r>
    </w:p>
    <w:p w14:paraId="3BEF1F27" w14:textId="77777777" w:rsidR="00D60214" w:rsidRPr="00740879" w:rsidRDefault="00D60214" w:rsidP="00D60214">
      <w:pPr>
        <w:rPr>
          <w:highlight w:val="yellow"/>
        </w:rPr>
      </w:pPr>
      <w:r w:rsidRPr="00740879">
        <w:rPr>
          <w:highlight w:val="yellow"/>
        </w:rPr>
        <w:t xml:space="preserve">Option 1: </w:t>
      </w:r>
    </w:p>
    <w:p w14:paraId="5F8AF00F" w14:textId="77777777" w:rsidR="00D60214" w:rsidRPr="00740879" w:rsidRDefault="00D60214" w:rsidP="00D60214">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1A921FB1" w14:textId="77777777" w:rsidR="00D60214" w:rsidRPr="00DD2A0E" w:rsidRDefault="00D60214" w:rsidP="00DD2A0E">
      <w:pPr>
        <w:pStyle w:val="Body"/>
        <w:spacing w:after="0"/>
        <w:rPr>
          <w:rFonts w:ascii="Arial" w:hAnsi="Arial" w:cs="Arial"/>
          <w:lang w:val="en-IN"/>
        </w:rPr>
      </w:pPr>
    </w:p>
    <w:p w14:paraId="5C11E783" w14:textId="6B66B2A3" w:rsidR="00790ADA" w:rsidRPr="00FB3A86" w:rsidRDefault="00277EC7" w:rsidP="00441B6F">
      <w:pPr>
        <w:pStyle w:val="Body"/>
        <w:spacing w:after="0"/>
        <w:rPr>
          <w:rFonts w:ascii="Arial" w:hAnsi="Arial" w:cs="Arial"/>
        </w:rPr>
      </w:pPr>
      <w:sdt>
        <w:sdtPr>
          <w:rPr>
            <w:rFonts w:ascii="Arial" w:hAnsi="Arial" w:cs="Arial"/>
          </w:rPr>
          <w:tag w:val="TEMP_PARAGRAPH_MARKER"/>
          <w:id w:val="1413118304"/>
          <w:placeholder>
            <w:docPart w:val="DefaultPlaceholder_-1854013440"/>
          </w:placeholder>
          <w15:appearance w15:val="hidden"/>
        </w:sdtPr>
        <w:sdtEndPr/>
        <w:sdtContent>
          <w:r w:rsidR="00DD2A0E">
            <w:rPr>
              <w:rFonts w:ascii="Arial" w:hAnsi="Arial" w:cs="Arial"/>
            </w:rPr>
            <w:t>​</w:t>
          </w:r>
        </w:sdtContent>
      </w:sdt>
      <w:sdt>
        <w:sdtPr>
          <w:rPr>
            <w:rFonts w:ascii="Arial" w:hAnsi="Arial" w:cs="Arial"/>
          </w:rPr>
          <w:tag w:val="Paperpal_CursorMarker"/>
          <w:id w:val="1273057641"/>
          <w:placeholder>
            <w:docPart w:val="DefaultPlaceholder_-1854013440"/>
          </w:placeholder>
          <w15:appearance w15:val="hidden"/>
        </w:sdtPr>
        <w:sdtEndPr/>
        <w:sdtContent>
          <w:r w:rsidR="00DD2A0E">
            <w:rPr>
              <w:rFonts w:ascii="Arial" w:hAnsi="Arial" w:cs="Arial"/>
            </w:rPr>
            <w:t>​</w:t>
          </w:r>
        </w:sdtContent>
      </w:sdt>
    </w:p>
    <w:p w14:paraId="461A3F95" w14:textId="77777777" w:rsidR="00860000" w:rsidRDefault="00860000" w:rsidP="00441B6F">
      <w:pPr>
        <w:pStyle w:val="ReferHead"/>
        <w:spacing w:after="0"/>
        <w:jc w:val="both"/>
        <w:rPr>
          <w:rFonts w:ascii="Arial" w:hAnsi="Arial" w:cs="Arial"/>
        </w:rPr>
      </w:pPr>
    </w:p>
    <w:p w14:paraId="0D6B0AE8" w14:textId="49708DF4" w:rsidR="00B31DF2" w:rsidRPr="00B31DF2" w:rsidRDefault="00B01FCD" w:rsidP="00B31DF2">
      <w:pPr>
        <w:pStyle w:val="ReferHead"/>
        <w:spacing w:after="0"/>
        <w:jc w:val="both"/>
        <w:rPr>
          <w:rFonts w:ascii="Arial" w:hAnsi="Arial" w:cs="Arial"/>
        </w:rPr>
      </w:pPr>
      <w:r w:rsidRPr="00FB3A86">
        <w:rPr>
          <w:rFonts w:ascii="Arial" w:hAnsi="Arial" w:cs="Arial"/>
        </w:rPr>
        <w:t>References</w:t>
      </w:r>
    </w:p>
    <w:p w14:paraId="0BD693F7" w14:textId="77777777" w:rsidR="00B31DF2" w:rsidRDefault="00B31DF2" w:rsidP="005454D8">
      <w:pPr>
        <w:pStyle w:val="Body"/>
        <w:spacing w:after="0"/>
        <w:rPr>
          <w:lang w:val="en-IN"/>
        </w:rPr>
      </w:pPr>
    </w:p>
    <w:p w14:paraId="7141CD6C" w14:textId="7434009D" w:rsidR="009F0EF1" w:rsidRPr="00181951" w:rsidRDefault="009F0EF1" w:rsidP="00B8376E">
      <w:pPr>
        <w:pStyle w:val="Body"/>
        <w:spacing w:after="0"/>
        <w:rPr>
          <w:lang w:val="en-IN"/>
        </w:rPr>
      </w:pPr>
      <w:r>
        <w:rPr>
          <w:rFonts w:ascii="Arial" w:hAnsi="Arial" w:cs="Arial"/>
          <w:color w:val="222222"/>
          <w:shd w:val="clear" w:color="auto" w:fill="FFFFFF"/>
        </w:rPr>
        <w:t xml:space="preserve">Adhikari, A., Pradhan, K., Chauhan, J. K., &amp; Reddy, S. K. (2021). </w:t>
      </w:r>
      <w:proofErr w:type="spellStart"/>
      <w:r>
        <w:rPr>
          <w:rFonts w:ascii="Arial" w:hAnsi="Arial" w:cs="Arial"/>
          <w:color w:val="222222"/>
          <w:shd w:val="clear" w:color="auto" w:fill="FFFFFF"/>
        </w:rPr>
        <w:t>Analysing</w:t>
      </w:r>
      <w:proofErr w:type="spellEnd"/>
      <w:r>
        <w:rPr>
          <w:rFonts w:ascii="Arial" w:hAnsi="Arial" w:cs="Arial"/>
          <w:color w:val="222222"/>
          <w:shd w:val="clear" w:color="auto" w:fill="FFFFFF"/>
        </w:rPr>
        <w:t xml:space="preserve"> the perceived impact of farmers’ producer organization (FPOs) on sustainable economic development.</w:t>
      </w:r>
      <w:r>
        <w:rPr>
          <w:rStyle w:val="apple-converted-space"/>
          <w:rFonts w:ascii="Arial" w:hAnsi="Arial" w:cs="Arial"/>
          <w:color w:val="222222"/>
          <w:shd w:val="clear" w:color="auto" w:fill="FFFFFF"/>
        </w:rPr>
        <w:t> </w:t>
      </w:r>
      <w:r>
        <w:rPr>
          <w:rFonts w:ascii="Arial" w:hAnsi="Arial" w:cs="Arial"/>
          <w:i/>
          <w:iCs/>
          <w:color w:val="222222"/>
        </w:rPr>
        <w:t>Indian Research Journal of Extension Education</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21</w:t>
      </w:r>
      <w:r>
        <w:rPr>
          <w:rFonts w:ascii="Arial" w:hAnsi="Arial" w:cs="Arial"/>
          <w:color w:val="222222"/>
          <w:shd w:val="clear" w:color="auto" w:fill="FFFFFF"/>
        </w:rPr>
        <w:t>(2-3), 80-82.</w:t>
      </w:r>
    </w:p>
    <w:p w14:paraId="6A4ED8B0" w14:textId="77777777" w:rsidR="00B31DF2" w:rsidRPr="00181951" w:rsidRDefault="00B31DF2" w:rsidP="00B8376E">
      <w:pPr>
        <w:pStyle w:val="Body"/>
        <w:spacing w:after="0"/>
        <w:rPr>
          <w:highlight w:val="yellow"/>
          <w:lang w:val="en-IN"/>
        </w:rPr>
      </w:pPr>
    </w:p>
    <w:p w14:paraId="41C4581D" w14:textId="17C1EFB5" w:rsidR="00B31DF2" w:rsidRPr="00181951" w:rsidRDefault="00181951" w:rsidP="00B8376E">
      <w:pPr>
        <w:pStyle w:val="Body"/>
        <w:spacing w:after="0"/>
        <w:rPr>
          <w:highlight w:val="yellow"/>
          <w:lang w:val="en-IN"/>
        </w:rPr>
      </w:pPr>
      <w:r w:rsidRPr="00181951">
        <w:rPr>
          <w:lang w:val="en-IN"/>
        </w:rPr>
        <w:t>Braun, V., &amp; Clarke, V. (2006). Using thematic analysis in psychology. Qualitative Research in Psychology, 3(2), 77–101. https://doi.org/10.1191/1478088706qp063oa</w:t>
      </w:r>
    </w:p>
    <w:p w14:paraId="0FB41027" w14:textId="77777777" w:rsidR="00B31DF2" w:rsidRPr="00181951" w:rsidRDefault="00B31DF2" w:rsidP="00B8376E">
      <w:pPr>
        <w:pStyle w:val="Body"/>
        <w:spacing w:after="0"/>
        <w:rPr>
          <w:highlight w:val="yellow"/>
          <w:lang w:val="en-IN"/>
        </w:rPr>
      </w:pPr>
    </w:p>
    <w:p w14:paraId="5984CCE5" w14:textId="135C6D64" w:rsidR="009F0EF1" w:rsidRDefault="009F0EF1" w:rsidP="00B8376E">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Charvat, K., Junior, K. C., Reznik, T., Lukas, V., Jedlicka, K., Palma, R., &amp; Berzins, R. (2018, July). Advanced </w:t>
      </w:r>
      <w:proofErr w:type="spellStart"/>
      <w:r>
        <w:rPr>
          <w:rFonts w:ascii="Arial" w:hAnsi="Arial" w:cs="Arial"/>
          <w:color w:val="222222"/>
          <w:shd w:val="clear" w:color="auto" w:fill="FFFFFF"/>
        </w:rPr>
        <w:t>visualisation</w:t>
      </w:r>
      <w:proofErr w:type="spellEnd"/>
      <w:r>
        <w:rPr>
          <w:rFonts w:ascii="Arial" w:hAnsi="Arial" w:cs="Arial"/>
          <w:color w:val="222222"/>
          <w:shd w:val="clear" w:color="auto" w:fill="FFFFFF"/>
        </w:rPr>
        <w:t xml:space="preserve"> of big data for agriculture as part of </w:t>
      </w:r>
      <w:proofErr w:type="spellStart"/>
      <w:r>
        <w:rPr>
          <w:rFonts w:ascii="Arial" w:hAnsi="Arial" w:cs="Arial"/>
          <w:color w:val="222222"/>
          <w:shd w:val="clear" w:color="auto" w:fill="FFFFFF"/>
        </w:rPr>
        <w:t>databio</w:t>
      </w:r>
      <w:proofErr w:type="spellEnd"/>
      <w:r>
        <w:rPr>
          <w:rFonts w:ascii="Arial" w:hAnsi="Arial" w:cs="Arial"/>
          <w:color w:val="222222"/>
          <w:shd w:val="clear" w:color="auto" w:fill="FFFFFF"/>
        </w:rPr>
        <w:t xml:space="preserve"> development. In</w:t>
      </w:r>
      <w:r>
        <w:rPr>
          <w:rStyle w:val="apple-converted-space"/>
          <w:rFonts w:ascii="Arial" w:hAnsi="Arial" w:cs="Arial"/>
          <w:color w:val="222222"/>
          <w:shd w:val="clear" w:color="auto" w:fill="FFFFFF"/>
        </w:rPr>
        <w:t> </w:t>
      </w:r>
      <w:r>
        <w:rPr>
          <w:rFonts w:ascii="Arial" w:hAnsi="Arial" w:cs="Arial"/>
          <w:i/>
          <w:iCs/>
          <w:color w:val="222222"/>
        </w:rPr>
        <w:t>IGARSS 2018-2018 IEEE International Geoscience and Remote Sensing Symposium</w:t>
      </w:r>
      <w:r>
        <w:rPr>
          <w:rStyle w:val="apple-converted-space"/>
          <w:rFonts w:ascii="Arial" w:hAnsi="Arial" w:cs="Arial"/>
          <w:color w:val="222222"/>
          <w:shd w:val="clear" w:color="auto" w:fill="FFFFFF"/>
        </w:rPr>
        <w:t> </w:t>
      </w:r>
      <w:r>
        <w:rPr>
          <w:rFonts w:ascii="Arial" w:hAnsi="Arial" w:cs="Arial"/>
          <w:color w:val="222222"/>
          <w:shd w:val="clear" w:color="auto" w:fill="FFFFFF"/>
        </w:rPr>
        <w:t>(pp. 415-418). IEEE.</w:t>
      </w:r>
    </w:p>
    <w:p w14:paraId="59D51A2E" w14:textId="77777777" w:rsidR="000856B7" w:rsidRDefault="000856B7" w:rsidP="00B8376E">
      <w:pPr>
        <w:pStyle w:val="Body"/>
        <w:spacing w:after="0"/>
        <w:rPr>
          <w:rFonts w:ascii="Arial" w:hAnsi="Arial" w:cs="Arial"/>
          <w:color w:val="222222"/>
          <w:shd w:val="clear" w:color="auto" w:fill="FFFFFF"/>
        </w:rPr>
      </w:pPr>
    </w:p>
    <w:p w14:paraId="26974E43" w14:textId="0B2DC48F" w:rsidR="000856B7" w:rsidRPr="00181951" w:rsidRDefault="000856B7" w:rsidP="00B8376E">
      <w:pPr>
        <w:pStyle w:val="Body"/>
        <w:spacing w:after="0"/>
        <w:rPr>
          <w:lang w:val="en-IN"/>
        </w:rPr>
      </w:pPr>
      <w:r w:rsidRPr="000856B7">
        <w:t>Creswell, J. W. (2009). </w:t>
      </w:r>
      <w:r w:rsidRPr="000856B7">
        <w:rPr>
          <w:i/>
          <w:iCs/>
        </w:rPr>
        <w:t xml:space="preserve">Research design: Qualitative, quantitative, and mixed methods </w:t>
      </w:r>
      <w:proofErr w:type="gramStart"/>
      <w:r w:rsidRPr="000856B7">
        <w:rPr>
          <w:i/>
          <w:iCs/>
        </w:rPr>
        <w:t>approaches</w:t>
      </w:r>
      <w:proofErr w:type="gramEnd"/>
      <w:r w:rsidRPr="000856B7">
        <w:t> (3rd ed.). Sage Publications.</w:t>
      </w:r>
    </w:p>
    <w:p w14:paraId="487F785E" w14:textId="77777777" w:rsidR="00B31DF2" w:rsidRPr="00181951" w:rsidRDefault="00B31DF2" w:rsidP="00B8376E">
      <w:pPr>
        <w:pStyle w:val="Body"/>
        <w:spacing w:after="0"/>
        <w:rPr>
          <w:highlight w:val="yellow"/>
          <w:lang w:val="en-IN"/>
        </w:rPr>
      </w:pPr>
    </w:p>
    <w:p w14:paraId="1F08A8F0" w14:textId="2F83AD77" w:rsidR="00B31DF2" w:rsidRDefault="00181951" w:rsidP="00B8376E">
      <w:pPr>
        <w:pStyle w:val="Body"/>
        <w:spacing w:after="0"/>
        <w:rPr>
          <w:lang w:val="en-IN"/>
        </w:rPr>
      </w:pPr>
      <w:r w:rsidRPr="00181951">
        <w:rPr>
          <w:lang w:val="en-IN"/>
        </w:rPr>
        <w:t xml:space="preserve">Fink, G., Jack, B. K., &amp; Masiye, F. (2020). Seasonal liquidity, rural </w:t>
      </w:r>
      <w:proofErr w:type="spellStart"/>
      <w:r w:rsidRPr="00181951">
        <w:rPr>
          <w:lang w:val="en-IN"/>
        </w:rPr>
        <w:t>labor</w:t>
      </w:r>
      <w:proofErr w:type="spellEnd"/>
      <w:r w:rsidRPr="00181951">
        <w:rPr>
          <w:lang w:val="en-IN"/>
        </w:rPr>
        <w:t xml:space="preserve"> markets, and agricultural production. American Economic Review, 110(11), 3351–3392. </w:t>
      </w:r>
      <w:hyperlink r:id="rId18" w:history="1">
        <w:r w:rsidR="009F0EF1" w:rsidRPr="00157464">
          <w:rPr>
            <w:rStyle w:val="Hyperlink"/>
            <w:lang w:val="en-IN"/>
          </w:rPr>
          <w:t>https://doi.org/10.1257/aer.20180607</w:t>
        </w:r>
      </w:hyperlink>
    </w:p>
    <w:p w14:paraId="5C75A5E2" w14:textId="77777777" w:rsidR="00B31DF2" w:rsidRPr="00181951" w:rsidRDefault="00B31DF2" w:rsidP="00B8376E">
      <w:pPr>
        <w:pStyle w:val="Body"/>
        <w:spacing w:after="0"/>
        <w:rPr>
          <w:highlight w:val="yellow"/>
          <w:lang w:val="en-IN"/>
        </w:rPr>
      </w:pPr>
    </w:p>
    <w:p w14:paraId="2A45D1E9" w14:textId="6ED1F63E" w:rsidR="00B31DF2" w:rsidRDefault="00181951" w:rsidP="00B8376E">
      <w:pPr>
        <w:pStyle w:val="Body"/>
        <w:spacing w:after="0"/>
        <w:rPr>
          <w:lang w:val="en-IN"/>
        </w:rPr>
      </w:pPr>
      <w:r w:rsidRPr="00181951">
        <w:rPr>
          <w:lang w:val="en-IN"/>
        </w:rPr>
        <w:t xml:space="preserve">Gorai, S. K., Wason, M., </w:t>
      </w:r>
      <w:proofErr w:type="spellStart"/>
      <w:r w:rsidRPr="00181951">
        <w:rPr>
          <w:lang w:val="en-IN"/>
        </w:rPr>
        <w:t>Padaria</w:t>
      </w:r>
      <w:proofErr w:type="spellEnd"/>
      <w:r w:rsidRPr="00181951">
        <w:rPr>
          <w:lang w:val="en-IN"/>
        </w:rPr>
        <w:t xml:space="preserve">, R. N., Rao, D. U. M., Paul, S., &amp; Paul, R. K. (2022). Factors contributing to the stability of the farmer producer organisations: A study in West Bengal. Indian Journal of Extension Education, 58(2), 91–96. </w:t>
      </w:r>
      <w:hyperlink r:id="rId19" w:history="1">
        <w:r w:rsidR="00E2747F" w:rsidRPr="00157464">
          <w:rPr>
            <w:rStyle w:val="Hyperlink"/>
            <w:lang w:val="en-IN"/>
          </w:rPr>
          <w:t>https://doi.org/10.48165/IJEE.2022.58218</w:t>
        </w:r>
      </w:hyperlink>
    </w:p>
    <w:p w14:paraId="58A9331C" w14:textId="77777777" w:rsidR="009F0EF1" w:rsidRDefault="009F0EF1" w:rsidP="00B8376E">
      <w:pPr>
        <w:pStyle w:val="Body"/>
        <w:spacing w:after="0"/>
        <w:rPr>
          <w:lang w:val="en-IN"/>
        </w:rPr>
      </w:pPr>
    </w:p>
    <w:p w14:paraId="04459D04" w14:textId="4E243E96" w:rsidR="009F0EF1" w:rsidRDefault="009F0EF1" w:rsidP="00B8376E">
      <w:pPr>
        <w:pStyle w:val="Body"/>
        <w:spacing w:after="0"/>
        <w:rPr>
          <w:rFonts w:ascii="Arial" w:hAnsi="Arial" w:cs="Arial"/>
          <w:color w:val="222222"/>
          <w:shd w:val="clear" w:color="auto" w:fill="FFFFFF"/>
        </w:rPr>
      </w:pPr>
      <w:r>
        <w:rPr>
          <w:rFonts w:ascii="Arial" w:hAnsi="Arial" w:cs="Arial"/>
          <w:color w:val="222222"/>
          <w:shd w:val="clear" w:color="auto" w:fill="FFFFFF"/>
        </w:rPr>
        <w:t>Gothard, S., &amp; Austin, M. J. (2013). Leadership succession planning: Implications for nonprofit human service organizations.</w:t>
      </w:r>
      <w:r>
        <w:rPr>
          <w:rStyle w:val="apple-converted-space"/>
          <w:rFonts w:ascii="Arial" w:hAnsi="Arial" w:cs="Arial"/>
          <w:color w:val="222222"/>
          <w:shd w:val="clear" w:color="auto" w:fill="FFFFFF"/>
        </w:rPr>
        <w:t> </w:t>
      </w:r>
      <w:r>
        <w:rPr>
          <w:rFonts w:ascii="Arial" w:hAnsi="Arial" w:cs="Arial"/>
          <w:i/>
          <w:iCs/>
          <w:color w:val="222222"/>
        </w:rPr>
        <w:t>Administration in Social Work</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37</w:t>
      </w:r>
      <w:r>
        <w:rPr>
          <w:rFonts w:ascii="Arial" w:hAnsi="Arial" w:cs="Arial"/>
          <w:color w:val="222222"/>
          <w:shd w:val="clear" w:color="auto" w:fill="FFFFFF"/>
        </w:rPr>
        <w:t>(3), 272-285.</w:t>
      </w:r>
    </w:p>
    <w:p w14:paraId="268612F1" w14:textId="77777777" w:rsidR="00E2747F" w:rsidRDefault="00E2747F" w:rsidP="00B8376E">
      <w:pPr>
        <w:pStyle w:val="Body"/>
        <w:spacing w:after="0"/>
        <w:rPr>
          <w:rFonts w:ascii="Arial" w:hAnsi="Arial" w:cs="Arial"/>
          <w:color w:val="222222"/>
          <w:shd w:val="clear" w:color="auto" w:fill="FFFFFF"/>
        </w:rPr>
      </w:pPr>
    </w:p>
    <w:p w14:paraId="6879D25F" w14:textId="62CEEBD3" w:rsidR="00E2747F" w:rsidRPr="00181951" w:rsidRDefault="00E2747F" w:rsidP="00B8376E">
      <w:pPr>
        <w:pStyle w:val="Body"/>
        <w:spacing w:after="0"/>
        <w:rPr>
          <w:highlight w:val="yellow"/>
          <w:lang w:val="en-IN"/>
        </w:rPr>
      </w:pPr>
      <w:r>
        <w:rPr>
          <w:rFonts w:ascii="Arial" w:hAnsi="Arial" w:cs="Arial"/>
          <w:color w:val="222222"/>
          <w:shd w:val="clear" w:color="auto" w:fill="FFFFFF"/>
        </w:rPr>
        <w:t xml:space="preserve">Gurung, R., &amp; Choubey, M. (2023). Determinants of agricultural households to join farmer producer </w:t>
      </w:r>
      <w:proofErr w:type="spellStart"/>
      <w:r>
        <w:rPr>
          <w:rFonts w:ascii="Arial" w:hAnsi="Arial" w:cs="Arial"/>
          <w:color w:val="222222"/>
          <w:shd w:val="clear" w:color="auto" w:fill="FFFFFF"/>
        </w:rPr>
        <w:t>organisations</w:t>
      </w:r>
      <w:proofErr w:type="spellEnd"/>
      <w:r>
        <w:rPr>
          <w:rFonts w:ascii="Arial" w:hAnsi="Arial" w:cs="Arial"/>
          <w:color w:val="222222"/>
          <w:shd w:val="clear" w:color="auto" w:fill="FFFFFF"/>
        </w:rPr>
        <w:t xml:space="preserve"> (FPOs) in Northeast India: evidence from Sikkim.</w:t>
      </w:r>
      <w:r>
        <w:rPr>
          <w:rStyle w:val="apple-converted-space"/>
          <w:rFonts w:ascii="Arial" w:hAnsi="Arial" w:cs="Arial"/>
          <w:color w:val="222222"/>
          <w:shd w:val="clear" w:color="auto" w:fill="FFFFFF"/>
        </w:rPr>
        <w:t> </w:t>
      </w:r>
      <w:r>
        <w:rPr>
          <w:rFonts w:ascii="Arial" w:hAnsi="Arial" w:cs="Arial"/>
          <w:i/>
          <w:iCs/>
          <w:color w:val="222222"/>
        </w:rPr>
        <w:t>International Journal of Social Economics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50</w:t>
      </w:r>
      <w:r>
        <w:rPr>
          <w:rFonts w:ascii="Arial" w:hAnsi="Arial" w:cs="Arial"/>
          <w:color w:val="222222"/>
          <w:shd w:val="clear" w:color="auto" w:fill="FFFFFF"/>
        </w:rPr>
        <w:t>(4), 465-477.</w:t>
      </w:r>
    </w:p>
    <w:p w14:paraId="59D25BB3" w14:textId="77777777" w:rsidR="00B31DF2" w:rsidRPr="00181951" w:rsidRDefault="00B31DF2" w:rsidP="00B8376E">
      <w:pPr>
        <w:pStyle w:val="Body"/>
        <w:spacing w:after="0"/>
        <w:rPr>
          <w:highlight w:val="yellow"/>
          <w:lang w:val="en-IN"/>
        </w:rPr>
      </w:pPr>
    </w:p>
    <w:p w14:paraId="368B2D7A" w14:textId="621C5F6B" w:rsidR="00B31DF2" w:rsidRPr="00181951" w:rsidRDefault="00181951" w:rsidP="00B8376E">
      <w:pPr>
        <w:pStyle w:val="Body"/>
        <w:spacing w:after="0"/>
        <w:rPr>
          <w:highlight w:val="yellow"/>
          <w:lang w:val="en-IN"/>
        </w:rPr>
      </w:pPr>
      <w:r w:rsidRPr="00181951">
        <w:rPr>
          <w:lang w:val="nb-NO"/>
        </w:rPr>
        <w:t xml:space="preserve">Jarman, R., Pradhan, A., &amp; Kumar, R. (2023). </w:t>
      </w:r>
      <w:r w:rsidRPr="00181951">
        <w:rPr>
          <w:lang w:val="en-IN"/>
        </w:rPr>
        <w:t>Infrastructure and logistics deficits in Farmer Producer Organizations: An analysis of storage and transport systems. Agricultural Economics Research Review, 35(1), 67–75. https://doi.org/10.5958/0974-0279.2023.00006.X</w:t>
      </w:r>
    </w:p>
    <w:p w14:paraId="14AFC2C7" w14:textId="77777777" w:rsidR="00B31DF2" w:rsidRPr="00181951" w:rsidRDefault="00B31DF2" w:rsidP="00B8376E">
      <w:pPr>
        <w:pStyle w:val="Body"/>
        <w:spacing w:after="0"/>
        <w:rPr>
          <w:highlight w:val="yellow"/>
          <w:lang w:val="en-IN"/>
        </w:rPr>
      </w:pPr>
    </w:p>
    <w:p w14:paraId="40F5FA3A" w14:textId="01F12DD6" w:rsidR="009F0EF1" w:rsidRPr="00181951" w:rsidRDefault="009F0EF1" w:rsidP="00B8376E">
      <w:pPr>
        <w:pStyle w:val="Body"/>
        <w:spacing w:after="0"/>
        <w:rPr>
          <w:lang w:val="en-IN"/>
        </w:rPr>
      </w:pPr>
      <w:r>
        <w:rPr>
          <w:rFonts w:ascii="Arial" w:hAnsi="Arial" w:cs="Arial"/>
          <w:color w:val="222222"/>
          <w:shd w:val="clear" w:color="auto" w:fill="FFFFFF"/>
        </w:rPr>
        <w:t xml:space="preserve">Khan, M., Alshahrani, A. N., &amp; </w:t>
      </w:r>
      <w:proofErr w:type="spellStart"/>
      <w:r>
        <w:rPr>
          <w:rFonts w:ascii="Arial" w:hAnsi="Arial" w:cs="Arial"/>
          <w:color w:val="222222"/>
          <w:shd w:val="clear" w:color="auto" w:fill="FFFFFF"/>
        </w:rPr>
        <w:t>Jacquemod</w:t>
      </w:r>
      <w:proofErr w:type="spellEnd"/>
      <w:r>
        <w:rPr>
          <w:rFonts w:ascii="Arial" w:hAnsi="Arial" w:cs="Arial"/>
          <w:color w:val="222222"/>
          <w:shd w:val="clear" w:color="auto" w:fill="FFFFFF"/>
        </w:rPr>
        <w:t>, J. (2023). Digital platforms and supply chain traceability for robust information and effective inventory management: The mediating role of transparency.</w:t>
      </w:r>
      <w:r>
        <w:rPr>
          <w:rStyle w:val="apple-converted-space"/>
          <w:rFonts w:ascii="Arial" w:hAnsi="Arial" w:cs="Arial"/>
          <w:color w:val="222222"/>
          <w:shd w:val="clear" w:color="auto" w:fill="FFFFFF"/>
        </w:rPr>
        <w:t> </w:t>
      </w:r>
      <w:r>
        <w:rPr>
          <w:rFonts w:ascii="Arial" w:hAnsi="Arial" w:cs="Arial"/>
          <w:i/>
          <w:iCs/>
          <w:color w:val="222222"/>
        </w:rPr>
        <w:t>Logistics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7</w:t>
      </w:r>
      <w:r>
        <w:rPr>
          <w:rFonts w:ascii="Arial" w:hAnsi="Arial" w:cs="Arial"/>
          <w:color w:val="222222"/>
          <w:shd w:val="clear" w:color="auto" w:fill="FFFFFF"/>
        </w:rPr>
        <w:t>(2), 25.</w:t>
      </w:r>
    </w:p>
    <w:p w14:paraId="66593DB1" w14:textId="77777777" w:rsidR="0046703E" w:rsidRPr="00181951" w:rsidRDefault="0046703E" w:rsidP="00B8376E">
      <w:pPr>
        <w:pStyle w:val="Body"/>
        <w:spacing w:after="0"/>
        <w:rPr>
          <w:highlight w:val="yellow"/>
          <w:lang w:val="en-IN"/>
        </w:rPr>
      </w:pPr>
    </w:p>
    <w:p w14:paraId="1FFF9025" w14:textId="3943685A" w:rsidR="00542776" w:rsidRDefault="00542776" w:rsidP="00B8376E">
      <w:pPr>
        <w:pStyle w:val="Body"/>
        <w:spacing w:after="0"/>
        <w:rPr>
          <w:lang w:val="en-IN"/>
        </w:rPr>
      </w:pPr>
      <w:r>
        <w:rPr>
          <w:rFonts w:ascii="Arial" w:hAnsi="Arial" w:cs="Arial"/>
          <w:color w:val="222222"/>
          <w:shd w:val="clear" w:color="auto" w:fill="FFFFFF"/>
        </w:rPr>
        <w:t xml:space="preserve">Kumari, N., Bisht, K., &amp; </w:t>
      </w:r>
      <w:proofErr w:type="spellStart"/>
      <w:r>
        <w:rPr>
          <w:rFonts w:ascii="Arial" w:hAnsi="Arial" w:cs="Arial"/>
          <w:color w:val="222222"/>
          <w:shd w:val="clear" w:color="auto" w:fill="FFFFFF"/>
        </w:rPr>
        <w:t>Naberia</w:t>
      </w:r>
      <w:proofErr w:type="spellEnd"/>
      <w:r>
        <w:rPr>
          <w:rFonts w:ascii="Arial" w:hAnsi="Arial" w:cs="Arial"/>
          <w:color w:val="222222"/>
          <w:shd w:val="clear" w:color="auto" w:fill="FFFFFF"/>
        </w:rPr>
        <w:t>, S. (2023). Capacity building strategies to enhance core managerial competencies of Farmer Producer Companies of NCR of Delhi.</w:t>
      </w:r>
      <w:r>
        <w:rPr>
          <w:rStyle w:val="apple-converted-space"/>
          <w:rFonts w:ascii="Arial" w:hAnsi="Arial" w:cs="Arial"/>
          <w:color w:val="222222"/>
          <w:shd w:val="clear" w:color="auto" w:fill="FFFFFF"/>
        </w:rPr>
        <w:t> </w:t>
      </w:r>
      <w:r>
        <w:rPr>
          <w:rFonts w:ascii="Arial" w:hAnsi="Arial" w:cs="Arial"/>
          <w:i/>
          <w:iCs/>
          <w:color w:val="222222"/>
        </w:rPr>
        <w:t>New Delhi: Society of Extension Education</w:t>
      </w:r>
      <w:r>
        <w:rPr>
          <w:rFonts w:ascii="Arial" w:hAnsi="Arial" w:cs="Arial"/>
          <w:color w:val="222222"/>
          <w:shd w:val="clear" w:color="auto" w:fill="FFFFFF"/>
        </w:rPr>
        <w:t>.</w:t>
      </w:r>
    </w:p>
    <w:p w14:paraId="02BD8CCF" w14:textId="77777777" w:rsidR="00B31DF2" w:rsidRDefault="00B31DF2" w:rsidP="00B8376E">
      <w:pPr>
        <w:pStyle w:val="Body"/>
        <w:spacing w:after="0"/>
        <w:rPr>
          <w:lang w:val="en-IN"/>
        </w:rPr>
      </w:pPr>
    </w:p>
    <w:p w14:paraId="03DAE3AE" w14:textId="2B8D8DDD" w:rsidR="00542776" w:rsidRPr="00181951" w:rsidRDefault="00542776" w:rsidP="00B8376E">
      <w:pPr>
        <w:pStyle w:val="Body"/>
        <w:spacing w:after="0"/>
        <w:rPr>
          <w:lang w:val="en-IN"/>
        </w:rPr>
      </w:pPr>
      <w:r>
        <w:rPr>
          <w:rFonts w:ascii="Arial" w:hAnsi="Arial" w:cs="Arial"/>
          <w:color w:val="222222"/>
          <w:shd w:val="clear" w:color="auto" w:fill="FFFFFF"/>
        </w:rPr>
        <w:t xml:space="preserve">Kumari, S., </w:t>
      </w:r>
      <w:proofErr w:type="spellStart"/>
      <w:r>
        <w:rPr>
          <w:rFonts w:ascii="Arial" w:hAnsi="Arial" w:cs="Arial"/>
          <w:color w:val="222222"/>
          <w:shd w:val="clear" w:color="auto" w:fill="FFFFFF"/>
        </w:rPr>
        <w:t>Jeble</w:t>
      </w:r>
      <w:proofErr w:type="spellEnd"/>
      <w:r>
        <w:rPr>
          <w:rFonts w:ascii="Arial" w:hAnsi="Arial" w:cs="Arial"/>
          <w:color w:val="222222"/>
          <w:shd w:val="clear" w:color="auto" w:fill="FFFFFF"/>
        </w:rPr>
        <w:t>, S., &amp; Patil, Y. B. (2018). Barriers to technology adoption in agriculture-based industry and its integration into technology acceptance model.</w:t>
      </w:r>
      <w:r>
        <w:rPr>
          <w:rStyle w:val="apple-converted-space"/>
          <w:rFonts w:ascii="Arial" w:hAnsi="Arial" w:cs="Arial"/>
          <w:color w:val="222222"/>
          <w:shd w:val="clear" w:color="auto" w:fill="FFFFFF"/>
        </w:rPr>
        <w:t> </w:t>
      </w:r>
      <w:r>
        <w:rPr>
          <w:rFonts w:ascii="Arial" w:hAnsi="Arial" w:cs="Arial"/>
          <w:i/>
          <w:iCs/>
          <w:color w:val="222222"/>
        </w:rPr>
        <w:t>International Journal of Agricultural Resources, Governance and Ecology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14</w:t>
      </w:r>
      <w:r>
        <w:rPr>
          <w:rFonts w:ascii="Arial" w:hAnsi="Arial" w:cs="Arial"/>
          <w:color w:val="222222"/>
          <w:shd w:val="clear" w:color="auto" w:fill="FFFFFF"/>
        </w:rPr>
        <w:t>(4), 338-351.</w:t>
      </w:r>
    </w:p>
    <w:p w14:paraId="4DEDA6B2" w14:textId="77777777" w:rsidR="00B31DF2" w:rsidRPr="00181951" w:rsidRDefault="00B31DF2" w:rsidP="00B8376E">
      <w:pPr>
        <w:pStyle w:val="Body"/>
        <w:spacing w:after="0"/>
        <w:rPr>
          <w:highlight w:val="yellow"/>
          <w:lang w:val="en-IN"/>
        </w:rPr>
      </w:pPr>
    </w:p>
    <w:p w14:paraId="1162CFA8" w14:textId="56D07D1A" w:rsidR="00B31DF2" w:rsidRDefault="00542776" w:rsidP="00B8376E">
      <w:pPr>
        <w:pStyle w:val="Body"/>
        <w:spacing w:after="0"/>
        <w:rPr>
          <w:rFonts w:ascii="Arial" w:hAnsi="Arial" w:cs="Arial"/>
          <w:color w:val="222222"/>
          <w:shd w:val="clear" w:color="auto" w:fill="FFFFFF"/>
        </w:rPr>
      </w:pPr>
      <w:r>
        <w:rPr>
          <w:rFonts w:ascii="Arial" w:hAnsi="Arial" w:cs="Arial"/>
          <w:color w:val="222222"/>
          <w:shd w:val="clear" w:color="auto" w:fill="FFFFFF"/>
        </w:rPr>
        <w:t>Liu, Z., Qu, J., Wu, X., Niu, X., &amp; Feng, S. (2024). Improving member satisfaction with cooperatives: The role of participation in governance.</w:t>
      </w:r>
      <w:r>
        <w:rPr>
          <w:rStyle w:val="apple-converted-space"/>
          <w:rFonts w:ascii="Arial" w:hAnsi="Arial" w:cs="Arial"/>
          <w:color w:val="222222"/>
          <w:shd w:val="clear" w:color="auto" w:fill="FFFFFF"/>
        </w:rPr>
        <w:t> </w:t>
      </w:r>
      <w:r>
        <w:rPr>
          <w:rFonts w:ascii="Arial" w:hAnsi="Arial" w:cs="Arial"/>
          <w:i/>
          <w:iCs/>
          <w:color w:val="222222"/>
        </w:rPr>
        <w:t>Annals of Public and Cooperative Economics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95</w:t>
      </w:r>
      <w:r>
        <w:rPr>
          <w:rFonts w:ascii="Arial" w:hAnsi="Arial" w:cs="Arial"/>
          <w:color w:val="222222"/>
          <w:shd w:val="clear" w:color="auto" w:fill="FFFFFF"/>
        </w:rPr>
        <w:t>(3), 703-722.</w:t>
      </w:r>
    </w:p>
    <w:p w14:paraId="761889F8" w14:textId="77777777" w:rsidR="00542776" w:rsidRPr="00181951" w:rsidRDefault="00542776" w:rsidP="00B8376E">
      <w:pPr>
        <w:pStyle w:val="Body"/>
        <w:spacing w:after="0"/>
        <w:rPr>
          <w:highlight w:val="yellow"/>
          <w:lang w:val="en-IN"/>
        </w:rPr>
      </w:pPr>
    </w:p>
    <w:p w14:paraId="7863F17B" w14:textId="2AB09C70" w:rsidR="00542776" w:rsidRPr="00181951" w:rsidRDefault="00542776" w:rsidP="00B8376E">
      <w:pPr>
        <w:pStyle w:val="Body"/>
        <w:spacing w:after="0"/>
        <w:rPr>
          <w:lang w:val="en-IN"/>
        </w:rPr>
      </w:pPr>
      <w:proofErr w:type="spellStart"/>
      <w:r>
        <w:rPr>
          <w:rFonts w:ascii="Arial" w:hAnsi="Arial" w:cs="Arial"/>
          <w:color w:val="222222"/>
          <w:shd w:val="clear" w:color="auto" w:fill="FFFFFF"/>
        </w:rPr>
        <w:t>Magakwe</w:t>
      </w:r>
      <w:proofErr w:type="spellEnd"/>
      <w:r>
        <w:rPr>
          <w:rFonts w:ascii="Arial" w:hAnsi="Arial" w:cs="Arial"/>
          <w:color w:val="222222"/>
          <w:shd w:val="clear" w:color="auto" w:fill="FFFFFF"/>
        </w:rPr>
        <w:t>, N., &amp; Olorunfemi, O. (2024). A Systematic Review of the Trends, Effects, and Deterrents of Collective Marketing Participation Among Smallholder Farmers in Sub-Saharan Africa.</w:t>
      </w:r>
      <w:r>
        <w:rPr>
          <w:rStyle w:val="apple-converted-space"/>
          <w:rFonts w:ascii="Arial" w:hAnsi="Arial" w:cs="Arial"/>
          <w:color w:val="222222"/>
          <w:shd w:val="clear" w:color="auto" w:fill="FFFFFF"/>
        </w:rPr>
        <w:t> </w:t>
      </w:r>
      <w:r>
        <w:rPr>
          <w:rFonts w:ascii="Arial" w:hAnsi="Arial" w:cs="Arial"/>
          <w:i/>
          <w:iCs/>
          <w:color w:val="222222"/>
        </w:rPr>
        <w:t>Sustainability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16</w:t>
      </w:r>
      <w:r>
        <w:rPr>
          <w:rFonts w:ascii="Arial" w:hAnsi="Arial" w:cs="Arial"/>
          <w:color w:val="222222"/>
          <w:shd w:val="clear" w:color="auto" w:fill="FFFFFF"/>
        </w:rPr>
        <w:t>(21), 9578.</w:t>
      </w:r>
    </w:p>
    <w:p w14:paraId="7E07ECD8" w14:textId="77777777" w:rsidR="00B31DF2" w:rsidRPr="00181951" w:rsidRDefault="00B31DF2" w:rsidP="00B8376E">
      <w:pPr>
        <w:pStyle w:val="Body"/>
        <w:spacing w:after="0"/>
        <w:rPr>
          <w:highlight w:val="yellow"/>
          <w:lang w:val="en-IN"/>
        </w:rPr>
      </w:pPr>
    </w:p>
    <w:p w14:paraId="241193EF" w14:textId="61C0B1BC" w:rsidR="00B31DF2" w:rsidRDefault="00181951" w:rsidP="005454D8">
      <w:pPr>
        <w:pStyle w:val="Body"/>
        <w:spacing w:after="0"/>
        <w:rPr>
          <w:lang w:val="en-IN"/>
        </w:rPr>
      </w:pPr>
      <w:r w:rsidRPr="00181951">
        <w:rPr>
          <w:lang w:val="en-IN"/>
        </w:rPr>
        <w:t xml:space="preserve">Mahapatra, S. (2021). Information dissemination and communication strategies for effective farmer engagement: Lessons for FPOs. Journal of Agricultural Extension Management, 22(3), 45–56. </w:t>
      </w:r>
      <w:hyperlink r:id="rId20" w:history="1">
        <w:r w:rsidR="00542776" w:rsidRPr="00157464">
          <w:rPr>
            <w:rStyle w:val="Hyperlink"/>
            <w:lang w:val="en-IN"/>
          </w:rPr>
          <w:t>https://doi.org/10.39126/jaem.v22i3.2021.279</w:t>
        </w:r>
      </w:hyperlink>
    </w:p>
    <w:p w14:paraId="456E0A03" w14:textId="77777777" w:rsidR="00B31DF2" w:rsidRPr="00181951" w:rsidRDefault="00B31DF2" w:rsidP="005454D8">
      <w:pPr>
        <w:pStyle w:val="Body"/>
        <w:spacing w:after="0"/>
        <w:rPr>
          <w:highlight w:val="yellow"/>
          <w:lang w:val="en-IN"/>
        </w:rPr>
      </w:pPr>
    </w:p>
    <w:p w14:paraId="363BCCD2" w14:textId="2CEA59EB" w:rsidR="00542776" w:rsidRPr="00181951" w:rsidRDefault="00542776" w:rsidP="00B8376E">
      <w:pPr>
        <w:pStyle w:val="Body"/>
        <w:spacing w:after="0"/>
        <w:rPr>
          <w:lang w:val="en-IN"/>
        </w:rPr>
      </w:pPr>
      <w:r>
        <w:rPr>
          <w:rFonts w:ascii="Arial" w:hAnsi="Arial" w:cs="Arial"/>
          <w:color w:val="222222"/>
          <w:shd w:val="clear" w:color="auto" w:fill="FFFFFF"/>
        </w:rPr>
        <w:t xml:space="preserve">Malik, S., &amp; </w:t>
      </w:r>
      <w:proofErr w:type="spellStart"/>
      <w:r>
        <w:rPr>
          <w:rFonts w:ascii="Arial" w:hAnsi="Arial" w:cs="Arial"/>
          <w:color w:val="222222"/>
          <w:shd w:val="clear" w:color="auto" w:fill="FFFFFF"/>
        </w:rPr>
        <w:t>Kajale</w:t>
      </w:r>
      <w:proofErr w:type="spellEnd"/>
      <w:r>
        <w:rPr>
          <w:rFonts w:ascii="Arial" w:hAnsi="Arial" w:cs="Arial"/>
          <w:color w:val="222222"/>
          <w:shd w:val="clear" w:color="auto" w:fill="FFFFFF"/>
        </w:rPr>
        <w:t>, D. (2024). Empowering small and marginal farmers: Unveiling the potential and addressing obstacles of farmer producer organizations in India.</w:t>
      </w:r>
      <w:r>
        <w:rPr>
          <w:rStyle w:val="apple-converted-space"/>
          <w:rFonts w:ascii="Arial" w:hAnsi="Arial" w:cs="Arial"/>
          <w:color w:val="222222"/>
          <w:shd w:val="clear" w:color="auto" w:fill="FFFFFF"/>
        </w:rPr>
        <w:t> </w:t>
      </w:r>
      <w:r>
        <w:rPr>
          <w:rFonts w:ascii="Arial" w:hAnsi="Arial" w:cs="Arial"/>
          <w:i/>
          <w:iCs/>
          <w:color w:val="222222"/>
        </w:rPr>
        <w:t>Research on World Agricultural Economy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w:t>
      </w:r>
      <w:r>
        <w:rPr>
          <w:rFonts w:ascii="Arial" w:hAnsi="Arial" w:cs="Arial"/>
          <w:color w:val="222222"/>
          <w:shd w:val="clear" w:color="auto" w:fill="FFFFFF"/>
        </w:rPr>
        <w:t>(1), 32-47.</w:t>
      </w:r>
    </w:p>
    <w:p w14:paraId="471CBC26" w14:textId="77777777" w:rsidR="00B31DF2" w:rsidRPr="00181951" w:rsidRDefault="00B31DF2" w:rsidP="00B8376E">
      <w:pPr>
        <w:pStyle w:val="Body"/>
        <w:spacing w:after="0"/>
        <w:rPr>
          <w:highlight w:val="yellow"/>
          <w:lang w:val="en-IN"/>
        </w:rPr>
      </w:pPr>
    </w:p>
    <w:p w14:paraId="4CA18D75" w14:textId="0648E598" w:rsidR="00542776" w:rsidRPr="00181951" w:rsidRDefault="00542776" w:rsidP="00B8376E">
      <w:pPr>
        <w:pStyle w:val="Body"/>
        <w:spacing w:after="0"/>
        <w:rPr>
          <w:lang w:val="en-IN"/>
        </w:rPr>
      </w:pPr>
      <w:r>
        <w:rPr>
          <w:rFonts w:ascii="Arial" w:hAnsi="Arial" w:cs="Arial"/>
          <w:color w:val="222222"/>
          <w:shd w:val="clear" w:color="auto" w:fill="FFFFFF"/>
        </w:rPr>
        <w:t>Miles, H. (1994). Qualitative data analysis: An expanded source book 2nd.</w:t>
      </w:r>
    </w:p>
    <w:p w14:paraId="619ABF76" w14:textId="77777777" w:rsidR="00B31DF2" w:rsidRPr="00181951" w:rsidRDefault="00B31DF2" w:rsidP="00B8376E">
      <w:pPr>
        <w:pStyle w:val="Body"/>
        <w:spacing w:after="0"/>
        <w:rPr>
          <w:highlight w:val="yellow"/>
          <w:lang w:val="en-IN"/>
        </w:rPr>
      </w:pPr>
    </w:p>
    <w:p w14:paraId="75B86E55" w14:textId="07E92219" w:rsidR="00B31DF2" w:rsidRDefault="00181951" w:rsidP="005454D8">
      <w:pPr>
        <w:pStyle w:val="Body"/>
        <w:spacing w:after="0"/>
        <w:rPr>
          <w:color w:val="000000" w:themeColor="text1"/>
          <w:shd w:val="clear" w:color="auto" w:fill="FFFFFF"/>
          <w:lang w:val="en-IN"/>
        </w:rPr>
      </w:pPr>
      <w:r w:rsidRPr="00181951">
        <w:rPr>
          <w:color w:val="000000" w:themeColor="text1"/>
          <w:shd w:val="clear" w:color="auto" w:fill="FFFFFF"/>
          <w:lang w:val="en-IN"/>
        </w:rPr>
        <w:t xml:space="preserve">Nowak, B. (2021). Precision agriculture: Where do we stand? A review of the adoption of precision agriculture technologies on field crops farms in developed countries. Agricultural Research. </w:t>
      </w:r>
      <w:hyperlink r:id="rId21" w:history="1">
        <w:r w:rsidR="006F30AB" w:rsidRPr="00157464">
          <w:rPr>
            <w:rStyle w:val="Hyperlink"/>
            <w:shd w:val="clear" w:color="auto" w:fill="FFFFFF"/>
            <w:lang w:val="en-IN"/>
          </w:rPr>
          <w:t>https://doi.org/10.1007/s40003-021-00539-x</w:t>
        </w:r>
      </w:hyperlink>
    </w:p>
    <w:p w14:paraId="40A1DAC1" w14:textId="77777777" w:rsidR="00EC7738" w:rsidRDefault="00EC7738" w:rsidP="005454D8">
      <w:pPr>
        <w:pStyle w:val="Body"/>
        <w:spacing w:after="0"/>
        <w:rPr>
          <w:color w:val="000000" w:themeColor="text1"/>
          <w:shd w:val="clear" w:color="auto" w:fill="FFFFFF"/>
          <w:lang w:val="en-IN"/>
        </w:rPr>
      </w:pPr>
    </w:p>
    <w:p w14:paraId="728F9742" w14:textId="119C9CC9" w:rsidR="00EC7738" w:rsidRDefault="00EC7738" w:rsidP="005454D8">
      <w:pPr>
        <w:pStyle w:val="Body"/>
        <w:spacing w:after="0"/>
        <w:rPr>
          <w:color w:val="000000" w:themeColor="text1"/>
          <w:shd w:val="clear" w:color="auto" w:fill="FFFFFF"/>
          <w:lang w:val="en-IN"/>
        </w:rPr>
      </w:pPr>
      <w:r w:rsidRPr="00B71218">
        <w:rPr>
          <w:rFonts w:ascii="Arial" w:hAnsi="Arial" w:cs="Arial"/>
          <w:color w:val="333333"/>
        </w:rPr>
        <w:t>Press Information Bureau. (20</w:t>
      </w:r>
      <w:r>
        <w:rPr>
          <w:rFonts w:ascii="Arial" w:hAnsi="Arial" w:cs="Arial"/>
          <w:color w:val="333333"/>
        </w:rPr>
        <w:t>24</w:t>
      </w:r>
      <w:r w:rsidRPr="00B71218">
        <w:rPr>
          <w:rFonts w:ascii="Arial" w:hAnsi="Arial" w:cs="Arial"/>
          <w:color w:val="333333"/>
        </w:rPr>
        <w:t>).</w:t>
      </w:r>
      <w:r>
        <w:rPr>
          <w:rFonts w:ascii="Arial" w:hAnsi="Arial" w:cs="Arial"/>
          <w:color w:val="333333"/>
        </w:rPr>
        <w:t>8875 FPOs have been registered across the country</w:t>
      </w:r>
      <w:r w:rsidRPr="00B71218">
        <w:rPr>
          <w:rFonts w:ascii="Arial" w:hAnsi="Arial" w:cs="Arial"/>
          <w:color w:val="333333"/>
        </w:rPr>
        <w:t>. Press Information Bureau.</w:t>
      </w:r>
      <w:r w:rsidRPr="005B6F81">
        <w:t xml:space="preserve"> </w:t>
      </w:r>
      <w:hyperlink r:id="rId22" w:history="1">
        <w:r w:rsidRPr="00BA795D">
          <w:rPr>
            <w:rStyle w:val="Hyperlink"/>
            <w:rFonts w:ascii="Arial" w:hAnsi="Arial" w:cs="Arial"/>
          </w:rPr>
          <w:t>https://pib.gov.in/PressReleaseIframePage.aspx?PRID=2040845</w:t>
        </w:r>
      </w:hyperlink>
      <w:r>
        <w:rPr>
          <w:rFonts w:ascii="Arial" w:hAnsi="Arial" w:cs="Arial"/>
          <w:color w:val="333333"/>
        </w:rPr>
        <w:t>.</w:t>
      </w:r>
    </w:p>
    <w:p w14:paraId="62906DB4" w14:textId="77777777" w:rsidR="00366A5A" w:rsidRPr="00181951" w:rsidRDefault="00366A5A" w:rsidP="00366A5A">
      <w:pPr>
        <w:pStyle w:val="Body"/>
        <w:spacing w:after="0"/>
        <w:rPr>
          <w:highlight w:val="yellow"/>
        </w:rPr>
      </w:pPr>
    </w:p>
    <w:p w14:paraId="1885231A" w14:textId="42DA3A19" w:rsidR="00366A5A" w:rsidRDefault="00181951" w:rsidP="00366A5A">
      <w:pPr>
        <w:pStyle w:val="Body"/>
        <w:spacing w:after="0"/>
        <w:rPr>
          <w:lang w:val="en-IN"/>
        </w:rPr>
      </w:pPr>
      <w:r w:rsidRPr="00181951">
        <w:rPr>
          <w:lang w:val="en-IN"/>
        </w:rPr>
        <w:t xml:space="preserve">Press Information Bureau. (2025). Formation and promotion of FPOs. </w:t>
      </w:r>
      <w:hyperlink r:id="rId23" w:history="1">
        <w:r w:rsidR="008C7F63" w:rsidRPr="00157464">
          <w:rPr>
            <w:rStyle w:val="Hyperlink"/>
            <w:lang w:val="en-IN"/>
          </w:rPr>
          <w:t>https://www.pib.gov.in/PressReleasePage.aspx?PRID=2154174</w:t>
        </w:r>
      </w:hyperlink>
    </w:p>
    <w:p w14:paraId="7AE90415" w14:textId="77777777" w:rsidR="00366A5A" w:rsidRDefault="00366A5A" w:rsidP="00B8376E">
      <w:pPr>
        <w:pStyle w:val="Body"/>
        <w:spacing w:after="0"/>
      </w:pPr>
    </w:p>
    <w:p w14:paraId="5F0680B7" w14:textId="2443C693" w:rsidR="00B31DF2" w:rsidRDefault="008C7F63" w:rsidP="00B8376E">
      <w:pPr>
        <w:pStyle w:val="Body"/>
        <w:spacing w:after="0"/>
        <w:rPr>
          <w:rFonts w:ascii="Arial" w:hAnsi="Arial" w:cs="Arial"/>
          <w:color w:val="222222"/>
          <w:shd w:val="clear" w:color="auto" w:fill="FFFFFF"/>
        </w:rPr>
      </w:pPr>
      <w:proofErr w:type="spellStart"/>
      <w:r>
        <w:rPr>
          <w:rFonts w:ascii="Arial" w:hAnsi="Arial" w:cs="Arial"/>
          <w:color w:val="222222"/>
          <w:shd w:val="clear" w:color="auto" w:fill="FFFFFF"/>
        </w:rPr>
        <w:t>Rathour</w:t>
      </w:r>
      <w:proofErr w:type="spellEnd"/>
      <w:r>
        <w:rPr>
          <w:rFonts w:ascii="Arial" w:hAnsi="Arial" w:cs="Arial"/>
          <w:color w:val="222222"/>
          <w:shd w:val="clear" w:color="auto" w:fill="FFFFFF"/>
        </w:rPr>
        <w:t>, V., Tiwari, P. K., Pandey, P. K., Singh, K. P., &amp; Singh, D. P. (2022). Socio-economic upliftment of tribal women through FPO in Bastar district of Chhattisgarh.</w:t>
      </w:r>
      <w:r>
        <w:rPr>
          <w:rStyle w:val="apple-converted-space"/>
          <w:rFonts w:ascii="Arial" w:hAnsi="Arial" w:cs="Arial"/>
          <w:color w:val="222222"/>
          <w:shd w:val="clear" w:color="auto" w:fill="FFFFFF"/>
        </w:rPr>
        <w:t> </w:t>
      </w:r>
      <w:r>
        <w:rPr>
          <w:rFonts w:ascii="Arial" w:hAnsi="Arial" w:cs="Arial"/>
          <w:i/>
          <w:iCs/>
          <w:color w:val="222222"/>
        </w:rPr>
        <w:t>Indian Journal of Extension Education</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58</w:t>
      </w:r>
      <w:r>
        <w:rPr>
          <w:rFonts w:ascii="Arial" w:hAnsi="Arial" w:cs="Arial"/>
          <w:color w:val="222222"/>
          <w:shd w:val="clear" w:color="auto" w:fill="FFFFFF"/>
        </w:rPr>
        <w:t>(4), 144-148.</w:t>
      </w:r>
    </w:p>
    <w:p w14:paraId="4A2DDFFA" w14:textId="77777777" w:rsidR="008C7F63" w:rsidRPr="00181951" w:rsidRDefault="008C7F63" w:rsidP="00B8376E">
      <w:pPr>
        <w:pStyle w:val="Body"/>
        <w:spacing w:after="0"/>
        <w:rPr>
          <w:highlight w:val="yellow"/>
          <w:lang w:val="en-IN"/>
        </w:rPr>
      </w:pPr>
    </w:p>
    <w:p w14:paraId="7B97B0BB" w14:textId="0985C3E4" w:rsidR="00B31DF2" w:rsidRDefault="008C7F63" w:rsidP="00B8376E">
      <w:pPr>
        <w:pStyle w:val="Body"/>
        <w:spacing w:after="0"/>
        <w:rPr>
          <w:rFonts w:ascii="Arial" w:hAnsi="Arial" w:cs="Arial"/>
          <w:color w:val="222222"/>
          <w:shd w:val="clear" w:color="auto" w:fill="FFFFFF"/>
        </w:rPr>
      </w:pPr>
      <w:r>
        <w:rPr>
          <w:rFonts w:ascii="Arial" w:hAnsi="Arial" w:cs="Arial"/>
          <w:color w:val="222222"/>
          <w:shd w:val="clear" w:color="auto" w:fill="FFFFFF"/>
        </w:rPr>
        <w:t>Roy, S., Singh, A. K., Bera, S. K., &amp; Bhattacharya, S. (2020). Land structure and level of fragmentation in typical small-marginal agricultural holdings in India.</w:t>
      </w:r>
      <w:r>
        <w:rPr>
          <w:rStyle w:val="apple-converted-space"/>
          <w:rFonts w:ascii="Arial" w:hAnsi="Arial" w:cs="Arial"/>
          <w:color w:val="222222"/>
          <w:shd w:val="clear" w:color="auto" w:fill="FFFFFF"/>
        </w:rPr>
        <w:t> </w:t>
      </w:r>
      <w:r>
        <w:rPr>
          <w:rFonts w:ascii="Arial" w:hAnsi="Arial" w:cs="Arial"/>
          <w:i/>
          <w:iCs/>
          <w:color w:val="222222"/>
        </w:rPr>
        <w:t>The Indian Journal of Agricultural Sciences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90</w:t>
      </w:r>
      <w:r>
        <w:rPr>
          <w:rFonts w:ascii="Arial" w:hAnsi="Arial" w:cs="Arial"/>
          <w:color w:val="222222"/>
          <w:shd w:val="clear" w:color="auto" w:fill="FFFFFF"/>
        </w:rPr>
        <w:t>(4), 699-703.</w:t>
      </w:r>
    </w:p>
    <w:p w14:paraId="1685CAD8" w14:textId="77777777" w:rsidR="008C7F63" w:rsidRPr="00181951" w:rsidRDefault="008C7F63" w:rsidP="00B8376E">
      <w:pPr>
        <w:pStyle w:val="Body"/>
        <w:spacing w:after="0"/>
        <w:rPr>
          <w:highlight w:val="yellow"/>
          <w:lang w:val="en-IN"/>
        </w:rPr>
      </w:pPr>
    </w:p>
    <w:p w14:paraId="0255C85B" w14:textId="2F94D3E9" w:rsidR="00FC069B" w:rsidRPr="00181951" w:rsidRDefault="00FC069B" w:rsidP="00B8376E">
      <w:pPr>
        <w:pStyle w:val="Body"/>
        <w:spacing w:after="0"/>
        <w:rPr>
          <w:lang w:val="en-IN"/>
        </w:rPr>
      </w:pPr>
      <w:r>
        <w:rPr>
          <w:rFonts w:ascii="Arial" w:hAnsi="Arial" w:cs="Arial"/>
          <w:color w:val="222222"/>
          <w:shd w:val="clear" w:color="auto" w:fill="FFFFFF"/>
        </w:rPr>
        <w:t xml:space="preserve">Singh, G., &amp; </w:t>
      </w:r>
      <w:proofErr w:type="spellStart"/>
      <w:r>
        <w:rPr>
          <w:rFonts w:ascii="Arial" w:hAnsi="Arial" w:cs="Arial"/>
          <w:color w:val="222222"/>
          <w:shd w:val="clear" w:color="auto" w:fill="FFFFFF"/>
        </w:rPr>
        <w:t>Vatta</w:t>
      </w:r>
      <w:proofErr w:type="spellEnd"/>
      <w:r>
        <w:rPr>
          <w:rFonts w:ascii="Arial" w:hAnsi="Arial" w:cs="Arial"/>
          <w:color w:val="222222"/>
          <w:shd w:val="clear" w:color="auto" w:fill="FFFFFF"/>
        </w:rPr>
        <w:t>, K. (2019). Assessing the economic impacts of farmer producer organizations: a case study in Gujarat, India.</w:t>
      </w:r>
      <w:r>
        <w:rPr>
          <w:rStyle w:val="apple-converted-space"/>
          <w:rFonts w:ascii="Arial" w:hAnsi="Arial" w:cs="Arial"/>
          <w:color w:val="222222"/>
          <w:shd w:val="clear" w:color="auto" w:fill="FFFFFF"/>
        </w:rPr>
        <w:t> </w:t>
      </w:r>
      <w:r>
        <w:rPr>
          <w:rFonts w:ascii="Arial" w:hAnsi="Arial" w:cs="Arial"/>
          <w:i/>
          <w:iCs/>
          <w:color w:val="222222"/>
        </w:rPr>
        <w:t>Agricultural Economics Research Review</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32</w:t>
      </w:r>
      <w:r>
        <w:rPr>
          <w:rFonts w:ascii="Arial" w:hAnsi="Arial" w:cs="Arial"/>
          <w:color w:val="222222"/>
          <w:shd w:val="clear" w:color="auto" w:fill="FFFFFF"/>
        </w:rPr>
        <w:t>.</w:t>
      </w:r>
    </w:p>
    <w:p w14:paraId="67182763" w14:textId="77777777" w:rsidR="00B31DF2" w:rsidRPr="00181951" w:rsidRDefault="00B31DF2" w:rsidP="00B8376E">
      <w:pPr>
        <w:pStyle w:val="Body"/>
        <w:spacing w:after="0"/>
        <w:rPr>
          <w:highlight w:val="yellow"/>
          <w:lang w:val="en-IN"/>
        </w:rPr>
      </w:pPr>
    </w:p>
    <w:p w14:paraId="00883FFE" w14:textId="7BD036A8" w:rsidR="00FC069B" w:rsidRPr="00181951" w:rsidRDefault="00FC069B" w:rsidP="00B8376E">
      <w:pPr>
        <w:pStyle w:val="Body"/>
        <w:spacing w:after="0"/>
        <w:rPr>
          <w:lang w:val="en-IN"/>
        </w:rPr>
      </w:pPr>
      <w:r>
        <w:rPr>
          <w:rFonts w:ascii="Arial" w:hAnsi="Arial" w:cs="Arial"/>
          <w:color w:val="222222"/>
          <w:shd w:val="clear" w:color="auto" w:fill="FFFFFF"/>
        </w:rPr>
        <w:t>Surendran-Padmaja, S., &amp; Ojha, J. K. (2025). Beyond the number games: Understanding the farmer producer companies in India and the way forward.</w:t>
      </w:r>
      <w:r>
        <w:rPr>
          <w:rStyle w:val="apple-converted-space"/>
          <w:rFonts w:ascii="Arial" w:hAnsi="Arial" w:cs="Arial"/>
          <w:color w:val="222222"/>
          <w:shd w:val="clear" w:color="auto" w:fill="FFFFFF"/>
        </w:rPr>
        <w:t> </w:t>
      </w:r>
      <w:r>
        <w:rPr>
          <w:rFonts w:ascii="Arial" w:hAnsi="Arial" w:cs="Arial"/>
          <w:i/>
          <w:iCs/>
          <w:color w:val="222222"/>
        </w:rPr>
        <w:t>Journal of Asian and African Studies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60</w:t>
      </w:r>
      <w:r>
        <w:rPr>
          <w:rFonts w:ascii="Arial" w:hAnsi="Arial" w:cs="Arial"/>
          <w:color w:val="222222"/>
          <w:shd w:val="clear" w:color="auto" w:fill="FFFFFF"/>
        </w:rPr>
        <w:t>(3), 1402-1417.</w:t>
      </w:r>
    </w:p>
    <w:p w14:paraId="2B9478C4" w14:textId="77777777" w:rsidR="00B31DF2" w:rsidRPr="00181951" w:rsidRDefault="00B31DF2" w:rsidP="00B8376E">
      <w:pPr>
        <w:pStyle w:val="Body"/>
        <w:spacing w:after="0"/>
        <w:rPr>
          <w:highlight w:val="yellow"/>
          <w:lang w:val="en-IN"/>
        </w:rPr>
      </w:pPr>
    </w:p>
    <w:p w14:paraId="42F0D1CE" w14:textId="34A79C32" w:rsidR="00B31DF2" w:rsidRDefault="00FC069B" w:rsidP="00B8376E">
      <w:pPr>
        <w:pStyle w:val="Body"/>
        <w:spacing w:after="0"/>
        <w:rPr>
          <w:rFonts w:ascii="Arial" w:hAnsi="Arial" w:cs="Arial"/>
          <w:color w:val="222222"/>
          <w:shd w:val="clear" w:color="auto" w:fill="FFFFFF"/>
        </w:rPr>
      </w:pPr>
      <w:r>
        <w:rPr>
          <w:rFonts w:ascii="Arial" w:hAnsi="Arial" w:cs="Arial"/>
          <w:color w:val="222222"/>
          <w:shd w:val="clear" w:color="auto" w:fill="FFFFFF"/>
        </w:rPr>
        <w:t>Suresh, V., Vivek, S., &amp; Sreejith, S. S. (2024). Assessing the long-term viability of farmers' collectives in South India.</w:t>
      </w:r>
      <w:r>
        <w:rPr>
          <w:rStyle w:val="apple-converted-space"/>
          <w:rFonts w:ascii="Arial" w:hAnsi="Arial" w:cs="Arial"/>
          <w:color w:val="222222"/>
          <w:shd w:val="clear" w:color="auto" w:fill="FFFFFF"/>
        </w:rPr>
        <w:t> </w:t>
      </w:r>
      <w:r>
        <w:rPr>
          <w:rFonts w:ascii="Arial" w:hAnsi="Arial" w:cs="Arial"/>
          <w:i/>
          <w:iCs/>
          <w:color w:val="222222"/>
        </w:rPr>
        <w:t>Frontiers in Sociology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w:t>
      </w:r>
      <w:r>
        <w:rPr>
          <w:rFonts w:ascii="Arial" w:hAnsi="Arial" w:cs="Arial"/>
          <w:color w:val="222222"/>
          <w:shd w:val="clear" w:color="auto" w:fill="FFFFFF"/>
        </w:rPr>
        <w:t>, 1415725.</w:t>
      </w:r>
    </w:p>
    <w:p w14:paraId="0AEBB023" w14:textId="77777777" w:rsidR="006F30AB" w:rsidRPr="00181951" w:rsidRDefault="006F30AB" w:rsidP="00B8376E">
      <w:pPr>
        <w:pStyle w:val="Body"/>
        <w:spacing w:after="0"/>
        <w:rPr>
          <w:highlight w:val="yellow"/>
          <w:lang w:val="en-IN"/>
        </w:rPr>
      </w:pPr>
    </w:p>
    <w:p w14:paraId="057C101C" w14:textId="4A88D76E" w:rsidR="005454D8" w:rsidRPr="00B8376E" w:rsidRDefault="00FC069B" w:rsidP="00B8376E">
      <w:pPr>
        <w:pStyle w:val="Body"/>
        <w:spacing w:after="0"/>
        <w:rPr>
          <w:lang w:val="en-IN"/>
        </w:rPr>
      </w:pPr>
      <w:r>
        <w:rPr>
          <w:rFonts w:ascii="Arial" w:hAnsi="Arial" w:cs="Arial"/>
          <w:color w:val="222222"/>
          <w:shd w:val="clear" w:color="auto" w:fill="FFFFFF"/>
        </w:rPr>
        <w:t xml:space="preserve">Vijayakumar, A. N. (2021). Farmer producer </w:t>
      </w:r>
      <w:proofErr w:type="spellStart"/>
      <w:r>
        <w:rPr>
          <w:rFonts w:ascii="Arial" w:hAnsi="Arial" w:cs="Arial"/>
          <w:color w:val="222222"/>
          <w:shd w:val="clear" w:color="auto" w:fill="FFFFFF"/>
        </w:rPr>
        <w:t>organisation</w:t>
      </w:r>
      <w:proofErr w:type="spellEnd"/>
      <w:r>
        <w:rPr>
          <w:rFonts w:ascii="Arial" w:hAnsi="Arial" w:cs="Arial"/>
          <w:color w:val="222222"/>
          <w:shd w:val="clear" w:color="auto" w:fill="FFFFFF"/>
        </w:rPr>
        <w:t>: an emerging business model for empowering small and marginal farmers in India-a case study.</w:t>
      </w:r>
      <w:r>
        <w:rPr>
          <w:rStyle w:val="apple-converted-space"/>
          <w:rFonts w:ascii="Arial" w:hAnsi="Arial" w:cs="Arial"/>
          <w:color w:val="222222"/>
          <w:shd w:val="clear" w:color="auto" w:fill="FFFFFF"/>
        </w:rPr>
        <w:t> </w:t>
      </w:r>
      <w:r>
        <w:rPr>
          <w:rFonts w:ascii="Arial" w:hAnsi="Arial" w:cs="Arial"/>
          <w:i/>
          <w:iCs/>
          <w:color w:val="222222"/>
        </w:rPr>
        <w:t>International Journal of Indian Culture and Business Management</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24</w:t>
      </w:r>
      <w:r>
        <w:rPr>
          <w:rFonts w:ascii="Arial" w:hAnsi="Arial" w:cs="Arial"/>
          <w:color w:val="222222"/>
          <w:shd w:val="clear" w:color="auto" w:fill="FFFFFF"/>
        </w:rPr>
        <w:t>(4), 481-502.</w:t>
      </w:r>
    </w:p>
    <w:p w14:paraId="791AFDE6" w14:textId="77777777" w:rsidR="00441B6F" w:rsidRDefault="00441B6F" w:rsidP="00441B6F">
      <w:pPr>
        <w:pStyle w:val="Body"/>
        <w:spacing w:after="0"/>
        <w:jc w:val="left"/>
      </w:pPr>
    </w:p>
    <w:p w14:paraId="408CB0B7" w14:textId="31ADF2B3" w:rsidR="004D4277" w:rsidRPr="00B8376E" w:rsidRDefault="004D4277" w:rsidP="00B8376E">
      <w:pPr>
        <w:pStyle w:val="DefAcrHead"/>
        <w:spacing w:after="0"/>
        <w:jc w:val="both"/>
        <w:rPr>
          <w:rFonts w:ascii="Arial" w:hAnsi="Arial" w:cs="Arial"/>
        </w:rPr>
        <w:sectPr w:rsidR="004D4277" w:rsidRPr="00B8376E" w:rsidSect="00CE2EFA">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70643977" w14:textId="77777777" w:rsidR="00B01FCD" w:rsidRPr="00FB3A86" w:rsidRDefault="00B01FCD" w:rsidP="00441B6F">
      <w:pPr>
        <w:pStyle w:val="Appendix"/>
        <w:spacing w:after="0"/>
        <w:jc w:val="both"/>
        <w:rPr>
          <w:rFonts w:ascii="Arial" w:hAnsi="Arial" w:cs="Arial"/>
          <w:b w:val="0"/>
        </w:rPr>
      </w:pPr>
    </w:p>
    <w:sectPr w:rsidR="00B01FCD" w:rsidRPr="00FB3A86" w:rsidSect="00CE2EF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eittey karmilla" w:date="2026-01-28T06:13:00Z" w:initials="zk">
    <w:p w14:paraId="4D7F3B48" w14:textId="1A1BE1F3" w:rsidR="00277EC7" w:rsidRDefault="00277EC7">
      <w:pPr>
        <w:pStyle w:val="CommentText"/>
      </w:pPr>
      <w:r>
        <w:rPr>
          <w:rStyle w:val="CommentReference"/>
        </w:rPr>
        <w:annotationRef/>
      </w:r>
      <w:r>
        <w:t>Add this verb.</w:t>
      </w:r>
    </w:p>
  </w:comment>
  <w:comment w:id="1" w:author="zeittey karmilla" w:date="2026-01-28T06:04:00Z" w:initials="zk">
    <w:p w14:paraId="01AA79E0" w14:textId="77777777" w:rsidR="00277EC7" w:rsidRDefault="00277EC7">
      <w:pPr>
        <w:pStyle w:val="CommentText"/>
      </w:pPr>
      <w:r>
        <w:rPr>
          <w:rStyle w:val="CommentReference"/>
        </w:rPr>
        <w:annotationRef/>
      </w:r>
      <w:r>
        <w:t xml:space="preserve">A case study method should be addressed here. </w:t>
      </w:r>
    </w:p>
    <w:p w14:paraId="61EF86BE" w14:textId="6DAC5D12" w:rsidR="00277EC7" w:rsidRDefault="00277EC7">
      <w:pPr>
        <w:pStyle w:val="CommentText"/>
      </w:pPr>
    </w:p>
  </w:comment>
  <w:comment w:id="2" w:author="zeittey karmilla" w:date="2026-01-28T06:05:00Z" w:initials="zk">
    <w:p w14:paraId="52CDCDC8" w14:textId="77777777" w:rsidR="00277EC7" w:rsidRDefault="00277EC7">
      <w:pPr>
        <w:pStyle w:val="CommentText"/>
      </w:pPr>
      <w:r>
        <w:rPr>
          <w:rStyle w:val="CommentReference"/>
        </w:rPr>
        <w:annotationRef/>
      </w:r>
      <w:r>
        <w:t>Suggest to use this verb</w:t>
      </w:r>
    </w:p>
    <w:p w14:paraId="7C8DF014" w14:textId="5BE013D3" w:rsidR="00277EC7" w:rsidRDefault="00277EC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7F3B48" w15:done="0"/>
  <w15:commentEx w15:paraId="61EF86BE" w15:done="0"/>
  <w15:commentEx w15:paraId="7C8DF0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D66DBC" w16cex:dateUtc="2026-01-27T22:13:00Z"/>
  <w16cex:commentExtensible w16cex:durableId="5C004984" w16cex:dateUtc="2026-01-27T22:04:00Z"/>
  <w16cex:commentExtensible w16cex:durableId="75FF53EE" w16cex:dateUtc="2026-01-27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7F3B48" w16cid:durableId="0FD66DBC"/>
  <w16cid:commentId w16cid:paraId="61EF86BE" w16cid:durableId="5C004984"/>
  <w16cid:commentId w16cid:paraId="7C8DF014" w16cid:durableId="75FF53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0A2F" w14:textId="77777777" w:rsidR="0037413C" w:rsidRDefault="0037413C" w:rsidP="00C37E61">
      <w:r>
        <w:separator/>
      </w:r>
    </w:p>
  </w:endnote>
  <w:endnote w:type="continuationSeparator" w:id="0">
    <w:p w14:paraId="68FAB7FE" w14:textId="77777777" w:rsidR="0037413C" w:rsidRDefault="003741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38E1" w14:textId="77777777" w:rsidR="00CE2EFA" w:rsidRDefault="00CE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F85B" w14:textId="77777777" w:rsidR="00CE2EFA" w:rsidRDefault="00CE2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F560" w14:textId="77777777" w:rsidR="009E048A" w:rsidRDefault="009E048A">
    <w:pPr>
      <w:pStyle w:val="Footer"/>
      <w:rPr>
        <w:rFonts w:ascii="Arial" w:hAnsi="Arial" w:cs="Arial"/>
        <w:sz w:val="16"/>
      </w:rPr>
    </w:pPr>
  </w:p>
  <w:p w14:paraId="3B5C485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5094C9" w14:textId="77777777" w:rsidR="009E048A" w:rsidRDefault="009E048A">
    <w:pPr>
      <w:pStyle w:val="Footer"/>
      <w:rPr>
        <w:rFonts w:ascii="Arial" w:hAnsi="Arial" w:cs="Arial"/>
        <w:sz w:val="16"/>
      </w:rPr>
    </w:pPr>
  </w:p>
  <w:p w14:paraId="5468D9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C8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EFA6" w14:textId="77777777" w:rsidR="0037413C" w:rsidRDefault="0037413C" w:rsidP="00C37E61">
      <w:r>
        <w:separator/>
      </w:r>
    </w:p>
  </w:footnote>
  <w:footnote w:type="continuationSeparator" w:id="0">
    <w:p w14:paraId="5C90B885" w14:textId="77777777" w:rsidR="0037413C" w:rsidRDefault="003741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1564" w14:textId="59D06031" w:rsidR="00CE2EFA" w:rsidRDefault="00277EC7">
    <w:pPr>
      <w:pStyle w:val="Header"/>
    </w:pPr>
    <w:r>
      <w:rPr>
        <w:noProof/>
      </w:rPr>
      <w:pict w14:anchorId="04694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4"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C5EE" w14:textId="0D68D3DE" w:rsidR="00CE2EFA" w:rsidRDefault="00277EC7">
    <w:pPr>
      <w:pStyle w:val="Header"/>
    </w:pPr>
    <w:r>
      <w:rPr>
        <w:noProof/>
      </w:rPr>
      <w:pict w14:anchorId="7F44B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5"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DA96" w14:textId="0B463D2A" w:rsidR="00296529" w:rsidRPr="00296529" w:rsidRDefault="00277EC7" w:rsidP="00296529">
    <w:pPr>
      <w:ind w:left="2160"/>
      <w:jc w:val="center"/>
      <w:rPr>
        <w:rFonts w:ascii="Times New Roman" w:eastAsia="Calibri" w:hAnsi="Times New Roman"/>
        <w:i/>
        <w:sz w:val="18"/>
        <w:szCs w:val="22"/>
      </w:rPr>
    </w:pPr>
    <w:r>
      <w:rPr>
        <w:noProof/>
      </w:rPr>
      <w:pict w14:anchorId="0718E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3"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B5E7F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4EA8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9C22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E6C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F9E8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F0F53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ABD3" w14:textId="1AC8956E" w:rsidR="00CE2EFA" w:rsidRDefault="00277EC7">
    <w:pPr>
      <w:pStyle w:val="Header"/>
    </w:pPr>
    <w:r>
      <w:rPr>
        <w:noProof/>
      </w:rPr>
      <w:pict w14:anchorId="68E45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7"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0068" w14:textId="38959E9E" w:rsidR="00CE2EFA" w:rsidRDefault="00277EC7">
    <w:pPr>
      <w:pStyle w:val="Header"/>
    </w:pPr>
    <w:r>
      <w:rPr>
        <w:noProof/>
      </w:rPr>
      <w:pict w14:anchorId="35F4A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8"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87AC" w14:textId="6C9A805A" w:rsidR="00CE2EFA" w:rsidRDefault="00277EC7">
    <w:pPr>
      <w:pStyle w:val="Header"/>
    </w:pPr>
    <w:r>
      <w:rPr>
        <w:noProof/>
      </w:rPr>
      <w:pict w14:anchorId="33A8D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6"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265980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0877052">
    <w:abstractNumId w:val="15"/>
  </w:num>
  <w:num w:numId="3" w16cid:durableId="2082099531">
    <w:abstractNumId w:val="23"/>
  </w:num>
  <w:num w:numId="4" w16cid:durableId="133125733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63476759">
    <w:abstractNumId w:val="7"/>
  </w:num>
  <w:num w:numId="6" w16cid:durableId="987979444">
    <w:abstractNumId w:val="6"/>
  </w:num>
  <w:num w:numId="7" w16cid:durableId="1592857684">
    <w:abstractNumId w:val="1"/>
  </w:num>
  <w:num w:numId="8" w16cid:durableId="1801612486">
    <w:abstractNumId w:val="12"/>
  </w:num>
  <w:num w:numId="9" w16cid:durableId="206770185">
    <w:abstractNumId w:val="25"/>
  </w:num>
  <w:num w:numId="10" w16cid:durableId="1512333726">
    <w:abstractNumId w:val="2"/>
  </w:num>
  <w:num w:numId="11" w16cid:durableId="1828469589">
    <w:abstractNumId w:val="18"/>
  </w:num>
  <w:num w:numId="12" w16cid:durableId="1913654664">
    <w:abstractNumId w:val="3"/>
  </w:num>
  <w:num w:numId="13" w16cid:durableId="895168887">
    <w:abstractNumId w:val="17"/>
  </w:num>
  <w:num w:numId="14" w16cid:durableId="1881045254">
    <w:abstractNumId w:val="8"/>
  </w:num>
  <w:num w:numId="15" w16cid:durableId="521869097">
    <w:abstractNumId w:val="21"/>
  </w:num>
  <w:num w:numId="16" w16cid:durableId="1682661858">
    <w:abstractNumId w:val="5"/>
  </w:num>
  <w:num w:numId="17" w16cid:durableId="415252093">
    <w:abstractNumId w:val="22"/>
  </w:num>
  <w:num w:numId="18" w16cid:durableId="31460164">
    <w:abstractNumId w:val="14"/>
  </w:num>
  <w:num w:numId="19" w16cid:durableId="601302064">
    <w:abstractNumId w:val="28"/>
  </w:num>
  <w:num w:numId="20" w16cid:durableId="1046443707">
    <w:abstractNumId w:val="11"/>
  </w:num>
  <w:num w:numId="21" w16cid:durableId="1684239399">
    <w:abstractNumId w:val="9"/>
  </w:num>
  <w:num w:numId="22" w16cid:durableId="1410149480">
    <w:abstractNumId w:val="13"/>
  </w:num>
  <w:num w:numId="23" w16cid:durableId="1053191477">
    <w:abstractNumId w:val="19"/>
  </w:num>
  <w:num w:numId="24" w16cid:durableId="1920098774">
    <w:abstractNumId w:val="26"/>
  </w:num>
  <w:num w:numId="25" w16cid:durableId="481774562">
    <w:abstractNumId w:val="4"/>
  </w:num>
  <w:num w:numId="26" w16cid:durableId="361516430">
    <w:abstractNumId w:val="16"/>
  </w:num>
  <w:num w:numId="27" w16cid:durableId="796067514">
    <w:abstractNumId w:val="20"/>
  </w:num>
  <w:num w:numId="28" w16cid:durableId="487476018">
    <w:abstractNumId w:val="27"/>
  </w:num>
  <w:num w:numId="29" w16cid:durableId="1308364125">
    <w:abstractNumId w:val="24"/>
  </w:num>
  <w:num w:numId="30" w16cid:durableId="15214314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eittey karmilla">
    <w15:presenceInfo w15:providerId="Windows Live" w15:userId="ea39617a88afdc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AFC"/>
    <w:rsid w:val="00026A1E"/>
    <w:rsid w:val="00030174"/>
    <w:rsid w:val="00043891"/>
    <w:rsid w:val="0004579C"/>
    <w:rsid w:val="000856B7"/>
    <w:rsid w:val="00092983"/>
    <w:rsid w:val="000A47FA"/>
    <w:rsid w:val="000A65D3"/>
    <w:rsid w:val="000B1E33"/>
    <w:rsid w:val="000B5932"/>
    <w:rsid w:val="000D689F"/>
    <w:rsid w:val="000E7B7B"/>
    <w:rsid w:val="000E7D62"/>
    <w:rsid w:val="00100250"/>
    <w:rsid w:val="00103357"/>
    <w:rsid w:val="00115B8F"/>
    <w:rsid w:val="00123C9F"/>
    <w:rsid w:val="00126190"/>
    <w:rsid w:val="00130F17"/>
    <w:rsid w:val="001320BF"/>
    <w:rsid w:val="00163BC4"/>
    <w:rsid w:val="00181951"/>
    <w:rsid w:val="00187D2D"/>
    <w:rsid w:val="00191062"/>
    <w:rsid w:val="00192B72"/>
    <w:rsid w:val="001A29D8"/>
    <w:rsid w:val="001A3B35"/>
    <w:rsid w:val="001A5CAA"/>
    <w:rsid w:val="001B0427"/>
    <w:rsid w:val="001D3A51"/>
    <w:rsid w:val="001E10D2"/>
    <w:rsid w:val="001E25B4"/>
    <w:rsid w:val="001E44FE"/>
    <w:rsid w:val="001F4404"/>
    <w:rsid w:val="00200595"/>
    <w:rsid w:val="00204835"/>
    <w:rsid w:val="00231920"/>
    <w:rsid w:val="0023195C"/>
    <w:rsid w:val="0024282C"/>
    <w:rsid w:val="00242BF2"/>
    <w:rsid w:val="002460DC"/>
    <w:rsid w:val="00250985"/>
    <w:rsid w:val="00255291"/>
    <w:rsid w:val="002556F6"/>
    <w:rsid w:val="002700E9"/>
    <w:rsid w:val="00277EC7"/>
    <w:rsid w:val="00283105"/>
    <w:rsid w:val="00284C4C"/>
    <w:rsid w:val="00287E68"/>
    <w:rsid w:val="00296529"/>
    <w:rsid w:val="002B27FB"/>
    <w:rsid w:val="002B685A"/>
    <w:rsid w:val="002C2614"/>
    <w:rsid w:val="002C57D2"/>
    <w:rsid w:val="002E0D56"/>
    <w:rsid w:val="002F1DFD"/>
    <w:rsid w:val="00315186"/>
    <w:rsid w:val="0032518E"/>
    <w:rsid w:val="0033343E"/>
    <w:rsid w:val="003361AD"/>
    <w:rsid w:val="003512C2"/>
    <w:rsid w:val="00366A5A"/>
    <w:rsid w:val="00371FB6"/>
    <w:rsid w:val="0037413C"/>
    <w:rsid w:val="003763C1"/>
    <w:rsid w:val="00376BBE"/>
    <w:rsid w:val="003830F6"/>
    <w:rsid w:val="0039224F"/>
    <w:rsid w:val="00393795"/>
    <w:rsid w:val="003A43A4"/>
    <w:rsid w:val="003A7E18"/>
    <w:rsid w:val="003C445E"/>
    <w:rsid w:val="003C4C86"/>
    <w:rsid w:val="003C6258"/>
    <w:rsid w:val="003E1963"/>
    <w:rsid w:val="003E2904"/>
    <w:rsid w:val="00401927"/>
    <w:rsid w:val="0041027F"/>
    <w:rsid w:val="00412475"/>
    <w:rsid w:val="00423789"/>
    <w:rsid w:val="00440F43"/>
    <w:rsid w:val="00441B6F"/>
    <w:rsid w:val="00446221"/>
    <w:rsid w:val="00450E62"/>
    <w:rsid w:val="004539DB"/>
    <w:rsid w:val="00454C9F"/>
    <w:rsid w:val="0046703E"/>
    <w:rsid w:val="00471A80"/>
    <w:rsid w:val="004818BD"/>
    <w:rsid w:val="004A35F4"/>
    <w:rsid w:val="004D305E"/>
    <w:rsid w:val="004D4277"/>
    <w:rsid w:val="004D73CB"/>
    <w:rsid w:val="00502516"/>
    <w:rsid w:val="00505F06"/>
    <w:rsid w:val="00506828"/>
    <w:rsid w:val="0053056E"/>
    <w:rsid w:val="00542776"/>
    <w:rsid w:val="005454D8"/>
    <w:rsid w:val="00550F9B"/>
    <w:rsid w:val="00552B07"/>
    <w:rsid w:val="00554FDA"/>
    <w:rsid w:val="0058487B"/>
    <w:rsid w:val="005C784C"/>
    <w:rsid w:val="005D17F6"/>
    <w:rsid w:val="005E5539"/>
    <w:rsid w:val="005F1F67"/>
    <w:rsid w:val="00602BF5"/>
    <w:rsid w:val="00617FDD"/>
    <w:rsid w:val="00633614"/>
    <w:rsid w:val="00633F68"/>
    <w:rsid w:val="00636EB2"/>
    <w:rsid w:val="006375B8"/>
    <w:rsid w:val="00655446"/>
    <w:rsid w:val="0066510A"/>
    <w:rsid w:val="00673F9F"/>
    <w:rsid w:val="00686953"/>
    <w:rsid w:val="00687DEA"/>
    <w:rsid w:val="00687E67"/>
    <w:rsid w:val="006967F7"/>
    <w:rsid w:val="006A250C"/>
    <w:rsid w:val="006A39D7"/>
    <w:rsid w:val="006A3B17"/>
    <w:rsid w:val="006B21D3"/>
    <w:rsid w:val="006B57D0"/>
    <w:rsid w:val="006D30FF"/>
    <w:rsid w:val="006D6940"/>
    <w:rsid w:val="006F11EC"/>
    <w:rsid w:val="006F30AB"/>
    <w:rsid w:val="0070082C"/>
    <w:rsid w:val="007369E6"/>
    <w:rsid w:val="00746E59"/>
    <w:rsid w:val="0074738D"/>
    <w:rsid w:val="00754C9A"/>
    <w:rsid w:val="0075599A"/>
    <w:rsid w:val="00761D52"/>
    <w:rsid w:val="007662A5"/>
    <w:rsid w:val="00773B02"/>
    <w:rsid w:val="00774F6F"/>
    <w:rsid w:val="0077749E"/>
    <w:rsid w:val="00790ADA"/>
    <w:rsid w:val="007A2593"/>
    <w:rsid w:val="007C0066"/>
    <w:rsid w:val="007D2288"/>
    <w:rsid w:val="007E088F"/>
    <w:rsid w:val="007F3F96"/>
    <w:rsid w:val="007F7B32"/>
    <w:rsid w:val="00804BC2"/>
    <w:rsid w:val="0081431A"/>
    <w:rsid w:val="0082679C"/>
    <w:rsid w:val="0083216F"/>
    <w:rsid w:val="00841585"/>
    <w:rsid w:val="00860000"/>
    <w:rsid w:val="008614EB"/>
    <w:rsid w:val="00863BD3"/>
    <w:rsid w:val="008641ED"/>
    <w:rsid w:val="00866D66"/>
    <w:rsid w:val="008671C6"/>
    <w:rsid w:val="00867EF0"/>
    <w:rsid w:val="00875803"/>
    <w:rsid w:val="00890AE5"/>
    <w:rsid w:val="008A542E"/>
    <w:rsid w:val="008B459E"/>
    <w:rsid w:val="008C3CEE"/>
    <w:rsid w:val="008C7F63"/>
    <w:rsid w:val="008E13AE"/>
    <w:rsid w:val="008E1506"/>
    <w:rsid w:val="008E710C"/>
    <w:rsid w:val="008F2BE7"/>
    <w:rsid w:val="008F69D6"/>
    <w:rsid w:val="00902823"/>
    <w:rsid w:val="00915CA6"/>
    <w:rsid w:val="00915FE9"/>
    <w:rsid w:val="0091776C"/>
    <w:rsid w:val="00927834"/>
    <w:rsid w:val="00940174"/>
    <w:rsid w:val="009500A6"/>
    <w:rsid w:val="00953E69"/>
    <w:rsid w:val="00957C18"/>
    <w:rsid w:val="0096305C"/>
    <w:rsid w:val="009659BA"/>
    <w:rsid w:val="00983040"/>
    <w:rsid w:val="00993D69"/>
    <w:rsid w:val="009B3FB9"/>
    <w:rsid w:val="009C2465"/>
    <w:rsid w:val="009C68D4"/>
    <w:rsid w:val="009D35A0"/>
    <w:rsid w:val="009D510D"/>
    <w:rsid w:val="009D752B"/>
    <w:rsid w:val="009D7EB7"/>
    <w:rsid w:val="009E048A"/>
    <w:rsid w:val="009E08E9"/>
    <w:rsid w:val="009E3DB9"/>
    <w:rsid w:val="009E6E35"/>
    <w:rsid w:val="009F0EDA"/>
    <w:rsid w:val="009F0EF1"/>
    <w:rsid w:val="00A03B96"/>
    <w:rsid w:val="00A05B19"/>
    <w:rsid w:val="00A1134E"/>
    <w:rsid w:val="00A24E7E"/>
    <w:rsid w:val="00A258C3"/>
    <w:rsid w:val="00A347C0"/>
    <w:rsid w:val="00A51431"/>
    <w:rsid w:val="00A539AD"/>
    <w:rsid w:val="00A91510"/>
    <w:rsid w:val="00A94063"/>
    <w:rsid w:val="00AA6219"/>
    <w:rsid w:val="00AA74E0"/>
    <w:rsid w:val="00AB703F"/>
    <w:rsid w:val="00AC6BB8"/>
    <w:rsid w:val="00AD0034"/>
    <w:rsid w:val="00AE008F"/>
    <w:rsid w:val="00B01FCD"/>
    <w:rsid w:val="00B06465"/>
    <w:rsid w:val="00B1776C"/>
    <w:rsid w:val="00B2114D"/>
    <w:rsid w:val="00B31DF2"/>
    <w:rsid w:val="00B36990"/>
    <w:rsid w:val="00B52583"/>
    <w:rsid w:val="00B52896"/>
    <w:rsid w:val="00B8376E"/>
    <w:rsid w:val="00B868CE"/>
    <w:rsid w:val="00B95236"/>
    <w:rsid w:val="00B96BD9"/>
    <w:rsid w:val="00BA1B01"/>
    <w:rsid w:val="00BA2641"/>
    <w:rsid w:val="00BA4C9F"/>
    <w:rsid w:val="00BB37AA"/>
    <w:rsid w:val="00BC0D8C"/>
    <w:rsid w:val="00BC53A0"/>
    <w:rsid w:val="00BE62AD"/>
    <w:rsid w:val="00BF11C5"/>
    <w:rsid w:val="00BF121F"/>
    <w:rsid w:val="00BF1F80"/>
    <w:rsid w:val="00BF6A2B"/>
    <w:rsid w:val="00C166EF"/>
    <w:rsid w:val="00C17EB0"/>
    <w:rsid w:val="00C27F5F"/>
    <w:rsid w:val="00C30A0F"/>
    <w:rsid w:val="00C362BF"/>
    <w:rsid w:val="00C37E61"/>
    <w:rsid w:val="00C70F1B"/>
    <w:rsid w:val="00C71A47"/>
    <w:rsid w:val="00C7464C"/>
    <w:rsid w:val="00C85588"/>
    <w:rsid w:val="00CA2D96"/>
    <w:rsid w:val="00CC415D"/>
    <w:rsid w:val="00CC4230"/>
    <w:rsid w:val="00CD6755"/>
    <w:rsid w:val="00CD6856"/>
    <w:rsid w:val="00CE0089"/>
    <w:rsid w:val="00CE2EFA"/>
    <w:rsid w:val="00CE793C"/>
    <w:rsid w:val="00CF193C"/>
    <w:rsid w:val="00D031D6"/>
    <w:rsid w:val="00D173F1"/>
    <w:rsid w:val="00D60214"/>
    <w:rsid w:val="00D74CB0"/>
    <w:rsid w:val="00D8295D"/>
    <w:rsid w:val="00DC2429"/>
    <w:rsid w:val="00DC2A65"/>
    <w:rsid w:val="00DD2A0E"/>
    <w:rsid w:val="00DE15F0"/>
    <w:rsid w:val="00DE5663"/>
    <w:rsid w:val="00DE78AA"/>
    <w:rsid w:val="00DF72F2"/>
    <w:rsid w:val="00E053D0"/>
    <w:rsid w:val="00E15994"/>
    <w:rsid w:val="00E25C26"/>
    <w:rsid w:val="00E27075"/>
    <w:rsid w:val="00E2747F"/>
    <w:rsid w:val="00E3114E"/>
    <w:rsid w:val="00E31A70"/>
    <w:rsid w:val="00E35B02"/>
    <w:rsid w:val="00E57B74"/>
    <w:rsid w:val="00E63213"/>
    <w:rsid w:val="00E66496"/>
    <w:rsid w:val="00E66B35"/>
    <w:rsid w:val="00E66E10"/>
    <w:rsid w:val="00E769F6"/>
    <w:rsid w:val="00E8407C"/>
    <w:rsid w:val="00E84F3C"/>
    <w:rsid w:val="00EA012C"/>
    <w:rsid w:val="00EA2FB7"/>
    <w:rsid w:val="00EC6A55"/>
    <w:rsid w:val="00EC7738"/>
    <w:rsid w:val="00ED0288"/>
    <w:rsid w:val="00ED24BF"/>
    <w:rsid w:val="00EE52CB"/>
    <w:rsid w:val="00EF5439"/>
    <w:rsid w:val="00EF581D"/>
    <w:rsid w:val="00EF60A9"/>
    <w:rsid w:val="00EF7FD8"/>
    <w:rsid w:val="00F06F59"/>
    <w:rsid w:val="00F11438"/>
    <w:rsid w:val="00F11E3B"/>
    <w:rsid w:val="00F17988"/>
    <w:rsid w:val="00F44CD1"/>
    <w:rsid w:val="00F469F0"/>
    <w:rsid w:val="00F52031"/>
    <w:rsid w:val="00F53273"/>
    <w:rsid w:val="00F64DDC"/>
    <w:rsid w:val="00F7158F"/>
    <w:rsid w:val="00F755E4"/>
    <w:rsid w:val="00F77D02"/>
    <w:rsid w:val="00FB3A86"/>
    <w:rsid w:val="00FC069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673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518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ED24BF"/>
    <w:rPr>
      <w:color w:val="666666"/>
    </w:rPr>
  </w:style>
  <w:style w:type="character" w:customStyle="1" w:styleId="Heading3Char">
    <w:name w:val="Heading 3 Char"/>
    <w:basedOn w:val="DefaultParagraphFont"/>
    <w:link w:val="Heading3"/>
    <w:semiHidden/>
    <w:rsid w:val="0032518E"/>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32518E"/>
    <w:rPr>
      <w:rFonts w:ascii="Times New Roman" w:hAnsi="Times New Roman"/>
      <w:sz w:val="24"/>
      <w:szCs w:val="24"/>
    </w:rPr>
  </w:style>
  <w:style w:type="character" w:customStyle="1" w:styleId="apple-converted-space">
    <w:name w:val="apple-converted-space"/>
    <w:basedOn w:val="DefaultParagraphFont"/>
    <w:rsid w:val="009F0EF1"/>
  </w:style>
  <w:style w:type="paragraph" w:customStyle="1" w:styleId="p1">
    <w:name w:val="p1"/>
    <w:basedOn w:val="Normal"/>
    <w:rsid w:val="006F30AB"/>
    <w:rPr>
      <w:rFonts w:ascii="Arial" w:hAnsi="Arial" w:cs="Arial"/>
      <w:color w:val="000000"/>
      <w:sz w:val="17"/>
      <w:szCs w:val="17"/>
      <w:lang w:val="en-IN" w:eastAsia="en-GB"/>
    </w:rPr>
  </w:style>
  <w:style w:type="paragraph" w:customStyle="1" w:styleId="p2">
    <w:name w:val="p2"/>
    <w:basedOn w:val="Normal"/>
    <w:rsid w:val="006F30AB"/>
    <w:rPr>
      <w:rFonts w:ascii="Arial" w:hAnsi="Arial" w:cs="Arial"/>
      <w:color w:val="0000FF"/>
      <w:sz w:val="17"/>
      <w:szCs w:val="17"/>
      <w:lang w:val="en-IN" w:eastAsia="en-GB"/>
    </w:rPr>
  </w:style>
  <w:style w:type="character" w:customStyle="1" w:styleId="s1">
    <w:name w:val="s1"/>
    <w:basedOn w:val="DefaultParagraphFont"/>
    <w:rsid w:val="006F30AB"/>
    <w:rPr>
      <w:color w:val="000000"/>
    </w:rPr>
  </w:style>
  <w:style w:type="paragraph" w:styleId="CommentSubject">
    <w:name w:val="annotation subject"/>
    <w:basedOn w:val="CommentText"/>
    <w:next w:val="CommentText"/>
    <w:link w:val="CommentSubjectChar"/>
    <w:semiHidden/>
    <w:unhideWhenUsed/>
    <w:rsid w:val="00277EC7"/>
    <w:rPr>
      <w:rFonts w:ascii="Helvetica" w:hAnsi="Helvetica"/>
      <w:b/>
      <w:bCs/>
      <w:lang w:val="en-US" w:eastAsia="en-US"/>
    </w:rPr>
  </w:style>
  <w:style w:type="character" w:customStyle="1" w:styleId="CommentSubjectChar">
    <w:name w:val="Comment Subject Char"/>
    <w:basedOn w:val="CommentTextChar"/>
    <w:link w:val="CommentSubject"/>
    <w:semiHidden/>
    <w:rsid w:val="00277EC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1257/aer.20180607"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07/s40003-021-00539-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9126/jaem.v22i3.2021.279"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pib.gov.in/PressReleasePage.aspx?PRID=2154174"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48165/IJEE.2022.58218"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pib.gov.in/PressReleaseIframePage.aspx?PRID=2040845" TargetMode="External"/><Relationship Id="rId27" Type="http://schemas.openxmlformats.org/officeDocument/2006/relationships/header" Target="header6.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3A3884-BEB9-F141-859A-E69E9A113AF2}"/>
      </w:docPartPr>
      <w:docPartBody>
        <w:p w:rsidR="0039545F" w:rsidRDefault="00D2612B">
          <w:r w:rsidRPr="00753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2B"/>
    <w:rsid w:val="00021908"/>
    <w:rsid w:val="000B481F"/>
    <w:rsid w:val="000B5932"/>
    <w:rsid w:val="000C6A31"/>
    <w:rsid w:val="001A3B35"/>
    <w:rsid w:val="001C34A2"/>
    <w:rsid w:val="002B1D36"/>
    <w:rsid w:val="00340C66"/>
    <w:rsid w:val="003830F6"/>
    <w:rsid w:val="0039545F"/>
    <w:rsid w:val="004236C1"/>
    <w:rsid w:val="00454C9F"/>
    <w:rsid w:val="00592F3F"/>
    <w:rsid w:val="00592F95"/>
    <w:rsid w:val="005E4E17"/>
    <w:rsid w:val="00667500"/>
    <w:rsid w:val="006A3D3E"/>
    <w:rsid w:val="007139A2"/>
    <w:rsid w:val="007A2593"/>
    <w:rsid w:val="009D510D"/>
    <w:rsid w:val="00A02057"/>
    <w:rsid w:val="00A25002"/>
    <w:rsid w:val="00AD0034"/>
    <w:rsid w:val="00BD4F98"/>
    <w:rsid w:val="00C158B1"/>
    <w:rsid w:val="00C7543D"/>
    <w:rsid w:val="00CC415D"/>
    <w:rsid w:val="00D2612B"/>
    <w:rsid w:val="00E1215F"/>
    <w:rsid w:val="00E535CA"/>
    <w:rsid w:val="00E822EE"/>
    <w:rsid w:val="00EE0A56"/>
    <w:rsid w:val="00EF60A9"/>
    <w:rsid w:val="00F52031"/>
    <w:rsid w:val="00F67C94"/>
    <w:rsid w:val="00FC5B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5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ABAA50-9619-6844-A733-AFC3B6A4C8E9}">
  <we:reference id="wa200001361" version="2.129.3.0" store="en-US" storeType="OMEX"/>
  <we:alternateReferences>
    <we:reference id="WA200001361" version="2.129.3.0" store="" storeType="OMEX"/>
  </we:alternateReferences>
  <we:properties>
    <we:property name="paperpal-document-id" value="&quot;7f87ef39-a87a-4e12-bc4a-74adc31efa8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6586-24B9-462B-8049-27A6DCA7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3633</Words>
  <Characters>24028</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27606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zeittey karmilla</cp:lastModifiedBy>
  <cp:revision>2</cp:revision>
  <cp:lastPrinted>1999-07-06T11:00:00Z</cp:lastPrinted>
  <dcterms:created xsi:type="dcterms:W3CDTF">2026-01-27T22:14:00Z</dcterms:created>
  <dcterms:modified xsi:type="dcterms:W3CDTF">2026-01-27T22:14:00Z</dcterms:modified>
</cp:coreProperties>
</file>