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4AA" w:rsidRDefault="002204AA">
      <w:pPr>
        <w:pStyle w:val="BodyText"/>
        <w:spacing w:before="4"/>
        <w:rPr>
          <w:sz w:val="12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204AA">
        <w:trPr>
          <w:trHeight w:val="290"/>
        </w:trPr>
        <w:tc>
          <w:tcPr>
            <w:tcW w:w="5168" w:type="dxa"/>
          </w:tcPr>
          <w:p w:rsidR="002204AA" w:rsidRDefault="0078112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2204AA" w:rsidRDefault="00BD13D0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6">
              <w:r w:rsidR="0078112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78112E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78112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78112E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78112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Experimental</w:t>
              </w:r>
              <w:r w:rsidR="0078112E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78112E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Agriculture</w:t>
              </w:r>
              <w:r w:rsidR="0078112E">
                <w:rPr>
                  <w:rFonts w:ascii="Arial"/>
                  <w:b/>
                  <w:color w:val="0000FF"/>
                  <w:spacing w:val="-10"/>
                  <w:sz w:val="20"/>
                  <w:u w:val="single" w:color="0000FF"/>
                </w:rPr>
                <w:t xml:space="preserve"> </w:t>
              </w:r>
              <w:r w:rsidR="0078112E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International</w:t>
              </w:r>
            </w:hyperlink>
          </w:p>
        </w:tc>
      </w:tr>
      <w:tr w:rsidR="002204AA">
        <w:trPr>
          <w:trHeight w:val="290"/>
        </w:trPr>
        <w:tc>
          <w:tcPr>
            <w:tcW w:w="5168" w:type="dxa"/>
          </w:tcPr>
          <w:p w:rsidR="002204AA" w:rsidRDefault="0078112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2204AA" w:rsidRDefault="0078112E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Ms_JEAI_153339</w:t>
            </w:r>
          </w:p>
        </w:tc>
      </w:tr>
      <w:tr w:rsidR="002204AA">
        <w:trPr>
          <w:trHeight w:val="650"/>
        </w:trPr>
        <w:tc>
          <w:tcPr>
            <w:tcW w:w="5168" w:type="dxa"/>
          </w:tcPr>
          <w:p w:rsidR="002204AA" w:rsidRDefault="0078112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2204AA" w:rsidRDefault="0078112E">
            <w:pPr>
              <w:pStyle w:val="TableParagraph"/>
              <w:spacing w:before="210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Review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Economic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Impact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of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Value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Addition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Food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Processing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Farmers’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Income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0"/>
              </w:rPr>
              <w:t>An</w:t>
            </w:r>
            <w:proofErr w:type="gram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Extension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Perspective</w:t>
            </w:r>
          </w:p>
        </w:tc>
      </w:tr>
      <w:tr w:rsidR="002204AA">
        <w:trPr>
          <w:trHeight w:val="333"/>
        </w:trPr>
        <w:tc>
          <w:tcPr>
            <w:tcW w:w="5168" w:type="dxa"/>
          </w:tcPr>
          <w:p w:rsidR="002204AA" w:rsidRDefault="0078112E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2204AA" w:rsidRDefault="002204AA">
            <w:pPr>
              <w:pStyle w:val="TableParagraph"/>
              <w:rPr>
                <w:sz w:val="18"/>
              </w:rPr>
            </w:pPr>
          </w:p>
        </w:tc>
      </w:tr>
    </w:tbl>
    <w:p w:rsidR="002204AA" w:rsidRDefault="002204AA">
      <w:pPr>
        <w:pStyle w:val="BodyText"/>
        <w:spacing w:before="10"/>
        <w:rPr>
          <w:sz w:val="4"/>
        </w:rPr>
      </w:pPr>
    </w:p>
    <w:p w:rsidR="00212F05" w:rsidRDefault="00212F05">
      <w:pPr>
        <w:pStyle w:val="BodyText"/>
        <w:spacing w:before="10"/>
        <w:rPr>
          <w:sz w:val="4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2204AA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2204AA" w:rsidRDefault="0078112E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2204AA">
        <w:trPr>
          <w:trHeight w:val="964"/>
        </w:trPr>
        <w:tc>
          <w:tcPr>
            <w:tcW w:w="5352" w:type="dxa"/>
          </w:tcPr>
          <w:p w:rsidR="002204AA" w:rsidRDefault="002204AA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2204AA" w:rsidRDefault="0078112E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2204AA" w:rsidRDefault="002204AA">
            <w:pPr>
              <w:pStyle w:val="TableParagraph"/>
              <w:ind w:left="108" w:right="175"/>
              <w:rPr>
                <w:b/>
                <w:sz w:val="20"/>
              </w:rPr>
            </w:pPr>
          </w:p>
        </w:tc>
        <w:tc>
          <w:tcPr>
            <w:tcW w:w="6445" w:type="dxa"/>
          </w:tcPr>
          <w:p w:rsidR="002204AA" w:rsidRDefault="0078112E">
            <w:pPr>
              <w:pStyle w:val="TableParagraph"/>
              <w:spacing w:line="254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204AA">
        <w:trPr>
          <w:trHeight w:val="1264"/>
        </w:trPr>
        <w:tc>
          <w:tcPr>
            <w:tcW w:w="5352" w:type="dxa"/>
          </w:tcPr>
          <w:p w:rsidR="002204AA" w:rsidRDefault="0078112E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2204AA" w:rsidRDefault="007811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Firstly,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thank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invitation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secondly,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carried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out.</w:t>
            </w:r>
          </w:p>
        </w:tc>
        <w:tc>
          <w:tcPr>
            <w:tcW w:w="6445" w:type="dxa"/>
          </w:tcPr>
          <w:p w:rsidR="002204AA" w:rsidRDefault="002204AA">
            <w:pPr>
              <w:pStyle w:val="TableParagraph"/>
              <w:rPr>
                <w:sz w:val="18"/>
              </w:rPr>
            </w:pPr>
          </w:p>
        </w:tc>
      </w:tr>
      <w:tr w:rsidR="002204AA">
        <w:trPr>
          <w:trHeight w:val="1262"/>
        </w:trPr>
        <w:tc>
          <w:tcPr>
            <w:tcW w:w="5352" w:type="dxa"/>
          </w:tcPr>
          <w:p w:rsidR="002204AA" w:rsidRDefault="0078112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2204AA" w:rsidRDefault="0078112E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2204AA" w:rsidRDefault="007811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subjective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missing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points,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show below. “A Review of the Economic Impact of Value Addition and Food Processing on Farmers’ Income</w:t>
            </w:r>
            <w:r>
              <w:rPr>
                <w:color w:val="000000"/>
                <w:sz w:val="20"/>
                <w:highlight w:val="yellow"/>
              </w:rPr>
              <w:t>:</w:t>
            </w:r>
            <w:r>
              <w:rPr>
                <w:color w:val="000000"/>
                <w:sz w:val="20"/>
              </w:rPr>
              <w:t xml:space="preserve"> An Extension Perspective”.</w:t>
            </w:r>
          </w:p>
        </w:tc>
        <w:tc>
          <w:tcPr>
            <w:tcW w:w="6445" w:type="dxa"/>
          </w:tcPr>
          <w:p w:rsidR="002204AA" w:rsidRDefault="002204AA">
            <w:pPr>
              <w:pStyle w:val="TableParagraph"/>
              <w:rPr>
                <w:sz w:val="18"/>
              </w:rPr>
            </w:pPr>
          </w:p>
        </w:tc>
      </w:tr>
      <w:tr w:rsidR="002204AA">
        <w:trPr>
          <w:trHeight w:val="1262"/>
        </w:trPr>
        <w:tc>
          <w:tcPr>
            <w:tcW w:w="5352" w:type="dxa"/>
          </w:tcPr>
          <w:p w:rsidR="002204AA" w:rsidRDefault="0078112E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2204AA" w:rsidRDefault="0078112E">
            <w:pPr>
              <w:pStyle w:val="TableParagraph"/>
              <w:ind w:left="108" w:right="55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suggest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paragraphs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believe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paragraphs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Abstract would suffice, while the remaining paragraphs could be included in the Introduction section. However, the authors have yet to indicate how they will proceed with the review.</w:t>
            </w:r>
          </w:p>
        </w:tc>
        <w:tc>
          <w:tcPr>
            <w:tcW w:w="6445" w:type="dxa"/>
          </w:tcPr>
          <w:p w:rsidR="002204AA" w:rsidRDefault="002204AA">
            <w:pPr>
              <w:pStyle w:val="TableParagraph"/>
              <w:rPr>
                <w:sz w:val="18"/>
              </w:rPr>
            </w:pPr>
          </w:p>
        </w:tc>
      </w:tr>
      <w:tr w:rsidR="002204AA">
        <w:trPr>
          <w:trHeight w:val="1840"/>
        </w:trPr>
        <w:tc>
          <w:tcPr>
            <w:tcW w:w="5352" w:type="dxa"/>
          </w:tcPr>
          <w:p w:rsidR="002204AA" w:rsidRDefault="0078112E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2204AA" w:rsidRDefault="0078112E">
            <w:pPr>
              <w:pStyle w:val="TableParagraph"/>
              <w:ind w:left="108" w:right="55"/>
              <w:rPr>
                <w:sz w:val="20"/>
              </w:rPr>
            </w:pPr>
            <w:r>
              <w:rPr>
                <w:sz w:val="20"/>
              </w:rPr>
              <w:t>Figure 1 and Tables 1 through 7 should be included in the text. Authors should clarify the introduction of tables with their explanation before they appear.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example,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Table 1, it is not clear whether it refers to Al Hinai, et al. 2022, or (</w:t>
            </w:r>
            <w:proofErr w:type="spellStart"/>
            <w:r>
              <w:rPr>
                <w:sz w:val="20"/>
              </w:rPr>
              <w:t>Danso-Abbeam</w:t>
            </w:r>
            <w:proofErr w:type="spellEnd"/>
            <w:r>
              <w:rPr>
                <w:sz w:val="20"/>
              </w:rPr>
              <w:t>, et al., 2018. Why do they appear? The authors should clarify the introduction of the tables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explanation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appear.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example,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Hinai, et al. 2022, 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Danso-Abbeam</w:t>
            </w:r>
            <w:proofErr w:type="spellEnd"/>
            <w:r>
              <w:rPr>
                <w:sz w:val="20"/>
              </w:rPr>
              <w:t>, et al., 2018.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Why do they appear? The same applies to Table 2 and following. Or perhaps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tables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 misplaced! For example, Table 1, which refers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cleaning,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grading,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etc., 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perhaps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 included in section 2.2, according to the second paragraph. Although the authors present a case study, they could</w:t>
            </w:r>
          </w:p>
          <w:p w:rsidR="002204AA" w:rsidRDefault="0078112E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suggestions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conclusion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clear.</w:t>
            </w:r>
          </w:p>
        </w:tc>
        <w:tc>
          <w:tcPr>
            <w:tcW w:w="6445" w:type="dxa"/>
          </w:tcPr>
          <w:p w:rsidR="002204AA" w:rsidRDefault="002204AA">
            <w:pPr>
              <w:pStyle w:val="TableParagraph"/>
              <w:rPr>
                <w:sz w:val="18"/>
              </w:rPr>
            </w:pPr>
          </w:p>
        </w:tc>
      </w:tr>
      <w:tr w:rsidR="002204AA">
        <w:trPr>
          <w:trHeight w:val="703"/>
        </w:trPr>
        <w:tc>
          <w:tcPr>
            <w:tcW w:w="5352" w:type="dxa"/>
          </w:tcPr>
          <w:p w:rsidR="002204AA" w:rsidRDefault="0078112E">
            <w:pPr>
              <w:pStyle w:val="TableParagraph"/>
              <w:spacing w:line="230" w:lineRule="atLeas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2204AA" w:rsidRDefault="0078112E">
            <w:pPr>
              <w:pStyle w:val="TableParagraph"/>
              <w:spacing w:line="230" w:lineRule="atLeast"/>
              <w:ind w:left="108" w:right="298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1991,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possibly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created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intellectual structure,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cited,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21st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century.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expert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field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say with more accuracy whether or not they are sufficient.</w:t>
            </w:r>
          </w:p>
        </w:tc>
        <w:tc>
          <w:tcPr>
            <w:tcW w:w="6445" w:type="dxa"/>
          </w:tcPr>
          <w:p w:rsidR="002204AA" w:rsidRDefault="002204AA">
            <w:pPr>
              <w:pStyle w:val="TableParagraph"/>
              <w:rPr>
                <w:sz w:val="18"/>
              </w:rPr>
            </w:pPr>
          </w:p>
        </w:tc>
      </w:tr>
      <w:tr w:rsidR="002204AA">
        <w:trPr>
          <w:trHeight w:val="690"/>
        </w:trPr>
        <w:tc>
          <w:tcPr>
            <w:tcW w:w="5352" w:type="dxa"/>
          </w:tcPr>
          <w:p w:rsidR="002204AA" w:rsidRDefault="0078112E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2204AA" w:rsidRDefault="0078112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though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speaker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language.</w:t>
            </w:r>
          </w:p>
        </w:tc>
        <w:tc>
          <w:tcPr>
            <w:tcW w:w="6445" w:type="dxa"/>
          </w:tcPr>
          <w:p w:rsidR="002204AA" w:rsidRDefault="002204AA">
            <w:pPr>
              <w:pStyle w:val="TableParagraph"/>
              <w:rPr>
                <w:sz w:val="18"/>
              </w:rPr>
            </w:pPr>
          </w:p>
        </w:tc>
      </w:tr>
      <w:tr w:rsidR="002204AA">
        <w:trPr>
          <w:trHeight w:val="1379"/>
        </w:trPr>
        <w:tc>
          <w:tcPr>
            <w:tcW w:w="5352" w:type="dxa"/>
          </w:tcPr>
          <w:p w:rsidR="002204AA" w:rsidRDefault="0078112E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2204AA" w:rsidRDefault="0078112E">
            <w:pPr>
              <w:pStyle w:val="TableParagraph"/>
              <w:ind w:left="108" w:right="175"/>
              <w:rPr>
                <w:sz w:val="20"/>
              </w:rPr>
            </w:pPr>
            <w:r>
              <w:rPr>
                <w:sz w:val="20"/>
              </w:rPr>
              <w:t xml:space="preserve">This research aims to </w:t>
            </w:r>
            <w:proofErr w:type="spellStart"/>
            <w:r>
              <w:rPr>
                <w:sz w:val="20"/>
              </w:rPr>
              <w:t>summarise</w:t>
            </w:r>
            <w:proofErr w:type="spellEnd"/>
            <w:r>
              <w:rPr>
                <w:sz w:val="20"/>
              </w:rPr>
              <w:t xml:space="preserve"> the main information about the area with the flexibility and subjectivity associated with it. It seems to me that linking bibliographical references and commenting on their differences could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facilitate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possibly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together.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figure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explained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appreciate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authors'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everything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 life, we can always improve.</w:t>
            </w:r>
          </w:p>
          <w:p w:rsidR="002204AA" w:rsidRDefault="0078112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Stay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GOD</w:t>
            </w:r>
          </w:p>
        </w:tc>
        <w:tc>
          <w:tcPr>
            <w:tcW w:w="6445" w:type="dxa"/>
          </w:tcPr>
          <w:p w:rsidR="002204AA" w:rsidRDefault="002204AA">
            <w:pPr>
              <w:pStyle w:val="TableParagraph"/>
              <w:rPr>
                <w:sz w:val="18"/>
              </w:rPr>
            </w:pPr>
          </w:p>
        </w:tc>
      </w:tr>
    </w:tbl>
    <w:p w:rsidR="002204AA" w:rsidRDefault="002204AA">
      <w:pPr>
        <w:pStyle w:val="BodyText"/>
      </w:pPr>
    </w:p>
    <w:p w:rsidR="002204AA" w:rsidRDefault="002204AA">
      <w:pPr>
        <w:pStyle w:val="BodyText"/>
      </w:pPr>
    </w:p>
    <w:p w:rsidR="002204AA" w:rsidRDefault="002204AA">
      <w:pPr>
        <w:pStyle w:val="BodyText"/>
      </w:pPr>
    </w:p>
    <w:p w:rsidR="002204AA" w:rsidRDefault="002204AA">
      <w:pPr>
        <w:pStyle w:val="BodyText"/>
      </w:pPr>
    </w:p>
    <w:p w:rsidR="002204AA" w:rsidRDefault="002204AA">
      <w:pPr>
        <w:pStyle w:val="BodyText"/>
      </w:pPr>
    </w:p>
    <w:p w:rsidR="00212F05" w:rsidRDefault="00212F05">
      <w:pPr>
        <w:pStyle w:val="BodyText"/>
      </w:pPr>
    </w:p>
    <w:p w:rsidR="00212F05" w:rsidRDefault="00212F05">
      <w:pPr>
        <w:pStyle w:val="BodyText"/>
      </w:pPr>
    </w:p>
    <w:p w:rsidR="002204AA" w:rsidRDefault="002204AA">
      <w:pPr>
        <w:pStyle w:val="BodyText"/>
      </w:pPr>
    </w:p>
    <w:p w:rsidR="002204AA" w:rsidRDefault="002204AA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F30456" w:rsidRPr="00340561" w:rsidTr="005B7F4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456" w:rsidRPr="00340561" w:rsidRDefault="00F30456" w:rsidP="005B7F4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F30456" w:rsidRPr="00340561" w:rsidRDefault="00F30456" w:rsidP="005B7F4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30456" w:rsidRPr="00340561" w:rsidTr="005B7F46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456" w:rsidRPr="00340561" w:rsidRDefault="00F30456" w:rsidP="005B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456" w:rsidRPr="00340561" w:rsidRDefault="00F30456" w:rsidP="005B7F4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F30456" w:rsidRPr="008608EB" w:rsidRDefault="00F30456" w:rsidP="005B7F4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30456" w:rsidRPr="00340561" w:rsidRDefault="00F30456" w:rsidP="005B7F4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30456" w:rsidRPr="00340561" w:rsidTr="005B7F46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456" w:rsidRPr="00340561" w:rsidRDefault="00F30456" w:rsidP="005B7F4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F30456" w:rsidRPr="00340561" w:rsidRDefault="00F30456" w:rsidP="005B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0456" w:rsidRPr="00340561" w:rsidRDefault="00F30456" w:rsidP="005B7F4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F30456" w:rsidRPr="00340561" w:rsidRDefault="00F30456" w:rsidP="005B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30456" w:rsidRPr="00340561" w:rsidRDefault="00F30456" w:rsidP="005B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F30456" w:rsidRPr="00340561" w:rsidRDefault="00F30456" w:rsidP="005B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30456" w:rsidRPr="00340561" w:rsidRDefault="00F30456" w:rsidP="005B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F30456" w:rsidRPr="00340561" w:rsidRDefault="00F30456" w:rsidP="005B7F4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30456" w:rsidRDefault="00F30456" w:rsidP="00F30456"/>
    <w:p w:rsidR="00F30456" w:rsidRDefault="00F30456" w:rsidP="00F30456"/>
    <w:p w:rsidR="00212F05" w:rsidRDefault="00212F05" w:rsidP="00212F0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212F05" w:rsidRDefault="00212F05" w:rsidP="00212F0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12F05" w:rsidRDefault="00212F05" w:rsidP="00212F0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12F05" w:rsidRDefault="00212F05" w:rsidP="00212F05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Maria Helena de Aguiar Pereira e </w:t>
      </w:r>
      <w:proofErr w:type="spellStart"/>
      <w:r>
        <w:rPr>
          <w:rFonts w:ascii="Calibri" w:hAnsi="Calibri" w:cs="Calibri"/>
          <w:color w:val="000000"/>
        </w:rPr>
        <w:t>Pestana</w:t>
      </w:r>
      <w:proofErr w:type="spellEnd"/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Lisbon University Portugal, Portugal</w:t>
      </w:r>
      <w:r>
        <w:rPr>
          <w:rFonts w:ascii="Calibri" w:hAnsi="Calibri" w:cs="Calibri"/>
          <w:color w:val="000000"/>
        </w:rPr>
        <w:br/>
      </w:r>
    </w:p>
    <w:p w:rsidR="00F30456" w:rsidRPr="00375011" w:rsidRDefault="00F30456" w:rsidP="00F30456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:rsidR="00F30456" w:rsidRDefault="00F30456" w:rsidP="00F30456"/>
    <w:p w:rsidR="002204AA" w:rsidRDefault="002204AA">
      <w:pPr>
        <w:pStyle w:val="BodyText"/>
      </w:pPr>
    </w:p>
    <w:sectPr w:rsidR="002204AA">
      <w:headerReference w:type="default" r:id="rId7"/>
      <w:footerReference w:type="default" r:id="rId8"/>
      <w:pgSz w:w="23820" w:h="16840" w:orient="landscape"/>
      <w:pgMar w:top="200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3D0" w:rsidRDefault="00BD13D0">
      <w:r>
        <w:separator/>
      </w:r>
    </w:p>
  </w:endnote>
  <w:endnote w:type="continuationSeparator" w:id="0">
    <w:p w:rsidR="00BD13D0" w:rsidRDefault="00BD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4AA" w:rsidRDefault="0078112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04AA" w:rsidRDefault="0078112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2204AA" w:rsidRDefault="0078112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04AA" w:rsidRDefault="0078112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2204AA" w:rsidRDefault="0078112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04AA" w:rsidRDefault="0078112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2204AA" w:rsidRDefault="0078112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04AA" w:rsidRDefault="0078112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2204AA" w:rsidRDefault="0078112E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3D0" w:rsidRDefault="00BD13D0">
      <w:r>
        <w:separator/>
      </w:r>
    </w:p>
  </w:footnote>
  <w:footnote w:type="continuationSeparator" w:id="0">
    <w:p w:rsidR="00BD13D0" w:rsidRDefault="00BD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4AA" w:rsidRDefault="0078112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04AA" w:rsidRDefault="0078112E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2204AA" w:rsidRDefault="0078112E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04AA"/>
    <w:rsid w:val="00195234"/>
    <w:rsid w:val="00212F05"/>
    <w:rsid w:val="002204AA"/>
    <w:rsid w:val="002F3962"/>
    <w:rsid w:val="0078112E"/>
    <w:rsid w:val="00955B93"/>
    <w:rsid w:val="009B6DA0"/>
    <w:rsid w:val="00BD13D0"/>
    <w:rsid w:val="00C42E39"/>
    <w:rsid w:val="00F30456"/>
    <w:rsid w:val="00FB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23390"/>
  <w15:docId w15:val="{37E611AA-99B8-44F0-ACFA-E077A7CD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212F0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7</cp:revision>
  <dcterms:created xsi:type="dcterms:W3CDTF">2026-02-14T08:44:00Z</dcterms:created>
  <dcterms:modified xsi:type="dcterms:W3CDTF">2026-02-19T09:43:00Z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2026-02-14T00:00:00Z</vt:filetime>
  </property>
  <property fmtid="{D5CDD505-2E9C-101B-9397-08002B2CF9AE}" pid="5" name="Producer">
    <vt:lpwstr>Microsoft® Word for Microsoft 365</vt:lpwstr>
  </property>
</Properties>
</file>