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0C231" w14:textId="77777777" w:rsidR="002D0599" w:rsidRDefault="002D0599" w:rsidP="009D7818">
      <w:pPr>
        <w:jc w:val="right"/>
        <w:rPr>
          <w:rFonts w:ascii="Arial" w:hAnsi="Arial" w:cs="Arial"/>
          <w:b/>
          <w:bCs/>
          <w:sz w:val="36"/>
          <w:szCs w:val="36"/>
        </w:rPr>
      </w:pPr>
      <w:r w:rsidRPr="002D0599">
        <w:rPr>
          <w:rFonts w:ascii="Arial" w:hAnsi="Arial" w:cs="Arial"/>
          <w:b/>
          <w:bCs/>
          <w:sz w:val="36"/>
          <w:szCs w:val="36"/>
        </w:rPr>
        <w:t xml:space="preserve">Original Research Article </w:t>
      </w:r>
    </w:p>
    <w:p w14:paraId="6F4C2A03" w14:textId="77777777" w:rsidR="002D0599" w:rsidRDefault="002D0599" w:rsidP="009D7818">
      <w:pPr>
        <w:jc w:val="right"/>
        <w:rPr>
          <w:rFonts w:ascii="Arial" w:hAnsi="Arial" w:cs="Arial"/>
          <w:b/>
          <w:bCs/>
          <w:sz w:val="36"/>
          <w:szCs w:val="36"/>
        </w:rPr>
      </w:pPr>
    </w:p>
    <w:p w14:paraId="5F6691B1" w14:textId="7C2695C2" w:rsidR="009D7818" w:rsidRPr="008452AC" w:rsidRDefault="009D7818" w:rsidP="009D7818">
      <w:pPr>
        <w:jc w:val="right"/>
        <w:rPr>
          <w:rFonts w:ascii="Arial" w:hAnsi="Arial" w:cs="Arial"/>
          <w:b/>
          <w:bCs/>
          <w:sz w:val="36"/>
          <w:szCs w:val="36"/>
        </w:rPr>
      </w:pPr>
      <w:r w:rsidRPr="00DA4279">
        <w:rPr>
          <w:rFonts w:ascii="Arial" w:hAnsi="Arial" w:cs="Arial"/>
          <w:b/>
          <w:bCs/>
          <w:sz w:val="36"/>
          <w:szCs w:val="36"/>
        </w:rPr>
        <w:t xml:space="preserve">Assessment of Fungicides for the Control of Charcoal Rot in Soybean: An </w:t>
      </w:r>
      <w:r w:rsidRPr="00E61C99">
        <w:rPr>
          <w:rFonts w:ascii="Arial" w:hAnsi="Arial" w:cs="Arial"/>
          <w:b/>
          <w:bCs/>
          <w:i/>
          <w:sz w:val="36"/>
          <w:szCs w:val="36"/>
        </w:rPr>
        <w:t>In vitro</w:t>
      </w:r>
      <w:r w:rsidRPr="00DA4279">
        <w:rPr>
          <w:rFonts w:ascii="Arial" w:hAnsi="Arial" w:cs="Arial"/>
          <w:b/>
          <w:bCs/>
          <w:sz w:val="36"/>
          <w:szCs w:val="36"/>
        </w:rPr>
        <w:t xml:space="preserve"> Study</w:t>
      </w:r>
    </w:p>
    <w:p w14:paraId="415969D8" w14:textId="0C671D85" w:rsidR="00303348" w:rsidRDefault="00303348" w:rsidP="009D7818">
      <w:pPr>
        <w:jc w:val="right"/>
        <w:rPr>
          <w:rFonts w:ascii="Arial" w:hAnsi="Arial" w:cs="Arial"/>
          <w:i/>
          <w:iCs/>
          <w:sz w:val="20"/>
          <w:szCs w:val="20"/>
        </w:rPr>
      </w:pPr>
    </w:p>
    <w:p w14:paraId="6AE43A86" w14:textId="77777777" w:rsidR="00C479F1" w:rsidRPr="00EF0CA2" w:rsidRDefault="00C479F1" w:rsidP="009D7818">
      <w:pPr>
        <w:jc w:val="right"/>
        <w:rPr>
          <w:rFonts w:ascii="Arial" w:hAnsi="Arial" w:cs="Arial"/>
          <w:i/>
          <w:iCs/>
          <w:sz w:val="20"/>
          <w:szCs w:val="20"/>
        </w:rPr>
      </w:pPr>
    </w:p>
    <w:p w14:paraId="6CD025A4" w14:textId="59DFD3BD" w:rsidR="009D7818" w:rsidRPr="008452AC" w:rsidRDefault="009D7818" w:rsidP="009D7818">
      <w:pPr>
        <w:jc w:val="both"/>
        <w:rPr>
          <w:rFonts w:ascii="Times New Roman" w:hAnsi="Times New Roman" w:cs="Times New Roman"/>
          <w:sz w:val="24"/>
          <w:szCs w:val="24"/>
          <w:vertAlign w:val="superscript"/>
        </w:rPr>
      </w:pPr>
      <w:r>
        <w:rPr>
          <w:rFonts w:ascii="Arial" w:hAnsi="Arial" w:cs="Arial"/>
          <w:noProof/>
          <w:lang w:eastAsia="en-IN" w:bidi="ar-SA"/>
        </w:rPr>
        <mc:AlternateContent>
          <mc:Choice Requires="wps">
            <w:drawing>
              <wp:inline distT="0" distB="0" distL="0" distR="0" wp14:anchorId="4B49F3C9" wp14:editId="3E338771">
                <wp:extent cx="5303520" cy="635"/>
                <wp:effectExtent l="9525" t="10160" r="11430" b="17780"/>
                <wp:docPr id="200694319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2B485F"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" strokeweight="1.5pt">
                <w10:anchorlock/>
              </v:shape>
            </w:pict>
          </mc:Fallback>
        </mc:AlternateContent>
      </w:r>
    </w:p>
    <w:p w14:paraId="0840ED42" w14:textId="77777777" w:rsidR="009D7818" w:rsidRPr="008452AC" w:rsidRDefault="009D7818" w:rsidP="009D7818">
      <w:pPr>
        <w:jc w:val="both"/>
        <w:rPr>
          <w:rFonts w:ascii="Arial" w:hAnsi="Arial" w:cs="Arial"/>
          <w:b/>
          <w:bCs/>
          <w:szCs w:val="22"/>
        </w:rPr>
      </w:pPr>
      <w:r w:rsidRPr="008452AC">
        <w:rPr>
          <w:rFonts w:ascii="Arial" w:hAnsi="Arial" w:cs="Arial"/>
          <w:b/>
          <w:bCs/>
          <w:szCs w:val="22"/>
        </w:rPr>
        <w:t>ABSTRACT</w:t>
      </w:r>
    </w:p>
    <w:tbl>
      <w:tblPr>
        <w:tblW w:w="8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81"/>
      </w:tblGrid>
      <w:tr w:rsidR="009D7818" w:rsidRPr="00BA1B01" w14:paraId="4A26C3E5" w14:textId="77777777" w:rsidTr="009D7818">
        <w:trPr>
          <w:trHeight w:val="7755"/>
        </w:trPr>
        <w:tc>
          <w:tcPr>
            <w:tcW w:w="8581" w:type="dxa"/>
            <w:shd w:val="clear" w:color="auto" w:fill="F2F2F2"/>
          </w:tcPr>
          <w:p w14:paraId="3DDAA703" w14:textId="77777777" w:rsidR="009D7818" w:rsidRPr="00BA1B01" w:rsidRDefault="009D7818" w:rsidP="009D7818">
            <w:pPr>
              <w:pStyle w:val="Body"/>
              <w:spacing w:after="0"/>
              <w:rPr>
                <w:rFonts w:ascii="Arial" w:eastAsia="Calibri" w:hAnsi="Arial" w:cs="Arial"/>
                <w:szCs w:val="22"/>
              </w:rPr>
            </w:pPr>
            <w:commentRangeStart w:id="0"/>
            <w:r w:rsidRPr="00BA1B01">
              <w:rPr>
                <w:rFonts w:ascii="Arial" w:eastAsia="Calibri" w:hAnsi="Arial" w:cs="Arial"/>
                <w:b/>
                <w:szCs w:val="22"/>
              </w:rPr>
              <w:t xml:space="preserve">Aim: </w:t>
            </w:r>
            <w:r w:rsidRPr="000A4FD2">
              <w:rPr>
                <w:rFonts w:ascii="Arial" w:eastAsia="Calibri" w:hAnsi="Arial" w:cs="Arial"/>
                <w:lang w:val="en-IN"/>
              </w:rPr>
              <w:t xml:space="preserve">To </w:t>
            </w:r>
            <w:r>
              <w:rPr>
                <w:rFonts w:ascii="Arial" w:eastAsia="Calibri" w:hAnsi="Arial" w:cs="Arial"/>
                <w:lang w:val="en-IN"/>
              </w:rPr>
              <w:t>evaluate</w:t>
            </w:r>
            <w:r w:rsidRPr="000A4FD2">
              <w:rPr>
                <w:rFonts w:ascii="Arial" w:eastAsia="Calibri" w:hAnsi="Arial" w:cs="Arial"/>
                <w:lang w:val="en-IN"/>
              </w:rPr>
              <w:t xml:space="preserve"> the efficacy of newly approved and recommended fungicides </w:t>
            </w:r>
            <w:r>
              <w:rPr>
                <w:rFonts w:ascii="Arial" w:eastAsia="Calibri" w:hAnsi="Arial" w:cs="Arial"/>
                <w:lang w:val="en-IN"/>
              </w:rPr>
              <w:t>against</w:t>
            </w:r>
            <w:r w:rsidRPr="000A4FD2">
              <w:rPr>
                <w:rFonts w:ascii="Arial" w:eastAsia="Calibri" w:hAnsi="Arial" w:cs="Arial"/>
                <w:lang w:val="en-IN"/>
              </w:rPr>
              <w:t xml:space="preserve"> </w:t>
            </w:r>
            <w:r>
              <w:rPr>
                <w:rFonts w:ascii="Arial" w:eastAsia="Calibri" w:hAnsi="Arial" w:cs="Arial"/>
                <w:lang w:val="en-IN"/>
              </w:rPr>
              <w:t xml:space="preserve">charcoal rot disease of soybean </w:t>
            </w:r>
            <w:r w:rsidRPr="000A4FD2">
              <w:rPr>
                <w:rFonts w:ascii="Arial" w:eastAsia="Calibri" w:hAnsi="Arial" w:cs="Arial"/>
                <w:lang w:val="en-IN"/>
              </w:rPr>
              <w:t xml:space="preserve">under </w:t>
            </w:r>
            <w:r w:rsidRPr="00E61C99">
              <w:rPr>
                <w:rFonts w:ascii="Arial" w:eastAsia="Calibri" w:hAnsi="Arial" w:cs="Arial"/>
                <w:i/>
                <w:iCs/>
                <w:lang w:val="en-IN"/>
              </w:rPr>
              <w:t>in vitro</w:t>
            </w:r>
            <w:r w:rsidRPr="000A4FD2">
              <w:rPr>
                <w:rFonts w:ascii="Arial" w:eastAsia="Calibri" w:hAnsi="Arial" w:cs="Arial"/>
                <w:lang w:val="en-IN"/>
              </w:rPr>
              <w:t xml:space="preserve"> conditions</w:t>
            </w:r>
            <w:r>
              <w:rPr>
                <w:rFonts w:ascii="Arial" w:eastAsia="Calibri" w:hAnsi="Arial" w:cs="Arial"/>
                <w:lang w:val="en-IN"/>
              </w:rPr>
              <w:t>.</w:t>
            </w:r>
          </w:p>
          <w:p w14:paraId="0845F41C" w14:textId="77777777" w:rsidR="009D7818" w:rsidRPr="00EC6884" w:rsidRDefault="009D7818" w:rsidP="009D7818">
            <w:pPr>
              <w:pStyle w:val="Body"/>
              <w:spacing w:after="0"/>
              <w:rPr>
                <w:rFonts w:ascii="Arial" w:eastAsia="Calibri" w:hAnsi="Arial" w:cs="Arial"/>
                <w:i/>
                <w:iCs/>
                <w:szCs w:val="22"/>
                <w:lang w:val="en-IN"/>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i/>
                <w:iCs/>
                <w:szCs w:val="22"/>
                <w:lang w:val="en-IN"/>
              </w:rPr>
              <w:t>Complete randomized block design</w:t>
            </w:r>
            <w:r w:rsidRPr="00EC6884">
              <w:rPr>
                <w:rFonts w:ascii="Arial" w:eastAsia="Calibri" w:hAnsi="Arial" w:cs="Arial"/>
                <w:szCs w:val="22"/>
                <w:lang w:val="en-IN"/>
              </w:rPr>
              <w:t>.</w:t>
            </w:r>
          </w:p>
          <w:p w14:paraId="7EB29DBA" w14:textId="77777777" w:rsidR="009D7818" w:rsidRPr="0043404A" w:rsidRDefault="009D7818" w:rsidP="009D7818">
            <w:pPr>
              <w:pStyle w:val="Body"/>
              <w:spacing w:after="0"/>
              <w:rPr>
                <w:rFonts w:ascii="Arial" w:hAnsi="Arial" w:cs="Arial"/>
              </w:rPr>
            </w:pPr>
            <w:r w:rsidRPr="0043404A">
              <w:rPr>
                <w:rFonts w:ascii="Arial" w:eastAsia="Calibri" w:hAnsi="Arial" w:cs="Arial"/>
                <w:b/>
              </w:rPr>
              <w:t>Place</w:t>
            </w:r>
            <w:r>
              <w:rPr>
                <w:rFonts w:ascii="Arial" w:eastAsia="Calibri" w:hAnsi="Arial" w:cs="Arial"/>
                <w:b/>
              </w:rPr>
              <w:t xml:space="preserve"> </w:t>
            </w:r>
            <w:r w:rsidRPr="0043404A">
              <w:rPr>
                <w:rFonts w:ascii="Arial" w:eastAsia="Calibri" w:hAnsi="Arial" w:cs="Arial"/>
                <w:b/>
              </w:rPr>
              <w:t>of Study:</w:t>
            </w:r>
            <w:r w:rsidRPr="0043404A">
              <w:rPr>
                <w:rFonts w:ascii="Arial" w:eastAsia="Calibri" w:hAnsi="Arial" w:cs="Arial"/>
              </w:rPr>
              <w:t xml:space="preserve"> </w:t>
            </w:r>
            <w:r>
              <w:rPr>
                <w:rFonts w:ascii="Arial" w:eastAsia="Calibri" w:hAnsi="Arial" w:cs="Arial"/>
              </w:rPr>
              <w:t xml:space="preserve">Division of </w:t>
            </w:r>
            <w:r>
              <w:rPr>
                <w:rFonts w:ascii="Arial" w:hAnsi="Arial" w:cs="Arial"/>
              </w:rPr>
              <w:t xml:space="preserve">Crop Protection, ICAR-National </w:t>
            </w:r>
            <w:r w:rsidRPr="0043404A">
              <w:rPr>
                <w:rFonts w:ascii="Arial" w:hAnsi="Arial" w:cs="Arial"/>
              </w:rPr>
              <w:t>Soybean Research</w:t>
            </w:r>
            <w:r>
              <w:rPr>
                <w:rFonts w:ascii="Arial" w:hAnsi="Arial" w:cs="Arial"/>
              </w:rPr>
              <w:t xml:space="preserve"> Institute</w:t>
            </w:r>
            <w:r w:rsidRPr="0043404A">
              <w:rPr>
                <w:rFonts w:ascii="Arial" w:hAnsi="Arial" w:cs="Arial"/>
              </w:rPr>
              <w:t>, Khandwa Road, Indore</w:t>
            </w:r>
            <w:commentRangeEnd w:id="0"/>
            <w:r w:rsidR="00764FF1">
              <w:rPr>
                <w:rStyle w:val="CommentReference"/>
                <w:rFonts w:asciiTheme="minorHAnsi" w:eastAsiaTheme="minorHAnsi" w:hAnsiTheme="minorHAnsi" w:cstheme="minorBidi"/>
                <w:kern w:val="2"/>
                <w:lang w:val="en-IN" w:bidi="th-TH"/>
              </w:rPr>
              <w:commentReference w:id="0"/>
            </w:r>
            <w:r>
              <w:rPr>
                <w:rFonts w:ascii="Arial" w:hAnsi="Arial" w:cs="Arial"/>
              </w:rPr>
              <w:t>.</w:t>
            </w:r>
          </w:p>
          <w:p w14:paraId="2559D452" w14:textId="77777777" w:rsidR="009D7818" w:rsidRPr="00F44ED4" w:rsidRDefault="009D7818" w:rsidP="009D7818">
            <w:pPr>
              <w:pStyle w:val="Body"/>
              <w:spacing w:after="0"/>
              <w:rPr>
                <w:rFonts w:ascii="Arial" w:hAnsi="Arial" w:cs="Arial"/>
                <w:szCs w:val="22"/>
                <w:lang w:bidi="th-TH"/>
              </w:rPr>
            </w:pPr>
            <w:commentRangeStart w:id="1"/>
            <w:r w:rsidRPr="00BA1B01">
              <w:rPr>
                <w:rFonts w:ascii="Arial" w:eastAsia="Calibri" w:hAnsi="Arial" w:cs="Arial"/>
                <w:b/>
                <w:bCs/>
                <w:szCs w:val="22"/>
              </w:rPr>
              <w:t>Methodology:</w:t>
            </w:r>
            <w:commentRangeStart w:id="2"/>
            <w:r w:rsidRPr="00BA1B01">
              <w:rPr>
                <w:rFonts w:ascii="Arial" w:eastAsia="Calibri" w:hAnsi="Arial" w:cs="Arial"/>
                <w:szCs w:val="22"/>
              </w:rPr>
              <w:t xml:space="preserve"> </w:t>
            </w:r>
            <w:commentRangeEnd w:id="1"/>
            <w:r w:rsidR="00764FF1">
              <w:rPr>
                <w:rStyle w:val="CommentReference"/>
                <w:rFonts w:asciiTheme="minorHAnsi" w:eastAsiaTheme="minorHAnsi" w:hAnsiTheme="minorHAnsi" w:cstheme="minorBidi"/>
                <w:kern w:val="2"/>
                <w:lang w:val="en-IN" w:bidi="th-TH"/>
              </w:rPr>
              <w:commentReference w:id="1"/>
            </w:r>
            <w:r w:rsidRPr="006E5819">
              <w:rPr>
                <w:rFonts w:ascii="Arial" w:eastAsia="Calibri" w:hAnsi="Arial" w:cs="Arial"/>
                <w:szCs w:val="22"/>
                <w:lang w:val="en-IN"/>
              </w:rPr>
              <w:t xml:space="preserve">Infected plant samples showing typical symptoms were collected to isolate charcoal rot fungi and cultured on Potato Dextrose Agar (PDA). The isolate of </w:t>
            </w:r>
            <w:r w:rsidRPr="00FF639F">
              <w:rPr>
                <w:rFonts w:ascii="Arial" w:eastAsia="Calibri" w:hAnsi="Arial" w:cs="Arial"/>
                <w:i/>
                <w:szCs w:val="22"/>
                <w:lang w:val="en-IN"/>
              </w:rPr>
              <w:t>Macrophomina phaseolina</w:t>
            </w:r>
            <w:r w:rsidRPr="006E5819">
              <w:rPr>
                <w:rFonts w:ascii="Arial" w:eastAsia="Calibri" w:hAnsi="Arial" w:cs="Arial"/>
                <w:szCs w:val="22"/>
                <w:lang w:val="en-IN"/>
              </w:rPr>
              <w:t xml:space="preserve"> exhibited white to grey mycelium, which later developed into dark black microsclerotia ranging from approximately 80–120 µm in diameter. To obtain a pure culture, a hyphal tip was transferred to PDA plates acidified with 0.2% lactic acid. Subsequently, weekly subculturing was performed to maintain the culture on PDA medium. The </w:t>
            </w:r>
            <w:r w:rsidRPr="00E61C99">
              <w:rPr>
                <w:rFonts w:ascii="Arial" w:eastAsia="Calibri" w:hAnsi="Arial" w:cs="Arial"/>
                <w:i/>
                <w:szCs w:val="22"/>
                <w:lang w:val="en-IN"/>
              </w:rPr>
              <w:t>in vitro</w:t>
            </w:r>
            <w:r w:rsidRPr="006E5819">
              <w:rPr>
                <w:rFonts w:ascii="Arial" w:eastAsia="Calibri" w:hAnsi="Arial" w:cs="Arial"/>
                <w:szCs w:val="22"/>
                <w:lang w:val="en-IN"/>
              </w:rPr>
              <w:t xml:space="preserve"> efficacy of the fungicides against </w:t>
            </w:r>
            <w:r w:rsidRPr="00FF639F">
              <w:rPr>
                <w:rFonts w:ascii="Arial" w:eastAsia="Calibri" w:hAnsi="Arial" w:cs="Arial"/>
                <w:i/>
                <w:szCs w:val="22"/>
                <w:lang w:val="en-IN"/>
              </w:rPr>
              <w:t>M. phaseolina</w:t>
            </w:r>
            <w:r w:rsidRPr="006E5819">
              <w:rPr>
                <w:rFonts w:ascii="Arial" w:eastAsia="Calibri" w:hAnsi="Arial" w:cs="Arial"/>
                <w:szCs w:val="22"/>
                <w:lang w:val="en-IN"/>
              </w:rPr>
              <w:t xml:space="preserve"> was evaluated using the poison food technique. PDA containing plates were amended with various fungicides registered in India, including foliar fungicides (picoxystrobin, hexaconazole, pyraclostrobin + epoxiconazole, kresoxim-methyl, propiconazole, picoxystrobin + propiconazole, tebuconazole) at 0.05%, 0.1%, 0.15%, and 0.2%, and seed treatment fungicides (thiophanate methyl + pyraclostrobin, penflufen + trifloxystrobin, carboxin + thiram, carbendazim + mancozeb) at four different concentrations </w:t>
            </w:r>
            <w:r w:rsidRPr="006E5819">
              <w:rPr>
                <w:rFonts w:ascii="Arial" w:eastAsia="Calibri" w:hAnsi="Arial" w:cs="Arial"/>
                <w:i/>
                <w:iCs/>
                <w:szCs w:val="22"/>
                <w:lang w:val="en-IN"/>
              </w:rPr>
              <w:t>viz</w:t>
            </w:r>
            <w:r w:rsidRPr="006E5819">
              <w:rPr>
                <w:rFonts w:ascii="Arial" w:eastAsia="Calibri" w:hAnsi="Arial" w:cs="Arial"/>
                <w:szCs w:val="22"/>
                <w:lang w:val="en-IN"/>
              </w:rPr>
              <w:t xml:space="preserve">., 0.025%, 0.05%, 0.1%, and 0.125%. A Mycelial disc of 4 mm diameter from the </w:t>
            </w:r>
            <w:r w:rsidRPr="00150FDB">
              <w:rPr>
                <w:rFonts w:ascii="Arial" w:hAnsi="Arial" w:cs="Arial"/>
                <w:szCs w:val="22"/>
                <w:lang w:bidi="th-TH"/>
              </w:rPr>
              <w:t xml:space="preserve">4-day-old actively growing culture of </w:t>
            </w:r>
            <w:r w:rsidRPr="00FF639F">
              <w:rPr>
                <w:rFonts w:ascii="Arial" w:eastAsiaTheme="majorEastAsia" w:hAnsi="Arial" w:cs="Arial"/>
                <w:i/>
                <w:iCs/>
                <w:szCs w:val="22"/>
                <w:lang w:bidi="th-TH"/>
              </w:rPr>
              <w:t>M. phaseolina</w:t>
            </w:r>
            <w:r w:rsidRPr="00150FDB">
              <w:rPr>
                <w:rFonts w:ascii="Arial" w:hAnsi="Arial" w:cs="Arial"/>
                <w:szCs w:val="22"/>
                <w:lang w:bidi="th-TH"/>
              </w:rPr>
              <w:t xml:space="preserve"> </w:t>
            </w:r>
            <w:r w:rsidRPr="006E5819">
              <w:rPr>
                <w:rFonts w:ascii="Arial" w:eastAsia="Calibri" w:hAnsi="Arial" w:cs="Arial"/>
                <w:szCs w:val="22"/>
                <w:lang w:val="en-IN"/>
              </w:rPr>
              <w:t xml:space="preserve">was placed in the centre of poisoned PDA plates and incubated at 26 ± 1°C with a 14h light/10h dark cycle. Mycelial growth inhibition was calculated using Vincent’s formula. </w:t>
            </w:r>
            <w:commentRangeEnd w:id="2"/>
            <w:r w:rsidR="00D115B1">
              <w:rPr>
                <w:rStyle w:val="CommentReference"/>
                <w:rFonts w:asciiTheme="minorHAnsi" w:eastAsiaTheme="minorHAnsi" w:hAnsiTheme="minorHAnsi" w:cstheme="minorBidi"/>
                <w:kern w:val="2"/>
                <w:lang w:val="en-IN" w:bidi="th-TH"/>
              </w:rPr>
              <w:commentReference w:id="2"/>
            </w:r>
          </w:p>
          <w:p w14:paraId="02330910" w14:textId="77777777" w:rsidR="009D7818" w:rsidRDefault="009D7818" w:rsidP="009D7818">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commentRangeStart w:id="3"/>
            <w:r w:rsidRPr="00B1633F">
              <w:rPr>
                <w:rFonts w:ascii="Arial" w:eastAsia="Calibri" w:hAnsi="Arial" w:cs="Arial"/>
                <w:szCs w:val="22"/>
                <w:lang w:val="en-IN"/>
              </w:rPr>
              <w:t xml:space="preserve">Statistical analysis </w:t>
            </w:r>
            <w:r>
              <w:rPr>
                <w:rFonts w:ascii="Arial" w:eastAsia="Calibri" w:hAnsi="Arial" w:cs="Arial"/>
                <w:szCs w:val="22"/>
                <w:lang w:val="en-IN"/>
              </w:rPr>
              <w:t xml:space="preserve">revealed that </w:t>
            </w:r>
            <w:r w:rsidRPr="00B1633F">
              <w:rPr>
                <w:rFonts w:ascii="Arial" w:eastAsia="Calibri" w:hAnsi="Arial" w:cs="Arial"/>
                <w:szCs w:val="22"/>
                <w:lang w:val="en-IN"/>
              </w:rPr>
              <w:t>fungicides, concentrations, and their interaction significantly influenced mycelial growth inhibition</w:t>
            </w:r>
            <w:r>
              <w:rPr>
                <w:rFonts w:ascii="Arial" w:eastAsia="Calibri" w:hAnsi="Arial" w:cs="Arial"/>
                <w:szCs w:val="22"/>
                <w:lang w:val="en-IN"/>
              </w:rPr>
              <w:t xml:space="preserve"> for </w:t>
            </w:r>
            <w:r w:rsidRPr="00B1633F">
              <w:rPr>
                <w:rFonts w:ascii="Arial" w:eastAsia="Calibri" w:hAnsi="Arial" w:cs="Arial"/>
                <w:szCs w:val="22"/>
                <w:lang w:val="en-IN"/>
              </w:rPr>
              <w:t>foliar fungicides (P &lt; 0.0001)</w:t>
            </w:r>
            <w:r>
              <w:rPr>
                <w:rFonts w:ascii="Arial" w:eastAsia="Calibri" w:hAnsi="Arial" w:cs="Arial"/>
                <w:szCs w:val="22"/>
                <w:lang w:val="en-IN"/>
              </w:rPr>
              <w:t xml:space="preserve">, while </w:t>
            </w:r>
            <w:r w:rsidRPr="003036F3">
              <w:rPr>
                <w:rFonts w:ascii="Arial" w:eastAsia="Calibri" w:hAnsi="Arial" w:cs="Arial"/>
                <w:szCs w:val="22"/>
                <w:lang w:val="en-IN"/>
              </w:rPr>
              <w:t xml:space="preserve">seed dressing fungicides </w:t>
            </w:r>
            <w:r w:rsidRPr="00B1633F">
              <w:rPr>
                <w:rFonts w:ascii="Arial" w:eastAsia="Calibri" w:hAnsi="Arial" w:cs="Arial"/>
                <w:szCs w:val="22"/>
                <w:lang w:val="en-IN"/>
              </w:rPr>
              <w:t>were not statistically significant.</w:t>
            </w:r>
            <w:r>
              <w:rPr>
                <w:rFonts w:ascii="Arial" w:eastAsia="Calibri" w:hAnsi="Arial" w:cs="Arial"/>
                <w:szCs w:val="22"/>
                <w:lang w:val="en-IN"/>
              </w:rPr>
              <w:t xml:space="preserve"> Among foliar </w:t>
            </w:r>
            <w:r w:rsidRPr="004F0D72">
              <w:rPr>
                <w:rFonts w:ascii="Arial" w:eastAsia="Calibri" w:hAnsi="Arial" w:cs="Arial"/>
                <w:szCs w:val="22"/>
                <w:lang w:val="en-IN"/>
              </w:rPr>
              <w:t>tested fungicides</w:t>
            </w:r>
            <w:r>
              <w:rPr>
                <w:rFonts w:ascii="Arial" w:eastAsia="Calibri" w:hAnsi="Arial" w:cs="Arial"/>
                <w:szCs w:val="22"/>
                <w:lang w:val="en-IN"/>
              </w:rPr>
              <w:t xml:space="preserve">, </w:t>
            </w:r>
            <w:r w:rsidRPr="004F0D72">
              <w:rPr>
                <w:rFonts w:ascii="Arial" w:eastAsia="Calibri" w:hAnsi="Arial" w:cs="Arial"/>
                <w:szCs w:val="22"/>
                <w:lang w:val="en-IN"/>
              </w:rPr>
              <w:t>picoxystrobin + propiconazole was the most effective</w:t>
            </w:r>
            <w:r>
              <w:rPr>
                <w:rFonts w:ascii="Arial" w:eastAsia="Calibri" w:hAnsi="Arial" w:cs="Arial"/>
                <w:szCs w:val="22"/>
                <w:lang w:val="en-IN"/>
              </w:rPr>
              <w:t xml:space="preserve">, showing the </w:t>
            </w:r>
            <w:r w:rsidRPr="004F0D72">
              <w:rPr>
                <w:rFonts w:ascii="Arial" w:eastAsia="Calibri" w:hAnsi="Arial" w:cs="Arial"/>
                <w:szCs w:val="22"/>
                <w:lang w:val="en-IN"/>
              </w:rPr>
              <w:t xml:space="preserve">highest mycelial growth inhibition </w:t>
            </w:r>
            <w:r>
              <w:rPr>
                <w:rFonts w:ascii="Arial" w:eastAsia="Calibri" w:hAnsi="Arial" w:cs="Arial"/>
                <w:szCs w:val="22"/>
                <w:lang w:val="en-IN"/>
              </w:rPr>
              <w:t xml:space="preserve">across all concentrations, with a </w:t>
            </w:r>
            <w:r w:rsidRPr="004F0D72">
              <w:rPr>
                <w:rFonts w:ascii="Arial" w:eastAsia="Calibri" w:hAnsi="Arial" w:cs="Arial"/>
                <w:szCs w:val="22"/>
                <w:lang w:val="en-IN"/>
              </w:rPr>
              <w:t>maximum mean inhibition of 92.79%</w:t>
            </w:r>
            <w:r>
              <w:rPr>
                <w:rFonts w:ascii="Arial" w:eastAsia="Calibri" w:hAnsi="Arial" w:cs="Arial"/>
                <w:szCs w:val="22"/>
                <w:lang w:val="en-IN"/>
              </w:rPr>
              <w:t>. While all</w:t>
            </w:r>
            <w:r w:rsidRPr="00302E2B">
              <w:rPr>
                <w:rFonts w:ascii="Arial" w:eastAsia="Calibri" w:hAnsi="Arial" w:cs="Arial"/>
                <w:szCs w:val="22"/>
                <w:lang w:val="en-IN"/>
              </w:rPr>
              <w:t xml:space="preserve"> seed dressing fungicides</w:t>
            </w:r>
            <w:r>
              <w:rPr>
                <w:rFonts w:ascii="Arial" w:eastAsia="Calibri" w:hAnsi="Arial" w:cs="Arial"/>
                <w:szCs w:val="22"/>
                <w:lang w:val="en-IN"/>
              </w:rPr>
              <w:t xml:space="preserve">, </w:t>
            </w:r>
            <w:r w:rsidRPr="00302E2B">
              <w:rPr>
                <w:rFonts w:ascii="Arial" w:eastAsia="Calibri" w:hAnsi="Arial" w:cs="Arial"/>
                <w:szCs w:val="22"/>
                <w:lang w:val="en-IN"/>
              </w:rPr>
              <w:t xml:space="preserve">irrespective of </w:t>
            </w:r>
            <w:r>
              <w:rPr>
                <w:rFonts w:ascii="Arial" w:eastAsia="Calibri" w:hAnsi="Arial" w:cs="Arial"/>
                <w:szCs w:val="22"/>
                <w:lang w:val="en-IN"/>
              </w:rPr>
              <w:t xml:space="preserve">fungicide </w:t>
            </w:r>
            <w:r w:rsidRPr="00302E2B">
              <w:rPr>
                <w:rFonts w:ascii="Arial" w:eastAsia="Calibri" w:hAnsi="Arial" w:cs="Arial"/>
                <w:szCs w:val="22"/>
                <w:lang w:val="en-IN"/>
              </w:rPr>
              <w:t>concentration</w:t>
            </w:r>
            <w:r>
              <w:rPr>
                <w:rFonts w:ascii="Arial" w:eastAsia="Calibri" w:hAnsi="Arial" w:cs="Arial"/>
                <w:szCs w:val="22"/>
                <w:lang w:val="en-IN"/>
              </w:rPr>
              <w:t xml:space="preserve">, showed complete inhibition (100%) for charcoal rot. </w:t>
            </w:r>
          </w:p>
          <w:p w14:paraId="7AEF51EC" w14:textId="77777777" w:rsidR="009D7818" w:rsidRPr="000A4861" w:rsidRDefault="009D7818" w:rsidP="009D7818">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Pr>
                <w:rFonts w:ascii="Arial" w:eastAsia="Calibri" w:hAnsi="Arial" w:cs="Arial"/>
                <w:szCs w:val="22"/>
              </w:rPr>
              <w:t xml:space="preserve">In foliar </w:t>
            </w:r>
            <w:r w:rsidRPr="00B803EE">
              <w:rPr>
                <w:rFonts w:ascii="Arial" w:eastAsia="Calibri" w:hAnsi="Arial" w:cs="Arial"/>
                <w:szCs w:val="22"/>
                <w:lang w:val="en-IN"/>
              </w:rPr>
              <w:t>applications</w:t>
            </w:r>
            <w:r>
              <w:rPr>
                <w:rFonts w:ascii="Arial" w:eastAsia="Calibri" w:hAnsi="Arial" w:cs="Arial"/>
                <w:szCs w:val="22"/>
                <w:lang w:val="en-IN"/>
              </w:rPr>
              <w:t xml:space="preserve">, </w:t>
            </w:r>
            <w:r w:rsidRPr="004F0D72">
              <w:rPr>
                <w:rFonts w:ascii="Arial" w:eastAsia="Calibri" w:hAnsi="Arial" w:cs="Arial"/>
                <w:szCs w:val="22"/>
                <w:lang w:val="en-IN"/>
              </w:rPr>
              <w:t xml:space="preserve">picoxystrobin + propiconazole </w:t>
            </w:r>
            <w:r>
              <w:rPr>
                <w:rFonts w:ascii="Arial" w:eastAsia="Calibri" w:hAnsi="Arial" w:cs="Arial"/>
                <w:szCs w:val="22"/>
                <w:lang w:val="en-IN"/>
              </w:rPr>
              <w:t xml:space="preserve">showed maximum inhibition for the charcoal rot pathogen, whereas </w:t>
            </w:r>
            <w:r w:rsidRPr="00B803EE">
              <w:rPr>
                <w:rFonts w:ascii="Arial" w:eastAsia="Calibri" w:hAnsi="Arial" w:cs="Arial"/>
                <w:szCs w:val="22"/>
                <w:lang w:val="en-IN"/>
              </w:rPr>
              <w:t>seed treatments</w:t>
            </w:r>
            <w:r>
              <w:rPr>
                <w:rFonts w:ascii="Arial" w:eastAsia="Calibri" w:hAnsi="Arial" w:cs="Arial"/>
                <w:szCs w:val="22"/>
                <w:lang w:val="en-IN"/>
              </w:rPr>
              <w:t xml:space="preserve"> with </w:t>
            </w:r>
            <w:r w:rsidRPr="00B803EE">
              <w:rPr>
                <w:rFonts w:ascii="Arial" w:eastAsia="Calibri" w:hAnsi="Arial" w:cs="Arial"/>
                <w:szCs w:val="22"/>
                <w:lang w:val="en-IN"/>
              </w:rPr>
              <w:t>penflufen + trifloxystrobin</w:t>
            </w:r>
            <w:r>
              <w:rPr>
                <w:rFonts w:ascii="Arial" w:eastAsia="Calibri" w:hAnsi="Arial" w:cs="Arial"/>
                <w:szCs w:val="22"/>
                <w:lang w:val="en-IN"/>
              </w:rPr>
              <w:t xml:space="preserve">, </w:t>
            </w:r>
            <w:r w:rsidRPr="00B803EE">
              <w:rPr>
                <w:rFonts w:ascii="Arial" w:eastAsia="Calibri" w:hAnsi="Arial" w:cs="Arial"/>
                <w:szCs w:val="22"/>
                <w:lang w:val="en-IN"/>
              </w:rPr>
              <w:t>carbendazim + mancozeb</w:t>
            </w:r>
            <w:r>
              <w:rPr>
                <w:rFonts w:ascii="Arial" w:eastAsia="Calibri" w:hAnsi="Arial" w:cs="Arial"/>
                <w:szCs w:val="22"/>
                <w:lang w:val="en-IN"/>
              </w:rPr>
              <w:t xml:space="preserve">, </w:t>
            </w:r>
            <w:r w:rsidRPr="00B803EE">
              <w:rPr>
                <w:rFonts w:ascii="Arial" w:eastAsia="Calibri" w:hAnsi="Arial" w:cs="Arial"/>
                <w:szCs w:val="22"/>
                <w:lang w:val="en-IN"/>
              </w:rPr>
              <w:t xml:space="preserve">thiophanate methyl + pyraclostrobin, </w:t>
            </w:r>
            <w:r>
              <w:rPr>
                <w:rFonts w:ascii="Arial" w:eastAsia="Calibri" w:hAnsi="Arial" w:cs="Arial"/>
                <w:szCs w:val="22"/>
                <w:lang w:val="en-IN"/>
              </w:rPr>
              <w:t xml:space="preserve">and </w:t>
            </w:r>
            <w:r w:rsidRPr="00B803EE">
              <w:rPr>
                <w:rFonts w:ascii="Arial" w:eastAsia="Calibri" w:hAnsi="Arial" w:cs="Arial"/>
                <w:szCs w:val="22"/>
                <w:lang w:val="en-IN"/>
              </w:rPr>
              <w:t>carboxin + thiram</w:t>
            </w:r>
            <w:r>
              <w:rPr>
                <w:rFonts w:ascii="Arial" w:eastAsia="Calibri" w:hAnsi="Arial" w:cs="Arial"/>
                <w:szCs w:val="22"/>
                <w:lang w:val="en-IN"/>
              </w:rPr>
              <w:t xml:space="preserve"> showed complete mycelium inhibition.  </w:t>
            </w:r>
            <w:r w:rsidRPr="0013435E">
              <w:rPr>
                <w:rFonts w:ascii="Arial" w:eastAsia="Calibri" w:hAnsi="Arial" w:cs="Arial"/>
                <w:szCs w:val="22"/>
                <w:lang w:val="en-IN"/>
              </w:rPr>
              <w:t xml:space="preserve">Additional </w:t>
            </w:r>
            <w:r w:rsidRPr="00B803EE">
              <w:rPr>
                <w:rFonts w:ascii="Arial" w:eastAsia="Calibri" w:hAnsi="Arial" w:cs="Arial"/>
                <w:szCs w:val="22"/>
                <w:lang w:val="en-IN"/>
              </w:rPr>
              <w:t>field</w:t>
            </w:r>
            <w:r>
              <w:rPr>
                <w:rFonts w:ascii="Arial" w:eastAsia="Calibri" w:hAnsi="Arial" w:cs="Arial"/>
                <w:szCs w:val="22"/>
                <w:lang w:val="en-IN"/>
              </w:rPr>
              <w:t xml:space="preserve"> evaluations </w:t>
            </w:r>
            <w:r w:rsidRPr="0013435E">
              <w:rPr>
                <w:rFonts w:ascii="Arial" w:eastAsia="Calibri" w:hAnsi="Arial" w:cs="Arial"/>
                <w:szCs w:val="22"/>
                <w:lang w:val="en-IN"/>
              </w:rPr>
              <w:t xml:space="preserve">are necessary </w:t>
            </w:r>
            <w:r>
              <w:rPr>
                <w:rFonts w:ascii="Arial" w:eastAsia="Calibri" w:hAnsi="Arial" w:cs="Arial"/>
                <w:szCs w:val="22"/>
                <w:lang w:val="en-IN"/>
              </w:rPr>
              <w:t xml:space="preserve">for </w:t>
            </w:r>
            <w:r w:rsidRPr="0013435E">
              <w:rPr>
                <w:rFonts w:ascii="Arial" w:eastAsia="Calibri" w:hAnsi="Arial" w:cs="Arial"/>
                <w:szCs w:val="22"/>
                <w:lang w:val="en-IN"/>
              </w:rPr>
              <w:t xml:space="preserve">the </w:t>
            </w:r>
            <w:r>
              <w:rPr>
                <w:rFonts w:ascii="Arial" w:eastAsia="Calibri" w:hAnsi="Arial" w:cs="Arial"/>
                <w:szCs w:val="22"/>
                <w:lang w:val="en-IN"/>
              </w:rPr>
              <w:t xml:space="preserve">confirmation of </w:t>
            </w:r>
            <w:r w:rsidRPr="0013435E">
              <w:rPr>
                <w:rFonts w:ascii="Arial" w:eastAsia="Calibri" w:hAnsi="Arial" w:cs="Arial"/>
                <w:szCs w:val="22"/>
                <w:lang w:val="en-IN"/>
              </w:rPr>
              <w:t>field-level efficacy</w:t>
            </w:r>
            <w:r>
              <w:rPr>
                <w:rFonts w:ascii="Arial" w:eastAsia="Calibri" w:hAnsi="Arial" w:cs="Arial"/>
                <w:szCs w:val="22"/>
                <w:lang w:val="en-IN"/>
              </w:rPr>
              <w:t xml:space="preserve"> for different fungicides in managing the charcoal rot pathogen for the soybean crop. </w:t>
            </w:r>
            <w:commentRangeEnd w:id="3"/>
            <w:r w:rsidR="00D115B1">
              <w:rPr>
                <w:rStyle w:val="CommentReference"/>
                <w:rFonts w:asciiTheme="minorHAnsi" w:eastAsiaTheme="minorHAnsi" w:hAnsiTheme="minorHAnsi" w:cstheme="minorBidi"/>
                <w:kern w:val="2"/>
                <w:lang w:val="en-IN" w:bidi="th-TH"/>
              </w:rPr>
              <w:commentReference w:id="3"/>
            </w:r>
          </w:p>
        </w:tc>
      </w:tr>
    </w:tbl>
    <w:p w14:paraId="50C4A9E3" w14:textId="77777777" w:rsidR="009D7818" w:rsidRDefault="009D7818" w:rsidP="009D7818">
      <w:pPr>
        <w:spacing w:line="360" w:lineRule="auto"/>
        <w:jc w:val="both"/>
        <w:rPr>
          <w:rFonts w:ascii="Arial" w:hAnsi="Arial" w:cs="Arial"/>
          <w:i/>
          <w:iCs/>
          <w:sz w:val="20"/>
          <w:szCs w:val="20"/>
        </w:rPr>
      </w:pPr>
      <w:r w:rsidRPr="00082597">
        <w:rPr>
          <w:rFonts w:ascii="Arial" w:hAnsi="Arial" w:cs="Arial"/>
          <w:i/>
          <w:iCs/>
          <w:sz w:val="20"/>
          <w:szCs w:val="20"/>
        </w:rPr>
        <w:t xml:space="preserve">Keywords: Soybean, fungicide, </w:t>
      </w:r>
      <w:r>
        <w:rPr>
          <w:rFonts w:ascii="Arial" w:hAnsi="Arial" w:cs="Arial"/>
          <w:i/>
          <w:iCs/>
          <w:sz w:val="20"/>
          <w:szCs w:val="20"/>
        </w:rPr>
        <w:t xml:space="preserve">charcoal rot, </w:t>
      </w:r>
      <w:commentRangeStart w:id="4"/>
      <w:r>
        <w:rPr>
          <w:rFonts w:ascii="Arial" w:hAnsi="Arial" w:cs="Arial"/>
          <w:i/>
          <w:iCs/>
          <w:sz w:val="20"/>
          <w:szCs w:val="20"/>
        </w:rPr>
        <w:t>foliar,</w:t>
      </w:r>
      <w:commentRangeEnd w:id="4"/>
      <w:r w:rsidR="00D115B1">
        <w:rPr>
          <w:rStyle w:val="CommentReference"/>
        </w:rPr>
        <w:commentReference w:id="4"/>
      </w:r>
      <w:r>
        <w:rPr>
          <w:rFonts w:ascii="Arial" w:hAnsi="Arial" w:cs="Arial"/>
          <w:i/>
          <w:iCs/>
          <w:sz w:val="20"/>
          <w:szCs w:val="20"/>
        </w:rPr>
        <w:t xml:space="preserve"> seed treatment</w:t>
      </w:r>
    </w:p>
    <w:p w14:paraId="3B0EE7F6"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1. INTRODUCTION</w:t>
      </w:r>
    </w:p>
    <w:p w14:paraId="45E58E33" w14:textId="4470C9E1"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Soybean (</w:t>
      </w:r>
      <w:r w:rsidRPr="00EF0CA2">
        <w:rPr>
          <w:rStyle w:val="Emphasis"/>
          <w:rFonts w:ascii="Arial" w:hAnsi="Arial" w:cs="Arial"/>
          <w:sz w:val="20"/>
          <w:szCs w:val="20"/>
        </w:rPr>
        <w:t>Glycine max</w:t>
      </w:r>
      <w:r w:rsidRPr="00EF0CA2">
        <w:rPr>
          <w:rFonts w:ascii="Arial" w:hAnsi="Arial" w:cs="Arial"/>
          <w:sz w:val="20"/>
          <w:szCs w:val="20"/>
        </w:rPr>
        <w:t xml:space="preserve"> (L.) Merrill), commonly referred to as the “golden bean,” is a globally important leguminous crop due to its superior nutritional profile, characterized by high protein content (31.9 – 45.0%) and substantial edible oil content (14.0 – 21.7%) (Singh </w:t>
      </w:r>
      <w:r w:rsidR="00F61F10" w:rsidRPr="00F61F10">
        <w:rPr>
          <w:rFonts w:ascii="Arial" w:hAnsi="Arial" w:cs="Arial"/>
          <w:i/>
          <w:iCs/>
          <w:sz w:val="20"/>
          <w:szCs w:val="20"/>
        </w:rPr>
        <w:t>et al</w:t>
      </w:r>
      <w:r w:rsidRPr="00EF0CA2">
        <w:rPr>
          <w:rFonts w:ascii="Arial" w:hAnsi="Arial" w:cs="Arial"/>
          <w:sz w:val="20"/>
          <w:szCs w:val="20"/>
        </w:rPr>
        <w:t xml:space="preserve">., 2021). </w:t>
      </w:r>
      <w:r w:rsidRPr="00EF0CA2">
        <w:rPr>
          <w:rFonts w:ascii="Arial" w:hAnsi="Arial" w:cs="Arial"/>
          <w:sz w:val="20"/>
          <w:szCs w:val="20"/>
        </w:rPr>
        <w:lastRenderedPageBreak/>
        <w:t xml:space="preserve">Soybean cultivation worldwide, including in India, is severely constrained by a range of diseases that cause substantial yield losses (Wrather </w:t>
      </w:r>
      <w:r w:rsidR="00F61F10" w:rsidRPr="00F61F10">
        <w:rPr>
          <w:rFonts w:ascii="Arial" w:hAnsi="Arial" w:cs="Arial"/>
          <w:i/>
          <w:iCs/>
          <w:sz w:val="20"/>
          <w:szCs w:val="20"/>
        </w:rPr>
        <w:t>et al</w:t>
      </w:r>
      <w:r w:rsidRPr="00EF0CA2">
        <w:rPr>
          <w:rFonts w:ascii="Arial" w:hAnsi="Arial" w:cs="Arial"/>
          <w:sz w:val="20"/>
          <w:szCs w:val="20"/>
        </w:rPr>
        <w:t xml:space="preserve">., 2010; Allen </w:t>
      </w:r>
      <w:r w:rsidR="00F61F10" w:rsidRPr="00F61F10">
        <w:rPr>
          <w:rFonts w:ascii="Arial" w:hAnsi="Arial" w:cs="Arial"/>
          <w:i/>
          <w:iCs/>
          <w:sz w:val="20"/>
          <w:szCs w:val="20"/>
        </w:rPr>
        <w:t>et al</w:t>
      </w:r>
      <w:r w:rsidRPr="00EF0CA2">
        <w:rPr>
          <w:rFonts w:ascii="Arial" w:hAnsi="Arial" w:cs="Arial"/>
          <w:sz w:val="20"/>
          <w:szCs w:val="20"/>
        </w:rPr>
        <w:t xml:space="preserve">., 2017). In India, major diseases affecting soybean production include charcoal rot (CR), anthracnose, </w:t>
      </w:r>
      <w:r w:rsidRPr="00EF0CA2">
        <w:rPr>
          <w:rStyle w:val="Emphasis"/>
          <w:rFonts w:ascii="Arial" w:hAnsi="Arial" w:cs="Arial"/>
          <w:sz w:val="20"/>
          <w:szCs w:val="20"/>
        </w:rPr>
        <w:t>Rhizoctonia</w:t>
      </w:r>
      <w:r w:rsidRPr="00EF0CA2">
        <w:rPr>
          <w:rFonts w:ascii="Arial" w:hAnsi="Arial" w:cs="Arial"/>
          <w:sz w:val="20"/>
          <w:szCs w:val="20"/>
        </w:rPr>
        <w:t xml:space="preserve"> root rot, collar rot, rust, and yellow mosaic disease (Nataraj </w:t>
      </w:r>
      <w:r w:rsidR="00F61F10" w:rsidRPr="00F61F10">
        <w:rPr>
          <w:rFonts w:ascii="Arial" w:hAnsi="Arial" w:cs="Arial"/>
          <w:i/>
          <w:iCs/>
          <w:sz w:val="20"/>
          <w:szCs w:val="20"/>
        </w:rPr>
        <w:t>et al</w:t>
      </w:r>
      <w:r w:rsidRPr="00EF0CA2">
        <w:rPr>
          <w:rFonts w:ascii="Arial" w:hAnsi="Arial" w:cs="Arial"/>
          <w:sz w:val="20"/>
          <w:szCs w:val="20"/>
        </w:rPr>
        <w:t xml:space="preserve">., 2019; Dalal </w:t>
      </w:r>
      <w:r w:rsidR="00F61F10" w:rsidRPr="00F61F10">
        <w:rPr>
          <w:rFonts w:ascii="Arial" w:hAnsi="Arial" w:cs="Arial"/>
          <w:i/>
          <w:iCs/>
          <w:sz w:val="20"/>
          <w:szCs w:val="20"/>
        </w:rPr>
        <w:t>et al</w:t>
      </w:r>
      <w:r w:rsidRPr="00EF0CA2">
        <w:rPr>
          <w:rFonts w:ascii="Arial" w:hAnsi="Arial" w:cs="Arial"/>
          <w:sz w:val="20"/>
          <w:szCs w:val="20"/>
        </w:rPr>
        <w:t xml:space="preserve">., 2022; Rajput </w:t>
      </w:r>
      <w:r w:rsidR="00F61F10" w:rsidRPr="00F61F10">
        <w:rPr>
          <w:rFonts w:ascii="Arial" w:hAnsi="Arial" w:cs="Arial"/>
          <w:i/>
          <w:iCs/>
          <w:sz w:val="20"/>
          <w:szCs w:val="20"/>
        </w:rPr>
        <w:t>et al</w:t>
      </w:r>
      <w:r w:rsidRPr="00EF0CA2">
        <w:rPr>
          <w:rFonts w:ascii="Arial" w:hAnsi="Arial" w:cs="Arial"/>
          <w:sz w:val="20"/>
          <w:szCs w:val="20"/>
        </w:rPr>
        <w:t xml:space="preserve">., 2023; Rajput </w:t>
      </w:r>
      <w:r w:rsidR="00F61F10" w:rsidRPr="00F61F10">
        <w:rPr>
          <w:rFonts w:ascii="Arial" w:hAnsi="Arial" w:cs="Arial"/>
          <w:i/>
          <w:iCs/>
          <w:sz w:val="20"/>
          <w:szCs w:val="20"/>
        </w:rPr>
        <w:t>et al</w:t>
      </w:r>
      <w:r w:rsidRPr="00EF0CA2">
        <w:rPr>
          <w:rFonts w:ascii="Arial" w:hAnsi="Arial" w:cs="Arial"/>
          <w:sz w:val="20"/>
          <w:szCs w:val="20"/>
        </w:rPr>
        <w:t>., 2024).</w:t>
      </w:r>
    </w:p>
    <w:p w14:paraId="128D1F75" w14:textId="44A9E201"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CR is a soilborne disease caused by a pathogen with an exceptionally broad host range, infecting more than 500 plant species, including numerous economically important crops, and exhibiting little to no host specificity. This disease results in significant yield losses across several crops, including soybean (Bellaloui </w:t>
      </w:r>
      <w:r w:rsidR="00F61F10" w:rsidRPr="00F61F10">
        <w:rPr>
          <w:rFonts w:ascii="Arial" w:hAnsi="Arial" w:cs="Arial"/>
          <w:i/>
          <w:iCs/>
          <w:sz w:val="20"/>
          <w:szCs w:val="20"/>
        </w:rPr>
        <w:t>et al</w:t>
      </w:r>
      <w:r w:rsidRPr="00EF0CA2">
        <w:rPr>
          <w:rFonts w:ascii="Arial" w:hAnsi="Arial" w:cs="Arial"/>
          <w:sz w:val="20"/>
          <w:szCs w:val="20"/>
        </w:rPr>
        <w:t xml:space="preserve">., 2021). In India, yield losses due to CR have been reported to reach as high as 77% (Nataraj </w:t>
      </w:r>
      <w:r w:rsidR="00F61F10" w:rsidRPr="00F61F10">
        <w:rPr>
          <w:rFonts w:ascii="Arial" w:hAnsi="Arial" w:cs="Arial"/>
          <w:i/>
          <w:iCs/>
          <w:sz w:val="20"/>
          <w:szCs w:val="20"/>
        </w:rPr>
        <w:t>et al</w:t>
      </w:r>
      <w:r w:rsidRPr="00EF0CA2">
        <w:rPr>
          <w:rFonts w:ascii="Arial" w:hAnsi="Arial" w:cs="Arial"/>
          <w:sz w:val="20"/>
          <w:szCs w:val="20"/>
        </w:rPr>
        <w:t xml:space="preserve">., 2019; Magar </w:t>
      </w:r>
      <w:r w:rsidR="00F61F10" w:rsidRPr="00F61F10">
        <w:rPr>
          <w:rFonts w:ascii="Arial" w:hAnsi="Arial" w:cs="Arial"/>
          <w:i/>
          <w:iCs/>
          <w:sz w:val="20"/>
          <w:szCs w:val="20"/>
        </w:rPr>
        <w:t>et al</w:t>
      </w:r>
      <w:r w:rsidRPr="00EF0CA2">
        <w:rPr>
          <w:rFonts w:ascii="Arial" w:hAnsi="Arial" w:cs="Arial"/>
          <w:sz w:val="20"/>
          <w:szCs w:val="20"/>
        </w:rPr>
        <w:t xml:space="preserve">., 2024). The pathogen persists throughout the year, making it particularly destructive by infecting a wide range of genotypes, commercial varieties, and advanced soybean lines under the agro-climatic conditions of Madhya Pradesh (Amrate </w:t>
      </w:r>
      <w:r w:rsidR="00F61F10" w:rsidRPr="00F61F10">
        <w:rPr>
          <w:rFonts w:ascii="Arial" w:hAnsi="Arial" w:cs="Arial"/>
          <w:i/>
          <w:iCs/>
          <w:sz w:val="20"/>
          <w:szCs w:val="20"/>
        </w:rPr>
        <w:t>et al</w:t>
      </w:r>
      <w:r w:rsidRPr="00EF0CA2">
        <w:rPr>
          <w:rFonts w:ascii="Arial" w:hAnsi="Arial" w:cs="Arial"/>
          <w:sz w:val="20"/>
          <w:szCs w:val="20"/>
        </w:rPr>
        <w:t xml:space="preserve">., 2024). Although CR can infect soybean plants at all growth stages, the reproductive phase is considered the most susceptible (Nataraj </w:t>
      </w:r>
      <w:r w:rsidR="00F61F10" w:rsidRPr="00F61F10">
        <w:rPr>
          <w:rFonts w:ascii="Arial" w:hAnsi="Arial" w:cs="Arial"/>
          <w:i/>
          <w:iCs/>
          <w:sz w:val="20"/>
          <w:szCs w:val="20"/>
        </w:rPr>
        <w:t>et al</w:t>
      </w:r>
      <w:r w:rsidRPr="00EF0CA2">
        <w:rPr>
          <w:rFonts w:ascii="Arial" w:hAnsi="Arial" w:cs="Arial"/>
          <w:sz w:val="20"/>
          <w:szCs w:val="20"/>
        </w:rPr>
        <w:t>., 2025).</w:t>
      </w:r>
    </w:p>
    <w:p w14:paraId="7F14B731" w14:textId="5DF42EA1"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Environmental stresses, including moisture deficit, elevated soil and air temperatures, and nutrient imbalances, intensify the incidence and severity of CR (Rajput </w:t>
      </w:r>
      <w:r w:rsidR="00F61F10" w:rsidRPr="00F61F10">
        <w:rPr>
          <w:rFonts w:ascii="Arial" w:hAnsi="Arial" w:cs="Arial"/>
          <w:i/>
          <w:iCs/>
          <w:sz w:val="20"/>
          <w:szCs w:val="20"/>
        </w:rPr>
        <w:t>et al</w:t>
      </w:r>
      <w:r w:rsidRPr="00EF0CA2">
        <w:rPr>
          <w:rFonts w:ascii="Arial" w:hAnsi="Arial" w:cs="Arial"/>
          <w:sz w:val="20"/>
          <w:szCs w:val="20"/>
        </w:rPr>
        <w:t xml:space="preserve">., 2023). Initial symptoms in soybean include a dull green discoloration of the foliage, followed by rapid wilting of plants. With disease progression, the lower stem and taproot develop characteristic greyish-black, charcoal-like discoloration. The pathogen </w:t>
      </w:r>
      <w:r w:rsidR="005F3A9B">
        <w:rPr>
          <w:rFonts w:ascii="Arial" w:hAnsi="Arial" w:cs="Arial"/>
          <w:sz w:val="20"/>
          <w:szCs w:val="20"/>
        </w:rPr>
        <w:t>survives</w:t>
      </w:r>
      <w:r w:rsidRPr="00EF0CA2">
        <w:rPr>
          <w:rFonts w:ascii="Arial" w:hAnsi="Arial" w:cs="Arial"/>
          <w:sz w:val="20"/>
          <w:szCs w:val="20"/>
        </w:rPr>
        <w:t xml:space="preserve"> by producing microsclerotia as resting structures, enabling infection of both seedlings and mature plants throughout the cropping season (Patidar </w:t>
      </w:r>
      <w:r w:rsidR="00F61F10" w:rsidRPr="00F61F10">
        <w:rPr>
          <w:rFonts w:ascii="Arial" w:hAnsi="Arial" w:cs="Arial"/>
          <w:i/>
          <w:iCs/>
          <w:sz w:val="20"/>
          <w:szCs w:val="20"/>
        </w:rPr>
        <w:t>et al</w:t>
      </w:r>
      <w:r w:rsidRPr="00EF0CA2">
        <w:rPr>
          <w:rFonts w:ascii="Arial" w:hAnsi="Arial" w:cs="Arial"/>
          <w:sz w:val="20"/>
          <w:szCs w:val="20"/>
        </w:rPr>
        <w:t xml:space="preserve">., 2023; Gupta </w:t>
      </w:r>
      <w:r w:rsidR="00F61F10" w:rsidRPr="00F61F10">
        <w:rPr>
          <w:rFonts w:ascii="Arial" w:hAnsi="Arial" w:cs="Arial"/>
          <w:i/>
          <w:iCs/>
          <w:sz w:val="20"/>
          <w:szCs w:val="20"/>
        </w:rPr>
        <w:t>et al</w:t>
      </w:r>
      <w:r w:rsidRPr="00EF0CA2">
        <w:rPr>
          <w:rFonts w:ascii="Arial" w:hAnsi="Arial" w:cs="Arial"/>
          <w:sz w:val="20"/>
          <w:szCs w:val="20"/>
        </w:rPr>
        <w:t>., 2012</w:t>
      </w:r>
      <w:proofErr w:type="gramStart"/>
      <w:r w:rsidRPr="00EF0CA2">
        <w:rPr>
          <w:rFonts w:ascii="Arial" w:hAnsi="Arial" w:cs="Arial"/>
          <w:sz w:val="20"/>
          <w:szCs w:val="20"/>
        </w:rPr>
        <w:t>).These</w:t>
      </w:r>
      <w:proofErr w:type="gramEnd"/>
      <w:r w:rsidRPr="00EF0CA2">
        <w:rPr>
          <w:rFonts w:ascii="Arial" w:hAnsi="Arial" w:cs="Arial"/>
          <w:sz w:val="20"/>
          <w:szCs w:val="20"/>
        </w:rPr>
        <w:t xml:space="preserve"> resting structures serve as the primary source of inoculum and can persist in the soil for up to 15 years (Marquez </w:t>
      </w:r>
      <w:r w:rsidR="00F61F10" w:rsidRPr="00F61F10">
        <w:rPr>
          <w:rFonts w:ascii="Arial" w:hAnsi="Arial" w:cs="Arial"/>
          <w:i/>
          <w:iCs/>
          <w:sz w:val="20"/>
          <w:szCs w:val="20"/>
        </w:rPr>
        <w:t>et al</w:t>
      </w:r>
      <w:r w:rsidRPr="00EF0CA2">
        <w:rPr>
          <w:rFonts w:ascii="Arial" w:hAnsi="Arial" w:cs="Arial"/>
          <w:sz w:val="20"/>
          <w:szCs w:val="20"/>
        </w:rPr>
        <w:t xml:space="preserve">., 2021). </w:t>
      </w:r>
    </w:p>
    <w:p w14:paraId="58C4D447" w14:textId="793BD584"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Upon infecting host plants, the charcoal rot pathogen adopts a multifaceted necrotrophic strategy involving the secretion of diverse enzymes, including an array of cell wall–degrading enzymes, along with the suppression of host defense responses (Ramos </w:t>
      </w:r>
      <w:r w:rsidR="00F61F10" w:rsidRPr="00F61F10">
        <w:rPr>
          <w:rFonts w:ascii="Arial" w:hAnsi="Arial" w:cs="Arial"/>
          <w:i/>
          <w:iCs/>
          <w:sz w:val="20"/>
          <w:szCs w:val="20"/>
        </w:rPr>
        <w:t>et al</w:t>
      </w:r>
      <w:r w:rsidRPr="00EF0CA2">
        <w:rPr>
          <w:rFonts w:ascii="Arial" w:hAnsi="Arial" w:cs="Arial"/>
          <w:sz w:val="20"/>
          <w:szCs w:val="20"/>
        </w:rPr>
        <w:t xml:space="preserve">., 2016; Khambhati </w:t>
      </w:r>
      <w:r w:rsidR="00F61F10" w:rsidRPr="00F61F10">
        <w:rPr>
          <w:rFonts w:ascii="Arial" w:hAnsi="Arial" w:cs="Arial"/>
          <w:i/>
          <w:iCs/>
          <w:sz w:val="20"/>
          <w:szCs w:val="20"/>
        </w:rPr>
        <w:t>et al</w:t>
      </w:r>
      <w:r w:rsidRPr="00EF0CA2">
        <w:rPr>
          <w:rFonts w:ascii="Arial" w:hAnsi="Arial" w:cs="Arial"/>
          <w:sz w:val="20"/>
          <w:szCs w:val="20"/>
        </w:rPr>
        <w:t xml:space="preserve">., 2023). Soil-borne diseases severely impair plant growth, reduce grain quality, and lead to significant declines in the marketable yield of soybean. In the absence of fully resistant cultivars against major soil-borne pathogens, including the charcoal rot pathogen, it has become necessary to adopt alternative management strategies such as chemical control and improved agronomic practices (Wen </w:t>
      </w:r>
      <w:r w:rsidR="00F61F10" w:rsidRPr="00F61F10">
        <w:rPr>
          <w:rFonts w:ascii="Arial" w:hAnsi="Arial" w:cs="Arial"/>
          <w:i/>
          <w:iCs/>
          <w:sz w:val="20"/>
          <w:szCs w:val="20"/>
        </w:rPr>
        <w:t>et al</w:t>
      </w:r>
      <w:r w:rsidRPr="00EF0CA2">
        <w:rPr>
          <w:rFonts w:ascii="Arial" w:hAnsi="Arial" w:cs="Arial"/>
          <w:sz w:val="20"/>
          <w:szCs w:val="20"/>
        </w:rPr>
        <w:t xml:space="preserve">., 2017; Khan </w:t>
      </w:r>
      <w:r w:rsidR="00F61F10" w:rsidRPr="00F61F10">
        <w:rPr>
          <w:rFonts w:ascii="Arial" w:hAnsi="Arial" w:cs="Arial"/>
          <w:i/>
          <w:iCs/>
          <w:sz w:val="20"/>
          <w:szCs w:val="20"/>
        </w:rPr>
        <w:t>et al</w:t>
      </w:r>
      <w:r w:rsidRPr="00EF0CA2">
        <w:rPr>
          <w:rFonts w:ascii="Arial" w:hAnsi="Arial" w:cs="Arial"/>
          <w:sz w:val="20"/>
          <w:szCs w:val="20"/>
        </w:rPr>
        <w:t>., 2024).</w:t>
      </w:r>
    </w:p>
    <w:p w14:paraId="30C48A58" w14:textId="3E06C723"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The use of clean and healthy seed material is a fundamental strategy for effective plant disease management (Rajput </w:t>
      </w:r>
      <w:r w:rsidR="00F61F10" w:rsidRPr="00F61F10">
        <w:rPr>
          <w:rFonts w:ascii="Arial" w:hAnsi="Arial" w:cs="Arial"/>
          <w:i/>
          <w:iCs/>
          <w:sz w:val="20"/>
          <w:szCs w:val="20"/>
        </w:rPr>
        <w:t>et al</w:t>
      </w:r>
      <w:r w:rsidRPr="00EF0CA2">
        <w:rPr>
          <w:rFonts w:ascii="Arial" w:hAnsi="Arial" w:cs="Arial"/>
          <w:sz w:val="20"/>
          <w:szCs w:val="20"/>
        </w:rPr>
        <w:t xml:space="preserve">., 2020). However, the presence of asymptomatic seed-borne fungal infections poses a significant challenge to this approach (Singh </w:t>
      </w:r>
      <w:r w:rsidR="00F61F10" w:rsidRPr="00F61F10">
        <w:rPr>
          <w:rFonts w:ascii="Arial" w:hAnsi="Arial" w:cs="Arial"/>
          <w:i/>
          <w:iCs/>
          <w:sz w:val="20"/>
          <w:szCs w:val="20"/>
        </w:rPr>
        <w:t>et al</w:t>
      </w:r>
      <w:r w:rsidRPr="00EF0CA2">
        <w:rPr>
          <w:rFonts w:ascii="Arial" w:hAnsi="Arial" w:cs="Arial"/>
          <w:sz w:val="20"/>
          <w:szCs w:val="20"/>
        </w:rPr>
        <w:t xml:space="preserve">., 2021). Application of fungicides through seed treatment and foliar spray has been recognized as an efficient and cost-effective method for managing fungal diseases (Kumar </w:t>
      </w:r>
      <w:r w:rsidR="00F61F10" w:rsidRPr="00F61F10">
        <w:rPr>
          <w:rFonts w:ascii="Arial" w:hAnsi="Arial" w:cs="Arial"/>
          <w:i/>
          <w:iCs/>
          <w:sz w:val="20"/>
          <w:szCs w:val="20"/>
        </w:rPr>
        <w:t>et al</w:t>
      </w:r>
      <w:r w:rsidRPr="00EF0CA2">
        <w:rPr>
          <w:rFonts w:ascii="Arial" w:hAnsi="Arial" w:cs="Arial"/>
          <w:sz w:val="20"/>
          <w:szCs w:val="20"/>
        </w:rPr>
        <w:t xml:space="preserve">., 2024). In the case of CR, several studies have evaluated the efficacy of different fungicides and reported reductions in disease incidence; nevertheless, the level of control achieved has been inconsistent, </w:t>
      </w:r>
      <w:r w:rsidRPr="00EF0CA2">
        <w:rPr>
          <w:rFonts w:ascii="Arial" w:hAnsi="Arial" w:cs="Arial"/>
          <w:sz w:val="20"/>
          <w:szCs w:val="20"/>
        </w:rPr>
        <w:lastRenderedPageBreak/>
        <w:t>highlighting the need for further evaluation of currently available commercial fungicides (</w:t>
      </w:r>
      <w:r w:rsidRPr="00EF0CA2">
        <w:rPr>
          <w:rStyle w:val="hljs-comment"/>
          <w:rFonts w:ascii="Arial" w:hAnsi="Arial" w:cs="Arial"/>
          <w:sz w:val="20"/>
          <w:szCs w:val="20"/>
        </w:rPr>
        <w:t>Reznikov</w:t>
      </w:r>
      <w:r w:rsidRPr="00EF0CA2">
        <w:rPr>
          <w:rFonts w:ascii="Arial" w:hAnsi="Arial" w:cs="Arial"/>
          <w:sz w:val="20"/>
          <w:szCs w:val="20"/>
        </w:rPr>
        <w:t xml:space="preserve"> </w:t>
      </w:r>
      <w:r w:rsidR="00F61F10" w:rsidRPr="00F61F10">
        <w:rPr>
          <w:rFonts w:ascii="Arial" w:hAnsi="Arial" w:cs="Arial"/>
          <w:i/>
          <w:iCs/>
          <w:sz w:val="20"/>
          <w:szCs w:val="20"/>
        </w:rPr>
        <w:t>et al</w:t>
      </w:r>
      <w:r w:rsidRPr="00EF0CA2">
        <w:rPr>
          <w:rFonts w:ascii="Arial" w:hAnsi="Arial" w:cs="Arial"/>
          <w:sz w:val="20"/>
          <w:szCs w:val="20"/>
        </w:rPr>
        <w:t xml:space="preserve">., 2016; Romero Luna </w:t>
      </w:r>
      <w:r w:rsidR="00F61F10" w:rsidRPr="00F61F10">
        <w:rPr>
          <w:rFonts w:ascii="Arial" w:hAnsi="Arial" w:cs="Arial"/>
          <w:i/>
          <w:iCs/>
          <w:sz w:val="20"/>
          <w:szCs w:val="20"/>
        </w:rPr>
        <w:t>et al</w:t>
      </w:r>
      <w:r w:rsidRPr="00EF0CA2">
        <w:rPr>
          <w:rFonts w:ascii="Arial" w:hAnsi="Arial" w:cs="Arial"/>
          <w:sz w:val="20"/>
          <w:szCs w:val="20"/>
        </w:rPr>
        <w:t>., 2017).</w:t>
      </w:r>
    </w:p>
    <w:p w14:paraId="7EFC1986"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Excluding fungicides restricted by government regulations, farmers have a limited range of chemical options for disease management. Fungicides recommended for use in soybean include hexaconazole, kresoxim-methyl, thiophanate-methyl + pyraclostrobin, picoxystrobin, pyraclostrobin + epoxiconazole, propiconazole, picoxystrobin + propiconazole, tebuconazole, penflufen + trifloxystrobin, carbendazim + mancozeb, and carboxin + thiram. Considering these constraints, the present study was undertaken to evaluate the efficacy of recently approved and recommended fungicides for the management of charcoal rot under </w:t>
      </w:r>
      <w:r w:rsidRPr="00EF0CA2">
        <w:rPr>
          <w:rFonts w:ascii="Arial" w:hAnsi="Arial" w:cs="Arial"/>
          <w:i/>
          <w:iCs/>
          <w:sz w:val="20"/>
          <w:szCs w:val="20"/>
        </w:rPr>
        <w:t xml:space="preserve">in vitro </w:t>
      </w:r>
      <w:r w:rsidRPr="00EF0CA2">
        <w:rPr>
          <w:rFonts w:ascii="Arial" w:hAnsi="Arial" w:cs="Arial"/>
          <w:sz w:val="20"/>
          <w:szCs w:val="20"/>
        </w:rPr>
        <w:t>conditions.</w:t>
      </w:r>
    </w:p>
    <w:p w14:paraId="238E49EA"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MATERIALS AND METHODS</w:t>
      </w:r>
    </w:p>
    <w:p w14:paraId="24B65121"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Fungal pathogen collection and characterisation:</w:t>
      </w:r>
    </w:p>
    <w:p w14:paraId="01531E88" w14:textId="19A39123"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Infected stem tissues of diseased soybean plants were collected from the plant pathology field of the ICAR–National </w:t>
      </w:r>
      <w:r w:rsidR="005F3A9B" w:rsidRPr="00EF0CA2">
        <w:rPr>
          <w:rFonts w:ascii="Arial" w:hAnsi="Arial" w:cs="Arial"/>
          <w:sz w:val="20"/>
          <w:szCs w:val="20"/>
        </w:rPr>
        <w:t>Soybean Research</w:t>
      </w:r>
      <w:r w:rsidR="005F3A9B">
        <w:rPr>
          <w:rFonts w:ascii="Arial" w:hAnsi="Arial" w:cs="Arial"/>
          <w:sz w:val="20"/>
          <w:szCs w:val="20"/>
        </w:rPr>
        <w:t xml:space="preserve"> </w:t>
      </w:r>
      <w:r w:rsidRPr="00EF0CA2">
        <w:rPr>
          <w:rFonts w:ascii="Arial" w:hAnsi="Arial" w:cs="Arial"/>
          <w:sz w:val="20"/>
          <w:szCs w:val="20"/>
        </w:rPr>
        <w:t xml:space="preserve">Institute, Khandwa Road, Indore. Isolation of the pathogen was carried out following standard procedures as described previously (Rajput </w:t>
      </w:r>
      <w:r w:rsidR="00F61F10" w:rsidRPr="00F61F10">
        <w:rPr>
          <w:rFonts w:ascii="Arial" w:hAnsi="Arial" w:cs="Arial"/>
          <w:i/>
          <w:iCs/>
          <w:sz w:val="20"/>
          <w:szCs w:val="20"/>
        </w:rPr>
        <w:t>et al</w:t>
      </w:r>
      <w:r w:rsidRPr="00EF0CA2">
        <w:rPr>
          <w:rFonts w:ascii="Arial" w:hAnsi="Arial" w:cs="Arial"/>
          <w:sz w:val="20"/>
          <w:szCs w:val="20"/>
        </w:rPr>
        <w:t>., 2025). Small stem segments (5–6 mm) from infected tissues were surface-sterilized with 0.1% sodium hypochlorite for 45 s and subsequently rinsed three times with sterile distilled water. The sterilized tissues were placed on potato dextrose agar (PDA; HiMedia, India) supplemented with streptomycin (100 ppm) and incubated in a BOD incubator at 25 ± 2°C. Cottony mycelial growth was observed on the culture plates. Sclerotia were harvested from the cultures under a compound microscope and transferred onto acidified PDA (0.2% lactic acid) to obtain pure cultures. The purified cultures were maintained at 5°C and subcultured monthly for further studies.</w:t>
      </w:r>
    </w:p>
    <w:p w14:paraId="01E163CB"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 xml:space="preserve">Evaluation of fungicides against charcoal rot under </w:t>
      </w:r>
      <w:r w:rsidRPr="00EF0CA2">
        <w:rPr>
          <w:rFonts w:ascii="Arial" w:hAnsi="Arial" w:cs="Arial"/>
          <w:b/>
          <w:bCs/>
          <w:i/>
          <w:sz w:val="20"/>
          <w:szCs w:val="20"/>
        </w:rPr>
        <w:t>In vitro</w:t>
      </w:r>
      <w:r w:rsidRPr="00EF0CA2">
        <w:rPr>
          <w:rFonts w:ascii="Arial" w:hAnsi="Arial" w:cs="Arial"/>
          <w:b/>
          <w:bCs/>
          <w:sz w:val="20"/>
          <w:szCs w:val="20"/>
        </w:rPr>
        <w:t xml:space="preserve"> conditions:  </w:t>
      </w:r>
    </w:p>
    <w:p w14:paraId="3EBE0CC8" w14:textId="0B037C24"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In the present study, different fungicides were evaluated to identify the most effective seed dresser against the charcoal rot pathogen using the poison food technique (Rajput </w:t>
      </w:r>
      <w:r w:rsidR="00F61F10" w:rsidRPr="00F61F10">
        <w:rPr>
          <w:rFonts w:ascii="Arial" w:hAnsi="Arial" w:cs="Arial"/>
          <w:i/>
          <w:iCs/>
          <w:sz w:val="20"/>
          <w:szCs w:val="20"/>
        </w:rPr>
        <w:t>et al</w:t>
      </w:r>
      <w:r w:rsidRPr="00EF0CA2">
        <w:rPr>
          <w:rFonts w:ascii="Arial" w:hAnsi="Arial" w:cs="Arial"/>
          <w:sz w:val="20"/>
          <w:szCs w:val="20"/>
        </w:rPr>
        <w:t>., 2016). Potato dextrose agar (PDA) plates were amended with various fungicides registered in India to assess their inhibitory potential against the pathogen. Fungicides recommended for foliar application included hexaconazole (Contaf, Rallis India Limited, India), propiconazole (Tilt, Syngenta India Ltd., India), tebuconazole (Folicur, Bayer India), picoxystrobin (Galileo, Corteva Agriscience, India), kresoxim-methyl (Ergon, Rallis India Limited, India), pyraclostrobin + epoxiconazole (Opera, BASF, India), and picoxystrobin + propiconazole (Galileo Way, Corteva Agriscience, India). These fungicides were tested at concentrations of 0.025%, 0.05%, 0.10%, and 0.125%. In addition, seed-treatment fungicides, including penflufen + trifloxystrobin (EverGol Xtend, Bayer India), carbendazim + mancozeb (Sprint, Indofil Industries Ltd., India), thiophanate-methyl + pyraclostrobin (Xelora, BASF India Ltd.), and carboxin + thiram (Vitavax Power, Dhanuka Agritech Ltd., India), were also evaluated at the same concentration levels (0.025%, 0.05%, 0.10%, and 0.125%).</w:t>
      </w:r>
    </w:p>
    <w:p w14:paraId="1BFD2AAE" w14:textId="77777777" w:rsidR="009D7818" w:rsidRPr="00EF0CA2" w:rsidRDefault="009D7818" w:rsidP="00EF0CA2">
      <w:pPr>
        <w:spacing w:before="100" w:beforeAutospacing="1" w:after="100" w:afterAutospacing="1" w:line="360" w:lineRule="auto"/>
        <w:jc w:val="both"/>
        <w:rPr>
          <w:rFonts w:ascii="Arial" w:eastAsia="Times New Roman" w:hAnsi="Arial" w:cs="Arial"/>
          <w:kern w:val="0"/>
          <w:sz w:val="20"/>
          <w:szCs w:val="20"/>
          <w:lang w:eastAsia="en-IN" w:bidi="hi-IN"/>
        </w:rPr>
      </w:pPr>
      <w:r w:rsidRPr="00EF0CA2">
        <w:rPr>
          <w:rFonts w:ascii="Arial" w:eastAsia="Times New Roman" w:hAnsi="Arial" w:cs="Arial"/>
          <w:kern w:val="0"/>
          <w:sz w:val="20"/>
          <w:szCs w:val="20"/>
          <w:lang w:eastAsia="en-IN" w:bidi="hi-IN"/>
        </w:rPr>
        <w:lastRenderedPageBreak/>
        <w:t>Mycelial discs (4 mm diameter) were excised from the actively growing peripheral region of a four-day-old culture of the pathogen and aseptically placed at the center of Petri plates containing fungicide-amended (poisoned) PDA. The inoculated plates were incubated in a BOD incubator at 26 ± 1°C under a 14 h light and 10 h dark photoperiod. Mycelial growth was periodically observed, and upon complete colony development in the control plates, the percent inhibition of mycelial growth was calculated using Vincent’s formula (1947):</w:t>
      </w:r>
    </w:p>
    <w:p w14:paraId="5A5B0D68" w14:textId="77777777" w:rsidR="009D7818" w:rsidRPr="00EF0CA2" w:rsidRDefault="009D7818" w:rsidP="00EF0CA2">
      <w:pPr>
        <w:spacing w:before="100" w:beforeAutospacing="1" w:after="100" w:afterAutospacing="1" w:line="360" w:lineRule="auto"/>
        <w:jc w:val="both"/>
        <w:rPr>
          <w:rFonts w:ascii="Arial" w:eastAsia="Times New Roman" w:hAnsi="Arial" w:cs="Arial"/>
          <w:kern w:val="0"/>
          <w:sz w:val="20"/>
          <w:szCs w:val="20"/>
          <w:lang w:eastAsia="en-IN" w:bidi="hi-IN"/>
        </w:rPr>
      </w:pPr>
      <w:r w:rsidRPr="00EF0CA2">
        <w:rPr>
          <w:rFonts w:ascii="Arial" w:eastAsia="Times New Roman" w:hAnsi="Arial" w:cs="Arial"/>
          <w:kern w:val="0"/>
          <w:sz w:val="20"/>
          <w:szCs w:val="20"/>
          <w:lang w:eastAsia="en-IN" w:bidi="hi-IN"/>
        </w:rPr>
        <w:t xml:space="preserve">I = 100 (C − T) / C </w:t>
      </w:r>
    </w:p>
    <w:p w14:paraId="721E3176" w14:textId="5F11104A" w:rsidR="009D7818" w:rsidRPr="00EF0CA2" w:rsidRDefault="009D7818" w:rsidP="00EF0CA2">
      <w:pPr>
        <w:spacing w:before="100" w:beforeAutospacing="1" w:after="100" w:afterAutospacing="1" w:line="360" w:lineRule="auto"/>
        <w:jc w:val="both"/>
        <w:rPr>
          <w:rFonts w:ascii="Arial" w:eastAsia="Times New Roman" w:hAnsi="Arial" w:cs="Arial"/>
          <w:kern w:val="0"/>
          <w:sz w:val="20"/>
          <w:szCs w:val="20"/>
          <w:lang w:eastAsia="en-IN" w:bidi="hi-IN"/>
        </w:rPr>
      </w:pPr>
      <w:r w:rsidRPr="00EF0CA2">
        <w:rPr>
          <w:rFonts w:ascii="Arial" w:eastAsia="Times New Roman" w:hAnsi="Arial" w:cs="Arial"/>
          <w:kern w:val="0"/>
          <w:sz w:val="20"/>
          <w:szCs w:val="20"/>
          <w:lang w:eastAsia="en-IN" w:bidi="hi-IN"/>
        </w:rPr>
        <w:t xml:space="preserve">where </w:t>
      </w:r>
      <w:r w:rsidRPr="00EF0CA2">
        <w:rPr>
          <w:rFonts w:ascii="Arial" w:eastAsia="Times New Roman" w:hAnsi="Arial" w:cs="Arial"/>
          <w:i/>
          <w:iCs/>
          <w:kern w:val="0"/>
          <w:sz w:val="20"/>
          <w:szCs w:val="20"/>
          <w:lang w:eastAsia="en-IN" w:bidi="hi-IN"/>
        </w:rPr>
        <w:t>I</w:t>
      </w:r>
      <w:r w:rsidRPr="00EF0CA2">
        <w:rPr>
          <w:rFonts w:ascii="Arial" w:eastAsia="Times New Roman" w:hAnsi="Arial" w:cs="Arial"/>
          <w:kern w:val="0"/>
          <w:sz w:val="20"/>
          <w:szCs w:val="20"/>
          <w:lang w:eastAsia="en-IN" w:bidi="hi-IN"/>
        </w:rPr>
        <w:t xml:space="preserve"> </w:t>
      </w:r>
      <w:proofErr w:type="gramStart"/>
      <w:r w:rsidRPr="00EF0CA2">
        <w:rPr>
          <w:rFonts w:ascii="Arial" w:eastAsia="Times New Roman" w:hAnsi="Arial" w:cs="Arial"/>
          <w:kern w:val="0"/>
          <w:sz w:val="20"/>
          <w:szCs w:val="20"/>
          <w:lang w:eastAsia="en-IN" w:bidi="hi-IN"/>
        </w:rPr>
        <w:t>denotes</w:t>
      </w:r>
      <w:proofErr w:type="gramEnd"/>
      <w:r w:rsidRPr="00EF0CA2">
        <w:rPr>
          <w:rFonts w:ascii="Arial" w:eastAsia="Times New Roman" w:hAnsi="Arial" w:cs="Arial"/>
          <w:kern w:val="0"/>
          <w:sz w:val="20"/>
          <w:szCs w:val="20"/>
          <w:lang w:eastAsia="en-IN" w:bidi="hi-IN"/>
        </w:rPr>
        <w:t xml:space="preserve"> the percentage of mycelial growth inhibition, and </w:t>
      </w:r>
      <w:r w:rsidRPr="00EF0CA2">
        <w:rPr>
          <w:rFonts w:ascii="Arial" w:eastAsia="Times New Roman" w:hAnsi="Arial" w:cs="Arial"/>
          <w:i/>
          <w:iCs/>
          <w:kern w:val="0"/>
          <w:sz w:val="20"/>
          <w:szCs w:val="20"/>
          <w:lang w:eastAsia="en-IN" w:bidi="hi-IN"/>
        </w:rPr>
        <w:t>C</w:t>
      </w:r>
      <w:r w:rsidRPr="00EF0CA2">
        <w:rPr>
          <w:rFonts w:ascii="Arial" w:eastAsia="Times New Roman" w:hAnsi="Arial" w:cs="Arial"/>
          <w:kern w:val="0"/>
          <w:sz w:val="20"/>
          <w:szCs w:val="20"/>
          <w:lang w:eastAsia="en-IN" w:bidi="hi-IN"/>
        </w:rPr>
        <w:t xml:space="preserve"> and </w:t>
      </w:r>
      <w:r w:rsidRPr="00EF0CA2">
        <w:rPr>
          <w:rFonts w:ascii="Arial" w:eastAsia="Times New Roman" w:hAnsi="Arial" w:cs="Arial"/>
          <w:i/>
          <w:iCs/>
          <w:kern w:val="0"/>
          <w:sz w:val="20"/>
          <w:szCs w:val="20"/>
          <w:lang w:eastAsia="en-IN" w:bidi="hi-IN"/>
        </w:rPr>
        <w:t>T</w:t>
      </w:r>
      <w:r w:rsidRPr="00EF0CA2">
        <w:rPr>
          <w:rFonts w:ascii="Arial" w:eastAsia="Times New Roman" w:hAnsi="Arial" w:cs="Arial"/>
          <w:kern w:val="0"/>
          <w:sz w:val="20"/>
          <w:szCs w:val="20"/>
          <w:lang w:eastAsia="en-IN" w:bidi="hi-IN"/>
        </w:rPr>
        <w:t xml:space="preserve"> represent the mean colony diameter in the control and fungicide-treated plates, respectively. Each treatment was replicated three times, and colony diameter was measured along two perpendicular axes to obtain the mean value. Data were subjected to analysis of variance (ANOVA), and treatment means were compared using the least significant difference (LSD) test with the aid of the R package “agricolae</w:t>
      </w:r>
      <w:r w:rsidRPr="00EF0CA2">
        <w:rPr>
          <w:rFonts w:ascii="Arial" w:eastAsia="Times New Roman" w:hAnsi="Arial" w:cs="Arial"/>
          <w:i/>
          <w:iCs/>
          <w:kern w:val="0"/>
          <w:sz w:val="20"/>
          <w:szCs w:val="20"/>
          <w:lang w:eastAsia="en-IN" w:bidi="hi-IN"/>
        </w:rPr>
        <w:t>”</w:t>
      </w:r>
      <w:r w:rsidRPr="00EF0CA2">
        <w:rPr>
          <w:rFonts w:ascii="Arial" w:eastAsia="Times New Roman" w:hAnsi="Arial" w:cs="Arial"/>
          <w:kern w:val="0"/>
          <w:sz w:val="20"/>
          <w:szCs w:val="20"/>
          <w:lang w:eastAsia="en-IN" w:bidi="hi-IN"/>
        </w:rPr>
        <w:t xml:space="preserve"> (Rajput </w:t>
      </w:r>
      <w:r w:rsidR="00F61F10" w:rsidRPr="00F61F10">
        <w:rPr>
          <w:rFonts w:ascii="Arial" w:eastAsia="Times New Roman" w:hAnsi="Arial" w:cs="Arial"/>
          <w:i/>
          <w:iCs/>
          <w:kern w:val="0"/>
          <w:sz w:val="20"/>
          <w:szCs w:val="20"/>
          <w:lang w:eastAsia="en-IN" w:bidi="hi-IN"/>
        </w:rPr>
        <w:t>et al</w:t>
      </w:r>
      <w:r w:rsidRPr="00EF0CA2">
        <w:rPr>
          <w:rFonts w:ascii="Arial" w:eastAsia="Times New Roman" w:hAnsi="Arial" w:cs="Arial"/>
          <w:kern w:val="0"/>
          <w:sz w:val="20"/>
          <w:szCs w:val="20"/>
          <w:lang w:eastAsia="en-IN" w:bidi="hi-IN"/>
        </w:rPr>
        <w:t>., 2025).</w:t>
      </w:r>
    </w:p>
    <w:p w14:paraId="075732C6"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RESULTS AND DISCUSSION</w:t>
      </w:r>
    </w:p>
    <w:p w14:paraId="37439C70"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In-vitro assessment of registered foliar fungicides for controlling charcoal rot:</w:t>
      </w:r>
    </w:p>
    <w:p w14:paraId="37D5571B"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The pooled analysis of mean mycelial growth inhibition revealed highly significant effects of fungicides (P &lt; 0.0001), concentrations (P &lt; 0.0001), and their interaction (fungicide × concentration) (P &lt; 0.0001). The percentage inhibition of charcoal rot pathogen growth varied significantly among the tested fungicides and concentration levels, indicating a strong influence of both individual treatments and their interactions on antifungal efficacy.</w:t>
      </w:r>
    </w:p>
    <w:p w14:paraId="0E7B83DF" w14:textId="233A9F83"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Results revealed a significant positive relationship between the mean mycelial growth inhibition of the CR pathogen and fungicide concentration. Maximum inhibition (78.25%) was recorded at the highest concentration (0.125%) (Table 1), which was significantly higher than at the other concentrations (0.10%, 0.05%, and 0.025%). Overall, an increase in fungicide concentration resulted in a corresponding increase in mycelial growth inhibition percentage. These results were consistent with previously reported outcomes by various researchers (Chouhan </w:t>
      </w:r>
      <w:r w:rsidR="00F61F10" w:rsidRPr="00F61F10">
        <w:rPr>
          <w:rFonts w:ascii="Arial" w:hAnsi="Arial" w:cs="Arial"/>
          <w:i/>
          <w:iCs/>
          <w:sz w:val="20"/>
          <w:szCs w:val="20"/>
        </w:rPr>
        <w:t>et al</w:t>
      </w:r>
      <w:r w:rsidRPr="00EF0CA2">
        <w:rPr>
          <w:rFonts w:ascii="Arial" w:hAnsi="Arial" w:cs="Arial"/>
          <w:sz w:val="20"/>
          <w:szCs w:val="20"/>
        </w:rPr>
        <w:t xml:space="preserve">., 2025; Kelgandre </w:t>
      </w:r>
      <w:r w:rsidR="00F61F10" w:rsidRPr="00F61F10">
        <w:rPr>
          <w:rFonts w:ascii="Arial" w:hAnsi="Arial" w:cs="Arial"/>
          <w:i/>
          <w:iCs/>
          <w:sz w:val="20"/>
          <w:szCs w:val="20"/>
        </w:rPr>
        <w:t>et al</w:t>
      </w:r>
      <w:r w:rsidRPr="00EF0CA2">
        <w:rPr>
          <w:rFonts w:ascii="Arial" w:hAnsi="Arial" w:cs="Arial"/>
          <w:sz w:val="20"/>
          <w:szCs w:val="20"/>
        </w:rPr>
        <w:t>., 2024).</w:t>
      </w:r>
    </w:p>
    <w:p w14:paraId="5A7499F7"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Among the evaluated fungicides, picoxystrobin + propiconazole showed the most superior results, with the highest mean mycelial inhibition (92.79%), superior to the rest of the treatments. The highest mycelial growth inhibition (92.94%) was observed with picoxystrobin + propiconazole at concentrations of 0.05%, 0.10%, and 0.125%, as well as with tebuconazole and picoxystrobin at 0.125%. These treatments were significantly more effective than the other fungicides at their respective concentrations. In contrast, hexaconazole and kresoxim-methyl exhibited significantly lower efficacy in controlling the pathogen, with kresoxim-methyl recording the lowest mean mycelial inhibition of 43.38%. </w:t>
      </w:r>
    </w:p>
    <w:p w14:paraId="46438A66" w14:textId="326AEA6D"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lastRenderedPageBreak/>
        <w:t xml:space="preserve">These findings are consistent with previous reports. Srinivas </w:t>
      </w:r>
      <w:r w:rsidR="00F61F10" w:rsidRPr="00F61F10">
        <w:rPr>
          <w:rFonts w:ascii="Arial" w:hAnsi="Arial" w:cs="Arial"/>
          <w:i/>
          <w:iCs/>
          <w:sz w:val="20"/>
          <w:szCs w:val="20"/>
        </w:rPr>
        <w:t>et al</w:t>
      </w:r>
      <w:r w:rsidRPr="00EF0CA2">
        <w:rPr>
          <w:rFonts w:ascii="Arial" w:hAnsi="Arial" w:cs="Arial"/>
          <w:sz w:val="20"/>
          <w:szCs w:val="20"/>
        </w:rPr>
        <w:t xml:space="preserve">. (2021) recorded complete mycelial inhibition of </w:t>
      </w:r>
      <w:r w:rsidRPr="00EF0CA2">
        <w:rPr>
          <w:rStyle w:val="Emphasis"/>
          <w:rFonts w:ascii="Arial" w:hAnsi="Arial" w:cs="Arial"/>
          <w:sz w:val="20"/>
          <w:szCs w:val="20"/>
        </w:rPr>
        <w:t>Macrophomina phaseolina</w:t>
      </w:r>
      <w:r w:rsidRPr="00EF0CA2">
        <w:rPr>
          <w:rFonts w:ascii="Arial" w:hAnsi="Arial" w:cs="Arial"/>
          <w:sz w:val="20"/>
          <w:szCs w:val="20"/>
        </w:rPr>
        <w:t xml:space="preserve"> with tebuconazole, both alone and in combination with trifloxystrobin. Similarly, Chouhan </w:t>
      </w:r>
      <w:r w:rsidR="00F61F10" w:rsidRPr="00F61F10">
        <w:rPr>
          <w:rFonts w:ascii="Arial" w:hAnsi="Arial" w:cs="Arial"/>
          <w:i/>
          <w:iCs/>
          <w:sz w:val="20"/>
          <w:szCs w:val="20"/>
        </w:rPr>
        <w:t>et al</w:t>
      </w:r>
      <w:r w:rsidRPr="00EF0CA2">
        <w:rPr>
          <w:rFonts w:ascii="Arial" w:hAnsi="Arial" w:cs="Arial"/>
          <w:sz w:val="20"/>
          <w:szCs w:val="20"/>
        </w:rPr>
        <w:t xml:space="preserve">. (2025) observed 100% inhibition with pyraclostrobin combined with metiram, while a high inhibition (92.16%) was recorded when pyraclostrobin was combined with thiophanate-methyl; tebuconazole also showed enhanced antifungal activity when used in combination with azoxystrobin. Comparable results were reported by Kelgandre </w:t>
      </w:r>
      <w:r w:rsidR="00F61F10" w:rsidRPr="00F61F10">
        <w:rPr>
          <w:rFonts w:ascii="Arial" w:hAnsi="Arial" w:cs="Arial"/>
          <w:i/>
          <w:iCs/>
          <w:sz w:val="20"/>
          <w:szCs w:val="20"/>
        </w:rPr>
        <w:t>et al</w:t>
      </w:r>
      <w:r w:rsidRPr="00EF0CA2">
        <w:rPr>
          <w:rFonts w:ascii="Arial" w:hAnsi="Arial" w:cs="Arial"/>
          <w:sz w:val="20"/>
          <w:szCs w:val="20"/>
        </w:rPr>
        <w:t xml:space="preserve">. (2024), who demonstrated effective suppression of mycelial growth with propiconazole and tebuconazole. Additionally, Dhawan </w:t>
      </w:r>
      <w:r w:rsidR="00F61F10" w:rsidRPr="00F61F10">
        <w:rPr>
          <w:rFonts w:ascii="Arial" w:hAnsi="Arial" w:cs="Arial"/>
          <w:i/>
          <w:iCs/>
          <w:sz w:val="20"/>
          <w:szCs w:val="20"/>
        </w:rPr>
        <w:t>et al</w:t>
      </w:r>
      <w:r w:rsidRPr="00EF0CA2">
        <w:rPr>
          <w:rFonts w:ascii="Arial" w:hAnsi="Arial" w:cs="Arial"/>
          <w:sz w:val="20"/>
          <w:szCs w:val="20"/>
        </w:rPr>
        <w:t>. (2024) observed higher inhibition with tebuconazole.</w:t>
      </w:r>
    </w:p>
    <w:p w14:paraId="0DF961FE" w14:textId="069803D3"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Tebuconazole, a member of the azole class, inhibits ergosterol biosynthesis in fungi by binding to sterol 14α-demethylase (CYP51), leading to disruption of cell membrane integrity (Meireles </w:t>
      </w:r>
      <w:r w:rsidR="00F61F10" w:rsidRPr="00F61F10">
        <w:rPr>
          <w:rFonts w:ascii="Arial" w:hAnsi="Arial" w:cs="Arial"/>
          <w:i/>
          <w:iCs/>
          <w:sz w:val="20"/>
          <w:szCs w:val="20"/>
        </w:rPr>
        <w:t>et al</w:t>
      </w:r>
      <w:r w:rsidRPr="00EF0CA2">
        <w:rPr>
          <w:rFonts w:ascii="Arial" w:hAnsi="Arial" w:cs="Arial"/>
          <w:sz w:val="20"/>
          <w:szCs w:val="20"/>
        </w:rPr>
        <w:t xml:space="preserve">., 2025). In contrast, azoxystrobin and pyraclostrobin, which are quinone outside inhibitor (QoI) fungicides, impede electron transport at the quinol-oxidizing site of the cytochrome </w:t>
      </w:r>
      <w:r w:rsidRPr="00EF0CA2">
        <w:rPr>
          <w:rStyle w:val="Emphasis"/>
          <w:rFonts w:ascii="Arial" w:hAnsi="Arial" w:cs="Arial"/>
          <w:sz w:val="20"/>
          <w:szCs w:val="20"/>
        </w:rPr>
        <w:t>bc1</w:t>
      </w:r>
      <w:r w:rsidRPr="00EF0CA2">
        <w:rPr>
          <w:rFonts w:ascii="Arial" w:hAnsi="Arial" w:cs="Arial"/>
          <w:sz w:val="20"/>
          <w:szCs w:val="20"/>
        </w:rPr>
        <w:t xml:space="preserve"> complex (Complex III), thereby inhibiting mitochondrial respiration (Song </w:t>
      </w:r>
      <w:r w:rsidR="00F61F10" w:rsidRPr="00F61F10">
        <w:rPr>
          <w:rFonts w:ascii="Arial" w:hAnsi="Arial" w:cs="Arial"/>
          <w:i/>
          <w:iCs/>
          <w:sz w:val="20"/>
          <w:szCs w:val="20"/>
        </w:rPr>
        <w:t>et al</w:t>
      </w:r>
      <w:r w:rsidRPr="00EF0CA2">
        <w:rPr>
          <w:rFonts w:ascii="Arial" w:hAnsi="Arial" w:cs="Arial"/>
          <w:sz w:val="20"/>
          <w:szCs w:val="20"/>
        </w:rPr>
        <w:t xml:space="preserve">., 2022). Collectively, these studies support the present findings and underscore the superior efficacy of triazole-based fungicides, either alone or in combination with strobilurins or multi-site fungicides, against </w:t>
      </w:r>
      <w:r w:rsidRPr="00EF0CA2">
        <w:rPr>
          <w:rStyle w:val="Emphasis"/>
          <w:rFonts w:ascii="Arial" w:hAnsi="Arial" w:cs="Arial"/>
          <w:sz w:val="20"/>
          <w:szCs w:val="20"/>
        </w:rPr>
        <w:t>M. phaseolina</w:t>
      </w:r>
      <w:r w:rsidRPr="00EF0CA2">
        <w:rPr>
          <w:rFonts w:ascii="Arial" w:hAnsi="Arial" w:cs="Arial"/>
          <w:sz w:val="20"/>
          <w:szCs w:val="20"/>
        </w:rPr>
        <w:t>.</w:t>
      </w:r>
    </w:p>
    <w:p w14:paraId="7E967109"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Table 1: Percent inhibition of mean mycelial growth (%) of registered fungicides for foliar application against charcoal rot</w:t>
      </w:r>
    </w:p>
    <w:tbl>
      <w:tblPr>
        <w:tblW w:w="8827" w:type="dxa"/>
        <w:tblLook w:val="04A0" w:firstRow="1" w:lastRow="0" w:firstColumn="1" w:lastColumn="0" w:noHBand="0" w:noVBand="1"/>
      </w:tblPr>
      <w:tblGrid>
        <w:gridCol w:w="3366"/>
        <w:gridCol w:w="1472"/>
        <w:gridCol w:w="1027"/>
        <w:gridCol w:w="983"/>
        <w:gridCol w:w="996"/>
        <w:gridCol w:w="983"/>
      </w:tblGrid>
      <w:tr w:rsidR="009D7818" w:rsidRPr="00EF0CA2" w14:paraId="0DA42FC1" w14:textId="77777777" w:rsidTr="00433810">
        <w:trPr>
          <w:trHeight w:val="573"/>
        </w:trPr>
        <w:tc>
          <w:tcPr>
            <w:tcW w:w="3366" w:type="dxa"/>
            <w:vMerge w:val="restart"/>
            <w:tcBorders>
              <w:top w:val="single" w:sz="4" w:space="0" w:color="auto"/>
            </w:tcBorders>
            <w:hideMark/>
          </w:tcPr>
          <w:p w14:paraId="6C7B6738"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bookmarkStart w:id="5" w:name="_Hlk217996878"/>
            <w:r w:rsidRPr="00EF0CA2">
              <w:rPr>
                <w:rFonts w:ascii="Arial" w:eastAsia="Times New Roman" w:hAnsi="Arial" w:cs="Arial"/>
                <w:b/>
                <w:bCs/>
                <w:color w:val="000000" w:themeColor="text1"/>
                <w:kern w:val="0"/>
                <w:sz w:val="20"/>
                <w:szCs w:val="20"/>
                <w:lang w:val="en-US" w:eastAsia="en-IN" w:bidi="ar-SA"/>
              </w:rPr>
              <w:t>Foliar application Fungicides</w:t>
            </w:r>
          </w:p>
        </w:tc>
        <w:tc>
          <w:tcPr>
            <w:tcW w:w="4478" w:type="dxa"/>
            <w:gridSpan w:val="4"/>
            <w:tcBorders>
              <w:top w:val="single" w:sz="4" w:space="0" w:color="auto"/>
            </w:tcBorders>
            <w:hideMark/>
          </w:tcPr>
          <w:p w14:paraId="5533C069"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Concentration (%)</w:t>
            </w:r>
            <w:r w:rsidRPr="00EF0CA2">
              <w:rPr>
                <w:rFonts w:ascii="Arial" w:eastAsia="Times New Roman" w:hAnsi="Arial" w:cs="Arial"/>
                <w:b/>
                <w:bCs/>
                <w:color w:val="000000" w:themeColor="text1"/>
                <w:kern w:val="0"/>
                <w:sz w:val="20"/>
                <w:szCs w:val="20"/>
                <w:lang w:eastAsia="en-IN" w:bidi="ar-SA"/>
              </w:rPr>
              <w:t> </w:t>
            </w:r>
          </w:p>
        </w:tc>
        <w:tc>
          <w:tcPr>
            <w:tcW w:w="983" w:type="dxa"/>
            <w:vMerge w:val="restart"/>
            <w:tcBorders>
              <w:top w:val="single" w:sz="4" w:space="0" w:color="auto"/>
            </w:tcBorders>
            <w:hideMark/>
          </w:tcPr>
          <w:p w14:paraId="3D6959BB"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Mean</w:t>
            </w:r>
          </w:p>
        </w:tc>
      </w:tr>
      <w:tr w:rsidR="009D7818" w:rsidRPr="00EF0CA2" w14:paraId="25D9088A" w14:textId="77777777" w:rsidTr="00433810">
        <w:trPr>
          <w:trHeight w:val="80"/>
        </w:trPr>
        <w:tc>
          <w:tcPr>
            <w:tcW w:w="3366" w:type="dxa"/>
            <w:vMerge/>
            <w:tcBorders>
              <w:bottom w:val="single" w:sz="4" w:space="0" w:color="auto"/>
            </w:tcBorders>
            <w:hideMark/>
          </w:tcPr>
          <w:p w14:paraId="6EC8CA44"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p>
        </w:tc>
        <w:tc>
          <w:tcPr>
            <w:tcW w:w="1472" w:type="dxa"/>
            <w:tcBorders>
              <w:bottom w:val="single" w:sz="4" w:space="0" w:color="auto"/>
            </w:tcBorders>
            <w:hideMark/>
          </w:tcPr>
          <w:p w14:paraId="280473AA"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0.025</w:t>
            </w:r>
          </w:p>
        </w:tc>
        <w:tc>
          <w:tcPr>
            <w:tcW w:w="1027" w:type="dxa"/>
            <w:tcBorders>
              <w:bottom w:val="single" w:sz="4" w:space="0" w:color="auto"/>
            </w:tcBorders>
            <w:hideMark/>
          </w:tcPr>
          <w:p w14:paraId="4DD5F608"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0.05</w:t>
            </w:r>
          </w:p>
        </w:tc>
        <w:tc>
          <w:tcPr>
            <w:tcW w:w="983" w:type="dxa"/>
            <w:tcBorders>
              <w:bottom w:val="single" w:sz="4" w:space="0" w:color="auto"/>
            </w:tcBorders>
            <w:hideMark/>
          </w:tcPr>
          <w:p w14:paraId="244C705E"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0.1</w:t>
            </w:r>
          </w:p>
        </w:tc>
        <w:tc>
          <w:tcPr>
            <w:tcW w:w="996" w:type="dxa"/>
            <w:tcBorders>
              <w:bottom w:val="single" w:sz="4" w:space="0" w:color="auto"/>
            </w:tcBorders>
            <w:hideMark/>
          </w:tcPr>
          <w:p w14:paraId="237F895C"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0.125</w:t>
            </w:r>
          </w:p>
        </w:tc>
        <w:tc>
          <w:tcPr>
            <w:tcW w:w="983" w:type="dxa"/>
            <w:vMerge/>
            <w:tcBorders>
              <w:bottom w:val="single" w:sz="4" w:space="0" w:color="auto"/>
            </w:tcBorders>
            <w:hideMark/>
          </w:tcPr>
          <w:p w14:paraId="6EC565A3"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p>
        </w:tc>
      </w:tr>
      <w:tr w:rsidR="009D7818" w:rsidRPr="00EF0CA2" w14:paraId="2AD633CB" w14:textId="77777777" w:rsidTr="00433810">
        <w:trPr>
          <w:trHeight w:val="460"/>
        </w:trPr>
        <w:tc>
          <w:tcPr>
            <w:tcW w:w="3366" w:type="dxa"/>
            <w:tcBorders>
              <w:top w:val="single" w:sz="4" w:space="0" w:color="auto"/>
            </w:tcBorders>
            <w:hideMark/>
          </w:tcPr>
          <w:p w14:paraId="12296662"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Picoxystrobin </w:t>
            </w:r>
          </w:p>
        </w:tc>
        <w:tc>
          <w:tcPr>
            <w:tcW w:w="1472" w:type="dxa"/>
            <w:tcBorders>
              <w:top w:val="single" w:sz="4" w:space="0" w:color="auto"/>
            </w:tcBorders>
            <w:vAlign w:val="center"/>
          </w:tcPr>
          <w:p w14:paraId="594985AE"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83.24</w:t>
            </w:r>
            <w:r w:rsidRPr="00EF0CA2">
              <w:rPr>
                <w:rFonts w:ascii="Arial" w:hAnsi="Arial" w:cs="Arial"/>
                <w:color w:val="000000" w:themeColor="text1"/>
                <w:sz w:val="20"/>
                <w:szCs w:val="20"/>
                <w:vertAlign w:val="superscript"/>
              </w:rPr>
              <w:t>ij</w:t>
            </w:r>
          </w:p>
        </w:tc>
        <w:tc>
          <w:tcPr>
            <w:tcW w:w="1027" w:type="dxa"/>
            <w:tcBorders>
              <w:top w:val="single" w:sz="4" w:space="0" w:color="auto"/>
            </w:tcBorders>
            <w:vAlign w:val="center"/>
          </w:tcPr>
          <w:p w14:paraId="749A5A5F"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87.06</w:t>
            </w:r>
            <w:r w:rsidRPr="00EF0CA2">
              <w:rPr>
                <w:rFonts w:ascii="Arial" w:hAnsi="Arial" w:cs="Arial"/>
                <w:color w:val="000000" w:themeColor="text1"/>
                <w:sz w:val="20"/>
                <w:szCs w:val="20"/>
                <w:vertAlign w:val="superscript"/>
              </w:rPr>
              <w:t>g</w:t>
            </w:r>
          </w:p>
        </w:tc>
        <w:tc>
          <w:tcPr>
            <w:tcW w:w="983" w:type="dxa"/>
            <w:tcBorders>
              <w:top w:val="single" w:sz="4" w:space="0" w:color="auto"/>
            </w:tcBorders>
            <w:vAlign w:val="center"/>
          </w:tcPr>
          <w:p w14:paraId="6089D982"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91.18</w:t>
            </w:r>
            <w:r w:rsidRPr="00EF0CA2">
              <w:rPr>
                <w:rFonts w:ascii="Arial" w:hAnsi="Arial" w:cs="Arial"/>
                <w:color w:val="000000" w:themeColor="text1"/>
                <w:sz w:val="20"/>
                <w:szCs w:val="20"/>
                <w:vertAlign w:val="superscript"/>
              </w:rPr>
              <w:t>c</w:t>
            </w:r>
          </w:p>
        </w:tc>
        <w:tc>
          <w:tcPr>
            <w:tcW w:w="996" w:type="dxa"/>
            <w:tcBorders>
              <w:top w:val="single" w:sz="4" w:space="0" w:color="auto"/>
            </w:tcBorders>
            <w:vAlign w:val="center"/>
          </w:tcPr>
          <w:p w14:paraId="236A38C1"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92.94</w:t>
            </w:r>
            <w:r w:rsidRPr="00EF0CA2">
              <w:rPr>
                <w:rFonts w:ascii="Arial" w:hAnsi="Arial" w:cs="Arial"/>
                <w:color w:val="000000" w:themeColor="text1"/>
                <w:sz w:val="20"/>
                <w:szCs w:val="20"/>
                <w:vertAlign w:val="superscript"/>
              </w:rPr>
              <w:t>a</w:t>
            </w:r>
          </w:p>
        </w:tc>
        <w:tc>
          <w:tcPr>
            <w:tcW w:w="983" w:type="dxa"/>
            <w:tcBorders>
              <w:top w:val="single" w:sz="4" w:space="0" w:color="auto"/>
            </w:tcBorders>
          </w:tcPr>
          <w:p w14:paraId="3D100680"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88.61</w:t>
            </w:r>
            <w:r w:rsidRPr="00EF0CA2">
              <w:rPr>
                <w:rFonts w:ascii="Arial" w:hAnsi="Arial" w:cs="Arial"/>
                <w:color w:val="000000" w:themeColor="text1"/>
                <w:sz w:val="20"/>
                <w:szCs w:val="20"/>
                <w:vertAlign w:val="superscript"/>
              </w:rPr>
              <w:t>b</w:t>
            </w:r>
          </w:p>
        </w:tc>
      </w:tr>
      <w:tr w:rsidR="009D7818" w:rsidRPr="00EF0CA2" w14:paraId="7DE02F4E" w14:textId="77777777" w:rsidTr="00433810">
        <w:trPr>
          <w:trHeight w:val="478"/>
        </w:trPr>
        <w:tc>
          <w:tcPr>
            <w:tcW w:w="3366" w:type="dxa"/>
            <w:hideMark/>
          </w:tcPr>
          <w:p w14:paraId="768DBDAC"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Hexaconazole   </w:t>
            </w:r>
          </w:p>
        </w:tc>
        <w:tc>
          <w:tcPr>
            <w:tcW w:w="1472" w:type="dxa"/>
            <w:vAlign w:val="center"/>
          </w:tcPr>
          <w:p w14:paraId="36B261E7"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48.53</w:t>
            </w:r>
            <w:r w:rsidRPr="00EF0CA2">
              <w:rPr>
                <w:rFonts w:ascii="Arial" w:hAnsi="Arial" w:cs="Arial"/>
                <w:color w:val="000000" w:themeColor="text1"/>
                <w:sz w:val="20"/>
                <w:szCs w:val="20"/>
                <w:vertAlign w:val="superscript"/>
              </w:rPr>
              <w:t>q</w:t>
            </w:r>
          </w:p>
        </w:tc>
        <w:tc>
          <w:tcPr>
            <w:tcW w:w="1027" w:type="dxa"/>
            <w:vAlign w:val="center"/>
          </w:tcPr>
          <w:p w14:paraId="74629C7A"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49.71</w:t>
            </w:r>
            <w:r w:rsidRPr="00EF0CA2">
              <w:rPr>
                <w:rFonts w:ascii="Arial" w:hAnsi="Arial" w:cs="Arial"/>
                <w:color w:val="000000" w:themeColor="text1"/>
                <w:sz w:val="20"/>
                <w:szCs w:val="20"/>
                <w:vertAlign w:val="superscript"/>
              </w:rPr>
              <w:t>p</w:t>
            </w:r>
          </w:p>
        </w:tc>
        <w:tc>
          <w:tcPr>
            <w:tcW w:w="983" w:type="dxa"/>
            <w:vAlign w:val="center"/>
          </w:tcPr>
          <w:p w14:paraId="0619F20E"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50.29</w:t>
            </w:r>
            <w:r w:rsidRPr="00EF0CA2">
              <w:rPr>
                <w:rFonts w:ascii="Arial" w:hAnsi="Arial" w:cs="Arial"/>
                <w:color w:val="000000" w:themeColor="text1"/>
                <w:sz w:val="20"/>
                <w:szCs w:val="20"/>
                <w:vertAlign w:val="superscript"/>
              </w:rPr>
              <w:t>o</w:t>
            </w:r>
          </w:p>
        </w:tc>
        <w:tc>
          <w:tcPr>
            <w:tcW w:w="996" w:type="dxa"/>
            <w:vAlign w:val="center"/>
          </w:tcPr>
          <w:p w14:paraId="2C67AEC5"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52.35</w:t>
            </w:r>
            <w:r w:rsidRPr="00EF0CA2">
              <w:rPr>
                <w:rFonts w:ascii="Arial" w:hAnsi="Arial" w:cs="Arial"/>
                <w:color w:val="000000" w:themeColor="text1"/>
                <w:sz w:val="20"/>
                <w:szCs w:val="20"/>
                <w:vertAlign w:val="superscript"/>
              </w:rPr>
              <w:t>n</w:t>
            </w:r>
          </w:p>
        </w:tc>
        <w:tc>
          <w:tcPr>
            <w:tcW w:w="983" w:type="dxa"/>
          </w:tcPr>
          <w:p w14:paraId="20A89170"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50.22</w:t>
            </w:r>
            <w:r w:rsidRPr="00EF0CA2">
              <w:rPr>
                <w:rFonts w:ascii="Arial" w:hAnsi="Arial" w:cs="Arial"/>
                <w:color w:val="000000" w:themeColor="text1"/>
                <w:sz w:val="20"/>
                <w:szCs w:val="20"/>
                <w:vertAlign w:val="superscript"/>
              </w:rPr>
              <w:t>f</w:t>
            </w:r>
          </w:p>
        </w:tc>
      </w:tr>
      <w:tr w:rsidR="009D7818" w:rsidRPr="00EF0CA2" w14:paraId="340CE78C" w14:textId="77777777" w:rsidTr="00433810">
        <w:trPr>
          <w:trHeight w:val="433"/>
        </w:trPr>
        <w:tc>
          <w:tcPr>
            <w:tcW w:w="3366" w:type="dxa"/>
            <w:hideMark/>
          </w:tcPr>
          <w:p w14:paraId="1C83B754"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Pyraclostrobin + Epoxiconaxole </w:t>
            </w:r>
          </w:p>
        </w:tc>
        <w:tc>
          <w:tcPr>
            <w:tcW w:w="1472" w:type="dxa"/>
            <w:vAlign w:val="center"/>
          </w:tcPr>
          <w:p w14:paraId="041CCBE4"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80.00</w:t>
            </w:r>
            <w:r w:rsidRPr="00EF0CA2">
              <w:rPr>
                <w:rFonts w:ascii="Arial" w:hAnsi="Arial" w:cs="Arial"/>
                <w:color w:val="000000" w:themeColor="text1"/>
                <w:sz w:val="20"/>
                <w:szCs w:val="20"/>
                <w:vertAlign w:val="superscript"/>
              </w:rPr>
              <w:t>l</w:t>
            </w:r>
          </w:p>
        </w:tc>
        <w:tc>
          <w:tcPr>
            <w:tcW w:w="1027" w:type="dxa"/>
            <w:vAlign w:val="center"/>
          </w:tcPr>
          <w:p w14:paraId="5FC68A0C"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86.18</w:t>
            </w:r>
            <w:r w:rsidRPr="00EF0CA2">
              <w:rPr>
                <w:rFonts w:ascii="Arial" w:hAnsi="Arial" w:cs="Arial"/>
                <w:color w:val="000000" w:themeColor="text1"/>
                <w:sz w:val="20"/>
                <w:szCs w:val="20"/>
                <w:vertAlign w:val="superscript"/>
              </w:rPr>
              <w:t>h</w:t>
            </w:r>
          </w:p>
        </w:tc>
        <w:tc>
          <w:tcPr>
            <w:tcW w:w="983" w:type="dxa"/>
            <w:vAlign w:val="center"/>
          </w:tcPr>
          <w:p w14:paraId="5EAACC3E"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87.35</w:t>
            </w:r>
            <w:r w:rsidRPr="00EF0CA2">
              <w:rPr>
                <w:rFonts w:ascii="Arial" w:hAnsi="Arial" w:cs="Arial"/>
                <w:color w:val="000000" w:themeColor="text1"/>
                <w:sz w:val="20"/>
                <w:szCs w:val="20"/>
                <w:vertAlign w:val="superscript"/>
              </w:rPr>
              <w:t>fg</w:t>
            </w:r>
          </w:p>
        </w:tc>
        <w:tc>
          <w:tcPr>
            <w:tcW w:w="996" w:type="dxa"/>
            <w:vAlign w:val="center"/>
          </w:tcPr>
          <w:p w14:paraId="596A5737"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87.94</w:t>
            </w:r>
            <w:r w:rsidRPr="00EF0CA2">
              <w:rPr>
                <w:rFonts w:ascii="Arial" w:hAnsi="Arial" w:cs="Arial"/>
                <w:color w:val="000000" w:themeColor="text1"/>
                <w:sz w:val="20"/>
                <w:szCs w:val="20"/>
                <w:vertAlign w:val="superscript"/>
              </w:rPr>
              <w:t>e</w:t>
            </w:r>
          </w:p>
        </w:tc>
        <w:tc>
          <w:tcPr>
            <w:tcW w:w="983" w:type="dxa"/>
          </w:tcPr>
          <w:p w14:paraId="5FA0BA03"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85.37</w:t>
            </w:r>
            <w:r w:rsidRPr="00EF0CA2">
              <w:rPr>
                <w:rFonts w:ascii="Arial" w:hAnsi="Arial" w:cs="Arial"/>
                <w:color w:val="000000" w:themeColor="text1"/>
                <w:sz w:val="20"/>
                <w:szCs w:val="20"/>
                <w:vertAlign w:val="superscript"/>
              </w:rPr>
              <w:t>d</w:t>
            </w:r>
          </w:p>
        </w:tc>
      </w:tr>
      <w:tr w:rsidR="009D7818" w:rsidRPr="00EF0CA2" w14:paraId="64D77708" w14:textId="77777777" w:rsidTr="00433810">
        <w:trPr>
          <w:trHeight w:val="449"/>
        </w:trPr>
        <w:tc>
          <w:tcPr>
            <w:tcW w:w="3366" w:type="dxa"/>
            <w:hideMark/>
          </w:tcPr>
          <w:p w14:paraId="6E1BB342"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Kresoxim-methyl </w:t>
            </w:r>
          </w:p>
        </w:tc>
        <w:tc>
          <w:tcPr>
            <w:tcW w:w="1472" w:type="dxa"/>
            <w:vAlign w:val="center"/>
          </w:tcPr>
          <w:p w14:paraId="37B8DD2B"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43.82</w:t>
            </w:r>
            <w:r w:rsidRPr="00EF0CA2">
              <w:rPr>
                <w:rFonts w:ascii="Arial" w:hAnsi="Arial" w:cs="Arial"/>
                <w:color w:val="000000" w:themeColor="text1"/>
                <w:sz w:val="20"/>
                <w:szCs w:val="20"/>
                <w:vertAlign w:val="superscript"/>
              </w:rPr>
              <w:t>s</w:t>
            </w:r>
          </w:p>
        </w:tc>
        <w:tc>
          <w:tcPr>
            <w:tcW w:w="1027" w:type="dxa"/>
            <w:vAlign w:val="center"/>
          </w:tcPr>
          <w:p w14:paraId="4A098D91"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42.65</w:t>
            </w:r>
            <w:r w:rsidRPr="00EF0CA2">
              <w:rPr>
                <w:rFonts w:ascii="Arial" w:hAnsi="Arial" w:cs="Arial"/>
                <w:color w:val="000000" w:themeColor="text1"/>
                <w:sz w:val="20"/>
                <w:szCs w:val="20"/>
                <w:vertAlign w:val="superscript"/>
              </w:rPr>
              <w:t>t</w:t>
            </w:r>
          </w:p>
        </w:tc>
        <w:tc>
          <w:tcPr>
            <w:tcW w:w="983" w:type="dxa"/>
            <w:vAlign w:val="center"/>
          </w:tcPr>
          <w:p w14:paraId="6B88D06F"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40.00</w:t>
            </w:r>
            <w:r w:rsidRPr="00EF0CA2">
              <w:rPr>
                <w:rFonts w:ascii="Arial" w:hAnsi="Arial" w:cs="Arial"/>
                <w:color w:val="000000" w:themeColor="text1"/>
                <w:sz w:val="20"/>
                <w:szCs w:val="20"/>
                <w:vertAlign w:val="superscript"/>
              </w:rPr>
              <w:t>u</w:t>
            </w:r>
          </w:p>
        </w:tc>
        <w:tc>
          <w:tcPr>
            <w:tcW w:w="996" w:type="dxa"/>
            <w:vAlign w:val="center"/>
          </w:tcPr>
          <w:p w14:paraId="7AB12D94"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47.06</w:t>
            </w:r>
            <w:r w:rsidRPr="00EF0CA2">
              <w:rPr>
                <w:rFonts w:ascii="Arial" w:hAnsi="Arial" w:cs="Arial"/>
                <w:color w:val="000000" w:themeColor="text1"/>
                <w:sz w:val="20"/>
                <w:szCs w:val="20"/>
                <w:vertAlign w:val="superscript"/>
              </w:rPr>
              <w:t>r</w:t>
            </w:r>
          </w:p>
        </w:tc>
        <w:tc>
          <w:tcPr>
            <w:tcW w:w="983" w:type="dxa"/>
          </w:tcPr>
          <w:p w14:paraId="7A2E7F52"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43.38</w:t>
            </w:r>
            <w:r w:rsidRPr="00EF0CA2">
              <w:rPr>
                <w:rFonts w:ascii="Arial" w:hAnsi="Arial" w:cs="Arial"/>
                <w:color w:val="000000" w:themeColor="text1"/>
                <w:sz w:val="20"/>
                <w:szCs w:val="20"/>
                <w:vertAlign w:val="superscript"/>
              </w:rPr>
              <w:t>g</w:t>
            </w:r>
          </w:p>
        </w:tc>
      </w:tr>
      <w:tr w:rsidR="009D7818" w:rsidRPr="00EF0CA2" w14:paraId="0E410048" w14:textId="77777777" w:rsidTr="00433810">
        <w:trPr>
          <w:trHeight w:val="426"/>
        </w:trPr>
        <w:tc>
          <w:tcPr>
            <w:tcW w:w="3366" w:type="dxa"/>
            <w:hideMark/>
          </w:tcPr>
          <w:p w14:paraId="38FE4CB1"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Propiconazole </w:t>
            </w:r>
          </w:p>
        </w:tc>
        <w:tc>
          <w:tcPr>
            <w:tcW w:w="1472" w:type="dxa"/>
            <w:vAlign w:val="center"/>
          </w:tcPr>
          <w:p w14:paraId="0ED0F387"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79.12</w:t>
            </w:r>
            <w:r w:rsidRPr="00EF0CA2">
              <w:rPr>
                <w:rFonts w:ascii="Arial" w:hAnsi="Arial" w:cs="Arial"/>
                <w:color w:val="000000" w:themeColor="text1"/>
                <w:sz w:val="20"/>
                <w:szCs w:val="20"/>
                <w:vertAlign w:val="superscript"/>
              </w:rPr>
              <w:t>m</w:t>
            </w:r>
          </w:p>
        </w:tc>
        <w:tc>
          <w:tcPr>
            <w:tcW w:w="1027" w:type="dxa"/>
            <w:vAlign w:val="center"/>
          </w:tcPr>
          <w:p w14:paraId="011B31A0"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80.88</w:t>
            </w:r>
            <w:r w:rsidRPr="00EF0CA2">
              <w:rPr>
                <w:rFonts w:ascii="Arial" w:hAnsi="Arial" w:cs="Arial"/>
                <w:color w:val="000000" w:themeColor="text1"/>
                <w:sz w:val="20"/>
                <w:szCs w:val="20"/>
                <w:vertAlign w:val="superscript"/>
              </w:rPr>
              <w:t>k</w:t>
            </w:r>
          </w:p>
        </w:tc>
        <w:tc>
          <w:tcPr>
            <w:tcW w:w="983" w:type="dxa"/>
            <w:vAlign w:val="center"/>
          </w:tcPr>
          <w:p w14:paraId="0B4B87B7"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81.18</w:t>
            </w:r>
            <w:r w:rsidRPr="00EF0CA2">
              <w:rPr>
                <w:rFonts w:ascii="Arial" w:hAnsi="Arial" w:cs="Arial"/>
                <w:color w:val="000000" w:themeColor="text1"/>
                <w:sz w:val="20"/>
                <w:szCs w:val="20"/>
                <w:vertAlign w:val="superscript"/>
              </w:rPr>
              <w:t>k</w:t>
            </w:r>
          </w:p>
        </w:tc>
        <w:tc>
          <w:tcPr>
            <w:tcW w:w="996" w:type="dxa"/>
            <w:vAlign w:val="center"/>
          </w:tcPr>
          <w:p w14:paraId="6BA240FC"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83.53</w:t>
            </w:r>
            <w:r w:rsidRPr="00EF0CA2">
              <w:rPr>
                <w:rFonts w:ascii="Arial" w:hAnsi="Arial" w:cs="Arial"/>
                <w:color w:val="000000" w:themeColor="text1"/>
                <w:sz w:val="20"/>
                <w:szCs w:val="20"/>
                <w:vertAlign w:val="superscript"/>
              </w:rPr>
              <w:t>i</w:t>
            </w:r>
          </w:p>
        </w:tc>
        <w:tc>
          <w:tcPr>
            <w:tcW w:w="983" w:type="dxa"/>
          </w:tcPr>
          <w:p w14:paraId="4AA3F028"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81.18</w:t>
            </w:r>
            <w:r w:rsidRPr="00EF0CA2">
              <w:rPr>
                <w:rFonts w:ascii="Arial" w:hAnsi="Arial" w:cs="Arial"/>
                <w:color w:val="000000" w:themeColor="text1"/>
                <w:sz w:val="20"/>
                <w:szCs w:val="20"/>
                <w:vertAlign w:val="superscript"/>
              </w:rPr>
              <w:t>e</w:t>
            </w:r>
          </w:p>
        </w:tc>
      </w:tr>
      <w:tr w:rsidR="009D7818" w:rsidRPr="00EF0CA2" w14:paraId="595F11DF" w14:textId="77777777" w:rsidTr="00433810">
        <w:trPr>
          <w:trHeight w:val="285"/>
        </w:trPr>
        <w:tc>
          <w:tcPr>
            <w:tcW w:w="3366" w:type="dxa"/>
            <w:hideMark/>
          </w:tcPr>
          <w:p w14:paraId="6EB48426"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Picoxystrobin + Propiconazole </w:t>
            </w:r>
          </w:p>
        </w:tc>
        <w:tc>
          <w:tcPr>
            <w:tcW w:w="1472" w:type="dxa"/>
            <w:vAlign w:val="center"/>
          </w:tcPr>
          <w:p w14:paraId="1E3E9646"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92.35</w:t>
            </w:r>
            <w:r w:rsidRPr="00EF0CA2">
              <w:rPr>
                <w:rFonts w:ascii="Arial" w:hAnsi="Arial" w:cs="Arial"/>
                <w:color w:val="000000" w:themeColor="text1"/>
                <w:sz w:val="20"/>
                <w:szCs w:val="20"/>
                <w:vertAlign w:val="superscript"/>
              </w:rPr>
              <w:t>b</w:t>
            </w:r>
          </w:p>
        </w:tc>
        <w:tc>
          <w:tcPr>
            <w:tcW w:w="1027" w:type="dxa"/>
            <w:vAlign w:val="center"/>
          </w:tcPr>
          <w:p w14:paraId="6217C7A1"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92.94</w:t>
            </w:r>
            <w:r w:rsidRPr="00EF0CA2">
              <w:rPr>
                <w:rFonts w:ascii="Arial" w:hAnsi="Arial" w:cs="Arial"/>
                <w:color w:val="000000" w:themeColor="text1"/>
                <w:sz w:val="20"/>
                <w:szCs w:val="20"/>
                <w:vertAlign w:val="superscript"/>
              </w:rPr>
              <w:t>a</w:t>
            </w:r>
          </w:p>
        </w:tc>
        <w:tc>
          <w:tcPr>
            <w:tcW w:w="983" w:type="dxa"/>
            <w:vAlign w:val="center"/>
          </w:tcPr>
          <w:p w14:paraId="45526147"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92.94</w:t>
            </w:r>
            <w:r w:rsidRPr="00EF0CA2">
              <w:rPr>
                <w:rFonts w:ascii="Arial" w:hAnsi="Arial" w:cs="Arial"/>
                <w:color w:val="000000" w:themeColor="text1"/>
                <w:sz w:val="20"/>
                <w:szCs w:val="20"/>
                <w:vertAlign w:val="superscript"/>
              </w:rPr>
              <w:t>a</w:t>
            </w:r>
          </w:p>
        </w:tc>
        <w:tc>
          <w:tcPr>
            <w:tcW w:w="996" w:type="dxa"/>
            <w:vAlign w:val="center"/>
          </w:tcPr>
          <w:p w14:paraId="046AA8F4"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92.94</w:t>
            </w:r>
            <w:r w:rsidRPr="00EF0CA2">
              <w:rPr>
                <w:rFonts w:ascii="Arial" w:hAnsi="Arial" w:cs="Arial"/>
                <w:color w:val="000000" w:themeColor="text1"/>
                <w:sz w:val="20"/>
                <w:szCs w:val="20"/>
                <w:vertAlign w:val="superscript"/>
              </w:rPr>
              <w:t>a</w:t>
            </w:r>
          </w:p>
        </w:tc>
        <w:tc>
          <w:tcPr>
            <w:tcW w:w="983" w:type="dxa"/>
          </w:tcPr>
          <w:p w14:paraId="0AE0490C"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92.79</w:t>
            </w:r>
            <w:r w:rsidRPr="00EF0CA2">
              <w:rPr>
                <w:rFonts w:ascii="Arial" w:hAnsi="Arial" w:cs="Arial"/>
                <w:color w:val="000000" w:themeColor="text1"/>
                <w:sz w:val="20"/>
                <w:szCs w:val="20"/>
                <w:vertAlign w:val="superscript"/>
              </w:rPr>
              <w:t>a</w:t>
            </w:r>
          </w:p>
        </w:tc>
      </w:tr>
      <w:tr w:rsidR="009D7818" w:rsidRPr="00EF0CA2" w14:paraId="36E12595" w14:textId="77777777" w:rsidTr="00433810">
        <w:trPr>
          <w:trHeight w:val="414"/>
        </w:trPr>
        <w:tc>
          <w:tcPr>
            <w:tcW w:w="3366" w:type="dxa"/>
            <w:hideMark/>
          </w:tcPr>
          <w:p w14:paraId="2F3D80EA"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Tebuconazole   </w:t>
            </w:r>
          </w:p>
        </w:tc>
        <w:tc>
          <w:tcPr>
            <w:tcW w:w="1472" w:type="dxa"/>
            <w:vAlign w:val="center"/>
          </w:tcPr>
          <w:p w14:paraId="65874FDF"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82.94</w:t>
            </w:r>
            <w:r w:rsidRPr="00EF0CA2">
              <w:rPr>
                <w:rFonts w:ascii="Arial" w:hAnsi="Arial" w:cs="Arial"/>
                <w:color w:val="000000" w:themeColor="text1"/>
                <w:sz w:val="20"/>
                <w:szCs w:val="20"/>
                <w:vertAlign w:val="superscript"/>
              </w:rPr>
              <w:t>j</w:t>
            </w:r>
          </w:p>
        </w:tc>
        <w:tc>
          <w:tcPr>
            <w:tcW w:w="1027" w:type="dxa"/>
            <w:vAlign w:val="center"/>
          </w:tcPr>
          <w:p w14:paraId="13100710"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89.12</w:t>
            </w:r>
            <w:r w:rsidRPr="00EF0CA2">
              <w:rPr>
                <w:rFonts w:ascii="Arial" w:hAnsi="Arial" w:cs="Arial"/>
                <w:color w:val="000000" w:themeColor="text1"/>
                <w:sz w:val="20"/>
                <w:szCs w:val="20"/>
                <w:vertAlign w:val="superscript"/>
              </w:rPr>
              <w:t>d</w:t>
            </w:r>
          </w:p>
        </w:tc>
        <w:tc>
          <w:tcPr>
            <w:tcW w:w="983" w:type="dxa"/>
            <w:vAlign w:val="center"/>
          </w:tcPr>
          <w:p w14:paraId="68EBBD9D"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87.65</w:t>
            </w:r>
            <w:r w:rsidRPr="00EF0CA2">
              <w:rPr>
                <w:rFonts w:ascii="Arial" w:hAnsi="Arial" w:cs="Arial"/>
                <w:color w:val="000000" w:themeColor="text1"/>
                <w:sz w:val="20"/>
                <w:szCs w:val="20"/>
                <w:vertAlign w:val="superscript"/>
              </w:rPr>
              <w:t>ef</w:t>
            </w:r>
          </w:p>
        </w:tc>
        <w:tc>
          <w:tcPr>
            <w:tcW w:w="996" w:type="dxa"/>
            <w:vAlign w:val="center"/>
          </w:tcPr>
          <w:p w14:paraId="36D610D8"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92.94</w:t>
            </w:r>
            <w:r w:rsidRPr="00EF0CA2">
              <w:rPr>
                <w:rFonts w:ascii="Arial" w:hAnsi="Arial" w:cs="Arial"/>
                <w:color w:val="000000" w:themeColor="text1"/>
                <w:sz w:val="20"/>
                <w:szCs w:val="20"/>
                <w:vertAlign w:val="superscript"/>
              </w:rPr>
              <w:t>a</w:t>
            </w:r>
          </w:p>
        </w:tc>
        <w:tc>
          <w:tcPr>
            <w:tcW w:w="983" w:type="dxa"/>
          </w:tcPr>
          <w:p w14:paraId="4D50FC05"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88.16</w:t>
            </w:r>
            <w:r w:rsidRPr="00EF0CA2">
              <w:rPr>
                <w:rFonts w:ascii="Arial" w:hAnsi="Arial" w:cs="Arial"/>
                <w:color w:val="000000" w:themeColor="text1"/>
                <w:sz w:val="20"/>
                <w:szCs w:val="20"/>
                <w:vertAlign w:val="superscript"/>
              </w:rPr>
              <w:t>c</w:t>
            </w:r>
          </w:p>
        </w:tc>
      </w:tr>
      <w:tr w:rsidR="009D7818" w:rsidRPr="00EF0CA2" w14:paraId="45F76F44" w14:textId="77777777" w:rsidTr="00433810">
        <w:trPr>
          <w:trHeight w:val="372"/>
        </w:trPr>
        <w:tc>
          <w:tcPr>
            <w:tcW w:w="3366" w:type="dxa"/>
            <w:tcBorders>
              <w:bottom w:val="single" w:sz="4" w:space="0" w:color="auto"/>
            </w:tcBorders>
            <w:hideMark/>
          </w:tcPr>
          <w:p w14:paraId="766B8FD4"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Mean</w:t>
            </w:r>
          </w:p>
        </w:tc>
        <w:tc>
          <w:tcPr>
            <w:tcW w:w="1472" w:type="dxa"/>
            <w:tcBorders>
              <w:bottom w:val="single" w:sz="4" w:space="0" w:color="auto"/>
            </w:tcBorders>
          </w:tcPr>
          <w:p w14:paraId="1779BBE4"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72.86</w:t>
            </w:r>
            <w:r w:rsidRPr="00EF0CA2">
              <w:rPr>
                <w:rFonts w:ascii="Arial" w:hAnsi="Arial" w:cs="Arial"/>
                <w:color w:val="000000" w:themeColor="text1"/>
                <w:sz w:val="20"/>
                <w:szCs w:val="20"/>
                <w:vertAlign w:val="superscript"/>
              </w:rPr>
              <w:t>d</w:t>
            </w:r>
          </w:p>
        </w:tc>
        <w:tc>
          <w:tcPr>
            <w:tcW w:w="1027" w:type="dxa"/>
            <w:tcBorders>
              <w:bottom w:val="single" w:sz="4" w:space="0" w:color="auto"/>
            </w:tcBorders>
          </w:tcPr>
          <w:p w14:paraId="3429E7AE"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75.51</w:t>
            </w:r>
            <w:r w:rsidRPr="00EF0CA2">
              <w:rPr>
                <w:rFonts w:ascii="Arial" w:hAnsi="Arial" w:cs="Arial"/>
                <w:color w:val="000000" w:themeColor="text1"/>
                <w:sz w:val="20"/>
                <w:szCs w:val="20"/>
                <w:vertAlign w:val="superscript"/>
              </w:rPr>
              <w:t>c</w:t>
            </w:r>
          </w:p>
        </w:tc>
        <w:tc>
          <w:tcPr>
            <w:tcW w:w="983" w:type="dxa"/>
            <w:tcBorders>
              <w:bottom w:val="single" w:sz="4" w:space="0" w:color="auto"/>
            </w:tcBorders>
          </w:tcPr>
          <w:p w14:paraId="46A9CD7C"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75.80</w:t>
            </w:r>
            <w:r w:rsidRPr="00EF0CA2">
              <w:rPr>
                <w:rFonts w:ascii="Arial" w:hAnsi="Arial" w:cs="Arial"/>
                <w:color w:val="000000" w:themeColor="text1"/>
                <w:sz w:val="20"/>
                <w:szCs w:val="20"/>
                <w:vertAlign w:val="superscript"/>
              </w:rPr>
              <w:t>b</w:t>
            </w:r>
          </w:p>
        </w:tc>
        <w:tc>
          <w:tcPr>
            <w:tcW w:w="996" w:type="dxa"/>
            <w:tcBorders>
              <w:bottom w:val="single" w:sz="4" w:space="0" w:color="auto"/>
            </w:tcBorders>
          </w:tcPr>
          <w:p w14:paraId="7B3CEEA0"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78.53</w:t>
            </w:r>
            <w:r w:rsidRPr="00EF0CA2">
              <w:rPr>
                <w:rFonts w:ascii="Arial" w:hAnsi="Arial" w:cs="Arial"/>
                <w:color w:val="000000" w:themeColor="text1"/>
                <w:sz w:val="20"/>
                <w:szCs w:val="20"/>
                <w:vertAlign w:val="superscript"/>
              </w:rPr>
              <w:t>a</w:t>
            </w:r>
          </w:p>
        </w:tc>
        <w:tc>
          <w:tcPr>
            <w:tcW w:w="983" w:type="dxa"/>
            <w:tcBorders>
              <w:bottom w:val="single" w:sz="4" w:space="0" w:color="auto"/>
            </w:tcBorders>
          </w:tcPr>
          <w:p w14:paraId="6B9B757F" w14:textId="77777777" w:rsidR="009D7818" w:rsidRPr="00EF0CA2" w:rsidRDefault="009D7818" w:rsidP="00EF0CA2">
            <w:pPr>
              <w:spacing w:line="360" w:lineRule="auto"/>
              <w:jc w:val="both"/>
              <w:rPr>
                <w:rFonts w:ascii="Arial" w:hAnsi="Arial" w:cs="Arial"/>
                <w:color w:val="000000" w:themeColor="text1"/>
                <w:sz w:val="20"/>
                <w:szCs w:val="20"/>
              </w:rPr>
            </w:pPr>
          </w:p>
        </w:tc>
      </w:tr>
    </w:tbl>
    <w:bookmarkEnd w:id="5"/>
    <w:p w14:paraId="40744D5C"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The data presented are the mean values obtained from three replicates per treatment. Statistical differences were determined using ANOVA followed by LSD test at p &lt; 0.05. Treatments sharing the same superscript letter are not significantly different, while different superscript letters indicate significant differences at p &lt; 0.05.</w:t>
      </w:r>
    </w:p>
    <w:p w14:paraId="6DBD5AFE"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lastRenderedPageBreak/>
        <w:t>In-vitro evaluation of fungicides registered for seed treatment application against charcoal rot</w:t>
      </w:r>
    </w:p>
    <w:p w14:paraId="1458C327"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Results from </w:t>
      </w:r>
      <w:r w:rsidRPr="00EF0CA2">
        <w:rPr>
          <w:rFonts w:ascii="Arial" w:hAnsi="Arial" w:cs="Arial"/>
          <w:i/>
          <w:sz w:val="20"/>
          <w:szCs w:val="20"/>
        </w:rPr>
        <w:t>in vitro</w:t>
      </w:r>
      <w:r w:rsidRPr="00EF0CA2">
        <w:rPr>
          <w:rFonts w:ascii="Arial" w:hAnsi="Arial" w:cs="Arial"/>
          <w:sz w:val="20"/>
          <w:szCs w:val="20"/>
        </w:rPr>
        <w:t xml:space="preserve"> evaluation of various seed dressing fungicides against the charcoal rot exhibited complete inhibition (100 %) of mycelium growth at all four tested fungicide concentrations (0.025%, 0.05%, 0.1%, and 0.125%) (Table 2), and </w:t>
      </w:r>
      <w:commentRangeStart w:id="6"/>
      <w:r w:rsidRPr="00EF0CA2">
        <w:rPr>
          <w:rFonts w:ascii="Arial" w:hAnsi="Arial" w:cs="Arial"/>
          <w:sz w:val="20"/>
          <w:szCs w:val="20"/>
        </w:rPr>
        <w:t>results</w:t>
      </w:r>
      <w:commentRangeEnd w:id="6"/>
      <w:r w:rsidR="008C3F8F">
        <w:rPr>
          <w:rStyle w:val="CommentReference"/>
        </w:rPr>
        <w:commentReference w:id="6"/>
      </w:r>
      <w:r w:rsidRPr="00EF0CA2">
        <w:rPr>
          <w:rFonts w:ascii="Arial" w:hAnsi="Arial" w:cs="Arial"/>
          <w:sz w:val="20"/>
          <w:szCs w:val="20"/>
        </w:rPr>
        <w:t xml:space="preserve"> demonstrate that all evaluated fungicides are equally effective against the pathogen, even at the lowest concentration. Means increasing the concentrations had no effect. The pooled analysis indicates no significant differences (P &gt; 0.05) among fungicides, concentrations, or a combination of both. </w:t>
      </w:r>
    </w:p>
    <w:p w14:paraId="2C4372D4" w14:textId="5419F730"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Similar results were also reported earlier by various scientists, like Srinivas </w:t>
      </w:r>
      <w:r w:rsidR="00F61F10" w:rsidRPr="00F61F10">
        <w:rPr>
          <w:rFonts w:ascii="Arial" w:hAnsi="Arial" w:cs="Arial"/>
          <w:i/>
          <w:iCs/>
          <w:sz w:val="20"/>
          <w:szCs w:val="20"/>
        </w:rPr>
        <w:t>et al</w:t>
      </w:r>
      <w:r w:rsidRPr="00EF0CA2">
        <w:rPr>
          <w:rFonts w:ascii="Arial" w:hAnsi="Arial" w:cs="Arial"/>
          <w:sz w:val="20"/>
          <w:szCs w:val="20"/>
        </w:rPr>
        <w:t xml:space="preserve">. (2021) Carbendazim exhibited 100 % mycelium inhibition for </w:t>
      </w:r>
      <w:r w:rsidRPr="00EF0CA2">
        <w:rPr>
          <w:rFonts w:ascii="Arial" w:hAnsi="Arial" w:cs="Arial"/>
          <w:i/>
          <w:sz w:val="20"/>
          <w:szCs w:val="20"/>
        </w:rPr>
        <w:t>M. phaseolina</w:t>
      </w:r>
      <w:r w:rsidRPr="00EF0CA2">
        <w:rPr>
          <w:rFonts w:ascii="Arial" w:hAnsi="Arial" w:cs="Arial"/>
          <w:sz w:val="20"/>
          <w:szCs w:val="20"/>
        </w:rPr>
        <w:t xml:space="preserve"> at all concentrations, while Mancozeb showed complete Inhibition at higher concentrations, similar to Trifloxystrobin in combination with Tebuconazole. In a related study, Chouhan </w:t>
      </w:r>
      <w:r w:rsidR="00F61F10" w:rsidRPr="00F61F10">
        <w:rPr>
          <w:rFonts w:ascii="Arial" w:hAnsi="Arial" w:cs="Arial"/>
          <w:i/>
          <w:iCs/>
          <w:sz w:val="20"/>
          <w:szCs w:val="20"/>
        </w:rPr>
        <w:t>et al</w:t>
      </w:r>
      <w:r w:rsidRPr="00EF0CA2">
        <w:rPr>
          <w:rFonts w:ascii="Arial" w:hAnsi="Arial" w:cs="Arial"/>
          <w:sz w:val="20"/>
          <w:szCs w:val="20"/>
        </w:rPr>
        <w:t xml:space="preserve">. (2025) reported complete inhibition of </w:t>
      </w:r>
      <w:r w:rsidRPr="00EF0CA2">
        <w:rPr>
          <w:rStyle w:val="Emphasis"/>
          <w:rFonts w:ascii="Arial" w:hAnsi="Arial" w:cs="Arial"/>
          <w:sz w:val="20"/>
          <w:szCs w:val="20"/>
        </w:rPr>
        <w:t>M. phaseolina</w:t>
      </w:r>
      <w:r w:rsidRPr="00EF0CA2">
        <w:rPr>
          <w:rFonts w:ascii="Arial" w:hAnsi="Arial" w:cs="Arial"/>
          <w:sz w:val="20"/>
          <w:szCs w:val="20"/>
        </w:rPr>
        <w:t xml:space="preserve"> with fungicidal combinations such as carboxin + thiram and carbendazim + mancozeb, while thiophanate-methyl + pyraclostrobin also exhibited substantial inhibitory effects. Similarly, Hingole and Kendre (2021) observed complete inhibition with carbendazim, whereas mancozeb and thiophanate-methyl caused notable reductions in mycelial growth. Kelgandre </w:t>
      </w:r>
      <w:r w:rsidR="00F61F10" w:rsidRPr="00F61F10">
        <w:rPr>
          <w:rFonts w:ascii="Arial" w:hAnsi="Arial" w:cs="Arial"/>
          <w:i/>
          <w:iCs/>
          <w:sz w:val="20"/>
          <w:szCs w:val="20"/>
        </w:rPr>
        <w:t>et al</w:t>
      </w:r>
      <w:r w:rsidRPr="00EF0CA2">
        <w:rPr>
          <w:rFonts w:ascii="Arial" w:hAnsi="Arial" w:cs="Arial"/>
          <w:sz w:val="20"/>
          <w:szCs w:val="20"/>
        </w:rPr>
        <w:t xml:space="preserve">. (2024) documented complete inhibition with carbendazim, with thiophanate-methyl showing good antifungal efficacy. Dhawan </w:t>
      </w:r>
      <w:r w:rsidR="00F61F10" w:rsidRPr="00F61F10">
        <w:rPr>
          <w:rFonts w:ascii="Arial" w:hAnsi="Arial" w:cs="Arial"/>
          <w:i/>
          <w:iCs/>
          <w:sz w:val="20"/>
          <w:szCs w:val="20"/>
        </w:rPr>
        <w:t>et al</w:t>
      </w:r>
      <w:r w:rsidRPr="00EF0CA2">
        <w:rPr>
          <w:rFonts w:ascii="Arial" w:hAnsi="Arial" w:cs="Arial"/>
          <w:sz w:val="20"/>
          <w:szCs w:val="20"/>
        </w:rPr>
        <w:t xml:space="preserve">. (2024) further reported complete inhibition with various fungicidal combinations, including carboxin + thiram and carbendazim + mancozeb, as well as with mancozeb alone, even at low concentrations (0.25%), while carbendazim and thiophanate-methyl also demonstrated considerable inhibitory activity. Collectively, these studies corroborate the present findings and highlight the effectiveness of systemic and combination fungicides in managing </w:t>
      </w:r>
      <w:r w:rsidRPr="00EF0CA2">
        <w:rPr>
          <w:rStyle w:val="Emphasis"/>
          <w:rFonts w:ascii="Arial" w:hAnsi="Arial" w:cs="Arial"/>
          <w:sz w:val="20"/>
          <w:szCs w:val="20"/>
        </w:rPr>
        <w:t>M. phaseolina</w:t>
      </w:r>
      <w:r w:rsidRPr="00EF0CA2">
        <w:rPr>
          <w:rFonts w:ascii="Arial" w:hAnsi="Arial" w:cs="Arial"/>
          <w:sz w:val="20"/>
          <w:szCs w:val="20"/>
        </w:rPr>
        <w:t>.</w:t>
      </w:r>
    </w:p>
    <w:p w14:paraId="43CA8755" w14:textId="79087632"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Carbendazim and thiophanate-methyl belong to the benzimidazole class of fungicides (Bai </w:t>
      </w:r>
      <w:r w:rsidR="00F61F10" w:rsidRPr="00F61F10">
        <w:rPr>
          <w:rFonts w:ascii="Arial" w:hAnsi="Arial" w:cs="Arial"/>
          <w:i/>
          <w:iCs/>
          <w:sz w:val="20"/>
          <w:szCs w:val="20"/>
        </w:rPr>
        <w:t>et al</w:t>
      </w:r>
      <w:r w:rsidRPr="00EF0CA2">
        <w:rPr>
          <w:rFonts w:ascii="Arial" w:hAnsi="Arial" w:cs="Arial"/>
          <w:sz w:val="20"/>
          <w:szCs w:val="20"/>
        </w:rPr>
        <w:t xml:space="preserve">., 2024). Carbendazim inhibits fungal growth by binding to β-tubulin and disrupting microtubule formation (Zhou </w:t>
      </w:r>
      <w:r w:rsidR="00F61F10" w:rsidRPr="00F61F10">
        <w:rPr>
          <w:rFonts w:ascii="Arial" w:hAnsi="Arial" w:cs="Arial"/>
          <w:i/>
          <w:iCs/>
          <w:sz w:val="20"/>
          <w:szCs w:val="20"/>
        </w:rPr>
        <w:t>et al</w:t>
      </w:r>
      <w:r w:rsidRPr="00EF0CA2">
        <w:rPr>
          <w:rFonts w:ascii="Arial" w:hAnsi="Arial" w:cs="Arial"/>
          <w:sz w:val="20"/>
          <w:szCs w:val="20"/>
        </w:rPr>
        <w:t xml:space="preserve">., 2016), whereas thiophanate-methyl interferes with hyphal development and is metabolized into carbendazim within plants, exerting similar effects (Bai </w:t>
      </w:r>
      <w:r w:rsidR="00F61F10" w:rsidRPr="00F61F10">
        <w:rPr>
          <w:rFonts w:ascii="Arial" w:hAnsi="Arial" w:cs="Arial"/>
          <w:i/>
          <w:iCs/>
          <w:sz w:val="20"/>
          <w:szCs w:val="20"/>
        </w:rPr>
        <w:t>et al</w:t>
      </w:r>
      <w:r w:rsidRPr="00EF0CA2">
        <w:rPr>
          <w:rFonts w:ascii="Arial" w:hAnsi="Arial" w:cs="Arial"/>
          <w:sz w:val="20"/>
          <w:szCs w:val="20"/>
        </w:rPr>
        <w:t xml:space="preserve">., 2024). Mancozeb functions by interacting with sulfhydryl groups of enzymes, thereby disrupting key biochemical processes in the fungus (Ben Naim and Cohen, 2023). Thiram targets glutathione reductase (Elskens and Penninckx, 1995), while carboxin inhibits succinate–cytochrome </w:t>
      </w:r>
      <w:r w:rsidRPr="00EF0CA2">
        <w:rPr>
          <w:rStyle w:val="Emphasis"/>
          <w:rFonts w:ascii="Arial" w:hAnsi="Arial" w:cs="Arial"/>
          <w:sz w:val="20"/>
          <w:szCs w:val="20"/>
        </w:rPr>
        <w:t>c</w:t>
      </w:r>
      <w:r w:rsidRPr="00EF0CA2">
        <w:rPr>
          <w:rFonts w:ascii="Arial" w:hAnsi="Arial" w:cs="Arial"/>
          <w:sz w:val="20"/>
          <w:szCs w:val="20"/>
        </w:rPr>
        <w:t xml:space="preserve"> reductase in mitochondria (Ulrich and Mathre, 1972). That ultimately affects fundamental fungal processes such as respiration.</w:t>
      </w:r>
    </w:p>
    <w:p w14:paraId="57A3C824"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Table 2: Percent inhibition of mean mycelial growth (%) of registered fungicides for seed treatment application against charcoal rot</w:t>
      </w:r>
    </w:p>
    <w:tbl>
      <w:tblPr>
        <w:tblW w:w="8827" w:type="dxa"/>
        <w:tblLayout w:type="fixed"/>
        <w:tblLook w:val="04A0" w:firstRow="1" w:lastRow="0" w:firstColumn="1" w:lastColumn="0" w:noHBand="0" w:noVBand="1"/>
      </w:tblPr>
      <w:tblGrid>
        <w:gridCol w:w="3794"/>
        <w:gridCol w:w="1044"/>
        <w:gridCol w:w="1027"/>
        <w:gridCol w:w="983"/>
        <w:gridCol w:w="996"/>
        <w:gridCol w:w="983"/>
      </w:tblGrid>
      <w:tr w:rsidR="009D7818" w:rsidRPr="00EF0CA2" w14:paraId="5ED1555C" w14:textId="77777777" w:rsidTr="00433810">
        <w:trPr>
          <w:trHeight w:val="573"/>
        </w:trPr>
        <w:tc>
          <w:tcPr>
            <w:tcW w:w="3794" w:type="dxa"/>
            <w:vMerge w:val="restart"/>
            <w:tcBorders>
              <w:top w:val="single" w:sz="4" w:space="0" w:color="auto"/>
            </w:tcBorders>
            <w:hideMark/>
          </w:tcPr>
          <w:p w14:paraId="4141E0B3"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Foliar application Fungicides</w:t>
            </w:r>
          </w:p>
        </w:tc>
        <w:tc>
          <w:tcPr>
            <w:tcW w:w="4050" w:type="dxa"/>
            <w:gridSpan w:val="4"/>
            <w:tcBorders>
              <w:top w:val="single" w:sz="4" w:space="0" w:color="auto"/>
            </w:tcBorders>
            <w:hideMark/>
          </w:tcPr>
          <w:p w14:paraId="175601C8"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Concentration (%)</w:t>
            </w:r>
            <w:r w:rsidRPr="00EF0CA2">
              <w:rPr>
                <w:rFonts w:ascii="Arial" w:eastAsia="Times New Roman" w:hAnsi="Arial" w:cs="Arial"/>
                <w:b/>
                <w:bCs/>
                <w:color w:val="000000"/>
                <w:kern w:val="0"/>
                <w:sz w:val="20"/>
                <w:szCs w:val="20"/>
                <w:lang w:eastAsia="en-IN" w:bidi="ar-SA"/>
              </w:rPr>
              <w:t> </w:t>
            </w:r>
          </w:p>
        </w:tc>
        <w:tc>
          <w:tcPr>
            <w:tcW w:w="983" w:type="dxa"/>
            <w:vMerge w:val="restart"/>
            <w:tcBorders>
              <w:top w:val="single" w:sz="4" w:space="0" w:color="auto"/>
            </w:tcBorders>
            <w:hideMark/>
          </w:tcPr>
          <w:p w14:paraId="598F0576"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Mean</w:t>
            </w:r>
          </w:p>
        </w:tc>
      </w:tr>
      <w:tr w:rsidR="009D7818" w:rsidRPr="00EF0CA2" w14:paraId="0004A09C" w14:textId="77777777" w:rsidTr="00433810">
        <w:trPr>
          <w:trHeight w:val="80"/>
        </w:trPr>
        <w:tc>
          <w:tcPr>
            <w:tcW w:w="3794" w:type="dxa"/>
            <w:vMerge/>
            <w:tcBorders>
              <w:bottom w:val="single" w:sz="4" w:space="0" w:color="auto"/>
            </w:tcBorders>
            <w:hideMark/>
          </w:tcPr>
          <w:p w14:paraId="1FC48DEE"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p>
        </w:tc>
        <w:tc>
          <w:tcPr>
            <w:tcW w:w="1044" w:type="dxa"/>
            <w:tcBorders>
              <w:bottom w:val="single" w:sz="4" w:space="0" w:color="auto"/>
            </w:tcBorders>
            <w:hideMark/>
          </w:tcPr>
          <w:p w14:paraId="52859F54"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0.025</w:t>
            </w:r>
          </w:p>
        </w:tc>
        <w:tc>
          <w:tcPr>
            <w:tcW w:w="1027" w:type="dxa"/>
            <w:tcBorders>
              <w:bottom w:val="single" w:sz="4" w:space="0" w:color="auto"/>
            </w:tcBorders>
            <w:hideMark/>
          </w:tcPr>
          <w:p w14:paraId="6B3E385F"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0.05</w:t>
            </w:r>
          </w:p>
        </w:tc>
        <w:tc>
          <w:tcPr>
            <w:tcW w:w="983" w:type="dxa"/>
            <w:tcBorders>
              <w:bottom w:val="single" w:sz="4" w:space="0" w:color="auto"/>
            </w:tcBorders>
            <w:hideMark/>
          </w:tcPr>
          <w:p w14:paraId="4D059311"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0.1</w:t>
            </w:r>
          </w:p>
        </w:tc>
        <w:tc>
          <w:tcPr>
            <w:tcW w:w="996" w:type="dxa"/>
            <w:tcBorders>
              <w:bottom w:val="single" w:sz="4" w:space="0" w:color="auto"/>
            </w:tcBorders>
            <w:hideMark/>
          </w:tcPr>
          <w:p w14:paraId="69E7C512"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0.125</w:t>
            </w:r>
          </w:p>
        </w:tc>
        <w:tc>
          <w:tcPr>
            <w:tcW w:w="983" w:type="dxa"/>
            <w:vMerge/>
            <w:tcBorders>
              <w:bottom w:val="single" w:sz="4" w:space="0" w:color="auto"/>
            </w:tcBorders>
            <w:hideMark/>
          </w:tcPr>
          <w:p w14:paraId="7B8031D5"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p>
        </w:tc>
      </w:tr>
      <w:tr w:rsidR="009D7818" w:rsidRPr="00EF0CA2" w14:paraId="56C7F28B" w14:textId="77777777" w:rsidTr="00433810">
        <w:trPr>
          <w:trHeight w:val="460"/>
        </w:trPr>
        <w:tc>
          <w:tcPr>
            <w:tcW w:w="3794" w:type="dxa"/>
            <w:tcBorders>
              <w:top w:val="single" w:sz="4" w:space="0" w:color="auto"/>
            </w:tcBorders>
            <w:hideMark/>
          </w:tcPr>
          <w:p w14:paraId="4C922742" w14:textId="77777777" w:rsidR="009D7818" w:rsidRPr="00EF0CA2" w:rsidRDefault="009D7818" w:rsidP="00EF0CA2">
            <w:pPr>
              <w:spacing w:line="360" w:lineRule="auto"/>
              <w:jc w:val="both"/>
              <w:rPr>
                <w:rFonts w:ascii="Arial" w:eastAsia="Times New Roman" w:hAnsi="Arial" w:cs="Arial"/>
                <w:color w:val="000000"/>
                <w:kern w:val="0"/>
                <w:sz w:val="20"/>
                <w:szCs w:val="20"/>
                <w:lang w:eastAsia="en-IN" w:bidi="ar-SA"/>
              </w:rPr>
            </w:pPr>
            <w:r w:rsidRPr="00EF0CA2">
              <w:rPr>
                <w:rFonts w:ascii="Arial" w:eastAsia="Times New Roman" w:hAnsi="Arial" w:cs="Arial"/>
                <w:color w:val="000000"/>
                <w:kern w:val="0"/>
                <w:sz w:val="20"/>
                <w:szCs w:val="20"/>
                <w:lang w:val="en-US" w:eastAsia="en-IN" w:bidi="ar-SA"/>
              </w:rPr>
              <w:lastRenderedPageBreak/>
              <w:t>Thiophanate Methyl 450g/l + Pyraclostrobin 50g/l w/v FS</w:t>
            </w:r>
          </w:p>
        </w:tc>
        <w:tc>
          <w:tcPr>
            <w:tcW w:w="1044" w:type="dxa"/>
            <w:tcBorders>
              <w:top w:val="single" w:sz="4" w:space="0" w:color="auto"/>
            </w:tcBorders>
            <w:hideMark/>
          </w:tcPr>
          <w:p w14:paraId="1DF8FDB9" w14:textId="77777777" w:rsidR="009D7818" w:rsidRPr="00EF0CA2" w:rsidRDefault="009D7818" w:rsidP="00EF0CA2">
            <w:pPr>
              <w:spacing w:line="360" w:lineRule="auto"/>
              <w:jc w:val="both"/>
              <w:rPr>
                <w:rFonts w:ascii="Arial" w:hAnsi="Arial" w:cs="Arial"/>
                <w:color w:val="000000"/>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1027" w:type="dxa"/>
            <w:tcBorders>
              <w:top w:val="single" w:sz="4" w:space="0" w:color="auto"/>
            </w:tcBorders>
            <w:hideMark/>
          </w:tcPr>
          <w:p w14:paraId="742A7560"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tcBorders>
              <w:top w:val="single" w:sz="4" w:space="0" w:color="auto"/>
            </w:tcBorders>
            <w:hideMark/>
          </w:tcPr>
          <w:p w14:paraId="1BE5D58B"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96" w:type="dxa"/>
            <w:tcBorders>
              <w:top w:val="single" w:sz="4" w:space="0" w:color="auto"/>
            </w:tcBorders>
            <w:hideMark/>
          </w:tcPr>
          <w:p w14:paraId="5B3DFE1A"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tcBorders>
              <w:top w:val="single" w:sz="4" w:space="0" w:color="auto"/>
            </w:tcBorders>
            <w:hideMark/>
          </w:tcPr>
          <w:p w14:paraId="744A05A8"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r>
      <w:tr w:rsidR="009D7818" w:rsidRPr="00EF0CA2" w14:paraId="2756CC5A" w14:textId="77777777" w:rsidTr="00433810">
        <w:trPr>
          <w:trHeight w:val="478"/>
        </w:trPr>
        <w:tc>
          <w:tcPr>
            <w:tcW w:w="3794" w:type="dxa"/>
            <w:hideMark/>
          </w:tcPr>
          <w:p w14:paraId="4FB0A9B8" w14:textId="77777777" w:rsidR="009D7818" w:rsidRPr="00EF0CA2" w:rsidRDefault="009D7818" w:rsidP="00EF0CA2">
            <w:pPr>
              <w:spacing w:line="360" w:lineRule="auto"/>
              <w:jc w:val="both"/>
              <w:rPr>
                <w:rFonts w:ascii="Arial" w:eastAsia="Times New Roman" w:hAnsi="Arial" w:cs="Arial"/>
                <w:color w:val="000000"/>
                <w:kern w:val="0"/>
                <w:sz w:val="20"/>
                <w:szCs w:val="20"/>
                <w:lang w:eastAsia="en-IN" w:bidi="ar-SA"/>
              </w:rPr>
            </w:pPr>
            <w:r w:rsidRPr="00EF0CA2">
              <w:rPr>
                <w:rFonts w:ascii="Arial" w:eastAsia="Times New Roman" w:hAnsi="Arial" w:cs="Arial"/>
                <w:color w:val="000000"/>
                <w:kern w:val="0"/>
                <w:sz w:val="20"/>
                <w:szCs w:val="20"/>
                <w:lang w:val="en-US" w:eastAsia="en-IN" w:bidi="ar-SA"/>
              </w:rPr>
              <w:t>Penflufen 13.28% w/w + Trifloxystrobin 13.28% w/w FS</w:t>
            </w:r>
          </w:p>
        </w:tc>
        <w:tc>
          <w:tcPr>
            <w:tcW w:w="1044" w:type="dxa"/>
            <w:hideMark/>
          </w:tcPr>
          <w:p w14:paraId="476BCEE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1027" w:type="dxa"/>
            <w:hideMark/>
          </w:tcPr>
          <w:p w14:paraId="0DED9D0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6FAE1452"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96" w:type="dxa"/>
            <w:hideMark/>
          </w:tcPr>
          <w:p w14:paraId="044E7485"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50D8C6FE"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r>
      <w:tr w:rsidR="009D7818" w:rsidRPr="00EF0CA2" w14:paraId="0BA3CDDC" w14:textId="77777777" w:rsidTr="00433810">
        <w:trPr>
          <w:trHeight w:val="433"/>
        </w:trPr>
        <w:tc>
          <w:tcPr>
            <w:tcW w:w="3794" w:type="dxa"/>
            <w:hideMark/>
          </w:tcPr>
          <w:p w14:paraId="47EA5683" w14:textId="77777777" w:rsidR="009D7818" w:rsidRPr="00EF0CA2" w:rsidRDefault="009D7818" w:rsidP="00EF0CA2">
            <w:pPr>
              <w:spacing w:line="360" w:lineRule="auto"/>
              <w:jc w:val="both"/>
              <w:rPr>
                <w:rFonts w:ascii="Arial" w:eastAsia="Times New Roman" w:hAnsi="Arial" w:cs="Arial"/>
                <w:color w:val="000000"/>
                <w:kern w:val="0"/>
                <w:sz w:val="20"/>
                <w:szCs w:val="20"/>
                <w:lang w:eastAsia="en-IN" w:bidi="ar-SA"/>
              </w:rPr>
            </w:pPr>
            <w:r w:rsidRPr="00EF0CA2">
              <w:rPr>
                <w:rFonts w:ascii="Arial" w:eastAsia="Times New Roman" w:hAnsi="Arial" w:cs="Arial"/>
                <w:color w:val="000000"/>
                <w:kern w:val="0"/>
                <w:sz w:val="20"/>
                <w:szCs w:val="20"/>
                <w:lang w:val="en-US" w:eastAsia="en-IN" w:bidi="ar-SA"/>
              </w:rPr>
              <w:t>Carboxin37.5%+ Thiram37.5%DS</w:t>
            </w:r>
          </w:p>
        </w:tc>
        <w:tc>
          <w:tcPr>
            <w:tcW w:w="1044" w:type="dxa"/>
            <w:hideMark/>
          </w:tcPr>
          <w:p w14:paraId="0405B3D0"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1027" w:type="dxa"/>
            <w:hideMark/>
          </w:tcPr>
          <w:p w14:paraId="69CFEC54"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68AA5470"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96" w:type="dxa"/>
            <w:hideMark/>
          </w:tcPr>
          <w:p w14:paraId="69764B8A"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7A3CDAD3"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r>
      <w:tr w:rsidR="009D7818" w:rsidRPr="00EF0CA2" w14:paraId="1CF59F9A" w14:textId="77777777" w:rsidTr="00433810">
        <w:trPr>
          <w:trHeight w:val="449"/>
        </w:trPr>
        <w:tc>
          <w:tcPr>
            <w:tcW w:w="3794" w:type="dxa"/>
            <w:hideMark/>
          </w:tcPr>
          <w:p w14:paraId="261D387B" w14:textId="77777777" w:rsidR="009D7818" w:rsidRPr="00EF0CA2" w:rsidRDefault="009D7818" w:rsidP="00EF0CA2">
            <w:pPr>
              <w:spacing w:line="360" w:lineRule="auto"/>
              <w:jc w:val="both"/>
              <w:rPr>
                <w:rFonts w:ascii="Arial" w:eastAsia="Times New Roman" w:hAnsi="Arial" w:cs="Arial"/>
                <w:color w:val="000000"/>
                <w:kern w:val="0"/>
                <w:sz w:val="20"/>
                <w:szCs w:val="20"/>
                <w:lang w:eastAsia="en-IN" w:bidi="ar-SA"/>
              </w:rPr>
            </w:pPr>
            <w:r w:rsidRPr="00EF0CA2">
              <w:rPr>
                <w:rFonts w:ascii="Arial" w:eastAsia="Times New Roman" w:hAnsi="Arial" w:cs="Arial"/>
                <w:color w:val="000000"/>
                <w:kern w:val="0"/>
                <w:sz w:val="20"/>
                <w:szCs w:val="20"/>
                <w:lang w:val="en-US" w:eastAsia="en-IN" w:bidi="ar-SA"/>
              </w:rPr>
              <w:t>Carbendazim 25%+ Mancozeb 50% WS</w:t>
            </w:r>
          </w:p>
        </w:tc>
        <w:tc>
          <w:tcPr>
            <w:tcW w:w="1044" w:type="dxa"/>
            <w:hideMark/>
          </w:tcPr>
          <w:p w14:paraId="4A0C8C11"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1027" w:type="dxa"/>
            <w:hideMark/>
          </w:tcPr>
          <w:p w14:paraId="5E6649A8"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152497F0"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96" w:type="dxa"/>
            <w:hideMark/>
          </w:tcPr>
          <w:p w14:paraId="37E586DD"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7B739A5B"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r>
      <w:tr w:rsidR="009D7818" w:rsidRPr="00EF0CA2" w14:paraId="547960A6" w14:textId="77777777" w:rsidTr="00433810">
        <w:trPr>
          <w:trHeight w:val="426"/>
        </w:trPr>
        <w:tc>
          <w:tcPr>
            <w:tcW w:w="3794" w:type="dxa"/>
            <w:tcBorders>
              <w:bottom w:val="single" w:sz="4" w:space="0" w:color="auto"/>
            </w:tcBorders>
            <w:hideMark/>
          </w:tcPr>
          <w:p w14:paraId="15F8AB3E" w14:textId="77777777" w:rsidR="009D7818" w:rsidRPr="00EF0CA2" w:rsidRDefault="009D7818" w:rsidP="00EF0CA2">
            <w:pPr>
              <w:spacing w:line="360" w:lineRule="auto"/>
              <w:jc w:val="both"/>
              <w:rPr>
                <w:rFonts w:ascii="Arial" w:eastAsia="Times New Roman" w:hAnsi="Arial" w:cs="Arial"/>
                <w:color w:val="000000"/>
                <w:kern w:val="0"/>
                <w:sz w:val="20"/>
                <w:szCs w:val="20"/>
                <w:lang w:eastAsia="en-IN" w:bidi="ar-SA"/>
              </w:rPr>
            </w:pPr>
            <w:r w:rsidRPr="00EF0CA2">
              <w:rPr>
                <w:rFonts w:ascii="Arial" w:eastAsia="Times New Roman" w:hAnsi="Arial" w:cs="Arial"/>
                <w:color w:val="000000"/>
                <w:kern w:val="0"/>
                <w:sz w:val="20"/>
                <w:szCs w:val="20"/>
                <w:lang w:val="en-US" w:eastAsia="en-IN" w:bidi="ar-SA"/>
              </w:rPr>
              <w:t>Mean</w:t>
            </w:r>
          </w:p>
        </w:tc>
        <w:tc>
          <w:tcPr>
            <w:tcW w:w="1044" w:type="dxa"/>
            <w:tcBorders>
              <w:bottom w:val="single" w:sz="4" w:space="0" w:color="auto"/>
            </w:tcBorders>
            <w:hideMark/>
          </w:tcPr>
          <w:p w14:paraId="7FCE2A42"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1027" w:type="dxa"/>
            <w:tcBorders>
              <w:bottom w:val="single" w:sz="4" w:space="0" w:color="auto"/>
            </w:tcBorders>
            <w:hideMark/>
          </w:tcPr>
          <w:p w14:paraId="233823C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tcBorders>
              <w:bottom w:val="single" w:sz="4" w:space="0" w:color="auto"/>
            </w:tcBorders>
            <w:hideMark/>
          </w:tcPr>
          <w:p w14:paraId="3BC1889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96" w:type="dxa"/>
            <w:tcBorders>
              <w:bottom w:val="single" w:sz="4" w:space="0" w:color="auto"/>
            </w:tcBorders>
            <w:hideMark/>
          </w:tcPr>
          <w:p w14:paraId="0AA2205D"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tcBorders>
              <w:bottom w:val="single" w:sz="4" w:space="0" w:color="auto"/>
            </w:tcBorders>
            <w:hideMark/>
          </w:tcPr>
          <w:p w14:paraId="08C04DE8" w14:textId="77777777" w:rsidR="009D7818" w:rsidRPr="00EF0CA2" w:rsidRDefault="009D7818" w:rsidP="00EF0CA2">
            <w:pPr>
              <w:spacing w:line="360" w:lineRule="auto"/>
              <w:jc w:val="both"/>
              <w:rPr>
                <w:rFonts w:ascii="Arial" w:hAnsi="Arial" w:cs="Arial"/>
                <w:color w:val="000000"/>
                <w:sz w:val="20"/>
                <w:szCs w:val="20"/>
              </w:rPr>
            </w:pPr>
          </w:p>
        </w:tc>
      </w:tr>
    </w:tbl>
    <w:p w14:paraId="4F7D8FF4"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The data presented are the mean values obtained from four replicates per treatment. Statistical differences were determined using ANOVA followed by LSD test at p &lt; 0.05. Treatments sharing the same superscript letter are not significantly different, while different superscript letters indicate significant differences at p &lt; 0.05.</w:t>
      </w:r>
    </w:p>
    <w:p w14:paraId="6E53EFEB"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Conclusion:</w:t>
      </w:r>
    </w:p>
    <w:p w14:paraId="2527F6A5"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The present study aimed to evaluate the efficacy of various fungicides against the charcoal rot pathogen under </w:t>
      </w:r>
      <w:r w:rsidRPr="00EF0CA2">
        <w:rPr>
          <w:rStyle w:val="Emphasis"/>
          <w:rFonts w:ascii="Arial" w:hAnsi="Arial" w:cs="Arial"/>
          <w:sz w:val="20"/>
          <w:szCs w:val="20"/>
        </w:rPr>
        <w:t>in vitro</w:t>
      </w:r>
      <w:r w:rsidRPr="00EF0CA2">
        <w:rPr>
          <w:rFonts w:ascii="Arial" w:hAnsi="Arial" w:cs="Arial"/>
          <w:sz w:val="20"/>
          <w:szCs w:val="20"/>
        </w:rPr>
        <w:t xml:space="preserve"> conditions. Among seven government-registered fungicides tested for foliar application, the combination of picoxystrobin + propiconazole exhibited the highest mean mycelial growth inhibition and was significantly more effective than the other treatments, followed by picoxystrobin and tebuconazole. Additionally, the seed-treatment fungicides thiophanate-methyl + pyraclostrobin, penflufen + trifloxystrobin, carboxin + thiram, and carbendazim + mancozeb demonstrated comparable efficacy, achieving complete inhibition of the pathogen. While these results under </w:t>
      </w:r>
      <w:r w:rsidRPr="00EF0CA2">
        <w:rPr>
          <w:rStyle w:val="Emphasis"/>
          <w:rFonts w:ascii="Arial" w:hAnsi="Arial" w:cs="Arial"/>
          <w:sz w:val="20"/>
          <w:szCs w:val="20"/>
        </w:rPr>
        <w:t>in vitro</w:t>
      </w:r>
      <w:r w:rsidRPr="00EF0CA2">
        <w:rPr>
          <w:rFonts w:ascii="Arial" w:hAnsi="Arial" w:cs="Arial"/>
          <w:sz w:val="20"/>
          <w:szCs w:val="20"/>
        </w:rPr>
        <w:t xml:space="preserve"> conditions are promising, further evaluation under field conditions is required to assess the practical effectiveness of these fungicides for managing charcoal rot in natural agricultural environments.</w:t>
      </w:r>
    </w:p>
    <w:p w14:paraId="0DF5FE3D"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DISCLAIMER (ARTIFICIAL INTELLIGENCE)</w:t>
      </w:r>
    </w:p>
    <w:p w14:paraId="312710F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A declaration was made by author(s) that no generative artificial intelligence technologies like ChatGPT, Copilot or image-generating tools were used in writing or editing the manuscript.</w:t>
      </w:r>
    </w:p>
    <w:p w14:paraId="3C23D70F" w14:textId="0C174A4E" w:rsidR="009D7818" w:rsidRPr="00EF0CA2" w:rsidRDefault="00EF0CA2" w:rsidP="00EF0CA2">
      <w:pPr>
        <w:spacing w:line="360" w:lineRule="auto"/>
        <w:jc w:val="both"/>
        <w:rPr>
          <w:rFonts w:ascii="Arial" w:hAnsi="Arial" w:cs="Arial"/>
          <w:b/>
          <w:bCs/>
          <w:sz w:val="20"/>
          <w:szCs w:val="20"/>
        </w:rPr>
      </w:pPr>
      <w:r w:rsidRPr="00EF0CA2">
        <w:rPr>
          <w:rFonts w:ascii="Arial" w:hAnsi="Arial" w:cs="Arial"/>
          <w:b/>
          <w:bCs/>
          <w:sz w:val="20"/>
          <w:szCs w:val="20"/>
        </w:rPr>
        <w:t>REFERENCES</w:t>
      </w:r>
    </w:p>
    <w:p w14:paraId="45FE3F27" w14:textId="0C7787CB" w:rsidR="009D7818" w:rsidRPr="00EF0CA2" w:rsidRDefault="009D7818" w:rsidP="00EF0CA2">
      <w:pPr>
        <w:spacing w:line="360" w:lineRule="auto"/>
        <w:jc w:val="both"/>
        <w:rPr>
          <w:rFonts w:ascii="Arial" w:hAnsi="Arial" w:cs="Arial"/>
          <w:sz w:val="20"/>
          <w:szCs w:val="20"/>
        </w:rPr>
      </w:pPr>
      <w:bookmarkStart w:id="7" w:name="_GoBack"/>
      <w:commentRangeStart w:id="8"/>
      <w:commentRangeStart w:id="9"/>
      <w:r w:rsidRPr="00EF0CA2">
        <w:rPr>
          <w:rFonts w:ascii="Arial" w:hAnsi="Arial" w:cs="Arial"/>
          <w:sz w:val="20"/>
          <w:szCs w:val="20"/>
        </w:rPr>
        <w:t xml:space="preserve">Amrate, P., Nataraj, V., Shivakumar, M., Manoj, S., Rajput, L.S., Mohare, K., Nisha, A., Mandloi, S., Kumar, N., Ratnaparkhe, M.B., Naik, B., Gupta, S. &amp; Singh, K.H. </w:t>
      </w:r>
      <w:commentRangeStart w:id="10"/>
      <w:r w:rsidRPr="00EF0CA2">
        <w:rPr>
          <w:rFonts w:ascii="Arial" w:hAnsi="Arial" w:cs="Arial"/>
          <w:sz w:val="20"/>
          <w:szCs w:val="20"/>
        </w:rPr>
        <w:t xml:space="preserve">(2024). </w:t>
      </w:r>
      <w:commentRangeEnd w:id="10"/>
      <w:r w:rsidR="008C3F8F">
        <w:rPr>
          <w:rStyle w:val="CommentReference"/>
        </w:rPr>
        <w:commentReference w:id="10"/>
      </w:r>
      <w:r w:rsidRPr="00EF0CA2">
        <w:rPr>
          <w:rFonts w:ascii="Arial" w:hAnsi="Arial" w:cs="Arial"/>
          <w:sz w:val="20"/>
          <w:szCs w:val="20"/>
        </w:rPr>
        <w:t>Best linear unbiased prediction (BLUP)-based models aided in selection of high yielding charcoal rot and yellow mosaic resistant soybean genotypes. Genetic Resources and Crop Evolution. https://doi.org/10.1007/s10722-024-02289-5</w:t>
      </w:r>
    </w:p>
    <w:p w14:paraId="3C357E72"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lastRenderedPageBreak/>
        <w:t xml:space="preserve">Amrate, P. K., Shrivastava, M. K., Bhale, M. S., Agrawal, N., Kumawat, G., Shivakumar, M., &amp; Nataraj, V. (2023). Identification and genetic diversity analysis of high-yielding charcoal rot resistant soybean genotypes. Scientific Reports, 13(1), 8905.  </w:t>
      </w:r>
    </w:p>
    <w:p w14:paraId="6B40C19D"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Amrate, P.K., Chaukikar, K., Kharte, S., Pancheshwar, D.K., Marabi, R.S., Shrivastava, M.K. and Bhale, M.S., 2024. Distribution of charcoal rot of soybean, its influencing factors and pathogenic variabilities in different regions of Madhya Pradesh. Legume Research-An International Journal, 1, p.11.</w:t>
      </w:r>
    </w:p>
    <w:p w14:paraId="2E509AF3"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Arora, M. K., &amp; Dhurwe, U. (2019). Macrophomina phaseolina causal organism of charcoal rot: review article. East AfrSchol J Agric Life Sci, 2(2), 73-76.</w:t>
      </w:r>
    </w:p>
    <w:p w14:paraId="655519F1"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Aulia, R., Amanah, H. Z., Lee, H., Kim, M. S., Baek, I., Qin, J., &amp; Cho, B. K. (2023). Protein and lipid content estimation in soybeans using Raman hyperspectral imaging. Frontiers in Plant Science, 14, 1167139.</w:t>
      </w:r>
    </w:p>
    <w:p w14:paraId="0CD11F33"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Abbas, H. K., Bellaloui, N., Accinelli, C., Smith, J. R., &amp; Shier, W. T. (2019). Toxin production in soybean (Glycine max L.) plants with charcoal rot disease and by Macrophomina phaseolina, the fungus that causes the disease. Toxins, 11(11), 645.</w:t>
      </w:r>
    </w:p>
    <w:p w14:paraId="4DA6A98A"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Abbas, H. K., Bellaloui, N., Butler, A. M., Nelson, J. L., Abou-Karam, M., &amp; Shier, W. T. (2020). Phytotoxic responses of soybean (Glycine max L.) to botryodiplodin, a toxin produced by the charcoal rot disease fungus, Macrophomina phaseolina. Toxins, 12(1), 25.</w:t>
      </w:r>
    </w:p>
    <w:p w14:paraId="0DC2EDF3"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Bai, S., Zhang, M., Tang, S., Li, M., Wu, R., Wan, S., Chen, L., Wei, X. and Li, F., 2024. Research progress on benzimidazole fungicides: A review. Molecules, 29(6), p.1218.</w:t>
      </w:r>
    </w:p>
    <w:p w14:paraId="0A2F3C74"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Ben Naim, Y., &amp; Cohen, Y. (2023). Replacing mancozeb with alternative fungicides for the control of late blight in potato. Journal of Fungi, 9(11), 1046. </w:t>
      </w:r>
    </w:p>
    <w:p w14:paraId="512ED1F5"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Bellaloui, N., Mengistu, A., Smith, J. R., Abbas, H. K., Accinelli, C., &amp; Shier, W. T. (2021). Effects of charcoal rot on soybean seed composition in soybean genotypes that differ in charcoal rot resistance under irrigated and non-irrigated conditions. Plants, 10(9), 1801.</w:t>
      </w:r>
    </w:p>
    <w:p w14:paraId="0C39771A"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Chouhan, A., Kumar, A., Khare, A.K., Sharma, R., Dubeyc, A.K., Singh, S., Namdeo, P. and Laha, D., 2025. Evaluating the Efficacy of Fungicides against Macrophomina phaseolina, Causing Charcoal Rot of Soybean under in-vitro Conditions. Journal of Advances in Biology &amp; Biotechnology, 28(10), pp.1962-1972.</w:t>
      </w:r>
    </w:p>
    <w:p w14:paraId="139AE4C8"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Dhawan, S. S., Kadam, A. M., &amp; Kumbhar, A. S. (2024). Efficacy of fungicides against pathogenic mycoflora of soybean seeds. Journal of Advances in Microbiology, 24(6), 30-38.</w:t>
      </w:r>
    </w:p>
    <w:p w14:paraId="3847994F"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Dalal, S., Ramteke, R., Mandloi, S., Jaiswal, S., Rajput, L.S., Kumar, S., Maheshwari, H.S., Nataraj, V., Shivakumar, M. &amp; Ratnaparkhe, M.B. (2022). Screening of soybean genotypes against collar rot disease caused by Sclerotium rolfsii Sacc. Soybean Research, 20(1), 89–96.</w:t>
      </w:r>
    </w:p>
    <w:p w14:paraId="2DD13E92"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lastRenderedPageBreak/>
        <w:t>Elskens, M. T., &amp; Penninckx, M. J. (1995). In vitro inactivation of yeast glutathione reductase by tetramethylthiuram disulphide. European journal of biochemistry, 231(3), 667-672.</w:t>
      </w:r>
    </w:p>
    <w:p w14:paraId="4F5A3CD5"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Gupta, G. K., Sharma, S. K., &amp; Ramteke, R. (2012). Biology, epidemiology and management of the pathogenic fungus Macrophomina phaseolina (Tassi) Goid with special reference to charcoal rot of soybean (Glycine max (L.) Merrill). Journal of Phytopathology, 160(4), 167-180.</w:t>
      </w:r>
    </w:p>
    <w:p w14:paraId="4F9C4470" w14:textId="7714BD4F"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Hingole, D. G., &amp; Kendre, A. H. (2021). In-vitro evaluation of fungicides, antagonist and plant extracts on management of charcoal rot of soybean caused by Macrophomina phaseolina (TASSI.) Goid.</w:t>
      </w:r>
    </w:p>
    <w:p w14:paraId="77D05F76" w14:textId="71AF6F1D"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Kelgandre, A. S.</w:t>
      </w:r>
      <w:proofErr w:type="gramStart"/>
      <w:r w:rsidRPr="00EF0CA2">
        <w:rPr>
          <w:rFonts w:ascii="Arial" w:hAnsi="Arial" w:cs="Arial"/>
          <w:sz w:val="20"/>
          <w:szCs w:val="20"/>
        </w:rPr>
        <w:t>,  Patil</w:t>
      </w:r>
      <w:proofErr w:type="gramEnd"/>
      <w:r w:rsidRPr="00EF0CA2">
        <w:rPr>
          <w:rFonts w:ascii="Arial" w:hAnsi="Arial" w:cs="Arial"/>
          <w:sz w:val="20"/>
          <w:szCs w:val="20"/>
        </w:rPr>
        <w:t xml:space="preserve">, M. G., Chapke, S. M., &amp;  Bhosale,  G. V. (2024). Efficacy of various fungicides against Macrophomina phaseolina (Tassi.) Goid causing charcoal rot of </w:t>
      </w:r>
      <w:proofErr w:type="gramStart"/>
      <w:r w:rsidRPr="00EF0CA2">
        <w:rPr>
          <w:rFonts w:ascii="Arial" w:hAnsi="Arial" w:cs="Arial"/>
          <w:sz w:val="20"/>
          <w:szCs w:val="20"/>
        </w:rPr>
        <w:t>soybean .</w:t>
      </w:r>
      <w:proofErr w:type="gramEnd"/>
      <w:r w:rsidRPr="00EF0CA2">
        <w:rPr>
          <w:rFonts w:ascii="Arial" w:hAnsi="Arial" w:cs="Arial"/>
          <w:sz w:val="20"/>
          <w:szCs w:val="20"/>
        </w:rPr>
        <w:t xml:space="preserve"> International Journal of Advanced Biochemistry Research 2024; SP-8(12): 10-15. 10.33545/</w:t>
      </w:r>
      <w:proofErr w:type="gramStart"/>
      <w:r w:rsidRPr="00EF0CA2">
        <w:rPr>
          <w:rFonts w:ascii="Arial" w:hAnsi="Arial" w:cs="Arial"/>
          <w:sz w:val="20"/>
          <w:szCs w:val="20"/>
        </w:rPr>
        <w:t>26174693.2024.v</w:t>
      </w:r>
      <w:proofErr w:type="gramEnd"/>
      <w:r w:rsidRPr="00EF0CA2">
        <w:rPr>
          <w:rFonts w:ascii="Arial" w:hAnsi="Arial" w:cs="Arial"/>
          <w:sz w:val="20"/>
          <w:szCs w:val="20"/>
        </w:rPr>
        <w:t>8.i12Sa.3055</w:t>
      </w:r>
    </w:p>
    <w:p w14:paraId="0FEB245C"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Khan, Q., Qin, Y., &amp; Guo, D.J. (2024). The problem of charcoal rot in soybean, its implications, and approaches for developing resistant varieties. Archives, 3(1) 80-98. https://doi.org/10.56946/jspae.v3i1.405</w:t>
      </w:r>
    </w:p>
    <w:p w14:paraId="4ADEA5E1"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Khambhati, V. H., Abbas, H. K., Sulyok, M., Tomaso-Peterson, M., Chen, J., &amp; Shier, W. T. (2023). Mellein: Production in culture by Macrophomina phaseolina isolates from soybean plants exhibiting symptoms of charcoal rot and its role in pathology. Frontiers in Plant Science, 14, 1105590.</w:t>
      </w:r>
    </w:p>
    <w:p w14:paraId="5A8E7504"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Magar, S.G., Jadhav, P.V., Vaidya, E.R., Moharil, M.P., Ghawade, R.S., Shinde, U.D., Sakhare, S.B., Ghorade, R.B. and Mane, S.S., 2024. Assessment of soybean genotypes for charcoal rot disease resistance and agronomic performance. International Journal of Advanced Biochemistry Research, 8(6), pp.309-313.</w:t>
      </w:r>
    </w:p>
    <w:p w14:paraId="262BF0D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Marquez, N., Giachero, M. L., Declerck, S., &amp; Ducasse, D. A. (2021). Macrophomina phaseolina: General characteristics of pathogenicity and methods of control. Frontiers in Plant Science, 12, 634397.</w:t>
      </w:r>
    </w:p>
    <w:p w14:paraId="7EC378DD"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Meireles, L. M., Soares, F. S., de Souza Filho, G. A., &amp; Scherer, R. (2025). Exposure to Tebuconazole Drives Cross-Resistance to Clinical Triazoles in Aspergillus fumigatus. ACS omega, 10(42), 50407-50414.</w:t>
      </w:r>
    </w:p>
    <w:p w14:paraId="2C00B3CB" w14:textId="0111D721" w:rsidR="009D7818"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Nataraj, V., Kumar, S., Kumawat, G., Shivakumar, M., Rajput, L.S., Ratnaparkhe, M.B., Ramteke, R., Gupta, S., Satpute, G.K., Rajesh, V., Kamble, V. &amp; Chandra, S. (2019). Charcoal rot resistance in soybean: Current understanding and future perspectives. Disease Resistance in Crop Plants: Molecular, Genetic and Genomic Perspectives, 241–259.  </w:t>
      </w:r>
    </w:p>
    <w:p w14:paraId="481D126C" w14:textId="22546491" w:rsidR="006D60E2" w:rsidRPr="00EF0CA2" w:rsidRDefault="006D60E2" w:rsidP="00EF0CA2">
      <w:pPr>
        <w:spacing w:line="360" w:lineRule="auto"/>
        <w:jc w:val="both"/>
        <w:rPr>
          <w:rFonts w:ascii="Arial" w:hAnsi="Arial" w:cs="Arial"/>
          <w:sz w:val="20"/>
          <w:szCs w:val="20"/>
        </w:rPr>
      </w:pPr>
      <w:r w:rsidRPr="00EF0CA2">
        <w:rPr>
          <w:rFonts w:ascii="Arial" w:hAnsi="Arial" w:cs="Arial"/>
          <w:sz w:val="20"/>
          <w:szCs w:val="20"/>
        </w:rPr>
        <w:t>Nataraj</w:t>
      </w:r>
      <w:r>
        <w:rPr>
          <w:rFonts w:ascii="Arial" w:hAnsi="Arial" w:cs="Arial"/>
          <w:sz w:val="20"/>
          <w:szCs w:val="20"/>
        </w:rPr>
        <w:t>,</w:t>
      </w:r>
      <w:r w:rsidRPr="00EF0CA2">
        <w:rPr>
          <w:rFonts w:ascii="Arial" w:hAnsi="Arial" w:cs="Arial"/>
          <w:sz w:val="20"/>
          <w:szCs w:val="20"/>
        </w:rPr>
        <w:t xml:space="preserve"> V</w:t>
      </w:r>
      <w:r>
        <w:rPr>
          <w:rFonts w:ascii="Arial" w:hAnsi="Arial" w:cs="Arial"/>
          <w:sz w:val="20"/>
          <w:szCs w:val="20"/>
        </w:rPr>
        <w:t>.</w:t>
      </w:r>
      <w:r w:rsidRPr="00EF0CA2">
        <w:rPr>
          <w:rFonts w:ascii="Arial" w:hAnsi="Arial" w:cs="Arial"/>
          <w:sz w:val="20"/>
          <w:szCs w:val="20"/>
        </w:rPr>
        <w:t>, Amrate</w:t>
      </w:r>
      <w:r>
        <w:rPr>
          <w:rFonts w:ascii="Arial" w:hAnsi="Arial" w:cs="Arial"/>
          <w:sz w:val="20"/>
          <w:szCs w:val="20"/>
        </w:rPr>
        <w:t>,</w:t>
      </w:r>
      <w:r w:rsidRPr="00EF0CA2">
        <w:rPr>
          <w:rFonts w:ascii="Arial" w:hAnsi="Arial" w:cs="Arial"/>
          <w:sz w:val="20"/>
          <w:szCs w:val="20"/>
        </w:rPr>
        <w:t xml:space="preserve"> P</w:t>
      </w:r>
      <w:r>
        <w:rPr>
          <w:rFonts w:ascii="Arial" w:hAnsi="Arial" w:cs="Arial"/>
          <w:sz w:val="20"/>
          <w:szCs w:val="20"/>
        </w:rPr>
        <w:t>.</w:t>
      </w:r>
      <w:r w:rsidRPr="00EF0CA2">
        <w:rPr>
          <w:rFonts w:ascii="Arial" w:hAnsi="Arial" w:cs="Arial"/>
          <w:sz w:val="20"/>
          <w:szCs w:val="20"/>
        </w:rPr>
        <w:t>K</w:t>
      </w:r>
      <w:r>
        <w:rPr>
          <w:rFonts w:ascii="Arial" w:hAnsi="Arial" w:cs="Arial"/>
          <w:sz w:val="20"/>
          <w:szCs w:val="20"/>
        </w:rPr>
        <w:t>.</w:t>
      </w:r>
      <w:r w:rsidRPr="00EF0CA2">
        <w:rPr>
          <w:rFonts w:ascii="Arial" w:hAnsi="Arial" w:cs="Arial"/>
          <w:sz w:val="20"/>
          <w:szCs w:val="20"/>
        </w:rPr>
        <w:t>, Ratnaparkhe</w:t>
      </w:r>
      <w:r>
        <w:rPr>
          <w:rFonts w:ascii="Arial" w:hAnsi="Arial" w:cs="Arial"/>
          <w:sz w:val="20"/>
          <w:szCs w:val="20"/>
        </w:rPr>
        <w:t>,</w:t>
      </w:r>
      <w:r w:rsidRPr="00EF0CA2">
        <w:rPr>
          <w:rFonts w:ascii="Arial" w:hAnsi="Arial" w:cs="Arial"/>
          <w:sz w:val="20"/>
          <w:szCs w:val="20"/>
        </w:rPr>
        <w:t xml:space="preserve"> M</w:t>
      </w:r>
      <w:r>
        <w:rPr>
          <w:rFonts w:ascii="Arial" w:hAnsi="Arial" w:cs="Arial"/>
          <w:sz w:val="20"/>
          <w:szCs w:val="20"/>
        </w:rPr>
        <w:t>.</w:t>
      </w:r>
      <w:r w:rsidRPr="00EF0CA2">
        <w:rPr>
          <w:rFonts w:ascii="Arial" w:hAnsi="Arial" w:cs="Arial"/>
          <w:sz w:val="20"/>
          <w:szCs w:val="20"/>
        </w:rPr>
        <w:t>B</w:t>
      </w:r>
      <w:r>
        <w:rPr>
          <w:rFonts w:ascii="Arial" w:hAnsi="Arial" w:cs="Arial"/>
          <w:sz w:val="20"/>
          <w:szCs w:val="20"/>
        </w:rPr>
        <w:t>.</w:t>
      </w:r>
      <w:r w:rsidRPr="00EF0CA2">
        <w:rPr>
          <w:rFonts w:ascii="Arial" w:hAnsi="Arial" w:cs="Arial"/>
          <w:sz w:val="20"/>
          <w:szCs w:val="20"/>
        </w:rPr>
        <w:t>, Maranna</w:t>
      </w:r>
      <w:r>
        <w:rPr>
          <w:rFonts w:ascii="Arial" w:hAnsi="Arial" w:cs="Arial"/>
          <w:sz w:val="20"/>
          <w:szCs w:val="20"/>
        </w:rPr>
        <w:t>,</w:t>
      </w:r>
      <w:r w:rsidRPr="00EF0CA2">
        <w:rPr>
          <w:rFonts w:ascii="Arial" w:hAnsi="Arial" w:cs="Arial"/>
          <w:sz w:val="20"/>
          <w:szCs w:val="20"/>
        </w:rPr>
        <w:t xml:space="preserve"> S</w:t>
      </w:r>
      <w:r>
        <w:rPr>
          <w:rFonts w:ascii="Arial" w:hAnsi="Arial" w:cs="Arial"/>
          <w:sz w:val="20"/>
          <w:szCs w:val="20"/>
        </w:rPr>
        <w:t>.</w:t>
      </w:r>
      <w:r w:rsidRPr="00EF0CA2">
        <w:rPr>
          <w:rFonts w:ascii="Arial" w:hAnsi="Arial" w:cs="Arial"/>
          <w:sz w:val="20"/>
          <w:szCs w:val="20"/>
        </w:rPr>
        <w:t>, Rajput</w:t>
      </w:r>
      <w:r>
        <w:rPr>
          <w:rFonts w:ascii="Arial" w:hAnsi="Arial" w:cs="Arial"/>
          <w:sz w:val="20"/>
          <w:szCs w:val="20"/>
        </w:rPr>
        <w:t>,</w:t>
      </w:r>
      <w:r w:rsidRPr="00EF0CA2">
        <w:rPr>
          <w:rFonts w:ascii="Arial" w:hAnsi="Arial" w:cs="Arial"/>
          <w:sz w:val="20"/>
          <w:szCs w:val="20"/>
        </w:rPr>
        <w:t xml:space="preserve"> L</w:t>
      </w:r>
      <w:r>
        <w:rPr>
          <w:rFonts w:ascii="Arial" w:hAnsi="Arial" w:cs="Arial"/>
          <w:sz w:val="20"/>
          <w:szCs w:val="20"/>
        </w:rPr>
        <w:t>.</w:t>
      </w:r>
      <w:r w:rsidRPr="00EF0CA2">
        <w:rPr>
          <w:rFonts w:ascii="Arial" w:hAnsi="Arial" w:cs="Arial"/>
          <w:sz w:val="20"/>
          <w:szCs w:val="20"/>
        </w:rPr>
        <w:t>S</w:t>
      </w:r>
      <w:r>
        <w:rPr>
          <w:rFonts w:ascii="Arial" w:hAnsi="Arial" w:cs="Arial"/>
          <w:sz w:val="20"/>
          <w:szCs w:val="20"/>
        </w:rPr>
        <w:t>.</w:t>
      </w:r>
      <w:r w:rsidRPr="00EF0CA2">
        <w:rPr>
          <w:rFonts w:ascii="Arial" w:hAnsi="Arial" w:cs="Arial"/>
          <w:sz w:val="20"/>
          <w:szCs w:val="20"/>
        </w:rPr>
        <w:t>, Agrawal</w:t>
      </w:r>
      <w:r>
        <w:rPr>
          <w:rFonts w:ascii="Arial" w:hAnsi="Arial" w:cs="Arial"/>
          <w:sz w:val="20"/>
          <w:szCs w:val="20"/>
        </w:rPr>
        <w:t>,</w:t>
      </w:r>
      <w:r w:rsidRPr="00EF0CA2">
        <w:rPr>
          <w:rFonts w:ascii="Arial" w:hAnsi="Arial" w:cs="Arial"/>
          <w:sz w:val="20"/>
          <w:szCs w:val="20"/>
        </w:rPr>
        <w:t xml:space="preserve"> N</w:t>
      </w:r>
      <w:r>
        <w:rPr>
          <w:rFonts w:ascii="Arial" w:hAnsi="Arial" w:cs="Arial"/>
          <w:sz w:val="20"/>
          <w:szCs w:val="20"/>
        </w:rPr>
        <w:t>.</w:t>
      </w:r>
      <w:r w:rsidRPr="00EF0CA2">
        <w:rPr>
          <w:rFonts w:ascii="Arial" w:hAnsi="Arial" w:cs="Arial"/>
          <w:sz w:val="20"/>
          <w:szCs w:val="20"/>
        </w:rPr>
        <w:t>, Raghuvanshi</w:t>
      </w:r>
      <w:r>
        <w:rPr>
          <w:rFonts w:ascii="Arial" w:hAnsi="Arial" w:cs="Arial"/>
          <w:sz w:val="20"/>
          <w:szCs w:val="20"/>
        </w:rPr>
        <w:t>,</w:t>
      </w:r>
      <w:r w:rsidRPr="00EF0CA2">
        <w:rPr>
          <w:rFonts w:ascii="Arial" w:hAnsi="Arial" w:cs="Arial"/>
          <w:sz w:val="20"/>
          <w:szCs w:val="20"/>
        </w:rPr>
        <w:t xml:space="preserve"> R</w:t>
      </w:r>
      <w:r>
        <w:rPr>
          <w:rFonts w:ascii="Arial" w:hAnsi="Arial" w:cs="Arial"/>
          <w:sz w:val="20"/>
          <w:szCs w:val="20"/>
        </w:rPr>
        <w:t>.</w:t>
      </w:r>
      <w:r w:rsidRPr="00EF0CA2">
        <w:rPr>
          <w:rFonts w:ascii="Arial" w:hAnsi="Arial" w:cs="Arial"/>
          <w:sz w:val="20"/>
          <w:szCs w:val="20"/>
        </w:rPr>
        <w:t>, Pathak</w:t>
      </w:r>
      <w:r>
        <w:rPr>
          <w:rFonts w:ascii="Arial" w:hAnsi="Arial" w:cs="Arial"/>
          <w:sz w:val="20"/>
          <w:szCs w:val="20"/>
        </w:rPr>
        <w:t>,</w:t>
      </w:r>
      <w:r w:rsidRPr="00EF0CA2">
        <w:rPr>
          <w:rFonts w:ascii="Arial" w:hAnsi="Arial" w:cs="Arial"/>
          <w:sz w:val="20"/>
          <w:szCs w:val="20"/>
        </w:rPr>
        <w:t xml:space="preserve"> K</w:t>
      </w:r>
      <w:r>
        <w:rPr>
          <w:rFonts w:ascii="Arial" w:hAnsi="Arial" w:cs="Arial"/>
          <w:sz w:val="20"/>
          <w:szCs w:val="20"/>
        </w:rPr>
        <w:t>.</w:t>
      </w:r>
      <w:r w:rsidRPr="00EF0CA2">
        <w:rPr>
          <w:rFonts w:ascii="Arial" w:hAnsi="Arial" w:cs="Arial"/>
          <w:sz w:val="20"/>
          <w:szCs w:val="20"/>
        </w:rPr>
        <w:t>, Mandloi</w:t>
      </w:r>
      <w:r>
        <w:rPr>
          <w:rFonts w:ascii="Arial" w:hAnsi="Arial" w:cs="Arial"/>
          <w:sz w:val="20"/>
          <w:szCs w:val="20"/>
        </w:rPr>
        <w:t>,</w:t>
      </w:r>
      <w:r w:rsidRPr="00EF0CA2">
        <w:rPr>
          <w:rFonts w:ascii="Arial" w:hAnsi="Arial" w:cs="Arial"/>
          <w:sz w:val="20"/>
          <w:szCs w:val="20"/>
        </w:rPr>
        <w:t xml:space="preserve"> S</w:t>
      </w:r>
      <w:r>
        <w:rPr>
          <w:rFonts w:ascii="Arial" w:hAnsi="Arial" w:cs="Arial"/>
          <w:sz w:val="20"/>
          <w:szCs w:val="20"/>
        </w:rPr>
        <w:t>.</w:t>
      </w:r>
      <w:r w:rsidRPr="00EF0CA2">
        <w:rPr>
          <w:rFonts w:ascii="Arial" w:hAnsi="Arial" w:cs="Arial"/>
          <w:sz w:val="20"/>
          <w:szCs w:val="20"/>
        </w:rPr>
        <w:t>, Mohare</w:t>
      </w:r>
      <w:r>
        <w:rPr>
          <w:rFonts w:ascii="Arial" w:hAnsi="Arial" w:cs="Arial"/>
          <w:sz w:val="20"/>
          <w:szCs w:val="20"/>
        </w:rPr>
        <w:t>,</w:t>
      </w:r>
      <w:r w:rsidRPr="00EF0CA2">
        <w:rPr>
          <w:rFonts w:ascii="Arial" w:hAnsi="Arial" w:cs="Arial"/>
          <w:sz w:val="20"/>
          <w:szCs w:val="20"/>
        </w:rPr>
        <w:t xml:space="preserve"> S</w:t>
      </w:r>
      <w:r>
        <w:rPr>
          <w:rFonts w:ascii="Arial" w:hAnsi="Arial" w:cs="Arial"/>
          <w:sz w:val="20"/>
          <w:szCs w:val="20"/>
        </w:rPr>
        <w:t>.</w:t>
      </w:r>
      <w:r w:rsidRPr="00EF0CA2">
        <w:rPr>
          <w:rFonts w:ascii="Arial" w:hAnsi="Arial" w:cs="Arial"/>
          <w:sz w:val="20"/>
          <w:szCs w:val="20"/>
        </w:rPr>
        <w:t>, Naik</w:t>
      </w:r>
      <w:r>
        <w:rPr>
          <w:rFonts w:ascii="Arial" w:hAnsi="Arial" w:cs="Arial"/>
          <w:sz w:val="20"/>
          <w:szCs w:val="20"/>
        </w:rPr>
        <w:t>,</w:t>
      </w:r>
      <w:r w:rsidRPr="00EF0CA2">
        <w:rPr>
          <w:rFonts w:ascii="Arial" w:hAnsi="Arial" w:cs="Arial"/>
          <w:sz w:val="20"/>
          <w:szCs w:val="20"/>
        </w:rPr>
        <w:t xml:space="preserve"> K</w:t>
      </w:r>
      <w:r>
        <w:rPr>
          <w:rFonts w:ascii="Arial" w:hAnsi="Arial" w:cs="Arial"/>
          <w:sz w:val="20"/>
          <w:szCs w:val="20"/>
        </w:rPr>
        <w:t>.</w:t>
      </w:r>
      <w:r w:rsidRPr="00EF0CA2">
        <w:rPr>
          <w:rFonts w:ascii="Arial" w:hAnsi="Arial" w:cs="Arial"/>
          <w:sz w:val="20"/>
          <w:szCs w:val="20"/>
        </w:rPr>
        <w:t>B</w:t>
      </w:r>
      <w:r>
        <w:rPr>
          <w:rFonts w:ascii="Arial" w:hAnsi="Arial" w:cs="Arial"/>
          <w:sz w:val="20"/>
          <w:szCs w:val="20"/>
        </w:rPr>
        <w:t>.</w:t>
      </w:r>
      <w:r w:rsidRPr="00EF0CA2">
        <w:rPr>
          <w:rFonts w:ascii="Arial" w:hAnsi="Arial" w:cs="Arial"/>
          <w:sz w:val="20"/>
          <w:szCs w:val="20"/>
        </w:rPr>
        <w:t>, Shrivastava</w:t>
      </w:r>
      <w:r>
        <w:rPr>
          <w:rFonts w:ascii="Arial" w:hAnsi="Arial" w:cs="Arial"/>
          <w:sz w:val="20"/>
          <w:szCs w:val="20"/>
        </w:rPr>
        <w:t>,</w:t>
      </w:r>
      <w:r w:rsidRPr="00EF0CA2">
        <w:rPr>
          <w:rFonts w:ascii="Arial" w:hAnsi="Arial" w:cs="Arial"/>
          <w:sz w:val="20"/>
          <w:szCs w:val="20"/>
        </w:rPr>
        <w:t xml:space="preserve"> M</w:t>
      </w:r>
      <w:r>
        <w:rPr>
          <w:rFonts w:ascii="Arial" w:hAnsi="Arial" w:cs="Arial"/>
          <w:sz w:val="20"/>
          <w:szCs w:val="20"/>
        </w:rPr>
        <w:t>.</w:t>
      </w:r>
      <w:r w:rsidRPr="00EF0CA2">
        <w:rPr>
          <w:rFonts w:ascii="Arial" w:hAnsi="Arial" w:cs="Arial"/>
          <w:sz w:val="20"/>
          <w:szCs w:val="20"/>
        </w:rPr>
        <w:t>K</w:t>
      </w:r>
      <w:r>
        <w:rPr>
          <w:rFonts w:ascii="Arial" w:hAnsi="Arial" w:cs="Arial"/>
          <w:sz w:val="20"/>
          <w:szCs w:val="20"/>
        </w:rPr>
        <w:t>.</w:t>
      </w:r>
      <w:r w:rsidRPr="00EF0CA2">
        <w:rPr>
          <w:rFonts w:ascii="Arial" w:hAnsi="Arial" w:cs="Arial"/>
          <w:sz w:val="20"/>
          <w:szCs w:val="20"/>
        </w:rPr>
        <w:t xml:space="preserve">, </w:t>
      </w:r>
      <w:proofErr w:type="gramStart"/>
      <w:r w:rsidRPr="00EF0CA2">
        <w:rPr>
          <w:rFonts w:ascii="Arial" w:hAnsi="Arial" w:cs="Arial"/>
          <w:sz w:val="20"/>
          <w:szCs w:val="20"/>
        </w:rPr>
        <w:t xml:space="preserve">Kumawat </w:t>
      </w:r>
      <w:r>
        <w:rPr>
          <w:rFonts w:ascii="Arial" w:hAnsi="Arial" w:cs="Arial"/>
          <w:sz w:val="20"/>
          <w:szCs w:val="20"/>
        </w:rPr>
        <w:t>,</w:t>
      </w:r>
      <w:proofErr w:type="gramEnd"/>
      <w:r w:rsidRPr="00EF0CA2">
        <w:rPr>
          <w:rFonts w:ascii="Arial" w:hAnsi="Arial" w:cs="Arial"/>
          <w:sz w:val="20"/>
          <w:szCs w:val="20"/>
        </w:rPr>
        <w:t>G</w:t>
      </w:r>
      <w:r>
        <w:rPr>
          <w:rFonts w:ascii="Arial" w:hAnsi="Arial" w:cs="Arial"/>
          <w:sz w:val="20"/>
          <w:szCs w:val="20"/>
        </w:rPr>
        <w:t>.</w:t>
      </w:r>
      <w:r w:rsidRPr="00EF0CA2">
        <w:rPr>
          <w:rFonts w:ascii="Arial" w:hAnsi="Arial" w:cs="Arial"/>
          <w:sz w:val="20"/>
          <w:szCs w:val="20"/>
        </w:rPr>
        <w:t>, Rajesh</w:t>
      </w:r>
      <w:r>
        <w:rPr>
          <w:rFonts w:ascii="Arial" w:hAnsi="Arial" w:cs="Arial"/>
          <w:sz w:val="20"/>
          <w:szCs w:val="20"/>
        </w:rPr>
        <w:t>,</w:t>
      </w:r>
      <w:r w:rsidRPr="00EF0CA2">
        <w:rPr>
          <w:rFonts w:ascii="Arial" w:hAnsi="Arial" w:cs="Arial"/>
          <w:sz w:val="20"/>
          <w:szCs w:val="20"/>
        </w:rPr>
        <w:t xml:space="preserve"> V</w:t>
      </w:r>
      <w:r>
        <w:rPr>
          <w:rFonts w:ascii="Arial" w:hAnsi="Arial" w:cs="Arial"/>
          <w:sz w:val="20"/>
          <w:szCs w:val="20"/>
        </w:rPr>
        <w:t>.</w:t>
      </w:r>
      <w:r w:rsidRPr="00EF0CA2">
        <w:rPr>
          <w:rFonts w:ascii="Arial" w:hAnsi="Arial" w:cs="Arial"/>
          <w:sz w:val="20"/>
          <w:szCs w:val="20"/>
        </w:rPr>
        <w:t>, Gupta</w:t>
      </w:r>
      <w:r>
        <w:rPr>
          <w:rFonts w:ascii="Arial" w:hAnsi="Arial" w:cs="Arial"/>
          <w:sz w:val="20"/>
          <w:szCs w:val="20"/>
        </w:rPr>
        <w:t>,</w:t>
      </w:r>
      <w:r w:rsidRPr="00EF0CA2">
        <w:rPr>
          <w:rFonts w:ascii="Arial" w:hAnsi="Arial" w:cs="Arial"/>
          <w:sz w:val="20"/>
          <w:szCs w:val="20"/>
        </w:rPr>
        <w:t xml:space="preserve"> S</w:t>
      </w:r>
      <w:r>
        <w:rPr>
          <w:rFonts w:ascii="Arial" w:hAnsi="Arial" w:cs="Arial"/>
          <w:sz w:val="20"/>
          <w:szCs w:val="20"/>
        </w:rPr>
        <w:t>.</w:t>
      </w:r>
      <w:r w:rsidRPr="00EF0CA2">
        <w:rPr>
          <w:rFonts w:ascii="Arial" w:hAnsi="Arial" w:cs="Arial"/>
          <w:sz w:val="20"/>
          <w:szCs w:val="20"/>
        </w:rPr>
        <w:t>, Chitikineni</w:t>
      </w:r>
      <w:r>
        <w:rPr>
          <w:rFonts w:ascii="Arial" w:hAnsi="Arial" w:cs="Arial"/>
          <w:sz w:val="20"/>
          <w:szCs w:val="20"/>
        </w:rPr>
        <w:t>,</w:t>
      </w:r>
      <w:r w:rsidRPr="00EF0CA2">
        <w:rPr>
          <w:rFonts w:ascii="Arial" w:hAnsi="Arial" w:cs="Arial"/>
          <w:sz w:val="20"/>
          <w:szCs w:val="20"/>
        </w:rPr>
        <w:t xml:space="preserve"> A</w:t>
      </w:r>
      <w:r>
        <w:rPr>
          <w:rFonts w:ascii="Arial" w:hAnsi="Arial" w:cs="Arial"/>
          <w:sz w:val="20"/>
          <w:szCs w:val="20"/>
        </w:rPr>
        <w:t>.</w:t>
      </w:r>
      <w:r w:rsidRPr="00EF0CA2">
        <w:rPr>
          <w:rFonts w:ascii="Arial" w:hAnsi="Arial" w:cs="Arial"/>
          <w:sz w:val="20"/>
          <w:szCs w:val="20"/>
        </w:rPr>
        <w:t>, Varshney</w:t>
      </w:r>
      <w:r>
        <w:rPr>
          <w:rFonts w:ascii="Arial" w:hAnsi="Arial" w:cs="Arial"/>
          <w:sz w:val="20"/>
          <w:szCs w:val="20"/>
        </w:rPr>
        <w:t>,</w:t>
      </w:r>
      <w:r w:rsidRPr="00EF0CA2">
        <w:rPr>
          <w:rFonts w:ascii="Arial" w:hAnsi="Arial" w:cs="Arial"/>
          <w:sz w:val="20"/>
          <w:szCs w:val="20"/>
        </w:rPr>
        <w:t xml:space="preserve"> R</w:t>
      </w:r>
      <w:r>
        <w:rPr>
          <w:rFonts w:ascii="Arial" w:hAnsi="Arial" w:cs="Arial"/>
          <w:sz w:val="20"/>
          <w:szCs w:val="20"/>
        </w:rPr>
        <w:t>.</w:t>
      </w:r>
      <w:r w:rsidRPr="00EF0CA2">
        <w:rPr>
          <w:rFonts w:ascii="Arial" w:hAnsi="Arial" w:cs="Arial"/>
          <w:sz w:val="20"/>
          <w:szCs w:val="20"/>
        </w:rPr>
        <w:t>K</w:t>
      </w:r>
      <w:r>
        <w:rPr>
          <w:rFonts w:ascii="Arial" w:hAnsi="Arial" w:cs="Arial"/>
          <w:sz w:val="20"/>
          <w:szCs w:val="20"/>
        </w:rPr>
        <w:t>.</w:t>
      </w:r>
      <w:r w:rsidRPr="00EF0CA2">
        <w:rPr>
          <w:rFonts w:ascii="Arial" w:hAnsi="Arial" w:cs="Arial"/>
          <w:sz w:val="20"/>
          <w:szCs w:val="20"/>
        </w:rPr>
        <w:t xml:space="preserve"> </w:t>
      </w:r>
      <w:r>
        <w:rPr>
          <w:rFonts w:ascii="Arial" w:hAnsi="Arial" w:cs="Arial"/>
          <w:sz w:val="20"/>
          <w:szCs w:val="20"/>
        </w:rPr>
        <w:t xml:space="preserve">&amp; </w:t>
      </w:r>
      <w:r w:rsidRPr="00EF0CA2">
        <w:rPr>
          <w:rFonts w:ascii="Arial" w:hAnsi="Arial" w:cs="Arial"/>
          <w:sz w:val="20"/>
          <w:szCs w:val="20"/>
        </w:rPr>
        <w:t>Singh</w:t>
      </w:r>
      <w:r>
        <w:rPr>
          <w:rFonts w:ascii="Arial" w:hAnsi="Arial" w:cs="Arial"/>
          <w:sz w:val="20"/>
          <w:szCs w:val="20"/>
        </w:rPr>
        <w:t>,</w:t>
      </w:r>
      <w:r w:rsidRPr="00EF0CA2">
        <w:rPr>
          <w:rFonts w:ascii="Arial" w:hAnsi="Arial" w:cs="Arial"/>
          <w:sz w:val="20"/>
          <w:szCs w:val="20"/>
        </w:rPr>
        <w:t xml:space="preserve"> K</w:t>
      </w:r>
      <w:r>
        <w:rPr>
          <w:rFonts w:ascii="Arial" w:hAnsi="Arial" w:cs="Arial"/>
          <w:sz w:val="20"/>
          <w:szCs w:val="20"/>
        </w:rPr>
        <w:t>.</w:t>
      </w:r>
      <w:r w:rsidRPr="00EF0CA2">
        <w:rPr>
          <w:rFonts w:ascii="Arial" w:hAnsi="Arial" w:cs="Arial"/>
          <w:sz w:val="20"/>
          <w:szCs w:val="20"/>
        </w:rPr>
        <w:t>H.</w:t>
      </w:r>
      <w:r>
        <w:rPr>
          <w:rFonts w:ascii="Arial" w:hAnsi="Arial" w:cs="Arial"/>
          <w:sz w:val="20"/>
          <w:szCs w:val="20"/>
        </w:rPr>
        <w:t>(2025)</w:t>
      </w:r>
      <w:r w:rsidRPr="00EF0CA2">
        <w:rPr>
          <w:rFonts w:ascii="Arial" w:hAnsi="Arial" w:cs="Arial"/>
          <w:sz w:val="20"/>
          <w:szCs w:val="20"/>
        </w:rPr>
        <w:t xml:space="preserve"> Unveiling key </w:t>
      </w:r>
      <w:r w:rsidRPr="00EF0CA2">
        <w:rPr>
          <w:rFonts w:ascii="Arial" w:hAnsi="Arial" w:cs="Arial"/>
          <w:sz w:val="20"/>
          <w:szCs w:val="20"/>
        </w:rPr>
        <w:lastRenderedPageBreak/>
        <w:t>genetic determinants of charcoal rot resistance in soybean via genome-wide associatio</w:t>
      </w:r>
      <w:r>
        <w:rPr>
          <w:rFonts w:ascii="Arial" w:hAnsi="Arial" w:cs="Arial"/>
          <w:sz w:val="20"/>
          <w:szCs w:val="20"/>
        </w:rPr>
        <w:t xml:space="preserve">n studies. Front Plant Sci. </w:t>
      </w:r>
      <w:r w:rsidRPr="00EF0CA2">
        <w:rPr>
          <w:rFonts w:ascii="Arial" w:hAnsi="Arial" w:cs="Arial"/>
          <w:sz w:val="20"/>
          <w:szCs w:val="20"/>
        </w:rPr>
        <w:t xml:space="preserve"> Dec </w:t>
      </w:r>
      <w:proofErr w:type="gramStart"/>
      <w:r>
        <w:rPr>
          <w:rFonts w:ascii="Arial" w:hAnsi="Arial" w:cs="Arial"/>
          <w:sz w:val="20"/>
          <w:szCs w:val="20"/>
        </w:rPr>
        <w:t>16;16:1649397</w:t>
      </w:r>
      <w:proofErr w:type="gramEnd"/>
      <w:r>
        <w:rPr>
          <w:rFonts w:ascii="Arial" w:hAnsi="Arial" w:cs="Arial"/>
          <w:sz w:val="20"/>
          <w:szCs w:val="20"/>
        </w:rPr>
        <w:t>.</w:t>
      </w:r>
    </w:p>
    <w:p w14:paraId="31FE2FD0"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Patidar, S., Yadav, V. K., Amrate, P. K., Lovewanshi, L. S., Karoda, C., Kharte, S., &amp; Kurmi, S. (2023). Integrated Management of Charcoal Rot and Its Influence on Seed Yield and Quality in Soybean. International Journal of Environment and Climate Change, 13(12), 830-842.</w:t>
      </w:r>
    </w:p>
    <w:p w14:paraId="7F7D19D2" w14:textId="77777777" w:rsidR="009D7818" w:rsidRDefault="009D7818" w:rsidP="00EF0CA2">
      <w:pPr>
        <w:spacing w:line="360" w:lineRule="auto"/>
        <w:jc w:val="both"/>
        <w:rPr>
          <w:rFonts w:ascii="Arial" w:hAnsi="Arial" w:cs="Arial"/>
          <w:sz w:val="20"/>
          <w:szCs w:val="20"/>
        </w:rPr>
      </w:pPr>
      <w:r w:rsidRPr="00EF0CA2">
        <w:rPr>
          <w:rFonts w:ascii="Arial" w:hAnsi="Arial" w:cs="Arial"/>
          <w:sz w:val="20"/>
          <w:szCs w:val="20"/>
        </w:rPr>
        <w:t>Ramos, A. M., Gally, M., Szapiro, G., Itzcovich, T., Carabajal, M., &amp; Levin, L. (2016). In vitro growth and cell wall degrading enzyme production by Argentinean isolates of Macrophomina phaseolina, the causative agent of charcoal rot in corn. Revista Argentina de microbiologia, 48(4), 267-273.</w:t>
      </w:r>
    </w:p>
    <w:p w14:paraId="70DE02AF" w14:textId="4A3A7E0C" w:rsidR="00DF2A4C" w:rsidRPr="00EF0CA2" w:rsidRDefault="00DF2A4C" w:rsidP="00EF0CA2">
      <w:pPr>
        <w:spacing w:line="360" w:lineRule="auto"/>
        <w:jc w:val="both"/>
        <w:rPr>
          <w:rFonts w:ascii="Arial" w:hAnsi="Arial" w:cs="Arial"/>
          <w:sz w:val="20"/>
          <w:szCs w:val="20"/>
        </w:rPr>
      </w:pPr>
      <w:r w:rsidRPr="00EF0CA2">
        <w:rPr>
          <w:rFonts w:ascii="Arial" w:hAnsi="Arial" w:cs="Arial"/>
          <w:sz w:val="20"/>
          <w:szCs w:val="20"/>
        </w:rPr>
        <w:t xml:space="preserve">Reznikov, </w:t>
      </w:r>
      <w:proofErr w:type="gramStart"/>
      <w:r>
        <w:rPr>
          <w:rFonts w:ascii="Arial" w:hAnsi="Arial" w:cs="Arial"/>
          <w:sz w:val="20"/>
          <w:szCs w:val="20"/>
        </w:rPr>
        <w:t>S.,</w:t>
      </w:r>
      <w:r w:rsidRPr="00EF0CA2">
        <w:rPr>
          <w:rFonts w:ascii="Arial" w:hAnsi="Arial" w:cs="Arial"/>
          <w:sz w:val="20"/>
          <w:szCs w:val="20"/>
        </w:rPr>
        <w:t>Vellicce</w:t>
      </w:r>
      <w:proofErr w:type="gramEnd"/>
      <w:r w:rsidRPr="00EF0CA2">
        <w:rPr>
          <w:rFonts w:ascii="Arial" w:hAnsi="Arial" w:cs="Arial"/>
          <w:sz w:val="20"/>
          <w:szCs w:val="20"/>
        </w:rPr>
        <w:t xml:space="preserve">, </w:t>
      </w:r>
      <w:r>
        <w:rPr>
          <w:rFonts w:ascii="Arial" w:hAnsi="Arial" w:cs="Arial"/>
          <w:sz w:val="20"/>
          <w:szCs w:val="20"/>
        </w:rPr>
        <w:t>G.R.,</w:t>
      </w:r>
      <w:r w:rsidRPr="00EF0CA2">
        <w:rPr>
          <w:rFonts w:ascii="Arial" w:hAnsi="Arial" w:cs="Arial"/>
          <w:sz w:val="20"/>
          <w:szCs w:val="20"/>
        </w:rPr>
        <w:t xml:space="preserve"> González, </w:t>
      </w:r>
      <w:r>
        <w:rPr>
          <w:rFonts w:ascii="Arial" w:hAnsi="Arial" w:cs="Arial"/>
          <w:sz w:val="20"/>
          <w:szCs w:val="20"/>
        </w:rPr>
        <w:t xml:space="preserve">V., </w:t>
      </w:r>
      <w:r w:rsidRPr="00EF0CA2">
        <w:rPr>
          <w:rFonts w:ascii="Arial" w:hAnsi="Arial" w:cs="Arial"/>
          <w:sz w:val="20"/>
          <w:szCs w:val="20"/>
        </w:rPr>
        <w:t>Lisi,</w:t>
      </w:r>
      <w:r>
        <w:rPr>
          <w:rFonts w:ascii="Arial" w:hAnsi="Arial" w:cs="Arial"/>
          <w:sz w:val="20"/>
          <w:szCs w:val="20"/>
        </w:rPr>
        <w:t xml:space="preserve"> V. de., </w:t>
      </w:r>
      <w:r w:rsidRPr="00EF0CA2">
        <w:rPr>
          <w:rFonts w:ascii="Arial" w:hAnsi="Arial" w:cs="Arial"/>
          <w:sz w:val="20"/>
          <w:szCs w:val="20"/>
        </w:rPr>
        <w:t xml:space="preserve"> Castagnaro, </w:t>
      </w:r>
      <w:r>
        <w:rPr>
          <w:rFonts w:ascii="Arial" w:hAnsi="Arial" w:cs="Arial"/>
          <w:sz w:val="20"/>
          <w:szCs w:val="20"/>
        </w:rPr>
        <w:t xml:space="preserve"> A.P., </w:t>
      </w:r>
      <w:r w:rsidRPr="00EF0CA2">
        <w:rPr>
          <w:rFonts w:ascii="Arial" w:hAnsi="Arial" w:cs="Arial"/>
          <w:sz w:val="20"/>
          <w:szCs w:val="20"/>
        </w:rPr>
        <w:t>Ploper,</w:t>
      </w:r>
      <w:r>
        <w:rPr>
          <w:rFonts w:ascii="Arial" w:hAnsi="Arial" w:cs="Arial"/>
          <w:sz w:val="20"/>
          <w:szCs w:val="20"/>
        </w:rPr>
        <w:t xml:space="preserve"> L.D.(2016)</w:t>
      </w:r>
      <w:r w:rsidRPr="00EF0CA2">
        <w:rPr>
          <w:rFonts w:ascii="Arial" w:hAnsi="Arial" w:cs="Arial"/>
          <w:sz w:val="20"/>
          <w:szCs w:val="20"/>
        </w:rPr>
        <w:t xml:space="preserve"> Evaluation of chemical and biological seed treatments to control charcoal rot of soybean,</w:t>
      </w:r>
      <w:r>
        <w:rPr>
          <w:rFonts w:ascii="Arial" w:hAnsi="Arial" w:cs="Arial"/>
          <w:sz w:val="20"/>
          <w:szCs w:val="20"/>
        </w:rPr>
        <w:t xml:space="preserve"> J. Gen. Plant Pathol. 82</w:t>
      </w:r>
      <w:r w:rsidRPr="00EF0CA2">
        <w:rPr>
          <w:rFonts w:ascii="Arial" w:hAnsi="Arial" w:cs="Arial"/>
          <w:sz w:val="20"/>
          <w:szCs w:val="20"/>
        </w:rPr>
        <w:t>273-</w:t>
      </w:r>
      <w:r>
        <w:rPr>
          <w:rFonts w:ascii="Arial" w:hAnsi="Arial" w:cs="Arial"/>
          <w:sz w:val="20"/>
          <w:szCs w:val="20"/>
        </w:rPr>
        <w:t xml:space="preserve">280. </w:t>
      </w:r>
    </w:p>
    <w:p w14:paraId="7D5496A1"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Romero Luna, M. P., Mueller, D., Mengistu, A., Singh, A. K., Hartman, G. L., &amp; Wise, K. A. (2017). Advancing our understanding of charcoal rot in soybeans. Journal of Integrated Pest Management, 8(1), 8. </w:t>
      </w:r>
    </w:p>
    <w:p w14:paraId="31239CBE"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Rajput, L.S., Kumar, S., Nataraj, V., Shivakumar, M., Pathak, K., Jaiswal, S., Mandloi, S., Agarwal, N., Ratnaparkhe, M.B., Kumawat, G., Maheshwari, H.S. &amp; Pandey, V. (2023). Recent advancement in management of soybean charcoal rot caused by Macrophomina phaseolina. In: Kumar P, Dubey RC (eds), Macrophomina phaseolina: Ecobiology, pathology and management. Academic Press, Elsievier, pp 55–74</w:t>
      </w:r>
    </w:p>
    <w:p w14:paraId="3E41016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Rajput, L. S., Kumar, S., Nataraj, V., Shivakumar, M., Maheshwari, H. S., &amp; Ghodki, B. S. (2024). Evaluation of Novel Fungicide for the Management of Soybean Anthracnose Disease and Yield Loss Estimation. Legume Research: An International Journal, 47(11), 1998–2004</w:t>
      </w:r>
    </w:p>
    <w:p w14:paraId="5EDFF18F" w14:textId="64DC55FE"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Rajput, L.S., Kumar, S., Pathak, K., Acharya, P., Goswami, D., Nataraj, V., Shivakumar, M., Maheshwari, H.S., Mandloi, S., Jaiswal, S. and Yadav, A., </w:t>
      </w:r>
      <w:r w:rsidR="006D60E2">
        <w:rPr>
          <w:rFonts w:ascii="Arial" w:hAnsi="Arial" w:cs="Arial"/>
          <w:sz w:val="20"/>
          <w:szCs w:val="20"/>
        </w:rPr>
        <w:t>(</w:t>
      </w:r>
      <w:r w:rsidRPr="00EF0CA2">
        <w:rPr>
          <w:rFonts w:ascii="Arial" w:hAnsi="Arial" w:cs="Arial"/>
          <w:sz w:val="20"/>
          <w:szCs w:val="20"/>
        </w:rPr>
        <w:t>2025</w:t>
      </w:r>
      <w:r w:rsidR="006D60E2">
        <w:rPr>
          <w:rFonts w:ascii="Arial" w:hAnsi="Arial" w:cs="Arial"/>
          <w:sz w:val="20"/>
          <w:szCs w:val="20"/>
        </w:rPr>
        <w:t>)</w:t>
      </w:r>
      <w:r w:rsidRPr="00EF0CA2">
        <w:rPr>
          <w:rFonts w:ascii="Arial" w:hAnsi="Arial" w:cs="Arial"/>
          <w:sz w:val="20"/>
          <w:szCs w:val="20"/>
        </w:rPr>
        <w:t>. Morpho-cultural, pathogenic, and genetic characterization of Indian isolates of Macrophomina phaseolina causing charcoal rot in soybean. Heliyon, 11(2).</w:t>
      </w:r>
    </w:p>
    <w:p w14:paraId="5042E1AD" w14:textId="04B08FEA"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Singh, P., Chatterjee, A., Rajput, L.S., Rana, S., Kumar, S., Nataraj, V., Bhatia, V. &amp; Prakash, S. (2021). Development of an intelligent laser biospeckle system for early detection and classification of soybean seeds infected with seed-borne fungal patho</w:t>
      </w:r>
      <w:r w:rsidR="00DF2A4C">
        <w:rPr>
          <w:rFonts w:ascii="Arial" w:hAnsi="Arial" w:cs="Arial"/>
          <w:sz w:val="20"/>
          <w:szCs w:val="20"/>
        </w:rPr>
        <w:t>gen (Colletotrichum truncatum</w:t>
      </w:r>
      <w:proofErr w:type="gramStart"/>
      <w:r w:rsidR="00DF2A4C">
        <w:rPr>
          <w:rFonts w:ascii="Arial" w:hAnsi="Arial" w:cs="Arial"/>
          <w:sz w:val="20"/>
          <w:szCs w:val="20"/>
        </w:rPr>
        <w:t>).</w:t>
      </w:r>
      <w:r w:rsidRPr="00EF0CA2">
        <w:rPr>
          <w:rFonts w:ascii="Arial" w:hAnsi="Arial" w:cs="Arial"/>
          <w:sz w:val="20"/>
          <w:szCs w:val="20"/>
        </w:rPr>
        <w:t>Biosystems</w:t>
      </w:r>
      <w:proofErr w:type="gramEnd"/>
      <w:r w:rsidRPr="00EF0CA2">
        <w:rPr>
          <w:rFonts w:ascii="Arial" w:hAnsi="Arial" w:cs="Arial"/>
          <w:sz w:val="20"/>
          <w:szCs w:val="20"/>
        </w:rPr>
        <w:t xml:space="preserve"> E</w:t>
      </w:r>
      <w:r w:rsidR="00DF2A4C">
        <w:rPr>
          <w:rFonts w:ascii="Arial" w:hAnsi="Arial" w:cs="Arial"/>
          <w:sz w:val="20"/>
          <w:szCs w:val="20"/>
        </w:rPr>
        <w:t xml:space="preserve">ngineering, 212, 442-457. </w:t>
      </w:r>
    </w:p>
    <w:p w14:paraId="30D884D0"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Sinha, N., Patra, S. K., &amp; Ghosh, S. (2022). Secretome analysis of Macrophomina phaseolina identifies an array of putative virulence factors responsible for charcoal rot disease in plants. Frontiers in Microbiology, 13, 847832.</w:t>
      </w:r>
    </w:p>
    <w:p w14:paraId="7D6BE6AB"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Song, J. H., Zhang, S.  J., Wang, Y., Chen, Y.T., Luo, J. F., Liang, Y., Zhang, H. C., Dai, Q. G., Xu, K. and Huo, Z. Y., 2022. Baseline sensitivity and control efficacy of two quinone outside </w:t>
      </w:r>
      <w:r w:rsidRPr="00EF0CA2">
        <w:rPr>
          <w:rFonts w:ascii="Arial" w:hAnsi="Arial" w:cs="Arial"/>
          <w:sz w:val="20"/>
          <w:szCs w:val="20"/>
        </w:rPr>
        <w:lastRenderedPageBreak/>
        <w:t>inhibitor fungicides, azoxystrobin and pyraclostrobin, against Ustilaginoidea virens. Plant Disease, 106(11), pp.2967-2973.</w:t>
      </w:r>
    </w:p>
    <w:p w14:paraId="2F7D166C"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Srinivas, A., Devi, G. U., Sagar, B. V., Srinivas, C., Balram, M., &amp; Mallaiah, B. (2021). Efficacy of organic soil amendments, fungicides and chitosan against Macrophomina phaseolina under in vitro conditions.</w:t>
      </w:r>
    </w:p>
    <w:p w14:paraId="6CD20114"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Ulrich, J. T., &amp; Mathre, D. (1972). Mode of action of oxathiin systemic fungicides V. Effect on electron transport system of Ustilago maydis and Saccharomyces cerevisiae. Journal of bacteriology, 110(2), 628-632.</w:t>
      </w:r>
    </w:p>
    <w:p w14:paraId="4F803FEB"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Upadhyay, S., Singh, A. K., Tripathi, M. K., Tiwari, S., Tripathi, N., &amp; Patel, R. P. (2023). In vitro Selection for Resistance against Charcoal Rot Disease of Soybean [Glycine max (L.) Merrill] Caused by Macrophomina phaseolina (Tassi) Goid. Legume Research: An International Journal, 46(5).</w:t>
      </w:r>
    </w:p>
    <w:p w14:paraId="3CA3E67E"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Wen, L., Lee-Marzano, S., Ortiz-Ribbing, L. M., Gruver, J., Hartman, G. L., &amp; Eastburn, D. M. (2017). Suppression of soilborne diseases of soybean with cover crops. Plant disease, 101(11), 1918-1928.</w:t>
      </w:r>
    </w:p>
    <w:p w14:paraId="31D331B1" w14:textId="76CE4078" w:rsidR="004212C9"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Zhou, Y., Xu, J., Zhu, Y., Duan, Y., &amp; Zhou, M. (2016). Mechanism of Action of the Benzimidazole Fungicide on Fusarium graminearum: Interfering with Polymerization of Monomeric Tubulin </w:t>
      </w:r>
      <w:proofErr w:type="gramStart"/>
      <w:r w:rsidRPr="00EF0CA2">
        <w:rPr>
          <w:rFonts w:ascii="Arial" w:hAnsi="Arial" w:cs="Arial"/>
          <w:sz w:val="20"/>
          <w:szCs w:val="20"/>
        </w:rPr>
        <w:t>But</w:t>
      </w:r>
      <w:proofErr w:type="gramEnd"/>
      <w:r w:rsidRPr="00EF0CA2">
        <w:rPr>
          <w:rFonts w:ascii="Arial" w:hAnsi="Arial" w:cs="Arial"/>
          <w:sz w:val="20"/>
          <w:szCs w:val="20"/>
        </w:rPr>
        <w:t xml:space="preserve"> Not Polymerized Microtubule. Phytopathology, 106(8), 807–813. https://doi.org/10.1094/PHYTO-08-15-0186-R </w:t>
      </w:r>
      <w:bookmarkEnd w:id="7"/>
      <w:commentRangeEnd w:id="8"/>
      <w:commentRangeEnd w:id="9"/>
      <w:r w:rsidR="00A276D2">
        <w:rPr>
          <w:rStyle w:val="CommentReference"/>
        </w:rPr>
        <w:commentReference w:id="9"/>
      </w:r>
      <w:r w:rsidR="00662470">
        <w:rPr>
          <w:rStyle w:val="CommentReference"/>
        </w:rPr>
        <w:commentReference w:id="8"/>
      </w:r>
    </w:p>
    <w:sectPr w:rsidR="004212C9" w:rsidRPr="00EF0CA2" w:rsidSect="009D781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216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LANT PATHOLOGY" w:date="2026-02-06T12:05:00Z" w:initials="PP">
    <w:p w14:paraId="35DBED66" w14:textId="64F2DA8C" w:rsidR="00764FF1" w:rsidRDefault="00764FF1">
      <w:pPr>
        <w:pStyle w:val="CommentText"/>
      </w:pPr>
      <w:r>
        <w:rPr>
          <w:rStyle w:val="CommentReference"/>
        </w:rPr>
        <w:annotationRef/>
      </w:r>
      <w:r>
        <w:t>No need to mention this in article</w:t>
      </w:r>
    </w:p>
  </w:comment>
  <w:comment w:id="1" w:author="PLANT PATHOLOGY" w:date="2026-02-06T12:07:00Z" w:initials="PP">
    <w:p w14:paraId="53B70D38" w14:textId="53F029EB" w:rsidR="00764FF1" w:rsidRDefault="00764FF1">
      <w:pPr>
        <w:pStyle w:val="CommentText"/>
      </w:pPr>
      <w:r>
        <w:rPr>
          <w:rStyle w:val="CommentReference"/>
        </w:rPr>
        <w:annotationRef/>
      </w:r>
      <w:r>
        <w:t>Delete it</w:t>
      </w:r>
    </w:p>
  </w:comment>
  <w:comment w:id="2" w:author="PLANT PATHOLOGY" w:date="2026-02-06T12:09:00Z" w:initials="PP">
    <w:p w14:paraId="3C1C3111" w14:textId="31938B65" w:rsidR="00D115B1" w:rsidRDefault="00D115B1">
      <w:pPr>
        <w:pStyle w:val="CommentText"/>
      </w:pPr>
      <w:r>
        <w:rPr>
          <w:rStyle w:val="CommentReference"/>
        </w:rPr>
        <w:annotationRef/>
      </w:r>
      <w:r>
        <w:t>Please remove methods from abstract</w:t>
      </w:r>
    </w:p>
  </w:comment>
  <w:comment w:id="3" w:author="PLANT PATHOLOGY" w:date="2026-02-06T12:10:00Z" w:initials="PP">
    <w:p w14:paraId="04576DBF" w14:textId="65F6038A" w:rsidR="00D115B1" w:rsidRDefault="00D115B1">
      <w:pPr>
        <w:pStyle w:val="CommentText"/>
      </w:pPr>
      <w:r>
        <w:rPr>
          <w:rStyle w:val="CommentReference"/>
        </w:rPr>
        <w:annotationRef/>
      </w:r>
      <w:r>
        <w:t>Please conclude whole result and confusion in 1 paragraph</w:t>
      </w:r>
    </w:p>
  </w:comment>
  <w:comment w:id="4" w:author="PLANT PATHOLOGY" w:date="2026-02-06T12:13:00Z" w:initials="PP">
    <w:p w14:paraId="29F2C107" w14:textId="43E4E5B6" w:rsidR="00D115B1" w:rsidRPr="00D115B1" w:rsidRDefault="00D115B1">
      <w:pPr>
        <w:pStyle w:val="CommentText"/>
      </w:pPr>
      <w:r>
        <w:rPr>
          <w:rStyle w:val="CommentReference"/>
        </w:rPr>
        <w:annotationRef/>
      </w:r>
      <w:r>
        <w:t xml:space="preserve">Replace with </w:t>
      </w:r>
      <w:r>
        <w:rPr>
          <w:i/>
        </w:rPr>
        <w:t xml:space="preserve">in vitro </w:t>
      </w:r>
      <w:r>
        <w:t>studies</w:t>
      </w:r>
    </w:p>
  </w:comment>
  <w:comment w:id="6" w:author="PLANT PATHOLOGY" w:date="2026-02-06T12:18:00Z" w:initials="PP">
    <w:p w14:paraId="1B3CADEF" w14:textId="770C173E" w:rsidR="008C3F8F" w:rsidRDefault="008C3F8F">
      <w:pPr>
        <w:pStyle w:val="CommentText"/>
      </w:pPr>
      <w:r>
        <w:rPr>
          <w:rStyle w:val="CommentReference"/>
        </w:rPr>
        <w:annotationRef/>
      </w:r>
      <w:r>
        <w:t>Remove it</w:t>
      </w:r>
    </w:p>
  </w:comment>
  <w:comment w:id="10" w:author="PLANT PATHOLOGY" w:date="2026-02-06T12:19:00Z" w:initials="PP">
    <w:p w14:paraId="25E4AC19" w14:textId="5D41F59D" w:rsidR="008C3F8F" w:rsidRDefault="008C3F8F">
      <w:pPr>
        <w:pStyle w:val="CommentText"/>
      </w:pPr>
      <w:r>
        <w:rPr>
          <w:rStyle w:val="CommentReference"/>
        </w:rPr>
        <w:annotationRef/>
      </w:r>
      <w:r>
        <w:t>Please remove bracket from here. Follow same pattern of refrence</w:t>
      </w:r>
    </w:p>
  </w:comment>
  <w:comment w:id="9" w:author="PLANT PATHOLOGY" w:date="2026-02-06T12:25:00Z" w:initials="PP">
    <w:p w14:paraId="1B328F1D" w14:textId="2C645253" w:rsidR="00A276D2" w:rsidRDefault="00A276D2">
      <w:pPr>
        <w:pStyle w:val="CommentText"/>
      </w:pPr>
      <w:r>
        <w:rPr>
          <w:rStyle w:val="CommentReference"/>
        </w:rPr>
        <w:annotationRef/>
      </w:r>
      <w:r>
        <w:t>Precise</w:t>
      </w:r>
      <w:r w:rsidR="00256CF3">
        <w:t>the refence and rewrite it by following pattern with respect to sample paper</w:t>
      </w:r>
    </w:p>
  </w:comment>
  <w:comment w:id="8" w:author="PLANT PATHOLOGY" w:date="2026-02-06T12:21:00Z" w:initials="PP">
    <w:p w14:paraId="38C1726B" w14:textId="47CCDFC4" w:rsidR="00662470" w:rsidRDefault="00662470">
      <w:pPr>
        <w:pStyle w:val="CommentText"/>
      </w:pPr>
      <w:r>
        <w:rPr>
          <w:rStyle w:val="CommentReference"/>
        </w:rPr>
        <w:annotationRef/>
      </w:r>
      <w:r>
        <w:t>Precised the refrence and follow refrence from sample paper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DBED66" w15:done="0"/>
  <w15:commentEx w15:paraId="53B70D38" w15:done="0"/>
  <w15:commentEx w15:paraId="3C1C3111" w15:done="0"/>
  <w15:commentEx w15:paraId="04576DBF" w15:done="0"/>
  <w15:commentEx w15:paraId="29F2C107" w15:done="0"/>
  <w15:commentEx w15:paraId="1B3CADEF" w15:done="0"/>
  <w15:commentEx w15:paraId="25E4AC19" w15:done="0"/>
  <w15:commentEx w15:paraId="1B328F1D" w15:done="0"/>
  <w15:commentEx w15:paraId="38C1726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FC7D8" w14:textId="77777777" w:rsidR="009856EA" w:rsidRDefault="009856EA" w:rsidP="009D7818">
      <w:pPr>
        <w:spacing w:after="0" w:line="240" w:lineRule="auto"/>
      </w:pPr>
      <w:r>
        <w:separator/>
      </w:r>
    </w:p>
  </w:endnote>
  <w:endnote w:type="continuationSeparator" w:id="0">
    <w:p w14:paraId="600982BB" w14:textId="77777777" w:rsidR="009856EA" w:rsidRDefault="009856EA" w:rsidP="009D7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rdia New">
    <w:altName w:val="Arial Unicode MS"/>
    <w:panose1 w:val="020B0304020202020204"/>
    <w:charset w:val="DE"/>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Angsana New">
    <w:altName w:val="Arial Unicode MS"/>
    <w:panose1 w:val="02020603050405020304"/>
    <w:charset w:val="DE"/>
    <w:family w:val="roman"/>
    <w:pitch w:val="variable"/>
    <w:sig w:usb0="00000000"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CC681" w14:textId="77777777" w:rsidR="00C479F1" w:rsidRDefault="00C479F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C77CA" w14:textId="77777777" w:rsidR="00C479F1" w:rsidRDefault="00C479F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EE515" w14:textId="77777777" w:rsidR="00C479F1" w:rsidRDefault="00C479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66CCD" w14:textId="77777777" w:rsidR="009856EA" w:rsidRDefault="009856EA" w:rsidP="009D7818">
      <w:pPr>
        <w:spacing w:after="0" w:line="240" w:lineRule="auto"/>
      </w:pPr>
      <w:r>
        <w:separator/>
      </w:r>
    </w:p>
  </w:footnote>
  <w:footnote w:type="continuationSeparator" w:id="0">
    <w:p w14:paraId="1CE5C7CD" w14:textId="77777777" w:rsidR="009856EA" w:rsidRDefault="009856EA" w:rsidP="009D7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9E24E" w14:textId="04312642" w:rsidR="00C479F1" w:rsidRDefault="0034194C">
    <w:pPr>
      <w:pStyle w:val="Header"/>
    </w:pPr>
    <w:r>
      <w:rPr>
        <w:noProof/>
        <w:lang w:eastAsia="en-IN" w:bidi="ar-SA"/>
      </w:rPr>
      <mc:AlternateContent>
        <mc:Choice Requires="wps">
          <w:drawing>
            <wp:anchor distT="0" distB="0" distL="114300" distR="114300" simplePos="0" relativeHeight="251661312" behindDoc="1" locked="0" layoutInCell="0" allowOverlap="1" wp14:anchorId="4E86E252" wp14:editId="76465B80">
              <wp:simplePos x="0" y="0"/>
              <wp:positionH relativeFrom="margin">
                <wp:align>center</wp:align>
              </wp:positionH>
              <wp:positionV relativeFrom="margin">
                <wp:align>center</wp:align>
              </wp:positionV>
              <wp:extent cx="6255385" cy="1179830"/>
              <wp:effectExtent l="0" t="1943100" r="0" b="170624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55385" cy="11798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8ACD22" w14:textId="77777777" w:rsidR="0034194C" w:rsidRDefault="0034194C" w:rsidP="0034194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86E252" id="_x0000_t202" coordsize="21600,21600" o:spt="202" path="m,l,21600r21600,l21600,xe">
              <v:stroke joinstyle="miter"/>
              <v:path gradientshapeok="t" o:connecttype="rect"/>
            </v:shapetype>
            <v:shape id="WordArt 2" o:spid="_x0000_s1026" type="#_x0000_t202" style="position:absolute;margin-left:0;margin-top:0;width:492.55pt;height:92.9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" o:allowincell="f" filled="f" stroked="f">
              <v:stroke joinstyle="round"/>
              <o:lock v:ext="edit" shapetype="t"/>
              <v:textbox style="mso-fit-shape-to-text:t">
                <w:txbxContent>
                  <w:p w14:paraId="3D8ACD22" w14:textId="77777777" w:rsidR="0034194C" w:rsidRDefault="0034194C" w:rsidP="0034194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396EA" w14:textId="35A1FC00" w:rsidR="00C479F1" w:rsidRDefault="0034194C">
    <w:pPr>
      <w:pStyle w:val="Header"/>
    </w:pPr>
    <w:r>
      <w:rPr>
        <w:noProof/>
        <w:lang w:eastAsia="en-IN" w:bidi="ar-SA"/>
      </w:rPr>
      <mc:AlternateContent>
        <mc:Choice Requires="wps">
          <w:drawing>
            <wp:anchor distT="0" distB="0" distL="114300" distR="114300" simplePos="0" relativeHeight="251663360" behindDoc="1" locked="0" layoutInCell="0" allowOverlap="1" wp14:anchorId="4C17C8EA" wp14:editId="26376171">
              <wp:simplePos x="0" y="0"/>
              <wp:positionH relativeFrom="margin">
                <wp:align>center</wp:align>
              </wp:positionH>
              <wp:positionV relativeFrom="margin">
                <wp:align>center</wp:align>
              </wp:positionV>
              <wp:extent cx="6255385" cy="1179830"/>
              <wp:effectExtent l="0" t="1943100" r="0" b="170624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55385" cy="11798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398C45" w14:textId="77777777" w:rsidR="0034194C" w:rsidRDefault="0034194C" w:rsidP="0034194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17C8EA" id="_x0000_t202" coordsize="21600,21600" o:spt="202" path="m,l,21600r21600,l21600,xe">
              <v:stroke joinstyle="miter"/>
              <v:path gradientshapeok="t" o:connecttype="rect"/>
            </v:shapetype>
            <v:shape id="WordArt 3" o:spid="_x0000_s1027" type="#_x0000_t202" style="position:absolute;margin-left:0;margin-top:0;width:492.55pt;height:92.9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" o:allowincell="f" filled="f" stroked="f">
              <v:stroke joinstyle="round"/>
              <o:lock v:ext="edit" shapetype="t"/>
              <v:textbox style="mso-fit-shape-to-text:t">
                <w:txbxContent>
                  <w:p w14:paraId="66398C45" w14:textId="77777777" w:rsidR="0034194C" w:rsidRDefault="0034194C" w:rsidP="0034194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B772C" w14:textId="3760142C" w:rsidR="00C479F1" w:rsidRDefault="009856EA">
    <w:pPr>
      <w:pStyle w:val="Header"/>
    </w:pPr>
    <w:r>
      <w:rPr>
        <w:noProof/>
      </w:rPr>
      <w:pict w14:anchorId="7F674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LANT PATHOLOGY">
    <w15:presenceInfo w15:providerId="None" w15:userId="PLANT PATHOLOG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56A"/>
    <w:rsid w:val="0010750D"/>
    <w:rsid w:val="0025656A"/>
    <w:rsid w:val="00256CF3"/>
    <w:rsid w:val="002D0599"/>
    <w:rsid w:val="00303348"/>
    <w:rsid w:val="0034194C"/>
    <w:rsid w:val="003573E7"/>
    <w:rsid w:val="004212C9"/>
    <w:rsid w:val="0055494E"/>
    <w:rsid w:val="00597D03"/>
    <w:rsid w:val="005A3768"/>
    <w:rsid w:val="005D7639"/>
    <w:rsid w:val="005F3A9B"/>
    <w:rsid w:val="00662470"/>
    <w:rsid w:val="00682E62"/>
    <w:rsid w:val="006D60E2"/>
    <w:rsid w:val="0071362F"/>
    <w:rsid w:val="00763709"/>
    <w:rsid w:val="00764FF1"/>
    <w:rsid w:val="007A46F7"/>
    <w:rsid w:val="008C3F8F"/>
    <w:rsid w:val="008D5FBB"/>
    <w:rsid w:val="009856EA"/>
    <w:rsid w:val="009D7818"/>
    <w:rsid w:val="00A276D2"/>
    <w:rsid w:val="00AA2898"/>
    <w:rsid w:val="00B26C8D"/>
    <w:rsid w:val="00B453F5"/>
    <w:rsid w:val="00BA499D"/>
    <w:rsid w:val="00C479F1"/>
    <w:rsid w:val="00D115B1"/>
    <w:rsid w:val="00D146DC"/>
    <w:rsid w:val="00DF2A4C"/>
    <w:rsid w:val="00EF0CA2"/>
    <w:rsid w:val="00F17D14"/>
    <w:rsid w:val="00F61F1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CAE3C1"/>
  <w15:docId w15:val="{DE6204D1-0DA2-4660-9A96-38C8F80E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818"/>
    <w:rPr>
      <w14:ligatures w14:val="none"/>
    </w:rPr>
  </w:style>
  <w:style w:type="paragraph" w:styleId="Heading1">
    <w:name w:val="heading 1"/>
    <w:basedOn w:val="Normal"/>
    <w:next w:val="Normal"/>
    <w:link w:val="Heading1Char"/>
    <w:uiPriority w:val="9"/>
    <w:qFormat/>
    <w:rsid w:val="0025656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25656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25656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2565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5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56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25656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25656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565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5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56A"/>
    <w:rPr>
      <w:rFonts w:eastAsiaTheme="majorEastAsia" w:cstheme="majorBidi"/>
      <w:color w:val="272727" w:themeColor="text1" w:themeTint="D8"/>
    </w:rPr>
  </w:style>
  <w:style w:type="paragraph" w:styleId="Title">
    <w:name w:val="Title"/>
    <w:basedOn w:val="Normal"/>
    <w:next w:val="Normal"/>
    <w:link w:val="TitleChar"/>
    <w:uiPriority w:val="10"/>
    <w:qFormat/>
    <w:rsid w:val="0025656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5656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5656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5656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5656A"/>
    <w:pPr>
      <w:spacing w:before="160"/>
      <w:jc w:val="center"/>
    </w:pPr>
    <w:rPr>
      <w:i/>
      <w:iCs/>
      <w:color w:val="404040" w:themeColor="text1" w:themeTint="BF"/>
    </w:rPr>
  </w:style>
  <w:style w:type="character" w:customStyle="1" w:styleId="QuoteChar">
    <w:name w:val="Quote Char"/>
    <w:basedOn w:val="DefaultParagraphFont"/>
    <w:link w:val="Quote"/>
    <w:uiPriority w:val="29"/>
    <w:rsid w:val="0025656A"/>
    <w:rPr>
      <w:i/>
      <w:iCs/>
      <w:color w:val="404040" w:themeColor="text1" w:themeTint="BF"/>
    </w:rPr>
  </w:style>
  <w:style w:type="paragraph" w:styleId="ListParagraph">
    <w:name w:val="List Paragraph"/>
    <w:basedOn w:val="Normal"/>
    <w:uiPriority w:val="34"/>
    <w:qFormat/>
    <w:rsid w:val="0025656A"/>
    <w:pPr>
      <w:ind w:left="720"/>
      <w:contextualSpacing/>
    </w:pPr>
  </w:style>
  <w:style w:type="character" w:styleId="IntenseEmphasis">
    <w:name w:val="Intense Emphasis"/>
    <w:basedOn w:val="DefaultParagraphFont"/>
    <w:uiPriority w:val="21"/>
    <w:qFormat/>
    <w:rsid w:val="0025656A"/>
    <w:rPr>
      <w:i/>
      <w:iCs/>
      <w:color w:val="2F5496" w:themeColor="accent1" w:themeShade="BF"/>
    </w:rPr>
  </w:style>
  <w:style w:type="paragraph" w:styleId="IntenseQuote">
    <w:name w:val="Intense Quote"/>
    <w:basedOn w:val="Normal"/>
    <w:next w:val="Normal"/>
    <w:link w:val="IntenseQuoteChar"/>
    <w:uiPriority w:val="30"/>
    <w:qFormat/>
    <w:rsid w:val="00256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56A"/>
    <w:rPr>
      <w:i/>
      <w:iCs/>
      <w:color w:val="2F5496" w:themeColor="accent1" w:themeShade="BF"/>
    </w:rPr>
  </w:style>
  <w:style w:type="character" w:styleId="IntenseReference">
    <w:name w:val="Intense Reference"/>
    <w:basedOn w:val="DefaultParagraphFont"/>
    <w:uiPriority w:val="32"/>
    <w:qFormat/>
    <w:rsid w:val="0025656A"/>
    <w:rPr>
      <w:b/>
      <w:bCs/>
      <w:smallCaps/>
      <w:color w:val="2F5496" w:themeColor="accent1" w:themeShade="BF"/>
      <w:spacing w:val="5"/>
    </w:rPr>
  </w:style>
  <w:style w:type="paragraph" w:customStyle="1" w:styleId="Body">
    <w:name w:val="Body"/>
    <w:basedOn w:val="Normal"/>
    <w:rsid w:val="009D7818"/>
    <w:pPr>
      <w:spacing w:after="240" w:line="240" w:lineRule="auto"/>
      <w:jc w:val="both"/>
    </w:pPr>
    <w:rPr>
      <w:rFonts w:ascii="Helvetica" w:eastAsia="Times New Roman" w:hAnsi="Helvetica" w:cs="Times New Roman"/>
      <w:kern w:val="0"/>
      <w:sz w:val="20"/>
      <w:szCs w:val="20"/>
      <w:lang w:val="en-US" w:bidi="ar-SA"/>
    </w:rPr>
  </w:style>
  <w:style w:type="paragraph" w:styleId="Header">
    <w:name w:val="header"/>
    <w:basedOn w:val="Normal"/>
    <w:link w:val="HeaderChar"/>
    <w:uiPriority w:val="99"/>
    <w:unhideWhenUsed/>
    <w:rsid w:val="009D7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818"/>
    <w:rPr>
      <w14:ligatures w14:val="none"/>
    </w:rPr>
  </w:style>
  <w:style w:type="paragraph" w:styleId="Footer">
    <w:name w:val="footer"/>
    <w:basedOn w:val="Normal"/>
    <w:link w:val="FooterChar"/>
    <w:uiPriority w:val="99"/>
    <w:unhideWhenUsed/>
    <w:rsid w:val="009D7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818"/>
    <w:rPr>
      <w14:ligatures w14:val="none"/>
    </w:rPr>
  </w:style>
  <w:style w:type="character" w:styleId="Hyperlink">
    <w:name w:val="Hyperlink"/>
    <w:basedOn w:val="DefaultParagraphFont"/>
    <w:uiPriority w:val="99"/>
    <w:unhideWhenUsed/>
    <w:rsid w:val="009D7818"/>
    <w:rPr>
      <w:color w:val="0563C1" w:themeColor="hyperlink"/>
      <w:u w:val="single"/>
    </w:rPr>
  </w:style>
  <w:style w:type="character" w:styleId="Emphasis">
    <w:name w:val="Emphasis"/>
    <w:basedOn w:val="DefaultParagraphFont"/>
    <w:uiPriority w:val="20"/>
    <w:qFormat/>
    <w:rsid w:val="009D7818"/>
    <w:rPr>
      <w:i/>
      <w:iCs/>
    </w:rPr>
  </w:style>
  <w:style w:type="character" w:customStyle="1" w:styleId="hljs-comment">
    <w:name w:val="hljs-comment"/>
    <w:basedOn w:val="DefaultParagraphFont"/>
    <w:rsid w:val="009D7818"/>
  </w:style>
  <w:style w:type="table" w:styleId="TableGrid">
    <w:name w:val="Table Grid"/>
    <w:basedOn w:val="TableNormal"/>
    <w:uiPriority w:val="39"/>
    <w:rsid w:val="00303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303348"/>
    <w:rPr>
      <w:color w:val="605E5C"/>
      <w:shd w:val="clear" w:color="auto" w:fill="E1DFDD"/>
    </w:rPr>
  </w:style>
  <w:style w:type="paragraph" w:styleId="NormalWeb">
    <w:name w:val="Normal (Web)"/>
    <w:basedOn w:val="Normal"/>
    <w:uiPriority w:val="99"/>
    <w:semiHidden/>
    <w:unhideWhenUsed/>
    <w:rsid w:val="0034194C"/>
    <w:pPr>
      <w:spacing w:before="100" w:beforeAutospacing="1" w:after="100" w:afterAutospacing="1" w:line="240" w:lineRule="auto"/>
    </w:pPr>
    <w:rPr>
      <w:rFonts w:ascii="Times New Roman" w:eastAsiaTheme="minorEastAsia" w:hAnsi="Times New Roman" w:cs="Times New Roman"/>
      <w:kern w:val="0"/>
      <w:sz w:val="24"/>
      <w:szCs w:val="24"/>
      <w:lang w:eastAsia="en-IN" w:bidi="ar-SA"/>
    </w:rPr>
  </w:style>
  <w:style w:type="character" w:styleId="CommentReference">
    <w:name w:val="annotation reference"/>
    <w:basedOn w:val="DefaultParagraphFont"/>
    <w:uiPriority w:val="99"/>
    <w:semiHidden/>
    <w:unhideWhenUsed/>
    <w:rsid w:val="00764FF1"/>
    <w:rPr>
      <w:sz w:val="16"/>
      <w:szCs w:val="16"/>
    </w:rPr>
  </w:style>
  <w:style w:type="paragraph" w:styleId="CommentText">
    <w:name w:val="annotation text"/>
    <w:basedOn w:val="Normal"/>
    <w:link w:val="CommentTextChar"/>
    <w:uiPriority w:val="99"/>
    <w:semiHidden/>
    <w:unhideWhenUsed/>
    <w:rsid w:val="00764FF1"/>
    <w:pPr>
      <w:spacing w:line="240" w:lineRule="auto"/>
    </w:pPr>
    <w:rPr>
      <w:sz w:val="20"/>
      <w:szCs w:val="25"/>
    </w:rPr>
  </w:style>
  <w:style w:type="character" w:customStyle="1" w:styleId="CommentTextChar">
    <w:name w:val="Comment Text Char"/>
    <w:basedOn w:val="DefaultParagraphFont"/>
    <w:link w:val="CommentText"/>
    <w:uiPriority w:val="99"/>
    <w:semiHidden/>
    <w:rsid w:val="00764FF1"/>
    <w:rPr>
      <w:sz w:val="20"/>
      <w:szCs w:val="25"/>
      <w14:ligatures w14:val="none"/>
    </w:rPr>
  </w:style>
  <w:style w:type="paragraph" w:styleId="CommentSubject">
    <w:name w:val="annotation subject"/>
    <w:basedOn w:val="CommentText"/>
    <w:next w:val="CommentText"/>
    <w:link w:val="CommentSubjectChar"/>
    <w:uiPriority w:val="99"/>
    <w:semiHidden/>
    <w:unhideWhenUsed/>
    <w:rsid w:val="00764FF1"/>
    <w:rPr>
      <w:b/>
      <w:bCs/>
    </w:rPr>
  </w:style>
  <w:style w:type="character" w:customStyle="1" w:styleId="CommentSubjectChar">
    <w:name w:val="Comment Subject Char"/>
    <w:basedOn w:val="CommentTextChar"/>
    <w:link w:val="CommentSubject"/>
    <w:uiPriority w:val="99"/>
    <w:semiHidden/>
    <w:rsid w:val="00764FF1"/>
    <w:rPr>
      <w:b/>
      <w:bCs/>
      <w:sz w:val="20"/>
      <w:szCs w:val="25"/>
      <w14:ligatures w14:val="none"/>
    </w:rPr>
  </w:style>
  <w:style w:type="paragraph" w:styleId="BalloonText">
    <w:name w:val="Balloon Text"/>
    <w:basedOn w:val="Normal"/>
    <w:link w:val="BalloonTextChar"/>
    <w:uiPriority w:val="99"/>
    <w:semiHidden/>
    <w:unhideWhenUsed/>
    <w:rsid w:val="00764FF1"/>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764FF1"/>
    <w:rPr>
      <w:rFonts w:ascii="Segoe UI" w:hAnsi="Segoe UI" w:cs="Angsana New"/>
      <w:sz w:val="1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00682-40BF-4945-84B2-19B15B99B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4479</Words>
  <Characters>25535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Pawan Saini</dc:creator>
  <cp:keywords/>
  <dc:description/>
  <cp:lastModifiedBy>PLANT PATHOLOGY</cp:lastModifiedBy>
  <cp:revision>8</cp:revision>
  <dcterms:created xsi:type="dcterms:W3CDTF">2026-02-06T06:35:00Z</dcterms:created>
  <dcterms:modified xsi:type="dcterms:W3CDTF">2026-02-06T07:03:00Z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9127a56b-5b61-4312-97f1-4c1161e9a301</vt:lpwstr>
  </property>
</Properties>
</file>