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EF1F7" w14:textId="77777777" w:rsidR="00E84270" w:rsidRDefault="009A4D9B" w:rsidP="009A4D9B">
      <w:pPr>
        <w:bidi w:val="0"/>
        <w:spacing w:after="0" w:line="240" w:lineRule="auto"/>
        <w:rPr>
          <w:rFonts w:ascii="Times New Roman" w:eastAsia="Times New Roman" w:hAnsi="Times New Roman" w:cs="Times New Roman"/>
          <w:color w:val="000000"/>
          <w:sz w:val="32"/>
          <w:szCs w:val="32"/>
          <w:lang w:val="en"/>
        </w:rPr>
      </w:pPr>
      <w:r w:rsidRPr="00F2488F">
        <w:rPr>
          <w:rFonts w:ascii="Times New Roman" w:eastAsia="Times New Roman" w:hAnsi="Times New Roman" w:cs="Times New Roman"/>
          <w:color w:val="000000"/>
          <w:sz w:val="32"/>
          <w:szCs w:val="32"/>
          <w:lang w:val="en"/>
        </w:rPr>
        <w:t>Effect of Zinc Oxide Nanoparticles on Some Production Qualities and Biochemical</w:t>
      </w:r>
      <w:r>
        <w:rPr>
          <w:rFonts w:ascii="Times New Roman" w:eastAsia="Times New Roman" w:hAnsi="Times New Roman" w:cs="Times New Roman"/>
          <w:color w:val="000000"/>
          <w:sz w:val="32"/>
          <w:szCs w:val="32"/>
          <w:lang w:val="en"/>
        </w:rPr>
        <w:t xml:space="preserve"> parameters</w:t>
      </w:r>
      <w:r w:rsidRPr="00F2488F">
        <w:rPr>
          <w:rFonts w:ascii="Times New Roman" w:eastAsia="Times New Roman" w:hAnsi="Times New Roman" w:cs="Times New Roman"/>
          <w:color w:val="000000"/>
          <w:sz w:val="32"/>
          <w:szCs w:val="32"/>
          <w:lang w:val="en"/>
        </w:rPr>
        <w:t xml:space="preserve"> of Broiler</w:t>
      </w:r>
      <w:r w:rsidR="00E84270">
        <w:rPr>
          <w:rFonts w:ascii="Times New Roman" w:eastAsia="Times New Roman" w:hAnsi="Times New Roman" w:cs="Times New Roman"/>
          <w:color w:val="000000"/>
          <w:sz w:val="32"/>
          <w:szCs w:val="32"/>
          <w:lang w:val="en"/>
        </w:rPr>
        <w:t xml:space="preserve"> chickens</w:t>
      </w:r>
    </w:p>
    <w:p w14:paraId="672A6659" w14:textId="77777777" w:rsidR="00E84270" w:rsidRDefault="00E84270" w:rsidP="00E84270">
      <w:pPr>
        <w:bidi w:val="0"/>
        <w:spacing w:after="0" w:line="240" w:lineRule="auto"/>
        <w:rPr>
          <w:rFonts w:ascii="Times New Roman" w:eastAsia="Times New Roman" w:hAnsi="Times New Roman" w:cs="Times New Roman"/>
          <w:color w:val="000000"/>
          <w:sz w:val="32"/>
          <w:szCs w:val="32"/>
          <w:lang w:val="en"/>
        </w:rPr>
      </w:pPr>
    </w:p>
    <w:p w14:paraId="4D17554C" w14:textId="77777777" w:rsidR="009A4D9B" w:rsidRPr="00F2488F" w:rsidRDefault="009A4D9B" w:rsidP="00E84270">
      <w:pPr>
        <w:bidi w:val="0"/>
        <w:spacing w:after="0" w:line="240" w:lineRule="auto"/>
        <w:rPr>
          <w:rFonts w:ascii="Times New Roman" w:eastAsia="Times New Roman" w:hAnsi="Times New Roman" w:cs="Times New Roman"/>
          <w:color w:val="000000"/>
          <w:sz w:val="27"/>
          <w:szCs w:val="27"/>
        </w:rPr>
      </w:pPr>
      <w:r w:rsidRPr="00F2488F">
        <w:rPr>
          <w:rFonts w:ascii="inherit" w:eastAsia="Times New Roman" w:hAnsi="inherit" w:cs="Times New Roman"/>
          <w:color w:val="202124"/>
          <w:sz w:val="32"/>
          <w:szCs w:val="32"/>
        </w:rPr>
        <w:t> </w:t>
      </w:r>
      <w:r w:rsidRPr="00F2488F">
        <w:rPr>
          <w:rFonts w:ascii="Times New Roman" w:eastAsia="Times New Roman" w:hAnsi="Times New Roman" w:cs="Times New Roman" w:hint="cs"/>
          <w:color w:val="000000"/>
          <w:sz w:val="27"/>
          <w:szCs w:val="27"/>
        </w:rPr>
        <w:t> </w:t>
      </w:r>
    </w:p>
    <w:p w14:paraId="0A37501D" w14:textId="77777777" w:rsidR="00300AFF" w:rsidRDefault="00300AFF" w:rsidP="00300AFF">
      <w:pPr>
        <w:bidi w:val="0"/>
        <w:spacing w:line="235" w:lineRule="atLeast"/>
        <w:jc w:val="center"/>
        <w:rPr>
          <w:rFonts w:ascii="Calibri" w:eastAsia="Times New Roman" w:hAnsi="Calibri" w:cs="Calibri"/>
          <w:color w:val="000000"/>
        </w:rPr>
      </w:pPr>
    </w:p>
    <w:p w14:paraId="1D64A6CD" w14:textId="77777777" w:rsidR="0030254B" w:rsidRPr="00300A72" w:rsidRDefault="0030254B" w:rsidP="00300A72">
      <w:pPr>
        <w:bidi w:val="0"/>
        <w:spacing w:line="235" w:lineRule="atLeast"/>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rPr>
        <w:t>Abstract:</w:t>
      </w:r>
    </w:p>
    <w:p w14:paraId="5DAB6C7B" w14:textId="77777777" w:rsidR="009A4D9B" w:rsidRPr="00300A72" w:rsidRDefault="009A4D9B" w:rsidP="00300A72">
      <w:pPr>
        <w:bidi w:val="0"/>
        <w:spacing w:after="0" w:line="240" w:lineRule="auto"/>
        <w:jc w:val="both"/>
        <w:rPr>
          <w:rFonts w:ascii="Times New Roman" w:eastAsia="Times New Roman" w:hAnsi="Times New Roman" w:cs="Times New Roman"/>
          <w:sz w:val="24"/>
          <w:szCs w:val="24"/>
        </w:rPr>
      </w:pPr>
    </w:p>
    <w:p w14:paraId="38A83A15" w14:textId="28158B8D" w:rsidR="001B2ABC" w:rsidRPr="00300A72" w:rsidRDefault="001B2ABC" w:rsidP="00300A72">
      <w:pPr>
        <w:bidi w:val="0"/>
        <w:spacing w:after="0" w:line="240" w:lineRule="auto"/>
        <w:jc w:val="both"/>
        <w:rPr>
          <w:rFonts w:ascii="Times New Roman" w:eastAsia="Times New Roman" w:hAnsi="Times New Roman" w:cs="Times New Roman"/>
          <w:sz w:val="24"/>
          <w:szCs w:val="24"/>
        </w:rPr>
      </w:pPr>
      <w:commentRangeStart w:id="0"/>
      <w:r w:rsidRPr="00300A72">
        <w:rPr>
          <w:rFonts w:ascii="Times New Roman" w:eastAsia="Times New Roman" w:hAnsi="Times New Roman" w:cs="Times New Roman"/>
          <w:sz w:val="24"/>
          <w:szCs w:val="24"/>
        </w:rPr>
        <w:t>The goal of the current study was to determine how administering zinc oxide nanoparticles affected the broiler's metabolic, antioxidant, and productive characteristics.</w:t>
      </w:r>
      <w:commentRangeEnd w:id="0"/>
      <w:r w:rsidR="001467EC">
        <w:rPr>
          <w:rStyle w:val="CommentReference"/>
        </w:rPr>
        <w:commentReference w:id="0"/>
      </w:r>
      <w:r w:rsidR="009A4D9B" w:rsidRPr="00300A72">
        <w:rPr>
          <w:rFonts w:ascii="Times New Roman" w:eastAsia="Times New Roman" w:hAnsi="Times New Roman" w:cs="Times New Roman"/>
          <w:sz w:val="24"/>
          <w:szCs w:val="24"/>
        </w:rPr>
        <w:t xml:space="preserve"> 200 broiler birds were purchased from the local market at one day and were distributed into four groups of 50 birds each group (control group and treatment groups (50, 75, and 100 mg/kg feed) and were raised for 35 days. Feed consumption rate (F I), weight rate (BW), nutritional conversion efficiency (FCR), and percentage of degradation (MR) were measured. At the end of the experiment, blood was drawn to measure the efficiency of the kidneys: uric acid (U.A) test, creatinine (Cr) test, liver function test: transaminase enzyme (ALT) (and transferase enzyme. Amino aspartate (AST). Total plasma protein    (T.P), globulin (GL), total cholesterol (T.ch) and triglycerides (T.G)and low-density lipoproteins LDL, high-density lipoproteins (HDL), total plasma antioxidant screening (TAOC), glutathione </w:t>
      </w:r>
      <w:proofErr w:type="spellStart"/>
      <w:r w:rsidR="009A4D9B" w:rsidRPr="00300A72">
        <w:rPr>
          <w:rFonts w:ascii="Times New Roman" w:eastAsia="Times New Roman" w:hAnsi="Times New Roman" w:cs="Times New Roman"/>
          <w:sz w:val="24"/>
          <w:szCs w:val="24"/>
        </w:rPr>
        <w:t>peroxidease</w:t>
      </w:r>
      <w:proofErr w:type="spellEnd"/>
      <w:r w:rsidR="009A4D9B" w:rsidRPr="00300A72">
        <w:rPr>
          <w:rFonts w:ascii="Times New Roman" w:eastAsia="Times New Roman" w:hAnsi="Times New Roman" w:cs="Times New Roman"/>
          <w:sz w:val="24"/>
          <w:szCs w:val="24"/>
        </w:rPr>
        <w:t xml:space="preserve"> (</w:t>
      </w:r>
      <w:proofErr w:type="spellStart"/>
      <w:r w:rsidR="009A4D9B" w:rsidRPr="00300A72">
        <w:rPr>
          <w:rFonts w:ascii="Times New Roman" w:eastAsia="Times New Roman" w:hAnsi="Times New Roman" w:cs="Times New Roman"/>
          <w:sz w:val="24"/>
          <w:szCs w:val="24"/>
        </w:rPr>
        <w:t>GPx</w:t>
      </w:r>
      <w:proofErr w:type="spellEnd"/>
      <w:r w:rsidR="009A4D9B" w:rsidRPr="00300A72">
        <w:rPr>
          <w:rFonts w:ascii="Times New Roman" w:eastAsia="Times New Roman" w:hAnsi="Times New Roman" w:cs="Times New Roman"/>
          <w:sz w:val="24"/>
          <w:szCs w:val="24"/>
        </w:rPr>
        <w:t xml:space="preserve">) and dismutase Superoxide (SOD) and </w:t>
      </w:r>
      <w:proofErr w:type="spellStart"/>
      <w:r w:rsidR="009A4D9B" w:rsidRPr="00300A72">
        <w:rPr>
          <w:rFonts w:ascii="Times New Roman" w:eastAsia="Times New Roman" w:hAnsi="Times New Roman" w:cs="Times New Roman"/>
          <w:sz w:val="24"/>
          <w:szCs w:val="24"/>
        </w:rPr>
        <w:t>malondehyde</w:t>
      </w:r>
      <w:proofErr w:type="spellEnd"/>
      <w:r w:rsidR="009A4D9B" w:rsidRPr="00300A72">
        <w:rPr>
          <w:rFonts w:ascii="Times New Roman" w:eastAsia="Times New Roman" w:hAnsi="Times New Roman" w:cs="Times New Roman"/>
          <w:sz w:val="24"/>
          <w:szCs w:val="24"/>
        </w:rPr>
        <w:t xml:space="preserve"> (MDA), where the results showed a significant increase .( P &lt;0.0001) in body weight, nutritional conversion efficiency, less perishables, high antioxidants, total protein and globulin with low total cholesterol and fat. Triglyceride, urea, creatinine and liver enzymes were compared to the control group and there was no significant difference (P &lt;0.0001) between concentration (50 and 75 mg/kg). The best results were when zinc oxide nanoparticles were given at a concentration of 100 mg/kg feed.</w:t>
      </w:r>
    </w:p>
    <w:p w14:paraId="02EB378F" w14:textId="77777777" w:rsidR="001B2ABC" w:rsidRPr="00300A72" w:rsidRDefault="001B2ABC" w:rsidP="00300A72">
      <w:pPr>
        <w:bidi w:val="0"/>
        <w:spacing w:after="0" w:line="240" w:lineRule="auto"/>
        <w:jc w:val="both"/>
        <w:rPr>
          <w:rFonts w:ascii="Times New Roman" w:eastAsia="Times New Roman" w:hAnsi="Times New Roman" w:cs="Times New Roman"/>
          <w:sz w:val="24"/>
          <w:szCs w:val="24"/>
        </w:rPr>
      </w:pPr>
    </w:p>
    <w:p w14:paraId="423D7DC9" w14:textId="77777777" w:rsidR="009A4D9B" w:rsidRPr="00300A72" w:rsidRDefault="009A4D9B"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rPr>
        <w:t>We may conclude that administration of 100 mg/kg of zinc oxide nanoparticles improves the health of birds by increasing weight, antioxidants, nutritional conversion efficiency, and effective liver and kidney activity.</w:t>
      </w:r>
    </w:p>
    <w:p w14:paraId="6A05A809" w14:textId="77777777" w:rsidR="009A4D9B" w:rsidRPr="00300A72" w:rsidRDefault="009A4D9B" w:rsidP="00300A72">
      <w:pPr>
        <w:bidi w:val="0"/>
        <w:spacing w:after="0" w:line="240" w:lineRule="auto"/>
        <w:jc w:val="both"/>
        <w:rPr>
          <w:rFonts w:ascii="Times New Roman" w:eastAsia="Times New Roman" w:hAnsi="Times New Roman" w:cs="Times New Roman"/>
          <w:sz w:val="24"/>
          <w:szCs w:val="24"/>
        </w:rPr>
      </w:pPr>
    </w:p>
    <w:p w14:paraId="501E00E3" w14:textId="77777777" w:rsidR="009A4D9B" w:rsidRPr="00300A72" w:rsidRDefault="009A4D9B" w:rsidP="00300A72">
      <w:pPr>
        <w:bidi w:val="0"/>
        <w:spacing w:line="235" w:lineRule="atLeast"/>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shd w:val="clear" w:color="auto" w:fill="FFFFFF"/>
          <w:lang w:val="en"/>
        </w:rPr>
        <w:t>Keywords</w:t>
      </w:r>
      <w:commentRangeStart w:id="1"/>
      <w:r w:rsidRPr="00300A72">
        <w:rPr>
          <w:rFonts w:ascii="Times New Roman" w:eastAsia="Times New Roman" w:hAnsi="Times New Roman" w:cs="Times New Roman"/>
          <w:color w:val="000000"/>
          <w:sz w:val="24"/>
          <w:szCs w:val="24"/>
          <w:shd w:val="clear" w:color="auto" w:fill="FFFFFF"/>
          <w:lang w:val="en"/>
        </w:rPr>
        <w:t>: Zinc, Nanoparticles, Antioxidants</w:t>
      </w:r>
      <w:commentRangeEnd w:id="1"/>
      <w:r w:rsidR="00D72D21">
        <w:rPr>
          <w:rStyle w:val="CommentReference"/>
        </w:rPr>
        <w:commentReference w:id="1"/>
      </w:r>
    </w:p>
    <w:p w14:paraId="5A39BBE3" w14:textId="77777777" w:rsidR="001B2ABC" w:rsidRPr="00300A72" w:rsidRDefault="001B2ABC" w:rsidP="00300A72">
      <w:pPr>
        <w:bidi w:val="0"/>
        <w:spacing w:after="0" w:line="240" w:lineRule="auto"/>
        <w:jc w:val="both"/>
        <w:rPr>
          <w:rFonts w:ascii="Times New Roman" w:eastAsia="Times New Roman" w:hAnsi="Times New Roman" w:cs="Times New Roman"/>
          <w:sz w:val="24"/>
          <w:szCs w:val="24"/>
        </w:rPr>
      </w:pPr>
    </w:p>
    <w:p w14:paraId="2C8B4F07" w14:textId="77777777" w:rsidR="001B2ABC" w:rsidRPr="00300A72" w:rsidRDefault="0072417A"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rPr>
        <w:t>INTRODUCTION</w:t>
      </w:r>
    </w:p>
    <w:p w14:paraId="0D6254C0" w14:textId="77777777" w:rsidR="009C65F8" w:rsidRPr="00300A72" w:rsidRDefault="009C65F8"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rPr>
        <w:t xml:space="preserve">Nutritional support for poultry includes the three macronutrients: carbs, protein, and fats. Supplemental vitamins and minerals help build muscle and strengthen the immune system. Metabolic processes in animals rely on specific elements, which must be present in food in specific amounts. Elements like zinc, magnesium, selenium, copper, and iron are essential for animal health and productivity. </w:t>
      </w:r>
    </w:p>
    <w:p w14:paraId="41C8F396" w14:textId="77777777" w:rsidR="008C22FA" w:rsidRPr="00300A72" w:rsidRDefault="008C22FA" w:rsidP="00300A72">
      <w:pPr>
        <w:jc w:val="both"/>
        <w:rPr>
          <w:rFonts w:ascii="Times New Roman" w:hAnsi="Times New Roman" w:cs="Times New Roman"/>
          <w:sz w:val="24"/>
          <w:szCs w:val="24"/>
          <w:rtl/>
          <w:lang w:bidi="ar-IQ"/>
        </w:rPr>
      </w:pPr>
    </w:p>
    <w:p w14:paraId="48AEDC7F" w14:textId="77777777" w:rsidR="009C65F8" w:rsidRPr="00300A72" w:rsidRDefault="009C65F8"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rPr>
        <w:t xml:space="preserve">In addition to vitamins and essential elements for body building and immunity, poultry nutrition relies on the provision of basic nutrients, which are represented by carbohydrates, protein, and fats, as well as essential elements for building the body and boosting immunity (1). Additionally, animal metabolic processes rely on the presence of specific essential elements in specific amounts in food (2), as well as essential elements that must be present in food, such as zinc, magnesium, selenium, copper, and </w:t>
      </w:r>
      <w:r w:rsidRPr="00300A72">
        <w:rPr>
          <w:rFonts w:ascii="Times New Roman" w:eastAsia="Times New Roman" w:hAnsi="Times New Roman" w:cs="Times New Roman"/>
          <w:sz w:val="24"/>
          <w:szCs w:val="24"/>
        </w:rPr>
        <w:lastRenderedPageBreak/>
        <w:t xml:space="preserve">iron, which are required to maintain health and increase productive qualities in animals and meat chicken. </w:t>
      </w:r>
    </w:p>
    <w:p w14:paraId="067728B4" w14:textId="77777777" w:rsidR="009C65F8" w:rsidRPr="00300A72" w:rsidRDefault="009C65F8"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rPr>
        <w:t>One of the fundamental components of broiler chickens, zinc interferes with the synthesis of enzymes, influences the efficacy and secretion of certain hormones, and interferes with the immune system and metabolic processes (3). As a result, it impacts the development of muscle mass, enzymatic activity, and the rate at which food is consumed and converted (4).</w:t>
      </w:r>
    </w:p>
    <w:p w14:paraId="6E74A253" w14:textId="77777777" w:rsidR="003C01F8" w:rsidRPr="00300A72" w:rsidRDefault="003C01F8"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rPr>
        <w:t xml:space="preserve">Zinc deficiency impacts the health and growth of birds, thus when the diet is low in zinc, feed additives are utilized. These can be </w:t>
      </w:r>
      <w:proofErr w:type="gramStart"/>
      <w:r w:rsidRPr="00300A72">
        <w:rPr>
          <w:rFonts w:ascii="Times New Roman" w:eastAsia="Times New Roman" w:hAnsi="Times New Roman" w:cs="Times New Roman"/>
          <w:sz w:val="24"/>
          <w:szCs w:val="24"/>
        </w:rPr>
        <w:t>zinc</w:t>
      </w:r>
      <w:proofErr w:type="gramEnd"/>
      <w:r w:rsidRPr="00300A72">
        <w:rPr>
          <w:rFonts w:ascii="Times New Roman" w:eastAsia="Times New Roman" w:hAnsi="Times New Roman" w:cs="Times New Roman"/>
          <w:sz w:val="24"/>
          <w:szCs w:val="24"/>
        </w:rPr>
        <w:t xml:space="preserve"> oxide or zinc sulfite, which is the most widely used type (5).</w:t>
      </w:r>
      <w:r w:rsidR="00046B84" w:rsidRPr="00300A72">
        <w:rPr>
          <w:rFonts w:ascii="Times New Roman" w:eastAsia="Times New Roman" w:hAnsi="Times New Roman" w:cs="Times New Roman"/>
          <w:sz w:val="24"/>
          <w:szCs w:val="24"/>
        </w:rPr>
        <w:t xml:space="preserve"> </w:t>
      </w:r>
      <w:r w:rsidRPr="00300A72">
        <w:rPr>
          <w:rFonts w:ascii="Times New Roman" w:eastAsia="Times New Roman" w:hAnsi="Times New Roman" w:cs="Times New Roman"/>
          <w:sz w:val="24"/>
          <w:szCs w:val="24"/>
        </w:rPr>
        <w:t>Heavy metal pollution resulted from the increased excretion of zinc in the environment</w:t>
      </w:r>
      <w:r w:rsidR="00046B84" w:rsidRPr="00300A72">
        <w:rPr>
          <w:rFonts w:ascii="Times New Roman" w:eastAsia="Times New Roman" w:hAnsi="Times New Roman" w:cs="Times New Roman"/>
          <w:sz w:val="24"/>
          <w:szCs w:val="24"/>
        </w:rPr>
        <w:t>,</w:t>
      </w:r>
      <w:r w:rsidRPr="00300A72">
        <w:rPr>
          <w:rFonts w:ascii="Times New Roman" w:eastAsia="Times New Roman" w:hAnsi="Times New Roman" w:cs="Times New Roman"/>
          <w:sz w:val="24"/>
          <w:szCs w:val="24"/>
        </w:rPr>
        <w:t xml:space="preserve"> caused by excess zinc. Prior studies have demonstrated that organic zinc is more bioavailable than inorganic zinc (6).</w:t>
      </w:r>
    </w:p>
    <w:p w14:paraId="2253813D" w14:textId="77777777" w:rsidR="003C01F8" w:rsidRPr="00300A72" w:rsidRDefault="003C01F8"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rPr>
        <w:t xml:space="preserve">The unique characteristics of zinc oxide </w:t>
      </w:r>
      <w:r w:rsidR="001B2ABC" w:rsidRPr="00300A72">
        <w:rPr>
          <w:rFonts w:ascii="Times New Roman" w:eastAsia="Times New Roman" w:hAnsi="Times New Roman" w:cs="Times New Roman"/>
          <w:sz w:val="24"/>
          <w:szCs w:val="24"/>
        </w:rPr>
        <w:t>nanoparticles</w:t>
      </w:r>
      <w:r w:rsidRPr="00300A72">
        <w:rPr>
          <w:rFonts w:ascii="Times New Roman" w:eastAsia="Times New Roman" w:hAnsi="Times New Roman" w:cs="Times New Roman"/>
          <w:sz w:val="24"/>
          <w:szCs w:val="24"/>
        </w:rPr>
        <w:t xml:space="preserve"> impact their larger counterparts and how they are distributed inside the body. Additionally, enhancing zinc bioavailability and absorption may lessen environmental zinc excretion (7).</w:t>
      </w:r>
    </w:p>
    <w:p w14:paraId="6D144682" w14:textId="77777777" w:rsidR="00046B84" w:rsidRPr="00300A72" w:rsidRDefault="001B2ABC" w:rsidP="00300A72">
      <w:pPr>
        <w:bidi w:val="0"/>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rPr>
        <w:t>A new and promising technology, nanotechnology</w:t>
      </w:r>
      <w:r w:rsidR="00046B84" w:rsidRPr="00300A72">
        <w:rPr>
          <w:rFonts w:ascii="Times New Roman" w:eastAsia="Times New Roman" w:hAnsi="Times New Roman" w:cs="Times New Roman"/>
          <w:sz w:val="24"/>
          <w:szCs w:val="24"/>
        </w:rPr>
        <w:t>,</w:t>
      </w:r>
      <w:r w:rsidRPr="00300A72">
        <w:rPr>
          <w:rFonts w:ascii="Times New Roman" w:eastAsia="Times New Roman" w:hAnsi="Times New Roman" w:cs="Times New Roman"/>
          <w:sz w:val="24"/>
          <w:szCs w:val="24"/>
        </w:rPr>
        <w:t xml:space="preserve"> has the potential to completely transform the worldwide cattle and agriculture industries.</w:t>
      </w:r>
      <w:r w:rsidR="009A4D9B" w:rsidRPr="00300A72">
        <w:rPr>
          <w:rFonts w:ascii="Times New Roman" w:eastAsia="Times New Roman" w:hAnsi="Times New Roman" w:cs="Times New Roman"/>
          <w:sz w:val="24"/>
          <w:szCs w:val="24"/>
        </w:rPr>
        <w:t xml:space="preserve"> The idea of nanotechnology is to reduce the size of the particles to a few </w:t>
      </w:r>
      <w:r w:rsidR="00046B84" w:rsidRPr="00300A72">
        <w:rPr>
          <w:rFonts w:ascii="Times New Roman" w:eastAsia="Times New Roman" w:hAnsi="Times New Roman" w:cs="Times New Roman"/>
          <w:sz w:val="24"/>
          <w:szCs w:val="24"/>
        </w:rPr>
        <w:t>nanometers</w:t>
      </w:r>
      <w:r w:rsidR="009A4D9B" w:rsidRPr="00300A72">
        <w:rPr>
          <w:rFonts w:ascii="Times New Roman" w:eastAsia="Times New Roman" w:hAnsi="Times New Roman" w:cs="Times New Roman"/>
          <w:sz w:val="24"/>
          <w:szCs w:val="24"/>
        </w:rPr>
        <w:t xml:space="preserve">. When reducing agents are used to represent </w:t>
      </w:r>
      <w:proofErr w:type="spellStart"/>
      <w:r w:rsidR="009A4D9B" w:rsidRPr="00300A72">
        <w:rPr>
          <w:rFonts w:ascii="Times New Roman" w:eastAsia="Times New Roman" w:hAnsi="Times New Roman" w:cs="Times New Roman"/>
          <w:sz w:val="24"/>
          <w:szCs w:val="24"/>
        </w:rPr>
        <w:t>nanomolecules</w:t>
      </w:r>
      <w:proofErr w:type="spellEnd"/>
      <w:r w:rsidR="009A4D9B" w:rsidRPr="00300A72">
        <w:rPr>
          <w:rFonts w:ascii="Times New Roman" w:eastAsia="Times New Roman" w:hAnsi="Times New Roman" w:cs="Times New Roman"/>
          <w:sz w:val="24"/>
          <w:szCs w:val="24"/>
        </w:rPr>
        <w:t>, the physical and chemical characteristics of molecules are altered (8).</w:t>
      </w:r>
      <w:r w:rsidR="00046B84" w:rsidRPr="00300A72">
        <w:rPr>
          <w:rFonts w:ascii="Times New Roman" w:eastAsia="Times New Roman" w:hAnsi="Times New Roman" w:cs="Times New Roman"/>
          <w:sz w:val="24"/>
          <w:szCs w:val="24"/>
        </w:rPr>
        <w:t xml:space="preserve"> Different components can be transported by these nanoparticles in a variety of environmental settings. Nowadays, nanoparticles are widely used in many different fields, including purifying procedures in the textile industry, targeted medicine manufacture, nutrition, treatment, and vaccine development. Chemicals were previously released in opposition to these nanoparticles as a result of their creation via the chemical approach. The process of creating nanoparticles from plant sources, known as "green synthesis," has become increasingly important in recent years.</w:t>
      </w:r>
      <w:r w:rsidR="00046B84" w:rsidRPr="00300A72">
        <w:rPr>
          <w:rFonts w:ascii="Times New Roman" w:hAnsi="Times New Roman" w:cs="Times New Roman"/>
          <w:sz w:val="24"/>
          <w:szCs w:val="24"/>
        </w:rPr>
        <w:t xml:space="preserve"> </w:t>
      </w:r>
      <w:r w:rsidR="00046B84" w:rsidRPr="00300A72">
        <w:rPr>
          <w:rFonts w:ascii="Times New Roman" w:eastAsia="Times New Roman" w:hAnsi="Times New Roman" w:cs="Times New Roman"/>
          <w:sz w:val="24"/>
          <w:szCs w:val="24"/>
        </w:rPr>
        <w:t>given that plant extracts including sugars, polyphenols, terpenoids, proteins, etc.</w:t>
      </w:r>
      <w:r w:rsidR="000219CA" w:rsidRPr="00300A72">
        <w:rPr>
          <w:rFonts w:ascii="Times New Roman" w:eastAsia="Times New Roman" w:hAnsi="Times New Roman" w:cs="Times New Roman"/>
          <w:sz w:val="24"/>
          <w:szCs w:val="24"/>
        </w:rPr>
        <w:t>,</w:t>
      </w:r>
      <w:r w:rsidR="00046B84" w:rsidRPr="00300A72">
        <w:rPr>
          <w:rFonts w:ascii="Times New Roman" w:eastAsia="Times New Roman" w:hAnsi="Times New Roman" w:cs="Times New Roman"/>
          <w:sz w:val="24"/>
          <w:szCs w:val="24"/>
        </w:rPr>
        <w:t xml:space="preserve"> are used in this procedure. </w:t>
      </w:r>
      <w:commentRangeStart w:id="2"/>
      <w:r w:rsidR="00046B84" w:rsidRPr="00300A72">
        <w:rPr>
          <w:rFonts w:ascii="Times New Roman" w:eastAsia="Times New Roman" w:hAnsi="Times New Roman" w:cs="Times New Roman"/>
          <w:sz w:val="24"/>
          <w:szCs w:val="24"/>
        </w:rPr>
        <w:t>The synthesis process uses these phytochemicals as reducing agents to keep the minerals in a reduced condition. Their byproducts are highly biodegradable, so they don't harm the environment. The primary application of nanotechnology in animal nutrition is the production of nanometals, particularly rare metals with low bioavailability. Furthermore, minerals like nanoparticles lessen intestinal mineral multiplicity, which lowers antibody secretion and pollution in the environment. Cattle and poultry have shown better performance, immunity, and digestive efficiency when fed nanoparticles (9).</w:t>
      </w:r>
      <w:commentRangeEnd w:id="2"/>
      <w:r w:rsidR="006B6606">
        <w:rPr>
          <w:rStyle w:val="CommentReference"/>
        </w:rPr>
        <w:commentReference w:id="2"/>
      </w:r>
    </w:p>
    <w:p w14:paraId="2934F31D" w14:textId="77777777" w:rsidR="000219CA" w:rsidRPr="00300A72" w:rsidRDefault="000219CA" w:rsidP="00300A72">
      <w:pPr>
        <w:bidi w:val="0"/>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rPr>
        <w:t>Materials and methods</w:t>
      </w:r>
    </w:p>
    <w:p w14:paraId="6C8F0848" w14:textId="77777777" w:rsidR="000219CA" w:rsidRPr="00300A72" w:rsidRDefault="000219CA" w:rsidP="00300A72">
      <w:pPr>
        <w:bidi w:val="0"/>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rPr>
        <w:t xml:space="preserve">Broiler chicks were purchased from the local markets as a non-naturalized rose type and one day old, and were raised for 35 days in the animal house of the research laboratory at the Technical Institute / Diwaniya. The lighting hours were the first 5 days 24 hours and the remaining 30 days the number of lighting hours is 23 hours with one hour of darkness and the consumption of water and fodder is free (unspecified) and the temperature at the age of one day was 34 m and the temperature is gradually reduced until it   becomes 24 m and continues until the end of the experiment. The chicks were divided into 4 groups </w:t>
      </w:r>
      <w:commentRangeStart w:id="3"/>
      <w:r w:rsidRPr="00300A72">
        <w:rPr>
          <w:rFonts w:ascii="Times New Roman" w:eastAsia="Times New Roman" w:hAnsi="Times New Roman" w:cs="Times New Roman"/>
          <w:sz w:val="24"/>
          <w:szCs w:val="24"/>
        </w:rPr>
        <w:t xml:space="preserve">(each group 50 </w:t>
      </w:r>
      <w:commentRangeEnd w:id="3"/>
      <w:r w:rsidR="00EA6AE8">
        <w:rPr>
          <w:rStyle w:val="CommentReference"/>
        </w:rPr>
        <w:commentReference w:id="3"/>
      </w:r>
      <w:r w:rsidRPr="00300A72">
        <w:rPr>
          <w:rFonts w:ascii="Times New Roman" w:eastAsia="Times New Roman" w:hAnsi="Times New Roman" w:cs="Times New Roman"/>
          <w:sz w:val="24"/>
          <w:szCs w:val="24"/>
        </w:rPr>
        <w:t xml:space="preserve">birds) the first group control group ,and the  treatment groups with nanoparticles of zinc oxide at a concentration of (50, 75and 100  mg/kg feed ), and the diet provided to the chicks according to what is mentioned in </w:t>
      </w:r>
      <w:r w:rsidRPr="00300A72">
        <w:rPr>
          <w:rFonts w:ascii="Times New Roman" w:eastAsia="Times New Roman" w:hAnsi="Times New Roman" w:cs="Times New Roman"/>
          <w:sz w:val="24"/>
          <w:szCs w:val="24"/>
        </w:rPr>
        <w:lastRenderedPageBreak/>
        <w:t>Table No. (1) and the General Authority for Veterinary (Vaccine Guide) employed the preventive health program to vaccinate birds against diseases, and the weekly weight of the chicks was determined to determine the nutritional conversion, as well as the amount of feed that was consumed. and to record any deaths and examine the productive qualities; blood was taken at the conclusion of the experiment. In order to perform tests on blood plasma, blood was extracted from the winged vein and put into sterile, heparin-free tubes. The tubes were then centrifuged at 3500 rpm for 10 minutes to isolate the plasma, which was then stored at -20 degrees Celsius until the tests were performed.</w:t>
      </w:r>
    </w:p>
    <w:p w14:paraId="24A33B1C" w14:textId="77777777" w:rsidR="00BC119F" w:rsidRPr="00300A72" w:rsidRDefault="000219CA"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rPr>
        <w:t>Antioxidant tests:</w:t>
      </w:r>
      <w:r w:rsidRPr="00300A72">
        <w:rPr>
          <w:rFonts w:ascii="Times New Roman" w:eastAsia="Times New Roman" w:hAnsi="Times New Roman" w:cs="Times New Roman"/>
          <w:sz w:val="24"/>
          <w:szCs w:val="24"/>
        </w:rPr>
        <w:br/>
        <w:t xml:space="preserve"> Using a kit that is already available locally in a certain way. </w:t>
      </w:r>
      <w:r w:rsidRPr="00300A72">
        <w:rPr>
          <w:rFonts w:ascii="Times New Roman" w:eastAsia="Times New Roman" w:hAnsi="Times New Roman" w:cs="Times New Roman"/>
          <w:sz w:val="24"/>
          <w:szCs w:val="24"/>
        </w:rPr>
        <w:br/>
        <w:t>T-</w:t>
      </w:r>
      <w:proofErr w:type="spellStart"/>
      <w:r w:rsidRPr="00300A72">
        <w:rPr>
          <w:rFonts w:ascii="Times New Roman" w:eastAsia="Times New Roman" w:hAnsi="Times New Roman" w:cs="Times New Roman"/>
          <w:sz w:val="24"/>
          <w:szCs w:val="24"/>
        </w:rPr>
        <w:t>AOC.Using</w:t>
      </w:r>
      <w:proofErr w:type="spellEnd"/>
      <w:r w:rsidRPr="00300A72">
        <w:rPr>
          <w:rFonts w:ascii="Times New Roman" w:eastAsia="Times New Roman" w:hAnsi="Times New Roman" w:cs="Times New Roman"/>
          <w:sz w:val="24"/>
          <w:szCs w:val="24"/>
        </w:rPr>
        <w:t xml:space="preserve"> the previously described approach, the total antioxidants in plasma </w:t>
      </w:r>
      <w:proofErr w:type="spellStart"/>
      <w:r w:rsidRPr="00300A72">
        <w:rPr>
          <w:rFonts w:ascii="Times New Roman" w:eastAsia="Times New Roman" w:hAnsi="Times New Roman" w:cs="Times New Roman"/>
          <w:sz w:val="24"/>
          <w:szCs w:val="24"/>
        </w:rPr>
        <w:t>malondehyde</w:t>
      </w:r>
      <w:proofErr w:type="spellEnd"/>
      <w:r w:rsidRPr="00300A72">
        <w:rPr>
          <w:rFonts w:ascii="Times New Roman" w:eastAsia="Times New Roman" w:hAnsi="Times New Roman" w:cs="Times New Roman"/>
          <w:sz w:val="24"/>
          <w:szCs w:val="24"/>
        </w:rPr>
        <w:t xml:space="preserve"> (10</w:t>
      </w:r>
      <w:proofErr w:type="gramStart"/>
      <w:r w:rsidRPr="00300A72">
        <w:rPr>
          <w:rFonts w:ascii="Times New Roman" w:eastAsia="Times New Roman" w:hAnsi="Times New Roman" w:cs="Times New Roman"/>
          <w:sz w:val="24"/>
          <w:szCs w:val="24"/>
        </w:rPr>
        <w:t>).(</w:t>
      </w:r>
      <w:proofErr w:type="spellStart"/>
      <w:proofErr w:type="gramEnd"/>
      <w:r w:rsidRPr="00300A72">
        <w:rPr>
          <w:rFonts w:ascii="Times New Roman" w:eastAsia="Times New Roman" w:hAnsi="Times New Roman" w:cs="Times New Roman"/>
          <w:sz w:val="24"/>
          <w:szCs w:val="24"/>
        </w:rPr>
        <w:t>GPx</w:t>
      </w:r>
      <w:proofErr w:type="spellEnd"/>
      <w:r w:rsidRPr="00300A72">
        <w:rPr>
          <w:rFonts w:ascii="Times New Roman" w:eastAsia="Times New Roman" w:hAnsi="Times New Roman" w:cs="Times New Roman"/>
          <w:sz w:val="24"/>
          <w:szCs w:val="24"/>
        </w:rPr>
        <w:t xml:space="preserve">)peroxidase levels (11) and </w:t>
      </w:r>
      <w:proofErr w:type="spellStart"/>
      <w:r w:rsidRPr="00300A72">
        <w:rPr>
          <w:rFonts w:ascii="Times New Roman" w:eastAsia="Times New Roman" w:hAnsi="Times New Roman" w:cs="Times New Roman"/>
          <w:sz w:val="24"/>
          <w:szCs w:val="24"/>
        </w:rPr>
        <w:t>clotathione</w:t>
      </w:r>
      <w:proofErr w:type="spellEnd"/>
      <w:r w:rsidRPr="00300A72">
        <w:rPr>
          <w:rFonts w:ascii="Times New Roman" w:eastAsia="Times New Roman" w:hAnsi="Times New Roman" w:cs="Times New Roman"/>
          <w:sz w:val="24"/>
          <w:szCs w:val="24"/>
        </w:rPr>
        <w:t xml:space="preserve"> M DA levels (12). </w:t>
      </w:r>
    </w:p>
    <w:p w14:paraId="18FE8C0D" w14:textId="77777777" w:rsidR="000219CA" w:rsidRPr="00300A72" w:rsidRDefault="000219CA"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rPr>
        <w:br/>
      </w:r>
      <w:r w:rsidR="00BC119F" w:rsidRPr="00300A72">
        <w:rPr>
          <w:rFonts w:ascii="Times New Roman" w:eastAsia="Times New Roman" w:hAnsi="Times New Roman" w:cs="Times New Roman"/>
          <w:sz w:val="24"/>
          <w:szCs w:val="24"/>
        </w:rPr>
        <w:t>(</w:t>
      </w:r>
      <w:r w:rsidR="00300AFF" w:rsidRPr="00300A72">
        <w:rPr>
          <w:rFonts w:ascii="Times New Roman" w:eastAsia="Times New Roman" w:hAnsi="Times New Roman" w:cs="Times New Roman"/>
          <w:sz w:val="24"/>
          <w:szCs w:val="24"/>
        </w:rPr>
        <w:t>table</w:t>
      </w:r>
      <w:r w:rsidR="00BC119F" w:rsidRPr="00300A72">
        <w:rPr>
          <w:rFonts w:ascii="Times New Roman" w:eastAsia="Times New Roman" w:hAnsi="Times New Roman" w:cs="Times New Roman"/>
          <w:sz w:val="24"/>
          <w:szCs w:val="24"/>
        </w:rPr>
        <w:t xml:space="preserve"> 1) </w:t>
      </w:r>
      <w:r w:rsidRPr="00300A72">
        <w:rPr>
          <w:rFonts w:ascii="Times New Roman" w:eastAsia="Times New Roman" w:hAnsi="Times New Roman" w:cs="Times New Roman"/>
          <w:sz w:val="24"/>
          <w:szCs w:val="24"/>
        </w:rPr>
        <w:t xml:space="preserve">Setup of the initiator and final feeds </w:t>
      </w:r>
    </w:p>
    <w:tbl>
      <w:tblPr>
        <w:tblW w:w="0" w:type="auto"/>
        <w:tblCellMar>
          <w:left w:w="0" w:type="dxa"/>
          <w:right w:w="0" w:type="dxa"/>
        </w:tblCellMar>
        <w:tblLook w:val="04A0" w:firstRow="1" w:lastRow="0" w:firstColumn="1" w:lastColumn="0" w:noHBand="0" w:noVBand="1"/>
      </w:tblPr>
      <w:tblGrid>
        <w:gridCol w:w="2802"/>
        <w:gridCol w:w="2746"/>
        <w:gridCol w:w="2738"/>
      </w:tblGrid>
      <w:tr w:rsidR="00BC119F" w:rsidRPr="00300A72" w14:paraId="34287511" w14:textId="77777777" w:rsidTr="00BC119F">
        <w:tc>
          <w:tcPr>
            <w:tcW w:w="28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D2ACF6" w14:textId="77777777" w:rsidR="00BC119F" w:rsidRPr="00300A72" w:rsidRDefault="00BC119F"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lang w:val="en"/>
              </w:rPr>
              <w:t>Feed material</w:t>
            </w:r>
          </w:p>
        </w:tc>
        <w:tc>
          <w:tcPr>
            <w:tcW w:w="27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05CCE0" w14:textId="77777777" w:rsidR="00BC119F" w:rsidRPr="00300A72" w:rsidRDefault="00BC119F"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lang w:val="en"/>
              </w:rPr>
              <w:t>Starter's diet</w:t>
            </w:r>
          </w:p>
        </w:tc>
        <w:tc>
          <w:tcPr>
            <w:tcW w:w="27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011B20" w14:textId="77777777" w:rsidR="00BC119F" w:rsidRPr="00300A72" w:rsidRDefault="00BC119F"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lang w:val="en"/>
              </w:rPr>
              <w:t>Growth Diet</w:t>
            </w:r>
          </w:p>
        </w:tc>
      </w:tr>
      <w:tr w:rsidR="00BC119F" w:rsidRPr="00300A72" w14:paraId="566BDFBC" w14:textId="77777777" w:rsidTr="00BC119F">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020248" w14:textId="77777777" w:rsidR="00BC119F" w:rsidRPr="00300A72" w:rsidRDefault="00BC119F"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lang w:val="en"/>
              </w:rPr>
              <w:t>Yellow corn</w:t>
            </w:r>
          </w:p>
        </w:tc>
        <w:tc>
          <w:tcPr>
            <w:tcW w:w="2746" w:type="dxa"/>
            <w:tcBorders>
              <w:top w:val="nil"/>
              <w:left w:val="nil"/>
              <w:bottom w:val="single" w:sz="8" w:space="0" w:color="auto"/>
              <w:right w:val="single" w:sz="8" w:space="0" w:color="auto"/>
            </w:tcBorders>
            <w:tcMar>
              <w:top w:w="0" w:type="dxa"/>
              <w:left w:w="108" w:type="dxa"/>
              <w:bottom w:w="0" w:type="dxa"/>
              <w:right w:w="108" w:type="dxa"/>
            </w:tcMar>
            <w:hideMark/>
          </w:tcPr>
          <w:p w14:paraId="28E52AA1" w14:textId="77777777" w:rsidR="00BC119F" w:rsidRPr="00300A72" w:rsidRDefault="00BC119F"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lang w:val="en"/>
              </w:rPr>
              <w:t>47</w:t>
            </w:r>
          </w:p>
        </w:tc>
        <w:tc>
          <w:tcPr>
            <w:tcW w:w="2738" w:type="dxa"/>
            <w:tcBorders>
              <w:top w:val="nil"/>
              <w:left w:val="nil"/>
              <w:bottom w:val="single" w:sz="8" w:space="0" w:color="auto"/>
              <w:right w:val="single" w:sz="8" w:space="0" w:color="auto"/>
            </w:tcBorders>
            <w:tcMar>
              <w:top w:w="0" w:type="dxa"/>
              <w:left w:w="108" w:type="dxa"/>
              <w:bottom w:w="0" w:type="dxa"/>
              <w:right w:w="108" w:type="dxa"/>
            </w:tcMar>
            <w:hideMark/>
          </w:tcPr>
          <w:p w14:paraId="3CBA40D0" w14:textId="77777777" w:rsidR="00BC119F" w:rsidRPr="00300A72" w:rsidRDefault="00BC119F"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lang w:val="en"/>
              </w:rPr>
              <w:t>51</w:t>
            </w:r>
          </w:p>
        </w:tc>
      </w:tr>
      <w:tr w:rsidR="00BC119F" w:rsidRPr="00300A72" w14:paraId="14907F19" w14:textId="77777777" w:rsidTr="00BC119F">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464E56" w14:textId="77777777" w:rsidR="00BC119F" w:rsidRPr="00300A72" w:rsidRDefault="00BC119F"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lang w:val="en"/>
              </w:rPr>
              <w:t>wheat</w:t>
            </w:r>
          </w:p>
        </w:tc>
        <w:tc>
          <w:tcPr>
            <w:tcW w:w="2746" w:type="dxa"/>
            <w:tcBorders>
              <w:top w:val="nil"/>
              <w:left w:val="nil"/>
              <w:bottom w:val="single" w:sz="8" w:space="0" w:color="auto"/>
              <w:right w:val="single" w:sz="8" w:space="0" w:color="auto"/>
            </w:tcBorders>
            <w:tcMar>
              <w:top w:w="0" w:type="dxa"/>
              <w:left w:w="108" w:type="dxa"/>
              <w:bottom w:w="0" w:type="dxa"/>
              <w:right w:w="108" w:type="dxa"/>
            </w:tcMar>
            <w:hideMark/>
          </w:tcPr>
          <w:p w14:paraId="44C26413" w14:textId="77777777" w:rsidR="00BC119F" w:rsidRPr="00300A72" w:rsidRDefault="00BC119F"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lang w:val="en"/>
              </w:rPr>
              <w:t>22</w:t>
            </w:r>
          </w:p>
        </w:tc>
        <w:tc>
          <w:tcPr>
            <w:tcW w:w="2738" w:type="dxa"/>
            <w:tcBorders>
              <w:top w:val="nil"/>
              <w:left w:val="nil"/>
              <w:bottom w:val="single" w:sz="8" w:space="0" w:color="auto"/>
              <w:right w:val="single" w:sz="8" w:space="0" w:color="auto"/>
            </w:tcBorders>
            <w:tcMar>
              <w:top w:w="0" w:type="dxa"/>
              <w:left w:w="108" w:type="dxa"/>
              <w:bottom w:w="0" w:type="dxa"/>
              <w:right w:w="108" w:type="dxa"/>
            </w:tcMar>
            <w:hideMark/>
          </w:tcPr>
          <w:p w14:paraId="5007C906" w14:textId="77777777" w:rsidR="00BC119F" w:rsidRPr="00300A72" w:rsidRDefault="00BC119F"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lang w:val="en"/>
              </w:rPr>
              <w:t>20</w:t>
            </w:r>
          </w:p>
        </w:tc>
      </w:tr>
      <w:tr w:rsidR="00BC119F" w:rsidRPr="00300A72" w14:paraId="1212E2C7" w14:textId="77777777" w:rsidTr="00BC119F">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FE5237" w14:textId="77777777" w:rsidR="00BC119F" w:rsidRPr="00300A72" w:rsidRDefault="00BC119F"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lang w:val="en"/>
              </w:rPr>
              <w:t>soybeans</w:t>
            </w:r>
          </w:p>
        </w:tc>
        <w:tc>
          <w:tcPr>
            <w:tcW w:w="2746" w:type="dxa"/>
            <w:tcBorders>
              <w:top w:val="nil"/>
              <w:left w:val="nil"/>
              <w:bottom w:val="single" w:sz="8" w:space="0" w:color="auto"/>
              <w:right w:val="single" w:sz="8" w:space="0" w:color="auto"/>
            </w:tcBorders>
            <w:tcMar>
              <w:top w:w="0" w:type="dxa"/>
              <w:left w:w="108" w:type="dxa"/>
              <w:bottom w:w="0" w:type="dxa"/>
              <w:right w:w="108" w:type="dxa"/>
            </w:tcMar>
            <w:hideMark/>
          </w:tcPr>
          <w:p w14:paraId="72A4FFC0" w14:textId="77777777" w:rsidR="00BC119F" w:rsidRPr="00300A72" w:rsidRDefault="00BC119F"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lang w:val="en"/>
              </w:rPr>
              <w:t>20</w:t>
            </w:r>
          </w:p>
        </w:tc>
        <w:tc>
          <w:tcPr>
            <w:tcW w:w="2738" w:type="dxa"/>
            <w:tcBorders>
              <w:top w:val="nil"/>
              <w:left w:val="nil"/>
              <w:bottom w:val="single" w:sz="8" w:space="0" w:color="auto"/>
              <w:right w:val="single" w:sz="8" w:space="0" w:color="auto"/>
            </w:tcBorders>
            <w:tcMar>
              <w:top w:w="0" w:type="dxa"/>
              <w:left w:w="108" w:type="dxa"/>
              <w:bottom w:w="0" w:type="dxa"/>
              <w:right w:w="108" w:type="dxa"/>
            </w:tcMar>
            <w:hideMark/>
          </w:tcPr>
          <w:p w14:paraId="526D80A2" w14:textId="77777777" w:rsidR="00BC119F" w:rsidRPr="00300A72" w:rsidRDefault="00BC119F"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lang w:val="en"/>
              </w:rPr>
              <w:t>18</w:t>
            </w:r>
          </w:p>
        </w:tc>
      </w:tr>
      <w:tr w:rsidR="00BC119F" w:rsidRPr="00300A72" w14:paraId="7DAEF383" w14:textId="77777777" w:rsidTr="00BC119F">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C6B0EA" w14:textId="77777777" w:rsidR="00BC119F" w:rsidRPr="00300A72" w:rsidRDefault="00BC119F"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lang w:val="en"/>
              </w:rPr>
              <w:t>Protein concentrate</w:t>
            </w:r>
          </w:p>
        </w:tc>
        <w:tc>
          <w:tcPr>
            <w:tcW w:w="2746" w:type="dxa"/>
            <w:tcBorders>
              <w:top w:val="nil"/>
              <w:left w:val="nil"/>
              <w:bottom w:val="single" w:sz="8" w:space="0" w:color="auto"/>
              <w:right w:val="single" w:sz="8" w:space="0" w:color="auto"/>
            </w:tcBorders>
            <w:tcMar>
              <w:top w:w="0" w:type="dxa"/>
              <w:left w:w="108" w:type="dxa"/>
              <w:bottom w:w="0" w:type="dxa"/>
              <w:right w:w="108" w:type="dxa"/>
            </w:tcMar>
            <w:hideMark/>
          </w:tcPr>
          <w:p w14:paraId="5D369756" w14:textId="77777777" w:rsidR="00BC119F" w:rsidRPr="00300A72" w:rsidRDefault="00BC119F"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lang w:val="en"/>
              </w:rPr>
              <w:t>10</w:t>
            </w:r>
          </w:p>
        </w:tc>
        <w:tc>
          <w:tcPr>
            <w:tcW w:w="2738" w:type="dxa"/>
            <w:tcBorders>
              <w:top w:val="nil"/>
              <w:left w:val="nil"/>
              <w:bottom w:val="single" w:sz="8" w:space="0" w:color="auto"/>
              <w:right w:val="single" w:sz="8" w:space="0" w:color="auto"/>
            </w:tcBorders>
            <w:tcMar>
              <w:top w:w="0" w:type="dxa"/>
              <w:left w:w="108" w:type="dxa"/>
              <w:bottom w:w="0" w:type="dxa"/>
              <w:right w:w="108" w:type="dxa"/>
            </w:tcMar>
            <w:hideMark/>
          </w:tcPr>
          <w:p w14:paraId="446DE71A" w14:textId="77777777" w:rsidR="00BC119F" w:rsidRPr="00300A72" w:rsidRDefault="00BC119F"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lang w:val="en"/>
              </w:rPr>
              <w:t>10</w:t>
            </w:r>
          </w:p>
        </w:tc>
      </w:tr>
      <w:tr w:rsidR="00BC119F" w:rsidRPr="00300A72" w14:paraId="6DEE2655" w14:textId="77777777" w:rsidTr="00BC119F">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D6AB40" w14:textId="77777777" w:rsidR="00BC119F" w:rsidRPr="00300A72" w:rsidRDefault="00BC119F"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lang w:val="en"/>
              </w:rPr>
              <w:t>calcify</w:t>
            </w:r>
          </w:p>
        </w:tc>
        <w:tc>
          <w:tcPr>
            <w:tcW w:w="2746" w:type="dxa"/>
            <w:tcBorders>
              <w:top w:val="nil"/>
              <w:left w:val="nil"/>
              <w:bottom w:val="single" w:sz="8" w:space="0" w:color="auto"/>
              <w:right w:val="single" w:sz="8" w:space="0" w:color="auto"/>
            </w:tcBorders>
            <w:tcMar>
              <w:top w:w="0" w:type="dxa"/>
              <w:left w:w="108" w:type="dxa"/>
              <w:bottom w:w="0" w:type="dxa"/>
              <w:right w:w="108" w:type="dxa"/>
            </w:tcMar>
            <w:hideMark/>
          </w:tcPr>
          <w:p w14:paraId="420168B5" w14:textId="77777777" w:rsidR="00BC119F" w:rsidRPr="00300A72" w:rsidRDefault="00BC119F"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lang w:val="en"/>
              </w:rPr>
              <w:t>0.7</w:t>
            </w:r>
          </w:p>
        </w:tc>
        <w:tc>
          <w:tcPr>
            <w:tcW w:w="2738" w:type="dxa"/>
            <w:tcBorders>
              <w:top w:val="nil"/>
              <w:left w:val="nil"/>
              <w:bottom w:val="single" w:sz="8" w:space="0" w:color="auto"/>
              <w:right w:val="single" w:sz="8" w:space="0" w:color="auto"/>
            </w:tcBorders>
            <w:tcMar>
              <w:top w:w="0" w:type="dxa"/>
              <w:left w:w="108" w:type="dxa"/>
              <w:bottom w:w="0" w:type="dxa"/>
              <w:right w:w="108" w:type="dxa"/>
            </w:tcMar>
            <w:hideMark/>
          </w:tcPr>
          <w:p w14:paraId="6335E293" w14:textId="77777777" w:rsidR="00BC119F" w:rsidRPr="00300A72" w:rsidRDefault="00BC119F"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lang w:val="en"/>
              </w:rPr>
              <w:t>0.7</w:t>
            </w:r>
          </w:p>
        </w:tc>
      </w:tr>
      <w:tr w:rsidR="00BC119F" w:rsidRPr="00300A72" w14:paraId="56CB7722" w14:textId="77777777" w:rsidTr="00BC119F">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258444" w14:textId="77777777" w:rsidR="00BC119F" w:rsidRPr="00300A72" w:rsidRDefault="00BC119F"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lang w:val="en"/>
              </w:rPr>
              <w:t>salt</w:t>
            </w:r>
          </w:p>
        </w:tc>
        <w:tc>
          <w:tcPr>
            <w:tcW w:w="2746" w:type="dxa"/>
            <w:tcBorders>
              <w:top w:val="nil"/>
              <w:left w:val="nil"/>
              <w:bottom w:val="single" w:sz="8" w:space="0" w:color="auto"/>
              <w:right w:val="single" w:sz="8" w:space="0" w:color="auto"/>
            </w:tcBorders>
            <w:tcMar>
              <w:top w:w="0" w:type="dxa"/>
              <w:left w:w="108" w:type="dxa"/>
              <w:bottom w:w="0" w:type="dxa"/>
              <w:right w:w="108" w:type="dxa"/>
            </w:tcMar>
            <w:hideMark/>
          </w:tcPr>
          <w:p w14:paraId="2C272389" w14:textId="77777777" w:rsidR="00BC119F" w:rsidRPr="00300A72" w:rsidRDefault="00BC119F"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lang w:val="en"/>
              </w:rPr>
              <w:t>0.3</w:t>
            </w:r>
          </w:p>
        </w:tc>
        <w:tc>
          <w:tcPr>
            <w:tcW w:w="2738" w:type="dxa"/>
            <w:tcBorders>
              <w:top w:val="nil"/>
              <w:left w:val="nil"/>
              <w:bottom w:val="single" w:sz="8" w:space="0" w:color="auto"/>
              <w:right w:val="single" w:sz="8" w:space="0" w:color="auto"/>
            </w:tcBorders>
            <w:tcMar>
              <w:top w:w="0" w:type="dxa"/>
              <w:left w:w="108" w:type="dxa"/>
              <w:bottom w:w="0" w:type="dxa"/>
              <w:right w:w="108" w:type="dxa"/>
            </w:tcMar>
            <w:hideMark/>
          </w:tcPr>
          <w:p w14:paraId="1C9F3358" w14:textId="77777777" w:rsidR="00BC119F" w:rsidRPr="00300A72" w:rsidRDefault="00BC119F"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lang w:val="en"/>
              </w:rPr>
              <w:t>0.3</w:t>
            </w:r>
          </w:p>
        </w:tc>
      </w:tr>
    </w:tbl>
    <w:p w14:paraId="015B4858" w14:textId="77777777" w:rsidR="00BC119F" w:rsidRPr="00300A72" w:rsidRDefault="00BC119F"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rPr>
        <w:t xml:space="preserve">To prepare the zinc oxide nanoparticles (green synthesis) from black raisins without seeds, the black raisins were bought from the local markets. 50 grams of black raisins without seeds were then washed multiple times with distilled water, dried at 40°C, and ground in a blender. The black raisin powder was then dissolved in 100ml of distilled water, stirred for 10–20 minutes at 40–50°C, and left overnight at room temperature. The solution is centrifuged at 1000 rpm for 15 </w:t>
      </w:r>
      <w:proofErr w:type="spellStart"/>
      <w:proofErr w:type="gramStart"/>
      <w:r w:rsidRPr="00300A72">
        <w:rPr>
          <w:rFonts w:ascii="Times New Roman" w:eastAsia="Times New Roman" w:hAnsi="Times New Roman" w:cs="Times New Roman"/>
          <w:sz w:val="24"/>
          <w:szCs w:val="24"/>
        </w:rPr>
        <w:t>minutes.Centrifugation</w:t>
      </w:r>
      <w:proofErr w:type="spellEnd"/>
      <w:proofErr w:type="gramEnd"/>
      <w:r w:rsidRPr="00300A72">
        <w:rPr>
          <w:rFonts w:ascii="Times New Roman" w:eastAsia="Times New Roman" w:hAnsi="Times New Roman" w:cs="Times New Roman"/>
          <w:sz w:val="24"/>
          <w:szCs w:val="24"/>
        </w:rPr>
        <w:t xml:space="preserve"> and filtration have been performed twice, and filter paper No. 4 is used to separate and filter the floating material (13).</w:t>
      </w:r>
    </w:p>
    <w:p w14:paraId="467ECB4D" w14:textId="77777777" w:rsidR="00BC119F" w:rsidRPr="00300A72" w:rsidRDefault="00BC119F"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rPr>
        <w:t xml:space="preserve">Zinc oxide nanoparticles were prepared by dissolving 0.25 g of zinc acetate dihydrate (0.2 m) in 50 ml of deionized water, then gradually adding 4 ml of the previously filtered solution over the course of 10 minutes. Two moles of sodium hydroxide were then added while stirring to bring the pH of the solution up to </w:t>
      </w:r>
      <w:proofErr w:type="gramStart"/>
      <w:r w:rsidRPr="00300A72">
        <w:rPr>
          <w:rFonts w:ascii="Times New Roman" w:eastAsia="Times New Roman" w:hAnsi="Times New Roman" w:cs="Times New Roman"/>
          <w:sz w:val="24"/>
          <w:szCs w:val="24"/>
        </w:rPr>
        <w:t>12.After</w:t>
      </w:r>
      <w:proofErr w:type="gramEnd"/>
      <w:r w:rsidRPr="00300A72">
        <w:rPr>
          <w:rFonts w:ascii="Times New Roman" w:eastAsia="Times New Roman" w:hAnsi="Times New Roman" w:cs="Times New Roman"/>
          <w:sz w:val="24"/>
          <w:szCs w:val="24"/>
        </w:rPr>
        <w:t xml:space="preserve"> 15 minutes of separation using a centrifuge running at 4000 cycles per minute, the filter is collected. To obtain zinc oxide nanoparticles, wash them twice with a 70% ethyl alcohol concentration and water. The pellets are then dried at 60 °C (14) to produce the granules seen in the photo below.</w:t>
      </w:r>
    </w:p>
    <w:p w14:paraId="72A3D3EC" w14:textId="77777777" w:rsidR="00BC119F" w:rsidRPr="00300A72" w:rsidRDefault="00BC119F" w:rsidP="00300A72">
      <w:pPr>
        <w:bidi w:val="0"/>
        <w:jc w:val="both"/>
        <w:rPr>
          <w:rFonts w:ascii="Times New Roman" w:eastAsia="Times New Roman" w:hAnsi="Times New Roman" w:cs="Times New Roman"/>
          <w:sz w:val="24"/>
          <w:szCs w:val="24"/>
        </w:rPr>
      </w:pPr>
      <w:commentRangeStart w:id="4"/>
      <w:r w:rsidRPr="00300A72">
        <w:rPr>
          <w:rFonts w:ascii="Times New Roman" w:hAnsi="Times New Roman" w:cs="Times New Roman"/>
          <w:noProof/>
          <w:sz w:val="24"/>
          <w:szCs w:val="24"/>
          <w:lang w:val="en-IN" w:eastAsia="en-IN"/>
        </w:rPr>
        <w:drawing>
          <wp:inline distT="0" distB="0" distL="0" distR="0" wp14:anchorId="3E68C20D" wp14:editId="53E93986">
            <wp:extent cx="1751951" cy="1704975"/>
            <wp:effectExtent l="57150" t="0" r="58420" b="1047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duotone>
                        <a:schemeClr val="accent4">
                          <a:shade val="45000"/>
                          <a:satMod val="135000"/>
                        </a:schemeClr>
                        <a:prstClr val="white"/>
                      </a:duotone>
                    </a:blip>
                    <a:srcRect l="50000" t="19667" r="962" b="14001"/>
                    <a:stretch/>
                  </pic:blipFill>
                  <pic:spPr bwMode="auto">
                    <a:xfrm>
                      <a:off x="0" y="0"/>
                      <a:ext cx="1759201" cy="1712030"/>
                    </a:xfrm>
                    <a:prstGeom prst="rect">
                      <a:avLst/>
                    </a:prstGeom>
                    <a:ln>
                      <a:noFill/>
                    </a:ln>
                    <a:effectLst>
                      <a:outerShdw blurRad="50800" dist="50800" dir="5400000" algn="ctr" rotWithShape="0">
                        <a:schemeClr val="bg2"/>
                      </a:outerShdw>
                    </a:effectLst>
                    <a:extLst>
                      <a:ext uri="{53640926-AAD7-44D8-BBD7-CCE9431645EC}">
                        <a14:shadowObscured xmlns:a14="http://schemas.microsoft.com/office/drawing/2010/main"/>
                      </a:ext>
                    </a:extLst>
                  </pic:spPr>
                </pic:pic>
              </a:graphicData>
            </a:graphic>
          </wp:inline>
        </w:drawing>
      </w:r>
      <w:commentRangeEnd w:id="4"/>
      <w:r w:rsidR="00570BB1">
        <w:rPr>
          <w:rStyle w:val="CommentReference"/>
        </w:rPr>
        <w:commentReference w:id="4"/>
      </w:r>
    </w:p>
    <w:p w14:paraId="34146AEF" w14:textId="77777777" w:rsidR="009C65F8" w:rsidRPr="00300A72" w:rsidRDefault="00BC119F" w:rsidP="00300A72">
      <w:pPr>
        <w:jc w:val="both"/>
        <w:rPr>
          <w:rFonts w:ascii="Times New Roman" w:hAnsi="Times New Roman" w:cs="Times New Roman"/>
          <w:sz w:val="24"/>
          <w:szCs w:val="24"/>
          <w:lang w:bidi="ar-IQ"/>
        </w:rPr>
      </w:pPr>
      <w:r w:rsidRPr="00300A72">
        <w:rPr>
          <w:rFonts w:ascii="Times New Roman" w:hAnsi="Times New Roman" w:cs="Times New Roman"/>
          <w:sz w:val="24"/>
          <w:szCs w:val="24"/>
          <w:lang w:bidi="ar-IQ"/>
        </w:rPr>
        <w:lastRenderedPageBreak/>
        <w:t xml:space="preserve">Figure 1: </w:t>
      </w:r>
      <w:proofErr w:type="spellStart"/>
      <w:r w:rsidRPr="00300A72">
        <w:rPr>
          <w:rFonts w:ascii="Times New Roman" w:hAnsi="Times New Roman" w:cs="Times New Roman"/>
          <w:sz w:val="24"/>
          <w:szCs w:val="24"/>
          <w:lang w:bidi="ar-IQ"/>
        </w:rPr>
        <w:t>ZnO</w:t>
      </w:r>
      <w:proofErr w:type="spellEnd"/>
      <w:r w:rsidRPr="00300A72">
        <w:rPr>
          <w:rFonts w:ascii="Times New Roman" w:hAnsi="Times New Roman" w:cs="Times New Roman"/>
          <w:sz w:val="24"/>
          <w:szCs w:val="24"/>
          <w:lang w:bidi="ar-IQ"/>
        </w:rPr>
        <w:t xml:space="preserve"> nano powder</w:t>
      </w:r>
    </w:p>
    <w:p w14:paraId="4E79B3C7" w14:textId="77777777" w:rsidR="00BC119F" w:rsidRPr="00300A72" w:rsidRDefault="00BC119F" w:rsidP="00300A72">
      <w:pPr>
        <w:jc w:val="both"/>
        <w:rPr>
          <w:rFonts w:ascii="Times New Roman" w:hAnsi="Times New Roman" w:cs="Times New Roman"/>
          <w:b/>
          <w:bCs/>
          <w:sz w:val="24"/>
          <w:szCs w:val="24"/>
          <w:rtl/>
          <w:lang w:bidi="ar-IQ"/>
        </w:rPr>
      </w:pPr>
      <w:r w:rsidRPr="00300A72">
        <w:rPr>
          <w:rFonts w:ascii="Times New Roman" w:hAnsi="Times New Roman" w:cs="Times New Roman"/>
          <w:b/>
          <w:bCs/>
          <w:sz w:val="24"/>
          <w:szCs w:val="24"/>
          <w:lang w:bidi="ar-IQ"/>
        </w:rPr>
        <w:t>Statistical analysis</w:t>
      </w:r>
    </w:p>
    <w:p w14:paraId="01DAB9F2" w14:textId="77777777" w:rsidR="00BC119F" w:rsidRPr="00300A72" w:rsidRDefault="00BC119F"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rPr>
        <w:t>One-way analysis of variance (ANOVA) was used to statistically obtain the results (15).</w:t>
      </w:r>
    </w:p>
    <w:p w14:paraId="0D0B940D" w14:textId="77777777" w:rsidR="00BC119F" w:rsidRPr="00300A72" w:rsidRDefault="00BC119F" w:rsidP="00300A72">
      <w:pPr>
        <w:jc w:val="both"/>
        <w:rPr>
          <w:rFonts w:ascii="Times New Roman" w:hAnsi="Times New Roman" w:cs="Times New Roman"/>
          <w:sz w:val="24"/>
          <w:szCs w:val="24"/>
          <w:rtl/>
          <w:lang w:bidi="ar-IQ"/>
        </w:rPr>
      </w:pPr>
    </w:p>
    <w:p w14:paraId="286093E7" w14:textId="77777777" w:rsidR="00BC119F" w:rsidRPr="00300A72" w:rsidRDefault="00BC119F" w:rsidP="00300A72">
      <w:pPr>
        <w:bidi w:val="0"/>
        <w:spacing w:line="235" w:lineRule="atLeast"/>
        <w:jc w:val="both"/>
        <w:rPr>
          <w:rFonts w:ascii="Times New Roman" w:eastAsia="Times New Roman" w:hAnsi="Times New Roman" w:cs="Times New Roman"/>
          <w:color w:val="000000"/>
          <w:sz w:val="24"/>
          <w:szCs w:val="24"/>
        </w:rPr>
      </w:pPr>
      <w:proofErr w:type="gramStart"/>
      <w:r w:rsidRPr="00300A72">
        <w:rPr>
          <w:rFonts w:ascii="Times New Roman" w:eastAsia="Times New Roman" w:hAnsi="Times New Roman" w:cs="Times New Roman"/>
          <w:color w:val="000000"/>
          <w:sz w:val="24"/>
          <w:szCs w:val="24"/>
          <w:lang w:val="en"/>
        </w:rPr>
        <w:t>Result :</w:t>
      </w:r>
      <w:proofErr w:type="gramEnd"/>
      <w:r w:rsidRPr="00300A72">
        <w:rPr>
          <w:rFonts w:ascii="Times New Roman" w:eastAsia="Times New Roman" w:hAnsi="Times New Roman" w:cs="Times New Roman"/>
          <w:color w:val="000000"/>
          <w:sz w:val="24"/>
          <w:szCs w:val="24"/>
          <w:lang w:val="en"/>
        </w:rPr>
        <w:t> </w:t>
      </w:r>
      <w:r w:rsidRPr="00300A72">
        <w:rPr>
          <w:rFonts w:ascii="Times New Roman" w:eastAsia="Times New Roman" w:hAnsi="Times New Roman" w:cs="Times New Roman"/>
          <w:b/>
          <w:bCs/>
          <w:color w:val="000000"/>
          <w:sz w:val="24"/>
          <w:szCs w:val="24"/>
        </w:rPr>
        <w:t> </w:t>
      </w:r>
    </w:p>
    <w:p w14:paraId="6E7BEAA2" w14:textId="77777777" w:rsidR="00BC119F" w:rsidRPr="00300A72" w:rsidRDefault="00BC119F" w:rsidP="00300A72">
      <w:pPr>
        <w:bidi w:val="0"/>
        <w:spacing w:line="235" w:lineRule="atLeast"/>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bidi="ar-IQ"/>
        </w:rPr>
        <w:t> </w:t>
      </w:r>
    </w:p>
    <w:p w14:paraId="6B50D786" w14:textId="77777777" w:rsidR="00BC119F" w:rsidRPr="00300A72" w:rsidRDefault="00BC119F" w:rsidP="00300A72">
      <w:pPr>
        <w:bidi w:val="0"/>
        <w:spacing w:line="235" w:lineRule="atLeast"/>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themeColor="text1"/>
          <w:sz w:val="24"/>
          <w:szCs w:val="24"/>
        </w:rPr>
        <w:t xml:space="preserve">Table (2): the effect of ZONPS on body </w:t>
      </w:r>
      <w:proofErr w:type="gramStart"/>
      <w:r w:rsidRPr="00300A72">
        <w:rPr>
          <w:rFonts w:ascii="Times New Roman" w:eastAsia="Times New Roman" w:hAnsi="Times New Roman" w:cs="Times New Roman"/>
          <w:color w:val="000000" w:themeColor="text1"/>
          <w:sz w:val="24"/>
          <w:szCs w:val="24"/>
        </w:rPr>
        <w:t>weigh ,</w:t>
      </w:r>
      <w:proofErr w:type="gramEnd"/>
      <w:r w:rsidRPr="00300A72">
        <w:rPr>
          <w:rFonts w:ascii="Times New Roman" w:eastAsia="Times New Roman" w:hAnsi="Times New Roman" w:cs="Times New Roman"/>
          <w:color w:val="000000" w:themeColor="text1"/>
          <w:sz w:val="24"/>
          <w:szCs w:val="24"/>
        </w:rPr>
        <w:t xml:space="preserve"> food </w:t>
      </w:r>
      <w:proofErr w:type="gramStart"/>
      <w:r w:rsidRPr="00300A72">
        <w:rPr>
          <w:rFonts w:ascii="Times New Roman" w:eastAsia="Times New Roman" w:hAnsi="Times New Roman" w:cs="Times New Roman"/>
          <w:color w:val="000000" w:themeColor="text1"/>
          <w:sz w:val="24"/>
          <w:szCs w:val="24"/>
        </w:rPr>
        <w:t>intake ,</w:t>
      </w:r>
      <w:proofErr w:type="gramEnd"/>
      <w:r w:rsidRPr="00300A72">
        <w:rPr>
          <w:rFonts w:ascii="Times New Roman" w:eastAsia="Times New Roman" w:hAnsi="Times New Roman" w:cs="Times New Roman"/>
          <w:color w:val="000000" w:themeColor="text1"/>
          <w:sz w:val="24"/>
          <w:szCs w:val="24"/>
        </w:rPr>
        <w:t xml:space="preserve"> feed conversion </w:t>
      </w:r>
      <w:proofErr w:type="gramStart"/>
      <w:r w:rsidRPr="00300A72">
        <w:rPr>
          <w:rFonts w:ascii="Times New Roman" w:eastAsia="Times New Roman" w:hAnsi="Times New Roman" w:cs="Times New Roman"/>
          <w:color w:val="000000" w:themeColor="text1"/>
          <w:sz w:val="24"/>
          <w:szCs w:val="24"/>
        </w:rPr>
        <w:t>ratio ,mortality</w:t>
      </w:r>
      <w:proofErr w:type="gramEnd"/>
      <w:r w:rsidRPr="00300A72">
        <w:rPr>
          <w:rFonts w:ascii="Times New Roman" w:eastAsia="Times New Roman" w:hAnsi="Times New Roman" w:cs="Times New Roman"/>
          <w:color w:val="000000" w:themeColor="text1"/>
          <w:sz w:val="24"/>
          <w:szCs w:val="24"/>
        </w:rPr>
        <w:t xml:space="preserve"> rate and utilization (main ± SD)</w:t>
      </w:r>
    </w:p>
    <w:tbl>
      <w:tblPr>
        <w:tblW w:w="10756" w:type="dxa"/>
        <w:tblInd w:w="-861" w:type="dxa"/>
        <w:tblCellMar>
          <w:left w:w="0" w:type="dxa"/>
          <w:right w:w="0" w:type="dxa"/>
        </w:tblCellMar>
        <w:tblLook w:val="04A0" w:firstRow="1" w:lastRow="0" w:firstColumn="1" w:lastColumn="0" w:noHBand="0" w:noVBand="1"/>
      </w:tblPr>
      <w:tblGrid>
        <w:gridCol w:w="1702"/>
        <w:gridCol w:w="1585"/>
        <w:gridCol w:w="1466"/>
        <w:gridCol w:w="1655"/>
        <w:gridCol w:w="1664"/>
        <w:gridCol w:w="1288"/>
        <w:gridCol w:w="1396"/>
      </w:tblGrid>
      <w:tr w:rsidR="00BC119F" w:rsidRPr="00300A72" w14:paraId="20C95518" w14:textId="77777777" w:rsidTr="00BC119F">
        <w:tc>
          <w:tcPr>
            <w:tcW w:w="17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913193" w14:textId="77777777" w:rsidR="00BC119F" w:rsidRPr="00300A72" w:rsidRDefault="00BC119F"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lang w:val="en"/>
              </w:rPr>
              <w:t>treatments</w:t>
            </w:r>
          </w:p>
        </w:tc>
        <w:tc>
          <w:tcPr>
            <w:tcW w:w="15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A04FA2" w14:textId="77777777" w:rsidR="00BC119F" w:rsidRPr="00300A72" w:rsidRDefault="00BC119F"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b/>
                <w:bCs/>
                <w:color w:val="000000"/>
                <w:sz w:val="24"/>
                <w:szCs w:val="24"/>
                <w:lang w:val="en"/>
              </w:rPr>
              <w:t>BW (g) at</w:t>
            </w:r>
          </w:p>
          <w:p w14:paraId="4E03C913" w14:textId="77777777" w:rsidR="00BC119F" w:rsidRPr="00300A72" w:rsidRDefault="00BC119F"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lang w:val="en"/>
              </w:rPr>
              <w:t>1day</w:t>
            </w:r>
          </w:p>
        </w:tc>
        <w:tc>
          <w:tcPr>
            <w:tcW w:w="14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CA4ADE" w14:textId="77777777" w:rsidR="00BC119F" w:rsidRPr="00300A72" w:rsidRDefault="00BC119F"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b/>
                <w:bCs/>
                <w:color w:val="000000"/>
                <w:sz w:val="24"/>
                <w:szCs w:val="24"/>
                <w:lang w:val="en"/>
              </w:rPr>
              <w:t>BW (g) at</w:t>
            </w:r>
          </w:p>
          <w:p w14:paraId="24CC9B6E" w14:textId="77777777" w:rsidR="00BC119F" w:rsidRPr="00300A72" w:rsidRDefault="00BC119F"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lang w:val="en"/>
              </w:rPr>
              <w:t>35day</w:t>
            </w:r>
          </w:p>
        </w:tc>
        <w:tc>
          <w:tcPr>
            <w:tcW w:w="16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C7204C" w14:textId="77777777" w:rsidR="00BC119F" w:rsidRPr="00300A72" w:rsidRDefault="00BC119F"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b/>
                <w:bCs/>
                <w:color w:val="000000"/>
                <w:sz w:val="24"/>
                <w:szCs w:val="24"/>
                <w:lang w:val="en"/>
              </w:rPr>
              <w:t>BWG (g)</w:t>
            </w:r>
          </w:p>
          <w:p w14:paraId="4DF96E75" w14:textId="77777777" w:rsidR="00BC119F" w:rsidRPr="00300A72" w:rsidRDefault="00BC119F"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b/>
                <w:bCs/>
                <w:sz w:val="24"/>
                <w:szCs w:val="24"/>
                <w:lang w:val="en"/>
              </w:rPr>
              <w:t>during 1-35day</w:t>
            </w:r>
          </w:p>
        </w:tc>
        <w:tc>
          <w:tcPr>
            <w:tcW w:w="16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3E43C7" w14:textId="77777777" w:rsidR="00BC119F" w:rsidRPr="00300A72" w:rsidRDefault="00BC119F"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lang w:val="en"/>
              </w:rPr>
              <w:t>Feed intake</w:t>
            </w:r>
          </w:p>
          <w:p w14:paraId="0BCCFB5E" w14:textId="77777777" w:rsidR="00BC119F" w:rsidRPr="00300A72" w:rsidRDefault="00BC119F" w:rsidP="00300A72">
            <w:pPr>
              <w:bidi w:val="0"/>
              <w:spacing w:after="0" w:line="240" w:lineRule="auto"/>
              <w:jc w:val="both"/>
              <w:rPr>
                <w:rFonts w:ascii="Times New Roman" w:eastAsia="Times New Roman" w:hAnsi="Times New Roman" w:cs="Times New Roman"/>
                <w:sz w:val="24"/>
                <w:szCs w:val="24"/>
                <w:lang w:val="en"/>
              </w:rPr>
            </w:pPr>
            <w:r w:rsidRPr="00300A72">
              <w:rPr>
                <w:rFonts w:ascii="Times New Roman" w:eastAsia="Times New Roman" w:hAnsi="Times New Roman" w:cs="Times New Roman"/>
                <w:sz w:val="24"/>
                <w:szCs w:val="24"/>
                <w:lang w:val="en"/>
              </w:rPr>
              <w:t>FI</w:t>
            </w:r>
            <w:r w:rsidRPr="00300A72">
              <w:rPr>
                <w:rFonts w:ascii="Times New Roman" w:eastAsia="Times New Roman" w:hAnsi="Times New Roman" w:cs="Times New Roman"/>
                <w:b/>
                <w:bCs/>
                <w:sz w:val="24"/>
                <w:szCs w:val="24"/>
                <w:lang w:val="en"/>
              </w:rPr>
              <w:t> during 1-35day</w:t>
            </w:r>
          </w:p>
        </w:tc>
        <w:tc>
          <w:tcPr>
            <w:tcW w:w="12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02C532" w14:textId="77777777" w:rsidR="00BC119F" w:rsidRPr="00300A72" w:rsidRDefault="00BC119F"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b/>
                <w:bCs/>
                <w:color w:val="000000"/>
                <w:sz w:val="24"/>
                <w:szCs w:val="24"/>
                <w:lang w:val="en"/>
              </w:rPr>
              <w:t>FCR</w:t>
            </w:r>
          </w:p>
          <w:p w14:paraId="1116E564" w14:textId="77777777" w:rsidR="00BC119F" w:rsidRPr="00300A72" w:rsidRDefault="00BC119F"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b/>
                <w:bCs/>
                <w:sz w:val="24"/>
                <w:szCs w:val="24"/>
                <w:lang w:val="en"/>
              </w:rPr>
              <w:t>during 1-35day</w:t>
            </w:r>
          </w:p>
        </w:tc>
        <w:tc>
          <w:tcPr>
            <w:tcW w:w="13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AB53D4" w14:textId="77777777" w:rsidR="00BC119F" w:rsidRPr="00300A72" w:rsidRDefault="00BC119F"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b/>
                <w:bCs/>
                <w:color w:val="000000"/>
                <w:sz w:val="24"/>
                <w:szCs w:val="24"/>
                <w:lang w:val="en"/>
              </w:rPr>
              <w:t>MR. %</w:t>
            </w:r>
          </w:p>
          <w:p w14:paraId="69AF9950" w14:textId="77777777" w:rsidR="00BC119F" w:rsidRPr="00300A72" w:rsidRDefault="00BC119F"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b/>
                <w:bCs/>
                <w:color w:val="000000"/>
                <w:sz w:val="24"/>
                <w:szCs w:val="24"/>
                <w:lang w:val="en"/>
              </w:rPr>
              <w:t>during 1-35day</w:t>
            </w:r>
          </w:p>
        </w:tc>
      </w:tr>
      <w:tr w:rsidR="00BC119F" w:rsidRPr="00300A72" w14:paraId="4CB6AA68" w14:textId="77777777" w:rsidTr="00BC119F">
        <w:tc>
          <w:tcPr>
            <w:tcW w:w="17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0248F5" w14:textId="77777777" w:rsidR="00BC119F" w:rsidRPr="00300A72" w:rsidRDefault="00BC119F"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lang w:val="en"/>
              </w:rPr>
              <w:t>Control</w:t>
            </w:r>
          </w:p>
        </w:tc>
        <w:tc>
          <w:tcPr>
            <w:tcW w:w="1585" w:type="dxa"/>
            <w:tcBorders>
              <w:top w:val="nil"/>
              <w:left w:val="nil"/>
              <w:bottom w:val="single" w:sz="8" w:space="0" w:color="auto"/>
              <w:right w:val="single" w:sz="8" w:space="0" w:color="auto"/>
            </w:tcBorders>
            <w:tcMar>
              <w:top w:w="0" w:type="dxa"/>
              <w:left w:w="108" w:type="dxa"/>
              <w:bottom w:w="0" w:type="dxa"/>
              <w:right w:w="108" w:type="dxa"/>
            </w:tcMar>
            <w:hideMark/>
          </w:tcPr>
          <w:p w14:paraId="270E4915" w14:textId="77777777" w:rsidR="00BC119F" w:rsidRPr="00300A72" w:rsidRDefault="00BC119F"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lang w:val="en"/>
              </w:rPr>
              <w:t>43.4± 0. 05a</w:t>
            </w:r>
          </w:p>
        </w:tc>
        <w:tc>
          <w:tcPr>
            <w:tcW w:w="1466" w:type="dxa"/>
            <w:tcBorders>
              <w:top w:val="nil"/>
              <w:left w:val="nil"/>
              <w:bottom w:val="single" w:sz="8" w:space="0" w:color="auto"/>
              <w:right w:val="single" w:sz="8" w:space="0" w:color="auto"/>
            </w:tcBorders>
            <w:tcMar>
              <w:top w:w="0" w:type="dxa"/>
              <w:left w:w="108" w:type="dxa"/>
              <w:bottom w:w="0" w:type="dxa"/>
              <w:right w:w="108" w:type="dxa"/>
            </w:tcMar>
            <w:hideMark/>
          </w:tcPr>
          <w:p w14:paraId="357A85AD" w14:textId="77777777" w:rsidR="00BC119F" w:rsidRPr="00300A72" w:rsidRDefault="00BC119F"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lang w:val="en"/>
              </w:rPr>
              <w:t>1995.1± 0.04a</w:t>
            </w:r>
          </w:p>
        </w:tc>
        <w:tc>
          <w:tcPr>
            <w:tcW w:w="1655" w:type="dxa"/>
            <w:tcBorders>
              <w:top w:val="nil"/>
              <w:left w:val="nil"/>
              <w:bottom w:val="single" w:sz="8" w:space="0" w:color="auto"/>
              <w:right w:val="single" w:sz="8" w:space="0" w:color="auto"/>
            </w:tcBorders>
            <w:tcMar>
              <w:top w:w="0" w:type="dxa"/>
              <w:left w:w="108" w:type="dxa"/>
              <w:bottom w:w="0" w:type="dxa"/>
              <w:right w:w="108" w:type="dxa"/>
            </w:tcMar>
            <w:hideMark/>
          </w:tcPr>
          <w:p w14:paraId="3553824E" w14:textId="77777777" w:rsidR="00BC119F" w:rsidRPr="00300A72" w:rsidRDefault="00BC119F"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lang w:val="en"/>
              </w:rPr>
              <w:t>1951.7±10.1a</w:t>
            </w:r>
          </w:p>
        </w:tc>
        <w:tc>
          <w:tcPr>
            <w:tcW w:w="1664" w:type="dxa"/>
            <w:tcBorders>
              <w:top w:val="nil"/>
              <w:left w:val="nil"/>
              <w:bottom w:val="single" w:sz="8" w:space="0" w:color="auto"/>
              <w:right w:val="single" w:sz="8" w:space="0" w:color="auto"/>
            </w:tcBorders>
            <w:tcMar>
              <w:top w:w="0" w:type="dxa"/>
              <w:left w:w="108" w:type="dxa"/>
              <w:bottom w:w="0" w:type="dxa"/>
              <w:right w:w="108" w:type="dxa"/>
            </w:tcMar>
            <w:hideMark/>
          </w:tcPr>
          <w:p w14:paraId="7F7E8F48" w14:textId="77777777" w:rsidR="00BC119F" w:rsidRPr="00300A72" w:rsidRDefault="00BC119F"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3194.8±12.3a</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10FBF691" w14:textId="77777777" w:rsidR="00BC119F" w:rsidRPr="00300A72" w:rsidRDefault="00BC119F"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lang w:val="en"/>
              </w:rPr>
              <w:t>1.3±0.04a</w:t>
            </w:r>
          </w:p>
        </w:tc>
        <w:tc>
          <w:tcPr>
            <w:tcW w:w="1396" w:type="dxa"/>
            <w:tcBorders>
              <w:top w:val="nil"/>
              <w:left w:val="nil"/>
              <w:bottom w:val="single" w:sz="8" w:space="0" w:color="auto"/>
              <w:right w:val="single" w:sz="8" w:space="0" w:color="auto"/>
            </w:tcBorders>
            <w:tcMar>
              <w:top w:w="0" w:type="dxa"/>
              <w:left w:w="108" w:type="dxa"/>
              <w:bottom w:w="0" w:type="dxa"/>
              <w:right w:w="108" w:type="dxa"/>
            </w:tcMar>
            <w:hideMark/>
          </w:tcPr>
          <w:p w14:paraId="1077E707" w14:textId="77777777" w:rsidR="00BC119F" w:rsidRPr="00300A72" w:rsidRDefault="00BC119F"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3.10±0.41 a</w:t>
            </w:r>
          </w:p>
          <w:p w14:paraId="63E4A9CD" w14:textId="77777777" w:rsidR="00BC119F" w:rsidRPr="00300A72" w:rsidRDefault="00BC119F"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rPr>
              <w:t> </w:t>
            </w:r>
          </w:p>
        </w:tc>
      </w:tr>
      <w:tr w:rsidR="00BC119F" w:rsidRPr="00300A72" w14:paraId="450C4341" w14:textId="77777777" w:rsidTr="00BC119F">
        <w:tc>
          <w:tcPr>
            <w:tcW w:w="17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CCC8B4" w14:textId="77777777" w:rsidR="00BC119F" w:rsidRPr="00300A72" w:rsidRDefault="00BC119F"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lang w:val="en"/>
              </w:rPr>
              <w:t>50 mg/kg diet</w:t>
            </w:r>
          </w:p>
        </w:tc>
        <w:tc>
          <w:tcPr>
            <w:tcW w:w="1585" w:type="dxa"/>
            <w:tcBorders>
              <w:top w:val="nil"/>
              <w:left w:val="nil"/>
              <w:bottom w:val="single" w:sz="8" w:space="0" w:color="auto"/>
              <w:right w:val="single" w:sz="8" w:space="0" w:color="auto"/>
            </w:tcBorders>
            <w:tcMar>
              <w:top w:w="0" w:type="dxa"/>
              <w:left w:w="108" w:type="dxa"/>
              <w:bottom w:w="0" w:type="dxa"/>
              <w:right w:w="108" w:type="dxa"/>
            </w:tcMar>
            <w:hideMark/>
          </w:tcPr>
          <w:p w14:paraId="5F15713E" w14:textId="77777777" w:rsidR="00BC119F" w:rsidRPr="00300A72" w:rsidRDefault="00BC119F"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lang w:val="en"/>
              </w:rPr>
              <w:t>44.2± 0.02b</w:t>
            </w:r>
          </w:p>
        </w:tc>
        <w:tc>
          <w:tcPr>
            <w:tcW w:w="1466" w:type="dxa"/>
            <w:tcBorders>
              <w:top w:val="nil"/>
              <w:left w:val="nil"/>
              <w:bottom w:val="single" w:sz="8" w:space="0" w:color="auto"/>
              <w:right w:val="single" w:sz="8" w:space="0" w:color="auto"/>
            </w:tcBorders>
            <w:tcMar>
              <w:top w:w="0" w:type="dxa"/>
              <w:left w:w="108" w:type="dxa"/>
              <w:bottom w:w="0" w:type="dxa"/>
              <w:right w:w="108" w:type="dxa"/>
            </w:tcMar>
            <w:hideMark/>
          </w:tcPr>
          <w:p w14:paraId="668F10EE" w14:textId="77777777" w:rsidR="00BC119F" w:rsidRPr="00300A72" w:rsidRDefault="00BC119F"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lang w:val="en"/>
              </w:rPr>
              <w:t>2010.4± 0.03b</w:t>
            </w:r>
          </w:p>
        </w:tc>
        <w:tc>
          <w:tcPr>
            <w:tcW w:w="1655" w:type="dxa"/>
            <w:tcBorders>
              <w:top w:val="nil"/>
              <w:left w:val="nil"/>
              <w:bottom w:val="single" w:sz="8" w:space="0" w:color="auto"/>
              <w:right w:val="single" w:sz="8" w:space="0" w:color="auto"/>
            </w:tcBorders>
            <w:tcMar>
              <w:top w:w="0" w:type="dxa"/>
              <w:left w:w="108" w:type="dxa"/>
              <w:bottom w:w="0" w:type="dxa"/>
              <w:right w:w="108" w:type="dxa"/>
            </w:tcMar>
            <w:hideMark/>
          </w:tcPr>
          <w:p w14:paraId="43CC5693" w14:textId="77777777" w:rsidR="00BC119F" w:rsidRPr="00300A72" w:rsidRDefault="00BC119F"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lang w:val="en"/>
              </w:rPr>
              <w:t>1966.2±15.4b</w:t>
            </w:r>
          </w:p>
        </w:tc>
        <w:tc>
          <w:tcPr>
            <w:tcW w:w="1664" w:type="dxa"/>
            <w:tcBorders>
              <w:top w:val="nil"/>
              <w:left w:val="nil"/>
              <w:bottom w:val="single" w:sz="8" w:space="0" w:color="auto"/>
              <w:right w:val="single" w:sz="8" w:space="0" w:color="auto"/>
            </w:tcBorders>
            <w:tcMar>
              <w:top w:w="0" w:type="dxa"/>
              <w:left w:w="108" w:type="dxa"/>
              <w:bottom w:w="0" w:type="dxa"/>
              <w:right w:w="108" w:type="dxa"/>
            </w:tcMar>
            <w:hideMark/>
          </w:tcPr>
          <w:p w14:paraId="733C3BD7" w14:textId="77777777" w:rsidR="00BC119F" w:rsidRPr="00300A72" w:rsidRDefault="00BC119F"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3182.6±13.1</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4676B29A" w14:textId="77777777" w:rsidR="00BC119F" w:rsidRPr="00300A72" w:rsidRDefault="00BC119F"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lang w:val="en"/>
              </w:rPr>
              <w:t>1.6±0.03b</w:t>
            </w:r>
          </w:p>
        </w:tc>
        <w:tc>
          <w:tcPr>
            <w:tcW w:w="1396" w:type="dxa"/>
            <w:tcBorders>
              <w:top w:val="nil"/>
              <w:left w:val="nil"/>
              <w:bottom w:val="single" w:sz="8" w:space="0" w:color="auto"/>
              <w:right w:val="single" w:sz="8" w:space="0" w:color="auto"/>
            </w:tcBorders>
            <w:tcMar>
              <w:top w:w="0" w:type="dxa"/>
              <w:left w:w="108" w:type="dxa"/>
              <w:bottom w:w="0" w:type="dxa"/>
              <w:right w:w="108" w:type="dxa"/>
            </w:tcMar>
            <w:hideMark/>
          </w:tcPr>
          <w:p w14:paraId="58D4BDD0" w14:textId="77777777" w:rsidR="00BC119F" w:rsidRPr="00300A72" w:rsidRDefault="00BC119F"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lang w:val="en"/>
              </w:rPr>
              <w:t>3.00±0.45b</w:t>
            </w:r>
          </w:p>
        </w:tc>
      </w:tr>
      <w:tr w:rsidR="00BC119F" w:rsidRPr="00300A72" w14:paraId="09C6CD7A" w14:textId="77777777" w:rsidTr="00BC119F">
        <w:tc>
          <w:tcPr>
            <w:tcW w:w="17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33C117" w14:textId="77777777" w:rsidR="00BC119F" w:rsidRPr="00300A72" w:rsidRDefault="00BC119F"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lang w:val="en"/>
              </w:rPr>
              <w:t>75 mg/kg diet</w:t>
            </w:r>
          </w:p>
        </w:tc>
        <w:tc>
          <w:tcPr>
            <w:tcW w:w="1585" w:type="dxa"/>
            <w:tcBorders>
              <w:top w:val="nil"/>
              <w:left w:val="nil"/>
              <w:bottom w:val="single" w:sz="8" w:space="0" w:color="auto"/>
              <w:right w:val="single" w:sz="8" w:space="0" w:color="auto"/>
            </w:tcBorders>
            <w:tcMar>
              <w:top w:w="0" w:type="dxa"/>
              <w:left w:w="108" w:type="dxa"/>
              <w:bottom w:w="0" w:type="dxa"/>
              <w:right w:w="108" w:type="dxa"/>
            </w:tcMar>
            <w:hideMark/>
          </w:tcPr>
          <w:p w14:paraId="44DB6B37" w14:textId="77777777" w:rsidR="00BC119F" w:rsidRPr="00300A72" w:rsidRDefault="00BC119F"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lang w:val="en"/>
              </w:rPr>
              <w:t>44.1± 0.01b</w:t>
            </w:r>
          </w:p>
        </w:tc>
        <w:tc>
          <w:tcPr>
            <w:tcW w:w="1466" w:type="dxa"/>
            <w:tcBorders>
              <w:top w:val="nil"/>
              <w:left w:val="nil"/>
              <w:bottom w:val="single" w:sz="8" w:space="0" w:color="auto"/>
              <w:right w:val="single" w:sz="8" w:space="0" w:color="auto"/>
            </w:tcBorders>
            <w:tcMar>
              <w:top w:w="0" w:type="dxa"/>
              <w:left w:w="108" w:type="dxa"/>
              <w:bottom w:w="0" w:type="dxa"/>
              <w:right w:w="108" w:type="dxa"/>
            </w:tcMar>
            <w:hideMark/>
          </w:tcPr>
          <w:p w14:paraId="65FBC99C" w14:textId="77777777" w:rsidR="00BC119F" w:rsidRPr="00300A72" w:rsidRDefault="00BC119F"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lang w:val="en"/>
              </w:rPr>
              <w:t>2054.5 ±0.06b</w:t>
            </w:r>
          </w:p>
        </w:tc>
        <w:tc>
          <w:tcPr>
            <w:tcW w:w="1655" w:type="dxa"/>
            <w:tcBorders>
              <w:top w:val="nil"/>
              <w:left w:val="nil"/>
              <w:bottom w:val="single" w:sz="8" w:space="0" w:color="auto"/>
              <w:right w:val="single" w:sz="8" w:space="0" w:color="auto"/>
            </w:tcBorders>
            <w:tcMar>
              <w:top w:w="0" w:type="dxa"/>
              <w:left w:w="108" w:type="dxa"/>
              <w:bottom w:w="0" w:type="dxa"/>
              <w:right w:w="108" w:type="dxa"/>
            </w:tcMar>
            <w:hideMark/>
          </w:tcPr>
          <w:p w14:paraId="1CA881A8" w14:textId="77777777" w:rsidR="00BC119F" w:rsidRPr="00300A72" w:rsidRDefault="00BC119F"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lang w:val="en"/>
              </w:rPr>
              <w:t>2010.21±14.2c</w:t>
            </w:r>
          </w:p>
        </w:tc>
        <w:tc>
          <w:tcPr>
            <w:tcW w:w="1664" w:type="dxa"/>
            <w:tcBorders>
              <w:top w:val="nil"/>
              <w:left w:val="nil"/>
              <w:bottom w:val="single" w:sz="8" w:space="0" w:color="auto"/>
              <w:right w:val="single" w:sz="8" w:space="0" w:color="auto"/>
            </w:tcBorders>
            <w:tcMar>
              <w:top w:w="0" w:type="dxa"/>
              <w:left w:w="108" w:type="dxa"/>
              <w:bottom w:w="0" w:type="dxa"/>
              <w:right w:w="108" w:type="dxa"/>
            </w:tcMar>
            <w:hideMark/>
          </w:tcPr>
          <w:p w14:paraId="0FCE24C5" w14:textId="77777777" w:rsidR="00BC119F" w:rsidRPr="00300A72" w:rsidRDefault="00BC119F"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3176.3±10.4</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3F1A4295" w14:textId="77777777" w:rsidR="00BC119F" w:rsidRPr="00300A72" w:rsidRDefault="00BC119F"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lang w:val="en"/>
              </w:rPr>
              <w:t>1.7±0.01b</w:t>
            </w:r>
          </w:p>
        </w:tc>
        <w:tc>
          <w:tcPr>
            <w:tcW w:w="1396" w:type="dxa"/>
            <w:tcBorders>
              <w:top w:val="nil"/>
              <w:left w:val="nil"/>
              <w:bottom w:val="single" w:sz="8" w:space="0" w:color="auto"/>
              <w:right w:val="single" w:sz="8" w:space="0" w:color="auto"/>
            </w:tcBorders>
            <w:tcMar>
              <w:top w:w="0" w:type="dxa"/>
              <w:left w:w="108" w:type="dxa"/>
              <w:bottom w:w="0" w:type="dxa"/>
              <w:right w:w="108" w:type="dxa"/>
            </w:tcMar>
            <w:hideMark/>
          </w:tcPr>
          <w:p w14:paraId="66295027" w14:textId="77777777" w:rsidR="00BC119F" w:rsidRPr="00300A72" w:rsidRDefault="00BC119F"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lang w:val="en"/>
              </w:rPr>
              <w:t>2.85±0.33b</w:t>
            </w:r>
          </w:p>
        </w:tc>
      </w:tr>
      <w:tr w:rsidR="00BC119F" w:rsidRPr="00300A72" w14:paraId="26624E0F" w14:textId="77777777" w:rsidTr="00BC119F">
        <w:tc>
          <w:tcPr>
            <w:tcW w:w="17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D3DE44" w14:textId="77777777" w:rsidR="00BC119F" w:rsidRPr="00300A72" w:rsidRDefault="00BC119F"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lang w:val="en"/>
              </w:rPr>
              <w:t>100 mg/kg diet</w:t>
            </w:r>
          </w:p>
        </w:tc>
        <w:tc>
          <w:tcPr>
            <w:tcW w:w="1585" w:type="dxa"/>
            <w:tcBorders>
              <w:top w:val="nil"/>
              <w:left w:val="nil"/>
              <w:bottom w:val="single" w:sz="8" w:space="0" w:color="auto"/>
              <w:right w:val="single" w:sz="8" w:space="0" w:color="auto"/>
            </w:tcBorders>
            <w:tcMar>
              <w:top w:w="0" w:type="dxa"/>
              <w:left w:w="108" w:type="dxa"/>
              <w:bottom w:w="0" w:type="dxa"/>
              <w:right w:w="108" w:type="dxa"/>
            </w:tcMar>
            <w:hideMark/>
          </w:tcPr>
          <w:p w14:paraId="19633BC3" w14:textId="77777777" w:rsidR="00BC119F" w:rsidRPr="00300A72" w:rsidRDefault="00BC119F"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lang w:val="en"/>
              </w:rPr>
              <w:t>43.3± 0. 03a</w:t>
            </w:r>
          </w:p>
        </w:tc>
        <w:tc>
          <w:tcPr>
            <w:tcW w:w="1466" w:type="dxa"/>
            <w:tcBorders>
              <w:top w:val="nil"/>
              <w:left w:val="nil"/>
              <w:bottom w:val="single" w:sz="8" w:space="0" w:color="auto"/>
              <w:right w:val="single" w:sz="8" w:space="0" w:color="auto"/>
            </w:tcBorders>
            <w:tcMar>
              <w:top w:w="0" w:type="dxa"/>
              <w:left w:w="108" w:type="dxa"/>
              <w:bottom w:w="0" w:type="dxa"/>
              <w:right w:w="108" w:type="dxa"/>
            </w:tcMar>
            <w:hideMark/>
          </w:tcPr>
          <w:p w14:paraId="6B7C3A2F" w14:textId="77777777" w:rsidR="00BC119F" w:rsidRPr="00300A72" w:rsidRDefault="00BC119F"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lang w:val="en"/>
              </w:rPr>
              <w:t>2100.3± 0.04c</w:t>
            </w:r>
          </w:p>
        </w:tc>
        <w:tc>
          <w:tcPr>
            <w:tcW w:w="1655" w:type="dxa"/>
            <w:tcBorders>
              <w:top w:val="nil"/>
              <w:left w:val="nil"/>
              <w:bottom w:val="single" w:sz="8" w:space="0" w:color="auto"/>
              <w:right w:val="single" w:sz="8" w:space="0" w:color="auto"/>
            </w:tcBorders>
            <w:tcMar>
              <w:top w:w="0" w:type="dxa"/>
              <w:left w:w="108" w:type="dxa"/>
              <w:bottom w:w="0" w:type="dxa"/>
              <w:right w:w="108" w:type="dxa"/>
            </w:tcMar>
            <w:hideMark/>
          </w:tcPr>
          <w:p w14:paraId="215186E6" w14:textId="77777777" w:rsidR="00BC119F" w:rsidRPr="00300A72" w:rsidRDefault="00BC119F"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lang w:val="en"/>
              </w:rPr>
              <w:t>2057 ±11.5</w:t>
            </w:r>
            <w:r w:rsidRPr="00300A72">
              <w:rPr>
                <w:rFonts w:ascii="Times New Roman" w:eastAsia="Times New Roman" w:hAnsi="Times New Roman" w:cs="Times New Roman"/>
                <w:sz w:val="24"/>
                <w:szCs w:val="24"/>
                <w:rtl/>
                <w:lang w:val="en"/>
              </w:rPr>
              <w:t> </w:t>
            </w:r>
            <w:r w:rsidR="00F7788D" w:rsidRPr="00300A72">
              <w:rPr>
                <w:rFonts w:ascii="Times New Roman" w:eastAsia="Times New Roman" w:hAnsi="Times New Roman" w:cs="Times New Roman"/>
                <w:sz w:val="24"/>
                <w:szCs w:val="24"/>
                <w:rtl/>
                <w:lang w:val="en"/>
              </w:rPr>
              <w:t xml:space="preserve"> </w:t>
            </w:r>
          </w:p>
        </w:tc>
        <w:tc>
          <w:tcPr>
            <w:tcW w:w="1664" w:type="dxa"/>
            <w:tcBorders>
              <w:top w:val="nil"/>
              <w:left w:val="nil"/>
              <w:bottom w:val="single" w:sz="8" w:space="0" w:color="auto"/>
              <w:right w:val="single" w:sz="8" w:space="0" w:color="auto"/>
            </w:tcBorders>
            <w:tcMar>
              <w:top w:w="0" w:type="dxa"/>
              <w:left w:w="108" w:type="dxa"/>
              <w:bottom w:w="0" w:type="dxa"/>
              <w:right w:w="108" w:type="dxa"/>
            </w:tcMar>
            <w:hideMark/>
          </w:tcPr>
          <w:p w14:paraId="55452541" w14:textId="77777777" w:rsidR="00BC119F" w:rsidRPr="00300A72" w:rsidRDefault="00BC119F"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3165.7±10.3 b</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5FF86970" w14:textId="77777777" w:rsidR="00BC119F" w:rsidRPr="00300A72" w:rsidRDefault="00BC119F"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lang w:val="en"/>
              </w:rPr>
              <w:t>1.8±0.05b</w:t>
            </w:r>
          </w:p>
        </w:tc>
        <w:tc>
          <w:tcPr>
            <w:tcW w:w="1396" w:type="dxa"/>
            <w:tcBorders>
              <w:top w:val="nil"/>
              <w:left w:val="nil"/>
              <w:bottom w:val="single" w:sz="8" w:space="0" w:color="auto"/>
              <w:right w:val="single" w:sz="8" w:space="0" w:color="auto"/>
            </w:tcBorders>
            <w:tcMar>
              <w:top w:w="0" w:type="dxa"/>
              <w:left w:w="108" w:type="dxa"/>
              <w:bottom w:w="0" w:type="dxa"/>
              <w:right w:w="108" w:type="dxa"/>
            </w:tcMar>
            <w:hideMark/>
          </w:tcPr>
          <w:p w14:paraId="44FBFCB4" w14:textId="77777777" w:rsidR="00BC119F" w:rsidRPr="00300A72" w:rsidRDefault="00BC119F"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lang w:val="en"/>
              </w:rPr>
              <w:t>2.15±0.38c</w:t>
            </w:r>
          </w:p>
        </w:tc>
      </w:tr>
    </w:tbl>
    <w:p w14:paraId="7DAC9E67"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rPr>
        <w:t xml:space="preserve">The effects of the three concentrations of zinc oxide nanoparticles on feed consumption, body weight, final body weight, nutritional conversion rate, and mortality percentage over the course of the experiment (5 weeks) are shown in Table (2). The groups treated with zinc </w:t>
      </w:r>
      <w:proofErr w:type="spellStart"/>
      <w:r w:rsidRPr="00300A72">
        <w:rPr>
          <w:rFonts w:ascii="Times New Roman" w:eastAsia="Times New Roman" w:hAnsi="Times New Roman" w:cs="Times New Roman"/>
          <w:sz w:val="24"/>
          <w:szCs w:val="24"/>
        </w:rPr>
        <w:t>nanooxide</w:t>
      </w:r>
      <w:proofErr w:type="spellEnd"/>
      <w:r w:rsidRPr="00300A72">
        <w:rPr>
          <w:rFonts w:ascii="Times New Roman" w:eastAsia="Times New Roman" w:hAnsi="Times New Roman" w:cs="Times New Roman"/>
          <w:sz w:val="24"/>
          <w:szCs w:val="24"/>
        </w:rPr>
        <w:t xml:space="preserve"> (50, 75, and 100 mg/kg) showed a significant increase in body weight compared to the control group; the group treated with 100 mg/kg showed the most significant increase, while the groups treated with 50 and 75 mg/kg did not significantly differ from one another. </w:t>
      </w:r>
    </w:p>
    <w:p w14:paraId="72DFFF4D"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rPr>
        <w:t xml:space="preserve">" When compared to totals of 50 and 75 mg/kg at the level of P &lt;0.0001, it was discovered that the addition of 100 mg/kg increased body weight, decreased feed consumption, and decreased the percentage of mortality </w:t>
      </w:r>
      <w:proofErr w:type="spellStart"/>
      <w:r w:rsidRPr="00300A72">
        <w:rPr>
          <w:rFonts w:ascii="Times New Roman" w:eastAsia="Times New Roman" w:hAnsi="Times New Roman" w:cs="Times New Roman"/>
          <w:sz w:val="24"/>
          <w:szCs w:val="24"/>
        </w:rPr>
        <w:t>rats</w:t>
      </w:r>
      <w:proofErr w:type="spellEnd"/>
      <w:r w:rsidRPr="00300A72">
        <w:rPr>
          <w:rFonts w:ascii="Times New Roman" w:eastAsia="Times New Roman" w:hAnsi="Times New Roman" w:cs="Times New Roman"/>
          <w:sz w:val="24"/>
          <w:szCs w:val="24"/>
        </w:rPr>
        <w:t xml:space="preserve"> based on the various levels of zinc oxide nano. It also provided the best nutritional conversion rate.</w:t>
      </w:r>
    </w:p>
    <w:p w14:paraId="0E27B00A"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rPr>
      </w:pPr>
    </w:p>
    <w:p w14:paraId="6B2D9434" w14:textId="77777777" w:rsidR="00CC2927" w:rsidRPr="00300A72" w:rsidRDefault="00CC2927" w:rsidP="00300A72">
      <w:pPr>
        <w:bidi w:val="0"/>
        <w:spacing w:line="235" w:lineRule="atLeast"/>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Table (3): the effect of ZONPS on </w:t>
      </w:r>
      <w:r w:rsidRPr="00300A72">
        <w:rPr>
          <w:rFonts w:ascii="Times New Roman" w:eastAsia="Times New Roman" w:hAnsi="Times New Roman" w:cs="Times New Roman"/>
          <w:b/>
          <w:bCs/>
          <w:color w:val="000000"/>
          <w:sz w:val="24"/>
          <w:szCs w:val="24"/>
          <w:lang w:val="en"/>
        </w:rPr>
        <w:t>Plasm indicators </w:t>
      </w:r>
      <w:r w:rsidRPr="00300A72">
        <w:rPr>
          <w:rFonts w:ascii="Times New Roman" w:eastAsia="Times New Roman" w:hAnsi="Times New Roman" w:cs="Times New Roman"/>
          <w:color w:val="000000"/>
          <w:sz w:val="24"/>
          <w:szCs w:val="24"/>
          <w:lang w:val="en"/>
        </w:rPr>
        <w:t>(main </w:t>
      </w:r>
      <w:r w:rsidRPr="00300A72">
        <w:rPr>
          <w:rFonts w:ascii="Times New Roman" w:eastAsia="Times New Roman" w:hAnsi="Times New Roman" w:cs="Times New Roman"/>
          <w:color w:val="000000"/>
          <w:sz w:val="24"/>
          <w:szCs w:val="24"/>
        </w:rPr>
        <w:t>±</w:t>
      </w:r>
      <w:r w:rsidRPr="00300A72">
        <w:rPr>
          <w:rFonts w:ascii="Times New Roman" w:eastAsia="Times New Roman" w:hAnsi="Times New Roman" w:cs="Times New Roman"/>
          <w:color w:val="000000"/>
          <w:sz w:val="24"/>
          <w:szCs w:val="24"/>
          <w:lang w:val="en"/>
        </w:rPr>
        <w:t> SD)</w:t>
      </w:r>
    </w:p>
    <w:p w14:paraId="4F6584BE" w14:textId="77777777" w:rsidR="00CC2927" w:rsidRPr="00300A72" w:rsidRDefault="00CC2927" w:rsidP="00300A72">
      <w:pPr>
        <w:bidi w:val="0"/>
        <w:spacing w:line="235" w:lineRule="atLeast"/>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rPr>
        <w:t> </w:t>
      </w:r>
    </w:p>
    <w:p w14:paraId="09AF38FC" w14:textId="77777777" w:rsidR="00CC2927" w:rsidRPr="00300A72" w:rsidRDefault="00CC2927" w:rsidP="00300A72">
      <w:pPr>
        <w:bidi w:val="0"/>
        <w:spacing w:line="235" w:lineRule="atLeast"/>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rPr>
        <w:t> </w:t>
      </w:r>
    </w:p>
    <w:tbl>
      <w:tblPr>
        <w:tblW w:w="10710" w:type="dxa"/>
        <w:tblInd w:w="-725" w:type="dxa"/>
        <w:tblCellMar>
          <w:left w:w="0" w:type="dxa"/>
          <w:right w:w="0" w:type="dxa"/>
        </w:tblCellMar>
        <w:tblLook w:val="04A0" w:firstRow="1" w:lastRow="0" w:firstColumn="1" w:lastColumn="0" w:noHBand="0" w:noVBand="1"/>
      </w:tblPr>
      <w:tblGrid>
        <w:gridCol w:w="1216"/>
        <w:gridCol w:w="804"/>
        <w:gridCol w:w="995"/>
        <w:gridCol w:w="925"/>
        <w:gridCol w:w="876"/>
        <w:gridCol w:w="881"/>
        <w:gridCol w:w="850"/>
        <w:gridCol w:w="815"/>
        <w:gridCol w:w="900"/>
        <w:gridCol w:w="1020"/>
        <w:gridCol w:w="1428"/>
      </w:tblGrid>
      <w:tr w:rsidR="00CC2927" w:rsidRPr="00300A72" w14:paraId="70199398" w14:textId="77777777" w:rsidTr="006D2981">
        <w:tc>
          <w:tcPr>
            <w:tcW w:w="12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C0FEAE"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lang w:val="en"/>
              </w:rPr>
              <w:t>treatments</w:t>
            </w:r>
          </w:p>
        </w:tc>
        <w:tc>
          <w:tcPr>
            <w:tcW w:w="8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27623D"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rPr>
            </w:pPr>
            <w:proofErr w:type="gramStart"/>
            <w:r w:rsidRPr="00300A72">
              <w:rPr>
                <w:rFonts w:ascii="Times New Roman" w:eastAsia="Times New Roman" w:hAnsi="Times New Roman" w:cs="Times New Roman"/>
                <w:sz w:val="24"/>
                <w:szCs w:val="24"/>
                <w:lang w:val="en"/>
              </w:rPr>
              <w:t>T.P</w:t>
            </w:r>
            <w:proofErr w:type="gramEnd"/>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4DDD1C"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lang w:val="en"/>
              </w:rPr>
              <w:t>GL</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2150E8"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rPr>
            </w:pPr>
            <w:proofErr w:type="gramStart"/>
            <w:r w:rsidRPr="00300A72">
              <w:rPr>
                <w:rFonts w:ascii="Times New Roman" w:eastAsia="Times New Roman" w:hAnsi="Times New Roman" w:cs="Times New Roman"/>
                <w:sz w:val="24"/>
                <w:szCs w:val="24"/>
                <w:lang w:val="en"/>
              </w:rPr>
              <w:t>T.Ch</w:t>
            </w:r>
            <w:proofErr w:type="gramEnd"/>
          </w:p>
        </w:tc>
        <w:tc>
          <w:tcPr>
            <w:tcW w:w="8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BABB0F"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rPr>
            </w:pPr>
            <w:proofErr w:type="gramStart"/>
            <w:r w:rsidRPr="00300A72">
              <w:rPr>
                <w:rFonts w:ascii="Times New Roman" w:eastAsia="Times New Roman" w:hAnsi="Times New Roman" w:cs="Times New Roman"/>
                <w:sz w:val="24"/>
                <w:szCs w:val="24"/>
                <w:lang w:val="en"/>
              </w:rPr>
              <w:t>T.G</w:t>
            </w:r>
            <w:proofErr w:type="gramEnd"/>
          </w:p>
        </w:tc>
        <w:tc>
          <w:tcPr>
            <w:tcW w:w="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B442EF"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lang w:val="en"/>
              </w:rPr>
              <w:t>HDL</w:t>
            </w:r>
          </w:p>
          <w:p w14:paraId="0AC09152"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lang w:val="en"/>
              </w:rPr>
              <w:t>Mg/dl</w:t>
            </w:r>
          </w:p>
        </w:tc>
        <w:tc>
          <w:tcPr>
            <w:tcW w:w="9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90A4BB"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lang w:val="en"/>
              </w:rPr>
              <w:t>LDL</w:t>
            </w:r>
          </w:p>
          <w:p w14:paraId="314B2FD1"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lang w:val="en"/>
              </w:rPr>
              <w:t>Mg/dl</w:t>
            </w:r>
          </w:p>
        </w:tc>
        <w:tc>
          <w:tcPr>
            <w:tcW w:w="8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10248A"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b/>
                <w:bCs/>
                <w:color w:val="000000"/>
                <w:sz w:val="24"/>
                <w:szCs w:val="24"/>
                <w:lang w:val="en"/>
              </w:rPr>
              <w:t>AST</w:t>
            </w:r>
          </w:p>
          <w:p w14:paraId="15AA318D"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rPr>
              <w:t> </w:t>
            </w:r>
          </w:p>
        </w:tc>
        <w:tc>
          <w:tcPr>
            <w:tcW w:w="9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A2864D"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lang w:val="en"/>
              </w:rPr>
              <w:t>ALT</w:t>
            </w:r>
          </w:p>
        </w:tc>
        <w:tc>
          <w:tcPr>
            <w:tcW w:w="10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D2AB1D"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lang w:val="en"/>
              </w:rPr>
              <w:t>Cr</w:t>
            </w:r>
          </w:p>
        </w:tc>
        <w:tc>
          <w:tcPr>
            <w:tcW w:w="11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9365FD"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lang w:val="en"/>
              </w:rPr>
              <w:t>U.A.</w:t>
            </w:r>
          </w:p>
        </w:tc>
      </w:tr>
      <w:tr w:rsidR="00CC2927" w:rsidRPr="00300A72" w14:paraId="663E86CB" w14:textId="77777777" w:rsidTr="006D2981">
        <w:trPr>
          <w:trHeight w:val="719"/>
        </w:trPr>
        <w:tc>
          <w:tcPr>
            <w:tcW w:w="12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0247EC"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lang w:val="en"/>
              </w:rPr>
              <w:t>Control</w:t>
            </w:r>
          </w:p>
        </w:tc>
        <w:tc>
          <w:tcPr>
            <w:tcW w:w="854" w:type="dxa"/>
            <w:tcBorders>
              <w:top w:val="nil"/>
              <w:left w:val="nil"/>
              <w:bottom w:val="single" w:sz="8" w:space="0" w:color="auto"/>
              <w:right w:val="single" w:sz="8" w:space="0" w:color="auto"/>
            </w:tcBorders>
            <w:tcMar>
              <w:top w:w="0" w:type="dxa"/>
              <w:left w:w="108" w:type="dxa"/>
              <w:bottom w:w="0" w:type="dxa"/>
              <w:right w:w="108" w:type="dxa"/>
            </w:tcMar>
            <w:hideMark/>
          </w:tcPr>
          <w:p w14:paraId="6204FD9F"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6.94 ±0.09</w:t>
            </w:r>
          </w:p>
          <w:p w14:paraId="01512BE8"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4DC28AD6"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2.61</w:t>
            </w:r>
          </w:p>
          <w:p w14:paraId="3DF9D27C"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±0.04a</w:t>
            </w:r>
            <w:r w:rsidRPr="00300A72">
              <w:rPr>
                <w:rFonts w:ascii="Times New Roman" w:eastAsia="Times New Roman" w:hAnsi="Times New Roman" w:cs="Times New Roman"/>
                <w:color w:val="000000"/>
                <w:sz w:val="24"/>
                <w:szCs w:val="24"/>
                <w:rtl/>
              </w:rPr>
              <w:t>  </w:t>
            </w:r>
          </w:p>
          <w:p w14:paraId="0DA70637"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4ADE3D12"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162.6</w:t>
            </w:r>
          </w:p>
          <w:p w14:paraId="0C53B357"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±3.18a</w:t>
            </w:r>
          </w:p>
          <w:p w14:paraId="46624170"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rPr>
              <w:t> </w:t>
            </w:r>
          </w:p>
        </w:tc>
        <w:tc>
          <w:tcPr>
            <w:tcW w:w="834" w:type="dxa"/>
            <w:tcBorders>
              <w:top w:val="nil"/>
              <w:left w:val="nil"/>
              <w:bottom w:val="single" w:sz="8" w:space="0" w:color="auto"/>
              <w:right w:val="single" w:sz="8" w:space="0" w:color="auto"/>
            </w:tcBorders>
            <w:tcMar>
              <w:top w:w="0" w:type="dxa"/>
              <w:left w:w="108" w:type="dxa"/>
              <w:bottom w:w="0" w:type="dxa"/>
              <w:right w:w="108" w:type="dxa"/>
            </w:tcMar>
            <w:hideMark/>
          </w:tcPr>
          <w:p w14:paraId="726638C2"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107.30</w:t>
            </w:r>
          </w:p>
          <w:p w14:paraId="29716E31"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±2.14</w:t>
            </w:r>
          </w:p>
          <w:p w14:paraId="4B8484D5"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rPr>
              <w:t> </w:t>
            </w:r>
          </w:p>
        </w:tc>
        <w:tc>
          <w:tcPr>
            <w:tcW w:w="985" w:type="dxa"/>
            <w:tcBorders>
              <w:top w:val="nil"/>
              <w:left w:val="nil"/>
              <w:bottom w:val="single" w:sz="8" w:space="0" w:color="auto"/>
              <w:right w:val="single" w:sz="8" w:space="0" w:color="auto"/>
            </w:tcBorders>
            <w:tcMar>
              <w:top w:w="0" w:type="dxa"/>
              <w:left w:w="108" w:type="dxa"/>
              <w:bottom w:w="0" w:type="dxa"/>
              <w:right w:w="108" w:type="dxa"/>
            </w:tcMar>
            <w:hideMark/>
          </w:tcPr>
          <w:p w14:paraId="04200003"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90.8 ±2.1 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14:paraId="06E457D6"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lang w:val="en"/>
              </w:rPr>
              <w:t>45.7 ±2.4</w:t>
            </w:r>
            <w:r w:rsidRPr="00300A72">
              <w:rPr>
                <w:rFonts w:ascii="Times New Roman" w:eastAsia="Times New Roman" w:hAnsi="Times New Roman" w:cs="Times New Roman"/>
                <w:sz w:val="24"/>
                <w:szCs w:val="24"/>
              </w:rPr>
              <w:t>a</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14:paraId="2E993A49"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28.26</w:t>
            </w:r>
          </w:p>
          <w:p w14:paraId="3CDFF612"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±0.30 a</w:t>
            </w:r>
          </w:p>
          <w:p w14:paraId="4F8F56C0"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rPr>
              <w:t> </w:t>
            </w:r>
          </w:p>
        </w:tc>
        <w:tc>
          <w:tcPr>
            <w:tcW w:w="915" w:type="dxa"/>
            <w:tcBorders>
              <w:top w:val="nil"/>
              <w:left w:val="nil"/>
              <w:bottom w:val="single" w:sz="8" w:space="0" w:color="auto"/>
              <w:right w:val="single" w:sz="8" w:space="0" w:color="auto"/>
            </w:tcBorders>
            <w:tcMar>
              <w:top w:w="0" w:type="dxa"/>
              <w:left w:w="108" w:type="dxa"/>
              <w:bottom w:w="0" w:type="dxa"/>
              <w:right w:w="108" w:type="dxa"/>
            </w:tcMar>
            <w:hideMark/>
          </w:tcPr>
          <w:p w14:paraId="2325A587"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18.85</w:t>
            </w:r>
          </w:p>
          <w:p w14:paraId="2ACCC112"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±0.16a</w:t>
            </w:r>
          </w:p>
          <w:p w14:paraId="649CC1FA"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rPr>
              <w:t> </w:t>
            </w:r>
          </w:p>
          <w:p w14:paraId="10EF996B"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rPr>
              <w:t> </w:t>
            </w:r>
          </w:p>
        </w:tc>
        <w:tc>
          <w:tcPr>
            <w:tcW w:w="1053" w:type="dxa"/>
            <w:tcBorders>
              <w:top w:val="nil"/>
              <w:left w:val="nil"/>
              <w:bottom w:val="single" w:sz="8" w:space="0" w:color="auto"/>
              <w:right w:val="single" w:sz="8" w:space="0" w:color="auto"/>
            </w:tcBorders>
            <w:tcMar>
              <w:top w:w="0" w:type="dxa"/>
              <w:left w:w="108" w:type="dxa"/>
              <w:bottom w:w="0" w:type="dxa"/>
              <w:right w:w="108" w:type="dxa"/>
            </w:tcMar>
            <w:hideMark/>
          </w:tcPr>
          <w:p w14:paraId="474B21BD"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0.78 ±0.01</w:t>
            </w:r>
            <w:r w:rsidRPr="00300A72">
              <w:rPr>
                <w:rFonts w:ascii="Times New Roman" w:eastAsia="Times New Roman" w:hAnsi="Times New Roman" w:cs="Times New Roman"/>
                <w:color w:val="000000"/>
                <w:sz w:val="24"/>
                <w:szCs w:val="24"/>
              </w:rPr>
              <w:t>a</w:t>
            </w:r>
          </w:p>
          <w:p w14:paraId="5E3886A4"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rPr>
              <w:t> </w:t>
            </w:r>
          </w:p>
          <w:p w14:paraId="4ECEB114"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rPr>
              <w:t> </w:t>
            </w:r>
          </w:p>
        </w:tc>
        <w:tc>
          <w:tcPr>
            <w:tcW w:w="1169" w:type="dxa"/>
            <w:tcBorders>
              <w:top w:val="nil"/>
              <w:left w:val="nil"/>
              <w:bottom w:val="single" w:sz="8" w:space="0" w:color="auto"/>
              <w:right w:val="single" w:sz="8" w:space="0" w:color="auto"/>
            </w:tcBorders>
            <w:tcMar>
              <w:top w:w="0" w:type="dxa"/>
              <w:left w:w="108" w:type="dxa"/>
              <w:bottom w:w="0" w:type="dxa"/>
              <w:right w:w="108" w:type="dxa"/>
            </w:tcMar>
            <w:hideMark/>
          </w:tcPr>
          <w:p w14:paraId="668400B2"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18.12 ± 0.32</w:t>
            </w:r>
            <w:r w:rsidRPr="00300A72">
              <w:rPr>
                <w:rFonts w:ascii="Times New Roman" w:eastAsia="Times New Roman" w:hAnsi="Times New Roman" w:cs="Times New Roman"/>
                <w:color w:val="000000"/>
                <w:sz w:val="24"/>
                <w:szCs w:val="24"/>
              </w:rPr>
              <w:t>a</w:t>
            </w:r>
          </w:p>
          <w:p w14:paraId="0D8BF348"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rPr>
              <w:t> </w:t>
            </w:r>
          </w:p>
          <w:p w14:paraId="5EDB29A5"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rPr>
              <w:t> </w:t>
            </w:r>
          </w:p>
        </w:tc>
      </w:tr>
      <w:tr w:rsidR="00CC2927" w:rsidRPr="00300A72" w14:paraId="0E71729A" w14:textId="77777777" w:rsidTr="006D2981">
        <w:tc>
          <w:tcPr>
            <w:tcW w:w="12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861898"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lang w:val="en"/>
              </w:rPr>
              <w:t>50</w:t>
            </w:r>
          </w:p>
          <w:p w14:paraId="12B8034E"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lang w:val="en"/>
              </w:rPr>
              <w:t>mg/kg diet</w:t>
            </w:r>
          </w:p>
        </w:tc>
        <w:tc>
          <w:tcPr>
            <w:tcW w:w="854" w:type="dxa"/>
            <w:tcBorders>
              <w:top w:val="nil"/>
              <w:left w:val="nil"/>
              <w:bottom w:val="single" w:sz="8" w:space="0" w:color="auto"/>
              <w:right w:val="single" w:sz="8" w:space="0" w:color="auto"/>
            </w:tcBorders>
            <w:tcMar>
              <w:top w:w="0" w:type="dxa"/>
              <w:left w:w="108" w:type="dxa"/>
              <w:bottom w:w="0" w:type="dxa"/>
              <w:right w:w="108" w:type="dxa"/>
            </w:tcMar>
            <w:hideMark/>
          </w:tcPr>
          <w:p w14:paraId="61D32BEB"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7.65</w:t>
            </w:r>
          </w:p>
          <w:p w14:paraId="1B8AE13B"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±0.06</w:t>
            </w:r>
          </w:p>
          <w:p w14:paraId="4474F8A0"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04C88798"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2.78</w:t>
            </w:r>
          </w:p>
          <w:p w14:paraId="05104228"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±0.05 A</w:t>
            </w:r>
          </w:p>
          <w:p w14:paraId="5E6F60B5"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7A038D85"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156.3</w:t>
            </w:r>
          </w:p>
          <w:p w14:paraId="3C3E101D"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±3.09 A</w:t>
            </w:r>
          </w:p>
          <w:p w14:paraId="1DF8BA61"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rPr>
              <w:t> </w:t>
            </w:r>
          </w:p>
        </w:tc>
        <w:tc>
          <w:tcPr>
            <w:tcW w:w="834" w:type="dxa"/>
            <w:tcBorders>
              <w:top w:val="nil"/>
              <w:left w:val="nil"/>
              <w:bottom w:val="single" w:sz="8" w:space="0" w:color="auto"/>
              <w:right w:val="single" w:sz="8" w:space="0" w:color="auto"/>
            </w:tcBorders>
            <w:tcMar>
              <w:top w:w="0" w:type="dxa"/>
              <w:left w:w="108" w:type="dxa"/>
              <w:bottom w:w="0" w:type="dxa"/>
              <w:right w:w="108" w:type="dxa"/>
            </w:tcMar>
            <w:hideMark/>
          </w:tcPr>
          <w:p w14:paraId="5444F462"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102.50</w:t>
            </w:r>
          </w:p>
          <w:p w14:paraId="37DF7F4B"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±2.44</w:t>
            </w:r>
          </w:p>
          <w:p w14:paraId="365DB198"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rPr>
              <w:t> </w:t>
            </w:r>
          </w:p>
        </w:tc>
        <w:tc>
          <w:tcPr>
            <w:tcW w:w="985" w:type="dxa"/>
            <w:tcBorders>
              <w:top w:val="nil"/>
              <w:left w:val="nil"/>
              <w:bottom w:val="single" w:sz="8" w:space="0" w:color="auto"/>
              <w:right w:val="single" w:sz="8" w:space="0" w:color="auto"/>
            </w:tcBorders>
            <w:tcMar>
              <w:top w:w="0" w:type="dxa"/>
              <w:left w:w="108" w:type="dxa"/>
              <w:bottom w:w="0" w:type="dxa"/>
              <w:right w:w="108" w:type="dxa"/>
            </w:tcMar>
            <w:hideMark/>
          </w:tcPr>
          <w:p w14:paraId="59F4D91F"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78.6 ±1.9 b</w:t>
            </w:r>
          </w:p>
          <w:p w14:paraId="1D5BCD6B"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rPr>
              <w:t> </w:t>
            </w:r>
          </w:p>
          <w:p w14:paraId="3BC5EC03"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rPr>
              <w:t> </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14:paraId="417DA891"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lang w:val="en"/>
              </w:rPr>
              <w:t>39.4 ±1.6</w:t>
            </w:r>
            <w:r w:rsidRPr="00300A72">
              <w:rPr>
                <w:rFonts w:ascii="Times New Roman" w:eastAsia="Times New Roman" w:hAnsi="Times New Roman" w:cs="Times New Roman"/>
                <w:sz w:val="24"/>
                <w:szCs w:val="24"/>
              </w:rPr>
              <w:t>a</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14:paraId="02001340"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26.42</w:t>
            </w:r>
          </w:p>
          <w:p w14:paraId="4372414F"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±0.31 a</w:t>
            </w:r>
          </w:p>
          <w:p w14:paraId="3751300F"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rPr>
              <w:t> </w:t>
            </w:r>
          </w:p>
        </w:tc>
        <w:tc>
          <w:tcPr>
            <w:tcW w:w="915" w:type="dxa"/>
            <w:tcBorders>
              <w:top w:val="nil"/>
              <w:left w:val="nil"/>
              <w:bottom w:val="single" w:sz="8" w:space="0" w:color="auto"/>
              <w:right w:val="single" w:sz="8" w:space="0" w:color="auto"/>
            </w:tcBorders>
            <w:tcMar>
              <w:top w:w="0" w:type="dxa"/>
              <w:left w:w="108" w:type="dxa"/>
              <w:bottom w:w="0" w:type="dxa"/>
              <w:right w:w="108" w:type="dxa"/>
            </w:tcMar>
            <w:hideMark/>
          </w:tcPr>
          <w:p w14:paraId="615FDA27"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16.72</w:t>
            </w:r>
          </w:p>
          <w:p w14:paraId="1824671E"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±0.15 a</w:t>
            </w:r>
          </w:p>
          <w:p w14:paraId="35F0889A"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rPr>
              <w:t> </w:t>
            </w:r>
          </w:p>
          <w:p w14:paraId="6B515302"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rPr>
              <w:lastRenderedPageBreak/>
              <w:t> </w:t>
            </w:r>
          </w:p>
        </w:tc>
        <w:tc>
          <w:tcPr>
            <w:tcW w:w="1053" w:type="dxa"/>
            <w:tcBorders>
              <w:top w:val="nil"/>
              <w:left w:val="nil"/>
              <w:bottom w:val="single" w:sz="8" w:space="0" w:color="auto"/>
              <w:right w:val="single" w:sz="8" w:space="0" w:color="auto"/>
            </w:tcBorders>
            <w:tcMar>
              <w:top w:w="0" w:type="dxa"/>
              <w:left w:w="108" w:type="dxa"/>
              <w:bottom w:w="0" w:type="dxa"/>
              <w:right w:w="108" w:type="dxa"/>
            </w:tcMar>
            <w:hideMark/>
          </w:tcPr>
          <w:p w14:paraId="2953786E"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lastRenderedPageBreak/>
              <w:t>0.74</w:t>
            </w:r>
          </w:p>
          <w:p w14:paraId="32E29BD9"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±0.05a</w:t>
            </w:r>
          </w:p>
          <w:p w14:paraId="4253EF77"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rPr>
              <w:t> </w:t>
            </w:r>
          </w:p>
          <w:p w14:paraId="2D6473E8"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rPr>
              <w:t> </w:t>
            </w:r>
          </w:p>
        </w:tc>
        <w:tc>
          <w:tcPr>
            <w:tcW w:w="1169" w:type="dxa"/>
            <w:tcBorders>
              <w:top w:val="nil"/>
              <w:left w:val="nil"/>
              <w:bottom w:val="single" w:sz="8" w:space="0" w:color="auto"/>
              <w:right w:val="single" w:sz="8" w:space="0" w:color="auto"/>
            </w:tcBorders>
            <w:tcMar>
              <w:top w:w="0" w:type="dxa"/>
              <w:left w:w="108" w:type="dxa"/>
              <w:bottom w:w="0" w:type="dxa"/>
              <w:right w:w="108" w:type="dxa"/>
            </w:tcMar>
            <w:hideMark/>
          </w:tcPr>
          <w:p w14:paraId="6D0B4C57"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17.19±0.32a</w:t>
            </w:r>
          </w:p>
        </w:tc>
      </w:tr>
      <w:tr w:rsidR="00CC2927" w:rsidRPr="00300A72" w14:paraId="628928BC" w14:textId="77777777" w:rsidTr="006D2981">
        <w:tc>
          <w:tcPr>
            <w:tcW w:w="12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A771A2"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lang w:val="en"/>
              </w:rPr>
              <w:t>75</w:t>
            </w:r>
          </w:p>
          <w:p w14:paraId="52D99755"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lang w:val="en"/>
              </w:rPr>
              <w:t>mg/kg diet</w:t>
            </w:r>
          </w:p>
        </w:tc>
        <w:tc>
          <w:tcPr>
            <w:tcW w:w="854" w:type="dxa"/>
            <w:tcBorders>
              <w:top w:val="nil"/>
              <w:left w:val="nil"/>
              <w:bottom w:val="single" w:sz="8" w:space="0" w:color="auto"/>
              <w:right w:val="single" w:sz="8" w:space="0" w:color="auto"/>
            </w:tcBorders>
            <w:tcMar>
              <w:top w:w="0" w:type="dxa"/>
              <w:left w:w="108" w:type="dxa"/>
              <w:bottom w:w="0" w:type="dxa"/>
              <w:right w:w="108" w:type="dxa"/>
            </w:tcMar>
            <w:hideMark/>
          </w:tcPr>
          <w:p w14:paraId="473ED685"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7.56</w:t>
            </w:r>
          </w:p>
          <w:p w14:paraId="26A26336"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±0.05</w:t>
            </w:r>
          </w:p>
          <w:p w14:paraId="696D69FC"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286B0249"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3.0</w:t>
            </w:r>
          </w:p>
          <w:p w14:paraId="4A360A8D"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±0.07 b</w:t>
            </w:r>
          </w:p>
          <w:p w14:paraId="72302A59"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13B38F49"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144.6</w:t>
            </w:r>
          </w:p>
          <w:p w14:paraId="510241BF"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±2.98 b</w:t>
            </w:r>
          </w:p>
          <w:p w14:paraId="31CBAF0D"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rPr>
              <w:t> </w:t>
            </w:r>
          </w:p>
        </w:tc>
        <w:tc>
          <w:tcPr>
            <w:tcW w:w="834" w:type="dxa"/>
            <w:tcBorders>
              <w:top w:val="nil"/>
              <w:left w:val="nil"/>
              <w:bottom w:val="single" w:sz="8" w:space="0" w:color="auto"/>
              <w:right w:val="single" w:sz="8" w:space="0" w:color="auto"/>
            </w:tcBorders>
            <w:tcMar>
              <w:top w:w="0" w:type="dxa"/>
              <w:left w:w="108" w:type="dxa"/>
              <w:bottom w:w="0" w:type="dxa"/>
              <w:right w:w="108" w:type="dxa"/>
            </w:tcMar>
            <w:hideMark/>
          </w:tcPr>
          <w:p w14:paraId="40E2FADC"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96.33</w:t>
            </w:r>
          </w:p>
          <w:p w14:paraId="336B7573"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±1.22</w:t>
            </w:r>
          </w:p>
          <w:p w14:paraId="4A7717C8"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rPr>
              <w:t> </w:t>
            </w:r>
          </w:p>
        </w:tc>
        <w:tc>
          <w:tcPr>
            <w:tcW w:w="985" w:type="dxa"/>
            <w:tcBorders>
              <w:top w:val="nil"/>
              <w:left w:val="nil"/>
              <w:bottom w:val="single" w:sz="8" w:space="0" w:color="auto"/>
              <w:right w:val="single" w:sz="8" w:space="0" w:color="auto"/>
            </w:tcBorders>
            <w:tcMar>
              <w:top w:w="0" w:type="dxa"/>
              <w:left w:w="108" w:type="dxa"/>
              <w:bottom w:w="0" w:type="dxa"/>
              <w:right w:w="108" w:type="dxa"/>
            </w:tcMar>
            <w:hideMark/>
          </w:tcPr>
          <w:p w14:paraId="6666B4CC"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81.9 ±2.0 c</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14:paraId="213E72DD"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lang w:val="en"/>
              </w:rPr>
              <w:t>37.6 ±1.8</w:t>
            </w:r>
            <w:r w:rsidRPr="00300A72">
              <w:rPr>
                <w:rFonts w:ascii="Times New Roman" w:eastAsia="Times New Roman" w:hAnsi="Times New Roman" w:cs="Times New Roman"/>
                <w:sz w:val="24"/>
                <w:szCs w:val="24"/>
              </w:rPr>
              <w:t>b</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14:paraId="5A1EAF41"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23.54</w:t>
            </w:r>
          </w:p>
          <w:p w14:paraId="09A22765"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±0.23 b</w:t>
            </w:r>
          </w:p>
          <w:p w14:paraId="419A23A7"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rPr>
              <w:t> </w:t>
            </w:r>
          </w:p>
        </w:tc>
        <w:tc>
          <w:tcPr>
            <w:tcW w:w="915" w:type="dxa"/>
            <w:tcBorders>
              <w:top w:val="nil"/>
              <w:left w:val="nil"/>
              <w:bottom w:val="single" w:sz="8" w:space="0" w:color="auto"/>
              <w:right w:val="single" w:sz="8" w:space="0" w:color="auto"/>
            </w:tcBorders>
            <w:tcMar>
              <w:top w:w="0" w:type="dxa"/>
              <w:left w:w="108" w:type="dxa"/>
              <w:bottom w:w="0" w:type="dxa"/>
              <w:right w:w="108" w:type="dxa"/>
            </w:tcMar>
            <w:hideMark/>
          </w:tcPr>
          <w:p w14:paraId="3C5ED18B"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17.80</w:t>
            </w:r>
          </w:p>
          <w:p w14:paraId="4025FFC5"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±0.13b</w:t>
            </w:r>
          </w:p>
          <w:p w14:paraId="74536B0D"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rPr>
              <w:t> </w:t>
            </w:r>
          </w:p>
          <w:p w14:paraId="7D7A3EC8"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rPr>
              <w:t> </w:t>
            </w:r>
          </w:p>
        </w:tc>
        <w:tc>
          <w:tcPr>
            <w:tcW w:w="1053" w:type="dxa"/>
            <w:tcBorders>
              <w:top w:val="nil"/>
              <w:left w:val="nil"/>
              <w:bottom w:val="single" w:sz="8" w:space="0" w:color="auto"/>
              <w:right w:val="single" w:sz="8" w:space="0" w:color="auto"/>
            </w:tcBorders>
            <w:tcMar>
              <w:top w:w="0" w:type="dxa"/>
              <w:left w:w="108" w:type="dxa"/>
              <w:bottom w:w="0" w:type="dxa"/>
              <w:right w:w="108" w:type="dxa"/>
            </w:tcMar>
            <w:hideMark/>
          </w:tcPr>
          <w:p w14:paraId="67FC2C09"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0.73</w:t>
            </w:r>
          </w:p>
          <w:p w14:paraId="518274FF"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±0.036a</w:t>
            </w:r>
          </w:p>
          <w:p w14:paraId="129C278E"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rPr>
              <w:t> </w:t>
            </w:r>
          </w:p>
          <w:p w14:paraId="2790C8A6"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rPr>
              <w:t> </w:t>
            </w:r>
          </w:p>
        </w:tc>
        <w:tc>
          <w:tcPr>
            <w:tcW w:w="1169" w:type="dxa"/>
            <w:tcBorders>
              <w:top w:val="nil"/>
              <w:left w:val="nil"/>
              <w:bottom w:val="single" w:sz="8" w:space="0" w:color="auto"/>
              <w:right w:val="single" w:sz="8" w:space="0" w:color="auto"/>
            </w:tcBorders>
            <w:tcMar>
              <w:top w:w="0" w:type="dxa"/>
              <w:left w:w="108" w:type="dxa"/>
              <w:bottom w:w="0" w:type="dxa"/>
              <w:right w:w="108" w:type="dxa"/>
            </w:tcMar>
            <w:hideMark/>
          </w:tcPr>
          <w:p w14:paraId="66D07324"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17.13±0.32</w:t>
            </w:r>
            <w:r w:rsidRPr="00300A72">
              <w:rPr>
                <w:rFonts w:ascii="Times New Roman" w:eastAsia="Times New Roman" w:hAnsi="Times New Roman" w:cs="Times New Roman"/>
                <w:color w:val="000000"/>
                <w:sz w:val="24"/>
                <w:szCs w:val="24"/>
              </w:rPr>
              <w:t>a</w:t>
            </w:r>
          </w:p>
        </w:tc>
      </w:tr>
      <w:tr w:rsidR="00CC2927" w:rsidRPr="00300A72" w14:paraId="4755AFC9" w14:textId="77777777" w:rsidTr="006D2981">
        <w:tc>
          <w:tcPr>
            <w:tcW w:w="12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D76B41"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lang w:val="en"/>
              </w:rPr>
              <w:t>100 mg/kg diet</w:t>
            </w:r>
          </w:p>
        </w:tc>
        <w:tc>
          <w:tcPr>
            <w:tcW w:w="854" w:type="dxa"/>
            <w:tcBorders>
              <w:top w:val="nil"/>
              <w:left w:val="nil"/>
              <w:bottom w:val="single" w:sz="8" w:space="0" w:color="auto"/>
              <w:right w:val="single" w:sz="8" w:space="0" w:color="auto"/>
            </w:tcBorders>
            <w:tcMar>
              <w:top w:w="0" w:type="dxa"/>
              <w:left w:w="108" w:type="dxa"/>
              <w:bottom w:w="0" w:type="dxa"/>
              <w:right w:w="108" w:type="dxa"/>
            </w:tcMar>
            <w:hideMark/>
          </w:tcPr>
          <w:p w14:paraId="610DB256"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7.24</w:t>
            </w:r>
          </w:p>
          <w:p w14:paraId="6B0D708E"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±0.08</w:t>
            </w:r>
          </w:p>
          <w:p w14:paraId="6ECDD213"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5AE243D9"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3.11</w:t>
            </w:r>
          </w:p>
          <w:p w14:paraId="702B2884"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±0.08 b</w:t>
            </w:r>
          </w:p>
          <w:p w14:paraId="71CA3204"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433237B7"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135.4</w:t>
            </w:r>
          </w:p>
          <w:p w14:paraId="01D8F4FF"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±3.11 b</w:t>
            </w:r>
          </w:p>
          <w:p w14:paraId="6D71D07C"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rPr>
              <w:t> </w:t>
            </w:r>
          </w:p>
        </w:tc>
        <w:tc>
          <w:tcPr>
            <w:tcW w:w="834" w:type="dxa"/>
            <w:tcBorders>
              <w:top w:val="nil"/>
              <w:left w:val="nil"/>
              <w:bottom w:val="single" w:sz="8" w:space="0" w:color="auto"/>
              <w:right w:val="single" w:sz="8" w:space="0" w:color="auto"/>
            </w:tcBorders>
            <w:tcMar>
              <w:top w:w="0" w:type="dxa"/>
              <w:left w:w="108" w:type="dxa"/>
              <w:bottom w:w="0" w:type="dxa"/>
              <w:right w:w="108" w:type="dxa"/>
            </w:tcMar>
            <w:hideMark/>
          </w:tcPr>
          <w:p w14:paraId="15F6F2C4"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90.40</w:t>
            </w:r>
          </w:p>
          <w:p w14:paraId="000B9080"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±2.34</w:t>
            </w:r>
          </w:p>
          <w:p w14:paraId="64AD8D14"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rPr>
              <w:t> </w:t>
            </w:r>
          </w:p>
        </w:tc>
        <w:tc>
          <w:tcPr>
            <w:tcW w:w="985" w:type="dxa"/>
            <w:tcBorders>
              <w:top w:val="nil"/>
              <w:left w:val="nil"/>
              <w:bottom w:val="single" w:sz="8" w:space="0" w:color="auto"/>
              <w:right w:val="single" w:sz="8" w:space="0" w:color="auto"/>
            </w:tcBorders>
            <w:tcMar>
              <w:top w:w="0" w:type="dxa"/>
              <w:left w:w="108" w:type="dxa"/>
              <w:bottom w:w="0" w:type="dxa"/>
              <w:right w:w="108" w:type="dxa"/>
            </w:tcMar>
            <w:hideMark/>
          </w:tcPr>
          <w:p w14:paraId="1A8922F0"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80.7 ±1.0 c</w:t>
            </w:r>
          </w:p>
          <w:p w14:paraId="4A586566"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rPr>
              <w:t> </w:t>
            </w:r>
          </w:p>
          <w:p w14:paraId="1721E545"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rPr>
              <w:t> </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14:paraId="78003D24"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34.2 ±1.4</w:t>
            </w:r>
            <w:r w:rsidRPr="00300A72">
              <w:rPr>
                <w:rFonts w:ascii="Times New Roman" w:eastAsia="Times New Roman" w:hAnsi="Times New Roman" w:cs="Times New Roman"/>
                <w:color w:val="000000"/>
                <w:sz w:val="24"/>
                <w:szCs w:val="24"/>
              </w:rPr>
              <w:t>b</w:t>
            </w:r>
          </w:p>
          <w:p w14:paraId="3DD1135A"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rPr>
              <w:t> </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14:paraId="2045941A"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22.83</w:t>
            </w:r>
          </w:p>
          <w:p w14:paraId="7F1D5BE7"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±0.33 b</w:t>
            </w:r>
          </w:p>
          <w:p w14:paraId="0236E82D"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rPr>
              <w:t> </w:t>
            </w:r>
          </w:p>
        </w:tc>
        <w:tc>
          <w:tcPr>
            <w:tcW w:w="915" w:type="dxa"/>
            <w:tcBorders>
              <w:top w:val="nil"/>
              <w:left w:val="nil"/>
              <w:bottom w:val="single" w:sz="8" w:space="0" w:color="auto"/>
              <w:right w:val="single" w:sz="8" w:space="0" w:color="auto"/>
            </w:tcBorders>
            <w:tcMar>
              <w:top w:w="0" w:type="dxa"/>
              <w:left w:w="108" w:type="dxa"/>
              <w:bottom w:w="0" w:type="dxa"/>
              <w:right w:w="108" w:type="dxa"/>
            </w:tcMar>
            <w:hideMark/>
          </w:tcPr>
          <w:p w14:paraId="5CD28485"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13.73</w:t>
            </w:r>
          </w:p>
          <w:p w14:paraId="1D4B9ABD"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±0.11 b</w:t>
            </w:r>
          </w:p>
          <w:p w14:paraId="7ADA28FF"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rPr>
              <w:t> </w:t>
            </w:r>
          </w:p>
          <w:p w14:paraId="12673AC1"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rPr>
              <w:t> </w:t>
            </w:r>
          </w:p>
        </w:tc>
        <w:tc>
          <w:tcPr>
            <w:tcW w:w="1053" w:type="dxa"/>
            <w:tcBorders>
              <w:top w:val="nil"/>
              <w:left w:val="nil"/>
              <w:bottom w:val="single" w:sz="8" w:space="0" w:color="auto"/>
              <w:right w:val="single" w:sz="8" w:space="0" w:color="auto"/>
            </w:tcBorders>
            <w:tcMar>
              <w:top w:w="0" w:type="dxa"/>
              <w:left w:w="108" w:type="dxa"/>
              <w:bottom w:w="0" w:type="dxa"/>
              <w:right w:w="108" w:type="dxa"/>
            </w:tcMar>
            <w:hideMark/>
          </w:tcPr>
          <w:p w14:paraId="3EB7F302"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0.68</w:t>
            </w:r>
          </w:p>
          <w:p w14:paraId="5D23C156"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±0.03</w:t>
            </w:r>
            <w:r w:rsidRPr="00300A72">
              <w:rPr>
                <w:rFonts w:ascii="Times New Roman" w:eastAsia="Times New Roman" w:hAnsi="Times New Roman" w:cs="Times New Roman"/>
                <w:color w:val="000000"/>
                <w:sz w:val="24"/>
                <w:szCs w:val="24"/>
              </w:rPr>
              <w:t>b</w:t>
            </w:r>
          </w:p>
          <w:p w14:paraId="2C6BD880"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rPr>
              <w:t> </w:t>
            </w:r>
          </w:p>
          <w:p w14:paraId="5561E1DE"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rPr>
              <w:t> </w:t>
            </w:r>
          </w:p>
        </w:tc>
        <w:tc>
          <w:tcPr>
            <w:tcW w:w="1169" w:type="dxa"/>
            <w:tcBorders>
              <w:top w:val="nil"/>
              <w:left w:val="nil"/>
              <w:bottom w:val="single" w:sz="8" w:space="0" w:color="auto"/>
              <w:right w:val="single" w:sz="8" w:space="0" w:color="auto"/>
            </w:tcBorders>
            <w:tcMar>
              <w:top w:w="0" w:type="dxa"/>
              <w:left w:w="108" w:type="dxa"/>
              <w:bottom w:w="0" w:type="dxa"/>
              <w:right w:w="108" w:type="dxa"/>
            </w:tcMar>
            <w:hideMark/>
          </w:tcPr>
          <w:p w14:paraId="3C66FC06"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16.22±0.32</w:t>
            </w:r>
            <w:r w:rsidRPr="00300A72">
              <w:rPr>
                <w:rFonts w:ascii="Times New Roman" w:eastAsia="Times New Roman" w:hAnsi="Times New Roman" w:cs="Times New Roman"/>
                <w:color w:val="000000"/>
                <w:sz w:val="24"/>
                <w:szCs w:val="24"/>
              </w:rPr>
              <w:t>b</w:t>
            </w:r>
          </w:p>
        </w:tc>
      </w:tr>
    </w:tbl>
    <w:p w14:paraId="59E3F4B1"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rPr>
        <w:t>Table 3 illustrates how varying concentrations of zinc oxide nanoparticles affect the plasma concentrations of globulin, total protein, triglycerides, creatinine, and uric acid HDL, LDL, AST, and ALT.</w:t>
      </w:r>
    </w:p>
    <w:p w14:paraId="609711EF"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rPr>
        <w:t xml:space="preserve">In broiler chicks fed a diet containing T.P., AL, GL, T.Ch., TG, LDL, AST, ALT, CR, and U.A. 100 mg/kg, the effect of zinc oxide nanoparticles (P &lt; 0.0001) on plasma levels of total protein, globulin, total cholesterol, triglycerides, low-density and high-density fats, creatinine, and uric acid was compared to the control group. Significant variations in plasma (P &lt; 0.0001) </w:t>
      </w:r>
      <w:r w:rsidRPr="00300A72">
        <w:rPr>
          <w:rFonts w:ascii="Times New Roman" w:eastAsia="Times New Roman" w:hAnsi="Times New Roman" w:cs="Times New Roman"/>
          <w:sz w:val="24"/>
          <w:szCs w:val="24"/>
        </w:rPr>
        <w:br/>
        <w:t xml:space="preserve">Compared to the control group, there were significant differences in biochemical blood markers in all reactions, including increased levels of total protein, albumin, and globulin, decreased levels of total plasma cholesterol, triglycerides, high- and low-density lipids, liver enzymes, creatinine, and uric acid, and other concentration groups (50 and 75 mg/kg) were specialized. </w:t>
      </w:r>
    </w:p>
    <w:p w14:paraId="60061E4C"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rPr>
      </w:pPr>
    </w:p>
    <w:p w14:paraId="6E99FC07" w14:textId="77777777" w:rsidR="00CC2927" w:rsidRPr="00300A72" w:rsidRDefault="00CC2927" w:rsidP="00300A72">
      <w:pPr>
        <w:bidi w:val="0"/>
        <w:spacing w:line="235" w:lineRule="atLeast"/>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themeColor="text1"/>
          <w:sz w:val="24"/>
          <w:szCs w:val="24"/>
        </w:rPr>
        <w:t>Table (4</w:t>
      </w:r>
      <w:proofErr w:type="gramStart"/>
      <w:r w:rsidRPr="00300A72">
        <w:rPr>
          <w:rFonts w:ascii="Times New Roman" w:eastAsia="Times New Roman" w:hAnsi="Times New Roman" w:cs="Times New Roman"/>
          <w:color w:val="000000" w:themeColor="text1"/>
          <w:sz w:val="24"/>
          <w:szCs w:val="24"/>
        </w:rPr>
        <w:t>) :</w:t>
      </w:r>
      <w:proofErr w:type="gramEnd"/>
      <w:r w:rsidRPr="00300A72">
        <w:rPr>
          <w:rFonts w:ascii="Times New Roman" w:eastAsia="Times New Roman" w:hAnsi="Times New Roman" w:cs="Times New Roman"/>
          <w:color w:val="000000" w:themeColor="text1"/>
          <w:sz w:val="24"/>
          <w:szCs w:val="24"/>
        </w:rPr>
        <w:t xml:space="preserve"> The effect of ZONPS on </w:t>
      </w:r>
      <w:r w:rsidRPr="00300A72">
        <w:rPr>
          <w:rFonts w:ascii="Times New Roman" w:eastAsia="Times New Roman" w:hAnsi="Times New Roman" w:cs="Times New Roman"/>
          <w:b/>
          <w:bCs/>
          <w:color w:val="000000" w:themeColor="text1"/>
          <w:sz w:val="24"/>
          <w:szCs w:val="24"/>
        </w:rPr>
        <w:t xml:space="preserve">Plasma Total </w:t>
      </w:r>
      <w:proofErr w:type="gramStart"/>
      <w:r w:rsidRPr="00300A72">
        <w:rPr>
          <w:rFonts w:ascii="Times New Roman" w:eastAsia="Times New Roman" w:hAnsi="Times New Roman" w:cs="Times New Roman"/>
          <w:b/>
          <w:bCs/>
          <w:color w:val="000000" w:themeColor="text1"/>
          <w:sz w:val="24"/>
          <w:szCs w:val="24"/>
        </w:rPr>
        <w:t>antioxidants ,</w:t>
      </w:r>
      <w:proofErr w:type="gramEnd"/>
      <w:r w:rsidRPr="00300A72">
        <w:rPr>
          <w:rFonts w:ascii="Times New Roman" w:eastAsia="Times New Roman" w:hAnsi="Times New Roman" w:cs="Times New Roman"/>
          <w:b/>
          <w:bCs/>
          <w:color w:val="000000" w:themeColor="text1"/>
          <w:sz w:val="24"/>
          <w:szCs w:val="24"/>
        </w:rPr>
        <w:t xml:space="preserve"> glutathione </w:t>
      </w:r>
      <w:proofErr w:type="gramStart"/>
      <w:r w:rsidRPr="00300A72">
        <w:rPr>
          <w:rFonts w:ascii="Times New Roman" w:eastAsia="Times New Roman" w:hAnsi="Times New Roman" w:cs="Times New Roman"/>
          <w:b/>
          <w:bCs/>
          <w:color w:val="000000" w:themeColor="text1"/>
          <w:sz w:val="24"/>
          <w:szCs w:val="24"/>
        </w:rPr>
        <w:t>peroxidase ,</w:t>
      </w:r>
      <w:proofErr w:type="gramEnd"/>
      <w:r w:rsidRPr="00300A72">
        <w:rPr>
          <w:rFonts w:ascii="Times New Roman" w:eastAsia="Times New Roman" w:hAnsi="Times New Roman" w:cs="Times New Roman"/>
          <w:b/>
          <w:bCs/>
          <w:color w:val="000000" w:themeColor="text1"/>
          <w:sz w:val="24"/>
          <w:szCs w:val="24"/>
        </w:rPr>
        <w:t xml:space="preserve"> super oxidases dismutase and </w:t>
      </w:r>
      <w:r w:rsidRPr="00300A72">
        <w:rPr>
          <w:rFonts w:ascii="Times New Roman" w:eastAsia="Times New Roman" w:hAnsi="Times New Roman" w:cs="Times New Roman"/>
          <w:color w:val="000000" w:themeColor="text1"/>
          <w:sz w:val="24"/>
          <w:szCs w:val="24"/>
        </w:rPr>
        <w:t>malondialdehyde (main ± SD)</w:t>
      </w:r>
    </w:p>
    <w:tbl>
      <w:tblPr>
        <w:tblW w:w="9990" w:type="dxa"/>
        <w:tblInd w:w="-455" w:type="dxa"/>
        <w:tblCellMar>
          <w:left w:w="0" w:type="dxa"/>
          <w:right w:w="0" w:type="dxa"/>
        </w:tblCellMar>
        <w:tblLook w:val="04A0" w:firstRow="1" w:lastRow="0" w:firstColumn="1" w:lastColumn="0" w:noHBand="0" w:noVBand="1"/>
      </w:tblPr>
      <w:tblGrid>
        <w:gridCol w:w="1890"/>
        <w:gridCol w:w="1710"/>
        <w:gridCol w:w="1980"/>
        <w:gridCol w:w="2250"/>
        <w:gridCol w:w="2160"/>
      </w:tblGrid>
      <w:tr w:rsidR="00CC2927" w:rsidRPr="00300A72" w14:paraId="1C604272" w14:textId="77777777" w:rsidTr="006D2981">
        <w:trPr>
          <w:trHeight w:val="267"/>
        </w:trPr>
        <w:tc>
          <w:tcPr>
            <w:tcW w:w="1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808DC3"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lang w:val="en"/>
              </w:rPr>
              <w:t>treatments</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B5AAA4"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b/>
                <w:bCs/>
                <w:color w:val="000000"/>
                <w:sz w:val="24"/>
                <w:szCs w:val="24"/>
                <w:lang w:val="en"/>
              </w:rPr>
              <w:t>TAOC</w:t>
            </w:r>
          </w:p>
          <w:p w14:paraId="7D39162C"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lang w:val="en"/>
              </w:rPr>
            </w:pPr>
            <w:r w:rsidRPr="00300A72">
              <w:rPr>
                <w:rFonts w:ascii="Times New Roman" w:eastAsia="Times New Roman" w:hAnsi="Times New Roman" w:cs="Times New Roman"/>
                <w:b/>
                <w:bCs/>
                <w:sz w:val="24"/>
                <w:szCs w:val="24"/>
                <w:lang w:val="en"/>
              </w:rPr>
              <w:t>(mm/</w:t>
            </w:r>
            <w:r w:rsidRPr="00300A72">
              <w:rPr>
                <w:rFonts w:ascii="Times New Roman" w:eastAsia="Times New Roman" w:hAnsi="Times New Roman" w:cs="Times New Roman"/>
                <w:sz w:val="24"/>
                <w:szCs w:val="24"/>
                <w:lang w:val="en"/>
              </w:rPr>
              <w:t>L)</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73B1B5"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b/>
                <w:bCs/>
                <w:color w:val="000000"/>
                <w:sz w:val="24"/>
                <w:szCs w:val="24"/>
                <w:lang w:val="en"/>
              </w:rPr>
              <w:t>GPX</w:t>
            </w:r>
          </w:p>
          <w:p w14:paraId="1180ACF2"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lang w:val="en"/>
              </w:rPr>
            </w:pPr>
            <w:r w:rsidRPr="00300A72">
              <w:rPr>
                <w:rFonts w:ascii="Times New Roman" w:eastAsia="Times New Roman" w:hAnsi="Times New Roman" w:cs="Times New Roman"/>
                <w:b/>
                <w:bCs/>
                <w:sz w:val="24"/>
                <w:szCs w:val="24"/>
                <w:lang w:val="en"/>
              </w:rPr>
              <w:t>(U/</w:t>
            </w:r>
            <w:r w:rsidRPr="00300A72">
              <w:rPr>
                <w:rFonts w:ascii="Times New Roman" w:eastAsia="Times New Roman" w:hAnsi="Times New Roman" w:cs="Times New Roman"/>
                <w:sz w:val="24"/>
                <w:szCs w:val="24"/>
                <w:lang w:val="en"/>
              </w:rPr>
              <w:t>ml)</w:t>
            </w:r>
          </w:p>
        </w:tc>
        <w:tc>
          <w:tcPr>
            <w:tcW w:w="22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501E59"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b/>
                <w:bCs/>
                <w:color w:val="000000"/>
                <w:sz w:val="24"/>
                <w:szCs w:val="24"/>
                <w:lang w:val="en"/>
              </w:rPr>
              <w:t>SOD</w:t>
            </w:r>
          </w:p>
          <w:p w14:paraId="04B806D1"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lang w:val="en"/>
              </w:rPr>
            </w:pPr>
            <w:r w:rsidRPr="00300A72">
              <w:rPr>
                <w:rFonts w:ascii="Times New Roman" w:eastAsia="Times New Roman" w:hAnsi="Times New Roman" w:cs="Times New Roman"/>
                <w:b/>
                <w:bCs/>
                <w:sz w:val="24"/>
                <w:szCs w:val="24"/>
                <w:lang w:val="en"/>
              </w:rPr>
              <w:t>(U/</w:t>
            </w:r>
            <w:r w:rsidRPr="00300A72">
              <w:rPr>
                <w:rFonts w:ascii="Times New Roman" w:eastAsia="Times New Roman" w:hAnsi="Times New Roman" w:cs="Times New Roman"/>
                <w:sz w:val="24"/>
                <w:szCs w:val="24"/>
                <w:lang w:val="en"/>
              </w:rPr>
              <w:t>ml)</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4E7617"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b/>
                <w:bCs/>
                <w:color w:val="000000"/>
                <w:sz w:val="24"/>
                <w:szCs w:val="24"/>
                <w:lang w:val="en"/>
              </w:rPr>
              <w:t>MA</w:t>
            </w:r>
          </w:p>
          <w:p w14:paraId="38837AC1"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lang w:val="en"/>
              </w:rPr>
            </w:pPr>
            <w:r w:rsidRPr="00300A72">
              <w:rPr>
                <w:rFonts w:ascii="Times New Roman" w:eastAsia="Times New Roman" w:hAnsi="Times New Roman" w:cs="Times New Roman"/>
                <w:b/>
                <w:bCs/>
                <w:sz w:val="24"/>
                <w:szCs w:val="24"/>
                <w:lang w:val="en"/>
              </w:rPr>
              <w:t>(nmol/</w:t>
            </w:r>
            <w:r w:rsidRPr="00300A72">
              <w:rPr>
                <w:rFonts w:ascii="Times New Roman" w:eastAsia="Times New Roman" w:hAnsi="Times New Roman" w:cs="Times New Roman"/>
                <w:sz w:val="24"/>
                <w:szCs w:val="24"/>
                <w:lang w:val="en"/>
              </w:rPr>
              <w:t>mL)</w:t>
            </w:r>
          </w:p>
        </w:tc>
      </w:tr>
      <w:tr w:rsidR="00CC2927" w:rsidRPr="00300A72" w14:paraId="7F4F7036" w14:textId="77777777" w:rsidTr="006D2981">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95D163"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lang w:val="en"/>
              </w:rPr>
              <w:t>Control</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14:paraId="6C6010DC"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lang w:val="en"/>
              </w:rPr>
              <w:t>0.79±0.04ab</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157F3C53"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289.9±5.2 b</w:t>
            </w:r>
          </w:p>
          <w:p w14:paraId="48D3F40D"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rPr>
              <w:t> </w:t>
            </w:r>
          </w:p>
        </w:tc>
        <w:tc>
          <w:tcPr>
            <w:tcW w:w="2250" w:type="dxa"/>
            <w:tcBorders>
              <w:top w:val="nil"/>
              <w:left w:val="nil"/>
              <w:bottom w:val="single" w:sz="8" w:space="0" w:color="auto"/>
              <w:right w:val="single" w:sz="8" w:space="0" w:color="auto"/>
            </w:tcBorders>
            <w:tcMar>
              <w:top w:w="0" w:type="dxa"/>
              <w:left w:w="108" w:type="dxa"/>
              <w:bottom w:w="0" w:type="dxa"/>
              <w:right w:w="108" w:type="dxa"/>
            </w:tcMar>
            <w:hideMark/>
          </w:tcPr>
          <w:p w14:paraId="261BB88D"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4.08±0.16</w:t>
            </w:r>
            <w:r w:rsidRPr="00300A72">
              <w:rPr>
                <w:rFonts w:ascii="Times New Roman" w:eastAsia="Times New Roman" w:hAnsi="Times New Roman" w:cs="Times New Roman"/>
                <w:color w:val="000000"/>
                <w:sz w:val="24"/>
                <w:szCs w:val="24"/>
              </w:rPr>
              <w:t>b</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17562CBE"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4.76±0.13b</w:t>
            </w:r>
          </w:p>
          <w:p w14:paraId="222CCC41"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rPr>
              <w:t> </w:t>
            </w:r>
          </w:p>
        </w:tc>
      </w:tr>
      <w:tr w:rsidR="00CC2927" w:rsidRPr="00300A72" w14:paraId="1C792C96" w14:textId="77777777" w:rsidTr="006D2981">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06D2E0"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lang w:val="en"/>
              </w:rPr>
              <w:t>50 mg/kg diet</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14:paraId="305AA3EF"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lang w:val="en"/>
              </w:rPr>
              <w:t>0.76±0.04a</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1EB2DCB7"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281.3±5.2b</w:t>
            </w:r>
          </w:p>
          <w:p w14:paraId="7BFC34AB"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rPr>
              <w:t> </w:t>
            </w:r>
          </w:p>
        </w:tc>
        <w:tc>
          <w:tcPr>
            <w:tcW w:w="2250" w:type="dxa"/>
            <w:tcBorders>
              <w:top w:val="nil"/>
              <w:left w:val="nil"/>
              <w:bottom w:val="single" w:sz="8" w:space="0" w:color="auto"/>
              <w:right w:val="single" w:sz="8" w:space="0" w:color="auto"/>
            </w:tcBorders>
            <w:tcMar>
              <w:top w:w="0" w:type="dxa"/>
              <w:left w:w="108" w:type="dxa"/>
              <w:bottom w:w="0" w:type="dxa"/>
              <w:right w:w="108" w:type="dxa"/>
            </w:tcMar>
            <w:hideMark/>
          </w:tcPr>
          <w:p w14:paraId="51790CA3"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4.01±0.14</w:t>
            </w:r>
            <w:r w:rsidRPr="00300A72">
              <w:rPr>
                <w:rFonts w:ascii="Times New Roman" w:eastAsia="Times New Roman" w:hAnsi="Times New Roman" w:cs="Times New Roman"/>
                <w:color w:val="000000"/>
                <w:sz w:val="24"/>
                <w:szCs w:val="24"/>
              </w:rPr>
              <w:t>b</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3FFD0CF0"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4.16±0.14b</w:t>
            </w:r>
          </w:p>
          <w:p w14:paraId="2CA4ECA7"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rPr>
              <w:t> </w:t>
            </w:r>
          </w:p>
        </w:tc>
      </w:tr>
      <w:tr w:rsidR="00CC2927" w:rsidRPr="00300A72" w14:paraId="7ACF3378" w14:textId="77777777" w:rsidTr="006D2981">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CB1F4"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lang w:val="en"/>
              </w:rPr>
              <w:t>75 mg/kg diet</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14:paraId="2322386C"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lang w:val="en"/>
              </w:rPr>
              <w:t>0.88±0.06b</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49F69D60"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298.3±5.2a</w:t>
            </w:r>
          </w:p>
          <w:p w14:paraId="157D6B25"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rPr>
              <w:t> </w:t>
            </w:r>
          </w:p>
        </w:tc>
        <w:tc>
          <w:tcPr>
            <w:tcW w:w="2250" w:type="dxa"/>
            <w:tcBorders>
              <w:top w:val="nil"/>
              <w:left w:val="nil"/>
              <w:bottom w:val="single" w:sz="8" w:space="0" w:color="auto"/>
              <w:right w:val="single" w:sz="8" w:space="0" w:color="auto"/>
            </w:tcBorders>
            <w:tcMar>
              <w:top w:w="0" w:type="dxa"/>
              <w:left w:w="108" w:type="dxa"/>
              <w:bottom w:w="0" w:type="dxa"/>
              <w:right w:w="108" w:type="dxa"/>
            </w:tcMar>
            <w:hideMark/>
          </w:tcPr>
          <w:p w14:paraId="6F416044"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4.03±0.12</w:t>
            </w:r>
            <w:r w:rsidRPr="00300A72">
              <w:rPr>
                <w:rFonts w:ascii="Times New Roman" w:eastAsia="Times New Roman" w:hAnsi="Times New Roman" w:cs="Times New Roman"/>
                <w:color w:val="000000"/>
                <w:sz w:val="24"/>
                <w:szCs w:val="24"/>
              </w:rPr>
              <w:t>b</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4009C3E9"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3.88±0.18b</w:t>
            </w:r>
          </w:p>
          <w:p w14:paraId="79E427E6"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rPr>
              <w:t> </w:t>
            </w:r>
          </w:p>
        </w:tc>
      </w:tr>
      <w:tr w:rsidR="00CC2927" w:rsidRPr="00300A72" w14:paraId="2B061E76" w14:textId="77777777" w:rsidTr="006D2981">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A12495"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lang w:val="en"/>
              </w:rPr>
              <w:t>100 mg/kg diet</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14:paraId="6EB09E48"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0.92±0.04 b</w:t>
            </w:r>
          </w:p>
          <w:p w14:paraId="566C1BCE"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4B3DFB79"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301.2±5.2a</w:t>
            </w:r>
          </w:p>
          <w:p w14:paraId="1DB36F4A"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rPr>
              <w:t> </w:t>
            </w:r>
          </w:p>
        </w:tc>
        <w:tc>
          <w:tcPr>
            <w:tcW w:w="2250" w:type="dxa"/>
            <w:tcBorders>
              <w:top w:val="nil"/>
              <w:left w:val="nil"/>
              <w:bottom w:val="single" w:sz="8" w:space="0" w:color="auto"/>
              <w:right w:val="single" w:sz="8" w:space="0" w:color="auto"/>
            </w:tcBorders>
            <w:tcMar>
              <w:top w:w="0" w:type="dxa"/>
              <w:left w:w="108" w:type="dxa"/>
              <w:bottom w:w="0" w:type="dxa"/>
              <w:right w:w="108" w:type="dxa"/>
            </w:tcMar>
            <w:hideMark/>
          </w:tcPr>
          <w:p w14:paraId="5E6E0F9B"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5.08±0.17a</w:t>
            </w:r>
          </w:p>
          <w:p w14:paraId="28D17827"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5EA16A50"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3.44±0.15b</w:t>
            </w:r>
          </w:p>
          <w:p w14:paraId="5D86C630" w14:textId="77777777" w:rsidR="00CC2927" w:rsidRPr="00300A72" w:rsidRDefault="00CC2927"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rPr>
              <w:t> </w:t>
            </w:r>
          </w:p>
        </w:tc>
      </w:tr>
    </w:tbl>
    <w:p w14:paraId="392720A8"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rPr>
        <w:t xml:space="preserve">In comparison to the control group, the addition of zinc oxide </w:t>
      </w:r>
      <w:proofErr w:type="spellStart"/>
      <w:r w:rsidRPr="00300A72">
        <w:rPr>
          <w:rFonts w:ascii="Times New Roman" w:eastAsia="Times New Roman" w:hAnsi="Times New Roman" w:cs="Times New Roman"/>
          <w:sz w:val="24"/>
          <w:szCs w:val="24"/>
        </w:rPr>
        <w:t>nanooxide</w:t>
      </w:r>
      <w:proofErr w:type="spellEnd"/>
      <w:r w:rsidRPr="00300A72">
        <w:rPr>
          <w:rFonts w:ascii="Times New Roman" w:eastAsia="Times New Roman" w:hAnsi="Times New Roman" w:cs="Times New Roman"/>
          <w:sz w:val="24"/>
          <w:szCs w:val="24"/>
        </w:rPr>
        <w:t xml:space="preserve"> resulted in a decrease in MAD in plasma and an increase in the activity of GPX, SOD, and total antioxidants (Table 4). The 100 mg zinc oxide </w:t>
      </w:r>
      <w:proofErr w:type="spellStart"/>
      <w:r w:rsidRPr="00300A72">
        <w:rPr>
          <w:rFonts w:ascii="Times New Roman" w:eastAsia="Times New Roman" w:hAnsi="Times New Roman" w:cs="Times New Roman"/>
          <w:sz w:val="24"/>
          <w:szCs w:val="24"/>
        </w:rPr>
        <w:t>nanoparticulars</w:t>
      </w:r>
      <w:proofErr w:type="spellEnd"/>
      <w:r w:rsidRPr="00300A72">
        <w:rPr>
          <w:rFonts w:ascii="Times New Roman" w:eastAsia="Times New Roman" w:hAnsi="Times New Roman" w:cs="Times New Roman"/>
          <w:sz w:val="24"/>
          <w:szCs w:val="24"/>
        </w:rPr>
        <w:t>/kg diet resulted in a statistically significant increase (P &lt;0.0001) in plasma GPX and SOD, overall antioxidant activity, and MAD RF when compared to the whole control and other groups. Antioxidant status increased linearly with zinc concentrations and application amounts, according to statistical research. In contrast to previous reactions found in this investigation, the data demonstrated the interaction between zinc oxide nano, with a level of 100 mg/kg recorded significantly (P &lt;0.0001), total antioxidant activity, GPX and SOD, higher plasma values, and lower MDA values.</w:t>
      </w:r>
    </w:p>
    <w:p w14:paraId="44EAFD9C"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rPr>
      </w:pPr>
    </w:p>
    <w:p w14:paraId="439A076A"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rPr>
        <w:t xml:space="preserve">Discussion: </w:t>
      </w:r>
    </w:p>
    <w:p w14:paraId="12DFF6FD" w14:textId="77777777" w:rsidR="00BF3CFB" w:rsidRPr="00300A72" w:rsidRDefault="00CC2927" w:rsidP="00300A72">
      <w:pPr>
        <w:bidi w:val="0"/>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rPr>
        <w:lastRenderedPageBreak/>
        <w:t>The findings demonstrated that growth performance was improved by including zinc oxide nanoparticles in the diet. Chicks administered zinc oxide nanoparticles showed improvements in body weight, feed consumption, nutritional conversion rate, and mortality rate, particularly at 100 mg/</w:t>
      </w:r>
      <w:r w:rsidR="00BF3CFB" w:rsidRPr="00300A72">
        <w:rPr>
          <w:rFonts w:ascii="Times New Roman" w:eastAsia="Times New Roman" w:hAnsi="Times New Roman" w:cs="Times New Roman"/>
          <w:sz w:val="24"/>
          <w:szCs w:val="24"/>
        </w:rPr>
        <w:t>kg</w:t>
      </w:r>
      <w:r w:rsidRPr="00300A72">
        <w:rPr>
          <w:rFonts w:ascii="Times New Roman" w:eastAsia="Times New Roman" w:hAnsi="Times New Roman" w:cs="Times New Roman"/>
          <w:sz w:val="24"/>
          <w:szCs w:val="24"/>
        </w:rPr>
        <w:t xml:space="preserve">. The proper level varied, though, and because each experimental animal has unique characteristics, there might be varying ideal zinc levels. Zinc oxide, for example, might increase the activity of some growth factors more efficiently than other forms of zinc, which could improve growth </w:t>
      </w:r>
      <w:proofErr w:type="gramStart"/>
      <w:r w:rsidRPr="00300A72">
        <w:rPr>
          <w:rFonts w:ascii="Times New Roman" w:eastAsia="Times New Roman" w:hAnsi="Times New Roman" w:cs="Times New Roman"/>
          <w:sz w:val="24"/>
          <w:szCs w:val="24"/>
        </w:rPr>
        <w:t>performance.(</w:t>
      </w:r>
      <w:proofErr w:type="gramEnd"/>
      <w:r w:rsidRPr="00300A72">
        <w:rPr>
          <w:rFonts w:ascii="Times New Roman" w:eastAsia="Times New Roman" w:hAnsi="Times New Roman" w:cs="Times New Roman"/>
          <w:sz w:val="24"/>
          <w:szCs w:val="24"/>
        </w:rPr>
        <w:t xml:space="preserve">16). But there were differences in the right level. </w:t>
      </w:r>
      <w:r w:rsidR="00BF3CFB" w:rsidRPr="00300A72">
        <w:rPr>
          <w:rFonts w:ascii="Times New Roman" w:eastAsia="Times New Roman" w:hAnsi="Times New Roman" w:cs="Times New Roman"/>
          <w:sz w:val="24"/>
          <w:szCs w:val="24"/>
        </w:rPr>
        <w:t>Because of their unique characteristics, the various experimental animals may have varying optimal zinc levels. Compared to other forms of zinc, zinc oxide may more efficiently increase the activity of specific growth factors, which could improve growth performance. Furthermore, zinc plays a favorable role in the digestion of proteins, lipids, and carbohydrates as well as in the metabolism of carbohydrates, fats, and proteins (18).</w:t>
      </w:r>
    </w:p>
    <w:p w14:paraId="6225A4CE" w14:textId="77777777" w:rsidR="00BF3CFB" w:rsidRPr="00300A72" w:rsidRDefault="00BF3CFB"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rPr>
        <w:t>Additionally, by strengthening CRPT cell function and protein synthesis and promoting gut integrity, zinc benefits broiler intestines (19).</w:t>
      </w:r>
    </w:p>
    <w:p w14:paraId="59D87306" w14:textId="77777777" w:rsidR="00BF3CFB" w:rsidRPr="00300A72" w:rsidRDefault="00BF3CFB"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rPr>
        <w:t>The essential role of zinc in promoting the production of thyroid hormones (T3, T4), which alter the level of cholesterol and triglycerides in the blood serum (20), as well as the preventive cycle as an antioxidant that lowers lipid peroxidation (21) may be the cause of the decrease in concentrations of total cholesterol, triglycerides, and lipoproteins in blood serum and the improvement in the lipid profile of birds treated with zinc oxide nanoparticles.</w:t>
      </w:r>
    </w:p>
    <w:p w14:paraId="660BE8AA" w14:textId="77777777" w:rsidR="00BF3CFB" w:rsidRPr="00300A72" w:rsidRDefault="00BF3CFB"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rPr>
        <w:t>According to other studies (22 and 23), there is an increase in serum proteins for the control group. This increase can be linked to zinc's fundamental role in the synthesis of enzymes, which are involved in the production of proteins and nucleic acids. Additionally, the increase in blood serum protein concentration can be attributed to the response to the use of zinc for hormonal regulation of the metabolism of proteins, such as growth hormone, which leads to an increase in cellular protein production.</w:t>
      </w:r>
    </w:p>
    <w:p w14:paraId="5F2DF0E9" w14:textId="77777777" w:rsidR="00BF3CFB" w:rsidRPr="00300A72" w:rsidRDefault="00BF3CFB"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rPr>
        <w:t xml:space="preserve">As demonstrated by the unaltered levels of ALTST, </w:t>
      </w:r>
      <w:proofErr w:type="spellStart"/>
      <w:r w:rsidRPr="00300A72">
        <w:rPr>
          <w:rFonts w:ascii="Times New Roman" w:eastAsia="Times New Roman" w:hAnsi="Times New Roman" w:cs="Times New Roman"/>
          <w:sz w:val="24"/>
          <w:szCs w:val="24"/>
        </w:rPr>
        <w:t>caratnine</w:t>
      </w:r>
      <w:proofErr w:type="spellEnd"/>
      <w:r w:rsidRPr="00300A72">
        <w:rPr>
          <w:rFonts w:ascii="Times New Roman" w:eastAsia="Times New Roman" w:hAnsi="Times New Roman" w:cs="Times New Roman"/>
          <w:sz w:val="24"/>
          <w:szCs w:val="24"/>
        </w:rPr>
        <w:t>, and uric acid in treated bird serum when compared to control, Alian and his team's comprehensive study demonstrated that 40 mg zinc/kg feed was safe for liver and kidney function (24). The EST blood levels were unaffected by the addition of 50 mg/kg of zinc oxide nanoparticles to the broiler's feed (25).</w:t>
      </w:r>
    </w:p>
    <w:p w14:paraId="25847538" w14:textId="77777777" w:rsidR="00BF3CFB" w:rsidRPr="00300A72" w:rsidRDefault="00BF3CFB"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rPr>
        <w:t xml:space="preserve">As a result, adding 50 mg/kg to the food has no discernible effect on the concentration of ALT and AST. </w:t>
      </w:r>
      <w:r w:rsidRPr="00300A72">
        <w:rPr>
          <w:rFonts w:ascii="Times New Roman" w:eastAsia="Times New Roman" w:hAnsi="Times New Roman" w:cs="Times New Roman"/>
          <w:sz w:val="24"/>
          <w:szCs w:val="24"/>
        </w:rPr>
        <w:br/>
        <w:t xml:space="preserve">The current results showed that the addition of zinc oxide nanoparticles depends largely on the dose given in the decrease in uric acid in serum and creatinine concentration (Table 3), and does not reflect any stress or toxicity to the kidneys, which is consistent with the results of (22 and 23). This makes measuring the concentration of uric acid and creatinine in blood serum one of the most sensitive indicators for estimating kidney </w:t>
      </w:r>
      <w:proofErr w:type="spellStart"/>
      <w:proofErr w:type="gramStart"/>
      <w:r w:rsidRPr="00300A72">
        <w:rPr>
          <w:rFonts w:ascii="Times New Roman" w:eastAsia="Times New Roman" w:hAnsi="Times New Roman" w:cs="Times New Roman"/>
          <w:sz w:val="24"/>
          <w:szCs w:val="24"/>
        </w:rPr>
        <w:t>function.When</w:t>
      </w:r>
      <w:proofErr w:type="spellEnd"/>
      <w:proofErr w:type="gramEnd"/>
      <w:r w:rsidRPr="00300A72">
        <w:rPr>
          <w:rFonts w:ascii="Times New Roman" w:eastAsia="Times New Roman" w:hAnsi="Times New Roman" w:cs="Times New Roman"/>
          <w:sz w:val="24"/>
          <w:szCs w:val="24"/>
        </w:rPr>
        <w:t xml:space="preserve"> zinc nanoparticles are administered at doses of 20, 40, and 80 mg/kg feed, the blood's levels of uric acid and creatinine drop considerably, according to Abdel-</w:t>
      </w:r>
      <w:proofErr w:type="spellStart"/>
      <w:r w:rsidRPr="00300A72">
        <w:rPr>
          <w:rFonts w:ascii="Times New Roman" w:eastAsia="Times New Roman" w:hAnsi="Times New Roman" w:cs="Times New Roman"/>
          <w:sz w:val="24"/>
          <w:szCs w:val="24"/>
        </w:rPr>
        <w:t>wareth</w:t>
      </w:r>
      <w:proofErr w:type="spellEnd"/>
      <w:r w:rsidRPr="00300A72">
        <w:rPr>
          <w:rFonts w:ascii="Times New Roman" w:eastAsia="Times New Roman" w:hAnsi="Times New Roman" w:cs="Times New Roman"/>
          <w:sz w:val="24"/>
          <w:szCs w:val="24"/>
        </w:rPr>
        <w:t xml:space="preserve"> et al. (26). </w:t>
      </w:r>
    </w:p>
    <w:p w14:paraId="7E213CCF" w14:textId="77777777" w:rsidR="00015248" w:rsidRPr="00300A72" w:rsidRDefault="00BF3CFB" w:rsidP="00300A72">
      <w:pPr>
        <w:bidi w:val="0"/>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rPr>
        <w:t xml:space="preserve">These results are consistent with the findings of Hassan et al. (27) who found that zinc nano, which was synthesized differently from </w:t>
      </w:r>
      <w:proofErr w:type="spellStart"/>
      <w:r w:rsidRPr="00300A72">
        <w:rPr>
          <w:rFonts w:ascii="Times New Roman" w:eastAsia="Times New Roman" w:hAnsi="Times New Roman" w:cs="Times New Roman"/>
          <w:sz w:val="24"/>
          <w:szCs w:val="24"/>
        </w:rPr>
        <w:t>Niats</w:t>
      </w:r>
      <w:proofErr w:type="spellEnd"/>
      <w:r w:rsidRPr="00300A72">
        <w:rPr>
          <w:rFonts w:ascii="Times New Roman" w:eastAsia="Times New Roman" w:hAnsi="Times New Roman" w:cs="Times New Roman"/>
          <w:sz w:val="24"/>
          <w:szCs w:val="24"/>
        </w:rPr>
        <w:t xml:space="preserve"> serums, improved antioxidant capacity in chickens. The antioxidant efficacy of zinc oxide nanotechnology in this study was a significant increase in total antioxidants, GPX, and SOD with a significant decrease in the level of MDA in broiler serum. The highest and lowest values appeared in the 100 mg/kg group compared to other treatment groups. Several researchers have </w:t>
      </w:r>
      <w:r w:rsidRPr="00300A72">
        <w:rPr>
          <w:rFonts w:ascii="Times New Roman" w:eastAsia="Times New Roman" w:hAnsi="Times New Roman" w:cs="Times New Roman"/>
          <w:sz w:val="24"/>
          <w:szCs w:val="24"/>
        </w:rPr>
        <w:lastRenderedPageBreak/>
        <w:t>reported the findings of our study, which showed that when poultry diets were supplemented with 40–80 mg/kg, their antioxidant status dramatically improved as seen by elevated blood serum levels of SOD, GPX, and total</w:t>
      </w:r>
      <w:r w:rsidR="00015248" w:rsidRPr="00300A72">
        <w:rPr>
          <w:rFonts w:ascii="Times New Roman" w:hAnsi="Times New Roman" w:cs="Times New Roman"/>
          <w:sz w:val="24"/>
          <w:szCs w:val="24"/>
        </w:rPr>
        <w:t xml:space="preserve"> </w:t>
      </w:r>
      <w:r w:rsidR="00015248" w:rsidRPr="00300A72">
        <w:rPr>
          <w:rFonts w:ascii="Times New Roman" w:eastAsia="Times New Roman" w:hAnsi="Times New Roman" w:cs="Times New Roman"/>
          <w:sz w:val="24"/>
          <w:szCs w:val="24"/>
        </w:rPr>
        <w:t>antioxidants (28 and 29).</w:t>
      </w:r>
    </w:p>
    <w:p w14:paraId="414051C4" w14:textId="77777777" w:rsidR="00015248" w:rsidRPr="00300A72" w:rsidRDefault="00015248" w:rsidP="00300A72">
      <w:pPr>
        <w:bidi w:val="0"/>
        <w:spacing w:after="0" w:line="240" w:lineRule="auto"/>
        <w:jc w:val="both"/>
        <w:rPr>
          <w:rFonts w:ascii="Times New Roman" w:eastAsia="Times New Roman" w:hAnsi="Times New Roman" w:cs="Times New Roman"/>
          <w:sz w:val="24"/>
          <w:szCs w:val="24"/>
        </w:rPr>
      </w:pPr>
      <w:r w:rsidRPr="00300A72">
        <w:rPr>
          <w:rFonts w:ascii="Times New Roman" w:eastAsia="Times New Roman" w:hAnsi="Times New Roman" w:cs="Times New Roman"/>
          <w:sz w:val="24"/>
          <w:szCs w:val="24"/>
        </w:rPr>
        <w:t xml:space="preserve">Zinc is a crucial and significant component of SOD, the primary antioxidant enzyme in cellular free radical scanning, which accounts for around 90% of the anabolic Numerous hypotheses have been put up to explain how zinc works as an antioxidant, which has been demonstrated. When zinc is present in the body, a protein called </w:t>
      </w:r>
      <w:proofErr w:type="spellStart"/>
      <w:r w:rsidRPr="00300A72">
        <w:rPr>
          <w:rFonts w:ascii="Times New Roman" w:eastAsia="Times New Roman" w:hAnsi="Times New Roman" w:cs="Times New Roman"/>
          <w:sz w:val="24"/>
          <w:szCs w:val="24"/>
        </w:rPr>
        <w:t>metallotheonine</w:t>
      </w:r>
      <w:proofErr w:type="spellEnd"/>
      <w:r w:rsidRPr="00300A72">
        <w:rPr>
          <w:rFonts w:ascii="Times New Roman" w:eastAsia="Times New Roman" w:hAnsi="Times New Roman" w:cs="Times New Roman"/>
          <w:sz w:val="24"/>
          <w:szCs w:val="24"/>
        </w:rPr>
        <w:t xml:space="preserve"> is produced. This protein is rich in cysteine and protects cells from free radicals and lipid peroxidation (30). By removing reactive oxygen species, the SOD enzyme plays a crucial role in preserving the redox balance of the bird's immune system (31). </w:t>
      </w:r>
    </w:p>
    <w:p w14:paraId="29D6B04F" w14:textId="77777777" w:rsidR="00015248" w:rsidRPr="00300A72" w:rsidRDefault="00015248" w:rsidP="00300A72">
      <w:pPr>
        <w:bidi w:val="0"/>
        <w:spacing w:after="0" w:line="240" w:lineRule="auto"/>
        <w:jc w:val="both"/>
        <w:rPr>
          <w:rFonts w:ascii="Times New Roman" w:hAnsi="Times New Roman" w:cs="Times New Roman"/>
          <w:bCs/>
          <w:sz w:val="24"/>
          <w:szCs w:val="24"/>
        </w:rPr>
      </w:pPr>
      <w:r w:rsidRPr="00300A72">
        <w:rPr>
          <w:rFonts w:ascii="Times New Roman" w:hAnsi="Times New Roman" w:cs="Times New Roman"/>
          <w:noProof/>
          <w:sz w:val="24"/>
          <w:szCs w:val="24"/>
          <w:rtl/>
          <w:lang w:val="en-IN" w:eastAsia="en-IN"/>
        </w:rPr>
        <w:drawing>
          <wp:inline distT="0" distB="0" distL="0" distR="0" wp14:anchorId="31747669" wp14:editId="5BEF5D21">
            <wp:extent cx="2952750" cy="2552700"/>
            <wp:effectExtent l="0" t="0" r="0" b="0"/>
            <wp:docPr id="6" name="مخطط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991E43" w:rsidRPr="00300A72">
        <w:rPr>
          <w:rFonts w:ascii="Times New Roman" w:hAnsi="Times New Roman" w:cs="Times New Roman"/>
          <w:noProof/>
          <w:sz w:val="24"/>
          <w:szCs w:val="24"/>
          <w:rtl/>
          <w:lang w:val="en-IN" w:eastAsia="en-IN"/>
        </w:rPr>
        <w:drawing>
          <wp:inline distT="0" distB="0" distL="0" distR="0" wp14:anchorId="6E380639" wp14:editId="76539BE9">
            <wp:extent cx="2905125" cy="3209925"/>
            <wp:effectExtent l="0" t="0" r="9525" b="9525"/>
            <wp:docPr id="1" name="مخطط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300A72">
        <w:rPr>
          <w:rFonts w:ascii="Times New Roman" w:hAnsi="Times New Roman" w:cs="Times New Roman"/>
          <w:bCs/>
          <w:sz w:val="24"/>
          <w:szCs w:val="24"/>
        </w:rPr>
        <w:t xml:space="preserve"> </w:t>
      </w:r>
    </w:p>
    <w:p w14:paraId="02A2CECF" w14:textId="77777777" w:rsidR="00BF3CFB" w:rsidRPr="00300A72" w:rsidRDefault="00015248" w:rsidP="00300A72">
      <w:pPr>
        <w:bidi w:val="0"/>
        <w:spacing w:after="0" w:line="240" w:lineRule="auto"/>
        <w:jc w:val="both"/>
        <w:rPr>
          <w:rFonts w:ascii="Times New Roman" w:eastAsia="Times New Roman" w:hAnsi="Times New Roman" w:cs="Times New Roman"/>
          <w:sz w:val="24"/>
          <w:szCs w:val="24"/>
        </w:rPr>
      </w:pPr>
      <w:r w:rsidRPr="00300A72">
        <w:rPr>
          <w:rFonts w:ascii="Times New Roman" w:hAnsi="Times New Roman" w:cs="Times New Roman"/>
          <w:bCs/>
          <w:sz w:val="24"/>
          <w:szCs w:val="24"/>
        </w:rPr>
        <w:t>Figure 2:</w:t>
      </w:r>
      <w:r w:rsidRPr="00300A72">
        <w:rPr>
          <w:rFonts w:ascii="Times New Roman" w:hAnsi="Times New Roman" w:cs="Times New Roman"/>
          <w:bCs/>
          <w:sz w:val="24"/>
          <w:szCs w:val="24"/>
          <w:lang w:val="en-GB"/>
        </w:rPr>
        <w:t xml:space="preserve"> Effects of ZONPS</w:t>
      </w:r>
      <w:r w:rsidRPr="00300A72">
        <w:rPr>
          <w:rFonts w:ascii="Times New Roman" w:eastAsia="Times New Roman" w:hAnsi="Times New Roman" w:cs="Times New Roman"/>
          <w:bCs/>
          <w:color w:val="333333"/>
          <w:sz w:val="24"/>
          <w:szCs w:val="24"/>
        </w:rPr>
        <w:t xml:space="preserve"> on kidney function and lipid profile</w:t>
      </w:r>
    </w:p>
    <w:p w14:paraId="4B94D5A5" w14:textId="77777777" w:rsidR="00CC2927" w:rsidRPr="00300A72" w:rsidRDefault="00CC2927" w:rsidP="00300A72">
      <w:pPr>
        <w:bidi w:val="0"/>
        <w:spacing w:after="0" w:line="240" w:lineRule="auto"/>
        <w:jc w:val="both"/>
        <w:rPr>
          <w:rFonts w:ascii="Times New Roman" w:eastAsia="Times New Roman" w:hAnsi="Times New Roman" w:cs="Times New Roman"/>
          <w:sz w:val="24"/>
          <w:szCs w:val="24"/>
        </w:rPr>
      </w:pPr>
    </w:p>
    <w:p w14:paraId="3DEEC669" w14:textId="77777777" w:rsidR="00015248" w:rsidRPr="00300A72" w:rsidRDefault="00015248" w:rsidP="00300A72">
      <w:pPr>
        <w:shd w:val="clear" w:color="auto" w:fill="FFFFFF"/>
        <w:bidi w:val="0"/>
        <w:spacing w:before="300" w:after="15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b/>
          <w:bCs/>
          <w:noProof/>
          <w:color w:val="333333"/>
          <w:sz w:val="24"/>
          <w:szCs w:val="24"/>
          <w:lang w:val="en-IN" w:eastAsia="en-IN"/>
        </w:rPr>
        <w:lastRenderedPageBreak/>
        <w:drawing>
          <wp:inline distT="0" distB="0" distL="0" distR="0" wp14:anchorId="35B26F88" wp14:editId="196D8D93">
            <wp:extent cx="3095625" cy="2581275"/>
            <wp:effectExtent l="0" t="0" r="9525" b="9525"/>
            <wp:docPr id="3" name="مخطط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300A72">
        <w:rPr>
          <w:rFonts w:ascii="Times New Roman" w:eastAsia="Times New Roman" w:hAnsi="Times New Roman" w:cs="Times New Roman"/>
          <w:b/>
          <w:bCs/>
          <w:noProof/>
          <w:color w:val="333333"/>
          <w:sz w:val="24"/>
          <w:szCs w:val="24"/>
          <w:lang w:val="en-IN" w:eastAsia="en-IN"/>
        </w:rPr>
        <w:drawing>
          <wp:inline distT="0" distB="0" distL="0" distR="0" wp14:anchorId="7E788F2B" wp14:editId="72196682">
            <wp:extent cx="2724150" cy="2657475"/>
            <wp:effectExtent l="0" t="0" r="0" b="9525"/>
            <wp:docPr id="4" name="مخطط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6EFCA57" w14:textId="77777777" w:rsidR="00015248" w:rsidRPr="00300A72" w:rsidRDefault="00015248" w:rsidP="00300A72">
      <w:pPr>
        <w:shd w:val="clear" w:color="auto" w:fill="FFFFFF"/>
        <w:bidi w:val="0"/>
        <w:spacing w:before="300" w:after="150" w:line="240" w:lineRule="auto"/>
        <w:jc w:val="both"/>
        <w:rPr>
          <w:rFonts w:ascii="Times New Roman" w:eastAsia="Times New Roman" w:hAnsi="Times New Roman" w:cs="Times New Roman"/>
          <w:color w:val="000000"/>
          <w:sz w:val="24"/>
          <w:szCs w:val="24"/>
          <w:lang w:val="en"/>
        </w:rPr>
      </w:pPr>
      <w:r w:rsidRPr="00300A72">
        <w:rPr>
          <w:rFonts w:ascii="Times New Roman" w:eastAsia="Times New Roman" w:hAnsi="Times New Roman" w:cs="Times New Roman"/>
          <w:color w:val="000000"/>
          <w:sz w:val="24"/>
          <w:szCs w:val="24"/>
          <w:lang w:val="en"/>
        </w:rPr>
        <w:t xml:space="preserve"> Figure 3:</w:t>
      </w:r>
      <w:r w:rsidRPr="00300A72">
        <w:rPr>
          <w:rFonts w:ascii="Times New Roman" w:eastAsia="Times New Roman" w:hAnsi="Times New Roman" w:cs="Times New Roman"/>
          <w:color w:val="000000"/>
          <w:sz w:val="24"/>
          <w:szCs w:val="24"/>
          <w:lang w:val="en-GB"/>
        </w:rPr>
        <w:t> Effects of ZONPS</w:t>
      </w:r>
      <w:r w:rsidRPr="00300A72">
        <w:rPr>
          <w:rFonts w:ascii="Times New Roman" w:eastAsia="Times New Roman" w:hAnsi="Times New Roman" w:cs="Times New Roman"/>
          <w:color w:val="333333"/>
          <w:sz w:val="24"/>
          <w:szCs w:val="24"/>
          <w:lang w:val="en"/>
        </w:rPr>
        <w:t> on liver function and plasma antioxidants</w:t>
      </w:r>
    </w:p>
    <w:p w14:paraId="091050F1" w14:textId="77777777" w:rsidR="00015248" w:rsidRPr="00300A72" w:rsidRDefault="00015248"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hAnsi="Times New Roman" w:cs="Times New Roman"/>
          <w:b/>
          <w:bCs/>
          <w:sz w:val="24"/>
          <w:szCs w:val="24"/>
        </w:rPr>
        <w:t>Conclusion</w:t>
      </w:r>
      <w:r w:rsidRPr="00300A72">
        <w:rPr>
          <w:rFonts w:ascii="Times New Roman" w:eastAsia="Times New Roman" w:hAnsi="Times New Roman" w:cs="Times New Roman"/>
          <w:color w:val="000000"/>
          <w:sz w:val="24"/>
          <w:szCs w:val="24"/>
        </w:rPr>
        <w:t>:</w:t>
      </w:r>
    </w:p>
    <w:p w14:paraId="73C88969" w14:textId="456E7ABC" w:rsidR="00AE6AF8" w:rsidRDefault="00AE6AF8" w:rsidP="00AE6AF8">
      <w:pPr>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EE0000"/>
          <w:sz w:val="24"/>
          <w:szCs w:val="24"/>
          <w:shd w:val="clear" w:color="auto" w:fill="FFFFFF"/>
        </w:rPr>
        <w:t>T</w:t>
      </w:r>
      <w:r w:rsidR="00015248" w:rsidRPr="00300A72">
        <w:rPr>
          <w:rFonts w:ascii="Times New Roman" w:eastAsia="Times New Roman" w:hAnsi="Times New Roman" w:cs="Times New Roman"/>
          <w:color w:val="000000"/>
          <w:sz w:val="24"/>
          <w:szCs w:val="24"/>
          <w:shd w:val="clear" w:color="auto" w:fill="FFFFFF"/>
        </w:rPr>
        <w:t>he administration of zinc oxide nanoparticals at a concentration of 100 mg/kg leads to improved bird health with weight gain, nutritional conversion efficiency, antioxidants, and efficient liver and kidney activity</w:t>
      </w:r>
    </w:p>
    <w:p w14:paraId="5B51F538" w14:textId="0A4E2AB1" w:rsidR="00015248" w:rsidRPr="00300A72" w:rsidRDefault="00015248" w:rsidP="00AE6AF8">
      <w:pPr>
        <w:jc w:val="both"/>
        <w:rPr>
          <w:rFonts w:ascii="Times New Roman" w:eastAsia="Times New Roman" w:hAnsi="Times New Roman" w:cs="Times New Roman"/>
          <w:b/>
          <w:bCs/>
          <w:color w:val="000000"/>
          <w:sz w:val="24"/>
          <w:szCs w:val="24"/>
        </w:rPr>
      </w:pPr>
      <w:r w:rsidRPr="00300A72">
        <w:rPr>
          <w:rFonts w:ascii="Times New Roman" w:eastAsia="Times New Roman" w:hAnsi="Times New Roman" w:cs="Times New Roman"/>
          <w:color w:val="000000"/>
          <w:sz w:val="24"/>
          <w:szCs w:val="24"/>
        </w:rPr>
        <w:t> </w:t>
      </w:r>
      <w:proofErr w:type="spellStart"/>
      <w:r w:rsidRPr="00300A72">
        <w:rPr>
          <w:rFonts w:ascii="Times New Roman" w:eastAsia="Times New Roman" w:hAnsi="Times New Roman" w:cs="Times New Roman"/>
          <w:b/>
          <w:bCs/>
          <w:color w:val="000000"/>
          <w:sz w:val="24"/>
          <w:szCs w:val="24"/>
        </w:rPr>
        <w:t>Refrances</w:t>
      </w:r>
      <w:proofErr w:type="spellEnd"/>
      <w:r w:rsidRPr="00300A72">
        <w:rPr>
          <w:rFonts w:ascii="Times New Roman" w:eastAsia="Times New Roman" w:hAnsi="Times New Roman" w:cs="Times New Roman"/>
          <w:b/>
          <w:bCs/>
          <w:color w:val="000000"/>
          <w:sz w:val="24"/>
          <w:szCs w:val="24"/>
        </w:rPr>
        <w:t>:</w:t>
      </w:r>
    </w:p>
    <w:p w14:paraId="4A861C39" w14:textId="77777777" w:rsidR="00015248" w:rsidRPr="00300A72" w:rsidRDefault="00015248"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rPr>
        <w:t>1-</w:t>
      </w:r>
      <w:r w:rsidRPr="00300A72">
        <w:rPr>
          <w:rFonts w:ascii="Times New Roman" w:hAnsi="Times New Roman" w:cs="Times New Roman"/>
          <w:sz w:val="24"/>
          <w:szCs w:val="24"/>
        </w:rPr>
        <w:t xml:space="preserve">Świątkiewicz, S, A </w:t>
      </w:r>
      <w:proofErr w:type="spellStart"/>
      <w:r w:rsidRPr="00300A72">
        <w:rPr>
          <w:rFonts w:ascii="Times New Roman" w:hAnsi="Times New Roman" w:cs="Times New Roman"/>
          <w:sz w:val="24"/>
          <w:szCs w:val="24"/>
        </w:rPr>
        <w:t>Arczewska-Włosek</w:t>
      </w:r>
      <w:proofErr w:type="spellEnd"/>
      <w:r w:rsidRPr="00300A72">
        <w:rPr>
          <w:rFonts w:ascii="Times New Roman" w:hAnsi="Times New Roman" w:cs="Times New Roman"/>
          <w:sz w:val="24"/>
          <w:szCs w:val="24"/>
        </w:rPr>
        <w:t>, and D Jozefiak. 2014. "The efficacy of organic minerals in poultry nutrition: review and implications of recent studies." World's Poultry Science Journal 70 (3):475-486.</w:t>
      </w:r>
    </w:p>
    <w:p w14:paraId="533F5E5E" w14:textId="77777777" w:rsidR="00015248" w:rsidRPr="00300A72" w:rsidRDefault="00015248"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rPr>
        <w:t>2-</w:t>
      </w:r>
      <w:r w:rsidRPr="00300A72">
        <w:rPr>
          <w:rFonts w:ascii="Times New Roman" w:hAnsi="Times New Roman" w:cs="Times New Roman"/>
          <w:sz w:val="24"/>
          <w:szCs w:val="24"/>
        </w:rPr>
        <w:t xml:space="preserve">KO, </w:t>
      </w:r>
      <w:proofErr w:type="spellStart"/>
      <w:r w:rsidRPr="00300A72">
        <w:rPr>
          <w:rFonts w:ascii="Times New Roman" w:hAnsi="Times New Roman" w:cs="Times New Roman"/>
          <w:sz w:val="24"/>
          <w:szCs w:val="24"/>
        </w:rPr>
        <w:t>Soetan</w:t>
      </w:r>
      <w:proofErr w:type="spellEnd"/>
      <w:r w:rsidRPr="00300A72">
        <w:rPr>
          <w:rFonts w:ascii="Times New Roman" w:hAnsi="Times New Roman" w:cs="Times New Roman"/>
          <w:sz w:val="24"/>
          <w:szCs w:val="24"/>
        </w:rPr>
        <w:t>, Olaiya CO, and E Oyewole O. 2010. "The importance of mineral elements for humans, domestic animals and plants-A review." African journal of food science 4 (5):200-222.</w:t>
      </w:r>
    </w:p>
    <w:p w14:paraId="2CE453E2" w14:textId="77777777" w:rsidR="00015248" w:rsidRPr="00300A72" w:rsidRDefault="00015248"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rPr>
        <w:t>3-</w:t>
      </w:r>
      <w:r w:rsidRPr="00300A72">
        <w:rPr>
          <w:rFonts w:ascii="Times New Roman" w:hAnsi="Times New Roman" w:cs="Times New Roman"/>
          <w:sz w:val="24"/>
          <w:szCs w:val="24"/>
        </w:rPr>
        <w:t>Dieck, Heike, Frank Döring, Hans-Peter Roth, and Hannelore Daniel. 2003. "Changes in rat hepatic gene expression in response to zinc deficiency as assessed by DNA arrays." The Journal of nutrition 133 (4):1004-1010.</w:t>
      </w:r>
    </w:p>
    <w:p w14:paraId="553B108B" w14:textId="77777777" w:rsidR="00015248" w:rsidRPr="00300A72" w:rsidRDefault="00015248"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rPr>
        <w:lastRenderedPageBreak/>
        <w:t>4-</w:t>
      </w:r>
      <w:r w:rsidRPr="00300A72">
        <w:rPr>
          <w:rFonts w:ascii="Times New Roman" w:hAnsi="Times New Roman" w:cs="Times New Roman"/>
          <w:sz w:val="24"/>
          <w:szCs w:val="24"/>
        </w:rPr>
        <w:t>Nollet, L, JD Van der Klis, M Lensing, and P Spring. 2007. "The effect of replacing</w:t>
      </w:r>
      <w:r w:rsidRPr="00300A72">
        <w:rPr>
          <w:rFonts w:ascii="Times New Roman" w:eastAsia="Times New Roman" w:hAnsi="Times New Roman" w:cs="Times New Roman"/>
          <w:color w:val="000000"/>
          <w:sz w:val="24"/>
          <w:szCs w:val="24"/>
        </w:rPr>
        <w:t xml:space="preserve"> </w:t>
      </w:r>
      <w:r w:rsidRPr="00300A72">
        <w:rPr>
          <w:rFonts w:ascii="Times New Roman" w:hAnsi="Times New Roman" w:cs="Times New Roman"/>
          <w:sz w:val="24"/>
          <w:szCs w:val="24"/>
        </w:rPr>
        <w:t>inorganic with organic trace minerals in broiler diets on productive performance and mineral excretion." Journal of Applied Poultry Research 16 (4):592-597.</w:t>
      </w:r>
    </w:p>
    <w:p w14:paraId="0ECC8761" w14:textId="77777777" w:rsidR="00015248" w:rsidRPr="00300A72" w:rsidRDefault="00015248"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rPr>
        <w:t>5-</w:t>
      </w:r>
      <w:r w:rsidRPr="00300A72">
        <w:rPr>
          <w:rFonts w:ascii="Times New Roman" w:eastAsia="Times New Roman" w:hAnsi="Times New Roman" w:cs="Times New Roman"/>
          <w:sz w:val="24"/>
          <w:szCs w:val="24"/>
          <w:lang w:val="en"/>
        </w:rPr>
        <w:t xml:space="preserve"> NRC, Nutrient Requirements of Poultry, 9th ed., Washington, DC., USA, 1994</w:t>
      </w:r>
      <w:r w:rsidRPr="00300A72">
        <w:rPr>
          <w:rFonts w:ascii="Times New Roman" w:eastAsia="Times New Roman" w:hAnsi="Times New Roman" w:cs="Times New Roman"/>
          <w:color w:val="000000"/>
          <w:sz w:val="24"/>
          <w:szCs w:val="24"/>
        </w:rPr>
        <w:t>.</w:t>
      </w:r>
    </w:p>
    <w:p w14:paraId="38FC96DB" w14:textId="77777777" w:rsidR="00015248" w:rsidRPr="00300A72" w:rsidRDefault="00015248"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rPr>
        <w:t>6-</w:t>
      </w:r>
      <w:r w:rsidRPr="00300A72">
        <w:rPr>
          <w:rFonts w:ascii="Times New Roman" w:eastAsia="Times New Roman" w:hAnsi="Times New Roman" w:cs="Times New Roman"/>
          <w:sz w:val="24"/>
          <w:szCs w:val="24"/>
          <w:lang w:val="en"/>
        </w:rPr>
        <w:t xml:space="preserve"> A.L. Burrell, W.A. Dozier, A.J. Davis, M.M. Compton, M.E. Freeman, P.F. Vendrell, T.L. Ward, Responses of broilers to dietary zinc concentrations and sources in relation to environmental implications, Br. Poult. Sci. 45 (2004) 225–263</w:t>
      </w:r>
      <w:r w:rsidRPr="00300A72">
        <w:rPr>
          <w:rFonts w:ascii="Times New Roman" w:eastAsia="Times New Roman" w:hAnsi="Times New Roman" w:cs="Times New Roman"/>
          <w:color w:val="000000"/>
          <w:sz w:val="24"/>
          <w:szCs w:val="24"/>
        </w:rPr>
        <w:t>.</w:t>
      </w:r>
    </w:p>
    <w:p w14:paraId="3F432BC3" w14:textId="77777777" w:rsidR="00015248" w:rsidRPr="00300A72" w:rsidRDefault="00015248"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rPr>
        <w:t>7-</w:t>
      </w:r>
      <w:r w:rsidRPr="00300A72">
        <w:rPr>
          <w:rFonts w:ascii="Times New Roman" w:eastAsia="Times New Roman" w:hAnsi="Times New Roman" w:cs="Times New Roman"/>
          <w:sz w:val="24"/>
          <w:szCs w:val="24"/>
          <w:lang w:val="en"/>
        </w:rPr>
        <w:t xml:space="preserve"> A. Kumar, A. </w:t>
      </w:r>
      <w:proofErr w:type="spellStart"/>
      <w:r w:rsidRPr="00300A72">
        <w:rPr>
          <w:rFonts w:ascii="Times New Roman" w:eastAsia="Times New Roman" w:hAnsi="Times New Roman" w:cs="Times New Roman"/>
          <w:sz w:val="24"/>
          <w:szCs w:val="24"/>
          <w:lang w:val="en"/>
        </w:rPr>
        <w:t>Hosseindoust</w:t>
      </w:r>
      <w:proofErr w:type="spellEnd"/>
      <w:r w:rsidRPr="00300A72">
        <w:rPr>
          <w:rFonts w:ascii="Times New Roman" w:eastAsia="Times New Roman" w:hAnsi="Times New Roman" w:cs="Times New Roman"/>
          <w:sz w:val="24"/>
          <w:szCs w:val="24"/>
          <w:lang w:val="en"/>
        </w:rPr>
        <w:t>, M. Kim, K. Kim, Y. Choi, S. Lee, S. Lee, J. Lee, H. Cho, W.S. Kang, B. Chae, Nano-sized zinc in broiler chickens: effects on growth performance, zinc concentration in organs, and intestinal morphology, J. Poult. Sci. 58 (2021) 21–29,</w:t>
      </w:r>
    </w:p>
    <w:p w14:paraId="01399F75" w14:textId="77777777" w:rsidR="00015248" w:rsidRPr="00300A72" w:rsidRDefault="00015248" w:rsidP="00300A72">
      <w:pPr>
        <w:autoSpaceDE w:val="0"/>
        <w:autoSpaceDN w:val="0"/>
        <w:bidi w:val="0"/>
        <w:adjustRightInd w:val="0"/>
        <w:spacing w:after="0" w:line="240" w:lineRule="auto"/>
        <w:jc w:val="both"/>
        <w:rPr>
          <w:rFonts w:ascii="Times New Roman" w:hAnsi="Times New Roman" w:cs="Times New Roman"/>
          <w:sz w:val="24"/>
          <w:szCs w:val="24"/>
        </w:rPr>
      </w:pPr>
      <w:r w:rsidRPr="00300A72">
        <w:rPr>
          <w:rFonts w:ascii="Times New Roman" w:eastAsia="Times New Roman" w:hAnsi="Times New Roman" w:cs="Times New Roman"/>
          <w:color w:val="000000"/>
          <w:sz w:val="24"/>
          <w:szCs w:val="24"/>
        </w:rPr>
        <w:t>8-</w:t>
      </w:r>
      <w:r w:rsidRPr="00300A72">
        <w:rPr>
          <w:rFonts w:ascii="Times New Roman" w:hAnsi="Times New Roman" w:cs="Times New Roman"/>
          <w:sz w:val="24"/>
          <w:szCs w:val="24"/>
        </w:rPr>
        <w:t xml:space="preserve"> Gopi, M., B. </w:t>
      </w:r>
      <w:proofErr w:type="spellStart"/>
      <w:r w:rsidRPr="00300A72">
        <w:rPr>
          <w:rFonts w:ascii="Times New Roman" w:hAnsi="Times New Roman" w:cs="Times New Roman"/>
          <w:sz w:val="24"/>
          <w:szCs w:val="24"/>
        </w:rPr>
        <w:t>Pearlin</w:t>
      </w:r>
      <w:proofErr w:type="spellEnd"/>
      <w:r w:rsidRPr="00300A72">
        <w:rPr>
          <w:rFonts w:ascii="Times New Roman" w:hAnsi="Times New Roman" w:cs="Times New Roman"/>
          <w:sz w:val="24"/>
          <w:szCs w:val="24"/>
        </w:rPr>
        <w:t>, R.D. Kumar, M. Shanmathy and G. Prabakar (2017). Role of</w:t>
      </w:r>
    </w:p>
    <w:p w14:paraId="7E465A0B" w14:textId="77777777" w:rsidR="00015248" w:rsidRPr="00300A72" w:rsidRDefault="00015248" w:rsidP="00300A72">
      <w:pPr>
        <w:autoSpaceDE w:val="0"/>
        <w:autoSpaceDN w:val="0"/>
        <w:bidi w:val="0"/>
        <w:adjustRightInd w:val="0"/>
        <w:spacing w:after="0" w:line="240" w:lineRule="auto"/>
        <w:jc w:val="both"/>
        <w:rPr>
          <w:rFonts w:ascii="Times New Roman" w:eastAsia="Times New Roman" w:hAnsi="Times New Roman" w:cs="Times New Roman"/>
          <w:color w:val="000000"/>
          <w:sz w:val="24"/>
          <w:szCs w:val="24"/>
        </w:rPr>
      </w:pPr>
      <w:r w:rsidRPr="00300A72">
        <w:rPr>
          <w:rFonts w:ascii="Times New Roman" w:hAnsi="Times New Roman" w:cs="Times New Roman"/>
          <w:sz w:val="24"/>
          <w:szCs w:val="24"/>
        </w:rPr>
        <w:t xml:space="preserve">nanoparticles in animal and poultry nutrition: Modes of action and applications in formulating </w:t>
      </w:r>
      <w:proofErr w:type="gramStart"/>
      <w:r w:rsidRPr="00300A72">
        <w:rPr>
          <w:rFonts w:ascii="Times New Roman" w:hAnsi="Times New Roman" w:cs="Times New Roman"/>
          <w:sz w:val="24"/>
          <w:szCs w:val="24"/>
        </w:rPr>
        <w:t>feed  additives</w:t>
      </w:r>
      <w:proofErr w:type="gramEnd"/>
      <w:r w:rsidRPr="00300A72">
        <w:rPr>
          <w:rFonts w:ascii="Times New Roman" w:hAnsi="Times New Roman" w:cs="Times New Roman"/>
          <w:sz w:val="24"/>
          <w:szCs w:val="24"/>
        </w:rPr>
        <w:t xml:space="preserve"> and food processing. Int. J. </w:t>
      </w:r>
      <w:proofErr w:type="spellStart"/>
      <w:r w:rsidRPr="00300A72">
        <w:rPr>
          <w:rFonts w:ascii="Times New Roman" w:hAnsi="Times New Roman" w:cs="Times New Roman"/>
          <w:sz w:val="24"/>
          <w:szCs w:val="24"/>
        </w:rPr>
        <w:t>Pharmacol</w:t>
      </w:r>
      <w:proofErr w:type="spellEnd"/>
      <w:r w:rsidRPr="00300A72">
        <w:rPr>
          <w:rFonts w:ascii="Times New Roman" w:hAnsi="Times New Roman" w:cs="Times New Roman"/>
          <w:sz w:val="24"/>
          <w:szCs w:val="24"/>
        </w:rPr>
        <w:t>., 13: 724-731.</w:t>
      </w:r>
    </w:p>
    <w:p w14:paraId="7D6C524A" w14:textId="77777777" w:rsidR="00015248" w:rsidRPr="00300A72" w:rsidRDefault="00015248"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rPr>
        <w:t>9-</w:t>
      </w:r>
      <w:r w:rsidRPr="00300A72">
        <w:rPr>
          <w:rFonts w:ascii="Times New Roman" w:hAnsi="Times New Roman" w:cs="Times New Roman"/>
          <w:sz w:val="24"/>
          <w:szCs w:val="24"/>
        </w:rPr>
        <w:t xml:space="preserve"> Yin, Y.</w:t>
      </w:r>
      <w:proofErr w:type="gramStart"/>
      <w:r w:rsidRPr="00300A72">
        <w:rPr>
          <w:rFonts w:ascii="Times New Roman" w:hAnsi="Times New Roman" w:cs="Times New Roman"/>
          <w:sz w:val="24"/>
          <w:szCs w:val="24"/>
        </w:rPr>
        <w:t>;  Rioux</w:t>
      </w:r>
      <w:proofErr w:type="gramEnd"/>
      <w:r w:rsidRPr="00300A72">
        <w:rPr>
          <w:rFonts w:ascii="Times New Roman" w:hAnsi="Times New Roman" w:cs="Times New Roman"/>
          <w:sz w:val="24"/>
          <w:szCs w:val="24"/>
        </w:rPr>
        <w:t>, R. M.</w:t>
      </w:r>
      <w:proofErr w:type="gramStart"/>
      <w:r w:rsidRPr="00300A72">
        <w:rPr>
          <w:rFonts w:ascii="Times New Roman" w:hAnsi="Times New Roman" w:cs="Times New Roman"/>
          <w:sz w:val="24"/>
          <w:szCs w:val="24"/>
        </w:rPr>
        <w:t xml:space="preserve">;  </w:t>
      </w:r>
      <w:proofErr w:type="spellStart"/>
      <w:r w:rsidRPr="00300A72">
        <w:rPr>
          <w:rFonts w:ascii="Times New Roman" w:hAnsi="Times New Roman" w:cs="Times New Roman"/>
          <w:sz w:val="24"/>
          <w:szCs w:val="24"/>
        </w:rPr>
        <w:t>Erdonmez</w:t>
      </w:r>
      <w:proofErr w:type="spellEnd"/>
      <w:proofErr w:type="gramEnd"/>
      <w:r w:rsidRPr="00300A72">
        <w:rPr>
          <w:rFonts w:ascii="Times New Roman" w:hAnsi="Times New Roman" w:cs="Times New Roman"/>
          <w:sz w:val="24"/>
          <w:szCs w:val="24"/>
        </w:rPr>
        <w:t>, C. K.</w:t>
      </w:r>
      <w:proofErr w:type="gramStart"/>
      <w:r w:rsidRPr="00300A72">
        <w:rPr>
          <w:rFonts w:ascii="Times New Roman" w:hAnsi="Times New Roman" w:cs="Times New Roman"/>
          <w:sz w:val="24"/>
          <w:szCs w:val="24"/>
        </w:rPr>
        <w:t>;  Hughes</w:t>
      </w:r>
      <w:proofErr w:type="gramEnd"/>
      <w:r w:rsidRPr="00300A72">
        <w:rPr>
          <w:rFonts w:ascii="Times New Roman" w:hAnsi="Times New Roman" w:cs="Times New Roman"/>
          <w:sz w:val="24"/>
          <w:szCs w:val="24"/>
        </w:rPr>
        <w:t>, S.</w:t>
      </w:r>
      <w:proofErr w:type="gramStart"/>
      <w:r w:rsidRPr="00300A72">
        <w:rPr>
          <w:rFonts w:ascii="Times New Roman" w:hAnsi="Times New Roman" w:cs="Times New Roman"/>
          <w:sz w:val="24"/>
          <w:szCs w:val="24"/>
        </w:rPr>
        <w:t>;  Somorjai</w:t>
      </w:r>
      <w:proofErr w:type="gramEnd"/>
      <w:r w:rsidRPr="00300A72">
        <w:rPr>
          <w:rFonts w:ascii="Times New Roman" w:hAnsi="Times New Roman" w:cs="Times New Roman"/>
          <w:sz w:val="24"/>
          <w:szCs w:val="24"/>
        </w:rPr>
        <w:t xml:space="preserve">, G. A.; </w:t>
      </w:r>
      <w:proofErr w:type="spellStart"/>
      <w:r w:rsidRPr="00300A72">
        <w:rPr>
          <w:rFonts w:ascii="Times New Roman" w:hAnsi="Times New Roman" w:cs="Times New Roman"/>
          <w:sz w:val="24"/>
          <w:szCs w:val="24"/>
        </w:rPr>
        <w:t>Alivisatos</w:t>
      </w:r>
      <w:proofErr w:type="spellEnd"/>
      <w:r w:rsidRPr="00300A72">
        <w:rPr>
          <w:rFonts w:ascii="Times New Roman" w:hAnsi="Times New Roman" w:cs="Times New Roman"/>
          <w:sz w:val="24"/>
          <w:szCs w:val="24"/>
        </w:rPr>
        <w:t xml:space="preserve">, A. P., Formation of Hollow Nanocrystals Through the Nanoscale Kirkendall Effect. </w:t>
      </w:r>
      <w:r w:rsidRPr="00300A72">
        <w:rPr>
          <w:rFonts w:ascii="Times New Roman" w:hAnsi="Times New Roman" w:cs="Times New Roman"/>
          <w:b/>
          <w:sz w:val="24"/>
          <w:szCs w:val="24"/>
        </w:rPr>
        <w:t>2004,</w:t>
      </w:r>
      <w:r w:rsidRPr="00300A72">
        <w:rPr>
          <w:rFonts w:ascii="Times New Roman" w:hAnsi="Times New Roman" w:cs="Times New Roman"/>
          <w:sz w:val="24"/>
          <w:szCs w:val="24"/>
        </w:rPr>
        <w:t xml:space="preserve"> </w:t>
      </w:r>
      <w:r w:rsidRPr="00300A72">
        <w:rPr>
          <w:rFonts w:ascii="Times New Roman" w:hAnsi="Times New Roman" w:cs="Times New Roman"/>
          <w:i/>
          <w:sz w:val="24"/>
          <w:szCs w:val="24"/>
        </w:rPr>
        <w:t>304</w:t>
      </w:r>
      <w:r w:rsidRPr="00300A72">
        <w:rPr>
          <w:rFonts w:ascii="Times New Roman" w:hAnsi="Times New Roman" w:cs="Times New Roman"/>
          <w:sz w:val="24"/>
          <w:szCs w:val="24"/>
        </w:rPr>
        <w:t xml:space="preserve"> (5671), 711-714.</w:t>
      </w:r>
    </w:p>
    <w:p w14:paraId="7B9F16C2" w14:textId="77777777" w:rsidR="00015248" w:rsidRPr="00300A72" w:rsidRDefault="00015248"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rPr>
        <w:t>10-</w:t>
      </w:r>
      <w:r w:rsidRPr="00300A72">
        <w:rPr>
          <w:rFonts w:ascii="Times New Roman" w:hAnsi="Times New Roman" w:cs="Times New Roman"/>
          <w:sz w:val="24"/>
          <w:szCs w:val="24"/>
        </w:rPr>
        <w:t xml:space="preserve"> Miller, Nicholas J, Catherine Rice-Evans, Michael J Davies, Vimala Gopinathan, and Anthony Milner. 1993. "A novel method for measuring antioxidant capacity and its application to monitoring the antioxidant status in premature neonates." Clinical science 84 (4):407-412.</w:t>
      </w:r>
    </w:p>
    <w:p w14:paraId="1393C3B3" w14:textId="77777777" w:rsidR="00015248" w:rsidRPr="00300A72" w:rsidRDefault="00015248"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rPr>
        <w:t>11-</w:t>
      </w:r>
      <w:r w:rsidRPr="00300A72">
        <w:rPr>
          <w:rFonts w:ascii="Times New Roman" w:hAnsi="Times New Roman" w:cs="Times New Roman"/>
          <w:sz w:val="24"/>
          <w:szCs w:val="24"/>
        </w:rPr>
        <w:t xml:space="preserve"> Paglia, Donald E, and William N Valentine. 1967. "Studies on the quantitative and qualitative characterization of erythrocyte glutathione peroxidase." The Journal of laboratory and clinical medicine 70 (1):158-169.</w:t>
      </w:r>
    </w:p>
    <w:p w14:paraId="5E58EEE5" w14:textId="77777777" w:rsidR="00015248" w:rsidRPr="00300A72" w:rsidRDefault="00015248"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rPr>
        <w:t>12-</w:t>
      </w:r>
      <w:r w:rsidRPr="00300A72">
        <w:rPr>
          <w:rFonts w:ascii="Times New Roman" w:hAnsi="Times New Roman" w:cs="Times New Roman"/>
          <w:sz w:val="24"/>
          <w:szCs w:val="24"/>
        </w:rPr>
        <w:t xml:space="preserve"> Jo, C, and DU Ahn. 1998. "Fluorometric analysis of 2-thiobarbituric acid reactive substances in turkey." Poultry science 77 (3):475-480.</w:t>
      </w:r>
    </w:p>
    <w:p w14:paraId="66F5D909" w14:textId="77777777" w:rsidR="00015248" w:rsidRPr="00300A72" w:rsidRDefault="00015248"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rPr>
        <w:t>13- Awan, M. A.</w:t>
      </w:r>
      <w:proofErr w:type="gramStart"/>
      <w:r w:rsidRPr="00300A72">
        <w:rPr>
          <w:rFonts w:ascii="Times New Roman" w:eastAsia="Times New Roman" w:hAnsi="Times New Roman" w:cs="Times New Roman"/>
          <w:color w:val="000000"/>
          <w:sz w:val="24"/>
          <w:szCs w:val="24"/>
        </w:rPr>
        <w:t>;  Akhter</w:t>
      </w:r>
      <w:proofErr w:type="gramEnd"/>
      <w:r w:rsidRPr="00300A72">
        <w:rPr>
          <w:rFonts w:ascii="Times New Roman" w:eastAsia="Times New Roman" w:hAnsi="Times New Roman" w:cs="Times New Roman"/>
          <w:color w:val="000000"/>
          <w:sz w:val="24"/>
          <w:szCs w:val="24"/>
        </w:rPr>
        <w:t>, S.</w:t>
      </w:r>
      <w:proofErr w:type="gramStart"/>
      <w:r w:rsidRPr="00300A72">
        <w:rPr>
          <w:rFonts w:ascii="Times New Roman" w:eastAsia="Times New Roman" w:hAnsi="Times New Roman" w:cs="Times New Roman"/>
          <w:color w:val="000000"/>
          <w:sz w:val="24"/>
          <w:szCs w:val="24"/>
        </w:rPr>
        <w:t>;  Husna</w:t>
      </w:r>
      <w:proofErr w:type="gramEnd"/>
      <w:r w:rsidRPr="00300A72">
        <w:rPr>
          <w:rFonts w:ascii="Times New Roman" w:eastAsia="Times New Roman" w:hAnsi="Times New Roman" w:cs="Times New Roman"/>
          <w:color w:val="000000"/>
          <w:sz w:val="24"/>
          <w:szCs w:val="24"/>
        </w:rPr>
        <w:t>, A. U.</w:t>
      </w:r>
      <w:proofErr w:type="gramStart"/>
      <w:r w:rsidRPr="00300A72">
        <w:rPr>
          <w:rFonts w:ascii="Times New Roman" w:eastAsia="Times New Roman" w:hAnsi="Times New Roman" w:cs="Times New Roman"/>
          <w:color w:val="000000"/>
          <w:sz w:val="24"/>
          <w:szCs w:val="24"/>
        </w:rPr>
        <w:t>;  Ansari</w:t>
      </w:r>
      <w:proofErr w:type="gramEnd"/>
      <w:r w:rsidRPr="00300A72">
        <w:rPr>
          <w:rFonts w:ascii="Times New Roman" w:eastAsia="Times New Roman" w:hAnsi="Times New Roman" w:cs="Times New Roman"/>
          <w:color w:val="000000"/>
          <w:sz w:val="24"/>
          <w:szCs w:val="24"/>
        </w:rPr>
        <w:t>, M. S.</w:t>
      </w:r>
      <w:proofErr w:type="gramStart"/>
      <w:r w:rsidRPr="00300A72">
        <w:rPr>
          <w:rFonts w:ascii="Times New Roman" w:eastAsia="Times New Roman" w:hAnsi="Times New Roman" w:cs="Times New Roman"/>
          <w:color w:val="000000"/>
          <w:sz w:val="24"/>
          <w:szCs w:val="24"/>
        </w:rPr>
        <w:t>;  Rakha</w:t>
      </w:r>
      <w:proofErr w:type="gramEnd"/>
      <w:r w:rsidRPr="00300A72">
        <w:rPr>
          <w:rFonts w:ascii="Times New Roman" w:eastAsia="Times New Roman" w:hAnsi="Times New Roman" w:cs="Times New Roman"/>
          <w:color w:val="000000"/>
          <w:sz w:val="24"/>
          <w:szCs w:val="24"/>
        </w:rPr>
        <w:t>, B. A.</w:t>
      </w:r>
      <w:proofErr w:type="gramStart"/>
      <w:r w:rsidRPr="00300A72">
        <w:rPr>
          <w:rFonts w:ascii="Times New Roman" w:eastAsia="Times New Roman" w:hAnsi="Times New Roman" w:cs="Times New Roman"/>
          <w:color w:val="000000"/>
          <w:sz w:val="24"/>
          <w:szCs w:val="24"/>
        </w:rPr>
        <w:t>;  Azam</w:t>
      </w:r>
      <w:proofErr w:type="gramEnd"/>
      <w:r w:rsidRPr="00300A72">
        <w:rPr>
          <w:rFonts w:ascii="Times New Roman" w:eastAsia="Times New Roman" w:hAnsi="Times New Roman" w:cs="Times New Roman"/>
          <w:color w:val="000000"/>
          <w:sz w:val="24"/>
          <w:szCs w:val="24"/>
        </w:rPr>
        <w:t xml:space="preserve">, A.; Qadeer, S., Antioxidant activity of Nigella sativa Seeds Aqueous Extract and its use for cryopreservation of buffalo spermatozoa. </w:t>
      </w:r>
      <w:proofErr w:type="spellStart"/>
      <w:r w:rsidRPr="00300A72">
        <w:rPr>
          <w:rFonts w:ascii="Times New Roman" w:eastAsia="Times New Roman" w:hAnsi="Times New Roman" w:cs="Times New Roman"/>
          <w:color w:val="000000"/>
          <w:sz w:val="24"/>
          <w:szCs w:val="24"/>
        </w:rPr>
        <w:t>Andrologia</w:t>
      </w:r>
      <w:proofErr w:type="spellEnd"/>
      <w:r w:rsidRPr="00300A72">
        <w:rPr>
          <w:rFonts w:ascii="Times New Roman" w:eastAsia="Times New Roman" w:hAnsi="Times New Roman" w:cs="Times New Roman"/>
          <w:color w:val="000000"/>
          <w:sz w:val="24"/>
          <w:szCs w:val="24"/>
        </w:rPr>
        <w:t xml:space="preserve"> 2018, 50 (6), e13020.</w:t>
      </w:r>
    </w:p>
    <w:p w14:paraId="29AF7885" w14:textId="77777777" w:rsidR="00015248" w:rsidRPr="00300A72" w:rsidRDefault="00015248"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rPr>
        <w:t>14- Kaviyarasi, T.</w:t>
      </w:r>
      <w:proofErr w:type="gramStart"/>
      <w:r w:rsidRPr="00300A72">
        <w:rPr>
          <w:rFonts w:ascii="Times New Roman" w:eastAsia="Times New Roman" w:hAnsi="Times New Roman" w:cs="Times New Roman"/>
          <w:color w:val="000000"/>
          <w:sz w:val="24"/>
          <w:szCs w:val="24"/>
        </w:rPr>
        <w:t>;  Muthulakshmi</w:t>
      </w:r>
      <w:proofErr w:type="gramEnd"/>
      <w:r w:rsidRPr="00300A72">
        <w:rPr>
          <w:rFonts w:ascii="Times New Roman" w:eastAsia="Times New Roman" w:hAnsi="Times New Roman" w:cs="Times New Roman"/>
          <w:color w:val="000000"/>
          <w:sz w:val="24"/>
          <w:szCs w:val="24"/>
        </w:rPr>
        <w:t xml:space="preserve">, B.; Kavitha, C., Green synthesis and characterization of zinc nanoparticle using Aegle </w:t>
      </w:r>
      <w:proofErr w:type="spellStart"/>
      <w:r w:rsidRPr="00300A72">
        <w:rPr>
          <w:rFonts w:ascii="Times New Roman" w:eastAsia="Times New Roman" w:hAnsi="Times New Roman" w:cs="Times New Roman"/>
          <w:color w:val="000000"/>
          <w:sz w:val="24"/>
          <w:szCs w:val="24"/>
        </w:rPr>
        <w:t>marmelos</w:t>
      </w:r>
      <w:proofErr w:type="spellEnd"/>
      <w:r w:rsidRPr="00300A72">
        <w:rPr>
          <w:rFonts w:ascii="Times New Roman" w:eastAsia="Times New Roman" w:hAnsi="Times New Roman" w:cs="Times New Roman"/>
          <w:color w:val="000000"/>
          <w:sz w:val="24"/>
          <w:szCs w:val="24"/>
        </w:rPr>
        <w:t xml:space="preserve"> leaf extract. International Journal of </w:t>
      </w:r>
      <w:proofErr w:type="spellStart"/>
      <w:r w:rsidRPr="00300A72">
        <w:rPr>
          <w:rFonts w:ascii="Times New Roman" w:eastAsia="Times New Roman" w:hAnsi="Times New Roman" w:cs="Times New Roman"/>
          <w:color w:val="000000"/>
          <w:sz w:val="24"/>
          <w:szCs w:val="24"/>
        </w:rPr>
        <w:t>ChemTech</w:t>
      </w:r>
      <w:proofErr w:type="spellEnd"/>
      <w:r w:rsidRPr="00300A72">
        <w:rPr>
          <w:rFonts w:ascii="Times New Roman" w:eastAsia="Times New Roman" w:hAnsi="Times New Roman" w:cs="Times New Roman"/>
          <w:color w:val="000000"/>
          <w:sz w:val="24"/>
          <w:szCs w:val="24"/>
        </w:rPr>
        <w:t xml:space="preserve"> Research 2017, 10 (15), 344-348.</w:t>
      </w:r>
    </w:p>
    <w:p w14:paraId="280B50FD" w14:textId="77777777" w:rsidR="00015248" w:rsidRPr="00300A72" w:rsidRDefault="00015248"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rPr>
        <w:t xml:space="preserve">15- SAS, Institute. 2004. The SAS/STAT 9.1 User's Guide. Vol. 1–7. SAS Institute Cary, NC. </w:t>
      </w:r>
    </w:p>
    <w:p w14:paraId="584B53FF" w14:textId="77777777" w:rsidR="00015248" w:rsidRPr="00300A72" w:rsidRDefault="00015248"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rPr>
        <w:t>16-Prasad, A.S. and Kucuk O. (2002). Zinc in cancer prevention. Cancer Metastasis Rev., 21:291-295.</w:t>
      </w:r>
    </w:p>
    <w:p w14:paraId="0A6959E7" w14:textId="77777777" w:rsidR="00015248" w:rsidRPr="00300A72" w:rsidRDefault="00015248" w:rsidP="00300A72">
      <w:pPr>
        <w:bidi w:val="0"/>
        <w:spacing w:after="0" w:line="240" w:lineRule="auto"/>
        <w:jc w:val="both"/>
        <w:rPr>
          <w:rFonts w:ascii="Times New Roman" w:eastAsia="Times New Roman" w:hAnsi="Times New Roman" w:cs="Times New Roman"/>
          <w:color w:val="000000"/>
          <w:sz w:val="24"/>
          <w:szCs w:val="24"/>
          <w:rtl/>
        </w:rPr>
      </w:pPr>
      <w:r w:rsidRPr="00300A72">
        <w:rPr>
          <w:rFonts w:ascii="Times New Roman" w:eastAsia="Times New Roman" w:hAnsi="Times New Roman" w:cs="Times New Roman"/>
          <w:color w:val="000000"/>
          <w:sz w:val="24"/>
          <w:szCs w:val="24"/>
        </w:rPr>
        <w:t xml:space="preserve"> </w:t>
      </w:r>
    </w:p>
    <w:p w14:paraId="2FE2CE9E" w14:textId="77777777" w:rsidR="00015248" w:rsidRPr="00300A72" w:rsidRDefault="00015248"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rPr>
        <w:t xml:space="preserve">15- SAS, Institute. 2004. The SAS/STAT 9.1 User's Guide. Vol. 1–7. SAS Institute Cary, NC. </w:t>
      </w:r>
    </w:p>
    <w:p w14:paraId="100C5B58" w14:textId="77777777" w:rsidR="00015248" w:rsidRPr="00300A72" w:rsidRDefault="00015248" w:rsidP="00300A72">
      <w:pPr>
        <w:bidi w:val="0"/>
        <w:spacing w:after="0" w:line="240" w:lineRule="auto"/>
        <w:jc w:val="both"/>
        <w:rPr>
          <w:rFonts w:ascii="Times New Roman" w:eastAsia="Times New Roman" w:hAnsi="Times New Roman" w:cs="Times New Roman"/>
          <w:color w:val="000000"/>
          <w:sz w:val="24"/>
          <w:szCs w:val="24"/>
          <w:rtl/>
        </w:rPr>
      </w:pPr>
      <w:r w:rsidRPr="00300A72">
        <w:rPr>
          <w:rFonts w:ascii="Times New Roman" w:eastAsia="Times New Roman" w:hAnsi="Times New Roman" w:cs="Times New Roman"/>
          <w:color w:val="000000"/>
          <w:sz w:val="24"/>
          <w:szCs w:val="24"/>
        </w:rPr>
        <w:t xml:space="preserve"> </w:t>
      </w:r>
    </w:p>
    <w:p w14:paraId="6DB292F7" w14:textId="77777777" w:rsidR="00015248" w:rsidRPr="00300A72" w:rsidRDefault="00015248"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rPr>
        <w:t>16-Prasad, A.S. and Kucuk O. (2002). Zinc in cancer prevention. Cancer Metastasis Rev., 21:291-295.</w:t>
      </w:r>
    </w:p>
    <w:p w14:paraId="69AE4D69" w14:textId="77777777" w:rsidR="00015248" w:rsidRPr="00300A72" w:rsidRDefault="00015248"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rPr>
        <w:t xml:space="preserve">17- MacDonald, R.S. (2000). The role of zinc in growth and cell proliferation. J. </w:t>
      </w:r>
      <w:proofErr w:type="spellStart"/>
      <w:r w:rsidRPr="00300A72">
        <w:rPr>
          <w:rFonts w:ascii="Times New Roman" w:eastAsia="Times New Roman" w:hAnsi="Times New Roman" w:cs="Times New Roman"/>
          <w:color w:val="000000"/>
          <w:sz w:val="24"/>
          <w:szCs w:val="24"/>
        </w:rPr>
        <w:t>Nutr</w:t>
      </w:r>
      <w:proofErr w:type="spellEnd"/>
      <w:r w:rsidRPr="00300A72">
        <w:rPr>
          <w:rFonts w:ascii="Times New Roman" w:eastAsia="Times New Roman" w:hAnsi="Times New Roman" w:cs="Times New Roman"/>
          <w:color w:val="000000"/>
          <w:sz w:val="24"/>
          <w:szCs w:val="24"/>
        </w:rPr>
        <w:t>. 130(5S Suppl.):1500-1508.</w:t>
      </w:r>
    </w:p>
    <w:p w14:paraId="12F40E89" w14:textId="77777777" w:rsidR="00015248" w:rsidRPr="00300A72" w:rsidRDefault="00015248" w:rsidP="00300A72">
      <w:pPr>
        <w:bidi w:val="0"/>
        <w:spacing w:after="0" w:line="240" w:lineRule="auto"/>
        <w:jc w:val="both"/>
        <w:rPr>
          <w:rFonts w:ascii="Times New Roman" w:eastAsia="Times New Roman" w:hAnsi="Times New Roman" w:cs="Times New Roman"/>
          <w:color w:val="000000"/>
          <w:sz w:val="24"/>
          <w:szCs w:val="24"/>
          <w:rtl/>
        </w:rPr>
      </w:pPr>
      <w:r w:rsidRPr="00300A72">
        <w:rPr>
          <w:rFonts w:ascii="Times New Roman" w:eastAsia="Times New Roman" w:hAnsi="Times New Roman" w:cs="Times New Roman"/>
          <w:color w:val="000000"/>
          <w:sz w:val="24"/>
          <w:szCs w:val="24"/>
        </w:rPr>
        <w:t xml:space="preserve"> </w:t>
      </w:r>
    </w:p>
    <w:p w14:paraId="608DEACE" w14:textId="77777777" w:rsidR="00015248" w:rsidRPr="00300A72" w:rsidRDefault="00015248"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rPr>
        <w:t xml:space="preserve"> </w:t>
      </w:r>
    </w:p>
    <w:p w14:paraId="2BAC6FC9" w14:textId="77777777" w:rsidR="00015248" w:rsidRPr="00300A72" w:rsidRDefault="00015248" w:rsidP="00300A72">
      <w:pPr>
        <w:pStyle w:val="EndNoteBibliography"/>
        <w:spacing w:after="0" w:line="360" w:lineRule="auto"/>
        <w:ind w:left="426" w:hanging="426"/>
        <w:jc w:val="both"/>
        <w:rPr>
          <w:szCs w:val="24"/>
        </w:rPr>
      </w:pPr>
      <w:r w:rsidRPr="00300A72">
        <w:rPr>
          <w:rFonts w:eastAsia="Times New Roman"/>
          <w:color w:val="000000"/>
          <w:szCs w:val="24"/>
        </w:rPr>
        <w:t xml:space="preserve"> </w:t>
      </w:r>
    </w:p>
    <w:p w14:paraId="156A6281" w14:textId="77777777" w:rsidR="00015248" w:rsidRPr="00300A72" w:rsidRDefault="00015248" w:rsidP="00300A72">
      <w:pPr>
        <w:shd w:val="clear" w:color="auto" w:fill="FFFFFF"/>
        <w:bidi w:val="0"/>
        <w:spacing w:before="300" w:after="15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rPr>
        <w:t xml:space="preserve"> </w:t>
      </w:r>
    </w:p>
    <w:p w14:paraId="0F935646" w14:textId="77777777" w:rsidR="00015248" w:rsidRPr="00300A72" w:rsidRDefault="00015248" w:rsidP="00300A72">
      <w:pPr>
        <w:shd w:val="clear" w:color="auto" w:fill="FFFFFF"/>
        <w:bidi w:val="0"/>
        <w:spacing w:before="300" w:after="15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rPr>
        <w:lastRenderedPageBreak/>
        <w:t>18-</w:t>
      </w:r>
      <w:r w:rsidRPr="00300A72">
        <w:rPr>
          <w:rFonts w:ascii="Times New Roman" w:eastAsia="Times New Roman" w:hAnsi="Times New Roman" w:cs="Times New Roman"/>
          <w:color w:val="0D0D0D"/>
          <w:sz w:val="24"/>
          <w:szCs w:val="24"/>
          <w:lang w:val="en"/>
        </w:rPr>
        <w:t xml:space="preserve"> Hai, L.; Roug, D. and Zhang, Z.Y. (2000). The effect of thermal environment on the digestion of broilers. J. Anim. Physiol. Anim. </w:t>
      </w:r>
      <w:proofErr w:type="spellStart"/>
      <w:r w:rsidRPr="00300A72">
        <w:rPr>
          <w:rFonts w:ascii="Times New Roman" w:eastAsia="Times New Roman" w:hAnsi="Times New Roman" w:cs="Times New Roman"/>
          <w:color w:val="0D0D0D"/>
          <w:sz w:val="24"/>
          <w:szCs w:val="24"/>
          <w:lang w:val="en"/>
        </w:rPr>
        <w:t>Nutr</w:t>
      </w:r>
      <w:proofErr w:type="spellEnd"/>
      <w:r w:rsidRPr="00300A72">
        <w:rPr>
          <w:rFonts w:ascii="Times New Roman" w:eastAsia="Times New Roman" w:hAnsi="Times New Roman" w:cs="Times New Roman"/>
          <w:color w:val="0D0D0D"/>
          <w:sz w:val="24"/>
          <w:szCs w:val="24"/>
          <w:lang w:val="en"/>
        </w:rPr>
        <w:t>., (Berl.) 83:57-64.</w:t>
      </w:r>
    </w:p>
    <w:p w14:paraId="16E4FEBB" w14:textId="77777777" w:rsidR="00015248" w:rsidRPr="00300A72" w:rsidRDefault="00015248"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rPr>
        <w:t>19-</w:t>
      </w:r>
      <w:r w:rsidRPr="00300A72">
        <w:rPr>
          <w:rFonts w:ascii="Times New Roman" w:eastAsia="Times New Roman" w:hAnsi="Times New Roman" w:cs="Times New Roman"/>
          <w:color w:val="000000"/>
          <w:sz w:val="24"/>
          <w:szCs w:val="24"/>
          <w:lang w:val="en"/>
        </w:rPr>
        <w:t xml:space="preserve"> </w:t>
      </w:r>
      <w:proofErr w:type="spellStart"/>
      <w:r w:rsidRPr="00300A72">
        <w:rPr>
          <w:rFonts w:ascii="Times New Roman" w:eastAsia="Times New Roman" w:hAnsi="Times New Roman" w:cs="Times New Roman"/>
          <w:color w:val="000000"/>
          <w:sz w:val="24"/>
          <w:szCs w:val="24"/>
          <w:lang w:val="en"/>
        </w:rPr>
        <w:t>Hatab</w:t>
      </w:r>
      <w:proofErr w:type="spellEnd"/>
      <w:r w:rsidRPr="00300A72">
        <w:rPr>
          <w:rFonts w:ascii="Times New Roman" w:eastAsia="Times New Roman" w:hAnsi="Times New Roman" w:cs="Times New Roman"/>
          <w:color w:val="000000"/>
          <w:sz w:val="24"/>
          <w:szCs w:val="24"/>
          <w:lang w:val="en"/>
        </w:rPr>
        <w:t xml:space="preserve"> MH, Rashad E, Hisham MS, El-Sayed E-S, Abu Taleb AM</w:t>
      </w:r>
    </w:p>
    <w:p w14:paraId="198E3B53" w14:textId="77777777" w:rsidR="00015248" w:rsidRPr="00300A72" w:rsidRDefault="00015248"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(2022) Effects of dietary supplementation of myco-fabricated zinc</w:t>
      </w:r>
    </w:p>
    <w:p w14:paraId="470F63CE" w14:textId="77777777" w:rsidR="00015248" w:rsidRPr="00300A72" w:rsidRDefault="00015248"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oxide nanoparticles on performance, histological changes, and tissues</w:t>
      </w:r>
      <w:r w:rsidR="00263968" w:rsidRPr="00300A72">
        <w:rPr>
          <w:rFonts w:ascii="Times New Roman" w:eastAsia="Times New Roman" w:hAnsi="Times New Roman" w:cs="Times New Roman"/>
          <w:color w:val="000000"/>
          <w:sz w:val="24"/>
          <w:szCs w:val="24"/>
        </w:rPr>
        <w:t xml:space="preserve"> </w:t>
      </w:r>
      <w:r w:rsidRPr="00300A72">
        <w:rPr>
          <w:rFonts w:ascii="Times New Roman" w:eastAsia="Times New Roman" w:hAnsi="Times New Roman" w:cs="Times New Roman"/>
          <w:color w:val="000000"/>
          <w:sz w:val="24"/>
          <w:szCs w:val="24"/>
          <w:lang w:val="en"/>
        </w:rPr>
        <w:t>Zn concentration in broiler chicks. Sci Rep 12:18791</w:t>
      </w:r>
    </w:p>
    <w:p w14:paraId="05DE64BB" w14:textId="77777777" w:rsidR="00015248" w:rsidRPr="00300A72" w:rsidRDefault="00015248"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rPr>
        <w:t>20-</w:t>
      </w:r>
      <w:r w:rsidRPr="00300A72">
        <w:rPr>
          <w:rFonts w:ascii="Times New Roman" w:eastAsia="Times New Roman" w:hAnsi="Times New Roman" w:cs="Times New Roman"/>
          <w:color w:val="000000"/>
          <w:sz w:val="24"/>
          <w:szCs w:val="24"/>
          <w:lang w:val="en"/>
        </w:rPr>
        <w:t xml:space="preserve"> Hameed, H., S. Mahmood, and A. Al-Farha (2023). Nano-zinc Oxide and Zinc Sulfate in</w:t>
      </w:r>
      <w:r w:rsidRPr="00300A72">
        <w:rPr>
          <w:rFonts w:ascii="Times New Roman" w:eastAsia="Times New Roman" w:hAnsi="Times New Roman" w:cs="Times New Roman"/>
          <w:color w:val="000000"/>
          <w:sz w:val="24"/>
          <w:szCs w:val="24"/>
        </w:rPr>
        <w:t xml:space="preserve"> </w:t>
      </w:r>
      <w:r w:rsidRPr="00300A72">
        <w:rPr>
          <w:rFonts w:ascii="Times New Roman" w:eastAsia="Times New Roman" w:hAnsi="Times New Roman" w:cs="Times New Roman"/>
          <w:color w:val="000000"/>
          <w:sz w:val="24"/>
          <w:szCs w:val="24"/>
          <w:lang w:val="en"/>
        </w:rPr>
        <w:t>Broilers: Effect on Thyroid Hormones and Internal Intestinal Environments. </w:t>
      </w:r>
      <w:r w:rsidRPr="00300A72">
        <w:rPr>
          <w:rFonts w:ascii="Times New Roman" w:eastAsia="Times New Roman" w:hAnsi="Times New Roman" w:cs="Times New Roman"/>
          <w:i/>
          <w:iCs/>
          <w:color w:val="000000"/>
          <w:sz w:val="24"/>
          <w:szCs w:val="24"/>
          <w:lang w:val="en"/>
        </w:rPr>
        <w:t>Egyptian </w:t>
      </w:r>
      <w:r w:rsidRPr="00300A72">
        <w:rPr>
          <w:rFonts w:ascii="Times New Roman" w:eastAsia="Times New Roman" w:hAnsi="Times New Roman" w:cs="Times New Roman"/>
          <w:color w:val="000000"/>
          <w:sz w:val="24"/>
          <w:szCs w:val="24"/>
          <w:lang w:val="en"/>
        </w:rPr>
        <w:t xml:space="preserve">Journal </w:t>
      </w:r>
      <w:proofErr w:type="gramStart"/>
      <w:r w:rsidRPr="00300A72">
        <w:rPr>
          <w:rFonts w:ascii="Times New Roman" w:eastAsia="Times New Roman" w:hAnsi="Times New Roman" w:cs="Times New Roman"/>
          <w:color w:val="000000"/>
          <w:sz w:val="24"/>
          <w:szCs w:val="24"/>
          <w:lang w:val="en"/>
        </w:rPr>
        <w:t>of</w:t>
      </w:r>
      <w:r w:rsidRPr="00300A72">
        <w:rPr>
          <w:rFonts w:ascii="Times New Roman" w:eastAsia="Times New Roman" w:hAnsi="Times New Roman" w:cs="Times New Roman"/>
          <w:color w:val="000000"/>
          <w:sz w:val="24"/>
          <w:szCs w:val="24"/>
        </w:rPr>
        <w:t xml:space="preserve">  </w:t>
      </w:r>
      <w:r w:rsidRPr="00300A72">
        <w:rPr>
          <w:rFonts w:ascii="Times New Roman" w:eastAsia="Times New Roman" w:hAnsi="Times New Roman" w:cs="Times New Roman"/>
          <w:color w:val="000000"/>
          <w:sz w:val="24"/>
          <w:szCs w:val="24"/>
          <w:lang w:val="en"/>
        </w:rPr>
        <w:t>Veterinary</w:t>
      </w:r>
      <w:proofErr w:type="gramEnd"/>
      <w:r w:rsidRPr="00300A72">
        <w:rPr>
          <w:rFonts w:ascii="Times New Roman" w:eastAsia="Times New Roman" w:hAnsi="Times New Roman" w:cs="Times New Roman"/>
          <w:color w:val="000000"/>
          <w:sz w:val="24"/>
          <w:szCs w:val="24"/>
          <w:lang w:val="en"/>
        </w:rPr>
        <w:t xml:space="preserve"> Sciences, 54(3), 347-358.</w:t>
      </w:r>
    </w:p>
    <w:p w14:paraId="19564FDC" w14:textId="77777777" w:rsidR="00015248" w:rsidRPr="00300A72" w:rsidRDefault="00015248"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rPr>
        <w:t>21-</w:t>
      </w:r>
      <w:r w:rsidRPr="00300A72">
        <w:rPr>
          <w:rFonts w:ascii="Times New Roman" w:eastAsia="Times New Roman" w:hAnsi="Times New Roman" w:cs="Times New Roman"/>
          <w:color w:val="000000"/>
          <w:sz w:val="24"/>
          <w:szCs w:val="24"/>
          <w:lang w:val="en"/>
        </w:rPr>
        <w:t xml:space="preserve"> Fatima, A., Zaheer, T., Pal, K. R.O Abbas, T. Akhtar, S. Ali, and M.S Mahmood (2023).</w:t>
      </w:r>
      <w:r w:rsidRPr="00300A72">
        <w:rPr>
          <w:rFonts w:ascii="Times New Roman" w:eastAsia="Times New Roman" w:hAnsi="Times New Roman" w:cs="Times New Roman"/>
          <w:color w:val="000000"/>
          <w:sz w:val="24"/>
          <w:szCs w:val="24"/>
        </w:rPr>
        <w:t xml:space="preserve">  </w:t>
      </w:r>
      <w:r w:rsidRPr="00300A72">
        <w:rPr>
          <w:rFonts w:ascii="Times New Roman" w:eastAsia="Times New Roman" w:hAnsi="Times New Roman" w:cs="Times New Roman"/>
          <w:color w:val="000000"/>
          <w:sz w:val="24"/>
          <w:szCs w:val="24"/>
          <w:lang w:val="en"/>
        </w:rPr>
        <w:t xml:space="preserve">Zinc Oxide Nanoparticles Significant Role in Poultry and </w:t>
      </w:r>
      <w:proofErr w:type="gramStart"/>
      <w:r w:rsidRPr="00300A72">
        <w:rPr>
          <w:rFonts w:ascii="Times New Roman" w:eastAsia="Times New Roman" w:hAnsi="Times New Roman" w:cs="Times New Roman"/>
          <w:color w:val="000000"/>
          <w:sz w:val="24"/>
          <w:szCs w:val="24"/>
          <w:lang w:val="en"/>
        </w:rPr>
        <w:t xml:space="preserve">Novel  </w:t>
      </w:r>
      <w:proofErr w:type="spellStart"/>
      <w:r w:rsidRPr="00300A72">
        <w:rPr>
          <w:rFonts w:ascii="Times New Roman" w:eastAsia="Times New Roman" w:hAnsi="Times New Roman" w:cs="Times New Roman"/>
          <w:color w:val="000000"/>
          <w:sz w:val="24"/>
          <w:szCs w:val="24"/>
          <w:lang w:val="en"/>
        </w:rPr>
        <w:t>oxicological</w:t>
      </w:r>
      <w:proofErr w:type="spellEnd"/>
      <w:proofErr w:type="gramEnd"/>
      <w:r w:rsidRPr="00300A72">
        <w:rPr>
          <w:rFonts w:ascii="Times New Roman" w:eastAsia="Times New Roman" w:hAnsi="Times New Roman" w:cs="Times New Roman"/>
          <w:color w:val="000000"/>
          <w:sz w:val="24"/>
          <w:szCs w:val="24"/>
          <w:lang w:val="en"/>
        </w:rPr>
        <w:t xml:space="preserve"> Mechanisms. Biol Trace Elem Res 20:23.</w:t>
      </w:r>
    </w:p>
    <w:p w14:paraId="5826E84D" w14:textId="77777777" w:rsidR="00015248" w:rsidRPr="00300A72" w:rsidRDefault="00015248"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rPr>
        <w:t>22-</w:t>
      </w:r>
      <w:r w:rsidRPr="00300A72">
        <w:rPr>
          <w:rFonts w:ascii="Times New Roman" w:eastAsia="Times New Roman" w:hAnsi="Times New Roman" w:cs="Times New Roman"/>
          <w:color w:val="000000"/>
          <w:sz w:val="24"/>
          <w:szCs w:val="24"/>
          <w:lang w:val="en"/>
        </w:rPr>
        <w:t xml:space="preserve">. Attia YA, Addeo NF, Abd Al-Hamid AE, </w:t>
      </w:r>
      <w:proofErr w:type="spellStart"/>
      <w:r w:rsidRPr="00300A72">
        <w:rPr>
          <w:rFonts w:ascii="Times New Roman" w:eastAsia="Times New Roman" w:hAnsi="Times New Roman" w:cs="Times New Roman"/>
          <w:color w:val="000000"/>
          <w:sz w:val="24"/>
          <w:szCs w:val="24"/>
          <w:lang w:val="en"/>
        </w:rPr>
        <w:t>Bovera</w:t>
      </w:r>
      <w:proofErr w:type="spellEnd"/>
      <w:r w:rsidRPr="00300A72">
        <w:rPr>
          <w:rFonts w:ascii="Times New Roman" w:eastAsia="Times New Roman" w:hAnsi="Times New Roman" w:cs="Times New Roman"/>
          <w:color w:val="000000"/>
          <w:sz w:val="24"/>
          <w:szCs w:val="24"/>
          <w:lang w:val="en"/>
        </w:rPr>
        <w:t xml:space="preserve"> F (2019) Effects</w:t>
      </w:r>
    </w:p>
    <w:p w14:paraId="1E200130" w14:textId="77777777" w:rsidR="00015248" w:rsidRPr="00300A72" w:rsidRDefault="00015248"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of phytase supplementation to diets with or without zinc addition</w:t>
      </w:r>
    </w:p>
    <w:p w14:paraId="0F63688B" w14:textId="77777777" w:rsidR="00015248" w:rsidRPr="00300A72" w:rsidRDefault="00015248"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on growth performance and zinc utilization of white Pekin ducks.</w:t>
      </w:r>
    </w:p>
    <w:p w14:paraId="787273D6" w14:textId="77777777" w:rsidR="00015248" w:rsidRPr="00300A72" w:rsidRDefault="00015248"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Animals 9(5):280–285</w:t>
      </w:r>
      <w:r w:rsidRPr="00300A72">
        <w:rPr>
          <w:rFonts w:ascii="Times New Roman" w:eastAsia="Times New Roman" w:hAnsi="Times New Roman" w:cs="Times New Roman"/>
          <w:color w:val="0000FF"/>
          <w:sz w:val="24"/>
          <w:szCs w:val="24"/>
        </w:rPr>
        <w:t>.</w:t>
      </w:r>
    </w:p>
    <w:p w14:paraId="74EB77CC" w14:textId="77777777" w:rsidR="00015248" w:rsidRPr="00300A72" w:rsidRDefault="00015248"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rPr>
        <w:t>23-</w:t>
      </w:r>
      <w:r w:rsidRPr="00300A72">
        <w:rPr>
          <w:rFonts w:ascii="Times New Roman" w:eastAsia="Times New Roman" w:hAnsi="Times New Roman" w:cs="Times New Roman"/>
          <w:color w:val="000000"/>
          <w:sz w:val="24"/>
          <w:szCs w:val="24"/>
          <w:lang w:val="en"/>
        </w:rPr>
        <w:t xml:space="preserve"> Mahmoud UT, Abdel-</w:t>
      </w:r>
      <w:proofErr w:type="spellStart"/>
      <w:r w:rsidRPr="00300A72">
        <w:rPr>
          <w:rFonts w:ascii="Times New Roman" w:eastAsia="Times New Roman" w:hAnsi="Times New Roman" w:cs="Times New Roman"/>
          <w:color w:val="000000"/>
          <w:sz w:val="24"/>
          <w:szCs w:val="24"/>
          <w:lang w:val="en"/>
        </w:rPr>
        <w:t>Mohsein</w:t>
      </w:r>
      <w:proofErr w:type="spellEnd"/>
      <w:r w:rsidRPr="00300A72">
        <w:rPr>
          <w:rFonts w:ascii="Times New Roman" w:eastAsia="Times New Roman" w:hAnsi="Times New Roman" w:cs="Times New Roman"/>
          <w:color w:val="000000"/>
          <w:sz w:val="24"/>
          <w:szCs w:val="24"/>
          <w:lang w:val="en"/>
        </w:rPr>
        <w:t xml:space="preserve"> HS, Mahmoud MAM, Amin OA,</w:t>
      </w:r>
    </w:p>
    <w:p w14:paraId="4A44B2B3" w14:textId="77777777" w:rsidR="00015248" w:rsidRPr="00300A72" w:rsidRDefault="00015248"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Hassan RIM, Abd-El-Malek AM, Rageb SMM, Waly HS, Othman</w:t>
      </w:r>
    </w:p>
    <w:p w14:paraId="70E34797" w14:textId="77777777" w:rsidR="00015248" w:rsidRPr="00300A72" w:rsidRDefault="00015248"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AA, Osman MA (2020) Effect of zinc oxide nanoparticles on</w:t>
      </w:r>
    </w:p>
    <w:p w14:paraId="1AD3EAF4" w14:textId="77777777" w:rsidR="00015248" w:rsidRPr="00300A72" w:rsidRDefault="00015248"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broilers' performance and health status. Trop Anim Health Prod</w:t>
      </w:r>
    </w:p>
    <w:p w14:paraId="0F25056A" w14:textId="77777777" w:rsidR="00015248" w:rsidRPr="00300A72" w:rsidRDefault="00015248"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52(4):2043–2054</w:t>
      </w:r>
      <w:r w:rsidRPr="00300A72">
        <w:rPr>
          <w:rFonts w:ascii="Times New Roman" w:eastAsia="Times New Roman" w:hAnsi="Times New Roman" w:cs="Times New Roman"/>
          <w:color w:val="000000"/>
          <w:sz w:val="24"/>
          <w:szCs w:val="24"/>
        </w:rPr>
        <w:t>.</w:t>
      </w:r>
    </w:p>
    <w:p w14:paraId="300891C6" w14:textId="77777777" w:rsidR="00015248" w:rsidRPr="00300A72" w:rsidRDefault="00015248"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rPr>
        <w:t>24-</w:t>
      </w:r>
      <w:r w:rsidRPr="00300A72">
        <w:rPr>
          <w:rFonts w:ascii="Times New Roman" w:eastAsia="Times New Roman" w:hAnsi="Times New Roman" w:cs="Times New Roman"/>
          <w:color w:val="000000"/>
          <w:sz w:val="24"/>
          <w:szCs w:val="24"/>
          <w:lang w:val="en"/>
        </w:rPr>
        <w:t xml:space="preserve"> Alian HA, Samy HM, Ibrahim MT, Yusuf MS, Mahmoud MMA</w:t>
      </w:r>
    </w:p>
    <w:p w14:paraId="4F41FEA7" w14:textId="77777777" w:rsidR="00015248" w:rsidRPr="00300A72" w:rsidRDefault="00015248"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(2022) Nutritional evaluation of nano zinc compared with other</w:t>
      </w:r>
    </w:p>
    <w:p w14:paraId="622E9E2E" w14:textId="77777777" w:rsidR="00015248" w:rsidRPr="00300A72" w:rsidRDefault="00015248"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 xml:space="preserve">zinc sources in broilers </w:t>
      </w:r>
      <w:proofErr w:type="gramStart"/>
      <w:r w:rsidRPr="00300A72">
        <w:rPr>
          <w:rFonts w:ascii="Times New Roman" w:eastAsia="Times New Roman" w:hAnsi="Times New Roman" w:cs="Times New Roman"/>
          <w:color w:val="000000"/>
          <w:sz w:val="24"/>
          <w:szCs w:val="24"/>
          <w:lang w:val="en"/>
        </w:rPr>
        <w:t>Suez canal</w:t>
      </w:r>
      <w:proofErr w:type="gramEnd"/>
      <w:r w:rsidRPr="00300A72">
        <w:rPr>
          <w:rFonts w:ascii="Times New Roman" w:eastAsia="Times New Roman" w:hAnsi="Times New Roman" w:cs="Times New Roman"/>
          <w:color w:val="000000"/>
          <w:sz w:val="24"/>
          <w:szCs w:val="24"/>
          <w:lang w:val="en"/>
        </w:rPr>
        <w:t xml:space="preserve"> vet. Med J 27(2):401–418.</w:t>
      </w:r>
    </w:p>
    <w:p w14:paraId="0AEF410D" w14:textId="77777777" w:rsidR="00015248" w:rsidRPr="00300A72" w:rsidRDefault="00015248"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rPr>
        <w:t>25-</w:t>
      </w:r>
      <w:r w:rsidRPr="00300A72">
        <w:rPr>
          <w:rFonts w:ascii="Times New Roman" w:eastAsia="Times New Roman" w:hAnsi="Times New Roman" w:cs="Times New Roman"/>
          <w:color w:val="000000"/>
          <w:sz w:val="24"/>
          <w:szCs w:val="24"/>
          <w:lang w:val="en"/>
        </w:rPr>
        <w:t>. Ibrahim D, Ali HA, El-</w:t>
      </w:r>
      <w:proofErr w:type="spellStart"/>
      <w:r w:rsidRPr="00300A72">
        <w:rPr>
          <w:rFonts w:ascii="Times New Roman" w:eastAsia="Times New Roman" w:hAnsi="Times New Roman" w:cs="Times New Roman"/>
          <w:color w:val="000000"/>
          <w:sz w:val="24"/>
          <w:szCs w:val="24"/>
          <w:lang w:val="en"/>
        </w:rPr>
        <w:t>Mandrawy</w:t>
      </w:r>
      <w:proofErr w:type="spellEnd"/>
      <w:r w:rsidRPr="00300A72">
        <w:rPr>
          <w:rFonts w:ascii="Times New Roman" w:eastAsia="Times New Roman" w:hAnsi="Times New Roman" w:cs="Times New Roman"/>
          <w:color w:val="000000"/>
          <w:sz w:val="24"/>
          <w:szCs w:val="24"/>
          <w:lang w:val="en"/>
        </w:rPr>
        <w:t xml:space="preserve"> SA (2017) Effects of different</w:t>
      </w:r>
    </w:p>
    <w:p w14:paraId="03F67B55" w14:textId="77777777" w:rsidR="00015248" w:rsidRPr="00300A72" w:rsidRDefault="00015248"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zinc sources on performance, bio distribution of minerals and</w:t>
      </w:r>
    </w:p>
    <w:p w14:paraId="702427F7" w14:textId="77777777" w:rsidR="00015248" w:rsidRPr="00300A72" w:rsidRDefault="00015248"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expression of genes related to metabolism of broiler chickens.</w:t>
      </w:r>
    </w:p>
    <w:p w14:paraId="65F23CAE" w14:textId="77777777" w:rsidR="00015248" w:rsidRPr="00300A72" w:rsidRDefault="00015248" w:rsidP="00300A72">
      <w:pPr>
        <w:bidi w:val="0"/>
        <w:spacing w:after="0" w:line="240" w:lineRule="auto"/>
        <w:jc w:val="both"/>
        <w:rPr>
          <w:rFonts w:ascii="Times New Roman" w:eastAsia="Times New Roman" w:hAnsi="Times New Roman" w:cs="Times New Roman"/>
          <w:color w:val="000000"/>
          <w:sz w:val="24"/>
          <w:szCs w:val="24"/>
          <w:lang w:val="de-DE"/>
        </w:rPr>
      </w:pPr>
      <w:r w:rsidRPr="00300A72">
        <w:rPr>
          <w:rFonts w:ascii="Times New Roman" w:eastAsia="Times New Roman" w:hAnsi="Times New Roman" w:cs="Times New Roman"/>
          <w:color w:val="000000"/>
          <w:sz w:val="24"/>
          <w:szCs w:val="24"/>
          <w:lang w:val="de-DE"/>
        </w:rPr>
        <w:t>Zagazig vet J 45(3):292–304. </w:t>
      </w:r>
      <w:r w:rsidRPr="00300A72">
        <w:rPr>
          <w:rFonts w:ascii="Times New Roman" w:eastAsia="Times New Roman" w:hAnsi="Times New Roman" w:cs="Times New Roman"/>
          <w:color w:val="0000FF"/>
          <w:sz w:val="24"/>
          <w:szCs w:val="24"/>
          <w:lang w:val="de-DE"/>
        </w:rPr>
        <w:t> </w:t>
      </w:r>
    </w:p>
    <w:p w14:paraId="445685C5" w14:textId="77777777" w:rsidR="00015248" w:rsidRPr="00300A72" w:rsidRDefault="00015248" w:rsidP="00300A72">
      <w:pPr>
        <w:bidi w:val="0"/>
        <w:spacing w:after="0" w:line="240" w:lineRule="auto"/>
        <w:jc w:val="both"/>
        <w:rPr>
          <w:rFonts w:ascii="Times New Roman" w:eastAsia="Times New Roman" w:hAnsi="Times New Roman" w:cs="Times New Roman"/>
          <w:color w:val="000000"/>
          <w:sz w:val="24"/>
          <w:szCs w:val="24"/>
          <w:lang w:val="de-DE"/>
        </w:rPr>
      </w:pPr>
      <w:r w:rsidRPr="00300A72">
        <w:rPr>
          <w:rFonts w:ascii="Times New Roman" w:eastAsia="Times New Roman" w:hAnsi="Times New Roman" w:cs="Times New Roman"/>
          <w:color w:val="000000"/>
          <w:sz w:val="24"/>
          <w:szCs w:val="24"/>
          <w:lang w:val="de-DE"/>
        </w:rPr>
        <w:t>26- Abdel-Wareth AAA, Hussein KRA, Ismail ZSH, Lohakare J</w:t>
      </w:r>
    </w:p>
    <w:p w14:paraId="510BC101" w14:textId="77777777" w:rsidR="00015248" w:rsidRPr="00300A72" w:rsidRDefault="00015248"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(2022) Effects of zinc oxide nanoparticles on the performance</w:t>
      </w:r>
    </w:p>
    <w:p w14:paraId="7D9DA436" w14:textId="77777777" w:rsidR="00015248" w:rsidRPr="00300A72" w:rsidRDefault="00015248"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of broiler chickens under hot climatic conditions. Biol Trace</w:t>
      </w:r>
    </w:p>
    <w:p w14:paraId="51209875" w14:textId="77777777" w:rsidR="00015248" w:rsidRPr="00300A72" w:rsidRDefault="00015248"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Element Res 200(12):5218–5225.</w:t>
      </w:r>
    </w:p>
    <w:p w14:paraId="11854067" w14:textId="77777777" w:rsidR="00015248" w:rsidRPr="00300A72" w:rsidRDefault="00015248"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rPr>
        <w:t>27-</w:t>
      </w:r>
      <w:r w:rsidRPr="00300A72">
        <w:rPr>
          <w:rFonts w:ascii="Times New Roman" w:eastAsia="Times New Roman" w:hAnsi="Times New Roman" w:cs="Times New Roman"/>
          <w:color w:val="000000"/>
          <w:sz w:val="24"/>
          <w:szCs w:val="24"/>
          <w:lang w:val="en"/>
        </w:rPr>
        <w:t xml:space="preserve"> Hassan S, Sharif M, Mirza MA, Rehman MS (2023) Effect of</w:t>
      </w:r>
    </w:p>
    <w:p w14:paraId="641641D6" w14:textId="77777777" w:rsidR="00015248" w:rsidRPr="00300A72" w:rsidRDefault="00015248"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dietary supplementation of zinc nanoparticles prepared by different</w:t>
      </w:r>
    </w:p>
    <w:p w14:paraId="4F079404" w14:textId="77777777" w:rsidR="00015248" w:rsidRPr="00300A72" w:rsidRDefault="00015248"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green methods on egg production, egg quality, bone mineralization,</w:t>
      </w:r>
    </w:p>
    <w:p w14:paraId="4CF150A5" w14:textId="77777777" w:rsidR="00015248" w:rsidRPr="00300A72" w:rsidRDefault="00015248" w:rsidP="00300A72">
      <w:pPr>
        <w:bidi w:val="0"/>
        <w:spacing w:after="0" w:line="240" w:lineRule="auto"/>
        <w:jc w:val="both"/>
        <w:rPr>
          <w:rFonts w:ascii="Times New Roman" w:hAnsi="Times New Roman" w:cs="Times New Roman"/>
          <w:color w:val="0000FF"/>
          <w:sz w:val="24"/>
          <w:szCs w:val="24"/>
          <w:lang w:val="de-DE"/>
        </w:rPr>
      </w:pPr>
      <w:r w:rsidRPr="00300A72">
        <w:rPr>
          <w:rFonts w:ascii="Times New Roman" w:eastAsia="Times New Roman" w:hAnsi="Times New Roman" w:cs="Times New Roman"/>
          <w:color w:val="000000"/>
          <w:sz w:val="24"/>
          <w:szCs w:val="24"/>
          <w:lang w:val="en"/>
        </w:rPr>
        <w:t xml:space="preserve">and antioxidant capacity in caged layers. Biological </w:t>
      </w:r>
      <w:proofErr w:type="gramStart"/>
      <w:r w:rsidRPr="00300A72">
        <w:rPr>
          <w:rFonts w:ascii="Times New Roman" w:eastAsia="Times New Roman" w:hAnsi="Times New Roman" w:cs="Times New Roman"/>
          <w:color w:val="000000"/>
          <w:sz w:val="24"/>
          <w:szCs w:val="24"/>
          <w:lang w:val="en"/>
        </w:rPr>
        <w:t>Trace</w:t>
      </w:r>
      <w:r w:rsidRPr="00300A72">
        <w:rPr>
          <w:rFonts w:ascii="Times New Roman" w:eastAsia="Times New Roman" w:hAnsi="Times New Roman" w:cs="Times New Roman"/>
          <w:color w:val="000000"/>
          <w:sz w:val="24"/>
          <w:szCs w:val="24"/>
        </w:rPr>
        <w:t xml:space="preserve">  </w:t>
      </w:r>
      <w:r w:rsidRPr="00300A72">
        <w:rPr>
          <w:rFonts w:ascii="Times New Roman" w:eastAsia="Times New Roman" w:hAnsi="Times New Roman" w:cs="Times New Roman"/>
          <w:color w:val="000000"/>
          <w:sz w:val="24"/>
          <w:szCs w:val="24"/>
          <w:lang w:val="en"/>
        </w:rPr>
        <w:t>Element</w:t>
      </w:r>
      <w:proofErr w:type="gramEnd"/>
      <w:r w:rsidRPr="00300A72">
        <w:rPr>
          <w:rFonts w:ascii="Times New Roman" w:eastAsia="Times New Roman" w:hAnsi="Times New Roman" w:cs="Times New Roman"/>
          <w:color w:val="000000"/>
          <w:sz w:val="24"/>
          <w:szCs w:val="24"/>
          <w:lang w:val="en"/>
        </w:rPr>
        <w:t xml:space="preserve"> Research</w:t>
      </w:r>
      <w:r w:rsidRPr="00300A72">
        <w:rPr>
          <w:rFonts w:ascii="Times New Roman" w:eastAsia="Times New Roman" w:hAnsi="Times New Roman" w:cs="Times New Roman"/>
          <w:color w:val="000000"/>
          <w:sz w:val="24"/>
          <w:szCs w:val="24"/>
        </w:rPr>
        <w:t xml:space="preserve">.  </w:t>
      </w:r>
      <w:r w:rsidRPr="00300A72">
        <w:rPr>
          <w:rFonts w:ascii="Times New Roman" w:hAnsi="Times New Roman" w:cs="Times New Roman"/>
          <w:color w:val="000000"/>
          <w:sz w:val="24"/>
          <w:szCs w:val="24"/>
        </w:rPr>
        <w:t xml:space="preserve">Online ahead of print </w:t>
      </w:r>
      <w:r w:rsidRPr="00300A72">
        <w:rPr>
          <w:rFonts w:ascii="Times New Roman" w:hAnsi="Times New Roman" w:cs="Times New Roman"/>
          <w:color w:val="0000FF"/>
          <w:sz w:val="24"/>
          <w:szCs w:val="24"/>
        </w:rPr>
        <w:t xml:space="preserve">https:// </w:t>
      </w:r>
      <w:proofErr w:type="spellStart"/>
      <w:r w:rsidRPr="00300A72">
        <w:rPr>
          <w:rFonts w:ascii="Times New Roman" w:hAnsi="Times New Roman" w:cs="Times New Roman"/>
          <w:color w:val="0000FF"/>
          <w:sz w:val="24"/>
          <w:szCs w:val="24"/>
        </w:rPr>
        <w:t>doi</w:t>
      </w:r>
      <w:proofErr w:type="spellEnd"/>
      <w:r w:rsidRPr="00300A72">
        <w:rPr>
          <w:rFonts w:ascii="Times New Roman" w:hAnsi="Times New Roman" w:cs="Times New Roman"/>
          <w:color w:val="0000FF"/>
          <w:sz w:val="24"/>
          <w:szCs w:val="24"/>
        </w:rPr>
        <w:t xml:space="preserve">. org/ 10. </w:t>
      </w:r>
      <w:r w:rsidRPr="00300A72">
        <w:rPr>
          <w:rFonts w:ascii="Times New Roman" w:hAnsi="Times New Roman" w:cs="Times New Roman"/>
          <w:color w:val="0000FF"/>
          <w:sz w:val="24"/>
          <w:szCs w:val="24"/>
          <w:lang w:val="de-DE"/>
        </w:rPr>
        <w:t>1007/</w:t>
      </w:r>
    </w:p>
    <w:p w14:paraId="4A0B9F72" w14:textId="77777777" w:rsidR="00015248" w:rsidRPr="00300A72" w:rsidRDefault="00015248" w:rsidP="00300A72">
      <w:pPr>
        <w:autoSpaceDE w:val="0"/>
        <w:autoSpaceDN w:val="0"/>
        <w:bidi w:val="0"/>
        <w:adjustRightInd w:val="0"/>
        <w:spacing w:after="0" w:line="240" w:lineRule="auto"/>
        <w:jc w:val="both"/>
        <w:rPr>
          <w:rFonts w:ascii="Times New Roman" w:hAnsi="Times New Roman" w:cs="Times New Roman"/>
          <w:color w:val="0000FF"/>
          <w:sz w:val="24"/>
          <w:szCs w:val="24"/>
          <w:lang w:val="de-DE"/>
        </w:rPr>
      </w:pPr>
      <w:r w:rsidRPr="00300A72">
        <w:rPr>
          <w:rFonts w:ascii="Times New Roman" w:hAnsi="Times New Roman" w:cs="Times New Roman"/>
          <w:color w:val="0000FF"/>
          <w:sz w:val="24"/>
          <w:szCs w:val="24"/>
          <w:lang w:val="de-DE"/>
        </w:rPr>
        <w:t>s12011- 023- 03640-0.</w:t>
      </w:r>
    </w:p>
    <w:p w14:paraId="11A26C39" w14:textId="77777777" w:rsidR="00015248" w:rsidRPr="00300A72" w:rsidRDefault="00015248" w:rsidP="00300A72">
      <w:pPr>
        <w:bidi w:val="0"/>
        <w:spacing w:after="0" w:line="240" w:lineRule="auto"/>
        <w:jc w:val="both"/>
        <w:rPr>
          <w:rFonts w:ascii="Times New Roman" w:eastAsia="Times New Roman" w:hAnsi="Times New Roman" w:cs="Times New Roman"/>
          <w:color w:val="000000"/>
          <w:sz w:val="24"/>
          <w:szCs w:val="24"/>
          <w:lang w:val="de-DE"/>
        </w:rPr>
      </w:pPr>
      <w:r w:rsidRPr="00300A72">
        <w:rPr>
          <w:rFonts w:ascii="Times New Roman" w:hAnsi="Times New Roman" w:cs="Times New Roman"/>
          <w:sz w:val="24"/>
          <w:szCs w:val="24"/>
          <w:lang w:val="de-DE"/>
        </w:rPr>
        <w:t>28-</w:t>
      </w:r>
      <w:r w:rsidRPr="00300A72">
        <w:rPr>
          <w:rFonts w:ascii="Times New Roman" w:eastAsia="Times New Roman" w:hAnsi="Times New Roman" w:cs="Times New Roman"/>
          <w:color w:val="000000"/>
          <w:sz w:val="24"/>
          <w:szCs w:val="24"/>
          <w:lang w:val="de-DE"/>
        </w:rPr>
        <w:t xml:space="preserve"> Zhang J, Li Z, Yu C, Liu H, Zhou B, Zhang X, Wang T, Wang C</w:t>
      </w:r>
    </w:p>
    <w:p w14:paraId="0C71C127" w14:textId="77777777" w:rsidR="00015248" w:rsidRPr="00300A72" w:rsidRDefault="00015248"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(2022) Efficacy of using zinc oxide nanoparticle as a substitute</w:t>
      </w:r>
    </w:p>
    <w:p w14:paraId="3C5A21CB" w14:textId="77777777" w:rsidR="00015248" w:rsidRPr="00300A72" w:rsidRDefault="00015248"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to antibiotic growth promoter and zinc sulphate for growth performance,</w:t>
      </w:r>
    </w:p>
    <w:p w14:paraId="3ADF7D43" w14:textId="77777777" w:rsidR="00015248" w:rsidRPr="00300A72" w:rsidRDefault="00015248" w:rsidP="00300A72">
      <w:pPr>
        <w:shd w:val="clear" w:color="auto" w:fill="FFFFFF"/>
        <w:bidi w:val="0"/>
        <w:spacing w:before="300" w:after="150" w:line="240" w:lineRule="auto"/>
        <w:jc w:val="both"/>
        <w:rPr>
          <w:rFonts w:ascii="Times New Roman" w:eastAsia="Times New Roman" w:hAnsi="Times New Roman" w:cs="Times New Roman"/>
          <w:color w:val="000000"/>
          <w:sz w:val="24"/>
          <w:szCs w:val="24"/>
          <w:lang w:val="de-DE"/>
        </w:rPr>
      </w:pPr>
      <w:r w:rsidRPr="00300A72">
        <w:rPr>
          <w:rFonts w:ascii="Times New Roman" w:eastAsia="Times New Roman" w:hAnsi="Times New Roman" w:cs="Times New Roman"/>
          <w:color w:val="000000"/>
          <w:sz w:val="24"/>
          <w:szCs w:val="24"/>
          <w:lang w:val="en"/>
        </w:rPr>
        <w:t>Antioxidant capacity, immunity and intestinal barrier. function in broilers. </w:t>
      </w:r>
      <w:r w:rsidRPr="00300A72">
        <w:rPr>
          <w:rFonts w:ascii="Times New Roman" w:eastAsia="Times New Roman" w:hAnsi="Times New Roman" w:cs="Times New Roman"/>
          <w:color w:val="000000"/>
          <w:sz w:val="24"/>
          <w:szCs w:val="24"/>
          <w:lang w:val="de-DE"/>
        </w:rPr>
        <w:t>Ital J Anim Sci 21(1):562–576</w:t>
      </w:r>
    </w:p>
    <w:p w14:paraId="374C2370" w14:textId="77777777" w:rsidR="00015248" w:rsidRPr="00300A72" w:rsidRDefault="00015248" w:rsidP="00300A72">
      <w:pPr>
        <w:bidi w:val="0"/>
        <w:spacing w:after="0" w:line="240" w:lineRule="auto"/>
        <w:jc w:val="both"/>
        <w:rPr>
          <w:rFonts w:ascii="Times New Roman" w:eastAsia="Times New Roman" w:hAnsi="Times New Roman" w:cs="Times New Roman"/>
          <w:color w:val="000000"/>
          <w:sz w:val="24"/>
          <w:szCs w:val="24"/>
          <w:lang w:val="de-DE"/>
        </w:rPr>
      </w:pPr>
      <w:r w:rsidRPr="00300A72">
        <w:rPr>
          <w:rFonts w:ascii="Times New Roman" w:hAnsi="Times New Roman" w:cs="Times New Roman"/>
          <w:sz w:val="24"/>
          <w:szCs w:val="24"/>
          <w:lang w:val="de-DE"/>
        </w:rPr>
        <w:t>29-</w:t>
      </w:r>
      <w:r w:rsidRPr="00300A72">
        <w:rPr>
          <w:rFonts w:ascii="Times New Roman" w:eastAsia="Times New Roman" w:hAnsi="Times New Roman" w:cs="Times New Roman"/>
          <w:color w:val="000000"/>
          <w:sz w:val="24"/>
          <w:szCs w:val="24"/>
          <w:lang w:val="de-DE"/>
        </w:rPr>
        <w:t xml:space="preserve"> Dukare S, Mir NA, Mandal AB, Dev K, Begum J, Rokade JJ,</w:t>
      </w:r>
    </w:p>
    <w:p w14:paraId="78CC58F1" w14:textId="77777777" w:rsidR="00015248" w:rsidRPr="00300A72" w:rsidRDefault="00015248"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Biswas A, Tyagi PK, Tyagi PK, Bhanja SK (2021) A comparative</w:t>
      </w:r>
    </w:p>
    <w:p w14:paraId="672195EE" w14:textId="77777777" w:rsidR="00015248" w:rsidRPr="00300A72" w:rsidRDefault="00015248"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study on the antioxidant status, meat quality, and mineral</w:t>
      </w:r>
    </w:p>
    <w:p w14:paraId="4B8A5645" w14:textId="77777777" w:rsidR="00015248" w:rsidRPr="00300A72" w:rsidRDefault="00015248"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Deposition in broiler chicken fed dietary nano zinc viz-a-viz</w:t>
      </w:r>
    </w:p>
    <w:p w14:paraId="52A9D33E" w14:textId="77777777" w:rsidR="00015248" w:rsidRPr="00300A72" w:rsidRDefault="00015248"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inorganic zinc. J Food Sci Technol 58(3):834–843.</w:t>
      </w:r>
    </w:p>
    <w:p w14:paraId="7387338A" w14:textId="77777777" w:rsidR="00015248" w:rsidRPr="00300A72" w:rsidRDefault="00015248"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hAnsi="Times New Roman" w:cs="Times New Roman"/>
          <w:sz w:val="24"/>
          <w:szCs w:val="24"/>
        </w:rPr>
        <w:lastRenderedPageBreak/>
        <w:t>30-</w:t>
      </w:r>
      <w:r w:rsidRPr="00300A72">
        <w:rPr>
          <w:rFonts w:ascii="Times New Roman" w:eastAsia="Times New Roman" w:hAnsi="Times New Roman" w:cs="Times New Roman"/>
          <w:color w:val="000000"/>
          <w:sz w:val="24"/>
          <w:szCs w:val="24"/>
          <w:lang w:val="en"/>
        </w:rPr>
        <w:t>. Fathi M, Haydari M, Tanha T (2016) Effects of zinc oxide</w:t>
      </w:r>
    </w:p>
    <w:p w14:paraId="4F11CFF5" w14:textId="77777777" w:rsidR="00015248" w:rsidRPr="00300A72" w:rsidRDefault="00015248"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nanoparticles on antioxidant status, serum enzymes activities, biochemical parameters and performance in broiler chickens. J</w:t>
      </w:r>
    </w:p>
    <w:p w14:paraId="4C1C5FEE" w14:textId="77777777" w:rsidR="00015248" w:rsidRPr="00300A72" w:rsidRDefault="00015248" w:rsidP="00300A72">
      <w:pPr>
        <w:bidi w:val="0"/>
        <w:spacing w:after="0" w:line="240" w:lineRule="auto"/>
        <w:jc w:val="both"/>
        <w:rPr>
          <w:rFonts w:ascii="Times New Roman" w:eastAsia="Times New Roman" w:hAnsi="Times New Roman" w:cs="Times New Roman"/>
          <w:color w:val="000000"/>
          <w:sz w:val="24"/>
          <w:szCs w:val="24"/>
        </w:rPr>
      </w:pPr>
      <w:proofErr w:type="spellStart"/>
      <w:r w:rsidRPr="00300A72">
        <w:rPr>
          <w:rFonts w:ascii="Times New Roman" w:eastAsia="Times New Roman" w:hAnsi="Times New Roman" w:cs="Times New Roman"/>
          <w:color w:val="000000"/>
          <w:sz w:val="24"/>
          <w:szCs w:val="24"/>
          <w:lang w:val="en"/>
        </w:rPr>
        <w:t>Livest</w:t>
      </w:r>
      <w:proofErr w:type="spellEnd"/>
      <w:r w:rsidRPr="00300A72">
        <w:rPr>
          <w:rFonts w:ascii="Times New Roman" w:eastAsia="Times New Roman" w:hAnsi="Times New Roman" w:cs="Times New Roman"/>
          <w:color w:val="000000"/>
          <w:sz w:val="24"/>
          <w:szCs w:val="24"/>
          <w:lang w:val="en"/>
        </w:rPr>
        <w:t xml:space="preserve"> Sci Technol 4(2):7–13.</w:t>
      </w:r>
      <w:r w:rsidRPr="00300A72">
        <w:rPr>
          <w:rFonts w:ascii="Times New Roman" w:eastAsia="Times New Roman" w:hAnsi="Times New Roman" w:cs="Times New Roman"/>
          <w:color w:val="000000"/>
          <w:sz w:val="24"/>
          <w:szCs w:val="24"/>
        </w:rPr>
        <w:t> </w:t>
      </w:r>
    </w:p>
    <w:p w14:paraId="20C10857" w14:textId="77777777" w:rsidR="00015248" w:rsidRPr="00300A72" w:rsidRDefault="00015248"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hAnsi="Times New Roman" w:cs="Times New Roman"/>
          <w:sz w:val="24"/>
          <w:szCs w:val="24"/>
        </w:rPr>
        <w:t>31-</w:t>
      </w:r>
      <w:r w:rsidRPr="00300A72">
        <w:rPr>
          <w:rFonts w:ascii="Times New Roman" w:eastAsia="Times New Roman" w:hAnsi="Times New Roman" w:cs="Times New Roman"/>
          <w:color w:val="000000"/>
          <w:sz w:val="24"/>
          <w:szCs w:val="24"/>
          <w:lang w:val="en"/>
        </w:rPr>
        <w:t xml:space="preserve"> Noor R, Mittal S, Iqbal J (2002) Superoxide dismutase–applications</w:t>
      </w:r>
    </w:p>
    <w:p w14:paraId="57DD4518" w14:textId="77777777" w:rsidR="00015248" w:rsidRPr="00300A72" w:rsidRDefault="00015248"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and relevance to human diseases. Med Sci. Monit 8(9):210–210</w:t>
      </w:r>
    </w:p>
    <w:p w14:paraId="2718B692" w14:textId="77777777" w:rsidR="00015248" w:rsidRPr="00300A72" w:rsidRDefault="00015248" w:rsidP="00300A72">
      <w:pPr>
        <w:bidi w:val="0"/>
        <w:spacing w:after="0" w:line="240" w:lineRule="auto"/>
        <w:jc w:val="both"/>
        <w:rPr>
          <w:rFonts w:ascii="Times New Roman" w:eastAsia="Times New Roman" w:hAnsi="Times New Roman" w:cs="Times New Roman"/>
          <w:color w:val="000000"/>
          <w:sz w:val="24"/>
          <w:szCs w:val="24"/>
        </w:rPr>
      </w:pPr>
      <w:r w:rsidRPr="00300A72">
        <w:rPr>
          <w:rFonts w:ascii="Times New Roman" w:eastAsia="Times New Roman" w:hAnsi="Times New Roman" w:cs="Times New Roman"/>
          <w:color w:val="000000"/>
          <w:sz w:val="24"/>
          <w:szCs w:val="24"/>
          <w:lang w:val="en"/>
        </w:rPr>
        <w:t>215.</w:t>
      </w:r>
    </w:p>
    <w:p w14:paraId="3656B9AB" w14:textId="77777777" w:rsidR="00015248" w:rsidRPr="00300A72" w:rsidRDefault="00015248" w:rsidP="00300A72">
      <w:pPr>
        <w:autoSpaceDE w:val="0"/>
        <w:autoSpaceDN w:val="0"/>
        <w:bidi w:val="0"/>
        <w:adjustRightInd w:val="0"/>
        <w:spacing w:after="0" w:line="240" w:lineRule="auto"/>
        <w:jc w:val="both"/>
        <w:rPr>
          <w:rFonts w:ascii="Times New Roman" w:hAnsi="Times New Roman" w:cs="Times New Roman"/>
          <w:sz w:val="24"/>
          <w:szCs w:val="24"/>
        </w:rPr>
      </w:pPr>
    </w:p>
    <w:p w14:paraId="20876B09" w14:textId="77777777" w:rsidR="00015248" w:rsidRPr="00300A72" w:rsidRDefault="00015248" w:rsidP="00300A72">
      <w:pPr>
        <w:shd w:val="clear" w:color="auto" w:fill="FFFFFF"/>
        <w:bidi w:val="0"/>
        <w:spacing w:before="300" w:after="150" w:line="240" w:lineRule="auto"/>
        <w:jc w:val="both"/>
        <w:rPr>
          <w:rFonts w:ascii="Times New Roman" w:eastAsia="Times New Roman" w:hAnsi="Times New Roman" w:cs="Times New Roman"/>
          <w:color w:val="000000"/>
          <w:sz w:val="24"/>
          <w:szCs w:val="24"/>
        </w:rPr>
      </w:pPr>
      <w:r w:rsidRPr="00300A72">
        <w:rPr>
          <w:rFonts w:ascii="Times New Roman" w:hAnsi="Times New Roman" w:cs="Times New Roman"/>
          <w:color w:val="000000"/>
          <w:sz w:val="24"/>
          <w:szCs w:val="24"/>
        </w:rPr>
        <w:t xml:space="preserve"> </w:t>
      </w:r>
    </w:p>
    <w:p w14:paraId="45FB0818" w14:textId="77777777" w:rsidR="00015248" w:rsidRPr="00300A72" w:rsidRDefault="00015248" w:rsidP="00300A72">
      <w:pPr>
        <w:pStyle w:val="EndNoteBibliography"/>
        <w:spacing w:after="0" w:line="360" w:lineRule="auto"/>
        <w:ind w:left="426" w:hanging="426"/>
        <w:jc w:val="both"/>
        <w:rPr>
          <w:szCs w:val="24"/>
        </w:rPr>
      </w:pPr>
    </w:p>
    <w:p w14:paraId="049F31CB" w14:textId="77777777" w:rsidR="00015248" w:rsidRPr="00300A72" w:rsidRDefault="00015248" w:rsidP="00300A72">
      <w:pPr>
        <w:bidi w:val="0"/>
        <w:spacing w:after="0" w:line="240" w:lineRule="auto"/>
        <w:jc w:val="both"/>
        <w:rPr>
          <w:rFonts w:ascii="Times New Roman" w:eastAsia="Times New Roman" w:hAnsi="Times New Roman" w:cs="Times New Roman"/>
          <w:color w:val="000000"/>
          <w:sz w:val="24"/>
          <w:szCs w:val="24"/>
        </w:rPr>
      </w:pPr>
    </w:p>
    <w:p w14:paraId="53128261" w14:textId="77777777" w:rsidR="00015248" w:rsidRPr="00300A72" w:rsidRDefault="00015248" w:rsidP="00300A72">
      <w:pPr>
        <w:jc w:val="both"/>
        <w:rPr>
          <w:rFonts w:ascii="Times New Roman" w:hAnsi="Times New Roman" w:cs="Times New Roman"/>
          <w:sz w:val="24"/>
          <w:szCs w:val="24"/>
          <w:rtl/>
          <w:lang w:bidi="ar-IQ"/>
        </w:rPr>
      </w:pPr>
    </w:p>
    <w:p w14:paraId="62486C05" w14:textId="77777777" w:rsidR="00015248" w:rsidRPr="00015248" w:rsidRDefault="00015248" w:rsidP="00015248">
      <w:pPr>
        <w:jc w:val="right"/>
        <w:rPr>
          <w:rFonts w:asciiTheme="majorBidi" w:hAnsiTheme="majorBidi" w:cstheme="majorBidi"/>
          <w:sz w:val="24"/>
          <w:szCs w:val="24"/>
          <w:rtl/>
          <w:lang w:val="en" w:bidi="ar-IQ"/>
        </w:rPr>
      </w:pPr>
    </w:p>
    <w:sectPr w:rsidR="00015248" w:rsidRPr="00015248" w:rsidSect="00FC424A">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708" w:footer="708"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dri angi" w:date="2026-01-28T12:52:00Z" w:initials="aa">
    <w:p w14:paraId="1CEA531D" w14:textId="77777777" w:rsidR="001467EC" w:rsidRDefault="001467EC" w:rsidP="001467EC">
      <w:pPr>
        <w:pStyle w:val="CommentText"/>
        <w:bidi w:val="0"/>
      </w:pPr>
      <w:r>
        <w:rPr>
          <w:rStyle w:val="CommentReference"/>
        </w:rPr>
        <w:annotationRef/>
      </w:r>
      <w:r>
        <w:t>Please provide a brief explanation of what Zinc Oxide nanoparticles, its benefits and its use in chickens, especially broiler chickens.</w:t>
      </w:r>
    </w:p>
  </w:comment>
  <w:comment w:id="1" w:author="andri angi" w:date="2026-01-28T13:06:00Z" w:initials="aa">
    <w:p w14:paraId="1279781B" w14:textId="77777777" w:rsidR="00D72D21" w:rsidRDefault="00D72D21" w:rsidP="00D72D21">
      <w:pPr>
        <w:pStyle w:val="CommentText"/>
        <w:bidi w:val="0"/>
      </w:pPr>
      <w:r>
        <w:rPr>
          <w:rStyle w:val="CommentReference"/>
        </w:rPr>
        <w:annotationRef/>
      </w:r>
      <w:r>
        <w:t xml:space="preserve">Keywords : Broiler chiken, </w:t>
      </w:r>
      <w:r>
        <w:rPr>
          <w:color w:val="000000"/>
        </w:rPr>
        <w:t xml:space="preserve">Zinc Oxide Nanoparticles , antioxidants, </w:t>
      </w:r>
      <w:r>
        <w:t>Feed comsumption rate, Nutrional Conversion Efficiency</w:t>
      </w:r>
    </w:p>
  </w:comment>
  <w:comment w:id="2" w:author="andri angi" w:date="2026-01-28T13:39:00Z" w:initials="aa">
    <w:p w14:paraId="1D53C944" w14:textId="77777777" w:rsidR="006B6606" w:rsidRDefault="006B6606" w:rsidP="006B6606">
      <w:pPr>
        <w:pStyle w:val="CommentText"/>
        <w:bidi w:val="0"/>
      </w:pPr>
      <w:r>
        <w:rPr>
          <w:rStyle w:val="CommentReference"/>
        </w:rPr>
        <w:annotationRef/>
      </w:r>
      <w:r>
        <w:t>In this paragraph, should you also explain in broad terms the research that will be conducted?</w:t>
      </w:r>
    </w:p>
  </w:comment>
  <w:comment w:id="3" w:author="andri angi" w:date="2026-01-28T15:01:00Z" w:initials="aa">
    <w:p w14:paraId="484FC54F" w14:textId="77777777" w:rsidR="00EA6AE8" w:rsidRDefault="00EA6AE8" w:rsidP="00EA6AE8">
      <w:pPr>
        <w:pStyle w:val="CommentText"/>
        <w:bidi w:val="0"/>
      </w:pPr>
      <w:r>
        <w:rPr>
          <w:rStyle w:val="CommentReference"/>
        </w:rPr>
        <w:annotationRef/>
      </w:r>
      <w:r>
        <w:t>each group of 50 broiler chickens</w:t>
      </w:r>
    </w:p>
  </w:comment>
  <w:comment w:id="4" w:author="andri angi" w:date="2026-01-28T15:25:00Z" w:initials="aa">
    <w:p w14:paraId="7D9CDF15" w14:textId="77777777" w:rsidR="00570BB1" w:rsidRDefault="00570BB1" w:rsidP="00570BB1">
      <w:pPr>
        <w:pStyle w:val="CommentText"/>
        <w:bidi w:val="0"/>
      </w:pPr>
      <w:r>
        <w:rPr>
          <w:rStyle w:val="CommentReference"/>
        </w:rPr>
        <w:annotationRef/>
      </w:r>
      <w:r>
        <w:t>NO IMAGE REQUIRED, and if displayed, provide a clearer image.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CEA531D" w15:done="0"/>
  <w15:commentEx w15:paraId="1279781B" w15:done="0"/>
  <w15:commentEx w15:paraId="1D53C944" w15:done="0"/>
  <w15:commentEx w15:paraId="484FC54F" w15:done="0"/>
  <w15:commentEx w15:paraId="7D9CDF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D358FF" w16cex:dateUtc="2026-01-28T04:52:00Z"/>
  <w16cex:commentExtensible w16cex:durableId="1C5EAEBE" w16cex:dateUtc="2026-01-28T05:06:00Z"/>
  <w16cex:commentExtensible w16cex:durableId="5AC989CB" w16cex:dateUtc="2026-01-28T05:39:00Z"/>
  <w16cex:commentExtensible w16cex:durableId="385490D0" w16cex:dateUtc="2026-01-28T07:01:00Z"/>
  <w16cex:commentExtensible w16cex:durableId="5A19EDE1" w16cex:dateUtc="2026-01-28T07: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EA531D" w16cid:durableId="68D358FF"/>
  <w16cid:commentId w16cid:paraId="1279781B" w16cid:durableId="1C5EAEBE"/>
  <w16cid:commentId w16cid:paraId="1D53C944" w16cid:durableId="5AC989CB"/>
  <w16cid:commentId w16cid:paraId="484FC54F" w16cid:durableId="385490D0"/>
  <w16cid:commentId w16cid:paraId="7D9CDF15" w16cid:durableId="5A19ED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337C0" w14:textId="77777777" w:rsidR="00DA6784" w:rsidRDefault="00DA6784" w:rsidP="00CE161D">
      <w:pPr>
        <w:spacing w:after="0" w:line="240" w:lineRule="auto"/>
      </w:pPr>
      <w:r>
        <w:separator/>
      </w:r>
    </w:p>
  </w:endnote>
  <w:endnote w:type="continuationSeparator" w:id="0">
    <w:p w14:paraId="16FF7727" w14:textId="77777777" w:rsidR="00DA6784" w:rsidRDefault="00DA6784" w:rsidP="00CE1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652C" w14:textId="77777777" w:rsidR="00CE161D" w:rsidRDefault="00CE16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E0A41" w14:textId="77777777" w:rsidR="00CE161D" w:rsidRDefault="00CE16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9C43A" w14:textId="77777777" w:rsidR="00CE161D" w:rsidRDefault="00CE1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7E43E" w14:textId="77777777" w:rsidR="00DA6784" w:rsidRDefault="00DA6784" w:rsidP="00CE161D">
      <w:pPr>
        <w:spacing w:after="0" w:line="240" w:lineRule="auto"/>
      </w:pPr>
      <w:r>
        <w:separator/>
      </w:r>
    </w:p>
  </w:footnote>
  <w:footnote w:type="continuationSeparator" w:id="0">
    <w:p w14:paraId="5D2B5920" w14:textId="77777777" w:rsidR="00DA6784" w:rsidRDefault="00DA6784" w:rsidP="00CE1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EF00" w14:textId="77777777" w:rsidR="00CE161D" w:rsidRDefault="00000000">
    <w:pPr>
      <w:pStyle w:val="Header"/>
    </w:pPr>
    <w:r>
      <w:rPr>
        <w:noProof/>
      </w:rPr>
      <w:pict w14:anchorId="2F1DCF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991235" o:spid="_x0000_s1026" type="#_x0000_t136" style="position:absolute;left:0;text-align:left;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9056E" w14:textId="77777777" w:rsidR="00CE161D" w:rsidRDefault="00000000">
    <w:pPr>
      <w:pStyle w:val="Header"/>
    </w:pPr>
    <w:r>
      <w:rPr>
        <w:noProof/>
      </w:rPr>
      <w:pict w14:anchorId="283E45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991236" o:spid="_x0000_s1027" type="#_x0000_t136" style="position:absolute;left:0;text-align:left;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78278" w14:textId="77777777" w:rsidR="00CE161D" w:rsidRDefault="00000000">
    <w:pPr>
      <w:pStyle w:val="Header"/>
    </w:pPr>
    <w:r>
      <w:rPr>
        <w:noProof/>
      </w:rPr>
      <w:pict w14:anchorId="49A85C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991234" o:spid="_x0000_s1025" type="#_x0000_t136" style="position:absolute;left:0;text-align:left;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i angi">
    <w15:presenceInfo w15:providerId="Windows Live" w15:userId="05ff61c6d0a461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5F8"/>
    <w:rsid w:val="00015248"/>
    <w:rsid w:val="000219CA"/>
    <w:rsid w:val="00046B84"/>
    <w:rsid w:val="001467EC"/>
    <w:rsid w:val="001B2ABC"/>
    <w:rsid w:val="00263968"/>
    <w:rsid w:val="00300A72"/>
    <w:rsid w:val="00300AFF"/>
    <w:rsid w:val="0030254B"/>
    <w:rsid w:val="00357767"/>
    <w:rsid w:val="003C01F8"/>
    <w:rsid w:val="00570BB1"/>
    <w:rsid w:val="005C401B"/>
    <w:rsid w:val="006B6606"/>
    <w:rsid w:val="00704EAD"/>
    <w:rsid w:val="0072417A"/>
    <w:rsid w:val="00733E63"/>
    <w:rsid w:val="007F4E92"/>
    <w:rsid w:val="008C22FA"/>
    <w:rsid w:val="00991E43"/>
    <w:rsid w:val="009A4D9B"/>
    <w:rsid w:val="009C65F8"/>
    <w:rsid w:val="00AE6AF8"/>
    <w:rsid w:val="00BC119F"/>
    <w:rsid w:val="00BF3CFB"/>
    <w:rsid w:val="00C82364"/>
    <w:rsid w:val="00CC2927"/>
    <w:rsid w:val="00CE161D"/>
    <w:rsid w:val="00D72D21"/>
    <w:rsid w:val="00DA2E85"/>
    <w:rsid w:val="00DA6784"/>
    <w:rsid w:val="00E84270"/>
    <w:rsid w:val="00EA6AE8"/>
    <w:rsid w:val="00F75903"/>
    <w:rsid w:val="00F7788D"/>
    <w:rsid w:val="00FC424A"/>
    <w:rsid w:val="7789A3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233909"/>
  <w15:chartTrackingRefBased/>
  <w15:docId w15:val="{9E1E96D5-368C-48C0-85FE-574425A0A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3">
    <w:name w:val="heading 3"/>
    <w:basedOn w:val="Normal"/>
    <w:link w:val="Heading3Char"/>
    <w:uiPriority w:val="9"/>
    <w:qFormat/>
    <w:rsid w:val="00300AFF"/>
    <w:pPr>
      <w:bidi w:val="0"/>
      <w:spacing w:before="100" w:beforeAutospacing="1" w:after="100" w:afterAutospacing="1" w:line="240" w:lineRule="auto"/>
      <w:outlineLvl w:val="2"/>
    </w:pPr>
    <w:rPr>
      <w:rFonts w:ascii="Times New Roman" w:eastAsia="Times New Roman" w:hAnsi="Times New Roman" w:cs="Times New Roman"/>
      <w:b/>
      <w:bCs/>
      <w:sz w:val="27"/>
      <w:szCs w:val="27"/>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015248"/>
    <w:pPr>
      <w:bidi w:val="0"/>
      <w:spacing w:line="240" w:lineRule="auto"/>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015248"/>
    <w:rPr>
      <w:rFonts w:ascii="Times New Roman" w:hAnsi="Times New Roman" w:cs="Times New Roman"/>
      <w:noProof/>
      <w:sz w:val="24"/>
    </w:rPr>
  </w:style>
  <w:style w:type="paragraph" w:customStyle="1" w:styleId="Default">
    <w:name w:val="Default"/>
    <w:rsid w:val="00015248"/>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357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57767"/>
    <w:rPr>
      <w:rFonts w:ascii="Courier New" w:eastAsia="Times New Roman" w:hAnsi="Courier New" w:cs="Courier New"/>
      <w:sz w:val="20"/>
      <w:szCs w:val="20"/>
    </w:rPr>
  </w:style>
  <w:style w:type="character" w:customStyle="1" w:styleId="y2iqfc">
    <w:name w:val="y2iqfc"/>
    <w:basedOn w:val="DefaultParagraphFont"/>
    <w:rsid w:val="00357767"/>
  </w:style>
  <w:style w:type="character" w:customStyle="1" w:styleId="Heading3Char">
    <w:name w:val="Heading 3 Char"/>
    <w:basedOn w:val="DefaultParagraphFont"/>
    <w:link w:val="Heading3"/>
    <w:uiPriority w:val="9"/>
    <w:rsid w:val="00300AFF"/>
    <w:rPr>
      <w:rFonts w:ascii="Times New Roman" w:eastAsia="Times New Roman" w:hAnsi="Times New Roman" w:cs="Times New Roman"/>
      <w:b/>
      <w:bCs/>
      <w:sz w:val="27"/>
      <w:szCs w:val="27"/>
      <w:lang w:val="en-IN" w:eastAsia="en-IN"/>
    </w:rPr>
  </w:style>
  <w:style w:type="character" w:customStyle="1" w:styleId="go">
    <w:name w:val="go"/>
    <w:basedOn w:val="DefaultParagraphFont"/>
    <w:rsid w:val="00300AFF"/>
  </w:style>
  <w:style w:type="character" w:styleId="Hyperlink">
    <w:name w:val="Hyperlink"/>
    <w:basedOn w:val="DefaultParagraphFont"/>
    <w:uiPriority w:val="99"/>
    <w:unhideWhenUsed/>
    <w:rsid w:val="00300AFF"/>
    <w:rPr>
      <w:color w:val="0563C1" w:themeColor="hyperlink"/>
      <w:u w:val="single"/>
    </w:rPr>
  </w:style>
  <w:style w:type="paragraph" w:styleId="Header">
    <w:name w:val="header"/>
    <w:basedOn w:val="Normal"/>
    <w:link w:val="HeaderChar"/>
    <w:uiPriority w:val="99"/>
    <w:unhideWhenUsed/>
    <w:rsid w:val="00CE16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61D"/>
  </w:style>
  <w:style w:type="paragraph" w:styleId="Footer">
    <w:name w:val="footer"/>
    <w:basedOn w:val="Normal"/>
    <w:link w:val="FooterChar"/>
    <w:uiPriority w:val="99"/>
    <w:unhideWhenUsed/>
    <w:rsid w:val="00CE16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61D"/>
  </w:style>
  <w:style w:type="character" w:styleId="CommentReference">
    <w:name w:val="annotation reference"/>
    <w:basedOn w:val="DefaultParagraphFont"/>
    <w:uiPriority w:val="99"/>
    <w:semiHidden/>
    <w:unhideWhenUsed/>
    <w:rsid w:val="001467EC"/>
    <w:rPr>
      <w:sz w:val="16"/>
      <w:szCs w:val="16"/>
    </w:rPr>
  </w:style>
  <w:style w:type="paragraph" w:styleId="CommentText">
    <w:name w:val="annotation text"/>
    <w:basedOn w:val="Normal"/>
    <w:link w:val="CommentTextChar"/>
    <w:uiPriority w:val="99"/>
    <w:unhideWhenUsed/>
    <w:rsid w:val="001467EC"/>
    <w:pPr>
      <w:spacing w:line="240" w:lineRule="auto"/>
    </w:pPr>
    <w:rPr>
      <w:sz w:val="20"/>
      <w:szCs w:val="20"/>
    </w:rPr>
  </w:style>
  <w:style w:type="character" w:customStyle="1" w:styleId="CommentTextChar">
    <w:name w:val="Comment Text Char"/>
    <w:basedOn w:val="DefaultParagraphFont"/>
    <w:link w:val="CommentText"/>
    <w:uiPriority w:val="99"/>
    <w:rsid w:val="001467EC"/>
    <w:rPr>
      <w:sz w:val="20"/>
      <w:szCs w:val="20"/>
    </w:rPr>
  </w:style>
  <w:style w:type="paragraph" w:styleId="CommentSubject">
    <w:name w:val="annotation subject"/>
    <w:basedOn w:val="CommentText"/>
    <w:next w:val="CommentText"/>
    <w:link w:val="CommentSubjectChar"/>
    <w:uiPriority w:val="99"/>
    <w:semiHidden/>
    <w:unhideWhenUsed/>
    <w:rsid w:val="001467EC"/>
    <w:rPr>
      <w:b/>
      <w:bCs/>
    </w:rPr>
  </w:style>
  <w:style w:type="character" w:customStyle="1" w:styleId="CommentSubjectChar">
    <w:name w:val="Comment Subject Char"/>
    <w:basedOn w:val="CommentTextChar"/>
    <w:link w:val="CommentSubject"/>
    <w:uiPriority w:val="99"/>
    <w:semiHidden/>
    <w:rsid w:val="001467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00004">
      <w:bodyDiv w:val="1"/>
      <w:marLeft w:val="0"/>
      <w:marRight w:val="0"/>
      <w:marTop w:val="0"/>
      <w:marBottom w:val="0"/>
      <w:divBdr>
        <w:top w:val="none" w:sz="0" w:space="0" w:color="auto"/>
        <w:left w:val="none" w:sz="0" w:space="0" w:color="auto"/>
        <w:bottom w:val="none" w:sz="0" w:space="0" w:color="auto"/>
        <w:right w:val="none" w:sz="0" w:space="0" w:color="auto"/>
      </w:divBdr>
    </w:div>
    <w:div w:id="130445744">
      <w:bodyDiv w:val="1"/>
      <w:marLeft w:val="0"/>
      <w:marRight w:val="0"/>
      <w:marTop w:val="0"/>
      <w:marBottom w:val="0"/>
      <w:divBdr>
        <w:top w:val="none" w:sz="0" w:space="0" w:color="auto"/>
        <w:left w:val="none" w:sz="0" w:space="0" w:color="auto"/>
        <w:bottom w:val="none" w:sz="0" w:space="0" w:color="auto"/>
        <w:right w:val="none" w:sz="0" w:space="0" w:color="auto"/>
      </w:divBdr>
    </w:div>
    <w:div w:id="175124072">
      <w:bodyDiv w:val="1"/>
      <w:marLeft w:val="0"/>
      <w:marRight w:val="0"/>
      <w:marTop w:val="0"/>
      <w:marBottom w:val="0"/>
      <w:divBdr>
        <w:top w:val="none" w:sz="0" w:space="0" w:color="auto"/>
        <w:left w:val="none" w:sz="0" w:space="0" w:color="auto"/>
        <w:bottom w:val="none" w:sz="0" w:space="0" w:color="auto"/>
        <w:right w:val="none" w:sz="0" w:space="0" w:color="auto"/>
      </w:divBdr>
    </w:div>
    <w:div w:id="276451293">
      <w:bodyDiv w:val="1"/>
      <w:marLeft w:val="0"/>
      <w:marRight w:val="0"/>
      <w:marTop w:val="0"/>
      <w:marBottom w:val="0"/>
      <w:divBdr>
        <w:top w:val="none" w:sz="0" w:space="0" w:color="auto"/>
        <w:left w:val="none" w:sz="0" w:space="0" w:color="auto"/>
        <w:bottom w:val="none" w:sz="0" w:space="0" w:color="auto"/>
        <w:right w:val="none" w:sz="0" w:space="0" w:color="auto"/>
      </w:divBdr>
    </w:div>
    <w:div w:id="282732167">
      <w:bodyDiv w:val="1"/>
      <w:marLeft w:val="0"/>
      <w:marRight w:val="0"/>
      <w:marTop w:val="0"/>
      <w:marBottom w:val="0"/>
      <w:divBdr>
        <w:top w:val="none" w:sz="0" w:space="0" w:color="auto"/>
        <w:left w:val="none" w:sz="0" w:space="0" w:color="auto"/>
        <w:bottom w:val="none" w:sz="0" w:space="0" w:color="auto"/>
        <w:right w:val="none" w:sz="0" w:space="0" w:color="auto"/>
      </w:divBdr>
    </w:div>
    <w:div w:id="305621838">
      <w:bodyDiv w:val="1"/>
      <w:marLeft w:val="0"/>
      <w:marRight w:val="0"/>
      <w:marTop w:val="0"/>
      <w:marBottom w:val="0"/>
      <w:divBdr>
        <w:top w:val="none" w:sz="0" w:space="0" w:color="auto"/>
        <w:left w:val="none" w:sz="0" w:space="0" w:color="auto"/>
        <w:bottom w:val="none" w:sz="0" w:space="0" w:color="auto"/>
        <w:right w:val="none" w:sz="0" w:space="0" w:color="auto"/>
      </w:divBdr>
    </w:div>
    <w:div w:id="321810961">
      <w:bodyDiv w:val="1"/>
      <w:marLeft w:val="0"/>
      <w:marRight w:val="0"/>
      <w:marTop w:val="0"/>
      <w:marBottom w:val="0"/>
      <w:divBdr>
        <w:top w:val="none" w:sz="0" w:space="0" w:color="auto"/>
        <w:left w:val="none" w:sz="0" w:space="0" w:color="auto"/>
        <w:bottom w:val="none" w:sz="0" w:space="0" w:color="auto"/>
        <w:right w:val="none" w:sz="0" w:space="0" w:color="auto"/>
      </w:divBdr>
    </w:div>
    <w:div w:id="479031947">
      <w:bodyDiv w:val="1"/>
      <w:marLeft w:val="0"/>
      <w:marRight w:val="0"/>
      <w:marTop w:val="0"/>
      <w:marBottom w:val="0"/>
      <w:divBdr>
        <w:top w:val="none" w:sz="0" w:space="0" w:color="auto"/>
        <w:left w:val="none" w:sz="0" w:space="0" w:color="auto"/>
        <w:bottom w:val="none" w:sz="0" w:space="0" w:color="auto"/>
        <w:right w:val="none" w:sz="0" w:space="0" w:color="auto"/>
      </w:divBdr>
    </w:div>
    <w:div w:id="560017194">
      <w:bodyDiv w:val="1"/>
      <w:marLeft w:val="0"/>
      <w:marRight w:val="0"/>
      <w:marTop w:val="0"/>
      <w:marBottom w:val="0"/>
      <w:divBdr>
        <w:top w:val="none" w:sz="0" w:space="0" w:color="auto"/>
        <w:left w:val="none" w:sz="0" w:space="0" w:color="auto"/>
        <w:bottom w:val="none" w:sz="0" w:space="0" w:color="auto"/>
        <w:right w:val="none" w:sz="0" w:space="0" w:color="auto"/>
      </w:divBdr>
    </w:div>
    <w:div w:id="649291762">
      <w:bodyDiv w:val="1"/>
      <w:marLeft w:val="0"/>
      <w:marRight w:val="0"/>
      <w:marTop w:val="0"/>
      <w:marBottom w:val="0"/>
      <w:divBdr>
        <w:top w:val="none" w:sz="0" w:space="0" w:color="auto"/>
        <w:left w:val="none" w:sz="0" w:space="0" w:color="auto"/>
        <w:bottom w:val="none" w:sz="0" w:space="0" w:color="auto"/>
        <w:right w:val="none" w:sz="0" w:space="0" w:color="auto"/>
      </w:divBdr>
    </w:div>
    <w:div w:id="732851064">
      <w:bodyDiv w:val="1"/>
      <w:marLeft w:val="0"/>
      <w:marRight w:val="0"/>
      <w:marTop w:val="0"/>
      <w:marBottom w:val="0"/>
      <w:divBdr>
        <w:top w:val="none" w:sz="0" w:space="0" w:color="auto"/>
        <w:left w:val="none" w:sz="0" w:space="0" w:color="auto"/>
        <w:bottom w:val="none" w:sz="0" w:space="0" w:color="auto"/>
        <w:right w:val="none" w:sz="0" w:space="0" w:color="auto"/>
      </w:divBdr>
    </w:div>
    <w:div w:id="814881673">
      <w:bodyDiv w:val="1"/>
      <w:marLeft w:val="0"/>
      <w:marRight w:val="0"/>
      <w:marTop w:val="0"/>
      <w:marBottom w:val="0"/>
      <w:divBdr>
        <w:top w:val="none" w:sz="0" w:space="0" w:color="auto"/>
        <w:left w:val="none" w:sz="0" w:space="0" w:color="auto"/>
        <w:bottom w:val="none" w:sz="0" w:space="0" w:color="auto"/>
        <w:right w:val="none" w:sz="0" w:space="0" w:color="auto"/>
      </w:divBdr>
    </w:div>
    <w:div w:id="838934722">
      <w:bodyDiv w:val="1"/>
      <w:marLeft w:val="0"/>
      <w:marRight w:val="0"/>
      <w:marTop w:val="0"/>
      <w:marBottom w:val="0"/>
      <w:divBdr>
        <w:top w:val="none" w:sz="0" w:space="0" w:color="auto"/>
        <w:left w:val="none" w:sz="0" w:space="0" w:color="auto"/>
        <w:bottom w:val="none" w:sz="0" w:space="0" w:color="auto"/>
        <w:right w:val="none" w:sz="0" w:space="0" w:color="auto"/>
      </w:divBdr>
    </w:div>
    <w:div w:id="850335412">
      <w:bodyDiv w:val="1"/>
      <w:marLeft w:val="0"/>
      <w:marRight w:val="0"/>
      <w:marTop w:val="0"/>
      <w:marBottom w:val="0"/>
      <w:divBdr>
        <w:top w:val="none" w:sz="0" w:space="0" w:color="auto"/>
        <w:left w:val="none" w:sz="0" w:space="0" w:color="auto"/>
        <w:bottom w:val="none" w:sz="0" w:space="0" w:color="auto"/>
        <w:right w:val="none" w:sz="0" w:space="0" w:color="auto"/>
      </w:divBdr>
    </w:div>
    <w:div w:id="875779533">
      <w:bodyDiv w:val="1"/>
      <w:marLeft w:val="0"/>
      <w:marRight w:val="0"/>
      <w:marTop w:val="0"/>
      <w:marBottom w:val="0"/>
      <w:divBdr>
        <w:top w:val="none" w:sz="0" w:space="0" w:color="auto"/>
        <w:left w:val="none" w:sz="0" w:space="0" w:color="auto"/>
        <w:bottom w:val="none" w:sz="0" w:space="0" w:color="auto"/>
        <w:right w:val="none" w:sz="0" w:space="0" w:color="auto"/>
      </w:divBdr>
    </w:div>
    <w:div w:id="898245139">
      <w:bodyDiv w:val="1"/>
      <w:marLeft w:val="0"/>
      <w:marRight w:val="0"/>
      <w:marTop w:val="0"/>
      <w:marBottom w:val="0"/>
      <w:divBdr>
        <w:top w:val="none" w:sz="0" w:space="0" w:color="auto"/>
        <w:left w:val="none" w:sz="0" w:space="0" w:color="auto"/>
        <w:bottom w:val="none" w:sz="0" w:space="0" w:color="auto"/>
        <w:right w:val="none" w:sz="0" w:space="0" w:color="auto"/>
      </w:divBdr>
    </w:div>
    <w:div w:id="955212815">
      <w:bodyDiv w:val="1"/>
      <w:marLeft w:val="0"/>
      <w:marRight w:val="0"/>
      <w:marTop w:val="0"/>
      <w:marBottom w:val="0"/>
      <w:divBdr>
        <w:top w:val="none" w:sz="0" w:space="0" w:color="auto"/>
        <w:left w:val="none" w:sz="0" w:space="0" w:color="auto"/>
        <w:bottom w:val="none" w:sz="0" w:space="0" w:color="auto"/>
        <w:right w:val="none" w:sz="0" w:space="0" w:color="auto"/>
      </w:divBdr>
    </w:div>
    <w:div w:id="980428739">
      <w:bodyDiv w:val="1"/>
      <w:marLeft w:val="0"/>
      <w:marRight w:val="0"/>
      <w:marTop w:val="0"/>
      <w:marBottom w:val="0"/>
      <w:divBdr>
        <w:top w:val="none" w:sz="0" w:space="0" w:color="auto"/>
        <w:left w:val="none" w:sz="0" w:space="0" w:color="auto"/>
        <w:bottom w:val="none" w:sz="0" w:space="0" w:color="auto"/>
        <w:right w:val="none" w:sz="0" w:space="0" w:color="auto"/>
      </w:divBdr>
    </w:div>
    <w:div w:id="995913738">
      <w:bodyDiv w:val="1"/>
      <w:marLeft w:val="0"/>
      <w:marRight w:val="0"/>
      <w:marTop w:val="0"/>
      <w:marBottom w:val="0"/>
      <w:divBdr>
        <w:top w:val="none" w:sz="0" w:space="0" w:color="auto"/>
        <w:left w:val="none" w:sz="0" w:space="0" w:color="auto"/>
        <w:bottom w:val="none" w:sz="0" w:space="0" w:color="auto"/>
        <w:right w:val="none" w:sz="0" w:space="0" w:color="auto"/>
      </w:divBdr>
    </w:div>
    <w:div w:id="1060983628">
      <w:bodyDiv w:val="1"/>
      <w:marLeft w:val="0"/>
      <w:marRight w:val="0"/>
      <w:marTop w:val="0"/>
      <w:marBottom w:val="0"/>
      <w:divBdr>
        <w:top w:val="none" w:sz="0" w:space="0" w:color="auto"/>
        <w:left w:val="none" w:sz="0" w:space="0" w:color="auto"/>
        <w:bottom w:val="none" w:sz="0" w:space="0" w:color="auto"/>
        <w:right w:val="none" w:sz="0" w:space="0" w:color="auto"/>
      </w:divBdr>
    </w:div>
    <w:div w:id="1151100362">
      <w:bodyDiv w:val="1"/>
      <w:marLeft w:val="0"/>
      <w:marRight w:val="0"/>
      <w:marTop w:val="0"/>
      <w:marBottom w:val="0"/>
      <w:divBdr>
        <w:top w:val="none" w:sz="0" w:space="0" w:color="auto"/>
        <w:left w:val="none" w:sz="0" w:space="0" w:color="auto"/>
        <w:bottom w:val="none" w:sz="0" w:space="0" w:color="auto"/>
        <w:right w:val="none" w:sz="0" w:space="0" w:color="auto"/>
      </w:divBdr>
    </w:div>
    <w:div w:id="1170216230">
      <w:bodyDiv w:val="1"/>
      <w:marLeft w:val="0"/>
      <w:marRight w:val="0"/>
      <w:marTop w:val="0"/>
      <w:marBottom w:val="0"/>
      <w:divBdr>
        <w:top w:val="none" w:sz="0" w:space="0" w:color="auto"/>
        <w:left w:val="none" w:sz="0" w:space="0" w:color="auto"/>
        <w:bottom w:val="none" w:sz="0" w:space="0" w:color="auto"/>
        <w:right w:val="none" w:sz="0" w:space="0" w:color="auto"/>
      </w:divBdr>
    </w:div>
    <w:div w:id="1368604835">
      <w:bodyDiv w:val="1"/>
      <w:marLeft w:val="0"/>
      <w:marRight w:val="0"/>
      <w:marTop w:val="0"/>
      <w:marBottom w:val="0"/>
      <w:divBdr>
        <w:top w:val="none" w:sz="0" w:space="0" w:color="auto"/>
        <w:left w:val="none" w:sz="0" w:space="0" w:color="auto"/>
        <w:bottom w:val="none" w:sz="0" w:space="0" w:color="auto"/>
        <w:right w:val="none" w:sz="0" w:space="0" w:color="auto"/>
      </w:divBdr>
    </w:div>
    <w:div w:id="1400010179">
      <w:bodyDiv w:val="1"/>
      <w:marLeft w:val="0"/>
      <w:marRight w:val="0"/>
      <w:marTop w:val="0"/>
      <w:marBottom w:val="0"/>
      <w:divBdr>
        <w:top w:val="none" w:sz="0" w:space="0" w:color="auto"/>
        <w:left w:val="none" w:sz="0" w:space="0" w:color="auto"/>
        <w:bottom w:val="none" w:sz="0" w:space="0" w:color="auto"/>
        <w:right w:val="none" w:sz="0" w:space="0" w:color="auto"/>
      </w:divBdr>
    </w:div>
    <w:div w:id="1614096018">
      <w:bodyDiv w:val="1"/>
      <w:marLeft w:val="0"/>
      <w:marRight w:val="0"/>
      <w:marTop w:val="0"/>
      <w:marBottom w:val="0"/>
      <w:divBdr>
        <w:top w:val="none" w:sz="0" w:space="0" w:color="auto"/>
        <w:left w:val="none" w:sz="0" w:space="0" w:color="auto"/>
        <w:bottom w:val="none" w:sz="0" w:space="0" w:color="auto"/>
        <w:right w:val="none" w:sz="0" w:space="0" w:color="auto"/>
      </w:divBdr>
    </w:div>
    <w:div w:id="1663241777">
      <w:bodyDiv w:val="1"/>
      <w:marLeft w:val="0"/>
      <w:marRight w:val="0"/>
      <w:marTop w:val="0"/>
      <w:marBottom w:val="0"/>
      <w:divBdr>
        <w:top w:val="none" w:sz="0" w:space="0" w:color="auto"/>
        <w:left w:val="none" w:sz="0" w:space="0" w:color="auto"/>
        <w:bottom w:val="none" w:sz="0" w:space="0" w:color="auto"/>
        <w:right w:val="none" w:sz="0" w:space="0" w:color="auto"/>
      </w:divBdr>
    </w:div>
    <w:div w:id="1753889986">
      <w:bodyDiv w:val="1"/>
      <w:marLeft w:val="0"/>
      <w:marRight w:val="0"/>
      <w:marTop w:val="0"/>
      <w:marBottom w:val="0"/>
      <w:divBdr>
        <w:top w:val="none" w:sz="0" w:space="0" w:color="auto"/>
        <w:left w:val="none" w:sz="0" w:space="0" w:color="auto"/>
        <w:bottom w:val="none" w:sz="0" w:space="0" w:color="auto"/>
        <w:right w:val="none" w:sz="0" w:space="0" w:color="auto"/>
      </w:divBdr>
    </w:div>
    <w:div w:id="1764298261">
      <w:bodyDiv w:val="1"/>
      <w:marLeft w:val="0"/>
      <w:marRight w:val="0"/>
      <w:marTop w:val="0"/>
      <w:marBottom w:val="0"/>
      <w:divBdr>
        <w:top w:val="none" w:sz="0" w:space="0" w:color="auto"/>
        <w:left w:val="none" w:sz="0" w:space="0" w:color="auto"/>
        <w:bottom w:val="none" w:sz="0" w:space="0" w:color="auto"/>
        <w:right w:val="none" w:sz="0" w:space="0" w:color="auto"/>
      </w:divBdr>
    </w:div>
    <w:div w:id="1776439058">
      <w:bodyDiv w:val="1"/>
      <w:marLeft w:val="0"/>
      <w:marRight w:val="0"/>
      <w:marTop w:val="0"/>
      <w:marBottom w:val="0"/>
      <w:divBdr>
        <w:top w:val="none" w:sz="0" w:space="0" w:color="auto"/>
        <w:left w:val="none" w:sz="0" w:space="0" w:color="auto"/>
        <w:bottom w:val="none" w:sz="0" w:space="0" w:color="auto"/>
        <w:right w:val="none" w:sz="0" w:space="0" w:color="auto"/>
      </w:divBdr>
    </w:div>
    <w:div w:id="1830124954">
      <w:bodyDiv w:val="1"/>
      <w:marLeft w:val="0"/>
      <w:marRight w:val="0"/>
      <w:marTop w:val="0"/>
      <w:marBottom w:val="0"/>
      <w:divBdr>
        <w:top w:val="none" w:sz="0" w:space="0" w:color="auto"/>
        <w:left w:val="none" w:sz="0" w:space="0" w:color="auto"/>
        <w:bottom w:val="none" w:sz="0" w:space="0" w:color="auto"/>
        <w:right w:val="none" w:sz="0" w:space="0" w:color="auto"/>
      </w:divBdr>
    </w:div>
    <w:div w:id="1838425190">
      <w:bodyDiv w:val="1"/>
      <w:marLeft w:val="0"/>
      <w:marRight w:val="0"/>
      <w:marTop w:val="0"/>
      <w:marBottom w:val="0"/>
      <w:divBdr>
        <w:top w:val="none" w:sz="0" w:space="0" w:color="auto"/>
        <w:left w:val="none" w:sz="0" w:space="0" w:color="auto"/>
        <w:bottom w:val="none" w:sz="0" w:space="0" w:color="auto"/>
        <w:right w:val="none" w:sz="0" w:space="0" w:color="auto"/>
      </w:divBdr>
    </w:div>
    <w:div w:id="2013530950">
      <w:bodyDiv w:val="1"/>
      <w:marLeft w:val="0"/>
      <w:marRight w:val="0"/>
      <w:marTop w:val="0"/>
      <w:marBottom w:val="0"/>
      <w:divBdr>
        <w:top w:val="none" w:sz="0" w:space="0" w:color="auto"/>
        <w:left w:val="none" w:sz="0" w:space="0" w:color="auto"/>
        <w:bottom w:val="none" w:sz="0" w:space="0" w:color="auto"/>
        <w:right w:val="none" w:sz="0" w:space="0" w:color="auto"/>
      </w:divBdr>
    </w:div>
    <w:div w:id="2102068288">
      <w:bodyDiv w:val="1"/>
      <w:marLeft w:val="0"/>
      <w:marRight w:val="0"/>
      <w:marTop w:val="0"/>
      <w:marBottom w:val="0"/>
      <w:divBdr>
        <w:top w:val="none" w:sz="0" w:space="0" w:color="auto"/>
        <w:left w:val="none" w:sz="0" w:space="0" w:color="auto"/>
        <w:bottom w:val="none" w:sz="0" w:space="0" w:color="auto"/>
        <w:right w:val="none" w:sz="0" w:space="0" w:color="auto"/>
      </w:divBdr>
    </w:div>
    <w:div w:id="2104909443">
      <w:bodyDiv w:val="1"/>
      <w:marLeft w:val="0"/>
      <w:marRight w:val="0"/>
      <w:marTop w:val="0"/>
      <w:marBottom w:val="0"/>
      <w:divBdr>
        <w:top w:val="none" w:sz="0" w:space="0" w:color="auto"/>
        <w:left w:val="none" w:sz="0" w:space="0" w:color="auto"/>
        <w:bottom w:val="none" w:sz="0" w:space="0" w:color="auto"/>
        <w:right w:val="none" w:sz="0" w:space="0" w:color="auto"/>
      </w:divBdr>
    </w:div>
    <w:div w:id="210823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chart" Target="charts/chart3.xm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microsoft.com/office/2011/relationships/commentsExtended" Target="commentsExtended.xml"/><Relationship Id="rId12" Type="http://schemas.openxmlformats.org/officeDocument/2006/relationships/chart" Target="charts/chart2.xm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chart" Target="charts/chart1.xml"/><Relationship Id="rId5" Type="http://schemas.openxmlformats.org/officeDocument/2006/relationships/endnotes" Target="end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chart" Target="charts/chart4.xml"/><Relationship Id="rId22"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kidney function</a:t>
            </a:r>
            <a:endParaRPr lang="ar-SA"/>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ar-SA"/>
        </a:p>
      </c:txPr>
    </c:title>
    <c:autoTitleDeleted val="0"/>
    <c:plotArea>
      <c:layout/>
      <c:barChart>
        <c:barDir val="col"/>
        <c:grouping val="clustered"/>
        <c:varyColors val="0"/>
        <c:ser>
          <c:idx val="0"/>
          <c:order val="0"/>
          <c:tx>
            <c:strRef>
              <c:f>ورقة1!$B$1</c:f>
              <c:strCache>
                <c:ptCount val="1"/>
                <c:pt idx="0">
                  <c:v>Cr</c:v>
                </c:pt>
              </c:strCache>
            </c:strRef>
          </c:tx>
          <c:spPr>
            <a:solidFill>
              <a:schemeClr val="accent1"/>
            </a:solidFill>
            <a:ln>
              <a:noFill/>
            </a:ln>
            <a:effectLst/>
          </c:spPr>
          <c:invertIfNegative val="0"/>
          <c:cat>
            <c:strRef>
              <c:f>ورقة1!$A$2:$A$5</c:f>
              <c:strCache>
                <c:ptCount val="4"/>
                <c:pt idx="0">
                  <c:v>Control</c:v>
                </c:pt>
                <c:pt idx="1">
                  <c:v>50mg/kg</c:v>
                </c:pt>
                <c:pt idx="2">
                  <c:v>75mg/kg</c:v>
                </c:pt>
                <c:pt idx="3">
                  <c:v>100mg/kg</c:v>
                </c:pt>
              </c:strCache>
            </c:strRef>
          </c:cat>
          <c:val>
            <c:numRef>
              <c:f>ورقة1!$B$2:$B$5</c:f>
              <c:numCache>
                <c:formatCode>General</c:formatCode>
                <c:ptCount val="4"/>
                <c:pt idx="0">
                  <c:v>0.78</c:v>
                </c:pt>
                <c:pt idx="1">
                  <c:v>0.74</c:v>
                </c:pt>
                <c:pt idx="2">
                  <c:v>0.73</c:v>
                </c:pt>
                <c:pt idx="3">
                  <c:v>0.68</c:v>
                </c:pt>
              </c:numCache>
            </c:numRef>
          </c:val>
          <c:extLst>
            <c:ext xmlns:c16="http://schemas.microsoft.com/office/drawing/2014/chart" uri="{C3380CC4-5D6E-409C-BE32-E72D297353CC}">
              <c16:uniqueId val="{00000000-7185-4B7C-ABB8-BB5201B15191}"/>
            </c:ext>
          </c:extLst>
        </c:ser>
        <c:ser>
          <c:idx val="1"/>
          <c:order val="1"/>
          <c:tx>
            <c:strRef>
              <c:f>ورقة1!$C$1</c:f>
              <c:strCache>
                <c:ptCount val="1"/>
                <c:pt idx="0">
                  <c:v>U.A.</c:v>
                </c:pt>
              </c:strCache>
            </c:strRef>
          </c:tx>
          <c:spPr>
            <a:solidFill>
              <a:schemeClr val="accent2"/>
            </a:solidFill>
            <a:ln>
              <a:noFill/>
            </a:ln>
            <a:effectLst/>
          </c:spPr>
          <c:invertIfNegative val="0"/>
          <c:cat>
            <c:strRef>
              <c:f>ورقة1!$A$2:$A$5</c:f>
              <c:strCache>
                <c:ptCount val="4"/>
                <c:pt idx="0">
                  <c:v>Control</c:v>
                </c:pt>
                <c:pt idx="1">
                  <c:v>50mg/kg</c:v>
                </c:pt>
                <c:pt idx="2">
                  <c:v>75mg/kg</c:v>
                </c:pt>
                <c:pt idx="3">
                  <c:v>100mg/kg</c:v>
                </c:pt>
              </c:strCache>
            </c:strRef>
          </c:cat>
          <c:val>
            <c:numRef>
              <c:f>ورقة1!$C$2:$C$5</c:f>
              <c:numCache>
                <c:formatCode>General</c:formatCode>
                <c:ptCount val="4"/>
                <c:pt idx="0">
                  <c:v>18.12</c:v>
                </c:pt>
                <c:pt idx="1">
                  <c:v>17.190000000000001</c:v>
                </c:pt>
                <c:pt idx="2">
                  <c:v>17.13</c:v>
                </c:pt>
                <c:pt idx="3">
                  <c:v>19.22</c:v>
                </c:pt>
              </c:numCache>
            </c:numRef>
          </c:val>
          <c:extLst>
            <c:ext xmlns:c16="http://schemas.microsoft.com/office/drawing/2014/chart" uri="{C3380CC4-5D6E-409C-BE32-E72D297353CC}">
              <c16:uniqueId val="{00000001-7185-4B7C-ABB8-BB5201B15191}"/>
            </c:ext>
          </c:extLst>
        </c:ser>
        <c:dLbls>
          <c:showLegendKey val="0"/>
          <c:showVal val="0"/>
          <c:showCatName val="0"/>
          <c:showSerName val="0"/>
          <c:showPercent val="0"/>
          <c:showBubbleSize val="0"/>
        </c:dLbls>
        <c:gapWidth val="219"/>
        <c:overlap val="-27"/>
        <c:axId val="-717401488"/>
        <c:axId val="-717397136"/>
      </c:barChart>
      <c:catAx>
        <c:axId val="-717401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7397136"/>
        <c:crosses val="autoZero"/>
        <c:auto val="1"/>
        <c:lblAlgn val="ctr"/>
        <c:lblOffset val="100"/>
        <c:noMultiLvlLbl val="0"/>
      </c:catAx>
      <c:valAx>
        <c:axId val="-717397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74014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 lipid profile</a:t>
            </a:r>
            <a:r>
              <a:rPr lang="ar-SA"/>
              <a:t> </a:t>
            </a:r>
            <a:r>
              <a:rPr lang="en-US"/>
              <a:t> </a:t>
            </a:r>
            <a:endParaRPr lang="ar-SA"/>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ar-SA"/>
        </a:p>
      </c:txPr>
    </c:title>
    <c:autoTitleDeleted val="0"/>
    <c:plotArea>
      <c:layout/>
      <c:barChart>
        <c:barDir val="col"/>
        <c:grouping val="clustered"/>
        <c:varyColors val="0"/>
        <c:ser>
          <c:idx val="0"/>
          <c:order val="0"/>
          <c:tx>
            <c:strRef>
              <c:f>ورقة1!$B$1</c:f>
              <c:strCache>
                <c:ptCount val="1"/>
                <c:pt idx="0">
                  <c:v>T.Ch</c:v>
                </c:pt>
              </c:strCache>
            </c:strRef>
          </c:tx>
          <c:spPr>
            <a:solidFill>
              <a:schemeClr val="accent1"/>
            </a:solidFill>
            <a:ln>
              <a:noFill/>
            </a:ln>
            <a:effectLst/>
          </c:spPr>
          <c:invertIfNegative val="0"/>
          <c:cat>
            <c:strRef>
              <c:f>ورقة1!$A$2:$A$5</c:f>
              <c:strCache>
                <c:ptCount val="4"/>
                <c:pt idx="0">
                  <c:v>control</c:v>
                </c:pt>
                <c:pt idx="1">
                  <c:v>50mg/kg</c:v>
                </c:pt>
                <c:pt idx="2">
                  <c:v>75mg/kg</c:v>
                </c:pt>
                <c:pt idx="3">
                  <c:v>100mg/kg</c:v>
                </c:pt>
              </c:strCache>
            </c:strRef>
          </c:cat>
          <c:val>
            <c:numRef>
              <c:f>ورقة1!$B$2:$B$5</c:f>
              <c:numCache>
                <c:formatCode>General</c:formatCode>
                <c:ptCount val="4"/>
                <c:pt idx="0">
                  <c:v>162.6</c:v>
                </c:pt>
                <c:pt idx="1">
                  <c:v>156.30000000000001</c:v>
                </c:pt>
                <c:pt idx="2">
                  <c:v>144.6</c:v>
                </c:pt>
                <c:pt idx="3">
                  <c:v>135.4</c:v>
                </c:pt>
              </c:numCache>
            </c:numRef>
          </c:val>
          <c:extLst>
            <c:ext xmlns:c16="http://schemas.microsoft.com/office/drawing/2014/chart" uri="{C3380CC4-5D6E-409C-BE32-E72D297353CC}">
              <c16:uniqueId val="{00000000-4244-4D8E-A144-B86B13BAE2A1}"/>
            </c:ext>
          </c:extLst>
        </c:ser>
        <c:ser>
          <c:idx val="1"/>
          <c:order val="1"/>
          <c:tx>
            <c:strRef>
              <c:f>ورقة1!$C$1</c:f>
              <c:strCache>
                <c:ptCount val="1"/>
                <c:pt idx="0">
                  <c:v>T.G</c:v>
                </c:pt>
              </c:strCache>
            </c:strRef>
          </c:tx>
          <c:spPr>
            <a:solidFill>
              <a:schemeClr val="accent2"/>
            </a:solidFill>
            <a:ln>
              <a:noFill/>
            </a:ln>
            <a:effectLst/>
          </c:spPr>
          <c:invertIfNegative val="0"/>
          <c:cat>
            <c:strRef>
              <c:f>ورقة1!$A$2:$A$5</c:f>
              <c:strCache>
                <c:ptCount val="4"/>
                <c:pt idx="0">
                  <c:v>control</c:v>
                </c:pt>
                <c:pt idx="1">
                  <c:v>50mg/kg</c:v>
                </c:pt>
                <c:pt idx="2">
                  <c:v>75mg/kg</c:v>
                </c:pt>
                <c:pt idx="3">
                  <c:v>100mg/kg</c:v>
                </c:pt>
              </c:strCache>
            </c:strRef>
          </c:cat>
          <c:val>
            <c:numRef>
              <c:f>ورقة1!$C$2:$C$5</c:f>
              <c:numCache>
                <c:formatCode>General</c:formatCode>
                <c:ptCount val="4"/>
                <c:pt idx="0">
                  <c:v>107.3</c:v>
                </c:pt>
                <c:pt idx="1">
                  <c:v>102.5</c:v>
                </c:pt>
                <c:pt idx="2">
                  <c:v>96.3</c:v>
                </c:pt>
                <c:pt idx="3">
                  <c:v>90.4</c:v>
                </c:pt>
              </c:numCache>
            </c:numRef>
          </c:val>
          <c:extLst>
            <c:ext xmlns:c16="http://schemas.microsoft.com/office/drawing/2014/chart" uri="{C3380CC4-5D6E-409C-BE32-E72D297353CC}">
              <c16:uniqueId val="{00000001-4244-4D8E-A144-B86B13BAE2A1}"/>
            </c:ext>
          </c:extLst>
        </c:ser>
        <c:ser>
          <c:idx val="2"/>
          <c:order val="2"/>
          <c:tx>
            <c:strRef>
              <c:f>ورقة1!$D$1</c:f>
              <c:strCache>
                <c:ptCount val="1"/>
                <c:pt idx="0">
                  <c:v>HDL</c:v>
                </c:pt>
              </c:strCache>
            </c:strRef>
          </c:tx>
          <c:spPr>
            <a:solidFill>
              <a:schemeClr val="accent3"/>
            </a:solidFill>
            <a:ln>
              <a:noFill/>
            </a:ln>
            <a:effectLst/>
          </c:spPr>
          <c:invertIfNegative val="0"/>
          <c:cat>
            <c:strRef>
              <c:f>ورقة1!$A$2:$A$5</c:f>
              <c:strCache>
                <c:ptCount val="4"/>
                <c:pt idx="0">
                  <c:v>control</c:v>
                </c:pt>
                <c:pt idx="1">
                  <c:v>50mg/kg</c:v>
                </c:pt>
                <c:pt idx="2">
                  <c:v>75mg/kg</c:v>
                </c:pt>
                <c:pt idx="3">
                  <c:v>100mg/kg</c:v>
                </c:pt>
              </c:strCache>
            </c:strRef>
          </c:cat>
          <c:val>
            <c:numRef>
              <c:f>ورقة1!$D$2:$D$5</c:f>
              <c:numCache>
                <c:formatCode>General</c:formatCode>
                <c:ptCount val="4"/>
                <c:pt idx="0">
                  <c:v>90.8</c:v>
                </c:pt>
                <c:pt idx="1">
                  <c:v>78.599999999999994</c:v>
                </c:pt>
                <c:pt idx="2">
                  <c:v>81.900000000000006</c:v>
                </c:pt>
                <c:pt idx="3">
                  <c:v>80.7</c:v>
                </c:pt>
              </c:numCache>
            </c:numRef>
          </c:val>
          <c:extLst>
            <c:ext xmlns:c16="http://schemas.microsoft.com/office/drawing/2014/chart" uri="{C3380CC4-5D6E-409C-BE32-E72D297353CC}">
              <c16:uniqueId val="{00000002-4244-4D8E-A144-B86B13BAE2A1}"/>
            </c:ext>
          </c:extLst>
        </c:ser>
        <c:ser>
          <c:idx val="3"/>
          <c:order val="3"/>
          <c:tx>
            <c:strRef>
              <c:f>ورقة1!$E$1</c:f>
              <c:strCache>
                <c:ptCount val="1"/>
                <c:pt idx="0">
                  <c:v>LDL</c:v>
                </c:pt>
              </c:strCache>
            </c:strRef>
          </c:tx>
          <c:spPr>
            <a:solidFill>
              <a:schemeClr val="accent4"/>
            </a:solidFill>
            <a:ln>
              <a:noFill/>
            </a:ln>
            <a:effectLst/>
          </c:spPr>
          <c:invertIfNegative val="0"/>
          <c:cat>
            <c:strRef>
              <c:f>ورقة1!$A$2:$A$5</c:f>
              <c:strCache>
                <c:ptCount val="4"/>
                <c:pt idx="0">
                  <c:v>control</c:v>
                </c:pt>
                <c:pt idx="1">
                  <c:v>50mg/kg</c:v>
                </c:pt>
                <c:pt idx="2">
                  <c:v>75mg/kg</c:v>
                </c:pt>
                <c:pt idx="3">
                  <c:v>100mg/kg</c:v>
                </c:pt>
              </c:strCache>
            </c:strRef>
          </c:cat>
          <c:val>
            <c:numRef>
              <c:f>ورقة1!$E$2:$E$5</c:f>
              <c:numCache>
                <c:formatCode>General</c:formatCode>
                <c:ptCount val="4"/>
                <c:pt idx="0">
                  <c:v>45.7</c:v>
                </c:pt>
                <c:pt idx="1">
                  <c:v>39.6</c:v>
                </c:pt>
                <c:pt idx="2">
                  <c:v>37.6</c:v>
                </c:pt>
                <c:pt idx="3">
                  <c:v>35.200000000000003</c:v>
                </c:pt>
              </c:numCache>
            </c:numRef>
          </c:val>
          <c:extLst>
            <c:ext xmlns:c16="http://schemas.microsoft.com/office/drawing/2014/chart" uri="{C3380CC4-5D6E-409C-BE32-E72D297353CC}">
              <c16:uniqueId val="{00000003-4244-4D8E-A144-B86B13BAE2A1}"/>
            </c:ext>
          </c:extLst>
        </c:ser>
        <c:dLbls>
          <c:showLegendKey val="0"/>
          <c:showVal val="0"/>
          <c:showCatName val="0"/>
          <c:showSerName val="0"/>
          <c:showPercent val="0"/>
          <c:showBubbleSize val="0"/>
        </c:dLbls>
        <c:gapWidth val="219"/>
        <c:overlap val="-27"/>
        <c:axId val="-717406384"/>
        <c:axId val="-717405840"/>
      </c:barChart>
      <c:catAx>
        <c:axId val="-7174063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Treatment</a:t>
                </a:r>
                <a:endParaRPr lang="ar-SA"/>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ar-SA"/>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7405840"/>
        <c:crosses val="autoZero"/>
        <c:auto val="1"/>
        <c:lblAlgn val="ctr"/>
        <c:lblOffset val="100"/>
        <c:noMultiLvlLbl val="0"/>
      </c:catAx>
      <c:valAx>
        <c:axId val="-7174058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Mg/dl</a:t>
                </a:r>
                <a:endParaRPr lang="ar-SA"/>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ar-SA"/>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7406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liver function</a:t>
            </a:r>
            <a:endParaRPr lang="ar-SA"/>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ar-SA"/>
        </a:p>
      </c:txPr>
    </c:title>
    <c:autoTitleDeleted val="0"/>
    <c:plotArea>
      <c:layout/>
      <c:barChart>
        <c:barDir val="col"/>
        <c:grouping val="clustered"/>
        <c:varyColors val="0"/>
        <c:ser>
          <c:idx val="0"/>
          <c:order val="0"/>
          <c:tx>
            <c:strRef>
              <c:f>ورقة1!$B$1</c:f>
              <c:strCache>
                <c:ptCount val="1"/>
                <c:pt idx="0">
                  <c:v>AST</c:v>
                </c:pt>
              </c:strCache>
            </c:strRef>
          </c:tx>
          <c:spPr>
            <a:solidFill>
              <a:schemeClr val="accent1"/>
            </a:solidFill>
            <a:ln>
              <a:noFill/>
            </a:ln>
            <a:effectLst/>
          </c:spPr>
          <c:invertIfNegative val="0"/>
          <c:cat>
            <c:strRef>
              <c:f>ورقة1!$A$2:$A$5</c:f>
              <c:strCache>
                <c:ptCount val="4"/>
                <c:pt idx="0">
                  <c:v>control</c:v>
                </c:pt>
                <c:pt idx="1">
                  <c:v>50mg/kg</c:v>
                </c:pt>
                <c:pt idx="2">
                  <c:v>75mg/kg</c:v>
                </c:pt>
                <c:pt idx="3">
                  <c:v>100mg/kg</c:v>
                </c:pt>
              </c:strCache>
            </c:strRef>
          </c:cat>
          <c:val>
            <c:numRef>
              <c:f>ورقة1!$B$2:$B$5</c:f>
              <c:numCache>
                <c:formatCode>General</c:formatCode>
                <c:ptCount val="4"/>
                <c:pt idx="0">
                  <c:v>28.26</c:v>
                </c:pt>
                <c:pt idx="1">
                  <c:v>26.42</c:v>
                </c:pt>
                <c:pt idx="2">
                  <c:v>23.54</c:v>
                </c:pt>
                <c:pt idx="3">
                  <c:v>4.5</c:v>
                </c:pt>
              </c:numCache>
            </c:numRef>
          </c:val>
          <c:extLst>
            <c:ext xmlns:c16="http://schemas.microsoft.com/office/drawing/2014/chart" uri="{C3380CC4-5D6E-409C-BE32-E72D297353CC}">
              <c16:uniqueId val="{00000000-5303-45AA-B05A-978FEA0E8289}"/>
            </c:ext>
          </c:extLst>
        </c:ser>
        <c:ser>
          <c:idx val="1"/>
          <c:order val="1"/>
          <c:tx>
            <c:strRef>
              <c:f>ورقة1!$C$1</c:f>
              <c:strCache>
                <c:ptCount val="1"/>
                <c:pt idx="0">
                  <c:v>ALT</c:v>
                </c:pt>
              </c:strCache>
            </c:strRef>
          </c:tx>
          <c:spPr>
            <a:solidFill>
              <a:schemeClr val="accent2"/>
            </a:solidFill>
            <a:ln>
              <a:noFill/>
            </a:ln>
            <a:effectLst/>
          </c:spPr>
          <c:invertIfNegative val="0"/>
          <c:cat>
            <c:strRef>
              <c:f>ورقة1!$A$2:$A$5</c:f>
              <c:strCache>
                <c:ptCount val="4"/>
                <c:pt idx="0">
                  <c:v>control</c:v>
                </c:pt>
                <c:pt idx="1">
                  <c:v>50mg/kg</c:v>
                </c:pt>
                <c:pt idx="2">
                  <c:v>75mg/kg</c:v>
                </c:pt>
                <c:pt idx="3">
                  <c:v>100mg/kg</c:v>
                </c:pt>
              </c:strCache>
            </c:strRef>
          </c:cat>
          <c:val>
            <c:numRef>
              <c:f>ورقة1!$C$2:$C$5</c:f>
              <c:numCache>
                <c:formatCode>General</c:formatCode>
                <c:ptCount val="4"/>
                <c:pt idx="0">
                  <c:v>18.899999999999999</c:v>
                </c:pt>
                <c:pt idx="1">
                  <c:v>16.72</c:v>
                </c:pt>
                <c:pt idx="2">
                  <c:v>17.8</c:v>
                </c:pt>
                <c:pt idx="3">
                  <c:v>13.7</c:v>
                </c:pt>
              </c:numCache>
            </c:numRef>
          </c:val>
          <c:extLst>
            <c:ext xmlns:c16="http://schemas.microsoft.com/office/drawing/2014/chart" uri="{C3380CC4-5D6E-409C-BE32-E72D297353CC}">
              <c16:uniqueId val="{00000001-5303-45AA-B05A-978FEA0E8289}"/>
            </c:ext>
          </c:extLst>
        </c:ser>
        <c:dLbls>
          <c:showLegendKey val="0"/>
          <c:showVal val="0"/>
          <c:showCatName val="0"/>
          <c:showSerName val="0"/>
          <c:showPercent val="0"/>
          <c:showBubbleSize val="0"/>
        </c:dLbls>
        <c:gapWidth val="219"/>
        <c:overlap val="-27"/>
        <c:axId val="-717403120"/>
        <c:axId val="-1154561728"/>
      </c:barChart>
      <c:catAx>
        <c:axId val="-717403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4561728"/>
        <c:crosses val="autoZero"/>
        <c:auto val="1"/>
        <c:lblAlgn val="ctr"/>
        <c:lblOffset val="100"/>
        <c:noMultiLvlLbl val="0"/>
      </c:catAx>
      <c:valAx>
        <c:axId val="-1154561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7403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plasma antioxidants</a:t>
            </a:r>
            <a:endParaRPr lang="ar-SA"/>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ar-SA"/>
        </a:p>
      </c:txPr>
    </c:title>
    <c:autoTitleDeleted val="0"/>
    <c:plotArea>
      <c:layout/>
      <c:barChart>
        <c:barDir val="col"/>
        <c:grouping val="clustered"/>
        <c:varyColors val="0"/>
        <c:ser>
          <c:idx val="0"/>
          <c:order val="0"/>
          <c:tx>
            <c:strRef>
              <c:f>ورقة1!$B$1</c:f>
              <c:strCache>
                <c:ptCount val="1"/>
                <c:pt idx="0">
                  <c:v>GPX</c:v>
                </c:pt>
              </c:strCache>
            </c:strRef>
          </c:tx>
          <c:spPr>
            <a:solidFill>
              <a:schemeClr val="accent1"/>
            </a:solidFill>
            <a:ln>
              <a:noFill/>
            </a:ln>
            <a:effectLst/>
          </c:spPr>
          <c:invertIfNegative val="0"/>
          <c:cat>
            <c:strRef>
              <c:f>ورقة1!$A$2:$A$5</c:f>
              <c:strCache>
                <c:ptCount val="4"/>
                <c:pt idx="0">
                  <c:v>control</c:v>
                </c:pt>
                <c:pt idx="1">
                  <c:v>50mg/kg</c:v>
                </c:pt>
                <c:pt idx="2">
                  <c:v>75mg/kg</c:v>
                </c:pt>
                <c:pt idx="3">
                  <c:v>100mg/kg</c:v>
                </c:pt>
              </c:strCache>
            </c:strRef>
          </c:cat>
          <c:val>
            <c:numRef>
              <c:f>ورقة1!$B$2:$B$5</c:f>
              <c:numCache>
                <c:formatCode>General</c:formatCode>
                <c:ptCount val="4"/>
                <c:pt idx="0">
                  <c:v>289.89999999999998</c:v>
                </c:pt>
                <c:pt idx="1">
                  <c:v>281.3</c:v>
                </c:pt>
                <c:pt idx="2">
                  <c:v>298.3</c:v>
                </c:pt>
                <c:pt idx="3">
                  <c:v>301.2</c:v>
                </c:pt>
              </c:numCache>
            </c:numRef>
          </c:val>
          <c:extLst>
            <c:ext xmlns:c16="http://schemas.microsoft.com/office/drawing/2014/chart" uri="{C3380CC4-5D6E-409C-BE32-E72D297353CC}">
              <c16:uniqueId val="{00000000-4CB2-45AE-BB94-40850A9139BF}"/>
            </c:ext>
          </c:extLst>
        </c:ser>
        <c:ser>
          <c:idx val="1"/>
          <c:order val="1"/>
          <c:tx>
            <c:strRef>
              <c:f>ورقة1!$C$1</c:f>
              <c:strCache>
                <c:ptCount val="1"/>
                <c:pt idx="0">
                  <c:v>SOD</c:v>
                </c:pt>
              </c:strCache>
            </c:strRef>
          </c:tx>
          <c:spPr>
            <a:solidFill>
              <a:schemeClr val="accent2"/>
            </a:solidFill>
            <a:ln>
              <a:noFill/>
            </a:ln>
            <a:effectLst/>
          </c:spPr>
          <c:invertIfNegative val="0"/>
          <c:cat>
            <c:strRef>
              <c:f>ورقة1!$A$2:$A$5</c:f>
              <c:strCache>
                <c:ptCount val="4"/>
                <c:pt idx="0">
                  <c:v>control</c:v>
                </c:pt>
                <c:pt idx="1">
                  <c:v>50mg/kg</c:v>
                </c:pt>
                <c:pt idx="2">
                  <c:v>75mg/kg</c:v>
                </c:pt>
                <c:pt idx="3">
                  <c:v>100mg/kg</c:v>
                </c:pt>
              </c:strCache>
            </c:strRef>
          </c:cat>
          <c:val>
            <c:numRef>
              <c:f>ورقة1!$C$2:$C$5</c:f>
              <c:numCache>
                <c:formatCode>General</c:formatCode>
                <c:ptCount val="4"/>
                <c:pt idx="0">
                  <c:v>4.08</c:v>
                </c:pt>
                <c:pt idx="1">
                  <c:v>4.01</c:v>
                </c:pt>
                <c:pt idx="2">
                  <c:v>4.03</c:v>
                </c:pt>
                <c:pt idx="3">
                  <c:v>5.08</c:v>
                </c:pt>
              </c:numCache>
            </c:numRef>
          </c:val>
          <c:extLst>
            <c:ext xmlns:c16="http://schemas.microsoft.com/office/drawing/2014/chart" uri="{C3380CC4-5D6E-409C-BE32-E72D297353CC}">
              <c16:uniqueId val="{00000001-4CB2-45AE-BB94-40850A9139BF}"/>
            </c:ext>
          </c:extLst>
        </c:ser>
        <c:ser>
          <c:idx val="2"/>
          <c:order val="2"/>
          <c:tx>
            <c:strRef>
              <c:f>ورقة1!$D$1</c:f>
              <c:strCache>
                <c:ptCount val="1"/>
                <c:pt idx="0">
                  <c:v>MDA</c:v>
                </c:pt>
              </c:strCache>
            </c:strRef>
          </c:tx>
          <c:spPr>
            <a:solidFill>
              <a:schemeClr val="accent3"/>
            </a:solidFill>
            <a:ln>
              <a:noFill/>
            </a:ln>
            <a:effectLst/>
          </c:spPr>
          <c:invertIfNegative val="0"/>
          <c:cat>
            <c:strRef>
              <c:f>ورقة1!$A$2:$A$5</c:f>
              <c:strCache>
                <c:ptCount val="4"/>
                <c:pt idx="0">
                  <c:v>control</c:v>
                </c:pt>
                <c:pt idx="1">
                  <c:v>50mg/kg</c:v>
                </c:pt>
                <c:pt idx="2">
                  <c:v>75mg/kg</c:v>
                </c:pt>
                <c:pt idx="3">
                  <c:v>100mg/kg</c:v>
                </c:pt>
              </c:strCache>
            </c:strRef>
          </c:cat>
          <c:val>
            <c:numRef>
              <c:f>ورقة1!$D$2:$D$5</c:f>
              <c:numCache>
                <c:formatCode>General</c:formatCode>
                <c:ptCount val="4"/>
                <c:pt idx="0">
                  <c:v>4.76</c:v>
                </c:pt>
                <c:pt idx="1">
                  <c:v>4.16</c:v>
                </c:pt>
                <c:pt idx="2">
                  <c:v>3.88</c:v>
                </c:pt>
                <c:pt idx="3">
                  <c:v>5</c:v>
                </c:pt>
              </c:numCache>
            </c:numRef>
          </c:val>
          <c:extLst>
            <c:ext xmlns:c16="http://schemas.microsoft.com/office/drawing/2014/chart" uri="{C3380CC4-5D6E-409C-BE32-E72D297353CC}">
              <c16:uniqueId val="{00000002-4CB2-45AE-BB94-40850A9139BF}"/>
            </c:ext>
          </c:extLst>
        </c:ser>
        <c:dLbls>
          <c:showLegendKey val="0"/>
          <c:showVal val="0"/>
          <c:showCatName val="0"/>
          <c:showSerName val="0"/>
          <c:showPercent val="0"/>
          <c:showBubbleSize val="0"/>
        </c:dLbls>
        <c:gapWidth val="219"/>
        <c:overlap val="-27"/>
        <c:axId val="-1154567168"/>
        <c:axId val="-1154570432"/>
      </c:barChart>
      <c:catAx>
        <c:axId val="-1154567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4570432"/>
        <c:crosses val="autoZero"/>
        <c:auto val="1"/>
        <c:lblAlgn val="ctr"/>
        <c:lblOffset val="100"/>
        <c:noMultiLvlLbl val="0"/>
      </c:catAx>
      <c:valAx>
        <c:axId val="-11545704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4567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11</Pages>
  <Words>3770</Words>
  <Characters>21492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25212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andri angi</cp:lastModifiedBy>
  <cp:revision>4</cp:revision>
  <dcterms:created xsi:type="dcterms:W3CDTF">2026-01-28T04:27:00Z</dcterms:created>
  <dcterms:modified xsi:type="dcterms:W3CDTF">2026-01-28T07:31:00Z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1b5071e3-c445-44f4-b032-130c6033f744</vt:lpwstr>
  </property>
</Properties>
</file>