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5915" w14:textId="368B3321" w:rsidR="00CD4DEC" w:rsidRPr="008912C2" w:rsidRDefault="008912C2" w:rsidP="00920031">
      <w:pPr>
        <w:jc w:val="right"/>
        <w:rPr>
          <w:rFonts w:ascii="Arial" w:eastAsia="DengXian" w:hAnsi="Arial" w:cs="Arial"/>
          <w:b/>
          <w:bCs/>
          <w:kern w:val="2"/>
          <w:sz w:val="36"/>
          <w:szCs w:val="36"/>
          <w:lang w:val="fr-CI" w:eastAsia="zh-CN"/>
          <w14:ligatures w14:val="standardContextual"/>
        </w:rPr>
      </w:pPr>
      <w:r w:rsidRPr="008912C2">
        <w:rPr>
          <w:rFonts w:ascii="Arial" w:hAnsi="Arial" w:cs="Arial"/>
          <w:b/>
          <w:bCs/>
          <w:sz w:val="36"/>
          <w:szCs w:val="36"/>
        </w:rPr>
        <w:t>ISOLATION AND CHARACTERIZATION OF LACTIC ACID BACTERIA FROM</w:t>
      </w:r>
      <w:r w:rsidRPr="008912C2">
        <w:rPr>
          <w:rFonts w:ascii="Arial" w:eastAsia="DengXian" w:hAnsi="Arial" w:cs="Arial"/>
          <w:b/>
          <w:bCs/>
          <w:kern w:val="2"/>
          <w:sz w:val="36"/>
          <w:szCs w:val="36"/>
          <w:lang w:val="fr-CI" w:eastAsia="zh-CN"/>
          <w14:ligatures w14:val="standardContextual"/>
        </w:rPr>
        <w:t xml:space="preserve"> </w:t>
      </w:r>
      <w:r w:rsidR="0007445F" w:rsidRPr="008912C2">
        <w:rPr>
          <w:rFonts w:ascii="Arial" w:eastAsia="DengXian" w:hAnsi="Arial" w:cs="Arial"/>
          <w:b/>
          <w:bCs/>
          <w:kern w:val="2"/>
          <w:sz w:val="36"/>
          <w:szCs w:val="36"/>
          <w:lang w:val="fr-CI" w:eastAsia="zh-CN"/>
          <w14:ligatures w14:val="standardContextual"/>
        </w:rPr>
        <w:t>THE CROP OF SEMI-INDUSTRIAL AND TRADITIONAL CHICKENS AND FROM TRADITIONAL BEVERAGES SOLD IN THE ABIDJAN DISTRICT</w:t>
      </w:r>
      <w:r w:rsidR="00F7774A">
        <w:rPr>
          <w:rFonts w:ascii="Arial" w:eastAsia="DengXian" w:hAnsi="Arial" w:cs="Arial"/>
          <w:b/>
          <w:bCs/>
          <w:kern w:val="2"/>
          <w:sz w:val="36"/>
          <w:szCs w:val="36"/>
          <w:lang w:val="fr-CI" w:eastAsia="zh-CN"/>
          <w14:ligatures w14:val="standardContextual"/>
        </w:rPr>
        <w:t xml:space="preserve"> </w:t>
      </w:r>
      <w:r w:rsidR="00175B59" w:rsidRPr="00175B59">
        <w:rPr>
          <w:rFonts w:ascii="Arial" w:eastAsia="DengXian" w:hAnsi="Arial" w:cs="Arial"/>
          <w:b/>
          <w:bCs/>
          <w:kern w:val="2"/>
          <w:sz w:val="36"/>
          <w:szCs w:val="36"/>
          <w:lang w:val="fr-CI" w:eastAsia="zh-CN"/>
          <w14:ligatures w14:val="standardContextual"/>
        </w:rPr>
        <w:t>(</w:t>
      </w:r>
      <w:r w:rsidR="00175B59" w:rsidRPr="00175B59">
        <w:rPr>
          <w:rFonts w:ascii="Arial" w:hAnsi="Arial" w:cs="Arial"/>
          <w:b/>
          <w:bCs/>
          <w:sz w:val="36"/>
          <w:szCs w:val="36"/>
        </w:rPr>
        <w:t>CÔTE D’IVOIRE)</w:t>
      </w:r>
      <w:r w:rsidR="002942CE">
        <w:rPr>
          <w:rFonts w:ascii="Arial" w:eastAsia="DengXian" w:hAnsi="Arial" w:cs="Arial"/>
          <w:b/>
          <w:bCs/>
          <w:kern w:val="2"/>
          <w:sz w:val="36"/>
          <w:szCs w:val="36"/>
          <w:lang w:val="fr-CI" w:eastAsia="zh-CN"/>
          <w14:ligatures w14:val="standardContextual"/>
        </w:rPr>
        <w:t xml:space="preserve">: </w:t>
      </w:r>
      <w:r w:rsidR="00B51B0D" w:rsidRPr="00B51B0D">
        <w:rPr>
          <w:rFonts w:ascii="Arial" w:eastAsia="DengXian" w:hAnsi="Arial" w:cs="Arial"/>
          <w:b/>
          <w:bCs/>
          <w:kern w:val="2"/>
          <w:sz w:val="36"/>
          <w:szCs w:val="36"/>
          <w:lang w:val="fr-CI" w:eastAsia="zh-CN"/>
          <w14:ligatures w14:val="standardContextual"/>
        </w:rPr>
        <w:t xml:space="preserve">PROBIOTIC PROPERTIES OF </w:t>
      </w:r>
      <w:r w:rsidR="00083C51">
        <w:rPr>
          <w:rFonts w:ascii="Arial" w:eastAsia="DengXian" w:hAnsi="Arial" w:cs="Arial"/>
          <w:b/>
          <w:bCs/>
          <w:kern w:val="2"/>
          <w:sz w:val="36"/>
          <w:szCs w:val="36"/>
          <w:lang w:val="fr-CI" w:eastAsia="zh-CN"/>
          <w14:ligatures w14:val="standardContextual"/>
        </w:rPr>
        <w:t>ISOLATED</w:t>
      </w:r>
      <w:r w:rsidR="00B51B0D" w:rsidRPr="00B51B0D">
        <w:rPr>
          <w:rFonts w:ascii="Arial" w:eastAsia="DengXian" w:hAnsi="Arial" w:cs="Arial"/>
          <w:b/>
          <w:bCs/>
          <w:kern w:val="2"/>
          <w:sz w:val="36"/>
          <w:szCs w:val="36"/>
          <w:lang w:val="fr-CI" w:eastAsia="zh-CN"/>
          <w14:ligatures w14:val="standardContextual"/>
        </w:rPr>
        <w:t xml:space="preserve"> STRAINS</w:t>
      </w:r>
    </w:p>
    <w:p w14:paraId="2F248096" w14:textId="77777777" w:rsidR="00A258C3" w:rsidRPr="00790ADA" w:rsidRDefault="00A258C3" w:rsidP="00441B6F">
      <w:pPr>
        <w:pStyle w:val="Author"/>
        <w:spacing w:line="240" w:lineRule="auto"/>
        <w:jc w:val="both"/>
        <w:rPr>
          <w:rFonts w:ascii="Arial" w:hAnsi="Arial" w:cs="Arial"/>
          <w:sz w:val="36"/>
        </w:rPr>
      </w:pPr>
    </w:p>
    <w:p w14:paraId="5E7D4061" w14:textId="77777777" w:rsidR="00314363" w:rsidRPr="00FB3A86" w:rsidRDefault="00314363" w:rsidP="00314363">
      <w:pPr>
        <w:pStyle w:val="Affiliation"/>
        <w:spacing w:after="0" w:line="240" w:lineRule="auto"/>
        <w:jc w:val="both"/>
        <w:rPr>
          <w:rFonts w:ascii="Arial" w:hAnsi="Arial" w:cs="Arial"/>
        </w:rPr>
      </w:pPr>
    </w:p>
    <w:p w14:paraId="7DFC77AC" w14:textId="72D5471F" w:rsidR="00B01FCD" w:rsidRPr="00FB3A86" w:rsidRDefault="00AB39DD" w:rsidP="00441B6F">
      <w:pPr>
        <w:pStyle w:val="Copyright"/>
        <w:spacing w:after="0" w:line="240" w:lineRule="auto"/>
        <w:jc w:val="both"/>
        <w:rPr>
          <w:rFonts w:ascii="Arial" w:hAnsi="Arial" w:cs="Arial"/>
        </w:rPr>
        <w:sectPr w:rsidR="00B01FCD" w:rsidRPr="00FB3A86" w:rsidSect="005C4D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CE360" wp14:editId="1FB160A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375D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98804E8" w14:textId="103378F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3129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BF3B09" w14:textId="77777777" w:rsidTr="00362C50">
        <w:trPr>
          <w:trHeight w:val="3318"/>
        </w:trPr>
        <w:tc>
          <w:tcPr>
            <w:tcW w:w="9576" w:type="dxa"/>
            <w:shd w:val="clear" w:color="auto" w:fill="F2F2F2"/>
          </w:tcPr>
          <w:p w14:paraId="6CFFEAD2" w14:textId="6BC59618" w:rsidR="006B1370" w:rsidRPr="008D0727" w:rsidRDefault="006B1370" w:rsidP="00F90BC6">
            <w:pPr>
              <w:jc w:val="both"/>
              <w:rPr>
                <w:rFonts w:ascii="Arial" w:hAnsi="Arial" w:cs="Arial"/>
              </w:rPr>
            </w:pPr>
            <w:r w:rsidRPr="008D0727">
              <w:rPr>
                <w:rFonts w:ascii="Arial" w:hAnsi="Arial" w:cs="Arial"/>
              </w:rPr>
              <w:t>Probiotic microorganisms have gained increasing attention due to their potential applications in the food, pharmaceutical, and animal production industries. The intestinal microflora of poultry and traditional fermented beverages are key sources of lactic acid bacteria (LAB). This study aimed to isolate and evaluate LAB strains from broiler chickens, traditionally raised chickens, and local fermented beverages (Bandji and Tchapalo) collected in the Abidjan district (Côte d’Ivoire)</w:t>
            </w:r>
            <w:r w:rsidR="00287862">
              <w:rPr>
                <w:rFonts w:ascii="Arial" w:hAnsi="Arial" w:cs="Arial"/>
              </w:rPr>
              <w:t xml:space="preserve"> during </w:t>
            </w:r>
            <w:commentRangeStart w:id="0"/>
            <w:r w:rsidR="00287862">
              <w:rPr>
                <w:rFonts w:ascii="Arial" w:hAnsi="Arial" w:cs="Arial"/>
              </w:rPr>
              <w:t xml:space="preserve">Mai </w:t>
            </w:r>
            <w:commentRangeEnd w:id="0"/>
            <w:r w:rsidR="00094167">
              <w:rPr>
                <w:rStyle w:val="CommentReference"/>
                <w:rFonts w:ascii="Arial" w:hAnsi="Arial" w:cs="Arial"/>
                <w:sz w:val="20"/>
                <w:szCs w:val="20"/>
              </w:rPr>
              <w:commentReference w:id="0"/>
            </w:r>
            <w:r w:rsidR="00287862">
              <w:rPr>
                <w:rFonts w:ascii="Arial" w:hAnsi="Arial" w:cs="Arial"/>
              </w:rPr>
              <w:t>to August 202</w:t>
            </w:r>
            <w:r w:rsidR="00BA2BE2">
              <w:rPr>
                <w:rFonts w:ascii="Arial" w:hAnsi="Arial" w:cs="Arial"/>
              </w:rPr>
              <w:t>2</w:t>
            </w:r>
            <w:r w:rsidRPr="008D0727">
              <w:rPr>
                <w:rFonts w:ascii="Arial" w:hAnsi="Arial" w:cs="Arial"/>
              </w:rPr>
              <w:t>.</w:t>
            </w:r>
            <w:r w:rsidR="00F90BC6">
              <w:rPr>
                <w:rFonts w:ascii="Arial" w:hAnsi="Arial" w:cs="Arial"/>
              </w:rPr>
              <w:t xml:space="preserve"> </w:t>
            </w:r>
            <w:r w:rsidR="000C038A" w:rsidRPr="008D0727">
              <w:rPr>
                <w:rFonts w:ascii="Arial" w:eastAsia="Calibri" w:hAnsi="Arial" w:cs="Arial"/>
              </w:rPr>
              <w:t xml:space="preserve"> </w:t>
            </w:r>
            <w:r w:rsidRPr="008D0727">
              <w:rPr>
                <w:rFonts w:ascii="Arial" w:hAnsi="Arial" w:cs="Arial"/>
              </w:rPr>
              <w:t xml:space="preserve">A total of 36 samples (26 from poultry and 10 from fermented beverages) were collected. The isolates were tested for antimicrobial activity against multidrug-resistant </w:t>
            </w:r>
            <w:r w:rsidRPr="008D0727">
              <w:rPr>
                <w:rStyle w:val="Emphasis"/>
                <w:rFonts w:ascii="Arial" w:hAnsi="Arial" w:cs="Arial"/>
              </w:rPr>
              <w:t>Salmonella</w:t>
            </w:r>
            <w:r w:rsidRPr="008D0727">
              <w:rPr>
                <w:rFonts w:ascii="Arial" w:hAnsi="Arial" w:cs="Arial"/>
              </w:rPr>
              <w:t xml:space="preserve"> sp., sensitive </w:t>
            </w:r>
            <w:r w:rsidRPr="008D0727">
              <w:rPr>
                <w:rStyle w:val="Emphasis"/>
                <w:rFonts w:ascii="Arial" w:hAnsi="Arial" w:cs="Arial"/>
              </w:rPr>
              <w:t>Escherichia coli</w:t>
            </w:r>
            <w:r w:rsidRPr="008D0727">
              <w:rPr>
                <w:rFonts w:ascii="Arial" w:hAnsi="Arial" w:cs="Arial"/>
              </w:rPr>
              <w:t xml:space="preserve">, ESBL-producing </w:t>
            </w:r>
            <w:r w:rsidRPr="008D0727">
              <w:rPr>
                <w:rStyle w:val="Emphasis"/>
                <w:rFonts w:ascii="Arial" w:hAnsi="Arial" w:cs="Arial"/>
              </w:rPr>
              <w:t>E. coli</w:t>
            </w:r>
            <w:r w:rsidRPr="008D0727">
              <w:rPr>
                <w:rFonts w:ascii="Arial" w:hAnsi="Arial" w:cs="Arial"/>
              </w:rPr>
              <w:t>, and methicillin-</w:t>
            </w:r>
            <w:r w:rsidR="00EF52C8">
              <w:rPr>
                <w:rFonts w:ascii="Arial" w:hAnsi="Arial" w:cs="Arial"/>
              </w:rPr>
              <w:t>resistant</w:t>
            </w:r>
            <w:r w:rsidRPr="008D0727">
              <w:rPr>
                <w:rFonts w:ascii="Arial" w:hAnsi="Arial" w:cs="Arial"/>
              </w:rPr>
              <w:t xml:space="preserve"> </w:t>
            </w:r>
            <w:r w:rsidRPr="008D0727">
              <w:rPr>
                <w:rStyle w:val="Emphasis"/>
                <w:rFonts w:ascii="Arial" w:hAnsi="Arial" w:cs="Arial"/>
              </w:rPr>
              <w:t>Staphylococcus aureus</w:t>
            </w:r>
            <w:r w:rsidRPr="008D0727">
              <w:rPr>
                <w:rFonts w:ascii="Arial" w:hAnsi="Arial" w:cs="Arial"/>
              </w:rPr>
              <w:t>. Their ability to survive under acidic conditions, tolerate bile salts, produce proteolytic and lipolytic enzymes, and adhere to epithelial cells was also evaluated.</w:t>
            </w:r>
          </w:p>
          <w:p w14:paraId="1B5A8579" w14:textId="069B7C6A" w:rsidR="00505F06" w:rsidRPr="00BA1B01" w:rsidRDefault="006B1370" w:rsidP="00362C50">
            <w:pPr>
              <w:pStyle w:val="NormalWeb"/>
              <w:spacing w:before="0" w:beforeAutospacing="0" w:after="0" w:afterAutospacing="0"/>
              <w:jc w:val="both"/>
              <w:rPr>
                <w:rFonts w:ascii="Arial" w:eastAsia="Calibri" w:hAnsi="Arial" w:cs="Arial"/>
                <w:szCs w:val="22"/>
              </w:rPr>
            </w:pPr>
            <w:r w:rsidRPr="008D0727">
              <w:rPr>
                <w:rFonts w:ascii="Arial" w:hAnsi="Arial" w:cs="Arial"/>
                <w:sz w:val="20"/>
                <w:szCs w:val="20"/>
              </w:rPr>
              <w:t xml:space="preserve">Of the 84 isolates tested, 47 (55.95%) </w:t>
            </w:r>
            <w:commentRangeStart w:id="1"/>
            <w:r w:rsidRPr="008D0727">
              <w:rPr>
                <w:rFonts w:ascii="Arial" w:hAnsi="Arial" w:cs="Arial"/>
                <w:sz w:val="20"/>
                <w:szCs w:val="20"/>
              </w:rPr>
              <w:t xml:space="preserve">exhibited inhibition zones ≥ 6 mm </w:t>
            </w:r>
            <w:commentRangeEnd w:id="1"/>
            <w:r w:rsidR="00094167" w:rsidRPr="008D0727">
              <w:rPr>
                <w:rStyle w:val="CommentReference"/>
                <w:rFonts w:ascii="Arial" w:hAnsi="Arial" w:cs="Arial"/>
                <w:sz w:val="20"/>
                <w:szCs w:val="20"/>
              </w:rPr>
              <w:commentReference w:id="1"/>
            </w:r>
            <w:r w:rsidRPr="008D0727">
              <w:rPr>
                <w:rFonts w:ascii="Arial" w:hAnsi="Arial" w:cs="Arial"/>
                <w:sz w:val="20"/>
                <w:szCs w:val="20"/>
              </w:rPr>
              <w:t>against all pathogens. Among these, 23 (48.93%) maintained ≥ 50% survival at pH 3.5, and 18 (78.26%) survived ≥ 20% in 0.8% bile salts. Adhesion to epithelial cells ranged from 65% to 93%, with isolate 1A (from broiler chicken) showing the highest value (93%). Enzymatic activity ranged from 7–13 mm for proteolysis and 7–9 mm for lipolysis, with isolates from Bandji and Tchapalo showing the highest activities.</w:t>
            </w:r>
            <w:r w:rsidR="00F90BC6">
              <w:rPr>
                <w:rFonts w:ascii="Arial" w:hAnsi="Arial" w:cs="Arial"/>
                <w:sz w:val="20"/>
                <w:szCs w:val="20"/>
              </w:rPr>
              <w:t xml:space="preserve"> </w:t>
            </w:r>
            <w:r w:rsidRPr="008D0727">
              <w:rPr>
                <w:rFonts w:ascii="Arial" w:hAnsi="Arial" w:cs="Arial"/>
                <w:sz w:val="20"/>
                <w:szCs w:val="20"/>
              </w:rPr>
              <w:t>The results indicate that the LAB strains studied possess promising probiotic properties and could potentially be used as feed additives in poultry production.</w:t>
            </w:r>
          </w:p>
        </w:tc>
      </w:tr>
    </w:tbl>
    <w:p w14:paraId="1548BE6F" w14:textId="77777777" w:rsidR="00636EB2" w:rsidRDefault="00636EB2" w:rsidP="00441B6F">
      <w:pPr>
        <w:pStyle w:val="Body"/>
        <w:spacing w:after="0"/>
        <w:rPr>
          <w:rFonts w:ascii="Arial" w:hAnsi="Arial" w:cs="Arial"/>
          <w:i/>
        </w:rPr>
      </w:pPr>
    </w:p>
    <w:p w14:paraId="7BC2910B" w14:textId="77777777" w:rsidR="00AA7808" w:rsidRDefault="00A24E7E" w:rsidP="00AA7808">
      <w:pPr>
        <w:spacing w:before="100" w:beforeAutospacing="1" w:after="100" w:afterAutospacing="1"/>
        <w:jc w:val="both"/>
        <w:rPr>
          <w:rFonts w:ascii="Times New Roman" w:hAnsi="Times New Roman"/>
          <w:sz w:val="24"/>
          <w:szCs w:val="24"/>
        </w:rPr>
      </w:pPr>
      <w:r>
        <w:rPr>
          <w:rFonts w:ascii="Arial" w:hAnsi="Arial" w:cs="Arial"/>
          <w:i/>
        </w:rPr>
        <w:t xml:space="preserve">Keywords: </w:t>
      </w:r>
      <w:r w:rsidR="00AA7808" w:rsidRPr="00AA7808">
        <w:rPr>
          <w:rFonts w:ascii="Arial" w:hAnsi="Arial" w:cs="Arial"/>
          <w:i/>
          <w:iCs/>
        </w:rPr>
        <w:t>Lactic acid bacteria; Probiotics; Fermented beverages; Broiler chickens; Poultry production.</w:t>
      </w:r>
    </w:p>
    <w:p w14:paraId="3F7E0450" w14:textId="77777777" w:rsidR="0024282C" w:rsidRDefault="0024282C" w:rsidP="00441B6F">
      <w:pPr>
        <w:pStyle w:val="Body"/>
        <w:spacing w:after="0"/>
        <w:rPr>
          <w:rFonts w:ascii="Arial" w:hAnsi="Arial" w:cs="Arial"/>
          <w:i/>
          <w:sz w:val="18"/>
        </w:rPr>
      </w:pPr>
    </w:p>
    <w:p w14:paraId="00A4FFB1" w14:textId="096831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1D129" w14:textId="77777777" w:rsidR="00790ADA" w:rsidRPr="00FB3A86" w:rsidRDefault="00790ADA" w:rsidP="00441B6F">
      <w:pPr>
        <w:pStyle w:val="AbstHead"/>
        <w:spacing w:after="0"/>
        <w:jc w:val="both"/>
        <w:rPr>
          <w:rFonts w:ascii="Arial" w:hAnsi="Arial" w:cs="Arial"/>
        </w:rPr>
      </w:pPr>
    </w:p>
    <w:p w14:paraId="03F9004D"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In recent decades, interest in lactic acid bacteria (LAB) has increased due to a growing awareness of their beneficial properties. LAB encompass a wide range of strains, predominantly isolated from dairy, meat, and plant sources (Roselli et al., 2025). They are valued both for their technological functions and their probiotic potential, with applications in the food, pharmaceutical, and animal nutrition industries (Yao et al., 2025).</w:t>
      </w:r>
    </w:p>
    <w:p w14:paraId="028D38A8"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LAB are ubiquitous and colonize diverse ecological niches, including milk, the human and animal mucosa, the gastrointestinal tract, and fermented foods. Among these, traditional fermented beverages and the chicken crop have emerged as promising reservoirs for novel probiotic strains (Tsega et al., 2023; Avci et al., 2025).</w:t>
      </w:r>
    </w:p>
    <w:p w14:paraId="7EC33EB9"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In Africa and Asia, cereal-based fermented beverages (derived from malt, barley, or wheat) harbor microbial species such as </w:t>
      </w:r>
      <w:r w:rsidRPr="00027BF8">
        <w:rPr>
          <w:rFonts w:ascii="Arial" w:hAnsi="Arial" w:cs="Arial"/>
          <w:i/>
          <w:iCs/>
          <w:lang w:val="fr-CI" w:eastAsia="fr-CI"/>
        </w:rPr>
        <w:t>Lactobacillus plantarum</w:t>
      </w:r>
      <w:r w:rsidRPr="00027BF8">
        <w:rPr>
          <w:rFonts w:ascii="Arial" w:hAnsi="Arial" w:cs="Arial"/>
          <w:lang w:val="fr-CI" w:eastAsia="fr-CI"/>
        </w:rPr>
        <w:t xml:space="preserve">, </w:t>
      </w:r>
      <w:r w:rsidRPr="00027BF8">
        <w:rPr>
          <w:rFonts w:ascii="Arial" w:hAnsi="Arial" w:cs="Arial"/>
          <w:i/>
          <w:iCs/>
          <w:lang w:val="fr-CI" w:eastAsia="fr-CI"/>
        </w:rPr>
        <w:t>Lactobacillus acidophilus</w:t>
      </w:r>
      <w:r w:rsidRPr="00027BF8">
        <w:rPr>
          <w:rFonts w:ascii="Arial" w:hAnsi="Arial" w:cs="Arial"/>
          <w:lang w:val="fr-CI" w:eastAsia="fr-CI"/>
        </w:rPr>
        <w:t xml:space="preserve">, </w:t>
      </w:r>
      <w:r w:rsidRPr="00027BF8">
        <w:rPr>
          <w:rFonts w:ascii="Arial" w:hAnsi="Arial" w:cs="Arial"/>
          <w:i/>
          <w:iCs/>
          <w:lang w:val="fr-CI" w:eastAsia="fr-CI"/>
        </w:rPr>
        <w:t>Lactobacillus reuteri</w:t>
      </w:r>
      <w:r w:rsidRPr="00027BF8">
        <w:rPr>
          <w:rFonts w:ascii="Arial" w:hAnsi="Arial" w:cs="Arial"/>
          <w:lang w:val="fr-CI" w:eastAsia="fr-CI"/>
        </w:rPr>
        <w:t xml:space="preserve">, and </w:t>
      </w:r>
      <w:r w:rsidRPr="00027BF8">
        <w:rPr>
          <w:rFonts w:ascii="Arial" w:hAnsi="Arial" w:cs="Arial"/>
          <w:i/>
          <w:iCs/>
          <w:lang w:val="fr-CI" w:eastAsia="fr-CI"/>
        </w:rPr>
        <w:t>Lactobacillus fermentum</w:t>
      </w:r>
      <w:r w:rsidRPr="00027BF8">
        <w:rPr>
          <w:rFonts w:ascii="Arial" w:hAnsi="Arial" w:cs="Arial"/>
          <w:lang w:val="fr-CI" w:eastAsia="fr-CI"/>
        </w:rPr>
        <w:t xml:space="preserve">, which are </w:t>
      </w:r>
      <w:r w:rsidRPr="00027BF8">
        <w:rPr>
          <w:rFonts w:ascii="Arial" w:hAnsi="Arial" w:cs="Arial"/>
          <w:lang w:val="fr-CI" w:eastAsia="fr-CI"/>
        </w:rPr>
        <w:lastRenderedPageBreak/>
        <w:t xml:space="preserve">recognized for their probiotic potential (Behera et al., 2018; Sarita et al., 2025). Similarly, several </w:t>
      </w:r>
      <w:r w:rsidRPr="00027BF8">
        <w:rPr>
          <w:rFonts w:ascii="Arial" w:hAnsi="Arial" w:cs="Arial"/>
          <w:i/>
          <w:iCs/>
          <w:lang w:val="fr-CI" w:eastAsia="fr-CI"/>
        </w:rPr>
        <w:t>Lactobacillus</w:t>
      </w:r>
      <w:r w:rsidRPr="00027BF8">
        <w:rPr>
          <w:rFonts w:ascii="Arial" w:hAnsi="Arial" w:cs="Arial"/>
          <w:lang w:val="fr-CI" w:eastAsia="fr-CI"/>
        </w:rPr>
        <w:t xml:space="preserve"> species isolated from the chicken intestine have demonstrated probiotic properties (Shamsudin et al., 2019).</w:t>
      </w:r>
    </w:p>
    <w:p w14:paraId="234A3A2B"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Probiotics are not only used as dietary supplements and functional food ingredients but also exert therapeutic effects, including the prevention and alleviation of digestive disorders and the reduction of allergic diseases (Yang et al., 2024; Li et al., 2025). To be considered effective, probiotic microorganisms must fulfill several criteria: they should be safe, able to survive exposure to bile salts and gastric acidity, inhibit pathogens through antimicrobial compound production, adhere to epithelial cells to persist in the gastrointestinal tract, and modulate host immune responses (Yao et al., 2025).</w:t>
      </w:r>
    </w:p>
    <w:p w14:paraId="71A650DF"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In poultry production, the overuse of antibiotics has accelerated the emergence of multidrug-resistant bacteria, thereby reducing treatment efficacy and causing significant economic losses (Akpa et al., 2024). Therefore, characterizing the probiotic properties of LAB isolated from chicken crops and traditional fermented beverages is crucial for evaluating their potential role in combating antibiotic-resistant bacteria and improving poultry productivity.</w:t>
      </w:r>
    </w:p>
    <w:p w14:paraId="14795F45"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The objective of this study was to evaluate the probiotic profiles of LAB strains isolated from the crops of broiler and traditionally raised chickens, as well as from traditional fermented beverages, and to assess their potential as candidate probiotics for controlling harmful microorganisms in poultry farming.</w:t>
      </w:r>
    </w:p>
    <w:p w14:paraId="52B08164" w14:textId="77777777" w:rsidR="00790ADA" w:rsidRPr="00027BF8" w:rsidRDefault="00790ADA" w:rsidP="00441B6F">
      <w:pPr>
        <w:pStyle w:val="Body"/>
        <w:spacing w:after="0"/>
        <w:rPr>
          <w:rFonts w:ascii="Arial" w:hAnsi="Arial" w:cs="Arial"/>
        </w:rPr>
      </w:pPr>
    </w:p>
    <w:p w14:paraId="5860A980" w14:textId="12D7E478" w:rsidR="007F7B32" w:rsidRPr="00FD4DF8" w:rsidRDefault="00902823" w:rsidP="00FD4DF8">
      <w:pPr>
        <w:pStyle w:val="AbstHead"/>
        <w:spacing w:after="0"/>
        <w:jc w:val="both"/>
        <w:rPr>
          <w:rFonts w:ascii="Arial" w:hAnsi="Arial" w:cs="Arial"/>
          <w:szCs w:val="22"/>
        </w:rPr>
      </w:pPr>
      <w:r w:rsidRPr="00FD4DF8">
        <w:rPr>
          <w:rFonts w:ascii="Arial" w:hAnsi="Arial" w:cs="Arial"/>
          <w:szCs w:val="22"/>
        </w:rPr>
        <w:t>2. material and method</w:t>
      </w:r>
      <w:r w:rsidR="00000F8F" w:rsidRPr="00FD4DF8">
        <w:rPr>
          <w:rFonts w:ascii="Arial" w:hAnsi="Arial" w:cs="Arial"/>
          <w:szCs w:val="22"/>
        </w:rPr>
        <w:t xml:space="preserve">s </w:t>
      </w:r>
    </w:p>
    <w:p w14:paraId="0F537AFB" w14:textId="77777777" w:rsidR="00790ADA" w:rsidRPr="00FD4DF8" w:rsidRDefault="00790ADA" w:rsidP="00FD4DF8">
      <w:pPr>
        <w:pStyle w:val="AbstHead"/>
        <w:spacing w:after="0"/>
        <w:jc w:val="both"/>
        <w:rPr>
          <w:rFonts w:ascii="Arial" w:hAnsi="Arial" w:cs="Arial"/>
          <w:szCs w:val="22"/>
        </w:rPr>
      </w:pPr>
    </w:p>
    <w:p w14:paraId="689F01CC" w14:textId="00C7EE54" w:rsidR="00B2411C" w:rsidRPr="00FD4DF8" w:rsidRDefault="00B2411C" w:rsidP="00FD4DF8">
      <w:pPr>
        <w:jc w:val="both"/>
        <w:rPr>
          <w:rFonts w:ascii="Arial" w:hAnsi="Arial" w:cs="Arial"/>
          <w:b/>
          <w:bCs/>
          <w:sz w:val="22"/>
          <w:szCs w:val="22"/>
        </w:rPr>
      </w:pPr>
      <w:r w:rsidRPr="00FD4DF8">
        <w:rPr>
          <w:rFonts w:ascii="Arial" w:hAnsi="Arial" w:cs="Arial"/>
          <w:b/>
          <w:bCs/>
          <w:sz w:val="22"/>
          <w:szCs w:val="22"/>
        </w:rPr>
        <w:t>2.1 Sample collection</w:t>
      </w:r>
    </w:p>
    <w:p w14:paraId="3714D084" w14:textId="77777777" w:rsidR="00B2411C" w:rsidRPr="00F23C8F" w:rsidRDefault="00B2411C" w:rsidP="00FD4DF8">
      <w:pPr>
        <w:jc w:val="both"/>
        <w:rPr>
          <w:rFonts w:ascii="Arial" w:hAnsi="Arial" w:cs="Arial"/>
        </w:rPr>
      </w:pPr>
      <w:r w:rsidRPr="00F23C8F">
        <w:rPr>
          <w:rFonts w:ascii="Arial" w:hAnsi="Arial" w:cs="Arial"/>
        </w:rPr>
        <w:t>A total of 26 chicken crop samples were collected in Abidjan from randomly selected traditional slaughterhouses, along with 10 samples of the fermented beverages Bandji and Tchapalo purchased from local vendors. Of the crop samples, 18 were from broiler chickens and 8 from traditionally raised chickens.</w:t>
      </w:r>
    </w:p>
    <w:p w14:paraId="7A0E0F50" w14:textId="77777777" w:rsidR="00F23C8F" w:rsidRDefault="00F23C8F" w:rsidP="00FD4DF8">
      <w:pPr>
        <w:jc w:val="both"/>
        <w:rPr>
          <w:rFonts w:ascii="Arial" w:hAnsi="Arial" w:cs="Arial"/>
          <w:b/>
          <w:bCs/>
          <w:sz w:val="22"/>
          <w:szCs w:val="22"/>
        </w:rPr>
      </w:pPr>
    </w:p>
    <w:p w14:paraId="349036E3" w14:textId="4158785B"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2.2. </w:t>
      </w:r>
      <w:r w:rsidR="00B2411C" w:rsidRPr="00FD4DF8">
        <w:rPr>
          <w:rFonts w:ascii="Arial" w:hAnsi="Arial" w:cs="Arial"/>
          <w:b/>
          <w:bCs/>
          <w:sz w:val="22"/>
          <w:szCs w:val="22"/>
        </w:rPr>
        <w:t>Preparation of stock solutions and serial dilutions</w:t>
      </w:r>
    </w:p>
    <w:p w14:paraId="1B9681A0" w14:textId="77777777" w:rsidR="00B2411C" w:rsidRPr="00F23C8F" w:rsidRDefault="00B2411C" w:rsidP="00FD4DF8">
      <w:pPr>
        <w:jc w:val="both"/>
        <w:rPr>
          <w:rFonts w:ascii="Arial" w:hAnsi="Arial" w:cs="Arial"/>
        </w:rPr>
      </w:pPr>
      <w:r w:rsidRPr="00F23C8F">
        <w:rPr>
          <w:rFonts w:ascii="Arial" w:hAnsi="Arial" w:cs="Arial"/>
        </w:rPr>
        <w:t>Stock solutions were prepared by mixing 10 g of crop content or 10 mL of beverage sediment with 90 mL of buffered peptone water, followed by homogenization and incubation at 30 °C for 24 h. Serial dilutions were obtained by transferring 1 mL of stock solution into 9 mL of tryptone-salt (TS) solution, up to 10</w:t>
      </w:r>
      <w:r w:rsidRPr="00F23C8F">
        <w:rPr>
          <w:rFonts w:ascii="Cambria Math" w:hAnsi="Cambria Math" w:cs="Cambria Math"/>
        </w:rPr>
        <w:t>⁻</w:t>
      </w:r>
      <w:r w:rsidRPr="00F23C8F">
        <w:rPr>
          <w:rFonts w:ascii="Arial" w:hAnsi="Arial" w:cs="Arial"/>
        </w:rPr>
        <w:t>⁶.</w:t>
      </w:r>
    </w:p>
    <w:p w14:paraId="269EC21E" w14:textId="77777777" w:rsidR="00357465" w:rsidRPr="00FD4DF8" w:rsidRDefault="00357465" w:rsidP="00FD4DF8">
      <w:pPr>
        <w:jc w:val="both"/>
        <w:rPr>
          <w:rFonts w:ascii="Arial" w:hAnsi="Arial" w:cs="Arial"/>
          <w:sz w:val="22"/>
          <w:szCs w:val="22"/>
        </w:rPr>
      </w:pPr>
    </w:p>
    <w:p w14:paraId="77F7A4D3" w14:textId="4FE8F8C2"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2.3. </w:t>
      </w:r>
      <w:r w:rsidR="00B2411C" w:rsidRPr="00FD4DF8">
        <w:rPr>
          <w:rFonts w:ascii="Arial" w:hAnsi="Arial" w:cs="Arial"/>
          <w:b/>
          <w:bCs/>
          <w:sz w:val="22"/>
          <w:szCs w:val="22"/>
        </w:rPr>
        <w:t>Isolation of lactic acid bacteria</w:t>
      </w:r>
    </w:p>
    <w:p w14:paraId="727B1A5A" w14:textId="77777777" w:rsidR="00B2411C" w:rsidRPr="00AF7B86" w:rsidRDefault="00B2411C" w:rsidP="00FD4DF8">
      <w:pPr>
        <w:jc w:val="both"/>
        <w:rPr>
          <w:rFonts w:ascii="Arial" w:hAnsi="Arial" w:cs="Arial"/>
        </w:rPr>
      </w:pPr>
      <w:r w:rsidRPr="00AF7B86">
        <w:rPr>
          <w:rFonts w:ascii="Arial" w:hAnsi="Arial" w:cs="Arial"/>
        </w:rPr>
        <w:t xml:space="preserve">LAB were isolated on Man Rogosa and Sharpe (MRS) agar supplemented with 0.1% nystatin to inhibit fungal growth. Surface plating was performed by spreading 0.1 mL of the stock or diluted suspensions onto Petri dishes. Plates were incubated at 30 °C for 24–72 h under anaerobic conditions in a jar </w:t>
      </w:r>
      <w:r w:rsidRPr="00AF7B86">
        <w:rPr>
          <w:rFonts w:ascii="Arial" w:hAnsi="Arial" w:cs="Arial"/>
          <w:b/>
          <w:bCs/>
        </w:rPr>
        <w:t>(</w:t>
      </w:r>
      <w:r w:rsidRPr="00AF7B86">
        <w:rPr>
          <w:rFonts w:ascii="Arial" w:hAnsi="Arial" w:cs="Arial"/>
        </w:rPr>
        <w:t>Eric, 2011</w:t>
      </w:r>
      <w:r w:rsidRPr="00AF7B86">
        <w:rPr>
          <w:rFonts w:ascii="Arial" w:hAnsi="Arial" w:cs="Arial"/>
          <w:b/>
          <w:bCs/>
        </w:rPr>
        <w:t>)</w:t>
      </w:r>
      <w:r w:rsidRPr="00AF7B86">
        <w:rPr>
          <w:rFonts w:ascii="Arial" w:hAnsi="Arial" w:cs="Arial"/>
        </w:rPr>
        <w:t>. Pure colonies were examined by Gram staining, oxidase, and catalase tests. Presumptive LAB isolates were preserved in cryotubes at –20 °C in MRS broth supplemented with 20% (v/v) glycerol for further analyses.</w:t>
      </w:r>
    </w:p>
    <w:p w14:paraId="214D7A16" w14:textId="77777777" w:rsidR="00940085" w:rsidRPr="00FD4DF8" w:rsidRDefault="00940085" w:rsidP="00FD4DF8">
      <w:pPr>
        <w:jc w:val="both"/>
        <w:rPr>
          <w:rFonts w:ascii="Arial" w:hAnsi="Arial" w:cs="Arial"/>
          <w:sz w:val="22"/>
          <w:szCs w:val="22"/>
        </w:rPr>
      </w:pPr>
    </w:p>
    <w:p w14:paraId="77AED784" w14:textId="39D51FCF" w:rsidR="00B2411C" w:rsidRPr="00FD4DF8" w:rsidRDefault="00A809A1" w:rsidP="00FD4DF8">
      <w:pPr>
        <w:jc w:val="both"/>
        <w:rPr>
          <w:rFonts w:ascii="Arial" w:hAnsi="Arial" w:cs="Arial"/>
          <w:b/>
          <w:bCs/>
          <w:sz w:val="22"/>
          <w:szCs w:val="22"/>
        </w:rPr>
      </w:pPr>
      <w:r w:rsidRPr="00FD4DF8">
        <w:rPr>
          <w:rFonts w:ascii="Arial" w:hAnsi="Arial" w:cs="Arial"/>
          <w:b/>
          <w:bCs/>
          <w:sz w:val="22"/>
          <w:szCs w:val="22"/>
        </w:rPr>
        <w:t xml:space="preserve">2.4. </w:t>
      </w:r>
      <w:r w:rsidR="00B2411C" w:rsidRPr="00FD4DF8">
        <w:rPr>
          <w:rFonts w:ascii="Arial" w:hAnsi="Arial" w:cs="Arial"/>
          <w:b/>
          <w:bCs/>
          <w:sz w:val="22"/>
          <w:szCs w:val="22"/>
        </w:rPr>
        <w:t>Evaluation of probiotic properties</w:t>
      </w:r>
    </w:p>
    <w:p w14:paraId="098EE7A8" w14:textId="7FD5996F" w:rsidR="00B2411C" w:rsidRPr="003F2222" w:rsidRDefault="006512E7" w:rsidP="00FD4DF8">
      <w:pPr>
        <w:jc w:val="both"/>
        <w:rPr>
          <w:rFonts w:ascii="Arial" w:hAnsi="Arial" w:cs="Arial"/>
          <w:b/>
          <w:bCs/>
        </w:rPr>
      </w:pPr>
      <w:r w:rsidRPr="003F2222">
        <w:rPr>
          <w:rFonts w:ascii="Arial" w:hAnsi="Arial" w:cs="Arial"/>
          <w:b/>
          <w:bCs/>
        </w:rPr>
        <w:t xml:space="preserve">2.4.1. </w:t>
      </w:r>
      <w:r w:rsidR="00B2411C" w:rsidRPr="003F2222">
        <w:rPr>
          <w:rFonts w:ascii="Arial" w:hAnsi="Arial" w:cs="Arial"/>
          <w:b/>
          <w:bCs/>
        </w:rPr>
        <w:t>Antibacterial activity</w:t>
      </w:r>
    </w:p>
    <w:p w14:paraId="4A59BF85" w14:textId="0A4C0A0D" w:rsidR="00B2411C" w:rsidRPr="003F2222" w:rsidRDefault="00B2411C" w:rsidP="00FD4DF8">
      <w:pPr>
        <w:jc w:val="both"/>
        <w:rPr>
          <w:rFonts w:ascii="Arial" w:hAnsi="Arial" w:cs="Arial"/>
        </w:rPr>
      </w:pPr>
      <w:r w:rsidRPr="003F2222">
        <w:rPr>
          <w:rFonts w:ascii="Arial" w:hAnsi="Arial" w:cs="Arial"/>
        </w:rPr>
        <w:t>Antibacterial activity was tested against four pathogens: ESBL-producing Escherichia coli, sensitive E. coli, methicillin-</w:t>
      </w:r>
      <w:r w:rsidR="00EF52C8" w:rsidRPr="003F2222">
        <w:rPr>
          <w:rFonts w:ascii="Arial" w:hAnsi="Arial" w:cs="Arial"/>
        </w:rPr>
        <w:t>resistant</w:t>
      </w:r>
      <w:r w:rsidRPr="003F2222">
        <w:rPr>
          <w:rFonts w:ascii="Arial" w:hAnsi="Arial" w:cs="Arial"/>
        </w:rPr>
        <w:t xml:space="preserve"> </w:t>
      </w:r>
      <w:commentRangeStart w:id="2"/>
      <w:r w:rsidRPr="003F2222">
        <w:rPr>
          <w:rFonts w:ascii="Arial" w:hAnsi="Arial" w:cs="Arial"/>
        </w:rPr>
        <w:t>Staphylococcus aureus</w:t>
      </w:r>
      <w:commentRangeEnd w:id="2"/>
      <w:r w:rsidR="00094167" w:rsidRPr="003F2222">
        <w:rPr>
          <w:rStyle w:val="CommentReference"/>
          <w:rFonts w:ascii="Arial" w:hAnsi="Arial" w:cs="Arial"/>
          <w:sz w:val="20"/>
          <w:szCs w:val="20"/>
        </w:rPr>
        <w:commentReference w:id="2"/>
      </w:r>
      <w:r w:rsidRPr="003F2222">
        <w:rPr>
          <w:rFonts w:ascii="Arial" w:hAnsi="Arial" w:cs="Arial"/>
        </w:rPr>
        <w:t xml:space="preserve">, and multidrug-resistant Salmonella sp. using the agar </w:t>
      </w:r>
      <w:commentRangeStart w:id="3"/>
      <w:r w:rsidRPr="003F2222">
        <w:rPr>
          <w:rFonts w:ascii="Arial" w:hAnsi="Arial" w:cs="Arial"/>
        </w:rPr>
        <w:t xml:space="preserve">well diffusion method </w:t>
      </w:r>
      <w:commentRangeEnd w:id="3"/>
      <w:r w:rsidR="002800C2" w:rsidRPr="003F2222">
        <w:rPr>
          <w:rStyle w:val="CommentReference"/>
          <w:rFonts w:ascii="Arial" w:hAnsi="Arial" w:cs="Arial"/>
          <w:sz w:val="20"/>
          <w:szCs w:val="20"/>
        </w:rPr>
        <w:commentReference w:id="3"/>
      </w:r>
      <w:r w:rsidRPr="003F2222">
        <w:rPr>
          <w:rFonts w:ascii="Arial" w:hAnsi="Arial" w:cs="Arial"/>
        </w:rPr>
        <w:t xml:space="preserve">(Tadesse </w:t>
      </w:r>
      <w:r w:rsidRPr="003F2222">
        <w:rPr>
          <w:rFonts w:ascii="Arial" w:hAnsi="Arial" w:cs="Arial"/>
          <w:i/>
          <w:iCs/>
        </w:rPr>
        <w:t>et al.,</w:t>
      </w:r>
      <w:r w:rsidRPr="003F2222">
        <w:rPr>
          <w:rFonts w:ascii="Arial" w:hAnsi="Arial" w:cs="Arial"/>
        </w:rPr>
        <w:t xml:space="preserve"> 2004). Briefly, 200 µL of pathogen suspension was incorporated into 15 mL of MRS agar. After solidification, 6 mm wells were filled with 20 µL of LAB preculture. Plates were held at 4 °C for 2 h, then incubated at 37 °C for 24–48 h. Inhibition zones were measured and classified as </w:t>
      </w:r>
      <w:r w:rsidR="00AD2A28" w:rsidRPr="003F2222">
        <w:rPr>
          <w:rFonts w:ascii="Arial" w:hAnsi="Arial" w:cs="Arial"/>
        </w:rPr>
        <w:t xml:space="preserve">(-) no inhibition, </w:t>
      </w:r>
      <w:r w:rsidRPr="003F2222">
        <w:rPr>
          <w:rFonts w:ascii="Arial" w:hAnsi="Arial" w:cs="Arial"/>
        </w:rPr>
        <w:t xml:space="preserve">weak </w:t>
      </w:r>
      <w:r w:rsidR="006F0E88" w:rsidRPr="003F2222">
        <w:rPr>
          <w:rFonts w:ascii="Arial" w:hAnsi="Arial" w:cs="Arial"/>
        </w:rPr>
        <w:t>for diameter between 0 and 3 mm</w:t>
      </w:r>
      <w:r w:rsidR="00262988" w:rsidRPr="003F2222">
        <w:rPr>
          <w:rFonts w:ascii="Arial" w:hAnsi="Arial" w:cs="Arial"/>
        </w:rPr>
        <w:t xml:space="preserve">, </w:t>
      </w:r>
      <w:r w:rsidRPr="003F2222">
        <w:rPr>
          <w:rFonts w:ascii="Arial" w:hAnsi="Arial" w:cs="Arial"/>
        </w:rPr>
        <w:t xml:space="preserve">moderate </w:t>
      </w:r>
      <w:r w:rsidR="00262988" w:rsidRPr="003F2222">
        <w:rPr>
          <w:rFonts w:ascii="Arial" w:hAnsi="Arial" w:cs="Arial"/>
        </w:rPr>
        <w:t xml:space="preserve">for diameter between </w:t>
      </w:r>
      <w:r w:rsidRPr="003F2222">
        <w:rPr>
          <w:rFonts w:ascii="Arial" w:hAnsi="Arial" w:cs="Arial"/>
        </w:rPr>
        <w:t>3</w:t>
      </w:r>
      <w:r w:rsidR="00262988" w:rsidRPr="003F2222">
        <w:rPr>
          <w:rFonts w:ascii="Arial" w:hAnsi="Arial" w:cs="Arial"/>
        </w:rPr>
        <w:t xml:space="preserve"> and </w:t>
      </w:r>
      <w:r w:rsidRPr="003F2222">
        <w:rPr>
          <w:rFonts w:ascii="Arial" w:hAnsi="Arial" w:cs="Arial"/>
        </w:rPr>
        <w:t xml:space="preserve">6 mm, or strong </w:t>
      </w:r>
      <w:r w:rsidR="00D811E6" w:rsidRPr="003F2222">
        <w:rPr>
          <w:rFonts w:ascii="Arial" w:hAnsi="Arial" w:cs="Arial"/>
        </w:rPr>
        <w:t>for diameter greater than 6 mm</w:t>
      </w:r>
      <w:r w:rsidRPr="003F2222">
        <w:rPr>
          <w:rFonts w:ascii="Arial" w:hAnsi="Arial" w:cs="Arial"/>
        </w:rPr>
        <w:t xml:space="preserve"> according to Bahri (2014).</w:t>
      </w:r>
      <w:r w:rsidR="000B112D" w:rsidRPr="003F2222">
        <w:rPr>
          <w:rFonts w:ascii="Arial" w:hAnsi="Arial" w:cs="Arial"/>
        </w:rPr>
        <w:t xml:space="preserve"> </w:t>
      </w:r>
    </w:p>
    <w:p w14:paraId="09E77F27" w14:textId="77777777" w:rsidR="00940085" w:rsidRPr="00FD4DF8" w:rsidRDefault="00940085" w:rsidP="00FD4DF8">
      <w:pPr>
        <w:jc w:val="both"/>
        <w:rPr>
          <w:rFonts w:ascii="Arial" w:hAnsi="Arial" w:cs="Arial"/>
          <w:sz w:val="22"/>
          <w:szCs w:val="22"/>
        </w:rPr>
      </w:pPr>
    </w:p>
    <w:p w14:paraId="70152097" w14:textId="5D319AF5" w:rsidR="00B2411C" w:rsidRPr="009F3BEC" w:rsidRDefault="000410F7" w:rsidP="00FD4DF8">
      <w:pPr>
        <w:jc w:val="both"/>
        <w:rPr>
          <w:rFonts w:ascii="Arial" w:hAnsi="Arial" w:cs="Arial"/>
          <w:b/>
          <w:bCs/>
        </w:rPr>
      </w:pPr>
      <w:r w:rsidRPr="009F3BEC">
        <w:rPr>
          <w:rFonts w:ascii="Arial" w:hAnsi="Arial" w:cs="Arial"/>
          <w:b/>
          <w:bCs/>
        </w:rPr>
        <w:t>2.4</w:t>
      </w:r>
      <w:r w:rsidR="007F5936" w:rsidRPr="009F3BEC">
        <w:rPr>
          <w:rFonts w:ascii="Arial" w:hAnsi="Arial" w:cs="Arial"/>
          <w:b/>
          <w:bCs/>
        </w:rPr>
        <w:t xml:space="preserve">.2. </w:t>
      </w:r>
      <w:r w:rsidR="00B2411C" w:rsidRPr="009F3BEC">
        <w:rPr>
          <w:rFonts w:ascii="Arial" w:hAnsi="Arial" w:cs="Arial"/>
          <w:b/>
          <w:bCs/>
        </w:rPr>
        <w:t>Acid tolerance</w:t>
      </w:r>
    </w:p>
    <w:p w14:paraId="7590216F" w14:textId="77777777" w:rsidR="00B2411C" w:rsidRPr="009F3BEC" w:rsidRDefault="00B2411C" w:rsidP="00FD4DF8">
      <w:pPr>
        <w:jc w:val="both"/>
        <w:rPr>
          <w:rFonts w:ascii="Arial" w:hAnsi="Arial" w:cs="Arial"/>
        </w:rPr>
      </w:pPr>
      <w:r w:rsidRPr="009F3BEC">
        <w:rPr>
          <w:rFonts w:ascii="Arial" w:hAnsi="Arial" w:cs="Arial"/>
        </w:rPr>
        <w:t xml:space="preserve">Acid tolerance of LAB isolates was evaluated as described by </w:t>
      </w:r>
      <w:r w:rsidRPr="00C96F9A">
        <w:rPr>
          <w:rFonts w:ascii="Arial" w:hAnsi="Arial" w:cs="Arial"/>
        </w:rPr>
        <w:t xml:space="preserve">Hydrominus </w:t>
      </w:r>
      <w:r w:rsidRPr="00C96F9A">
        <w:rPr>
          <w:rFonts w:ascii="Arial" w:hAnsi="Arial" w:cs="Arial"/>
          <w:i/>
          <w:iCs/>
        </w:rPr>
        <w:t>et al.</w:t>
      </w:r>
      <w:r w:rsidRPr="00C96F9A">
        <w:rPr>
          <w:rFonts w:ascii="Arial" w:hAnsi="Arial" w:cs="Arial"/>
        </w:rPr>
        <w:t xml:space="preserve"> (2000).</w:t>
      </w:r>
      <w:r w:rsidRPr="009F3BEC">
        <w:rPr>
          <w:rFonts w:ascii="Arial" w:hAnsi="Arial" w:cs="Arial"/>
        </w:rPr>
        <w:t xml:space="preserve"> MRS broths with different pH levels (3.5, 3, and 2.5) were prepared by gradually adding 100% acetic acid to MRS broth (initial pH 6.8). For each test, 20 µL of preculture was inoculated into 2 mL of MRS broth adjusted to the desired pH. Viability was determined at T0 (immediately after inoculation) and T1 (after 2 h of incubation at 37 °C). Cultures were serially diluted up to 10</w:t>
      </w:r>
      <w:r w:rsidRPr="009F3BEC">
        <w:rPr>
          <w:rFonts w:ascii="Cambria Math" w:hAnsi="Cambria Math" w:cs="Cambria Math"/>
        </w:rPr>
        <w:t>⁻</w:t>
      </w:r>
      <w:r w:rsidRPr="009F3BEC">
        <w:rPr>
          <w:rFonts w:ascii="Arial" w:hAnsi="Arial" w:cs="Arial"/>
        </w:rPr>
        <w:t xml:space="preserve">⁴ in physiological saline, and 100 µL of the last three dilutions were spread onto MRS agar plates. Plates were incubated at 37 °C for 48 h. Microbial counts were determined according </w:t>
      </w:r>
      <w:r w:rsidRPr="00C96F9A">
        <w:rPr>
          <w:rFonts w:ascii="Arial" w:hAnsi="Arial" w:cs="Arial"/>
        </w:rPr>
        <w:t>to ISO 7218 (2007),</w:t>
      </w:r>
      <w:r w:rsidRPr="009F3BEC">
        <w:rPr>
          <w:rFonts w:ascii="Arial" w:hAnsi="Arial" w:cs="Arial"/>
        </w:rPr>
        <w:t xml:space="preserve"> and survival rates were calculated.</w:t>
      </w:r>
    </w:p>
    <w:p w14:paraId="45643C80" w14:textId="77777777" w:rsidR="00357465" w:rsidRPr="009F3BEC" w:rsidRDefault="00357465" w:rsidP="00FD4DF8">
      <w:pPr>
        <w:jc w:val="both"/>
        <w:rPr>
          <w:rFonts w:ascii="Arial" w:hAnsi="Arial" w:cs="Arial"/>
        </w:rPr>
      </w:pPr>
    </w:p>
    <w:p w14:paraId="26AC4D17" w14:textId="4BEE5708" w:rsidR="00B2411C" w:rsidRPr="009F3BEC" w:rsidRDefault="007F5936" w:rsidP="00FD4DF8">
      <w:pPr>
        <w:jc w:val="both"/>
        <w:rPr>
          <w:rFonts w:ascii="Arial" w:hAnsi="Arial" w:cs="Arial"/>
          <w:b/>
          <w:bCs/>
        </w:rPr>
      </w:pPr>
      <w:r w:rsidRPr="009F3BEC">
        <w:rPr>
          <w:rFonts w:ascii="Arial" w:hAnsi="Arial" w:cs="Arial"/>
          <w:b/>
          <w:bCs/>
        </w:rPr>
        <w:t xml:space="preserve">2.4.3. </w:t>
      </w:r>
      <w:r w:rsidR="00B2411C" w:rsidRPr="009F3BEC">
        <w:rPr>
          <w:rFonts w:ascii="Arial" w:hAnsi="Arial" w:cs="Arial"/>
          <w:b/>
          <w:bCs/>
        </w:rPr>
        <w:t>Bile salt tolerance</w:t>
      </w:r>
    </w:p>
    <w:p w14:paraId="3B162952" w14:textId="77777777" w:rsidR="00B2411C" w:rsidRPr="009F3BEC" w:rsidRDefault="00B2411C" w:rsidP="00FD4DF8">
      <w:pPr>
        <w:jc w:val="both"/>
        <w:rPr>
          <w:rFonts w:ascii="Arial" w:hAnsi="Arial" w:cs="Arial"/>
        </w:rPr>
      </w:pPr>
      <w:r w:rsidRPr="009F3BEC">
        <w:rPr>
          <w:rFonts w:ascii="Arial" w:hAnsi="Arial" w:cs="Arial"/>
        </w:rPr>
        <w:t xml:space="preserve">Bile salt tolerance was assessed following the method of </w:t>
      </w:r>
      <w:r w:rsidRPr="00C96F9A">
        <w:rPr>
          <w:rFonts w:ascii="Arial" w:hAnsi="Arial" w:cs="Arial"/>
        </w:rPr>
        <w:t>Ourtirane (2005).</w:t>
      </w:r>
      <w:r w:rsidRPr="009F3BEC">
        <w:rPr>
          <w:rFonts w:ascii="Arial" w:hAnsi="Arial" w:cs="Arial"/>
        </w:rPr>
        <w:t xml:space="preserve"> Four milliliters of standard MRS broth were distributed into test tubes, and 20 µL of preculture was added. Inocula were prepared with MRS broth containing bile salts at 0.3%, 0.5%, and 0.8% (w/v). Four milliliters of each inoculum were dispensed into tubes, and 20 µL of preculture was added. Inoculated samples (0.1 mL) were surface spread on MRS agar. Controls were inoculated in the same way. All plates were incubated at 37 °C for 48 h, and survival rates were calculated as described by </w:t>
      </w:r>
      <w:r w:rsidRPr="00C96F9A">
        <w:rPr>
          <w:rFonts w:ascii="Arial" w:hAnsi="Arial" w:cs="Arial"/>
        </w:rPr>
        <w:t>Ourtirane (2005).</w:t>
      </w:r>
    </w:p>
    <w:p w14:paraId="78DD28E7" w14:textId="77777777" w:rsidR="00357465" w:rsidRPr="009F3BEC" w:rsidRDefault="00357465" w:rsidP="00FD4DF8">
      <w:pPr>
        <w:jc w:val="both"/>
        <w:rPr>
          <w:rFonts w:ascii="Arial" w:hAnsi="Arial" w:cs="Arial"/>
        </w:rPr>
      </w:pPr>
    </w:p>
    <w:p w14:paraId="5C3C10F2" w14:textId="32FF422A" w:rsidR="00B2411C" w:rsidRPr="009F3BEC" w:rsidRDefault="007F5936" w:rsidP="00FD4DF8">
      <w:pPr>
        <w:jc w:val="both"/>
        <w:rPr>
          <w:rFonts w:ascii="Arial" w:hAnsi="Arial" w:cs="Arial"/>
          <w:b/>
          <w:bCs/>
        </w:rPr>
      </w:pPr>
      <w:r w:rsidRPr="009F3BEC">
        <w:rPr>
          <w:rFonts w:ascii="Arial" w:hAnsi="Arial" w:cs="Arial"/>
          <w:b/>
          <w:bCs/>
        </w:rPr>
        <w:t xml:space="preserve">2.4.4. </w:t>
      </w:r>
      <w:r w:rsidR="00B2411C" w:rsidRPr="009F3BEC">
        <w:rPr>
          <w:rFonts w:ascii="Arial" w:hAnsi="Arial" w:cs="Arial"/>
          <w:b/>
          <w:bCs/>
        </w:rPr>
        <w:t>Hydrophobicity (adhesion test)</w:t>
      </w:r>
    </w:p>
    <w:p w14:paraId="0762EBCF" w14:textId="77777777" w:rsidR="00B2411C" w:rsidRPr="009F3BEC" w:rsidRDefault="00B2411C" w:rsidP="00FD4DF8">
      <w:pPr>
        <w:jc w:val="both"/>
        <w:rPr>
          <w:rFonts w:ascii="Arial" w:hAnsi="Arial" w:cs="Arial"/>
        </w:rPr>
      </w:pPr>
      <w:r w:rsidRPr="009F3BEC">
        <w:rPr>
          <w:rFonts w:ascii="Arial" w:hAnsi="Arial" w:cs="Arial"/>
        </w:rPr>
        <w:t xml:space="preserve">Cell surface hydrophobicity was assessed according to </w:t>
      </w:r>
      <w:r w:rsidRPr="00C96F9A">
        <w:rPr>
          <w:rFonts w:ascii="Arial" w:hAnsi="Arial" w:cs="Arial"/>
        </w:rPr>
        <w:t xml:space="preserve">Draksler </w:t>
      </w:r>
      <w:r w:rsidRPr="00C96F9A">
        <w:rPr>
          <w:rFonts w:ascii="Arial" w:hAnsi="Arial" w:cs="Arial"/>
          <w:i/>
          <w:iCs/>
        </w:rPr>
        <w:t xml:space="preserve">et al. </w:t>
      </w:r>
      <w:r w:rsidRPr="00C96F9A">
        <w:rPr>
          <w:rFonts w:ascii="Arial" w:hAnsi="Arial" w:cs="Arial"/>
        </w:rPr>
        <w:t>(2004).</w:t>
      </w:r>
      <w:r w:rsidRPr="009F3BEC">
        <w:rPr>
          <w:rFonts w:ascii="Arial" w:hAnsi="Arial" w:cs="Arial"/>
        </w:rPr>
        <w:t xml:space="preserve"> After 18 h of growth, isolates were washed twice and resuspended in saline, and OD was adjusted to 0.5–0.7 at 600 nm. One milliliter of toluene was added to 3 mL of bacterial suspension, vortexed for 90 s, and allowed to separate for 15 min. The OD of the aqueous phase was measured, and hydrophobicity was expressed as the percentage decrease compared to the initial suspension.</w:t>
      </w:r>
    </w:p>
    <w:p w14:paraId="0D918C88" w14:textId="77777777" w:rsidR="00357465" w:rsidRPr="009F3BEC" w:rsidRDefault="00357465" w:rsidP="00FD4DF8">
      <w:pPr>
        <w:jc w:val="both"/>
        <w:rPr>
          <w:rFonts w:ascii="Arial" w:hAnsi="Arial" w:cs="Arial"/>
        </w:rPr>
      </w:pPr>
    </w:p>
    <w:p w14:paraId="20E0F541" w14:textId="44B2F197" w:rsidR="00B2411C" w:rsidRPr="009F3BEC" w:rsidRDefault="007F5936" w:rsidP="00FD4DF8">
      <w:pPr>
        <w:jc w:val="both"/>
        <w:rPr>
          <w:rFonts w:ascii="Arial" w:hAnsi="Arial" w:cs="Arial"/>
          <w:b/>
          <w:bCs/>
        </w:rPr>
      </w:pPr>
      <w:r w:rsidRPr="009F3BEC">
        <w:rPr>
          <w:rFonts w:ascii="Arial" w:hAnsi="Arial" w:cs="Arial"/>
          <w:b/>
          <w:bCs/>
        </w:rPr>
        <w:t xml:space="preserve">2.4.5. </w:t>
      </w:r>
      <w:r w:rsidR="00B2411C" w:rsidRPr="009F3BEC">
        <w:rPr>
          <w:rFonts w:ascii="Arial" w:hAnsi="Arial" w:cs="Arial"/>
          <w:b/>
          <w:bCs/>
        </w:rPr>
        <w:t>Acidification capacity</w:t>
      </w:r>
    </w:p>
    <w:p w14:paraId="712D832C" w14:textId="77777777" w:rsidR="00B2411C" w:rsidRPr="009F3BEC" w:rsidRDefault="00B2411C" w:rsidP="00FD4DF8">
      <w:pPr>
        <w:jc w:val="both"/>
        <w:rPr>
          <w:rFonts w:ascii="Arial" w:hAnsi="Arial" w:cs="Arial"/>
        </w:rPr>
      </w:pPr>
      <w:r w:rsidRPr="009F3BEC">
        <w:rPr>
          <w:rFonts w:ascii="Arial" w:hAnsi="Arial" w:cs="Arial"/>
        </w:rPr>
        <w:t xml:space="preserve">Acidification capacity was determined by monitoring pH changes after 24 h and 48 h of incubation. Titratable acidity was measured by titration with 0.1 N NaOH using phenolphthalein as an indicator, and calculated as described in </w:t>
      </w:r>
      <w:r w:rsidRPr="00F0649B">
        <w:rPr>
          <w:rFonts w:ascii="Arial" w:hAnsi="Arial" w:cs="Arial"/>
        </w:rPr>
        <w:t>AOAC (1990).</w:t>
      </w:r>
    </w:p>
    <w:p w14:paraId="6F777824" w14:textId="77777777" w:rsidR="00357465" w:rsidRPr="009F3BEC" w:rsidRDefault="00357465" w:rsidP="00FD4DF8">
      <w:pPr>
        <w:jc w:val="both"/>
        <w:rPr>
          <w:rFonts w:ascii="Arial" w:hAnsi="Arial" w:cs="Arial"/>
        </w:rPr>
      </w:pPr>
    </w:p>
    <w:p w14:paraId="7A0E108A" w14:textId="7CBADD57" w:rsidR="00B2411C" w:rsidRPr="009F3BEC" w:rsidRDefault="00967361" w:rsidP="00FD4DF8">
      <w:pPr>
        <w:jc w:val="both"/>
        <w:rPr>
          <w:rFonts w:ascii="Arial" w:hAnsi="Arial" w:cs="Arial"/>
          <w:b/>
          <w:bCs/>
        </w:rPr>
      </w:pPr>
      <w:r w:rsidRPr="009F3BEC">
        <w:rPr>
          <w:rFonts w:ascii="Arial" w:hAnsi="Arial" w:cs="Arial"/>
          <w:b/>
          <w:bCs/>
        </w:rPr>
        <w:t xml:space="preserve">2.4.6. </w:t>
      </w:r>
      <w:r w:rsidR="00B2411C" w:rsidRPr="009F3BEC">
        <w:rPr>
          <w:rFonts w:ascii="Arial" w:hAnsi="Arial" w:cs="Arial"/>
          <w:b/>
          <w:bCs/>
        </w:rPr>
        <w:t>Proteolytic activity</w:t>
      </w:r>
    </w:p>
    <w:p w14:paraId="089D6B28" w14:textId="77777777" w:rsidR="00B2411C" w:rsidRPr="00C96F9A" w:rsidRDefault="00B2411C" w:rsidP="00FD4DF8">
      <w:pPr>
        <w:jc w:val="both"/>
        <w:rPr>
          <w:rFonts w:ascii="Arial" w:hAnsi="Arial" w:cs="Arial"/>
        </w:rPr>
      </w:pPr>
      <w:r w:rsidRPr="009F3BEC">
        <w:rPr>
          <w:rFonts w:ascii="Arial" w:hAnsi="Arial" w:cs="Arial"/>
        </w:rPr>
        <w:t>Proteolytic activity was determined using MRS agar supplemented with 10% skimmed milk. Sterile Whatman paper discs were placed on the agar surface and inoculated with 20 µL of fresh LAB culture. After incubation at 37 °C for 24 h, proteolysis was observed as clear halos around the discs</w:t>
      </w:r>
      <w:r w:rsidRPr="00F0649B">
        <w:rPr>
          <w:rFonts w:ascii="Arial" w:hAnsi="Arial" w:cs="Arial"/>
          <w:b/>
          <w:bCs/>
        </w:rPr>
        <w:t xml:space="preserve"> </w:t>
      </w:r>
      <w:r w:rsidRPr="00C96F9A">
        <w:rPr>
          <w:rFonts w:ascii="Arial" w:hAnsi="Arial" w:cs="Arial"/>
        </w:rPr>
        <w:t>(Veuillemard, 1986).</w:t>
      </w:r>
    </w:p>
    <w:p w14:paraId="6A26FBFA" w14:textId="77777777" w:rsidR="00357465" w:rsidRPr="009F3BEC" w:rsidRDefault="00357465" w:rsidP="00FD4DF8">
      <w:pPr>
        <w:jc w:val="both"/>
        <w:rPr>
          <w:rFonts w:ascii="Arial" w:hAnsi="Arial" w:cs="Arial"/>
        </w:rPr>
      </w:pPr>
    </w:p>
    <w:p w14:paraId="1A249C19" w14:textId="70C88494" w:rsidR="00B2411C" w:rsidRPr="009F3BEC" w:rsidRDefault="009F3BEC" w:rsidP="00FD4DF8">
      <w:pPr>
        <w:jc w:val="both"/>
        <w:rPr>
          <w:rFonts w:ascii="Arial" w:hAnsi="Arial" w:cs="Arial"/>
          <w:b/>
          <w:bCs/>
        </w:rPr>
      </w:pPr>
      <w:r w:rsidRPr="009F3BEC">
        <w:rPr>
          <w:rFonts w:ascii="Arial" w:hAnsi="Arial" w:cs="Arial"/>
          <w:b/>
          <w:bCs/>
        </w:rPr>
        <w:t>2.4.</w:t>
      </w:r>
      <w:r>
        <w:rPr>
          <w:rFonts w:ascii="Arial" w:hAnsi="Arial" w:cs="Arial"/>
          <w:b/>
          <w:bCs/>
        </w:rPr>
        <w:t>7</w:t>
      </w:r>
      <w:r w:rsidRPr="009F3BEC">
        <w:rPr>
          <w:rFonts w:ascii="Arial" w:hAnsi="Arial" w:cs="Arial"/>
          <w:b/>
          <w:bCs/>
        </w:rPr>
        <w:t xml:space="preserve">. </w:t>
      </w:r>
      <w:r w:rsidR="00B2411C" w:rsidRPr="009F3BEC">
        <w:rPr>
          <w:rFonts w:ascii="Arial" w:hAnsi="Arial" w:cs="Arial"/>
          <w:b/>
          <w:bCs/>
        </w:rPr>
        <w:t>Lipolytic activity</w:t>
      </w:r>
    </w:p>
    <w:p w14:paraId="09853843" w14:textId="77777777" w:rsidR="00B2411C" w:rsidRPr="00F0649B" w:rsidRDefault="00B2411C" w:rsidP="00FD4DF8">
      <w:pPr>
        <w:jc w:val="both"/>
        <w:rPr>
          <w:rFonts w:ascii="Arial" w:hAnsi="Arial" w:cs="Arial"/>
        </w:rPr>
      </w:pPr>
      <w:r w:rsidRPr="009F3BEC">
        <w:rPr>
          <w:rFonts w:ascii="Arial" w:hAnsi="Arial" w:cs="Arial"/>
        </w:rPr>
        <w:t xml:space="preserve">Lipolytic activity was assessed on modified MRS agar supplemented with 1% palm oil </w:t>
      </w:r>
      <w:r w:rsidRPr="009F3BEC">
        <w:rPr>
          <w:rFonts w:ascii="Arial" w:hAnsi="Arial" w:cs="Arial"/>
          <w:b/>
          <w:bCs/>
        </w:rPr>
        <w:t>(</w:t>
      </w:r>
      <w:r w:rsidRPr="00F0649B">
        <w:rPr>
          <w:rFonts w:ascii="Arial" w:hAnsi="Arial" w:cs="Arial"/>
        </w:rPr>
        <w:t xml:space="preserve">Karam </w:t>
      </w:r>
      <w:r w:rsidRPr="00F0649B">
        <w:rPr>
          <w:rFonts w:ascii="Arial" w:hAnsi="Arial" w:cs="Arial"/>
          <w:i/>
          <w:iCs/>
        </w:rPr>
        <w:t>et al.,</w:t>
      </w:r>
      <w:r w:rsidRPr="00F0649B">
        <w:rPr>
          <w:rFonts w:ascii="Arial" w:hAnsi="Arial" w:cs="Arial"/>
        </w:rPr>
        <w:t xml:space="preserve"> 2012). The medium was poured into Petri dishes and allowed to solidify. Wells (6 mm diameter, 3 mm depth) were made aseptically, and 20 µL of LAB inoculum was added to each well. After 48 h incubation at 37 °C, the appearance of opaque zones around wells, due to precipitation of free fatty acids, indicated positive lipolytic activity (Guiraud, 2003).</w:t>
      </w:r>
    </w:p>
    <w:p w14:paraId="31F17A7A" w14:textId="77777777" w:rsidR="00790ADA" w:rsidRPr="009F3BEC" w:rsidRDefault="00790ADA" w:rsidP="00FD4DF8">
      <w:pPr>
        <w:pStyle w:val="Body"/>
        <w:spacing w:after="0"/>
        <w:rPr>
          <w:rFonts w:ascii="Arial" w:hAnsi="Arial" w:cs="Arial"/>
        </w:rPr>
      </w:pPr>
    </w:p>
    <w:p w14:paraId="39FE1AC4" w14:textId="327BC3A0" w:rsidR="003567E5" w:rsidRPr="00FD4DF8" w:rsidRDefault="00000F8F" w:rsidP="00FD4DF8">
      <w:pPr>
        <w:pStyle w:val="Head1"/>
        <w:spacing w:after="0"/>
        <w:jc w:val="both"/>
        <w:rPr>
          <w:rFonts w:ascii="Arial" w:hAnsi="Arial" w:cs="Arial"/>
          <w:szCs w:val="22"/>
        </w:rPr>
      </w:pPr>
      <w:r w:rsidRPr="00FD4DF8">
        <w:rPr>
          <w:rFonts w:ascii="Arial" w:hAnsi="Arial" w:cs="Arial"/>
          <w:szCs w:val="22"/>
        </w:rPr>
        <w:t>3</w:t>
      </w:r>
      <w:r w:rsidR="00902823" w:rsidRPr="00FD4DF8">
        <w:rPr>
          <w:rFonts w:ascii="Arial" w:hAnsi="Arial" w:cs="Arial"/>
          <w:szCs w:val="22"/>
        </w:rPr>
        <w:t xml:space="preserve">. </w:t>
      </w:r>
      <w:r w:rsidRPr="00FD4DF8">
        <w:rPr>
          <w:rFonts w:ascii="Arial" w:hAnsi="Arial" w:cs="Arial"/>
          <w:szCs w:val="22"/>
        </w:rPr>
        <w:t xml:space="preserve">results </w:t>
      </w:r>
      <w:r w:rsidR="00B13922">
        <w:rPr>
          <w:rFonts w:ascii="Arial" w:hAnsi="Arial" w:cs="Arial"/>
          <w:szCs w:val="22"/>
        </w:rPr>
        <w:t xml:space="preserve">AND </w:t>
      </w:r>
      <w:r w:rsidR="00B13922" w:rsidRPr="00B13922">
        <w:rPr>
          <w:rFonts w:ascii="Arial" w:hAnsi="Arial" w:cs="Arial"/>
          <w:szCs w:val="22"/>
        </w:rPr>
        <w:t>DISCUSSION</w:t>
      </w:r>
    </w:p>
    <w:p w14:paraId="331436A9" w14:textId="2B4A4420" w:rsidR="00750263" w:rsidRPr="00FD4DF8" w:rsidRDefault="00BA00E3" w:rsidP="002723F9">
      <w:pPr>
        <w:pStyle w:val="Head1"/>
        <w:spacing w:after="0"/>
        <w:jc w:val="both"/>
        <w:rPr>
          <w:rFonts w:ascii="Arial" w:hAnsi="Arial" w:cs="Arial"/>
          <w:b w:val="0"/>
          <w:bCs/>
          <w:szCs w:val="22"/>
        </w:rPr>
      </w:pPr>
      <w:r w:rsidRPr="00FD4DF8">
        <w:rPr>
          <w:rFonts w:ascii="Arial" w:hAnsi="Arial" w:cs="Arial"/>
          <w:szCs w:val="22"/>
        </w:rPr>
        <w:t xml:space="preserve">3.1. </w:t>
      </w:r>
      <w:r w:rsidR="007B2FCC" w:rsidRPr="007B2FCC">
        <w:rPr>
          <w:szCs w:val="22"/>
        </w:rPr>
        <w:t>A</w:t>
      </w:r>
      <w:r w:rsidR="007B2FCC" w:rsidRPr="007B2FCC">
        <w:rPr>
          <w:caps w:val="0"/>
          <w:szCs w:val="22"/>
        </w:rPr>
        <w:t>ntimicrobial activity</w:t>
      </w:r>
      <w:r w:rsidR="007B2FCC" w:rsidRPr="007B2FCC">
        <w:rPr>
          <w:rFonts w:ascii="Arial" w:hAnsi="Arial" w:cs="Arial"/>
          <w:caps w:val="0"/>
          <w:szCs w:val="22"/>
        </w:rPr>
        <w:t xml:space="preserve"> of </w:t>
      </w:r>
      <w:r w:rsidR="003567E5">
        <w:rPr>
          <w:rFonts w:ascii="Arial" w:hAnsi="Arial" w:cs="Arial"/>
          <w:bCs/>
          <w:szCs w:val="22"/>
        </w:rPr>
        <w:t>L</w:t>
      </w:r>
      <w:r w:rsidR="00A066DB">
        <w:rPr>
          <w:rFonts w:ascii="Arial" w:hAnsi="Arial" w:cs="Arial"/>
          <w:bCs/>
          <w:caps w:val="0"/>
          <w:szCs w:val="22"/>
        </w:rPr>
        <w:t>actic acid bacteria isolate</w:t>
      </w:r>
      <w:r w:rsidR="007B2FCC">
        <w:rPr>
          <w:rFonts w:ascii="Arial" w:hAnsi="Arial" w:cs="Arial"/>
          <w:bCs/>
          <w:caps w:val="0"/>
          <w:szCs w:val="22"/>
        </w:rPr>
        <w:t>s</w:t>
      </w:r>
      <w:r w:rsidR="00A066DB">
        <w:rPr>
          <w:rFonts w:ascii="Arial" w:hAnsi="Arial" w:cs="Arial"/>
          <w:bCs/>
          <w:caps w:val="0"/>
          <w:szCs w:val="22"/>
        </w:rPr>
        <w:t xml:space="preserve"> </w:t>
      </w:r>
    </w:p>
    <w:p w14:paraId="34AB6F17" w14:textId="4EA4527E" w:rsidR="003567E5" w:rsidRPr="00AE1A49" w:rsidRDefault="00803B0A" w:rsidP="00C2219B">
      <w:pPr>
        <w:pStyle w:val="Heading3"/>
        <w:spacing w:before="0"/>
        <w:jc w:val="both"/>
        <w:rPr>
          <w:rFonts w:ascii="Arial" w:eastAsia="Times New Roman" w:hAnsi="Arial" w:cs="Arial"/>
          <w:color w:val="auto"/>
          <w:sz w:val="20"/>
          <w:szCs w:val="20"/>
        </w:rPr>
      </w:pPr>
      <w:r w:rsidRPr="00AE1A49">
        <w:rPr>
          <w:rFonts w:ascii="Arial" w:eastAsia="Times New Roman" w:hAnsi="Arial" w:cs="Arial"/>
          <w:color w:val="auto"/>
          <w:sz w:val="20"/>
          <w:szCs w:val="20"/>
        </w:rPr>
        <w:t>A total of 84 isolates were identified as lactic acid bacteria (LAB). Among these, 47 originated from broiler chickens, 14 from traditionally raised chickens, 14 from Bandji, and 9 from Tchapalo with bacterial load ranged from 7.52 × 10⁹ to 9.22 × 10⁹ CFU/mL. Microscopic observation showed Gram-positive cocci and bacilli colonies, all negative for catalase and oxidase tests. Of the 84 isolates, 21 (25.0%) were bacilli and 63 (75.0%) were cocci. Among these 84 isolates, 28 (33.33%) were heterofermentative and 56 (66.67%) homofermentative.</w:t>
      </w:r>
    </w:p>
    <w:p w14:paraId="3787F9E1" w14:textId="7EECD1A4" w:rsidR="00D9342B"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All 84 isolates were tested against multidrug-resistant </w:t>
      </w:r>
      <w:r w:rsidRPr="00AE1A49">
        <w:rPr>
          <w:rStyle w:val="Emphasis"/>
          <w:rFonts w:ascii="Arial" w:hAnsi="Arial" w:cs="Arial"/>
          <w:sz w:val="20"/>
          <w:szCs w:val="20"/>
        </w:rPr>
        <w:t>Salmonella sp.</w:t>
      </w:r>
      <w:r w:rsidRPr="00AE1A49">
        <w:rPr>
          <w:rFonts w:ascii="Arial" w:hAnsi="Arial" w:cs="Arial"/>
          <w:sz w:val="20"/>
          <w:szCs w:val="20"/>
        </w:rPr>
        <w:t xml:space="preserve">, sensitive </w:t>
      </w:r>
      <w:r w:rsidRPr="00AE1A49">
        <w:rPr>
          <w:rStyle w:val="Emphasis"/>
          <w:rFonts w:ascii="Arial" w:hAnsi="Arial" w:cs="Arial"/>
          <w:sz w:val="20"/>
          <w:szCs w:val="20"/>
        </w:rPr>
        <w:t>E. coli</w:t>
      </w:r>
      <w:r w:rsidRPr="00AE1A49">
        <w:rPr>
          <w:rFonts w:ascii="Arial" w:hAnsi="Arial" w:cs="Arial"/>
          <w:sz w:val="20"/>
          <w:szCs w:val="20"/>
        </w:rPr>
        <w:t xml:space="preserve">, ESBL-producing </w:t>
      </w:r>
      <w:r w:rsidRPr="00AE1A49">
        <w:rPr>
          <w:rStyle w:val="Emphasis"/>
          <w:rFonts w:ascii="Arial" w:hAnsi="Arial" w:cs="Arial"/>
          <w:sz w:val="20"/>
          <w:szCs w:val="20"/>
        </w:rPr>
        <w:t>E. coli</w:t>
      </w:r>
      <w:r w:rsidRPr="00AE1A49">
        <w:rPr>
          <w:rFonts w:ascii="Arial" w:hAnsi="Arial" w:cs="Arial"/>
          <w:sz w:val="20"/>
          <w:szCs w:val="20"/>
        </w:rPr>
        <w:t>, and methicillin-</w:t>
      </w:r>
      <w:r w:rsidR="00B96C3E" w:rsidRPr="00AE1A49">
        <w:rPr>
          <w:rFonts w:ascii="Arial" w:hAnsi="Arial" w:cs="Arial"/>
          <w:sz w:val="20"/>
          <w:szCs w:val="20"/>
        </w:rPr>
        <w:t>resistant S</w:t>
      </w:r>
      <w:r w:rsidRPr="00AE1A49">
        <w:rPr>
          <w:rStyle w:val="Emphasis"/>
          <w:rFonts w:ascii="Arial" w:hAnsi="Arial" w:cs="Arial"/>
          <w:sz w:val="20"/>
          <w:szCs w:val="20"/>
        </w:rPr>
        <w:t>. aureus</w:t>
      </w:r>
      <w:r w:rsidRPr="00AE1A49">
        <w:rPr>
          <w:rFonts w:ascii="Arial" w:hAnsi="Arial" w:cs="Arial"/>
          <w:sz w:val="20"/>
          <w:szCs w:val="20"/>
        </w:rPr>
        <w:t>.</w:t>
      </w:r>
      <w:r w:rsidR="00C2219B" w:rsidRPr="00AE1A49">
        <w:rPr>
          <w:rFonts w:ascii="Arial" w:hAnsi="Arial" w:cs="Arial"/>
          <w:sz w:val="20"/>
          <w:szCs w:val="20"/>
        </w:rPr>
        <w:t xml:space="preserve"> </w:t>
      </w:r>
    </w:p>
    <w:p w14:paraId="5A881DEC" w14:textId="64A1FE96" w:rsidR="00703475" w:rsidRPr="00AE1A49" w:rsidRDefault="00533109"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Of the 84 BL strains tested, 47 showed a strong effect on all three potential pathogens and on the reference strain, with inhibition diameters ranging from 6 to 35 mm. Of these 47 BL isolates, the majority (34) </w:t>
      </w:r>
      <w:r w:rsidR="00403E7E" w:rsidRPr="00AE1A49">
        <w:rPr>
          <w:rFonts w:ascii="Arial" w:hAnsi="Arial" w:cs="Arial"/>
          <w:sz w:val="20"/>
          <w:szCs w:val="20"/>
        </w:rPr>
        <w:t>were isolated</w:t>
      </w:r>
      <w:r w:rsidRPr="00AE1A49">
        <w:rPr>
          <w:rFonts w:ascii="Arial" w:hAnsi="Arial" w:cs="Arial"/>
          <w:sz w:val="20"/>
          <w:szCs w:val="20"/>
        </w:rPr>
        <w:t xml:space="preserve"> from industrially farmed chickens (Table</w:t>
      </w:r>
      <w:r w:rsidR="00746019" w:rsidRPr="00AE1A49">
        <w:rPr>
          <w:rFonts w:ascii="Arial" w:hAnsi="Arial" w:cs="Arial"/>
          <w:sz w:val="20"/>
          <w:szCs w:val="20"/>
        </w:rPr>
        <w:t xml:space="preserve"> </w:t>
      </w:r>
      <w:r w:rsidR="00E45A93" w:rsidRPr="00AE1A49">
        <w:rPr>
          <w:rFonts w:ascii="Arial" w:hAnsi="Arial" w:cs="Arial"/>
          <w:sz w:val="20"/>
          <w:szCs w:val="20"/>
        </w:rPr>
        <w:t>1</w:t>
      </w:r>
      <w:r w:rsidRPr="00AE1A49">
        <w:rPr>
          <w:rFonts w:ascii="Arial" w:hAnsi="Arial" w:cs="Arial"/>
          <w:sz w:val="20"/>
          <w:szCs w:val="20"/>
        </w:rPr>
        <w:t xml:space="preserve">). Furthermore, the two E. coli strains tested were sensitive to the </w:t>
      </w:r>
      <w:r w:rsidR="00403E7E" w:rsidRPr="00AE1A49">
        <w:rPr>
          <w:rFonts w:ascii="Arial" w:hAnsi="Arial" w:cs="Arial"/>
          <w:sz w:val="20"/>
          <w:szCs w:val="20"/>
        </w:rPr>
        <w:t xml:space="preserve">antibacterial </w:t>
      </w:r>
      <w:r w:rsidR="00703475" w:rsidRPr="00AE1A49">
        <w:rPr>
          <w:rFonts w:ascii="Arial" w:hAnsi="Arial" w:cs="Arial"/>
          <w:sz w:val="20"/>
          <w:szCs w:val="20"/>
        </w:rPr>
        <w:t>effect</w:t>
      </w:r>
      <w:r w:rsidRPr="00AE1A49">
        <w:rPr>
          <w:rFonts w:ascii="Arial" w:hAnsi="Arial" w:cs="Arial"/>
          <w:sz w:val="20"/>
          <w:szCs w:val="20"/>
        </w:rPr>
        <w:t xml:space="preserve"> of all LAB isolated from </w:t>
      </w:r>
      <w:r w:rsidR="00703475" w:rsidRPr="00AE1A49">
        <w:rPr>
          <w:rFonts w:ascii="Arial" w:hAnsi="Arial" w:cs="Arial"/>
          <w:sz w:val="20"/>
          <w:szCs w:val="20"/>
        </w:rPr>
        <w:t xml:space="preserve">industrially farmed </w:t>
      </w:r>
      <w:r w:rsidRPr="00AE1A49">
        <w:rPr>
          <w:rFonts w:ascii="Arial" w:hAnsi="Arial" w:cs="Arial"/>
          <w:sz w:val="20"/>
          <w:szCs w:val="20"/>
        </w:rPr>
        <w:t xml:space="preserve">chickens, with inhibition diameters ranging from 7 to 35 mm. In contrast, the Bandji isolates had a strong effect on methicillin-resistant S. aureus strains. Finally, among the 84 isolates tested, two from Tchapalo showed no effect on the four potential pathogenic strains targeted. </w:t>
      </w:r>
    </w:p>
    <w:p w14:paraId="0F58DC97" w14:textId="1C70F526" w:rsidR="00750263"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Against </w:t>
      </w:r>
      <w:r w:rsidRPr="00AE1A49">
        <w:rPr>
          <w:rStyle w:val="Emphasis"/>
          <w:rFonts w:ascii="Arial" w:hAnsi="Arial" w:cs="Arial"/>
          <w:sz w:val="20"/>
          <w:szCs w:val="20"/>
        </w:rPr>
        <w:t>Salmonella sp.</w:t>
      </w:r>
      <w:r w:rsidRPr="00AE1A49">
        <w:rPr>
          <w:rFonts w:ascii="Arial" w:hAnsi="Arial" w:cs="Arial"/>
          <w:sz w:val="20"/>
          <w:szCs w:val="20"/>
        </w:rPr>
        <w:t>, inhibition zones ranged from 0 to 21 mm. Most isolates (94.05%) showed strong inhibition (&gt;6 mm), while 4.76% exhibited weak inhibition (0–3 mm) and one isolate (1.19%) showed moderate inhibition (4–6 mm).</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S. aureus</w:t>
      </w:r>
      <w:r w:rsidRPr="00AE1A49">
        <w:rPr>
          <w:rFonts w:ascii="Arial" w:hAnsi="Arial" w:cs="Arial"/>
          <w:sz w:val="20"/>
          <w:szCs w:val="20"/>
        </w:rPr>
        <w:t>, inhibition zones ranged from 0 to 27 mm. Strong inhibition was observed in 75.0% of isolates, with 23.81% and 1.19% showing weak and moderate inhibition, respectively.</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E. coli</w:t>
      </w:r>
      <w:r w:rsidRPr="00AE1A49">
        <w:rPr>
          <w:rFonts w:ascii="Arial" w:hAnsi="Arial" w:cs="Arial"/>
          <w:sz w:val="20"/>
          <w:szCs w:val="20"/>
        </w:rPr>
        <w:t xml:space="preserve"> ATCC, inhibition zones ranged from 0 to 3</w:t>
      </w:r>
      <w:r w:rsidR="00482115" w:rsidRPr="00AE1A49">
        <w:rPr>
          <w:rFonts w:ascii="Arial" w:hAnsi="Arial" w:cs="Arial"/>
          <w:sz w:val="20"/>
          <w:szCs w:val="20"/>
        </w:rPr>
        <w:t>5</w:t>
      </w:r>
      <w:r w:rsidRPr="00AE1A49">
        <w:rPr>
          <w:rFonts w:ascii="Arial" w:hAnsi="Arial" w:cs="Arial"/>
          <w:sz w:val="20"/>
          <w:szCs w:val="20"/>
        </w:rPr>
        <w:t xml:space="preserve"> mm, with 94.05% of isolates showing strong inhibition, 1.19% moderate, and 4.76% weak.</w:t>
      </w:r>
      <w:r w:rsidR="00516563" w:rsidRPr="00AE1A49">
        <w:rPr>
          <w:rFonts w:ascii="Arial" w:hAnsi="Arial" w:cs="Arial"/>
          <w:sz w:val="20"/>
          <w:szCs w:val="20"/>
        </w:rPr>
        <w:t xml:space="preserve"> </w:t>
      </w:r>
      <w:r w:rsidRPr="00AE1A49">
        <w:rPr>
          <w:rFonts w:ascii="Arial" w:hAnsi="Arial" w:cs="Arial"/>
          <w:sz w:val="20"/>
          <w:szCs w:val="20"/>
        </w:rPr>
        <w:t xml:space="preserve">For ESBL </w:t>
      </w:r>
      <w:r w:rsidRPr="00AE1A49">
        <w:rPr>
          <w:rStyle w:val="Emphasis"/>
          <w:rFonts w:ascii="Arial" w:hAnsi="Arial" w:cs="Arial"/>
          <w:sz w:val="20"/>
          <w:szCs w:val="20"/>
        </w:rPr>
        <w:t>E. coli</w:t>
      </w:r>
      <w:r w:rsidRPr="00AE1A49">
        <w:rPr>
          <w:rFonts w:ascii="Arial" w:hAnsi="Arial" w:cs="Arial"/>
          <w:sz w:val="20"/>
          <w:szCs w:val="20"/>
        </w:rPr>
        <w:t>, inhibition ranged from 0 to 30 mm, with 75.0% strong, 2.38% moderate, and 22.62% weak.</w:t>
      </w:r>
      <w:r w:rsidR="00516563" w:rsidRPr="00AE1A49">
        <w:rPr>
          <w:rFonts w:ascii="Arial" w:hAnsi="Arial" w:cs="Arial"/>
          <w:sz w:val="20"/>
          <w:szCs w:val="20"/>
        </w:rPr>
        <w:t xml:space="preserve"> </w:t>
      </w:r>
      <w:r w:rsidRPr="00AE1A49">
        <w:rPr>
          <w:rFonts w:ascii="Arial" w:hAnsi="Arial" w:cs="Arial"/>
          <w:sz w:val="20"/>
          <w:szCs w:val="20"/>
        </w:rPr>
        <w:t xml:space="preserve">Based on these results, </w:t>
      </w:r>
      <w:r w:rsidR="00903959" w:rsidRPr="00AE1A49">
        <w:rPr>
          <w:rFonts w:ascii="Arial" w:hAnsi="Arial" w:cs="Arial"/>
          <w:sz w:val="20"/>
          <w:szCs w:val="20"/>
        </w:rPr>
        <w:t xml:space="preserve">the </w:t>
      </w:r>
      <w:r w:rsidRPr="00AE1A49">
        <w:rPr>
          <w:rFonts w:ascii="Arial" w:hAnsi="Arial" w:cs="Arial"/>
          <w:sz w:val="20"/>
          <w:szCs w:val="20"/>
        </w:rPr>
        <w:t>47 isolates showing inhibition ≥ 6 mm against all pathogens were selected for further testing.</w:t>
      </w:r>
    </w:p>
    <w:p w14:paraId="5F134546" w14:textId="77777777" w:rsidR="00750263" w:rsidRDefault="00750263" w:rsidP="00FD4DF8">
      <w:pPr>
        <w:pStyle w:val="NormalWeb"/>
        <w:spacing w:before="0" w:beforeAutospacing="0" w:after="0" w:afterAutospacing="0"/>
        <w:jc w:val="both"/>
        <w:rPr>
          <w:rFonts w:ascii="Arial" w:hAnsi="Arial" w:cs="Arial"/>
          <w:sz w:val="22"/>
          <w:szCs w:val="22"/>
        </w:rPr>
      </w:pPr>
    </w:p>
    <w:p w14:paraId="6F53DAC0" w14:textId="3AE1855E" w:rsidR="00A75742" w:rsidRPr="00813A6D" w:rsidRDefault="00A75742" w:rsidP="00FD4DF8">
      <w:pPr>
        <w:pStyle w:val="NormalWeb"/>
        <w:spacing w:before="0" w:beforeAutospacing="0" w:after="0" w:afterAutospacing="0"/>
        <w:jc w:val="both"/>
        <w:rPr>
          <w:rFonts w:ascii="Arial" w:hAnsi="Arial" w:cs="Arial"/>
          <w:b/>
          <w:bCs/>
          <w:sz w:val="20"/>
          <w:szCs w:val="20"/>
        </w:rPr>
      </w:pPr>
      <w:r w:rsidRPr="00813A6D">
        <w:rPr>
          <w:rFonts w:ascii="Arial" w:hAnsi="Arial" w:cs="Arial"/>
          <w:b/>
          <w:bCs/>
          <w:sz w:val="20"/>
          <w:szCs w:val="20"/>
        </w:rPr>
        <w:t>Table 1</w:t>
      </w:r>
      <w:r w:rsidR="00813A6D">
        <w:rPr>
          <w:rFonts w:ascii="Arial" w:hAnsi="Arial" w:cs="Arial"/>
          <w:b/>
          <w:bCs/>
          <w:sz w:val="20"/>
          <w:szCs w:val="20"/>
        </w:rPr>
        <w:t>.</w:t>
      </w:r>
      <w:r w:rsidRPr="00813A6D">
        <w:rPr>
          <w:rFonts w:ascii="Arial" w:hAnsi="Arial" w:cs="Arial"/>
          <w:b/>
          <w:bCs/>
          <w:sz w:val="20"/>
          <w:szCs w:val="20"/>
        </w:rPr>
        <w:t xml:space="preserve"> </w:t>
      </w:r>
      <w:r w:rsidR="00703270" w:rsidRPr="00813A6D">
        <w:rPr>
          <w:rFonts w:ascii="Arial" w:hAnsi="Arial" w:cs="Arial"/>
          <w:b/>
          <w:bCs/>
          <w:sz w:val="20"/>
          <w:szCs w:val="20"/>
        </w:rPr>
        <w:t>Number of Lactic acid bacteria with strong effect on pathogenic bacteria</w:t>
      </w:r>
    </w:p>
    <w:p w14:paraId="65D2F7B0" w14:textId="05346840" w:rsidR="001A0B29" w:rsidRDefault="001A0B29" w:rsidP="00FD4DF8">
      <w:pPr>
        <w:pStyle w:val="NormalWeb"/>
        <w:spacing w:before="0" w:beforeAutospacing="0" w:after="0" w:afterAutospacing="0"/>
        <w:jc w:val="both"/>
        <w:rPr>
          <w:rFonts w:ascii="Arial" w:hAnsi="Arial" w:cs="Arial"/>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02"/>
        <w:gridCol w:w="1200"/>
        <w:gridCol w:w="1296"/>
        <w:gridCol w:w="1296"/>
        <w:gridCol w:w="1296"/>
      </w:tblGrid>
      <w:tr w:rsidR="0042108A" w:rsidRPr="0055657D" w14:paraId="12431354" w14:textId="77777777" w:rsidTr="00013AF3">
        <w:trPr>
          <w:jc w:val="center"/>
        </w:trPr>
        <w:tc>
          <w:tcPr>
            <w:tcW w:w="1403" w:type="dxa"/>
            <w:tcBorders>
              <w:left w:val="nil"/>
              <w:bottom w:val="single" w:sz="4" w:space="0" w:color="auto"/>
              <w:right w:val="nil"/>
            </w:tcBorders>
          </w:tcPr>
          <w:p w14:paraId="21A2F08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Origins of strains</w:t>
            </w:r>
          </w:p>
        </w:tc>
        <w:tc>
          <w:tcPr>
            <w:tcW w:w="1002" w:type="dxa"/>
            <w:tcBorders>
              <w:left w:val="nil"/>
              <w:bottom w:val="single" w:sz="4" w:space="0" w:color="auto"/>
              <w:right w:val="nil"/>
            </w:tcBorders>
          </w:tcPr>
          <w:p w14:paraId="02F164B3" w14:textId="2366B001" w:rsidR="0042108A" w:rsidRPr="0055657D" w:rsidRDefault="0042108A" w:rsidP="00A923A0">
            <w:pPr>
              <w:jc w:val="center"/>
              <w:rPr>
                <w:rFonts w:ascii="Arial" w:hAnsi="Arial" w:cs="Arial"/>
                <w:sz w:val="20"/>
                <w:szCs w:val="20"/>
              </w:rPr>
            </w:pPr>
            <w:r w:rsidRPr="0055657D">
              <w:rPr>
                <w:rFonts w:ascii="Arial" w:hAnsi="Arial" w:cs="Arial"/>
                <w:sz w:val="20"/>
                <w:szCs w:val="20"/>
              </w:rPr>
              <w:t>Total</w:t>
            </w:r>
            <w:r w:rsidR="002C6814" w:rsidRPr="0055657D">
              <w:rPr>
                <w:rFonts w:ascii="Arial" w:hAnsi="Arial" w:cs="Arial"/>
                <w:sz w:val="20"/>
                <w:szCs w:val="20"/>
              </w:rPr>
              <w:t xml:space="preserve"> </w:t>
            </w:r>
            <w:r w:rsidR="00C77B82" w:rsidRPr="0055657D">
              <w:rPr>
                <w:rFonts w:ascii="Arial" w:hAnsi="Arial" w:cs="Arial"/>
                <w:sz w:val="20"/>
                <w:szCs w:val="20"/>
              </w:rPr>
              <w:t>lactic acid bacteria</w:t>
            </w:r>
            <w:r w:rsidRPr="0055657D">
              <w:rPr>
                <w:rFonts w:ascii="Arial" w:hAnsi="Arial" w:cs="Arial"/>
                <w:sz w:val="20"/>
                <w:szCs w:val="20"/>
              </w:rPr>
              <w:t xml:space="preserve"> strains</w:t>
            </w:r>
          </w:p>
        </w:tc>
        <w:tc>
          <w:tcPr>
            <w:tcW w:w="1200" w:type="dxa"/>
            <w:tcBorders>
              <w:left w:val="nil"/>
              <w:bottom w:val="single" w:sz="4" w:space="0" w:color="auto"/>
              <w:right w:val="nil"/>
            </w:tcBorders>
          </w:tcPr>
          <w:p w14:paraId="01B0E6B8" w14:textId="68FAA250" w:rsidR="0042108A" w:rsidRPr="0055657D" w:rsidRDefault="00C77B82" w:rsidP="00A923A0">
            <w:pPr>
              <w:jc w:val="center"/>
              <w:rPr>
                <w:rFonts w:ascii="Arial" w:hAnsi="Arial" w:cs="Arial"/>
                <w:sz w:val="20"/>
                <w:szCs w:val="20"/>
              </w:rPr>
            </w:pPr>
            <w:r w:rsidRPr="0055657D">
              <w:rPr>
                <w:rFonts w:ascii="Arial" w:hAnsi="Arial" w:cs="Arial"/>
                <w:sz w:val="20"/>
                <w:szCs w:val="20"/>
              </w:rPr>
              <w:t xml:space="preserve">Strong effect on </w:t>
            </w:r>
            <w:r w:rsidR="0042108A" w:rsidRPr="0055657D">
              <w:rPr>
                <w:rFonts w:ascii="Arial" w:hAnsi="Arial" w:cs="Arial"/>
                <w:sz w:val="20"/>
                <w:szCs w:val="20"/>
              </w:rPr>
              <w:t>the all pathogens</w:t>
            </w:r>
          </w:p>
        </w:tc>
        <w:tc>
          <w:tcPr>
            <w:tcW w:w="1296" w:type="dxa"/>
            <w:tcBorders>
              <w:left w:val="nil"/>
              <w:bottom w:val="single" w:sz="4" w:space="0" w:color="auto"/>
              <w:right w:val="nil"/>
            </w:tcBorders>
          </w:tcPr>
          <w:p w14:paraId="7A8FE374" w14:textId="62B12E4E" w:rsidR="0042108A" w:rsidRPr="0055657D" w:rsidRDefault="00C77B82" w:rsidP="00A923A0">
            <w:pPr>
              <w:jc w:val="center"/>
              <w:rPr>
                <w:rFonts w:ascii="Arial" w:hAnsi="Arial" w:cs="Arial"/>
                <w:sz w:val="20"/>
                <w:szCs w:val="20"/>
              </w:rPr>
            </w:pPr>
            <w:r w:rsidRPr="0055657D">
              <w:rPr>
                <w:rFonts w:ascii="Arial" w:hAnsi="Arial" w:cs="Arial"/>
                <w:sz w:val="20"/>
                <w:szCs w:val="20"/>
              </w:rPr>
              <w:t xml:space="preserve">Strong effect on </w:t>
            </w:r>
            <w:r w:rsidR="00C81FA9" w:rsidRPr="0055657D">
              <w:rPr>
                <w:rFonts w:ascii="Arial" w:hAnsi="Arial" w:cs="Arial"/>
                <w:sz w:val="20"/>
                <w:szCs w:val="20"/>
              </w:rPr>
              <w:t xml:space="preserve">at least </w:t>
            </w:r>
            <w:r w:rsidR="0042108A" w:rsidRPr="0055657D">
              <w:rPr>
                <w:rFonts w:ascii="Arial" w:hAnsi="Arial" w:cs="Arial"/>
                <w:sz w:val="20"/>
                <w:szCs w:val="20"/>
              </w:rPr>
              <w:t>3 pathogens</w:t>
            </w:r>
          </w:p>
        </w:tc>
        <w:tc>
          <w:tcPr>
            <w:tcW w:w="1296" w:type="dxa"/>
            <w:tcBorders>
              <w:left w:val="nil"/>
              <w:bottom w:val="single" w:sz="4" w:space="0" w:color="auto"/>
              <w:right w:val="nil"/>
            </w:tcBorders>
          </w:tcPr>
          <w:p w14:paraId="7D15DC55" w14:textId="441A9D79" w:rsidR="0042108A" w:rsidRPr="0055657D" w:rsidRDefault="00C81FA9" w:rsidP="00A923A0">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2 pathogens</w:t>
            </w:r>
          </w:p>
        </w:tc>
        <w:tc>
          <w:tcPr>
            <w:tcW w:w="1296" w:type="dxa"/>
            <w:tcBorders>
              <w:left w:val="nil"/>
              <w:bottom w:val="single" w:sz="4" w:space="0" w:color="auto"/>
              <w:right w:val="nil"/>
            </w:tcBorders>
          </w:tcPr>
          <w:p w14:paraId="4AB2A389" w14:textId="4C17F596" w:rsidR="0042108A" w:rsidRPr="0055657D" w:rsidRDefault="00C81FA9" w:rsidP="00A923A0">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1 pathogen</w:t>
            </w:r>
          </w:p>
        </w:tc>
      </w:tr>
      <w:tr w:rsidR="0042108A" w:rsidRPr="0055657D" w14:paraId="4CE5A578" w14:textId="77777777" w:rsidTr="00013AF3">
        <w:trPr>
          <w:jc w:val="center"/>
        </w:trPr>
        <w:tc>
          <w:tcPr>
            <w:tcW w:w="1403" w:type="dxa"/>
            <w:tcBorders>
              <w:left w:val="nil"/>
              <w:bottom w:val="nil"/>
              <w:right w:val="nil"/>
            </w:tcBorders>
          </w:tcPr>
          <w:p w14:paraId="32492BE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Industrial chicken</w:t>
            </w:r>
          </w:p>
        </w:tc>
        <w:tc>
          <w:tcPr>
            <w:tcW w:w="1002" w:type="dxa"/>
            <w:tcBorders>
              <w:left w:val="nil"/>
              <w:bottom w:val="nil"/>
              <w:right w:val="nil"/>
            </w:tcBorders>
          </w:tcPr>
          <w:p w14:paraId="3C25DABD"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47</w:t>
            </w:r>
          </w:p>
        </w:tc>
        <w:tc>
          <w:tcPr>
            <w:tcW w:w="1200" w:type="dxa"/>
            <w:tcBorders>
              <w:left w:val="nil"/>
              <w:bottom w:val="nil"/>
              <w:right w:val="nil"/>
            </w:tcBorders>
          </w:tcPr>
          <w:p w14:paraId="134569BE"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34</w:t>
            </w:r>
          </w:p>
        </w:tc>
        <w:tc>
          <w:tcPr>
            <w:tcW w:w="1296" w:type="dxa"/>
            <w:tcBorders>
              <w:left w:val="nil"/>
              <w:bottom w:val="nil"/>
              <w:right w:val="nil"/>
            </w:tcBorders>
          </w:tcPr>
          <w:p w14:paraId="68F652C5"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11</w:t>
            </w:r>
          </w:p>
        </w:tc>
        <w:tc>
          <w:tcPr>
            <w:tcW w:w="1296" w:type="dxa"/>
            <w:tcBorders>
              <w:left w:val="nil"/>
              <w:bottom w:val="nil"/>
              <w:right w:val="nil"/>
            </w:tcBorders>
          </w:tcPr>
          <w:p w14:paraId="4CD24AF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left w:val="nil"/>
              <w:bottom w:val="nil"/>
              <w:right w:val="nil"/>
            </w:tcBorders>
          </w:tcPr>
          <w:p w14:paraId="3A931284"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4E655585" w14:textId="77777777" w:rsidTr="001B0E54">
        <w:trPr>
          <w:jc w:val="center"/>
        </w:trPr>
        <w:tc>
          <w:tcPr>
            <w:tcW w:w="1403" w:type="dxa"/>
            <w:tcBorders>
              <w:top w:val="nil"/>
              <w:left w:val="nil"/>
              <w:bottom w:val="nil"/>
              <w:right w:val="nil"/>
            </w:tcBorders>
          </w:tcPr>
          <w:p w14:paraId="2109D9EB"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Traditionnal chicken</w:t>
            </w:r>
          </w:p>
        </w:tc>
        <w:tc>
          <w:tcPr>
            <w:tcW w:w="1002" w:type="dxa"/>
            <w:tcBorders>
              <w:top w:val="nil"/>
              <w:left w:val="nil"/>
              <w:bottom w:val="nil"/>
              <w:right w:val="nil"/>
            </w:tcBorders>
          </w:tcPr>
          <w:p w14:paraId="11F9C060"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3555D89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3963487D"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w:t>
            </w:r>
          </w:p>
        </w:tc>
        <w:tc>
          <w:tcPr>
            <w:tcW w:w="1296" w:type="dxa"/>
            <w:tcBorders>
              <w:top w:val="nil"/>
              <w:left w:val="nil"/>
              <w:bottom w:val="nil"/>
              <w:right w:val="nil"/>
            </w:tcBorders>
          </w:tcPr>
          <w:p w14:paraId="30E0B44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37702171"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40D1CF9B" w14:textId="77777777" w:rsidTr="001B0E54">
        <w:trPr>
          <w:jc w:val="center"/>
        </w:trPr>
        <w:tc>
          <w:tcPr>
            <w:tcW w:w="1403" w:type="dxa"/>
            <w:tcBorders>
              <w:top w:val="nil"/>
              <w:left w:val="nil"/>
              <w:bottom w:val="nil"/>
              <w:right w:val="nil"/>
            </w:tcBorders>
          </w:tcPr>
          <w:p w14:paraId="208E9BAC" w14:textId="591648E4" w:rsidR="0042108A" w:rsidRPr="0055657D" w:rsidRDefault="0042108A" w:rsidP="00A923A0">
            <w:pPr>
              <w:jc w:val="center"/>
              <w:rPr>
                <w:rFonts w:ascii="Arial" w:hAnsi="Arial" w:cs="Arial"/>
                <w:sz w:val="20"/>
                <w:szCs w:val="20"/>
              </w:rPr>
            </w:pPr>
            <w:r w:rsidRPr="0055657D">
              <w:rPr>
                <w:rFonts w:ascii="Arial" w:hAnsi="Arial" w:cs="Arial"/>
                <w:i/>
                <w:iCs/>
                <w:sz w:val="20"/>
                <w:szCs w:val="20"/>
              </w:rPr>
              <w:t>Bandji</w:t>
            </w:r>
          </w:p>
        </w:tc>
        <w:tc>
          <w:tcPr>
            <w:tcW w:w="1002" w:type="dxa"/>
            <w:tcBorders>
              <w:top w:val="nil"/>
              <w:left w:val="nil"/>
              <w:bottom w:val="nil"/>
              <w:right w:val="nil"/>
            </w:tcBorders>
          </w:tcPr>
          <w:p w14:paraId="19F6CC7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2C0F70F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676D64E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6AC411EF"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7</w:t>
            </w:r>
          </w:p>
        </w:tc>
        <w:tc>
          <w:tcPr>
            <w:tcW w:w="1296" w:type="dxa"/>
            <w:tcBorders>
              <w:top w:val="nil"/>
              <w:left w:val="nil"/>
              <w:bottom w:val="nil"/>
              <w:right w:val="nil"/>
            </w:tcBorders>
          </w:tcPr>
          <w:p w14:paraId="7EF0E3DF"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76305C48" w14:textId="77777777" w:rsidTr="001B0E54">
        <w:trPr>
          <w:jc w:val="center"/>
        </w:trPr>
        <w:tc>
          <w:tcPr>
            <w:tcW w:w="1403" w:type="dxa"/>
            <w:tcBorders>
              <w:top w:val="nil"/>
              <w:left w:val="nil"/>
              <w:bottom w:val="nil"/>
              <w:right w:val="nil"/>
            </w:tcBorders>
          </w:tcPr>
          <w:p w14:paraId="4C1632EB" w14:textId="46F73090" w:rsidR="0042108A" w:rsidRPr="0055657D" w:rsidRDefault="0042108A" w:rsidP="00A923A0">
            <w:pPr>
              <w:jc w:val="center"/>
              <w:rPr>
                <w:rFonts w:ascii="Arial" w:hAnsi="Arial" w:cs="Arial"/>
                <w:sz w:val="20"/>
                <w:szCs w:val="20"/>
              </w:rPr>
            </w:pPr>
            <w:r w:rsidRPr="0055657D">
              <w:rPr>
                <w:rFonts w:ascii="Arial" w:hAnsi="Arial" w:cs="Arial"/>
                <w:i/>
                <w:iCs/>
                <w:sz w:val="20"/>
                <w:szCs w:val="20"/>
              </w:rPr>
              <w:t>Tchapalo</w:t>
            </w:r>
          </w:p>
        </w:tc>
        <w:tc>
          <w:tcPr>
            <w:tcW w:w="1002" w:type="dxa"/>
            <w:tcBorders>
              <w:top w:val="nil"/>
              <w:left w:val="nil"/>
              <w:bottom w:val="nil"/>
              <w:right w:val="nil"/>
            </w:tcBorders>
          </w:tcPr>
          <w:p w14:paraId="0AAC316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9</w:t>
            </w:r>
          </w:p>
        </w:tc>
        <w:tc>
          <w:tcPr>
            <w:tcW w:w="1200" w:type="dxa"/>
            <w:tcBorders>
              <w:top w:val="nil"/>
              <w:left w:val="nil"/>
              <w:bottom w:val="nil"/>
              <w:right w:val="nil"/>
            </w:tcBorders>
          </w:tcPr>
          <w:p w14:paraId="0AEFC93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2C07B89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3F418918"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50352A7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r>
      <w:tr w:rsidR="0042108A" w:rsidRPr="0055657D" w14:paraId="2B16B992" w14:textId="77777777" w:rsidTr="001B0E54">
        <w:trPr>
          <w:jc w:val="center"/>
        </w:trPr>
        <w:tc>
          <w:tcPr>
            <w:tcW w:w="1403" w:type="dxa"/>
            <w:tcBorders>
              <w:top w:val="nil"/>
              <w:left w:val="nil"/>
              <w:bottom w:val="single" w:sz="4" w:space="0" w:color="auto"/>
              <w:right w:val="nil"/>
            </w:tcBorders>
          </w:tcPr>
          <w:p w14:paraId="385135E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Total</w:t>
            </w:r>
          </w:p>
        </w:tc>
        <w:tc>
          <w:tcPr>
            <w:tcW w:w="1002" w:type="dxa"/>
            <w:tcBorders>
              <w:top w:val="nil"/>
              <w:left w:val="nil"/>
              <w:bottom w:val="single" w:sz="4" w:space="0" w:color="auto"/>
              <w:right w:val="nil"/>
            </w:tcBorders>
          </w:tcPr>
          <w:p w14:paraId="1E8DF9F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84</w:t>
            </w:r>
          </w:p>
        </w:tc>
        <w:tc>
          <w:tcPr>
            <w:tcW w:w="1200" w:type="dxa"/>
            <w:tcBorders>
              <w:top w:val="nil"/>
              <w:left w:val="nil"/>
              <w:bottom w:val="single" w:sz="4" w:space="0" w:color="auto"/>
              <w:right w:val="nil"/>
            </w:tcBorders>
          </w:tcPr>
          <w:p w14:paraId="47BA8BA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47</w:t>
            </w:r>
          </w:p>
        </w:tc>
        <w:tc>
          <w:tcPr>
            <w:tcW w:w="1296" w:type="dxa"/>
            <w:tcBorders>
              <w:top w:val="nil"/>
              <w:left w:val="nil"/>
              <w:bottom w:val="single" w:sz="4" w:space="0" w:color="auto"/>
              <w:right w:val="nil"/>
            </w:tcBorders>
          </w:tcPr>
          <w:p w14:paraId="5A8BB41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19</w:t>
            </w:r>
          </w:p>
        </w:tc>
        <w:tc>
          <w:tcPr>
            <w:tcW w:w="1296" w:type="dxa"/>
            <w:tcBorders>
              <w:top w:val="nil"/>
              <w:left w:val="nil"/>
              <w:bottom w:val="single" w:sz="4" w:space="0" w:color="auto"/>
              <w:right w:val="nil"/>
            </w:tcBorders>
          </w:tcPr>
          <w:p w14:paraId="3C87F7C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96" w:type="dxa"/>
            <w:tcBorders>
              <w:top w:val="nil"/>
              <w:left w:val="nil"/>
              <w:bottom w:val="single" w:sz="4" w:space="0" w:color="auto"/>
              <w:right w:val="nil"/>
            </w:tcBorders>
          </w:tcPr>
          <w:p w14:paraId="473A1E1B"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r>
    </w:tbl>
    <w:p w14:paraId="476C21A1" w14:textId="2A8C6651" w:rsidR="001A0B29" w:rsidRPr="00FD4DF8" w:rsidRDefault="001A0B29" w:rsidP="00FD4DF8">
      <w:pPr>
        <w:pStyle w:val="NormalWeb"/>
        <w:spacing w:before="0" w:beforeAutospacing="0" w:after="0" w:afterAutospacing="0"/>
        <w:jc w:val="both"/>
        <w:rPr>
          <w:rFonts w:ascii="Arial" w:hAnsi="Arial" w:cs="Arial"/>
          <w:sz w:val="22"/>
          <w:szCs w:val="22"/>
        </w:rPr>
      </w:pPr>
    </w:p>
    <w:p w14:paraId="2404D6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5DBECE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06C1DDA0" w14:textId="00EEA1B8" w:rsidR="00750263" w:rsidRPr="00FD4DF8" w:rsidRDefault="006742CA" w:rsidP="00FD4DF8">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3.2. </w:t>
      </w:r>
      <w:r w:rsidR="00750263" w:rsidRPr="00FD4DF8">
        <w:rPr>
          <w:rFonts w:ascii="Arial" w:hAnsi="Arial" w:cs="Arial"/>
          <w:b/>
          <w:bCs/>
          <w:sz w:val="22"/>
          <w:szCs w:val="22"/>
        </w:rPr>
        <w:t>Acid Tolerance</w:t>
      </w:r>
    </w:p>
    <w:p w14:paraId="565FE478" w14:textId="4EFC8239" w:rsidR="00750263" w:rsidRPr="00894B27" w:rsidRDefault="00750263" w:rsidP="00FD4DF8">
      <w:pPr>
        <w:pStyle w:val="NormalWeb"/>
        <w:spacing w:before="0" w:beforeAutospacing="0" w:after="0" w:afterAutospacing="0"/>
        <w:jc w:val="both"/>
        <w:rPr>
          <w:rFonts w:ascii="Arial" w:hAnsi="Arial" w:cs="Arial"/>
          <w:sz w:val="20"/>
          <w:szCs w:val="20"/>
        </w:rPr>
      </w:pPr>
      <w:r w:rsidRPr="00894B27">
        <w:rPr>
          <w:rFonts w:ascii="Arial" w:hAnsi="Arial" w:cs="Arial"/>
          <w:sz w:val="20"/>
          <w:szCs w:val="20"/>
        </w:rPr>
        <w:t xml:space="preserve">The survival of LAB at different pH values was assessed </w:t>
      </w:r>
      <w:r w:rsidRPr="00F0774C">
        <w:rPr>
          <w:rFonts w:ascii="Arial" w:hAnsi="Arial" w:cs="Arial"/>
          <w:sz w:val="20"/>
          <w:szCs w:val="20"/>
        </w:rPr>
        <w:t xml:space="preserve">(Table </w:t>
      </w:r>
      <w:r w:rsidR="001A6899" w:rsidRPr="00F0774C">
        <w:rPr>
          <w:rFonts w:ascii="Arial" w:hAnsi="Arial" w:cs="Arial"/>
          <w:sz w:val="20"/>
          <w:szCs w:val="20"/>
        </w:rPr>
        <w:t>2</w:t>
      </w:r>
      <w:r w:rsidRPr="00F0774C">
        <w:rPr>
          <w:rFonts w:ascii="Arial" w:hAnsi="Arial" w:cs="Arial"/>
          <w:sz w:val="20"/>
          <w:szCs w:val="20"/>
        </w:rPr>
        <w:t>).</w:t>
      </w:r>
      <w:r w:rsidRPr="00894B27">
        <w:rPr>
          <w:rFonts w:ascii="Arial" w:hAnsi="Arial" w:cs="Arial"/>
          <w:sz w:val="20"/>
          <w:szCs w:val="20"/>
        </w:rPr>
        <w:t xml:space="preserve"> At pH 3.5, survival rates ranged from </w:t>
      </w:r>
      <w:r w:rsidR="00765A1B" w:rsidRPr="00894B27">
        <w:rPr>
          <w:rFonts w:ascii="Arial" w:hAnsi="Arial" w:cs="Arial"/>
          <w:sz w:val="20"/>
          <w:szCs w:val="20"/>
        </w:rPr>
        <w:t>0</w:t>
      </w:r>
      <w:r w:rsidRPr="00894B27">
        <w:rPr>
          <w:rFonts w:ascii="Arial" w:hAnsi="Arial" w:cs="Arial"/>
          <w:sz w:val="20"/>
          <w:szCs w:val="20"/>
        </w:rPr>
        <w:t>% to 88%. Twenty-three isolates survived at rates ≥ 50% and were selected for subsequent analyses. At pH 3.0 and 2.5, survival rates were low (0–19%).</w:t>
      </w:r>
    </w:p>
    <w:p w14:paraId="25ECFDDC" w14:textId="77777777" w:rsidR="001A6899" w:rsidRDefault="001A6899" w:rsidP="00FD4DF8">
      <w:pPr>
        <w:pStyle w:val="NormalWeb"/>
        <w:spacing w:before="0" w:beforeAutospacing="0" w:after="0" w:afterAutospacing="0"/>
        <w:jc w:val="both"/>
        <w:rPr>
          <w:rFonts w:ascii="Arial" w:hAnsi="Arial" w:cs="Arial"/>
          <w:b/>
          <w:bCs/>
          <w:sz w:val="22"/>
          <w:szCs w:val="22"/>
        </w:rPr>
      </w:pPr>
    </w:p>
    <w:p w14:paraId="7A32BC13" w14:textId="4E549BEF" w:rsidR="001A6899" w:rsidRPr="00D52DEE" w:rsidRDefault="001A6899" w:rsidP="001A6899">
      <w:pPr>
        <w:ind w:right="-800"/>
        <w:jc w:val="both"/>
        <w:rPr>
          <w:rFonts w:ascii="Arial" w:hAnsi="Arial" w:cs="Arial"/>
          <w:b/>
          <w:bCs/>
        </w:rPr>
      </w:pPr>
      <w:r w:rsidRPr="00D52DEE">
        <w:rPr>
          <w:rFonts w:ascii="Arial" w:hAnsi="Arial" w:cs="Arial"/>
          <w:b/>
          <w:bCs/>
        </w:rPr>
        <w:t xml:space="preserve">Table </w:t>
      </w:r>
      <w:commentRangeStart w:id="4"/>
      <w:r w:rsidRPr="00D52DEE">
        <w:rPr>
          <w:rFonts w:ascii="Arial" w:hAnsi="Arial" w:cs="Arial"/>
          <w:b/>
          <w:bCs/>
        </w:rPr>
        <w:t>2</w:t>
      </w:r>
      <w:commentRangeEnd w:id="4"/>
      <w:r w:rsidR="002800C2" w:rsidRPr="00D52DEE">
        <w:rPr>
          <w:rStyle w:val="CommentReference"/>
          <w:rFonts w:ascii="Arial" w:hAnsi="Arial" w:cs="Arial"/>
          <w:b/>
          <w:bCs/>
          <w:sz w:val="20"/>
          <w:szCs w:val="20"/>
        </w:rPr>
        <w:commentReference w:id="4"/>
      </w:r>
      <w:r w:rsidR="00894B27" w:rsidRPr="00D52DEE">
        <w:rPr>
          <w:rFonts w:ascii="Arial" w:hAnsi="Arial" w:cs="Arial"/>
          <w:b/>
          <w:bCs/>
        </w:rPr>
        <w:t>.</w:t>
      </w:r>
      <w:r w:rsidRPr="00D52DEE">
        <w:rPr>
          <w:rFonts w:ascii="Arial" w:hAnsi="Arial" w:cs="Arial"/>
          <w:b/>
          <w:bCs/>
        </w:rPr>
        <w:t xml:space="preserve"> Survival rate under acidic conditions of lactic acid bacteria isolates</w:t>
      </w:r>
    </w:p>
    <w:p w14:paraId="0FE7EE17" w14:textId="77777777" w:rsidR="001A6899" w:rsidRPr="00FD4DF8" w:rsidRDefault="001A6899" w:rsidP="001A6899">
      <w:pPr>
        <w:jc w:val="both"/>
        <w:rPr>
          <w:rFonts w:ascii="Arial" w:hAnsi="Arial" w:cs="Arial"/>
          <w:b/>
          <w:bCs/>
          <w:sz w:val="22"/>
          <w:szCs w:val="22"/>
        </w:rPr>
      </w:pPr>
    </w:p>
    <w:tbl>
      <w:tblPr>
        <w:tblStyle w:val="TableGrid"/>
        <w:tblpPr w:leftFromText="141" w:rightFromText="141" w:vertAnchor="text" w:horzAnchor="margin" w:tblpXSpec="center" w:tblpY="8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06"/>
        <w:gridCol w:w="639"/>
        <w:gridCol w:w="806"/>
        <w:gridCol w:w="906"/>
        <w:gridCol w:w="806"/>
        <w:gridCol w:w="672"/>
        <w:gridCol w:w="806"/>
      </w:tblGrid>
      <w:tr w:rsidR="00A33F7F" w:rsidRPr="008B4226" w14:paraId="7FED093F" w14:textId="77777777" w:rsidTr="008B4226">
        <w:trPr>
          <w:trHeight w:val="275"/>
        </w:trPr>
        <w:tc>
          <w:tcPr>
            <w:tcW w:w="0" w:type="auto"/>
            <w:tcBorders>
              <w:top w:val="single" w:sz="4" w:space="0" w:color="auto"/>
              <w:bottom w:val="single" w:sz="4" w:space="0" w:color="auto"/>
            </w:tcBorders>
            <w:hideMark/>
          </w:tcPr>
          <w:p w14:paraId="14C8277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Isolates</w:t>
            </w:r>
          </w:p>
        </w:tc>
        <w:tc>
          <w:tcPr>
            <w:tcW w:w="0" w:type="auto"/>
            <w:tcBorders>
              <w:top w:val="single" w:sz="4" w:space="0" w:color="auto"/>
              <w:bottom w:val="single" w:sz="4" w:space="0" w:color="auto"/>
            </w:tcBorders>
          </w:tcPr>
          <w:p w14:paraId="5D9DF10B" w14:textId="74509031"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3,5</w:t>
            </w:r>
          </w:p>
        </w:tc>
        <w:tc>
          <w:tcPr>
            <w:tcW w:w="0" w:type="auto"/>
            <w:tcBorders>
              <w:top w:val="single" w:sz="4" w:space="0" w:color="auto"/>
              <w:bottom w:val="single" w:sz="4" w:space="0" w:color="auto"/>
            </w:tcBorders>
          </w:tcPr>
          <w:p w14:paraId="0F35086B" w14:textId="7CF740DC"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3</w:t>
            </w:r>
          </w:p>
        </w:tc>
        <w:tc>
          <w:tcPr>
            <w:tcW w:w="0" w:type="auto"/>
            <w:tcBorders>
              <w:top w:val="single" w:sz="4" w:space="0" w:color="auto"/>
              <w:bottom w:val="single" w:sz="4" w:space="0" w:color="auto"/>
            </w:tcBorders>
          </w:tcPr>
          <w:p w14:paraId="0090A70C" w14:textId="3D496931"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2,5</w:t>
            </w:r>
          </w:p>
        </w:tc>
        <w:tc>
          <w:tcPr>
            <w:tcW w:w="0" w:type="auto"/>
            <w:tcBorders>
              <w:top w:val="single" w:sz="4" w:space="0" w:color="auto"/>
              <w:bottom w:val="single" w:sz="4" w:space="0" w:color="auto"/>
            </w:tcBorders>
            <w:hideMark/>
          </w:tcPr>
          <w:p w14:paraId="4865375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Isolates</w:t>
            </w:r>
          </w:p>
        </w:tc>
        <w:tc>
          <w:tcPr>
            <w:tcW w:w="0" w:type="auto"/>
            <w:tcBorders>
              <w:top w:val="single" w:sz="4" w:space="0" w:color="auto"/>
              <w:bottom w:val="single" w:sz="4" w:space="0" w:color="auto"/>
            </w:tcBorders>
            <w:hideMark/>
          </w:tcPr>
          <w:p w14:paraId="6E092FD1" w14:textId="2546A3DB"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3,5</w:t>
            </w:r>
          </w:p>
        </w:tc>
        <w:tc>
          <w:tcPr>
            <w:tcW w:w="0" w:type="auto"/>
            <w:tcBorders>
              <w:top w:val="single" w:sz="4" w:space="0" w:color="auto"/>
              <w:bottom w:val="single" w:sz="4" w:space="0" w:color="auto"/>
            </w:tcBorders>
          </w:tcPr>
          <w:p w14:paraId="717C4C19" w14:textId="478C4FA0"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3</w:t>
            </w:r>
          </w:p>
        </w:tc>
        <w:tc>
          <w:tcPr>
            <w:tcW w:w="0" w:type="auto"/>
            <w:tcBorders>
              <w:top w:val="single" w:sz="4" w:space="0" w:color="auto"/>
              <w:bottom w:val="single" w:sz="4" w:space="0" w:color="auto"/>
            </w:tcBorders>
          </w:tcPr>
          <w:p w14:paraId="48805FEE" w14:textId="254A2D6B" w:rsidR="001A6899" w:rsidRPr="008B4226" w:rsidRDefault="00A33F7F" w:rsidP="00A33F7F">
            <w:pPr>
              <w:jc w:val="center"/>
              <w:rPr>
                <w:rFonts w:ascii="Arial" w:hAnsi="Arial" w:cs="Arial"/>
                <w:sz w:val="20"/>
                <w:szCs w:val="20"/>
                <w:lang w:val="fr-CI"/>
              </w:rPr>
            </w:pPr>
            <w:r w:rsidRPr="008B4226">
              <w:rPr>
                <w:rFonts w:ascii="Arial" w:hAnsi="Arial" w:cs="Arial"/>
                <w:sz w:val="20"/>
                <w:szCs w:val="20"/>
                <w:lang w:val="fr-CI"/>
              </w:rPr>
              <w:t>p</w:t>
            </w:r>
            <w:r w:rsidR="001A6899" w:rsidRPr="008B4226">
              <w:rPr>
                <w:rFonts w:ascii="Arial" w:hAnsi="Arial" w:cs="Arial"/>
                <w:sz w:val="20"/>
                <w:szCs w:val="20"/>
                <w:lang w:val="fr-CI"/>
              </w:rPr>
              <w:t>H 2,5</w:t>
            </w:r>
          </w:p>
        </w:tc>
      </w:tr>
      <w:tr w:rsidR="00A33F7F" w:rsidRPr="008B4226" w14:paraId="0BFFBED2" w14:textId="77777777" w:rsidTr="008B4226">
        <w:tc>
          <w:tcPr>
            <w:tcW w:w="0" w:type="auto"/>
            <w:tcBorders>
              <w:top w:val="single" w:sz="4" w:space="0" w:color="auto"/>
            </w:tcBorders>
            <w:hideMark/>
          </w:tcPr>
          <w:p w14:paraId="4388A34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1A</w:t>
            </w:r>
          </w:p>
        </w:tc>
        <w:tc>
          <w:tcPr>
            <w:tcW w:w="0" w:type="auto"/>
            <w:tcBorders>
              <w:top w:val="single" w:sz="4" w:space="0" w:color="auto"/>
            </w:tcBorders>
          </w:tcPr>
          <w:p w14:paraId="6BECE27C"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73 %</w:t>
            </w:r>
          </w:p>
        </w:tc>
        <w:tc>
          <w:tcPr>
            <w:tcW w:w="0" w:type="auto"/>
            <w:tcBorders>
              <w:top w:val="single" w:sz="4" w:space="0" w:color="auto"/>
            </w:tcBorders>
          </w:tcPr>
          <w:p w14:paraId="79B9AD5F"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633D1F4E"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hideMark/>
          </w:tcPr>
          <w:p w14:paraId="3AE6CEAD" w14:textId="29BD3139"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Ib</w:t>
            </w:r>
          </w:p>
        </w:tc>
        <w:tc>
          <w:tcPr>
            <w:tcW w:w="0" w:type="auto"/>
            <w:tcBorders>
              <w:top w:val="single" w:sz="4" w:space="0" w:color="auto"/>
            </w:tcBorders>
            <w:hideMark/>
          </w:tcPr>
          <w:p w14:paraId="4393866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50 %</w:t>
            </w:r>
          </w:p>
        </w:tc>
        <w:tc>
          <w:tcPr>
            <w:tcW w:w="0" w:type="auto"/>
            <w:tcBorders>
              <w:top w:val="single" w:sz="4" w:space="0" w:color="auto"/>
            </w:tcBorders>
          </w:tcPr>
          <w:p w14:paraId="0D99240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4707A98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67F97157" w14:textId="77777777" w:rsidTr="008B4226">
        <w:tc>
          <w:tcPr>
            <w:tcW w:w="0" w:type="auto"/>
            <w:hideMark/>
          </w:tcPr>
          <w:p w14:paraId="6D482DCB"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1B</w:t>
            </w:r>
          </w:p>
        </w:tc>
        <w:tc>
          <w:tcPr>
            <w:tcW w:w="0" w:type="auto"/>
          </w:tcPr>
          <w:p w14:paraId="0511A4BC"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65 %</w:t>
            </w:r>
          </w:p>
        </w:tc>
        <w:tc>
          <w:tcPr>
            <w:tcW w:w="0" w:type="auto"/>
          </w:tcPr>
          <w:p w14:paraId="10E967A3"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539998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6DC49F0B"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Vc</w:t>
            </w:r>
          </w:p>
        </w:tc>
        <w:tc>
          <w:tcPr>
            <w:tcW w:w="0" w:type="auto"/>
            <w:hideMark/>
          </w:tcPr>
          <w:p w14:paraId="2B166D9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167833B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1C64F43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30A9C9A8" w14:textId="77777777" w:rsidTr="008B4226">
        <w:tc>
          <w:tcPr>
            <w:tcW w:w="0" w:type="auto"/>
            <w:hideMark/>
          </w:tcPr>
          <w:p w14:paraId="677DF98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4A</w:t>
            </w:r>
          </w:p>
        </w:tc>
        <w:tc>
          <w:tcPr>
            <w:tcW w:w="0" w:type="auto"/>
          </w:tcPr>
          <w:p w14:paraId="66D9E76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82 %</w:t>
            </w:r>
          </w:p>
        </w:tc>
        <w:tc>
          <w:tcPr>
            <w:tcW w:w="0" w:type="auto"/>
          </w:tcPr>
          <w:p w14:paraId="50908D27"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5483E65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6329456A"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3E</w:t>
            </w:r>
          </w:p>
        </w:tc>
        <w:tc>
          <w:tcPr>
            <w:tcW w:w="0" w:type="auto"/>
            <w:hideMark/>
          </w:tcPr>
          <w:p w14:paraId="4158E639"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A84F61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9 %</w:t>
            </w:r>
          </w:p>
        </w:tc>
        <w:tc>
          <w:tcPr>
            <w:tcW w:w="0" w:type="auto"/>
          </w:tcPr>
          <w:p w14:paraId="29E0D074"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10FD426B" w14:textId="77777777" w:rsidTr="008B4226">
        <w:tc>
          <w:tcPr>
            <w:tcW w:w="0" w:type="auto"/>
            <w:hideMark/>
          </w:tcPr>
          <w:p w14:paraId="7CAA11D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4B</w:t>
            </w:r>
          </w:p>
        </w:tc>
        <w:tc>
          <w:tcPr>
            <w:tcW w:w="0" w:type="auto"/>
          </w:tcPr>
          <w:p w14:paraId="237C3157"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76 %</w:t>
            </w:r>
          </w:p>
        </w:tc>
        <w:tc>
          <w:tcPr>
            <w:tcW w:w="0" w:type="auto"/>
          </w:tcPr>
          <w:p w14:paraId="6E7D995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63717EEB"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1EDA36"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4D</w:t>
            </w:r>
          </w:p>
        </w:tc>
        <w:tc>
          <w:tcPr>
            <w:tcW w:w="0" w:type="auto"/>
            <w:hideMark/>
          </w:tcPr>
          <w:p w14:paraId="7EA5FF1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57 %</w:t>
            </w:r>
          </w:p>
        </w:tc>
        <w:tc>
          <w:tcPr>
            <w:tcW w:w="0" w:type="auto"/>
          </w:tcPr>
          <w:p w14:paraId="4138EFE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405827D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588158B" w14:textId="77777777" w:rsidTr="008B4226">
        <w:tc>
          <w:tcPr>
            <w:tcW w:w="0" w:type="auto"/>
            <w:hideMark/>
          </w:tcPr>
          <w:p w14:paraId="5EE9B82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6A</w:t>
            </w:r>
          </w:p>
        </w:tc>
        <w:tc>
          <w:tcPr>
            <w:tcW w:w="0" w:type="auto"/>
          </w:tcPr>
          <w:p w14:paraId="474A42E6"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62 %</w:t>
            </w:r>
          </w:p>
        </w:tc>
        <w:tc>
          <w:tcPr>
            <w:tcW w:w="0" w:type="auto"/>
          </w:tcPr>
          <w:p w14:paraId="06F55B2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0DB5D83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342D3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B1C</w:t>
            </w:r>
          </w:p>
        </w:tc>
        <w:tc>
          <w:tcPr>
            <w:tcW w:w="0" w:type="auto"/>
            <w:hideMark/>
          </w:tcPr>
          <w:p w14:paraId="30B7672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75 %</w:t>
            </w:r>
          </w:p>
        </w:tc>
        <w:tc>
          <w:tcPr>
            <w:tcW w:w="0" w:type="auto"/>
          </w:tcPr>
          <w:p w14:paraId="06FD2AA6"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959CFD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76505A61" w14:textId="77777777" w:rsidTr="008B4226">
        <w:tc>
          <w:tcPr>
            <w:tcW w:w="0" w:type="auto"/>
            <w:hideMark/>
          </w:tcPr>
          <w:p w14:paraId="10AF618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6B</w:t>
            </w:r>
          </w:p>
        </w:tc>
        <w:tc>
          <w:tcPr>
            <w:tcW w:w="0" w:type="auto"/>
          </w:tcPr>
          <w:p w14:paraId="333DE87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88 %</w:t>
            </w:r>
          </w:p>
        </w:tc>
        <w:tc>
          <w:tcPr>
            <w:tcW w:w="0" w:type="auto"/>
          </w:tcPr>
          <w:p w14:paraId="690CD8D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5 %</w:t>
            </w:r>
          </w:p>
        </w:tc>
        <w:tc>
          <w:tcPr>
            <w:tcW w:w="0" w:type="auto"/>
          </w:tcPr>
          <w:p w14:paraId="2CE7198E"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38CC1C9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B6A</w:t>
            </w:r>
          </w:p>
        </w:tc>
        <w:tc>
          <w:tcPr>
            <w:tcW w:w="0" w:type="auto"/>
            <w:hideMark/>
          </w:tcPr>
          <w:p w14:paraId="097111E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51 %</w:t>
            </w:r>
          </w:p>
        </w:tc>
        <w:tc>
          <w:tcPr>
            <w:tcW w:w="0" w:type="auto"/>
          </w:tcPr>
          <w:p w14:paraId="51C80D2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02AE5DC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F31EFF3" w14:textId="77777777" w:rsidTr="008B4226">
        <w:tc>
          <w:tcPr>
            <w:tcW w:w="0" w:type="auto"/>
            <w:hideMark/>
          </w:tcPr>
          <w:p w14:paraId="03A8393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10B</w:t>
            </w:r>
          </w:p>
        </w:tc>
        <w:tc>
          <w:tcPr>
            <w:tcW w:w="0" w:type="auto"/>
          </w:tcPr>
          <w:p w14:paraId="67A70A9A"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E4EB52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7C894328"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38E23E2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B6B</w:t>
            </w:r>
          </w:p>
        </w:tc>
        <w:tc>
          <w:tcPr>
            <w:tcW w:w="0" w:type="auto"/>
            <w:hideMark/>
          </w:tcPr>
          <w:p w14:paraId="5A7667B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B755DEE"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0A1186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048A015" w14:textId="77777777" w:rsidTr="008B4226">
        <w:tc>
          <w:tcPr>
            <w:tcW w:w="0" w:type="auto"/>
            <w:hideMark/>
          </w:tcPr>
          <w:p w14:paraId="29CF1086"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12A</w:t>
            </w:r>
          </w:p>
        </w:tc>
        <w:tc>
          <w:tcPr>
            <w:tcW w:w="0" w:type="auto"/>
          </w:tcPr>
          <w:p w14:paraId="07B9B6F4"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57 %</w:t>
            </w:r>
          </w:p>
        </w:tc>
        <w:tc>
          <w:tcPr>
            <w:tcW w:w="0" w:type="auto"/>
          </w:tcPr>
          <w:p w14:paraId="7AAC730C"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44C68D5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102937B9"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B6C</w:t>
            </w:r>
          </w:p>
        </w:tc>
        <w:tc>
          <w:tcPr>
            <w:tcW w:w="0" w:type="auto"/>
            <w:hideMark/>
          </w:tcPr>
          <w:p w14:paraId="184B640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tcPr>
          <w:p w14:paraId="1F489C9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FABE3A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0E25F35A" w14:textId="77777777" w:rsidTr="008B4226">
        <w:tc>
          <w:tcPr>
            <w:tcW w:w="0" w:type="auto"/>
            <w:hideMark/>
          </w:tcPr>
          <w:p w14:paraId="3D32247D"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17A</w:t>
            </w:r>
          </w:p>
        </w:tc>
        <w:tc>
          <w:tcPr>
            <w:tcW w:w="0" w:type="auto"/>
          </w:tcPr>
          <w:p w14:paraId="47AEA79A"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68 %</w:t>
            </w:r>
          </w:p>
        </w:tc>
        <w:tc>
          <w:tcPr>
            <w:tcW w:w="0" w:type="auto"/>
          </w:tcPr>
          <w:p w14:paraId="126090C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1D9E968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6801A56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B6D</w:t>
            </w:r>
          </w:p>
        </w:tc>
        <w:tc>
          <w:tcPr>
            <w:tcW w:w="0" w:type="auto"/>
            <w:hideMark/>
          </w:tcPr>
          <w:p w14:paraId="2232B9D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F0FE551"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FDD0C18"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2E91186" w14:textId="77777777" w:rsidTr="008B4226">
        <w:tc>
          <w:tcPr>
            <w:tcW w:w="0" w:type="auto"/>
            <w:hideMark/>
          </w:tcPr>
          <w:p w14:paraId="60F5764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17B</w:t>
            </w:r>
          </w:p>
        </w:tc>
        <w:tc>
          <w:tcPr>
            <w:tcW w:w="0" w:type="auto"/>
          </w:tcPr>
          <w:p w14:paraId="43C7263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82 %</w:t>
            </w:r>
          </w:p>
        </w:tc>
        <w:tc>
          <w:tcPr>
            <w:tcW w:w="0" w:type="auto"/>
          </w:tcPr>
          <w:p w14:paraId="4A11A3BC"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21C32D07"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57A33531"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T2B</w:t>
            </w:r>
          </w:p>
        </w:tc>
        <w:tc>
          <w:tcPr>
            <w:tcW w:w="0" w:type="auto"/>
            <w:hideMark/>
          </w:tcPr>
          <w:p w14:paraId="2B3C75D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498269B0"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7 %</w:t>
            </w:r>
          </w:p>
        </w:tc>
        <w:tc>
          <w:tcPr>
            <w:tcW w:w="0" w:type="auto"/>
          </w:tcPr>
          <w:p w14:paraId="2B1D6CF1"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B50CA6" w:rsidRPr="008B4226" w14:paraId="68192BD0" w14:textId="77777777" w:rsidTr="008B4226">
        <w:tc>
          <w:tcPr>
            <w:tcW w:w="0" w:type="auto"/>
            <w:hideMark/>
          </w:tcPr>
          <w:p w14:paraId="62520F74"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17C</w:t>
            </w:r>
          </w:p>
        </w:tc>
        <w:tc>
          <w:tcPr>
            <w:tcW w:w="0" w:type="auto"/>
          </w:tcPr>
          <w:p w14:paraId="0127C3D0"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51 %</w:t>
            </w:r>
          </w:p>
        </w:tc>
        <w:tc>
          <w:tcPr>
            <w:tcW w:w="0" w:type="auto"/>
          </w:tcPr>
          <w:p w14:paraId="6D8FC0E6"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EE83C8E"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vMerge w:val="restart"/>
            <w:hideMark/>
          </w:tcPr>
          <w:p w14:paraId="6E67E27C"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T4B</w:t>
            </w:r>
          </w:p>
        </w:tc>
        <w:tc>
          <w:tcPr>
            <w:tcW w:w="0" w:type="auto"/>
            <w:vMerge w:val="restart"/>
            <w:hideMark/>
          </w:tcPr>
          <w:p w14:paraId="22689327"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vMerge w:val="restart"/>
          </w:tcPr>
          <w:p w14:paraId="20E20C6C"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19 %</w:t>
            </w:r>
          </w:p>
        </w:tc>
        <w:tc>
          <w:tcPr>
            <w:tcW w:w="0" w:type="auto"/>
            <w:vMerge w:val="restart"/>
          </w:tcPr>
          <w:p w14:paraId="1B034921"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2%</w:t>
            </w:r>
          </w:p>
        </w:tc>
      </w:tr>
      <w:tr w:rsidR="00B50CA6" w:rsidRPr="008B4226" w14:paraId="24701957" w14:textId="77777777" w:rsidTr="008B4226">
        <w:tc>
          <w:tcPr>
            <w:tcW w:w="0" w:type="auto"/>
            <w:hideMark/>
          </w:tcPr>
          <w:p w14:paraId="28B2A694"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18A</w:t>
            </w:r>
          </w:p>
        </w:tc>
        <w:tc>
          <w:tcPr>
            <w:tcW w:w="0" w:type="auto"/>
          </w:tcPr>
          <w:p w14:paraId="68AD3156"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66 %</w:t>
            </w:r>
          </w:p>
        </w:tc>
        <w:tc>
          <w:tcPr>
            <w:tcW w:w="0" w:type="auto"/>
          </w:tcPr>
          <w:p w14:paraId="574AAB93"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6A4FF7D"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vMerge/>
            <w:hideMark/>
          </w:tcPr>
          <w:p w14:paraId="62EA5D7D" w14:textId="77777777" w:rsidR="00B50CA6" w:rsidRPr="008B4226" w:rsidRDefault="00B50CA6" w:rsidP="00A33F7F">
            <w:pPr>
              <w:jc w:val="center"/>
              <w:rPr>
                <w:rFonts w:ascii="Arial" w:hAnsi="Arial" w:cs="Arial"/>
                <w:sz w:val="20"/>
                <w:szCs w:val="20"/>
                <w:highlight w:val="yellow"/>
                <w:lang w:val="fr-CI"/>
              </w:rPr>
            </w:pPr>
          </w:p>
        </w:tc>
        <w:tc>
          <w:tcPr>
            <w:tcW w:w="0" w:type="auto"/>
            <w:vMerge/>
            <w:hideMark/>
          </w:tcPr>
          <w:p w14:paraId="541160A5" w14:textId="77777777" w:rsidR="00B50CA6" w:rsidRPr="008B4226" w:rsidRDefault="00B50CA6" w:rsidP="00A33F7F">
            <w:pPr>
              <w:jc w:val="center"/>
              <w:rPr>
                <w:rFonts w:ascii="Arial" w:hAnsi="Arial" w:cs="Arial"/>
                <w:sz w:val="20"/>
                <w:szCs w:val="20"/>
                <w:highlight w:val="yellow"/>
                <w:lang w:val="fr-CI"/>
              </w:rPr>
            </w:pPr>
          </w:p>
        </w:tc>
        <w:tc>
          <w:tcPr>
            <w:tcW w:w="0" w:type="auto"/>
            <w:vMerge/>
          </w:tcPr>
          <w:p w14:paraId="39B58AC9" w14:textId="77777777" w:rsidR="00B50CA6" w:rsidRPr="008B4226" w:rsidRDefault="00B50CA6" w:rsidP="00A33F7F">
            <w:pPr>
              <w:jc w:val="center"/>
              <w:rPr>
                <w:rFonts w:ascii="Arial" w:hAnsi="Arial" w:cs="Arial"/>
                <w:sz w:val="20"/>
                <w:szCs w:val="20"/>
                <w:lang w:val="fr-CI"/>
              </w:rPr>
            </w:pPr>
          </w:p>
        </w:tc>
        <w:tc>
          <w:tcPr>
            <w:tcW w:w="0" w:type="auto"/>
            <w:vMerge/>
          </w:tcPr>
          <w:p w14:paraId="049A09A1" w14:textId="77777777" w:rsidR="00B50CA6" w:rsidRPr="008B4226" w:rsidRDefault="00B50CA6" w:rsidP="00A33F7F">
            <w:pPr>
              <w:jc w:val="center"/>
              <w:rPr>
                <w:rFonts w:ascii="Arial" w:hAnsi="Arial" w:cs="Arial"/>
                <w:sz w:val="20"/>
                <w:szCs w:val="20"/>
                <w:lang w:val="fr-CI"/>
              </w:rPr>
            </w:pPr>
          </w:p>
        </w:tc>
      </w:tr>
    </w:tbl>
    <w:p w14:paraId="205DA049" w14:textId="77777777" w:rsidR="001A6899" w:rsidRPr="00FD4DF8" w:rsidRDefault="001A6899" w:rsidP="001A6899">
      <w:pPr>
        <w:jc w:val="both"/>
        <w:rPr>
          <w:rFonts w:ascii="Arial" w:hAnsi="Arial" w:cs="Arial"/>
          <w:b/>
          <w:bCs/>
          <w:sz w:val="22"/>
          <w:szCs w:val="22"/>
        </w:rPr>
      </w:pPr>
    </w:p>
    <w:p w14:paraId="42DACC2A" w14:textId="77777777" w:rsidR="001A6899" w:rsidRDefault="001A6899" w:rsidP="001A6899">
      <w:pPr>
        <w:jc w:val="both"/>
        <w:rPr>
          <w:rFonts w:ascii="Arial" w:hAnsi="Arial" w:cs="Arial"/>
          <w:b/>
          <w:bCs/>
          <w:sz w:val="22"/>
          <w:szCs w:val="22"/>
        </w:rPr>
      </w:pPr>
    </w:p>
    <w:p w14:paraId="5ED73136" w14:textId="77777777" w:rsidR="001A6899" w:rsidRDefault="001A6899" w:rsidP="001A6899">
      <w:pPr>
        <w:jc w:val="both"/>
        <w:rPr>
          <w:rFonts w:ascii="Arial" w:hAnsi="Arial" w:cs="Arial"/>
          <w:b/>
          <w:bCs/>
          <w:sz w:val="22"/>
          <w:szCs w:val="22"/>
        </w:rPr>
      </w:pPr>
    </w:p>
    <w:p w14:paraId="0087C92D" w14:textId="77777777" w:rsidR="001A6899" w:rsidRDefault="001A6899" w:rsidP="001A6899">
      <w:pPr>
        <w:jc w:val="both"/>
        <w:rPr>
          <w:rFonts w:ascii="Arial" w:hAnsi="Arial" w:cs="Arial"/>
          <w:b/>
          <w:bCs/>
          <w:sz w:val="22"/>
          <w:szCs w:val="22"/>
        </w:rPr>
      </w:pPr>
    </w:p>
    <w:p w14:paraId="743D6DAE" w14:textId="77777777" w:rsidR="001A6899" w:rsidRDefault="001A6899" w:rsidP="001A6899">
      <w:pPr>
        <w:jc w:val="both"/>
        <w:rPr>
          <w:rFonts w:ascii="Arial" w:hAnsi="Arial" w:cs="Arial"/>
          <w:b/>
          <w:bCs/>
          <w:sz w:val="22"/>
          <w:szCs w:val="22"/>
        </w:rPr>
      </w:pPr>
    </w:p>
    <w:p w14:paraId="73A59E1A" w14:textId="77777777" w:rsidR="001A6899" w:rsidRDefault="001A6899" w:rsidP="001A6899">
      <w:pPr>
        <w:jc w:val="both"/>
        <w:rPr>
          <w:rFonts w:ascii="Arial" w:hAnsi="Arial" w:cs="Arial"/>
          <w:b/>
          <w:bCs/>
          <w:sz w:val="22"/>
          <w:szCs w:val="22"/>
        </w:rPr>
      </w:pPr>
    </w:p>
    <w:p w14:paraId="33AF346C" w14:textId="77777777" w:rsidR="001A6899" w:rsidRDefault="001A6899" w:rsidP="001A6899">
      <w:pPr>
        <w:jc w:val="both"/>
        <w:rPr>
          <w:rFonts w:ascii="Arial" w:hAnsi="Arial" w:cs="Arial"/>
          <w:b/>
          <w:bCs/>
          <w:sz w:val="22"/>
          <w:szCs w:val="22"/>
        </w:rPr>
      </w:pPr>
    </w:p>
    <w:p w14:paraId="637AD924" w14:textId="77777777" w:rsidR="001A6899" w:rsidRDefault="001A6899" w:rsidP="001A6899">
      <w:pPr>
        <w:jc w:val="both"/>
        <w:rPr>
          <w:rFonts w:ascii="Arial" w:hAnsi="Arial" w:cs="Arial"/>
          <w:b/>
          <w:bCs/>
          <w:sz w:val="22"/>
          <w:szCs w:val="22"/>
        </w:rPr>
      </w:pPr>
    </w:p>
    <w:p w14:paraId="7AE925F9" w14:textId="77777777" w:rsidR="001A6899" w:rsidRDefault="001A6899" w:rsidP="001A6899">
      <w:pPr>
        <w:jc w:val="both"/>
        <w:rPr>
          <w:rFonts w:ascii="Arial" w:hAnsi="Arial" w:cs="Arial"/>
          <w:b/>
          <w:bCs/>
          <w:sz w:val="22"/>
          <w:szCs w:val="22"/>
        </w:rPr>
      </w:pPr>
    </w:p>
    <w:p w14:paraId="5D62B0E0" w14:textId="77777777" w:rsidR="001A6899" w:rsidRDefault="001A6899" w:rsidP="001A6899">
      <w:pPr>
        <w:jc w:val="both"/>
        <w:rPr>
          <w:rFonts w:ascii="Arial" w:hAnsi="Arial" w:cs="Arial"/>
          <w:b/>
          <w:bCs/>
          <w:sz w:val="22"/>
          <w:szCs w:val="22"/>
        </w:rPr>
      </w:pPr>
    </w:p>
    <w:p w14:paraId="2E285F1D" w14:textId="77777777" w:rsidR="001A6899" w:rsidRDefault="001A6899" w:rsidP="001A6899">
      <w:pPr>
        <w:jc w:val="both"/>
        <w:rPr>
          <w:rFonts w:ascii="Arial" w:hAnsi="Arial" w:cs="Arial"/>
          <w:b/>
          <w:bCs/>
          <w:sz w:val="22"/>
          <w:szCs w:val="22"/>
        </w:rPr>
      </w:pPr>
    </w:p>
    <w:p w14:paraId="5DD597ED" w14:textId="77777777" w:rsidR="001A6899" w:rsidRDefault="001A6899" w:rsidP="001A6899">
      <w:pPr>
        <w:jc w:val="both"/>
        <w:rPr>
          <w:rFonts w:ascii="Arial" w:hAnsi="Arial" w:cs="Arial"/>
          <w:b/>
          <w:bCs/>
          <w:sz w:val="22"/>
          <w:szCs w:val="22"/>
        </w:rPr>
      </w:pPr>
    </w:p>
    <w:p w14:paraId="6632485F" w14:textId="77777777" w:rsidR="001A6899" w:rsidRDefault="001A6899" w:rsidP="001A6899">
      <w:pPr>
        <w:jc w:val="both"/>
        <w:rPr>
          <w:rFonts w:ascii="Arial" w:hAnsi="Arial" w:cs="Arial"/>
          <w:b/>
          <w:bCs/>
          <w:sz w:val="22"/>
          <w:szCs w:val="22"/>
        </w:rPr>
      </w:pPr>
    </w:p>
    <w:p w14:paraId="320F4638" w14:textId="77777777" w:rsidR="001A6899" w:rsidRDefault="001A6899" w:rsidP="001A6899">
      <w:pPr>
        <w:jc w:val="both"/>
        <w:rPr>
          <w:rFonts w:ascii="Arial" w:hAnsi="Arial" w:cs="Arial"/>
          <w:b/>
          <w:bCs/>
          <w:sz w:val="22"/>
          <w:szCs w:val="22"/>
        </w:rPr>
      </w:pPr>
    </w:p>
    <w:p w14:paraId="66DC620E" w14:textId="77777777" w:rsidR="001A6899" w:rsidRPr="00771BD8" w:rsidRDefault="001A6899" w:rsidP="001A6899">
      <w:pPr>
        <w:jc w:val="both"/>
        <w:rPr>
          <w:rFonts w:ascii="Arial" w:hAnsi="Arial" w:cs="Arial"/>
          <w:b/>
          <w:bCs/>
          <w:sz w:val="22"/>
          <w:szCs w:val="22"/>
        </w:rPr>
      </w:pPr>
    </w:p>
    <w:p w14:paraId="37CCA2EA" w14:textId="4F7325D1" w:rsidR="00750263" w:rsidRPr="00771BD8" w:rsidRDefault="006742CA"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3.3. </w:t>
      </w:r>
      <w:r w:rsidR="00750263" w:rsidRPr="00771BD8">
        <w:rPr>
          <w:rFonts w:ascii="Arial" w:hAnsi="Arial" w:cs="Arial"/>
          <w:b/>
          <w:bCs/>
          <w:sz w:val="22"/>
          <w:szCs w:val="22"/>
        </w:rPr>
        <w:t>Bile Salt Tolerance</w:t>
      </w:r>
    </w:p>
    <w:p w14:paraId="4092C43F" w14:textId="74F9F485"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Survival in the presence of bile salts at 0.3%, 0.5%, and 0.8% was tested (Table </w:t>
      </w:r>
      <w:r w:rsidR="00320F37" w:rsidRPr="0055657D">
        <w:rPr>
          <w:rFonts w:ascii="Arial" w:hAnsi="Arial" w:cs="Arial"/>
          <w:sz w:val="20"/>
          <w:szCs w:val="20"/>
        </w:rPr>
        <w:t>3</w:t>
      </w:r>
      <w:r w:rsidRPr="0055657D">
        <w:rPr>
          <w:rFonts w:ascii="Arial" w:hAnsi="Arial" w:cs="Arial"/>
          <w:sz w:val="20"/>
          <w:szCs w:val="20"/>
        </w:rPr>
        <w:t xml:space="preserve">). At 0.3%, survival ranged from 29% to 84%; at 0.5%, from 0% to 72%; and at 0.8%, from 0% to 63%. Eighteen isolates with survival ≥ 20% at 0.8% were </w:t>
      </w:r>
      <w:r w:rsidR="00560F91" w:rsidRPr="0055657D">
        <w:rPr>
          <w:rFonts w:ascii="Arial" w:hAnsi="Arial" w:cs="Arial"/>
          <w:sz w:val="20"/>
          <w:szCs w:val="20"/>
        </w:rPr>
        <w:t>selected</w:t>
      </w:r>
      <w:r w:rsidRPr="0055657D">
        <w:rPr>
          <w:rFonts w:ascii="Arial" w:hAnsi="Arial" w:cs="Arial"/>
          <w:sz w:val="20"/>
          <w:szCs w:val="20"/>
        </w:rPr>
        <w:t xml:space="preserve"> for further analyses.</w:t>
      </w:r>
    </w:p>
    <w:p w14:paraId="19DB0271"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13C762D" w14:textId="391099FD" w:rsidR="00320F37" w:rsidRPr="0055657D" w:rsidRDefault="00320F37" w:rsidP="00320F37">
      <w:pPr>
        <w:jc w:val="both"/>
        <w:rPr>
          <w:rFonts w:ascii="Arial" w:hAnsi="Arial" w:cs="Arial"/>
          <w:b/>
          <w:bCs/>
        </w:rPr>
      </w:pPr>
      <w:r w:rsidRPr="0055657D">
        <w:rPr>
          <w:rFonts w:ascii="Arial" w:hAnsi="Arial" w:cs="Arial"/>
          <w:b/>
          <w:bCs/>
        </w:rPr>
        <w:t>Table 3</w:t>
      </w:r>
      <w:r w:rsidR="00D52DEE">
        <w:rPr>
          <w:rFonts w:ascii="Arial" w:hAnsi="Arial" w:cs="Arial"/>
          <w:b/>
          <w:bCs/>
        </w:rPr>
        <w:t>.</w:t>
      </w:r>
      <w:r w:rsidRPr="0055657D">
        <w:rPr>
          <w:rFonts w:ascii="Arial" w:hAnsi="Arial" w:cs="Arial"/>
          <w:b/>
          <w:bCs/>
        </w:rPr>
        <w:t xml:space="preserve"> Survival rate of lactic acid bacteria isolates under bile salt stress</w:t>
      </w:r>
    </w:p>
    <w:p w14:paraId="778E7C54" w14:textId="77777777" w:rsidR="00320F37" w:rsidRPr="0055657D" w:rsidRDefault="00320F37" w:rsidP="00320F37">
      <w:pPr>
        <w:jc w:val="both"/>
        <w:rPr>
          <w:rFonts w:ascii="Arial" w:hAnsi="Arial" w:cs="Arial"/>
          <w:b/>
          <w:bCs/>
        </w:rPr>
      </w:pPr>
    </w:p>
    <w:tbl>
      <w:tblPr>
        <w:tblStyle w:val="TableGrid"/>
        <w:tblpPr w:leftFromText="141" w:rightFromText="141" w:vertAnchor="text" w:horzAnchor="margin" w:tblpY="-23"/>
        <w:tblW w:w="70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09"/>
        <w:gridCol w:w="809"/>
        <w:gridCol w:w="808"/>
        <w:gridCol w:w="1036"/>
        <w:gridCol w:w="1046"/>
        <w:gridCol w:w="763"/>
        <w:gridCol w:w="763"/>
      </w:tblGrid>
      <w:tr w:rsidR="00320F37" w:rsidRPr="00F55CB2" w14:paraId="0952092D" w14:textId="77777777" w:rsidTr="00F55CB2">
        <w:trPr>
          <w:trHeight w:val="275"/>
        </w:trPr>
        <w:tc>
          <w:tcPr>
            <w:tcW w:w="1036" w:type="dxa"/>
            <w:tcBorders>
              <w:top w:val="single" w:sz="4" w:space="0" w:color="auto"/>
              <w:bottom w:val="single" w:sz="4" w:space="0" w:color="auto"/>
            </w:tcBorders>
            <w:hideMark/>
          </w:tcPr>
          <w:p w14:paraId="3044968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Isolates</w:t>
            </w:r>
          </w:p>
        </w:tc>
        <w:tc>
          <w:tcPr>
            <w:tcW w:w="809" w:type="dxa"/>
            <w:tcBorders>
              <w:top w:val="single" w:sz="4" w:space="0" w:color="auto"/>
              <w:bottom w:val="single" w:sz="4" w:space="0" w:color="auto"/>
            </w:tcBorders>
          </w:tcPr>
          <w:p w14:paraId="524EB39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0,3 %</w:t>
            </w:r>
          </w:p>
        </w:tc>
        <w:tc>
          <w:tcPr>
            <w:tcW w:w="809" w:type="dxa"/>
            <w:tcBorders>
              <w:top w:val="single" w:sz="4" w:space="0" w:color="auto"/>
              <w:bottom w:val="single" w:sz="4" w:space="0" w:color="auto"/>
            </w:tcBorders>
          </w:tcPr>
          <w:p w14:paraId="304CBB2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0,5 %</w:t>
            </w:r>
          </w:p>
        </w:tc>
        <w:tc>
          <w:tcPr>
            <w:tcW w:w="808" w:type="dxa"/>
            <w:tcBorders>
              <w:top w:val="single" w:sz="4" w:space="0" w:color="auto"/>
              <w:bottom w:val="single" w:sz="4" w:space="0" w:color="auto"/>
            </w:tcBorders>
          </w:tcPr>
          <w:p w14:paraId="0AB5182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0,8 %</w:t>
            </w:r>
          </w:p>
        </w:tc>
        <w:tc>
          <w:tcPr>
            <w:tcW w:w="1036" w:type="dxa"/>
            <w:tcBorders>
              <w:top w:val="single" w:sz="4" w:space="0" w:color="auto"/>
              <w:bottom w:val="single" w:sz="4" w:space="0" w:color="auto"/>
            </w:tcBorders>
            <w:hideMark/>
          </w:tcPr>
          <w:p w14:paraId="606C0DC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Isolates</w:t>
            </w:r>
          </w:p>
        </w:tc>
        <w:tc>
          <w:tcPr>
            <w:tcW w:w="1046" w:type="dxa"/>
            <w:tcBorders>
              <w:top w:val="single" w:sz="4" w:space="0" w:color="auto"/>
              <w:bottom w:val="single" w:sz="4" w:space="0" w:color="auto"/>
            </w:tcBorders>
            <w:hideMark/>
          </w:tcPr>
          <w:p w14:paraId="2C591F9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0,3 %</w:t>
            </w:r>
          </w:p>
        </w:tc>
        <w:tc>
          <w:tcPr>
            <w:tcW w:w="763" w:type="dxa"/>
            <w:tcBorders>
              <w:top w:val="single" w:sz="4" w:space="0" w:color="auto"/>
              <w:bottom w:val="single" w:sz="4" w:space="0" w:color="auto"/>
            </w:tcBorders>
          </w:tcPr>
          <w:p w14:paraId="721E130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0,5 %</w:t>
            </w:r>
          </w:p>
        </w:tc>
        <w:tc>
          <w:tcPr>
            <w:tcW w:w="763" w:type="dxa"/>
            <w:tcBorders>
              <w:top w:val="single" w:sz="4" w:space="0" w:color="auto"/>
              <w:bottom w:val="single" w:sz="4" w:space="0" w:color="auto"/>
            </w:tcBorders>
          </w:tcPr>
          <w:p w14:paraId="06CD340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0,8 %</w:t>
            </w:r>
          </w:p>
        </w:tc>
      </w:tr>
      <w:tr w:rsidR="00320F37" w:rsidRPr="00F55CB2" w14:paraId="79809C9F" w14:textId="77777777" w:rsidTr="00F55CB2">
        <w:tc>
          <w:tcPr>
            <w:tcW w:w="1036" w:type="dxa"/>
            <w:tcBorders>
              <w:top w:val="single" w:sz="4" w:space="0" w:color="auto"/>
            </w:tcBorders>
            <w:hideMark/>
          </w:tcPr>
          <w:p w14:paraId="2B36B6E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1A</w:t>
            </w:r>
          </w:p>
        </w:tc>
        <w:tc>
          <w:tcPr>
            <w:tcW w:w="809" w:type="dxa"/>
            <w:tcBorders>
              <w:top w:val="single" w:sz="4" w:space="0" w:color="auto"/>
            </w:tcBorders>
          </w:tcPr>
          <w:p w14:paraId="6D136E3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809" w:type="dxa"/>
            <w:tcBorders>
              <w:top w:val="single" w:sz="4" w:space="0" w:color="auto"/>
            </w:tcBorders>
          </w:tcPr>
          <w:p w14:paraId="1D77496F"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808" w:type="dxa"/>
            <w:tcBorders>
              <w:top w:val="single" w:sz="4" w:space="0" w:color="auto"/>
            </w:tcBorders>
          </w:tcPr>
          <w:p w14:paraId="0448F61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26 %</w:t>
            </w:r>
          </w:p>
        </w:tc>
        <w:tc>
          <w:tcPr>
            <w:tcW w:w="1036" w:type="dxa"/>
            <w:tcBorders>
              <w:top w:val="single" w:sz="4" w:space="0" w:color="auto"/>
            </w:tcBorders>
          </w:tcPr>
          <w:p w14:paraId="7E150D1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 xml:space="preserve">Jab Ib </w:t>
            </w:r>
          </w:p>
        </w:tc>
        <w:tc>
          <w:tcPr>
            <w:tcW w:w="1046" w:type="dxa"/>
            <w:tcBorders>
              <w:top w:val="single" w:sz="4" w:space="0" w:color="auto"/>
            </w:tcBorders>
          </w:tcPr>
          <w:p w14:paraId="08A3410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55 %</w:t>
            </w:r>
          </w:p>
        </w:tc>
        <w:tc>
          <w:tcPr>
            <w:tcW w:w="763" w:type="dxa"/>
            <w:tcBorders>
              <w:top w:val="single" w:sz="4" w:space="0" w:color="auto"/>
            </w:tcBorders>
          </w:tcPr>
          <w:p w14:paraId="7A02B37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43 %</w:t>
            </w:r>
          </w:p>
        </w:tc>
        <w:tc>
          <w:tcPr>
            <w:tcW w:w="763" w:type="dxa"/>
            <w:tcBorders>
              <w:top w:val="single" w:sz="4" w:space="0" w:color="auto"/>
            </w:tcBorders>
          </w:tcPr>
          <w:p w14:paraId="54AC853F"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r w:rsidR="00320F37" w:rsidRPr="00F55CB2" w14:paraId="7163E730" w14:textId="77777777" w:rsidTr="00F55CB2">
        <w:tc>
          <w:tcPr>
            <w:tcW w:w="1036" w:type="dxa"/>
            <w:hideMark/>
          </w:tcPr>
          <w:p w14:paraId="56057EB0"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4A</w:t>
            </w:r>
          </w:p>
        </w:tc>
        <w:tc>
          <w:tcPr>
            <w:tcW w:w="809" w:type="dxa"/>
          </w:tcPr>
          <w:p w14:paraId="2BDA1AC1"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56 %</w:t>
            </w:r>
          </w:p>
        </w:tc>
        <w:tc>
          <w:tcPr>
            <w:tcW w:w="809" w:type="dxa"/>
          </w:tcPr>
          <w:p w14:paraId="6941186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47 %</w:t>
            </w:r>
          </w:p>
        </w:tc>
        <w:tc>
          <w:tcPr>
            <w:tcW w:w="808" w:type="dxa"/>
          </w:tcPr>
          <w:p w14:paraId="015233C3"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21 %</w:t>
            </w:r>
          </w:p>
        </w:tc>
        <w:tc>
          <w:tcPr>
            <w:tcW w:w="1036" w:type="dxa"/>
          </w:tcPr>
          <w:p w14:paraId="49987B7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Jab Vc</w:t>
            </w:r>
          </w:p>
        </w:tc>
        <w:tc>
          <w:tcPr>
            <w:tcW w:w="1046" w:type="dxa"/>
          </w:tcPr>
          <w:p w14:paraId="79C60E0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61 %</w:t>
            </w:r>
          </w:p>
        </w:tc>
        <w:tc>
          <w:tcPr>
            <w:tcW w:w="763" w:type="dxa"/>
          </w:tcPr>
          <w:p w14:paraId="3E14060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58 %</w:t>
            </w:r>
          </w:p>
        </w:tc>
        <w:tc>
          <w:tcPr>
            <w:tcW w:w="763" w:type="dxa"/>
          </w:tcPr>
          <w:p w14:paraId="2137B69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21 %</w:t>
            </w:r>
          </w:p>
        </w:tc>
      </w:tr>
      <w:tr w:rsidR="00320F37" w:rsidRPr="00F55CB2" w14:paraId="741D0E43" w14:textId="77777777" w:rsidTr="00F55CB2">
        <w:tc>
          <w:tcPr>
            <w:tcW w:w="1036" w:type="dxa"/>
          </w:tcPr>
          <w:p w14:paraId="20A908B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6A</w:t>
            </w:r>
          </w:p>
        </w:tc>
        <w:tc>
          <w:tcPr>
            <w:tcW w:w="809" w:type="dxa"/>
          </w:tcPr>
          <w:p w14:paraId="0FBFF3BB"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56 %</w:t>
            </w:r>
          </w:p>
        </w:tc>
        <w:tc>
          <w:tcPr>
            <w:tcW w:w="809" w:type="dxa"/>
          </w:tcPr>
          <w:p w14:paraId="51F5F69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44 %</w:t>
            </w:r>
          </w:p>
        </w:tc>
        <w:tc>
          <w:tcPr>
            <w:tcW w:w="808" w:type="dxa"/>
          </w:tcPr>
          <w:p w14:paraId="6401FEC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36 %</w:t>
            </w:r>
          </w:p>
        </w:tc>
        <w:tc>
          <w:tcPr>
            <w:tcW w:w="1036" w:type="dxa"/>
          </w:tcPr>
          <w:p w14:paraId="3B9734A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Jab 3E</w:t>
            </w:r>
          </w:p>
        </w:tc>
        <w:tc>
          <w:tcPr>
            <w:tcW w:w="1046" w:type="dxa"/>
          </w:tcPr>
          <w:p w14:paraId="32CB3B17"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84%</w:t>
            </w:r>
          </w:p>
        </w:tc>
        <w:tc>
          <w:tcPr>
            <w:tcW w:w="763" w:type="dxa"/>
          </w:tcPr>
          <w:p w14:paraId="39A6AE1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66 %</w:t>
            </w:r>
          </w:p>
        </w:tc>
        <w:tc>
          <w:tcPr>
            <w:tcW w:w="763" w:type="dxa"/>
          </w:tcPr>
          <w:p w14:paraId="4A71357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40 %</w:t>
            </w:r>
          </w:p>
        </w:tc>
      </w:tr>
      <w:tr w:rsidR="00320F37" w:rsidRPr="00F55CB2" w14:paraId="2D22CDFB" w14:textId="77777777" w:rsidTr="00F55CB2">
        <w:tc>
          <w:tcPr>
            <w:tcW w:w="1036" w:type="dxa"/>
            <w:hideMark/>
          </w:tcPr>
          <w:p w14:paraId="19B9201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6B</w:t>
            </w:r>
          </w:p>
        </w:tc>
        <w:tc>
          <w:tcPr>
            <w:tcW w:w="809" w:type="dxa"/>
          </w:tcPr>
          <w:p w14:paraId="6E110704"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60 %</w:t>
            </w:r>
          </w:p>
        </w:tc>
        <w:tc>
          <w:tcPr>
            <w:tcW w:w="809" w:type="dxa"/>
          </w:tcPr>
          <w:p w14:paraId="1E471D8A"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53 %</w:t>
            </w:r>
          </w:p>
        </w:tc>
        <w:tc>
          <w:tcPr>
            <w:tcW w:w="808" w:type="dxa"/>
          </w:tcPr>
          <w:p w14:paraId="2944FEFE"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46 %</w:t>
            </w:r>
          </w:p>
        </w:tc>
        <w:tc>
          <w:tcPr>
            <w:tcW w:w="1036" w:type="dxa"/>
          </w:tcPr>
          <w:p w14:paraId="56F7112A"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Jab 4D</w:t>
            </w:r>
          </w:p>
        </w:tc>
        <w:tc>
          <w:tcPr>
            <w:tcW w:w="1046" w:type="dxa"/>
          </w:tcPr>
          <w:p w14:paraId="5F5A6F9E"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57 %</w:t>
            </w:r>
          </w:p>
        </w:tc>
        <w:tc>
          <w:tcPr>
            <w:tcW w:w="763" w:type="dxa"/>
          </w:tcPr>
          <w:p w14:paraId="2B78E7CD"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41 %</w:t>
            </w:r>
          </w:p>
        </w:tc>
        <w:tc>
          <w:tcPr>
            <w:tcW w:w="763" w:type="dxa"/>
          </w:tcPr>
          <w:p w14:paraId="5861706C"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20 %</w:t>
            </w:r>
          </w:p>
        </w:tc>
      </w:tr>
      <w:tr w:rsidR="00320F37" w:rsidRPr="00F55CB2" w14:paraId="6792D397" w14:textId="77777777" w:rsidTr="00F55CB2">
        <w:tc>
          <w:tcPr>
            <w:tcW w:w="1036" w:type="dxa"/>
          </w:tcPr>
          <w:p w14:paraId="2B44DB7E"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10B</w:t>
            </w:r>
          </w:p>
        </w:tc>
        <w:tc>
          <w:tcPr>
            <w:tcW w:w="809" w:type="dxa"/>
          </w:tcPr>
          <w:p w14:paraId="0BA54B4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64 %</w:t>
            </w:r>
          </w:p>
        </w:tc>
        <w:tc>
          <w:tcPr>
            <w:tcW w:w="809" w:type="dxa"/>
          </w:tcPr>
          <w:p w14:paraId="5F46198B"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53 %</w:t>
            </w:r>
          </w:p>
        </w:tc>
        <w:tc>
          <w:tcPr>
            <w:tcW w:w="808" w:type="dxa"/>
          </w:tcPr>
          <w:p w14:paraId="1F4EC42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1036" w:type="dxa"/>
          </w:tcPr>
          <w:p w14:paraId="2BC82A7E"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B1C</w:t>
            </w:r>
          </w:p>
        </w:tc>
        <w:tc>
          <w:tcPr>
            <w:tcW w:w="1046" w:type="dxa"/>
          </w:tcPr>
          <w:p w14:paraId="3912F63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80 %</w:t>
            </w:r>
          </w:p>
        </w:tc>
        <w:tc>
          <w:tcPr>
            <w:tcW w:w="763" w:type="dxa"/>
          </w:tcPr>
          <w:p w14:paraId="277BAE8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72 %</w:t>
            </w:r>
          </w:p>
        </w:tc>
        <w:tc>
          <w:tcPr>
            <w:tcW w:w="763" w:type="dxa"/>
          </w:tcPr>
          <w:p w14:paraId="4EE2A2F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34 %</w:t>
            </w:r>
          </w:p>
        </w:tc>
      </w:tr>
      <w:tr w:rsidR="00320F37" w:rsidRPr="00F55CB2" w14:paraId="5A443823" w14:textId="77777777" w:rsidTr="00F55CB2">
        <w:tc>
          <w:tcPr>
            <w:tcW w:w="1036" w:type="dxa"/>
          </w:tcPr>
          <w:p w14:paraId="06CC3D5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17A</w:t>
            </w:r>
          </w:p>
        </w:tc>
        <w:tc>
          <w:tcPr>
            <w:tcW w:w="809" w:type="dxa"/>
          </w:tcPr>
          <w:p w14:paraId="645A2B9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77 %</w:t>
            </w:r>
          </w:p>
        </w:tc>
        <w:tc>
          <w:tcPr>
            <w:tcW w:w="809" w:type="dxa"/>
          </w:tcPr>
          <w:p w14:paraId="72480D4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69 %</w:t>
            </w:r>
          </w:p>
        </w:tc>
        <w:tc>
          <w:tcPr>
            <w:tcW w:w="808" w:type="dxa"/>
          </w:tcPr>
          <w:p w14:paraId="51328EE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63 %</w:t>
            </w:r>
          </w:p>
        </w:tc>
        <w:tc>
          <w:tcPr>
            <w:tcW w:w="1036" w:type="dxa"/>
          </w:tcPr>
          <w:p w14:paraId="1BA0DE4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B6A</w:t>
            </w:r>
          </w:p>
        </w:tc>
        <w:tc>
          <w:tcPr>
            <w:tcW w:w="1046" w:type="dxa"/>
          </w:tcPr>
          <w:p w14:paraId="057B2F2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763" w:type="dxa"/>
          </w:tcPr>
          <w:p w14:paraId="61CC558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49 %</w:t>
            </w:r>
          </w:p>
        </w:tc>
        <w:tc>
          <w:tcPr>
            <w:tcW w:w="763" w:type="dxa"/>
          </w:tcPr>
          <w:p w14:paraId="76F96FD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29 %</w:t>
            </w:r>
          </w:p>
        </w:tc>
      </w:tr>
      <w:tr w:rsidR="00320F37" w:rsidRPr="00F55CB2" w14:paraId="20469058" w14:textId="77777777" w:rsidTr="00F55CB2">
        <w:tc>
          <w:tcPr>
            <w:tcW w:w="1036" w:type="dxa"/>
          </w:tcPr>
          <w:p w14:paraId="062A770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17B</w:t>
            </w:r>
          </w:p>
        </w:tc>
        <w:tc>
          <w:tcPr>
            <w:tcW w:w="809" w:type="dxa"/>
          </w:tcPr>
          <w:p w14:paraId="2623FE2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68 %</w:t>
            </w:r>
          </w:p>
        </w:tc>
        <w:tc>
          <w:tcPr>
            <w:tcW w:w="809" w:type="dxa"/>
          </w:tcPr>
          <w:p w14:paraId="4DD954F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808" w:type="dxa"/>
          </w:tcPr>
          <w:p w14:paraId="259D4FD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1036" w:type="dxa"/>
          </w:tcPr>
          <w:p w14:paraId="1F0BAE5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T2B</w:t>
            </w:r>
          </w:p>
        </w:tc>
        <w:tc>
          <w:tcPr>
            <w:tcW w:w="1046" w:type="dxa"/>
          </w:tcPr>
          <w:p w14:paraId="1E2CEA6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52 %</w:t>
            </w:r>
          </w:p>
        </w:tc>
        <w:tc>
          <w:tcPr>
            <w:tcW w:w="763" w:type="dxa"/>
          </w:tcPr>
          <w:p w14:paraId="3C29F36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37 %</w:t>
            </w:r>
          </w:p>
        </w:tc>
        <w:tc>
          <w:tcPr>
            <w:tcW w:w="763" w:type="dxa"/>
          </w:tcPr>
          <w:p w14:paraId="306B527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23 %</w:t>
            </w:r>
          </w:p>
        </w:tc>
      </w:tr>
      <w:tr w:rsidR="00320F37" w:rsidRPr="00F55CB2" w14:paraId="5A071D35" w14:textId="77777777" w:rsidTr="00F55CB2">
        <w:tc>
          <w:tcPr>
            <w:tcW w:w="1036" w:type="dxa"/>
            <w:hideMark/>
          </w:tcPr>
          <w:p w14:paraId="4E1C4AE6"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17C</w:t>
            </w:r>
          </w:p>
        </w:tc>
        <w:tc>
          <w:tcPr>
            <w:tcW w:w="809" w:type="dxa"/>
          </w:tcPr>
          <w:p w14:paraId="2E72259C"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72 %</w:t>
            </w:r>
          </w:p>
        </w:tc>
        <w:tc>
          <w:tcPr>
            <w:tcW w:w="809" w:type="dxa"/>
          </w:tcPr>
          <w:p w14:paraId="6C19932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65 %</w:t>
            </w:r>
          </w:p>
        </w:tc>
        <w:tc>
          <w:tcPr>
            <w:tcW w:w="808" w:type="dxa"/>
          </w:tcPr>
          <w:p w14:paraId="2C2F5C4B"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61 %</w:t>
            </w:r>
          </w:p>
        </w:tc>
        <w:tc>
          <w:tcPr>
            <w:tcW w:w="1036" w:type="dxa"/>
          </w:tcPr>
          <w:p w14:paraId="2FF47F57"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T4B</w:t>
            </w:r>
          </w:p>
        </w:tc>
        <w:tc>
          <w:tcPr>
            <w:tcW w:w="1046" w:type="dxa"/>
          </w:tcPr>
          <w:p w14:paraId="51C5FB2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54 %</w:t>
            </w:r>
          </w:p>
        </w:tc>
        <w:tc>
          <w:tcPr>
            <w:tcW w:w="763" w:type="dxa"/>
          </w:tcPr>
          <w:p w14:paraId="3340089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31 %</w:t>
            </w:r>
          </w:p>
        </w:tc>
        <w:tc>
          <w:tcPr>
            <w:tcW w:w="763" w:type="dxa"/>
          </w:tcPr>
          <w:p w14:paraId="3A9750E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bl>
    <w:p w14:paraId="5DF8670C" w14:textId="77777777" w:rsidR="00320F37" w:rsidRPr="0055657D" w:rsidRDefault="00320F37" w:rsidP="00320F37">
      <w:pPr>
        <w:jc w:val="both"/>
        <w:rPr>
          <w:rFonts w:ascii="Arial" w:hAnsi="Arial" w:cs="Arial"/>
          <w:b/>
          <w:bCs/>
        </w:rPr>
      </w:pPr>
    </w:p>
    <w:p w14:paraId="1D962DAC" w14:textId="77777777" w:rsidR="00320F37" w:rsidRPr="0055657D" w:rsidRDefault="00320F37" w:rsidP="00320F37">
      <w:pPr>
        <w:jc w:val="both"/>
        <w:rPr>
          <w:rFonts w:ascii="Arial" w:hAnsi="Arial" w:cs="Arial"/>
          <w:b/>
          <w:bCs/>
        </w:rPr>
      </w:pPr>
    </w:p>
    <w:p w14:paraId="2562F20F" w14:textId="77777777" w:rsidR="00320F37" w:rsidRPr="0055657D" w:rsidRDefault="00320F37" w:rsidP="00320F37">
      <w:pPr>
        <w:jc w:val="both"/>
        <w:rPr>
          <w:rFonts w:ascii="Arial" w:hAnsi="Arial" w:cs="Arial"/>
          <w:b/>
          <w:bCs/>
        </w:rPr>
      </w:pPr>
    </w:p>
    <w:p w14:paraId="5FECE35E" w14:textId="77777777" w:rsidR="00320F37" w:rsidRPr="0055657D" w:rsidRDefault="00320F37" w:rsidP="00320F37">
      <w:pPr>
        <w:jc w:val="both"/>
        <w:rPr>
          <w:rFonts w:ascii="Arial" w:hAnsi="Arial" w:cs="Arial"/>
          <w:b/>
          <w:bCs/>
        </w:rPr>
      </w:pPr>
    </w:p>
    <w:p w14:paraId="1DDB76A6" w14:textId="77777777" w:rsidR="00320F37" w:rsidRPr="0055657D" w:rsidRDefault="00320F37" w:rsidP="00320F37">
      <w:pPr>
        <w:jc w:val="both"/>
        <w:rPr>
          <w:rFonts w:ascii="Arial" w:hAnsi="Arial" w:cs="Arial"/>
          <w:b/>
          <w:bCs/>
        </w:rPr>
      </w:pPr>
    </w:p>
    <w:p w14:paraId="07638E8F" w14:textId="77777777" w:rsidR="00320F37" w:rsidRPr="0055657D" w:rsidRDefault="00320F37" w:rsidP="00320F37">
      <w:pPr>
        <w:jc w:val="both"/>
        <w:rPr>
          <w:rFonts w:ascii="Arial" w:hAnsi="Arial" w:cs="Arial"/>
          <w:b/>
          <w:bCs/>
        </w:rPr>
      </w:pPr>
    </w:p>
    <w:p w14:paraId="1160A5AC" w14:textId="77777777" w:rsidR="00320F37" w:rsidRPr="0055657D" w:rsidRDefault="00320F37" w:rsidP="00320F37">
      <w:pPr>
        <w:jc w:val="both"/>
        <w:rPr>
          <w:rFonts w:ascii="Arial" w:hAnsi="Arial" w:cs="Arial"/>
          <w:b/>
          <w:bCs/>
        </w:rPr>
      </w:pPr>
    </w:p>
    <w:p w14:paraId="43C060EB" w14:textId="77777777" w:rsidR="00320F37" w:rsidRPr="0055657D" w:rsidRDefault="00320F37" w:rsidP="00320F37">
      <w:pPr>
        <w:jc w:val="both"/>
        <w:rPr>
          <w:rFonts w:ascii="Arial" w:hAnsi="Arial" w:cs="Arial"/>
          <w:b/>
          <w:bCs/>
        </w:rPr>
      </w:pPr>
    </w:p>
    <w:p w14:paraId="4653025E" w14:textId="77777777" w:rsidR="00320F37" w:rsidRPr="0055657D" w:rsidRDefault="00320F37" w:rsidP="00320F37">
      <w:pPr>
        <w:jc w:val="both"/>
        <w:rPr>
          <w:rFonts w:ascii="Arial" w:hAnsi="Arial" w:cs="Arial"/>
          <w:b/>
          <w:bCs/>
        </w:rPr>
      </w:pPr>
    </w:p>
    <w:p w14:paraId="798EB8AC" w14:textId="77777777" w:rsidR="00320F37" w:rsidRPr="0055657D" w:rsidRDefault="00320F37" w:rsidP="00320F37">
      <w:pPr>
        <w:jc w:val="both"/>
        <w:rPr>
          <w:rFonts w:ascii="Arial" w:hAnsi="Arial" w:cs="Arial"/>
          <w:b/>
          <w:bCs/>
        </w:rPr>
      </w:pPr>
    </w:p>
    <w:p w14:paraId="734F873B" w14:textId="77777777" w:rsidR="00320F37" w:rsidRPr="0055657D" w:rsidRDefault="00320F37" w:rsidP="00320F37">
      <w:pPr>
        <w:jc w:val="both"/>
        <w:rPr>
          <w:rFonts w:ascii="Arial" w:hAnsi="Arial" w:cs="Arial"/>
          <w:b/>
          <w:bCs/>
        </w:rPr>
      </w:pPr>
    </w:p>
    <w:p w14:paraId="28BE5D1A" w14:textId="77777777" w:rsidR="00320F37" w:rsidRPr="0055657D" w:rsidRDefault="00320F37" w:rsidP="00320F37">
      <w:pPr>
        <w:jc w:val="both"/>
        <w:rPr>
          <w:rFonts w:ascii="Arial" w:hAnsi="Arial" w:cs="Arial"/>
          <w:b/>
          <w:bCs/>
        </w:rPr>
      </w:pPr>
    </w:p>
    <w:p w14:paraId="597F8B8A" w14:textId="32BB7787" w:rsidR="00750263" w:rsidRPr="00771BD8" w:rsidRDefault="00911A8C"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3.4. </w:t>
      </w:r>
      <w:r w:rsidR="00750263" w:rsidRPr="00771BD8">
        <w:rPr>
          <w:rFonts w:ascii="Arial" w:hAnsi="Arial" w:cs="Arial"/>
          <w:b/>
          <w:bCs/>
          <w:sz w:val="22"/>
          <w:szCs w:val="22"/>
        </w:rPr>
        <w:t>Adhesion Capacity</w:t>
      </w:r>
    </w:p>
    <w:p w14:paraId="0D190122" w14:textId="26D03773"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Adhesion to epithelial cells was measured through hydrophobicity </w:t>
      </w:r>
      <w:r w:rsidRPr="00791D5C">
        <w:rPr>
          <w:rFonts w:ascii="Arial" w:hAnsi="Arial" w:cs="Arial"/>
          <w:sz w:val="20"/>
          <w:szCs w:val="20"/>
        </w:rPr>
        <w:t xml:space="preserve">assays (Table </w:t>
      </w:r>
      <w:r w:rsidR="00677B2E" w:rsidRPr="00791D5C">
        <w:rPr>
          <w:rFonts w:ascii="Arial" w:hAnsi="Arial" w:cs="Arial"/>
          <w:sz w:val="20"/>
          <w:szCs w:val="20"/>
        </w:rPr>
        <w:t>4</w:t>
      </w:r>
      <w:r w:rsidRPr="00791D5C">
        <w:rPr>
          <w:rFonts w:ascii="Arial" w:hAnsi="Arial" w:cs="Arial"/>
          <w:sz w:val="20"/>
          <w:szCs w:val="20"/>
        </w:rPr>
        <w:t>).</w:t>
      </w:r>
      <w:r w:rsidRPr="0055657D">
        <w:rPr>
          <w:rFonts w:ascii="Arial" w:hAnsi="Arial" w:cs="Arial"/>
          <w:sz w:val="20"/>
          <w:szCs w:val="20"/>
        </w:rPr>
        <w:t xml:space="preserve"> Adhesion percentages ranged from 65% to 93%. The highest adhesion (93%) was recorded for isolate 1A from broiler chickens. Eight isolates with adhesion ≥ 80% were selected, including two from broilers (1A, 6A), two from traditional chickens (Jab 4D, Jab Vc), two from Bandji (B1C, B6C), and two from Tchapalo (T2B, T4B).</w:t>
      </w:r>
    </w:p>
    <w:p w14:paraId="6A04F703" w14:textId="77777777" w:rsidR="00320F37" w:rsidRPr="0055657D" w:rsidRDefault="00320F37" w:rsidP="00320F37">
      <w:pPr>
        <w:jc w:val="both"/>
        <w:rPr>
          <w:rFonts w:ascii="Arial" w:hAnsi="Arial" w:cs="Arial"/>
          <w:b/>
          <w:bCs/>
        </w:rPr>
      </w:pPr>
    </w:p>
    <w:p w14:paraId="4C979B42" w14:textId="77777777" w:rsidR="00D52DEE" w:rsidRDefault="00D52DEE" w:rsidP="00320F37">
      <w:pPr>
        <w:jc w:val="both"/>
        <w:rPr>
          <w:rFonts w:ascii="Arial" w:hAnsi="Arial" w:cs="Arial"/>
          <w:b/>
          <w:bCs/>
        </w:rPr>
      </w:pPr>
    </w:p>
    <w:p w14:paraId="1EFA6B6E" w14:textId="77777777" w:rsidR="00D52DEE" w:rsidRDefault="00D52DEE" w:rsidP="00320F37">
      <w:pPr>
        <w:jc w:val="both"/>
        <w:rPr>
          <w:rFonts w:ascii="Arial" w:hAnsi="Arial" w:cs="Arial"/>
          <w:b/>
          <w:bCs/>
        </w:rPr>
      </w:pPr>
    </w:p>
    <w:p w14:paraId="3839E5AF" w14:textId="77777777" w:rsidR="00F0774C" w:rsidRDefault="00F0774C" w:rsidP="00320F37">
      <w:pPr>
        <w:jc w:val="both"/>
        <w:rPr>
          <w:rFonts w:ascii="Arial" w:hAnsi="Arial" w:cs="Arial"/>
          <w:b/>
          <w:bCs/>
        </w:rPr>
      </w:pPr>
    </w:p>
    <w:p w14:paraId="3C234461" w14:textId="77777777" w:rsidR="00D52DEE" w:rsidRDefault="00D52DEE" w:rsidP="00320F37">
      <w:pPr>
        <w:jc w:val="both"/>
        <w:rPr>
          <w:rFonts w:ascii="Arial" w:hAnsi="Arial" w:cs="Arial"/>
          <w:b/>
          <w:bCs/>
        </w:rPr>
      </w:pPr>
    </w:p>
    <w:p w14:paraId="5B852BE5" w14:textId="3DFCE613" w:rsidR="00320F37" w:rsidRPr="00D52DEE" w:rsidRDefault="00320F37" w:rsidP="00320F37">
      <w:pPr>
        <w:jc w:val="both"/>
        <w:rPr>
          <w:rFonts w:ascii="Arial" w:hAnsi="Arial" w:cs="Arial"/>
          <w:b/>
          <w:bCs/>
        </w:rPr>
      </w:pPr>
      <w:r w:rsidRPr="00D52DEE">
        <w:rPr>
          <w:rFonts w:ascii="Arial" w:hAnsi="Arial" w:cs="Arial"/>
          <w:b/>
          <w:bCs/>
        </w:rPr>
        <w:t xml:space="preserve">Table </w:t>
      </w:r>
      <w:r w:rsidR="002C79AC" w:rsidRPr="00D52DEE">
        <w:rPr>
          <w:rFonts w:ascii="Arial" w:hAnsi="Arial" w:cs="Arial"/>
          <w:b/>
          <w:bCs/>
        </w:rPr>
        <w:t>4</w:t>
      </w:r>
      <w:r w:rsidR="00D52DEE">
        <w:rPr>
          <w:rFonts w:ascii="Arial" w:hAnsi="Arial" w:cs="Arial"/>
          <w:b/>
          <w:bCs/>
        </w:rPr>
        <w:t>.</w:t>
      </w:r>
      <w:r w:rsidRPr="00D52DEE">
        <w:rPr>
          <w:rFonts w:ascii="Arial" w:hAnsi="Arial" w:cs="Arial"/>
          <w:b/>
          <w:bCs/>
        </w:rPr>
        <w:t xml:space="preserve"> Adhesion capacity of lactic acid bacteria isolates to epithelial cells</w:t>
      </w:r>
    </w:p>
    <w:tbl>
      <w:tblPr>
        <w:tblStyle w:val="TableGrid"/>
        <w:tblpPr w:leftFromText="141" w:rightFromText="141" w:vertAnchor="text" w:horzAnchor="margin" w:tblpXSpec="center" w:tblpY="157"/>
        <w:tblW w:w="58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01"/>
      </w:tblGrid>
      <w:tr w:rsidR="00F7404C" w:rsidRPr="00390D56" w14:paraId="5AD88781" w14:textId="77777777" w:rsidTr="00390D56">
        <w:trPr>
          <w:trHeight w:val="272"/>
        </w:trPr>
        <w:tc>
          <w:tcPr>
            <w:tcW w:w="4392" w:type="dxa"/>
            <w:tcBorders>
              <w:top w:val="single" w:sz="4" w:space="0" w:color="auto"/>
              <w:bottom w:val="single" w:sz="4" w:space="0" w:color="auto"/>
            </w:tcBorders>
            <w:hideMark/>
          </w:tcPr>
          <w:p w14:paraId="1EF1C90F"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Isolates</w:t>
            </w:r>
          </w:p>
        </w:tc>
        <w:tc>
          <w:tcPr>
            <w:tcW w:w="1501" w:type="dxa"/>
            <w:tcBorders>
              <w:top w:val="single" w:sz="4" w:space="0" w:color="auto"/>
              <w:bottom w:val="single" w:sz="4" w:space="0" w:color="auto"/>
            </w:tcBorders>
          </w:tcPr>
          <w:p w14:paraId="3CBB0843"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Adhesion</w:t>
            </w:r>
          </w:p>
        </w:tc>
      </w:tr>
      <w:tr w:rsidR="00F7404C" w:rsidRPr="00390D56" w14:paraId="4CB79B4F" w14:textId="77777777" w:rsidTr="00390D56">
        <w:trPr>
          <w:trHeight w:val="267"/>
        </w:trPr>
        <w:tc>
          <w:tcPr>
            <w:tcW w:w="4392" w:type="dxa"/>
            <w:tcBorders>
              <w:top w:val="single" w:sz="4" w:space="0" w:color="auto"/>
            </w:tcBorders>
            <w:hideMark/>
          </w:tcPr>
          <w:p w14:paraId="3FD3588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1A</w:t>
            </w:r>
          </w:p>
        </w:tc>
        <w:tc>
          <w:tcPr>
            <w:tcW w:w="1501" w:type="dxa"/>
            <w:tcBorders>
              <w:top w:val="single" w:sz="4" w:space="0" w:color="auto"/>
            </w:tcBorders>
          </w:tcPr>
          <w:p w14:paraId="29F6EAE9"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93 %</w:t>
            </w:r>
          </w:p>
        </w:tc>
      </w:tr>
      <w:tr w:rsidR="00F7404C" w:rsidRPr="00390D56" w14:paraId="2042606B" w14:textId="77777777" w:rsidTr="00390D56">
        <w:trPr>
          <w:trHeight w:val="267"/>
        </w:trPr>
        <w:tc>
          <w:tcPr>
            <w:tcW w:w="4392" w:type="dxa"/>
            <w:hideMark/>
          </w:tcPr>
          <w:p w14:paraId="3ACE06A8"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6A</w:t>
            </w:r>
          </w:p>
        </w:tc>
        <w:tc>
          <w:tcPr>
            <w:tcW w:w="1501" w:type="dxa"/>
          </w:tcPr>
          <w:p w14:paraId="0CE23686"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91 %</w:t>
            </w:r>
          </w:p>
        </w:tc>
      </w:tr>
      <w:tr w:rsidR="00F7404C" w:rsidRPr="00390D56" w14:paraId="5F6CEC5F" w14:textId="77777777" w:rsidTr="00390D56">
        <w:trPr>
          <w:trHeight w:val="267"/>
        </w:trPr>
        <w:tc>
          <w:tcPr>
            <w:tcW w:w="4392" w:type="dxa"/>
          </w:tcPr>
          <w:p w14:paraId="2D79B3E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17B</w:t>
            </w:r>
          </w:p>
        </w:tc>
        <w:tc>
          <w:tcPr>
            <w:tcW w:w="1501" w:type="dxa"/>
          </w:tcPr>
          <w:p w14:paraId="30F66B66"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81 %</w:t>
            </w:r>
          </w:p>
        </w:tc>
      </w:tr>
      <w:tr w:rsidR="00F7404C" w:rsidRPr="00390D56" w14:paraId="5D93411D" w14:textId="77777777" w:rsidTr="00390D56">
        <w:trPr>
          <w:trHeight w:val="267"/>
        </w:trPr>
        <w:tc>
          <w:tcPr>
            <w:tcW w:w="4392" w:type="dxa"/>
            <w:hideMark/>
          </w:tcPr>
          <w:p w14:paraId="70B4DFC3"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Jab Ib</w:t>
            </w:r>
          </w:p>
        </w:tc>
        <w:tc>
          <w:tcPr>
            <w:tcW w:w="1501" w:type="dxa"/>
          </w:tcPr>
          <w:p w14:paraId="65F92137"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76 %</w:t>
            </w:r>
          </w:p>
        </w:tc>
      </w:tr>
      <w:tr w:rsidR="00F7404C" w:rsidRPr="00390D56" w14:paraId="36B28A89" w14:textId="77777777" w:rsidTr="00390D56">
        <w:trPr>
          <w:trHeight w:val="266"/>
        </w:trPr>
        <w:tc>
          <w:tcPr>
            <w:tcW w:w="4392" w:type="dxa"/>
          </w:tcPr>
          <w:p w14:paraId="7535E2C7"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Jab Vc</w:t>
            </w:r>
          </w:p>
        </w:tc>
        <w:tc>
          <w:tcPr>
            <w:tcW w:w="1501" w:type="dxa"/>
          </w:tcPr>
          <w:p w14:paraId="2F49E60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84 %</w:t>
            </w:r>
          </w:p>
        </w:tc>
      </w:tr>
      <w:tr w:rsidR="00F7404C" w:rsidRPr="00390D56" w14:paraId="2342CDC2" w14:textId="77777777" w:rsidTr="00390D56">
        <w:trPr>
          <w:trHeight w:val="314"/>
        </w:trPr>
        <w:tc>
          <w:tcPr>
            <w:tcW w:w="4392" w:type="dxa"/>
          </w:tcPr>
          <w:p w14:paraId="7A7971EC"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Jab 4D</w:t>
            </w:r>
          </w:p>
        </w:tc>
        <w:tc>
          <w:tcPr>
            <w:tcW w:w="1501" w:type="dxa"/>
          </w:tcPr>
          <w:p w14:paraId="201467D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87 %</w:t>
            </w:r>
          </w:p>
        </w:tc>
      </w:tr>
      <w:tr w:rsidR="00F7404C" w:rsidRPr="00390D56" w14:paraId="3EB210F2" w14:textId="77777777" w:rsidTr="00390D56">
        <w:trPr>
          <w:trHeight w:val="314"/>
        </w:trPr>
        <w:tc>
          <w:tcPr>
            <w:tcW w:w="4392" w:type="dxa"/>
          </w:tcPr>
          <w:p w14:paraId="5AF787C9" w14:textId="0500BB91" w:rsidR="00F7404C" w:rsidRPr="00390D56" w:rsidRDefault="00F7404C" w:rsidP="00F7404C">
            <w:pPr>
              <w:jc w:val="center"/>
              <w:rPr>
                <w:rFonts w:ascii="Arial" w:hAnsi="Arial" w:cs="Arial"/>
                <w:lang w:val="fr-CI"/>
              </w:rPr>
            </w:pPr>
            <w:r w:rsidRPr="00390D56">
              <w:rPr>
                <w:rFonts w:ascii="Arial" w:hAnsi="Arial" w:cs="Arial"/>
                <w:sz w:val="20"/>
                <w:szCs w:val="20"/>
                <w:lang w:val="fr-CI"/>
              </w:rPr>
              <w:t>T2B</w:t>
            </w:r>
          </w:p>
        </w:tc>
        <w:tc>
          <w:tcPr>
            <w:tcW w:w="1501" w:type="dxa"/>
          </w:tcPr>
          <w:p w14:paraId="65210A86" w14:textId="0828659F"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r w:rsidR="00F7404C" w:rsidRPr="00390D56" w14:paraId="0DB91EA3" w14:textId="77777777" w:rsidTr="00390D56">
        <w:trPr>
          <w:trHeight w:val="314"/>
        </w:trPr>
        <w:tc>
          <w:tcPr>
            <w:tcW w:w="4392" w:type="dxa"/>
          </w:tcPr>
          <w:p w14:paraId="4B9EADCC" w14:textId="10CF443B" w:rsidR="00F7404C" w:rsidRPr="00390D56" w:rsidRDefault="00F7404C" w:rsidP="00F7404C">
            <w:pPr>
              <w:jc w:val="center"/>
              <w:rPr>
                <w:rFonts w:ascii="Arial" w:hAnsi="Arial" w:cs="Arial"/>
                <w:lang w:val="fr-CI"/>
              </w:rPr>
            </w:pPr>
            <w:r w:rsidRPr="00390D56">
              <w:rPr>
                <w:rFonts w:ascii="Arial" w:hAnsi="Arial" w:cs="Arial"/>
                <w:sz w:val="20"/>
                <w:szCs w:val="20"/>
                <w:lang w:val="fr-CI"/>
              </w:rPr>
              <w:t>T4B</w:t>
            </w:r>
          </w:p>
        </w:tc>
        <w:tc>
          <w:tcPr>
            <w:tcW w:w="1501" w:type="dxa"/>
          </w:tcPr>
          <w:p w14:paraId="217E5788" w14:textId="7A793923" w:rsidR="00F7404C" w:rsidRPr="00390D56" w:rsidRDefault="00F7404C" w:rsidP="00F7404C">
            <w:pPr>
              <w:jc w:val="center"/>
              <w:rPr>
                <w:rFonts w:ascii="Arial" w:hAnsi="Arial" w:cs="Arial"/>
                <w:lang w:val="fr-CI"/>
              </w:rPr>
            </w:pPr>
            <w:r w:rsidRPr="00390D56">
              <w:rPr>
                <w:rFonts w:ascii="Arial" w:hAnsi="Arial" w:cs="Arial"/>
                <w:sz w:val="20"/>
                <w:szCs w:val="20"/>
                <w:lang w:val="fr-CI"/>
              </w:rPr>
              <w:t>90 %</w:t>
            </w:r>
          </w:p>
        </w:tc>
      </w:tr>
      <w:tr w:rsidR="00F7404C" w:rsidRPr="00390D56" w14:paraId="66D2C94D" w14:textId="77777777" w:rsidTr="00390D56">
        <w:trPr>
          <w:trHeight w:val="314"/>
        </w:trPr>
        <w:tc>
          <w:tcPr>
            <w:tcW w:w="4392" w:type="dxa"/>
          </w:tcPr>
          <w:p w14:paraId="60277901" w14:textId="1791EC47" w:rsidR="00F7404C" w:rsidRPr="00390D56" w:rsidRDefault="00F7404C" w:rsidP="00F7404C">
            <w:pPr>
              <w:jc w:val="center"/>
              <w:rPr>
                <w:rFonts w:ascii="Arial" w:hAnsi="Arial" w:cs="Arial"/>
                <w:lang w:val="fr-CI"/>
              </w:rPr>
            </w:pPr>
            <w:r w:rsidRPr="00390D56">
              <w:rPr>
                <w:rFonts w:ascii="Arial" w:hAnsi="Arial" w:cs="Arial"/>
                <w:sz w:val="20"/>
                <w:szCs w:val="20"/>
                <w:lang w:val="fr-CI"/>
              </w:rPr>
              <w:t>B1C</w:t>
            </w:r>
          </w:p>
        </w:tc>
        <w:tc>
          <w:tcPr>
            <w:tcW w:w="1501" w:type="dxa"/>
          </w:tcPr>
          <w:p w14:paraId="655A0263" w14:textId="54221D4F" w:rsidR="00F7404C" w:rsidRPr="00390D56" w:rsidRDefault="00F7404C" w:rsidP="00F7404C">
            <w:pPr>
              <w:jc w:val="center"/>
              <w:rPr>
                <w:rFonts w:ascii="Arial" w:hAnsi="Arial" w:cs="Arial"/>
                <w:lang w:val="fr-CI"/>
              </w:rPr>
            </w:pPr>
            <w:r w:rsidRPr="00390D56">
              <w:rPr>
                <w:rFonts w:ascii="Arial" w:hAnsi="Arial" w:cs="Arial"/>
                <w:sz w:val="20"/>
                <w:szCs w:val="20"/>
                <w:lang w:val="fr-CI"/>
              </w:rPr>
              <w:t>83 %</w:t>
            </w:r>
          </w:p>
        </w:tc>
      </w:tr>
      <w:tr w:rsidR="00F7404C" w:rsidRPr="00390D56" w14:paraId="76D893C2" w14:textId="77777777" w:rsidTr="00390D56">
        <w:trPr>
          <w:trHeight w:val="314"/>
        </w:trPr>
        <w:tc>
          <w:tcPr>
            <w:tcW w:w="4392" w:type="dxa"/>
          </w:tcPr>
          <w:p w14:paraId="19617F96" w14:textId="3BCB3E69" w:rsidR="00F7404C" w:rsidRPr="00390D56" w:rsidRDefault="00F7404C" w:rsidP="00F7404C">
            <w:pPr>
              <w:jc w:val="center"/>
              <w:rPr>
                <w:rFonts w:ascii="Arial" w:hAnsi="Arial" w:cs="Arial"/>
                <w:lang w:val="fr-CI"/>
              </w:rPr>
            </w:pPr>
            <w:r w:rsidRPr="00390D56">
              <w:rPr>
                <w:rFonts w:ascii="Arial" w:hAnsi="Arial" w:cs="Arial"/>
                <w:sz w:val="20"/>
                <w:szCs w:val="20"/>
                <w:lang w:val="fr-CI"/>
              </w:rPr>
              <w:t>B6D</w:t>
            </w:r>
          </w:p>
        </w:tc>
        <w:tc>
          <w:tcPr>
            <w:tcW w:w="1501" w:type="dxa"/>
          </w:tcPr>
          <w:p w14:paraId="4C6869D8" w14:textId="7F260C65" w:rsidR="00F7404C" w:rsidRPr="00390D56" w:rsidRDefault="00F7404C" w:rsidP="00F7404C">
            <w:pPr>
              <w:jc w:val="center"/>
              <w:rPr>
                <w:rFonts w:ascii="Arial" w:hAnsi="Arial" w:cs="Arial"/>
                <w:lang w:val="fr-CI"/>
              </w:rPr>
            </w:pPr>
            <w:r w:rsidRPr="00390D56">
              <w:rPr>
                <w:rFonts w:ascii="Arial" w:hAnsi="Arial" w:cs="Arial"/>
                <w:sz w:val="20"/>
                <w:szCs w:val="20"/>
                <w:lang w:val="fr-CI"/>
              </w:rPr>
              <w:t>80 %</w:t>
            </w:r>
          </w:p>
        </w:tc>
      </w:tr>
      <w:tr w:rsidR="00F7404C" w:rsidRPr="00390D56" w14:paraId="06168CD7" w14:textId="77777777" w:rsidTr="00390D56">
        <w:trPr>
          <w:trHeight w:val="314"/>
        </w:trPr>
        <w:tc>
          <w:tcPr>
            <w:tcW w:w="4392" w:type="dxa"/>
          </w:tcPr>
          <w:p w14:paraId="773CC8FC" w14:textId="71B67F1E" w:rsidR="00F7404C" w:rsidRPr="00390D56" w:rsidRDefault="00F7404C" w:rsidP="00F7404C">
            <w:pPr>
              <w:jc w:val="center"/>
              <w:rPr>
                <w:rFonts w:ascii="Arial" w:hAnsi="Arial" w:cs="Arial"/>
                <w:lang w:val="fr-CI"/>
              </w:rPr>
            </w:pPr>
            <w:r w:rsidRPr="00390D56">
              <w:rPr>
                <w:rFonts w:ascii="Arial" w:hAnsi="Arial" w:cs="Arial"/>
                <w:sz w:val="20"/>
                <w:szCs w:val="20"/>
                <w:lang w:val="fr-CI"/>
              </w:rPr>
              <w:t>B6C</w:t>
            </w:r>
          </w:p>
        </w:tc>
        <w:tc>
          <w:tcPr>
            <w:tcW w:w="1501" w:type="dxa"/>
          </w:tcPr>
          <w:p w14:paraId="71F7568B" w14:textId="013788A1"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bl>
    <w:p w14:paraId="5BB3B9C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8D10BF3"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CA6E8C0"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7EE14F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56866E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EE93F5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7874FB1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2144EA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45D4BD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E7769F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73D33AB2" w14:textId="77777777" w:rsidR="00F7404C" w:rsidRDefault="00F7404C" w:rsidP="00FD4DF8">
      <w:pPr>
        <w:pStyle w:val="NormalWeb"/>
        <w:spacing w:before="0" w:beforeAutospacing="0" w:after="0" w:afterAutospacing="0"/>
        <w:jc w:val="both"/>
        <w:rPr>
          <w:rFonts w:ascii="Arial" w:hAnsi="Arial" w:cs="Arial"/>
          <w:b/>
          <w:bCs/>
          <w:sz w:val="20"/>
          <w:szCs w:val="20"/>
        </w:rPr>
      </w:pPr>
    </w:p>
    <w:p w14:paraId="78278213" w14:textId="77777777" w:rsidR="00F7404C" w:rsidRDefault="00F7404C" w:rsidP="00FD4DF8">
      <w:pPr>
        <w:pStyle w:val="NormalWeb"/>
        <w:spacing w:before="0" w:beforeAutospacing="0" w:after="0" w:afterAutospacing="0"/>
        <w:jc w:val="both"/>
        <w:rPr>
          <w:rFonts w:ascii="Arial" w:hAnsi="Arial" w:cs="Arial"/>
          <w:b/>
          <w:bCs/>
          <w:sz w:val="20"/>
          <w:szCs w:val="20"/>
        </w:rPr>
      </w:pPr>
    </w:p>
    <w:p w14:paraId="03937EC4" w14:textId="77777777" w:rsidR="00F7404C" w:rsidRDefault="00F7404C" w:rsidP="00FD4DF8">
      <w:pPr>
        <w:pStyle w:val="NormalWeb"/>
        <w:spacing w:before="0" w:beforeAutospacing="0" w:after="0" w:afterAutospacing="0"/>
        <w:jc w:val="both"/>
        <w:rPr>
          <w:rFonts w:ascii="Arial" w:hAnsi="Arial" w:cs="Arial"/>
          <w:b/>
          <w:bCs/>
          <w:sz w:val="20"/>
          <w:szCs w:val="20"/>
        </w:rPr>
      </w:pPr>
    </w:p>
    <w:p w14:paraId="5212CB7E" w14:textId="77777777" w:rsidR="00F7404C" w:rsidRDefault="00F7404C" w:rsidP="00FD4DF8">
      <w:pPr>
        <w:pStyle w:val="NormalWeb"/>
        <w:spacing w:before="0" w:beforeAutospacing="0" w:after="0" w:afterAutospacing="0"/>
        <w:jc w:val="both"/>
        <w:rPr>
          <w:rFonts w:ascii="Arial" w:hAnsi="Arial" w:cs="Arial"/>
          <w:b/>
          <w:bCs/>
          <w:sz w:val="20"/>
          <w:szCs w:val="20"/>
        </w:rPr>
      </w:pPr>
    </w:p>
    <w:p w14:paraId="0211D24A" w14:textId="77777777" w:rsidR="00F7404C" w:rsidRDefault="00F7404C" w:rsidP="00FD4DF8">
      <w:pPr>
        <w:pStyle w:val="NormalWeb"/>
        <w:spacing w:before="0" w:beforeAutospacing="0" w:after="0" w:afterAutospacing="0"/>
        <w:jc w:val="both"/>
        <w:rPr>
          <w:rFonts w:ascii="Arial" w:hAnsi="Arial" w:cs="Arial"/>
          <w:b/>
          <w:bCs/>
          <w:sz w:val="20"/>
          <w:szCs w:val="20"/>
        </w:rPr>
      </w:pPr>
    </w:p>
    <w:p w14:paraId="4F98E890"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4320EDC"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B035AC3"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34D1A38" w14:textId="43BBE9C1" w:rsidR="00750263" w:rsidRPr="00771BD8" w:rsidRDefault="00215520"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3.5. </w:t>
      </w:r>
      <w:r w:rsidR="00750263" w:rsidRPr="00771BD8">
        <w:rPr>
          <w:rFonts w:ascii="Arial" w:hAnsi="Arial" w:cs="Arial"/>
          <w:b/>
          <w:bCs/>
          <w:sz w:val="22"/>
          <w:szCs w:val="22"/>
        </w:rPr>
        <w:t>Proteolytic and Lipolytic Activities</w:t>
      </w:r>
    </w:p>
    <w:p w14:paraId="0FF397E9" w14:textId="2A470085"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Enzymatic activities were revealed by clear halos around wells. Proteolytic diameters ranged from 7 to 13 mm, while lipolytic diameters ranged from 7 to 9 mm </w:t>
      </w:r>
      <w:r w:rsidRPr="00390D56">
        <w:rPr>
          <w:rFonts w:ascii="Arial" w:hAnsi="Arial" w:cs="Arial"/>
          <w:sz w:val="20"/>
          <w:szCs w:val="20"/>
        </w:rPr>
        <w:t xml:space="preserve">(Figure </w:t>
      </w:r>
      <w:r w:rsidR="00130527" w:rsidRPr="00390D56">
        <w:rPr>
          <w:rFonts w:ascii="Arial" w:hAnsi="Arial" w:cs="Arial"/>
          <w:sz w:val="20"/>
          <w:szCs w:val="20"/>
        </w:rPr>
        <w:t>1</w:t>
      </w:r>
      <w:r w:rsidRPr="00390D56">
        <w:rPr>
          <w:rFonts w:ascii="Arial" w:hAnsi="Arial" w:cs="Arial"/>
          <w:sz w:val="20"/>
          <w:szCs w:val="20"/>
        </w:rPr>
        <w:t>).</w:t>
      </w:r>
      <w:r w:rsidRPr="0055657D">
        <w:rPr>
          <w:rFonts w:ascii="Arial" w:hAnsi="Arial" w:cs="Arial"/>
          <w:sz w:val="20"/>
          <w:szCs w:val="20"/>
        </w:rPr>
        <w:t xml:space="preserve"> The highest proteolytic activity was observed in isolates B6C and T2B (13 mm), and the highest lipolytic activity in isolates B1C, B6C, and T4B (9 mm).</w:t>
      </w:r>
    </w:p>
    <w:p w14:paraId="0D2BC665" w14:textId="77777777" w:rsidR="004D13A6" w:rsidRDefault="004D13A6" w:rsidP="00FD4DF8">
      <w:pPr>
        <w:pStyle w:val="NormalWeb"/>
        <w:spacing w:before="0" w:beforeAutospacing="0" w:after="0" w:afterAutospacing="0"/>
        <w:jc w:val="both"/>
        <w:rPr>
          <w:rFonts w:ascii="Arial" w:hAnsi="Arial" w:cs="Arial"/>
          <w:sz w:val="22"/>
          <w:szCs w:val="22"/>
        </w:rPr>
      </w:pPr>
    </w:p>
    <w:p w14:paraId="796C2CAF" w14:textId="051E16A2" w:rsidR="004D13A6" w:rsidRDefault="0070710D" w:rsidP="00FD4DF8">
      <w:pPr>
        <w:pStyle w:val="NormalWeb"/>
        <w:spacing w:before="0" w:beforeAutospacing="0" w:after="0" w:afterAutospacing="0"/>
        <w:jc w:val="both"/>
        <w:rPr>
          <w:rFonts w:ascii="Arial" w:hAnsi="Arial" w:cs="Arial"/>
          <w:sz w:val="22"/>
          <w:szCs w:val="22"/>
        </w:rPr>
      </w:pPr>
      <w:r>
        <w:rPr>
          <w:noProof/>
        </w:rPr>
        <w:drawing>
          <wp:inline distT="0" distB="0" distL="0" distR="0" wp14:anchorId="6E56E5BE" wp14:editId="40C5918B">
            <wp:extent cx="4572000" cy="2743200"/>
            <wp:effectExtent l="0" t="0" r="0" b="0"/>
            <wp:docPr id="2" name="Graphique 2">
              <a:extLst xmlns:a="http://schemas.openxmlformats.org/drawingml/2006/main">
                <a:ext uri="{FF2B5EF4-FFF2-40B4-BE49-F238E27FC236}">
                  <a16:creationId xmlns:a16="http://schemas.microsoft.com/office/drawing/2014/main" id="{25E2D9FD-0262-4A40-8933-73CB9FFD4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234AAD" w14:textId="735B8181" w:rsidR="00E96133" w:rsidRPr="00E041DB" w:rsidRDefault="00E96133" w:rsidP="00E96133">
      <w:pPr>
        <w:jc w:val="both"/>
        <w:rPr>
          <w:rFonts w:ascii="Arial" w:hAnsi="Arial" w:cs="Arial"/>
          <w:b/>
          <w:bCs/>
        </w:rPr>
      </w:pPr>
      <w:r w:rsidRPr="00E041DB">
        <w:rPr>
          <w:rFonts w:ascii="Arial" w:hAnsi="Arial" w:cs="Arial"/>
          <w:b/>
          <w:bCs/>
        </w:rPr>
        <w:t>Figure</w:t>
      </w:r>
      <w:r w:rsidR="00155284" w:rsidRPr="00E041DB">
        <w:rPr>
          <w:rFonts w:ascii="Arial" w:hAnsi="Arial" w:cs="Arial"/>
          <w:b/>
          <w:bCs/>
        </w:rPr>
        <w:t xml:space="preserve"> 1</w:t>
      </w:r>
      <w:r w:rsidR="006B368F" w:rsidRPr="00E041DB">
        <w:rPr>
          <w:rFonts w:ascii="Arial" w:hAnsi="Arial" w:cs="Arial"/>
          <w:b/>
          <w:bCs/>
        </w:rPr>
        <w:t>.</w:t>
      </w:r>
      <w:r w:rsidRPr="00E041DB">
        <w:rPr>
          <w:rFonts w:ascii="Arial" w:hAnsi="Arial" w:cs="Arial"/>
          <w:b/>
          <w:bCs/>
        </w:rPr>
        <w:t xml:space="preserve"> Proteolytic and lipolytic activities of lactic acid bacteria isolates</w:t>
      </w:r>
    </w:p>
    <w:p w14:paraId="52535924" w14:textId="64FDC6EF" w:rsidR="004D13A6" w:rsidRDefault="004D13A6" w:rsidP="00FD4DF8">
      <w:pPr>
        <w:pStyle w:val="NormalWeb"/>
        <w:spacing w:before="0" w:beforeAutospacing="0" w:after="0" w:afterAutospacing="0"/>
        <w:jc w:val="both"/>
        <w:rPr>
          <w:rFonts w:ascii="Arial" w:hAnsi="Arial" w:cs="Arial"/>
          <w:sz w:val="22"/>
          <w:szCs w:val="22"/>
        </w:rPr>
      </w:pPr>
    </w:p>
    <w:p w14:paraId="7DF6DE5B" w14:textId="73DAE432" w:rsidR="00065795" w:rsidRPr="00771BD8" w:rsidRDefault="00065795" w:rsidP="00065795">
      <w:pPr>
        <w:pStyle w:val="NormalWeb"/>
        <w:jc w:val="both"/>
        <w:rPr>
          <w:rFonts w:ascii="Arial" w:hAnsi="Arial" w:cs="Arial"/>
          <w:b/>
          <w:bCs/>
          <w:sz w:val="22"/>
          <w:szCs w:val="22"/>
        </w:rPr>
      </w:pPr>
      <w:r w:rsidRPr="00771BD8">
        <w:rPr>
          <w:rFonts w:ascii="Arial" w:hAnsi="Arial" w:cs="Arial"/>
          <w:b/>
          <w:bCs/>
          <w:sz w:val="22"/>
          <w:szCs w:val="22"/>
        </w:rPr>
        <w:t>3.6. Acidification Capacity</w:t>
      </w:r>
    </w:p>
    <w:p w14:paraId="02BD3C14" w14:textId="1B8588FB" w:rsidR="00065795" w:rsidRPr="00CA5893" w:rsidRDefault="00065795" w:rsidP="00065795">
      <w:pPr>
        <w:pStyle w:val="NormalWeb"/>
        <w:jc w:val="both"/>
        <w:rPr>
          <w:rFonts w:ascii="Arial" w:hAnsi="Arial" w:cs="Arial"/>
          <w:sz w:val="20"/>
          <w:szCs w:val="20"/>
        </w:rPr>
      </w:pPr>
      <w:r w:rsidRPr="00CA5893">
        <w:rPr>
          <w:rFonts w:ascii="Arial" w:hAnsi="Arial" w:cs="Arial"/>
          <w:sz w:val="20"/>
          <w:szCs w:val="20"/>
        </w:rPr>
        <w:t xml:space="preserve">The acidifying ability of isolates was evaluated by pH reduction and titratable acidity after 24 </w:t>
      </w:r>
      <w:r w:rsidRPr="00771BD8">
        <w:rPr>
          <w:rFonts w:ascii="Arial" w:hAnsi="Arial" w:cs="Arial"/>
          <w:sz w:val="20"/>
          <w:szCs w:val="20"/>
        </w:rPr>
        <w:t>h (Figure 2).</w:t>
      </w:r>
      <w:r w:rsidRPr="00CA5893">
        <w:rPr>
          <w:rFonts w:ascii="Arial" w:hAnsi="Arial" w:cs="Arial"/>
          <w:sz w:val="20"/>
          <w:szCs w:val="20"/>
        </w:rPr>
        <w:t xml:space="preserve"> pH values ranged from 3.4 ± 0.32 to 3.7 ± 0.15. Titratable acidity ranged from 1.92% to 2.55%, with isolate B1C (Bandji) showing the highest value (2.55%).</w:t>
      </w:r>
    </w:p>
    <w:p w14:paraId="16A3CCC6" w14:textId="3ED6CBF3" w:rsidR="00750263" w:rsidRPr="00CA5893" w:rsidRDefault="00750263" w:rsidP="00FD4DF8">
      <w:pPr>
        <w:jc w:val="both"/>
        <w:rPr>
          <w:rFonts w:ascii="Arial" w:hAnsi="Arial" w:cs="Arial"/>
        </w:rPr>
      </w:pPr>
      <w:r w:rsidRPr="00CA5893">
        <w:rPr>
          <w:rFonts w:ascii="Arial" w:hAnsi="Arial" w:cs="Arial"/>
          <w:noProof/>
        </w:rPr>
        <w:drawing>
          <wp:inline distT="0" distB="0" distL="0" distR="0" wp14:anchorId="74ECB90A" wp14:editId="0489A7D8">
            <wp:extent cx="5311302" cy="2743200"/>
            <wp:effectExtent l="0" t="0" r="3810" b="0"/>
            <wp:docPr id="11" name="Graphique 11">
              <a:extLst xmlns:a="http://schemas.openxmlformats.org/drawingml/2006/main">
                <a:ext uri="{FF2B5EF4-FFF2-40B4-BE49-F238E27FC236}">
                  <a16:creationId xmlns:a16="http://schemas.microsoft.com/office/drawing/2014/main" id="{B986A164-6254-12F2-6C48-489E7E5D2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956D5F" w14:textId="11DC4350" w:rsidR="00BC4099" w:rsidRPr="00A16B10" w:rsidRDefault="00BC4099" w:rsidP="002227F2">
      <w:pPr>
        <w:rPr>
          <w:rFonts w:ascii="Arial" w:hAnsi="Arial" w:cs="Arial"/>
          <w:b/>
          <w:bCs/>
        </w:rPr>
      </w:pPr>
      <w:r w:rsidRPr="00A16B10">
        <w:rPr>
          <w:rFonts w:ascii="Arial" w:hAnsi="Arial" w:cs="Arial"/>
          <w:b/>
          <w:bCs/>
        </w:rPr>
        <w:t>Figure 2</w:t>
      </w:r>
      <w:r w:rsidR="00A16B10" w:rsidRPr="00A16B10">
        <w:rPr>
          <w:rFonts w:ascii="Arial" w:hAnsi="Arial" w:cs="Arial"/>
          <w:b/>
          <w:bCs/>
        </w:rPr>
        <w:t>.</w:t>
      </w:r>
      <w:r w:rsidRPr="00A16B10">
        <w:rPr>
          <w:rFonts w:ascii="Arial" w:hAnsi="Arial" w:cs="Arial"/>
          <w:b/>
          <w:bCs/>
        </w:rPr>
        <w:t xml:space="preserve"> Lactic acid production capacity of lactic acid bacteria isolates</w:t>
      </w:r>
    </w:p>
    <w:p w14:paraId="4AC4DE72" w14:textId="77777777" w:rsidR="002227F2" w:rsidRPr="00A16B10" w:rsidRDefault="002227F2" w:rsidP="002227F2">
      <w:pPr>
        <w:rPr>
          <w:rFonts w:ascii="Arial" w:hAnsi="Arial" w:cs="Arial"/>
          <w:b/>
          <w:bCs/>
        </w:rPr>
      </w:pPr>
    </w:p>
    <w:p w14:paraId="7C60E773" w14:textId="77777777" w:rsidR="002227F2" w:rsidRPr="00CA5893" w:rsidRDefault="002227F2" w:rsidP="002227F2">
      <w:pPr>
        <w:rPr>
          <w:rFonts w:ascii="Arial" w:hAnsi="Arial" w:cs="Arial"/>
        </w:rPr>
      </w:pPr>
    </w:p>
    <w:p w14:paraId="351F2D82" w14:textId="48F87CB2" w:rsidR="00750263" w:rsidRPr="00CA5893" w:rsidRDefault="00017A17" w:rsidP="00FD4DF8">
      <w:pPr>
        <w:jc w:val="both"/>
        <w:rPr>
          <w:rFonts w:ascii="Arial" w:hAnsi="Arial" w:cs="Arial"/>
          <w:b/>
          <w:bCs/>
        </w:rPr>
      </w:pPr>
      <w:r>
        <w:rPr>
          <w:rFonts w:ascii="Arial" w:hAnsi="Arial" w:cs="Arial"/>
          <w:b/>
          <w:bCs/>
        </w:rPr>
        <w:t xml:space="preserve"> </w:t>
      </w:r>
    </w:p>
    <w:p w14:paraId="0821A6CD" w14:textId="77777777" w:rsidR="00750263" w:rsidRPr="00CA5893" w:rsidRDefault="00750263" w:rsidP="00FD4DF8">
      <w:pPr>
        <w:jc w:val="both"/>
        <w:rPr>
          <w:rFonts w:ascii="Arial" w:hAnsi="Arial" w:cs="Arial"/>
        </w:rPr>
      </w:pPr>
      <w:r w:rsidRPr="00CA5893">
        <w:rPr>
          <w:rFonts w:ascii="Arial" w:hAnsi="Arial" w:cs="Arial"/>
        </w:rPr>
        <w:t xml:space="preserve">This study evaluated the probiotic potential of lactic acid bacteria (LAB) isolated from broiler and traditionally raised chickens, as well as from the traditional fermented beverages Bandji and Tchapalo sold in Abidjan. The analyses focused on antimicrobial activity against multidrug-resistant Salmonella sp., sensitive and ESBL-producing E. coli, and methicillin-sensitive S. </w:t>
      </w:r>
      <w:commentRangeStart w:id="5"/>
      <w:r w:rsidRPr="00CA5893">
        <w:rPr>
          <w:rFonts w:ascii="Arial" w:hAnsi="Arial" w:cs="Arial"/>
        </w:rPr>
        <w:t>aureus</w:t>
      </w:r>
      <w:commentRangeEnd w:id="5"/>
      <w:r w:rsidR="004E646E" w:rsidRPr="00CA5893">
        <w:rPr>
          <w:rStyle w:val="CommentReference"/>
          <w:rFonts w:ascii="Arial" w:hAnsi="Arial" w:cs="Arial"/>
          <w:sz w:val="20"/>
          <w:szCs w:val="20"/>
        </w:rPr>
        <w:commentReference w:id="5"/>
      </w:r>
      <w:r w:rsidRPr="00CA5893">
        <w:rPr>
          <w:rFonts w:ascii="Arial" w:hAnsi="Arial" w:cs="Arial"/>
        </w:rPr>
        <w:t>; tolerance to acidic and bile salt conditions; production of proteolytic and lipolytic enzymes; and adhesion capacity to epithelial cells.</w:t>
      </w:r>
    </w:p>
    <w:p w14:paraId="0E08C065" w14:textId="77777777" w:rsidR="00750263" w:rsidRPr="00D4588A" w:rsidRDefault="00750263" w:rsidP="00FD4DF8">
      <w:pPr>
        <w:jc w:val="both"/>
        <w:rPr>
          <w:rFonts w:ascii="Arial" w:hAnsi="Arial" w:cs="Arial"/>
        </w:rPr>
      </w:pPr>
      <w:r w:rsidRPr="00CA5893">
        <w:rPr>
          <w:rFonts w:ascii="Arial" w:hAnsi="Arial" w:cs="Arial"/>
        </w:rPr>
        <w:t xml:space="preserve">Antimicrobial assays showed strong inhibition, with zones ranging from 0 to 31 mm depending on the pathogen. Out of 84 isolates, 47 (55.95%) exhibited inhibition zones ≥ 6 mm against all pathogens. LAB are well known for producing antimicrobial metabolites such as organic acids, hydrogen peroxide, carbon dioxide, reuterin, diacetyl, and bacteriocins, which collectively inhibit pathogenic growth </w:t>
      </w:r>
      <w:r w:rsidRPr="00D4588A">
        <w:rPr>
          <w:rFonts w:ascii="Arial" w:hAnsi="Arial" w:cs="Arial"/>
        </w:rPr>
        <w:t>(Bahri, 2014; Shamsudin, 2019).</w:t>
      </w:r>
    </w:p>
    <w:p w14:paraId="00C9A5D5" w14:textId="77777777" w:rsidR="00750263" w:rsidRPr="00D4588A" w:rsidRDefault="00750263" w:rsidP="00FD4DF8">
      <w:pPr>
        <w:jc w:val="both"/>
        <w:rPr>
          <w:rFonts w:ascii="Arial" w:hAnsi="Arial" w:cs="Arial"/>
        </w:rPr>
      </w:pPr>
      <w:r w:rsidRPr="00D4588A">
        <w:rPr>
          <w:rFonts w:ascii="Arial" w:hAnsi="Arial" w:cs="Arial"/>
        </w:rPr>
        <w:t xml:space="preserve">Regarding acidification, titratable acidity ranged from 1.92% to 2.55%, with isolate B1C (Bandji) showing the highest value (2.55%). The associated pH values (3.4–3.7) confirm the strong acidifying ability of LAB, which results from sugar fermentation during growth. Similar findings were reported by Hamchache and Mansouri (2017), and higher acid production values have also been documented elsewhere (Akpa </w:t>
      </w:r>
      <w:r w:rsidRPr="00D4588A">
        <w:rPr>
          <w:rFonts w:ascii="Arial" w:hAnsi="Arial" w:cs="Arial"/>
          <w:i/>
          <w:iCs/>
        </w:rPr>
        <w:t>et al.,</w:t>
      </w:r>
      <w:r w:rsidRPr="00D4588A">
        <w:rPr>
          <w:rFonts w:ascii="Arial" w:hAnsi="Arial" w:cs="Arial"/>
        </w:rPr>
        <w:t xml:space="preserve"> 2022).</w:t>
      </w:r>
    </w:p>
    <w:p w14:paraId="52EB8643" w14:textId="77777777" w:rsidR="00750263" w:rsidRPr="00D4588A" w:rsidRDefault="00750263" w:rsidP="00FD4DF8">
      <w:pPr>
        <w:jc w:val="both"/>
        <w:rPr>
          <w:rFonts w:ascii="Arial" w:hAnsi="Arial" w:cs="Arial"/>
        </w:rPr>
      </w:pPr>
      <w:r w:rsidRPr="00D4588A">
        <w:rPr>
          <w:rFonts w:ascii="Arial" w:hAnsi="Arial" w:cs="Arial"/>
        </w:rPr>
        <w:t xml:space="preserve">Acid tolerance tests showed that at pH 3.5, survival rates varied between 0% and 88%, with 23 isolates (48.93%) maintaining survival ≥ 50%. However, survival decreased significantly at pH 3.0 and 2.5, consistent with previous studies reporting reduced or absent viability of LAB under highly acidic conditions (O’Sullivan &amp; Condon, 1997; Benyoucef, 2018). Nevertheless, the ability of some isolates to survive under acidic stress highlights their adaptive mechanisms, as also described by Shamsudin </w:t>
      </w:r>
      <w:r w:rsidRPr="00D4588A">
        <w:rPr>
          <w:rFonts w:ascii="Arial" w:hAnsi="Arial" w:cs="Arial"/>
          <w:i/>
          <w:iCs/>
        </w:rPr>
        <w:t>et al.</w:t>
      </w:r>
      <w:r w:rsidRPr="00D4588A">
        <w:rPr>
          <w:rFonts w:ascii="Arial" w:hAnsi="Arial" w:cs="Arial"/>
        </w:rPr>
        <w:t xml:space="preserve"> (2019) and Meena </w:t>
      </w:r>
      <w:r w:rsidRPr="00D4588A">
        <w:rPr>
          <w:rFonts w:ascii="Arial" w:hAnsi="Arial" w:cs="Arial"/>
          <w:i/>
          <w:iCs/>
        </w:rPr>
        <w:t>et al.</w:t>
      </w:r>
      <w:r w:rsidRPr="00D4588A">
        <w:rPr>
          <w:rFonts w:ascii="Arial" w:hAnsi="Arial" w:cs="Arial"/>
        </w:rPr>
        <w:t xml:space="preserve"> (2025).</w:t>
      </w:r>
    </w:p>
    <w:p w14:paraId="308AA6C9" w14:textId="77777777" w:rsidR="00750263" w:rsidRPr="00D4588A" w:rsidRDefault="00750263" w:rsidP="00FD4DF8">
      <w:pPr>
        <w:jc w:val="both"/>
        <w:rPr>
          <w:rFonts w:ascii="Arial" w:hAnsi="Arial" w:cs="Arial"/>
        </w:rPr>
      </w:pPr>
      <w:r w:rsidRPr="00D4588A">
        <w:rPr>
          <w:rFonts w:ascii="Arial" w:hAnsi="Arial" w:cs="Arial"/>
        </w:rPr>
        <w:t xml:space="preserve">Bile salt tolerance further confirmed the robustness of selected isolates. At 0.3%, survival ranged from 29% to 84%, while at 0.8%, survival was between 0% and 63%. Notably, 18 isolates (78.26%) retained survival ≥ 20% at 0.8% bile salts. These results align with earlier studies reporting LAB resistance to bile salt concentrations of 0.3–0.8% (Akpa </w:t>
      </w:r>
      <w:r w:rsidRPr="00D4588A">
        <w:rPr>
          <w:rFonts w:ascii="Arial" w:hAnsi="Arial" w:cs="Arial"/>
          <w:i/>
          <w:iCs/>
        </w:rPr>
        <w:t>et al.,</w:t>
      </w:r>
      <w:r w:rsidRPr="00D4588A">
        <w:rPr>
          <w:rFonts w:ascii="Arial" w:hAnsi="Arial" w:cs="Arial"/>
        </w:rPr>
        <w:t xml:space="preserve"> 2022; Tsega </w:t>
      </w:r>
      <w:r w:rsidRPr="00D4588A">
        <w:rPr>
          <w:rFonts w:ascii="Arial" w:hAnsi="Arial" w:cs="Arial"/>
          <w:i/>
          <w:iCs/>
        </w:rPr>
        <w:t>et al.,</w:t>
      </w:r>
      <w:r w:rsidRPr="00D4588A">
        <w:rPr>
          <w:rFonts w:ascii="Arial" w:hAnsi="Arial" w:cs="Arial"/>
        </w:rPr>
        <w:t xml:space="preserve"> 2023).</w:t>
      </w:r>
    </w:p>
    <w:p w14:paraId="522D4848" w14:textId="77777777" w:rsidR="00750263" w:rsidRPr="00D4588A" w:rsidRDefault="00750263" w:rsidP="00FD4DF8">
      <w:pPr>
        <w:jc w:val="both"/>
        <w:rPr>
          <w:rFonts w:ascii="Arial" w:hAnsi="Arial" w:cs="Arial"/>
        </w:rPr>
      </w:pPr>
      <w:r w:rsidRPr="00D4588A">
        <w:rPr>
          <w:rFonts w:ascii="Arial" w:hAnsi="Arial" w:cs="Arial"/>
        </w:rPr>
        <w:t xml:space="preserve">Enzymatic assays revealed proteolytic activity with diameters of 7–13 mm and lipolytic activity of 7–9 mm. Isolates B6C and T2B (Bandji and Tchapalo) exhibited the highest proteolytic activity (13 mm), while B1C, B6C, and T4B displayed the strongest lipolytic activity (9 mm). These findings are consistent with previous reports indicating variable proteolytic capacity (Fouzia, 2015) and limited lipolytic activity among LAB (Deeth &amp; Touch, 2000; Brennan </w:t>
      </w:r>
      <w:r w:rsidRPr="00D4588A">
        <w:rPr>
          <w:rFonts w:ascii="Arial" w:hAnsi="Arial" w:cs="Arial"/>
          <w:i/>
          <w:iCs/>
        </w:rPr>
        <w:t>et al.,</w:t>
      </w:r>
      <w:r w:rsidRPr="00D4588A">
        <w:rPr>
          <w:rFonts w:ascii="Arial" w:hAnsi="Arial" w:cs="Arial"/>
        </w:rPr>
        <w:t xml:space="preserve"> 2002).</w:t>
      </w:r>
    </w:p>
    <w:p w14:paraId="2E3AD523" w14:textId="77777777" w:rsidR="00750263" w:rsidRPr="00D4588A" w:rsidRDefault="00750263" w:rsidP="00FD4DF8">
      <w:pPr>
        <w:jc w:val="both"/>
        <w:rPr>
          <w:rFonts w:ascii="Arial" w:hAnsi="Arial" w:cs="Arial"/>
        </w:rPr>
      </w:pPr>
      <w:r w:rsidRPr="00D4588A">
        <w:rPr>
          <w:rFonts w:ascii="Arial" w:hAnsi="Arial" w:cs="Arial"/>
        </w:rPr>
        <w:t xml:space="preserve">Finally, adhesion capacity, assessed through cell surface hydrophobicity, ranged from 65% to 93%. The highest adhesion (93%) was observed in isolate 1A (broiler chicken). Eight isolates with adhesion ≥ 80% were identified as promising candidates. These results surpass those reported by Tsega </w:t>
      </w:r>
      <w:r w:rsidRPr="00D4588A">
        <w:rPr>
          <w:rFonts w:ascii="Arial" w:hAnsi="Arial" w:cs="Arial"/>
          <w:i/>
          <w:iCs/>
        </w:rPr>
        <w:t>et al.</w:t>
      </w:r>
      <w:r w:rsidRPr="00D4588A">
        <w:rPr>
          <w:rFonts w:ascii="Arial" w:hAnsi="Arial" w:cs="Arial"/>
        </w:rPr>
        <w:t xml:space="preserve"> (2023), who found hydrophobicity levels ranging from 26.4% to 79.3% in chicken-derived LAB isolates.</w:t>
      </w:r>
    </w:p>
    <w:p w14:paraId="220F7788" w14:textId="77777777" w:rsidR="00750263" w:rsidRPr="00CA5893" w:rsidRDefault="00750263" w:rsidP="00FD4DF8">
      <w:pPr>
        <w:jc w:val="both"/>
        <w:rPr>
          <w:rFonts w:ascii="Arial" w:hAnsi="Arial" w:cs="Arial"/>
        </w:rPr>
      </w:pPr>
      <w:r w:rsidRPr="00CA5893">
        <w:rPr>
          <w:rFonts w:ascii="Arial" w:hAnsi="Arial" w:cs="Arial"/>
        </w:rPr>
        <w:t>Overall, the results demonstrate that several LAB isolates possess desirable probiotic properties, including strong antimicrobial activity, tolerance to acidic and bile conditions, enzymatic activities, and high adhesion potential, supporting their possible application as probiotics in poultry production and food biotechnology.</w:t>
      </w:r>
    </w:p>
    <w:p w14:paraId="24779594" w14:textId="77777777" w:rsidR="00D4588A" w:rsidRDefault="00D4588A" w:rsidP="00FD4DF8">
      <w:pPr>
        <w:jc w:val="both"/>
        <w:rPr>
          <w:rFonts w:ascii="Arial" w:hAnsi="Arial" w:cs="Arial"/>
          <w:b/>
          <w:bCs/>
        </w:rPr>
      </w:pPr>
    </w:p>
    <w:p w14:paraId="466971C0" w14:textId="4DD52616" w:rsidR="00750263" w:rsidRPr="00CA5893" w:rsidRDefault="00661FF8" w:rsidP="00FD4DF8">
      <w:pPr>
        <w:jc w:val="both"/>
        <w:rPr>
          <w:rFonts w:ascii="Arial" w:hAnsi="Arial" w:cs="Arial"/>
          <w:b/>
          <w:bCs/>
        </w:rPr>
      </w:pPr>
      <w:r>
        <w:rPr>
          <w:rFonts w:ascii="Arial" w:hAnsi="Arial" w:cs="Arial"/>
          <w:b/>
          <w:bCs/>
        </w:rPr>
        <w:t xml:space="preserve">5. </w:t>
      </w:r>
      <w:r w:rsidRPr="00CA5893">
        <w:rPr>
          <w:rFonts w:ascii="Arial" w:hAnsi="Arial" w:cs="Arial"/>
          <w:b/>
          <w:bCs/>
        </w:rPr>
        <w:t>CONCLUSION</w:t>
      </w:r>
    </w:p>
    <w:p w14:paraId="563DA851" w14:textId="77777777" w:rsidR="00750263" w:rsidRPr="00CA5893" w:rsidRDefault="00750263" w:rsidP="00FD4DF8">
      <w:pPr>
        <w:jc w:val="both"/>
        <w:rPr>
          <w:rFonts w:ascii="Arial" w:hAnsi="Arial" w:cs="Arial"/>
        </w:rPr>
      </w:pPr>
      <w:r w:rsidRPr="00CA5893">
        <w:rPr>
          <w:rFonts w:ascii="Arial" w:hAnsi="Arial" w:cs="Arial"/>
        </w:rPr>
        <w:t>The lactic acid bacteria isolated from chicken crops and traditional beverages in Côte d’Ivoire exhibit promising probiotic properties, including antimicrobial activity, acid and bile tolerance, adhesion to epithelial cells, and enzymatic functions. These strains could be developed as natural feed additives for poultry farming, providing an alternative to antibiotics and contributing to food safety and sustainable livestock production. Further in vivo studies are needed to confirm their safety and efficacy before commercial application.</w:t>
      </w:r>
    </w:p>
    <w:p w14:paraId="20BD12AA" w14:textId="77777777" w:rsidR="00860000" w:rsidRPr="00CA5893" w:rsidRDefault="00860000" w:rsidP="00FD4DF8">
      <w:pPr>
        <w:pStyle w:val="ReferHead"/>
        <w:spacing w:after="0"/>
        <w:jc w:val="both"/>
        <w:rPr>
          <w:rFonts w:ascii="Arial" w:hAnsi="Arial" w:cs="Arial"/>
          <w:sz w:val="20"/>
        </w:rPr>
      </w:pPr>
    </w:p>
    <w:p w14:paraId="215BC693" w14:textId="0130216C" w:rsidR="00DA09AC" w:rsidRDefault="00DA09AC" w:rsidP="00FD4DF8">
      <w:pPr>
        <w:pStyle w:val="ReferHead"/>
        <w:spacing w:after="0"/>
        <w:jc w:val="both"/>
        <w:rPr>
          <w:rFonts w:ascii="Arial" w:hAnsi="Arial" w:cs="Arial"/>
          <w:sz w:val="20"/>
        </w:rPr>
      </w:pPr>
    </w:p>
    <w:p w14:paraId="2E7ED1DA" w14:textId="77777777" w:rsidR="005C4DD2" w:rsidRPr="00DA09AC" w:rsidRDefault="005C4DD2" w:rsidP="00FD4DF8">
      <w:pPr>
        <w:pStyle w:val="ReferHead"/>
        <w:spacing w:after="0"/>
        <w:jc w:val="both"/>
        <w:rPr>
          <w:rFonts w:ascii="Arial" w:hAnsi="Arial" w:cs="Arial"/>
          <w:sz w:val="20"/>
        </w:rPr>
      </w:pPr>
    </w:p>
    <w:p w14:paraId="1081CF5D" w14:textId="72FCDA36" w:rsidR="00B01FCD" w:rsidRPr="00530286" w:rsidRDefault="00B01FCD" w:rsidP="00FD4DF8">
      <w:pPr>
        <w:pStyle w:val="ReferHead"/>
        <w:spacing w:after="0"/>
        <w:jc w:val="both"/>
        <w:rPr>
          <w:rFonts w:ascii="Arial" w:hAnsi="Arial" w:cs="Arial"/>
          <w:szCs w:val="22"/>
        </w:rPr>
      </w:pPr>
      <w:r w:rsidRPr="00530286">
        <w:rPr>
          <w:rFonts w:ascii="Arial" w:hAnsi="Arial" w:cs="Arial"/>
          <w:szCs w:val="22"/>
        </w:rPr>
        <w:t>References</w:t>
      </w:r>
    </w:p>
    <w:p w14:paraId="5EFCE0D3" w14:textId="77777777" w:rsidR="00790ADA" w:rsidRPr="00901F85" w:rsidRDefault="00790ADA" w:rsidP="00FD4DF8">
      <w:pPr>
        <w:pStyle w:val="ReferHead"/>
        <w:spacing w:after="0"/>
        <w:jc w:val="both"/>
        <w:rPr>
          <w:rFonts w:ascii="Arial" w:hAnsi="Arial" w:cs="Arial"/>
          <w:b w:val="0"/>
          <w:sz w:val="20"/>
        </w:rPr>
      </w:pPr>
    </w:p>
    <w:p w14:paraId="5DC6C387" w14:textId="23D8C48B" w:rsidR="00B55BD5" w:rsidRPr="00CA5893" w:rsidRDefault="00B55BD5" w:rsidP="00FD4DF8">
      <w:pPr>
        <w:pStyle w:val="NormalWeb"/>
        <w:spacing w:before="0" w:beforeAutospacing="0" w:after="0" w:afterAutospacing="0"/>
        <w:jc w:val="both"/>
        <w:rPr>
          <w:rFonts w:ascii="Arial" w:hAnsi="Arial" w:cs="Arial"/>
          <w:sz w:val="20"/>
          <w:szCs w:val="20"/>
        </w:rPr>
      </w:pPr>
      <w:r w:rsidRPr="00901F85">
        <w:rPr>
          <w:rStyle w:val="Strong"/>
          <w:rFonts w:ascii="Arial" w:hAnsi="Arial" w:cs="Arial"/>
          <w:b w:val="0"/>
          <w:bCs w:val="0"/>
          <w:sz w:val="20"/>
          <w:szCs w:val="20"/>
        </w:rPr>
        <w:t xml:space="preserve">Akpa, E. E., N’depo, P.-R. K., Samagaci, L., Djoman, C. S., &amp; Goualie, B. G. </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2024</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w:t>
      </w:r>
      <w:r w:rsidRPr="00CA5893">
        <w:rPr>
          <w:rFonts w:ascii="Arial" w:hAnsi="Arial" w:cs="Arial"/>
          <w:sz w:val="20"/>
          <w:szCs w:val="20"/>
        </w:rPr>
        <w:t xml:space="preserve"> Antagonistic activity of acetic acid bacteria against potential pathogenic germs isolated from poultry litter in Côte d’Ivoire. </w:t>
      </w:r>
      <w:r w:rsidR="0024702C" w:rsidRPr="005E3D79">
        <w:rPr>
          <w:rStyle w:val="Emphasis"/>
          <w:rFonts w:ascii="Arial" w:hAnsi="Arial" w:cs="Arial"/>
          <w:i w:val="0"/>
          <w:iCs w:val="0"/>
          <w:sz w:val="20"/>
          <w:szCs w:val="20"/>
        </w:rPr>
        <w:t>International Journal of Advanced Research</w:t>
      </w:r>
      <w:r w:rsidRPr="005E3D79">
        <w:rPr>
          <w:rFonts w:ascii="Arial" w:hAnsi="Arial" w:cs="Arial"/>
          <w:i/>
          <w:iCs/>
          <w:sz w:val="20"/>
          <w:szCs w:val="20"/>
        </w:rPr>
        <w:t>,</w:t>
      </w:r>
      <w:r w:rsidRPr="00CA5893">
        <w:rPr>
          <w:rFonts w:ascii="Arial" w:hAnsi="Arial" w:cs="Arial"/>
          <w:sz w:val="20"/>
          <w:szCs w:val="20"/>
        </w:rPr>
        <w:t xml:space="preserve"> 12(11), 117–125.</w:t>
      </w:r>
    </w:p>
    <w:p w14:paraId="012EEB65" w14:textId="77777777" w:rsidR="00676383" w:rsidRDefault="00676383" w:rsidP="00FD4DF8">
      <w:pPr>
        <w:pStyle w:val="NormalWeb"/>
        <w:spacing w:before="0" w:beforeAutospacing="0" w:after="0" w:afterAutospacing="0"/>
        <w:jc w:val="both"/>
        <w:rPr>
          <w:rStyle w:val="Strong"/>
          <w:rFonts w:ascii="Arial" w:hAnsi="Arial" w:cs="Arial"/>
          <w:sz w:val="20"/>
          <w:szCs w:val="20"/>
        </w:rPr>
      </w:pPr>
    </w:p>
    <w:p w14:paraId="2D47F600" w14:textId="129B7627" w:rsidR="00B55BD5" w:rsidRPr="00CA5893" w:rsidRDefault="00B55BD5" w:rsidP="00FD4DF8">
      <w:pPr>
        <w:pStyle w:val="NormalWeb"/>
        <w:spacing w:before="0" w:beforeAutospacing="0" w:after="0" w:afterAutospacing="0"/>
        <w:jc w:val="both"/>
        <w:rPr>
          <w:rFonts w:ascii="Arial" w:hAnsi="Arial" w:cs="Arial"/>
          <w:sz w:val="20"/>
          <w:szCs w:val="20"/>
        </w:rPr>
      </w:pPr>
      <w:r w:rsidRPr="001D2DC2">
        <w:rPr>
          <w:rStyle w:val="Strong"/>
          <w:rFonts w:ascii="Arial" w:hAnsi="Arial" w:cs="Arial"/>
          <w:b w:val="0"/>
          <w:bCs w:val="0"/>
          <w:sz w:val="20"/>
          <w:szCs w:val="20"/>
        </w:rPr>
        <w:t xml:space="preserve">Akpa, E. E., Djoman, C. S., Goualié, B. G., Ouattara, H. D., Samagassi, L., &amp; N’Guessan, D. Y. </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2022</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Selection of lactic acid bacteria isolated from cocoa and cassava fermentation as potential probiotic for pathogenic microorganisms control in poultry farming. </w:t>
      </w:r>
      <w:r w:rsidRPr="00CA5893">
        <w:rPr>
          <w:rStyle w:val="Emphasis"/>
          <w:rFonts w:ascii="Arial" w:hAnsi="Arial" w:cs="Arial"/>
          <w:sz w:val="20"/>
          <w:szCs w:val="20"/>
        </w:rPr>
        <w:t>ARRB</w:t>
      </w:r>
      <w:r w:rsidRPr="00CA5893">
        <w:rPr>
          <w:rFonts w:ascii="Arial" w:hAnsi="Arial" w:cs="Arial"/>
          <w:sz w:val="20"/>
          <w:szCs w:val="20"/>
        </w:rPr>
        <w:t>, 37(3), 31–40.</w:t>
      </w:r>
    </w:p>
    <w:p w14:paraId="3CB51D51" w14:textId="37CDFD4C" w:rsidR="00B55BD5" w:rsidRDefault="00B55BD5" w:rsidP="00FD4DF8">
      <w:pPr>
        <w:pStyle w:val="NormalWeb"/>
        <w:spacing w:before="0" w:beforeAutospacing="0" w:after="0" w:afterAutospacing="0"/>
        <w:jc w:val="both"/>
        <w:rPr>
          <w:rFonts w:ascii="Arial" w:hAnsi="Arial" w:cs="Arial"/>
          <w:sz w:val="20"/>
          <w:szCs w:val="20"/>
        </w:rPr>
      </w:pPr>
      <w:r w:rsidRPr="001D2DC2">
        <w:rPr>
          <w:rStyle w:val="Strong"/>
          <w:rFonts w:ascii="Arial" w:hAnsi="Arial" w:cs="Arial"/>
          <w:b w:val="0"/>
          <w:bCs w:val="0"/>
          <w:sz w:val="20"/>
          <w:szCs w:val="20"/>
        </w:rPr>
        <w:t xml:space="preserve">Avci, D., Gillarová, S., Henke, S., Bubník, Z., &amp; Sluková, M., </w:t>
      </w:r>
      <w:r w:rsidR="001D2DC2">
        <w:rPr>
          <w:rStyle w:val="Strong"/>
          <w:rFonts w:ascii="Arial" w:hAnsi="Arial" w:cs="Arial"/>
          <w:b w:val="0"/>
          <w:bCs w:val="0"/>
          <w:sz w:val="20"/>
          <w:szCs w:val="20"/>
        </w:rPr>
        <w:t>(</w:t>
      </w:r>
      <w:r w:rsidRPr="001D2DC2">
        <w:rPr>
          <w:rStyle w:val="Strong"/>
          <w:rFonts w:ascii="Arial" w:hAnsi="Arial" w:cs="Arial"/>
          <w:b w:val="0"/>
          <w:bCs w:val="0"/>
          <w:sz w:val="20"/>
          <w:szCs w:val="20"/>
        </w:rPr>
        <w:t>2025</w:t>
      </w:r>
      <w:r w:rsidR="00E41CCE">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Probiotic lactic acid bacteria in biotechnology and the food industry: A review. </w:t>
      </w:r>
      <w:r w:rsidRPr="005E3D79">
        <w:rPr>
          <w:rStyle w:val="Emphasis"/>
          <w:rFonts w:ascii="Arial" w:hAnsi="Arial" w:cs="Arial"/>
          <w:i w:val="0"/>
          <w:iCs w:val="0"/>
          <w:sz w:val="20"/>
          <w:szCs w:val="20"/>
        </w:rPr>
        <w:t>Czech Journal of Food Sciences</w:t>
      </w:r>
      <w:r w:rsidRPr="00CA5893">
        <w:rPr>
          <w:rFonts w:ascii="Arial" w:hAnsi="Arial" w:cs="Arial"/>
          <w:sz w:val="20"/>
          <w:szCs w:val="20"/>
        </w:rPr>
        <w:t>, 43(2), 75–89.</w:t>
      </w:r>
    </w:p>
    <w:p w14:paraId="28180EC2" w14:textId="77777777" w:rsidR="00E41CCE" w:rsidRPr="00CA5893" w:rsidRDefault="00E41CCE" w:rsidP="00FD4DF8">
      <w:pPr>
        <w:pStyle w:val="NormalWeb"/>
        <w:spacing w:before="0" w:beforeAutospacing="0" w:after="0" w:afterAutospacing="0"/>
        <w:jc w:val="both"/>
        <w:rPr>
          <w:rFonts w:ascii="Arial" w:hAnsi="Arial" w:cs="Arial"/>
          <w:sz w:val="20"/>
          <w:szCs w:val="20"/>
        </w:rPr>
      </w:pPr>
    </w:p>
    <w:p w14:paraId="0B327290" w14:textId="11EBC9B7" w:rsidR="00B55BD5" w:rsidRPr="00CA5893" w:rsidRDefault="00B55BD5" w:rsidP="00FD4DF8">
      <w:pPr>
        <w:pStyle w:val="NormalWeb"/>
        <w:spacing w:before="0" w:beforeAutospacing="0" w:after="0" w:afterAutospacing="0"/>
        <w:jc w:val="both"/>
        <w:rPr>
          <w:rFonts w:ascii="Arial" w:hAnsi="Arial" w:cs="Arial"/>
          <w:sz w:val="20"/>
          <w:szCs w:val="20"/>
        </w:rPr>
      </w:pPr>
      <w:r w:rsidRPr="00E41CCE">
        <w:rPr>
          <w:rStyle w:val="Strong"/>
          <w:rFonts w:ascii="Arial" w:hAnsi="Arial" w:cs="Arial"/>
          <w:b w:val="0"/>
          <w:bCs w:val="0"/>
          <w:sz w:val="20"/>
          <w:szCs w:val="20"/>
        </w:rPr>
        <w:t xml:space="preserve">Bahri, F.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2014</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Isolement et caractérisation des souches de lactobacilles à caractères probiotiques à partir de selles d’enfants. Thèse, Université Constantine I, Faculté des Sciences de la Nature et de la Vie, Département de Microbiologie, Algérie, 147 p.</w:t>
      </w:r>
    </w:p>
    <w:p w14:paraId="6E349001" w14:textId="77777777" w:rsidR="00E41CCE" w:rsidRDefault="00E41CCE" w:rsidP="00FD4DF8">
      <w:pPr>
        <w:pStyle w:val="NormalWeb"/>
        <w:spacing w:before="0" w:beforeAutospacing="0" w:after="0" w:afterAutospacing="0"/>
        <w:jc w:val="both"/>
        <w:rPr>
          <w:rStyle w:val="Strong"/>
          <w:rFonts w:ascii="Arial" w:hAnsi="Arial" w:cs="Arial"/>
          <w:sz w:val="20"/>
          <w:szCs w:val="20"/>
        </w:rPr>
      </w:pPr>
    </w:p>
    <w:p w14:paraId="2961B264" w14:textId="6B9955D4" w:rsidR="00B55BD5" w:rsidRPr="00CA5893" w:rsidRDefault="00B55BD5" w:rsidP="00FD4DF8">
      <w:pPr>
        <w:pStyle w:val="NormalWeb"/>
        <w:spacing w:before="0" w:beforeAutospacing="0" w:after="0" w:afterAutospacing="0"/>
        <w:jc w:val="both"/>
        <w:rPr>
          <w:rFonts w:ascii="Arial" w:hAnsi="Arial" w:cs="Arial"/>
          <w:sz w:val="20"/>
          <w:szCs w:val="20"/>
        </w:rPr>
      </w:pPr>
      <w:r w:rsidRPr="00E41CCE">
        <w:rPr>
          <w:rStyle w:val="Strong"/>
          <w:rFonts w:ascii="Arial" w:hAnsi="Arial" w:cs="Arial"/>
          <w:b w:val="0"/>
          <w:bCs w:val="0"/>
          <w:sz w:val="20"/>
          <w:szCs w:val="20"/>
        </w:rPr>
        <w:t xml:space="preserve">Behera, S. S., Ray, R. C., &amp; Zdolec, N.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2018</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Lactobacillus plantarum with functional properties: An approach to increase safety and shelf-life of fermented foods. </w:t>
      </w:r>
      <w:r w:rsidR="00AB77EF" w:rsidRPr="005E3D79">
        <w:rPr>
          <w:rStyle w:val="Emphasis"/>
          <w:rFonts w:ascii="Arial" w:hAnsi="Arial" w:cs="Arial"/>
          <w:i w:val="0"/>
          <w:iCs w:val="0"/>
          <w:sz w:val="20"/>
          <w:szCs w:val="20"/>
        </w:rPr>
        <w:t>BioMed Research International</w:t>
      </w:r>
      <w:r w:rsidRPr="00CA5893">
        <w:rPr>
          <w:rFonts w:ascii="Arial" w:hAnsi="Arial" w:cs="Arial"/>
          <w:sz w:val="20"/>
          <w:szCs w:val="20"/>
        </w:rPr>
        <w:t>, 2018, 1–18.</w:t>
      </w:r>
    </w:p>
    <w:p w14:paraId="24056306" w14:textId="23B64E24"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Benyoucef, A.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2018</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Etude des propriétés fonctionnelles des bactéries lactiques produisant des substances antibactériennes. Mémoire de magister, Faculté Sciences de la Nature et de la Vie, Université Oran, Algérie, 181 p.</w:t>
      </w:r>
    </w:p>
    <w:p w14:paraId="6DC118F6" w14:textId="77777777" w:rsidR="00EC5B30" w:rsidRPr="00CA5893" w:rsidRDefault="00EC5B30" w:rsidP="00FD4DF8">
      <w:pPr>
        <w:pStyle w:val="NormalWeb"/>
        <w:spacing w:before="0" w:beforeAutospacing="0" w:after="0" w:afterAutospacing="0"/>
        <w:jc w:val="both"/>
        <w:rPr>
          <w:rFonts w:ascii="Arial" w:hAnsi="Arial" w:cs="Arial"/>
          <w:sz w:val="20"/>
          <w:szCs w:val="20"/>
        </w:rPr>
      </w:pPr>
    </w:p>
    <w:p w14:paraId="7DB49599" w14:textId="3E4E6592"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Brennan, N. M., Ward, A. C., Beresford, T. P., Fox, P. F., Goodfellow, M., &amp; Cogan, T. M.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2002</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Biodiversity of the bacterial flora on the surface of a smear cheese. </w:t>
      </w:r>
      <w:r w:rsidRPr="0041621E">
        <w:rPr>
          <w:rStyle w:val="Emphasis"/>
          <w:rFonts w:ascii="Arial" w:hAnsi="Arial" w:cs="Arial"/>
          <w:i w:val="0"/>
          <w:iCs w:val="0"/>
          <w:sz w:val="20"/>
          <w:szCs w:val="20"/>
        </w:rPr>
        <w:t>Applied and Environmental Microbiology</w:t>
      </w:r>
      <w:r w:rsidRPr="00CA5893">
        <w:rPr>
          <w:rFonts w:ascii="Arial" w:hAnsi="Arial" w:cs="Arial"/>
          <w:sz w:val="20"/>
          <w:szCs w:val="20"/>
        </w:rPr>
        <w:t>, 68(2), 820–830.</w:t>
      </w:r>
    </w:p>
    <w:p w14:paraId="3D96FC96"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13DC062C" w14:textId="64F00DE1"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Deeth, H. C., &amp; Touch, V. </w:t>
      </w:r>
      <w:r w:rsidR="0041621E">
        <w:rPr>
          <w:rStyle w:val="Strong"/>
          <w:rFonts w:ascii="Arial" w:hAnsi="Arial" w:cs="Arial"/>
          <w:b w:val="0"/>
          <w:bCs w:val="0"/>
          <w:sz w:val="20"/>
          <w:szCs w:val="20"/>
        </w:rPr>
        <w:t>(</w:t>
      </w:r>
      <w:r w:rsidRPr="0041621E">
        <w:rPr>
          <w:rStyle w:val="Strong"/>
          <w:rFonts w:ascii="Arial" w:hAnsi="Arial" w:cs="Arial"/>
          <w:b w:val="0"/>
          <w:bCs w:val="0"/>
          <w:sz w:val="20"/>
          <w:szCs w:val="20"/>
        </w:rPr>
        <w:t>2000</w:t>
      </w:r>
      <w:r w:rsidR="0041621E">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Methods for detecting lipase activity in milk and milk products. </w:t>
      </w:r>
      <w:r w:rsidRPr="0041621E">
        <w:rPr>
          <w:rStyle w:val="Emphasis"/>
          <w:rFonts w:ascii="Arial" w:hAnsi="Arial" w:cs="Arial"/>
          <w:i w:val="0"/>
          <w:iCs w:val="0"/>
          <w:sz w:val="20"/>
          <w:szCs w:val="20"/>
        </w:rPr>
        <w:t>Australian Journal of Dairy Technology</w:t>
      </w:r>
      <w:r w:rsidRPr="00CA5893">
        <w:rPr>
          <w:rFonts w:ascii="Arial" w:hAnsi="Arial" w:cs="Arial"/>
          <w:sz w:val="20"/>
          <w:szCs w:val="20"/>
        </w:rPr>
        <w:t>, 55(3), 153–168.</w:t>
      </w:r>
    </w:p>
    <w:p w14:paraId="6CDFD0A4"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7AE57590" w14:textId="4B68528A"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 xml:space="preserve">Draksler, D., Gonzáles, S., &amp; Oliver, G. </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2004</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4D66EB">
        <w:rPr>
          <w:rFonts w:ascii="Arial" w:hAnsi="Arial" w:cs="Arial"/>
          <w:b/>
          <w:bCs/>
          <w:sz w:val="20"/>
          <w:szCs w:val="20"/>
        </w:rPr>
        <w:t xml:space="preserve"> </w:t>
      </w:r>
      <w:r w:rsidRPr="00CA5893">
        <w:rPr>
          <w:rFonts w:ascii="Arial" w:hAnsi="Arial" w:cs="Arial"/>
          <w:sz w:val="20"/>
          <w:szCs w:val="20"/>
        </w:rPr>
        <w:t xml:space="preserve">Preliminary assays for the development of a probiotic for goats. </w:t>
      </w:r>
      <w:r w:rsidR="00E17280" w:rsidRPr="00E17280">
        <w:rPr>
          <w:rStyle w:val="Emphasis"/>
          <w:rFonts w:ascii="Arial" w:hAnsi="Arial" w:cs="Arial"/>
          <w:i w:val="0"/>
          <w:iCs w:val="0"/>
          <w:sz w:val="20"/>
          <w:szCs w:val="20"/>
        </w:rPr>
        <w:t>Reproduction Nutrition Développement</w:t>
      </w:r>
      <w:r w:rsidRPr="00CA5893">
        <w:rPr>
          <w:rFonts w:ascii="Arial" w:hAnsi="Arial" w:cs="Arial"/>
          <w:sz w:val="20"/>
          <w:szCs w:val="20"/>
        </w:rPr>
        <w:t>, 44, 397–405.</w:t>
      </w:r>
    </w:p>
    <w:p w14:paraId="0E488991" w14:textId="77777777" w:rsidR="00D10810" w:rsidRPr="00CA5893" w:rsidRDefault="00D10810" w:rsidP="00FD4DF8">
      <w:pPr>
        <w:pStyle w:val="NormalWeb"/>
        <w:spacing w:before="0" w:beforeAutospacing="0" w:after="0" w:afterAutospacing="0"/>
        <w:jc w:val="both"/>
        <w:rPr>
          <w:rFonts w:ascii="Arial" w:hAnsi="Arial" w:cs="Arial"/>
          <w:sz w:val="20"/>
          <w:szCs w:val="20"/>
        </w:rPr>
      </w:pPr>
    </w:p>
    <w:p w14:paraId="4FDBFC43" w14:textId="1A5426AE"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Eric</w:t>
      </w:r>
      <w:r w:rsidRPr="004D66EB">
        <w:rPr>
          <w:rStyle w:val="Strong"/>
          <w:rFonts w:ascii="Arial" w:eastAsiaTheme="majorEastAsia" w:hAnsi="Arial" w:cs="Arial"/>
          <w:b w:val="0"/>
          <w:bCs w:val="0"/>
          <w:sz w:val="20"/>
          <w:szCs w:val="20"/>
        </w:rPr>
        <w:t xml:space="preserve"> </w:t>
      </w:r>
      <w:r w:rsidRPr="004D66EB">
        <w:rPr>
          <w:rStyle w:val="Strong"/>
          <w:rFonts w:ascii="Arial" w:hAnsi="Arial" w:cs="Arial"/>
          <w:b w:val="0"/>
          <w:bCs w:val="0"/>
          <w:sz w:val="20"/>
          <w:szCs w:val="20"/>
        </w:rPr>
        <w:t xml:space="preserve">D. </w:t>
      </w:r>
      <w:r w:rsidR="00E17280" w:rsidRPr="004D66EB">
        <w:rPr>
          <w:rStyle w:val="Strong"/>
          <w:rFonts w:ascii="Arial" w:hAnsi="Arial" w:cs="Arial"/>
          <w:b w:val="0"/>
          <w:bCs w:val="0"/>
          <w:sz w:val="20"/>
          <w:szCs w:val="20"/>
        </w:rPr>
        <w:t>(</w:t>
      </w:r>
      <w:r w:rsidRPr="004D66EB">
        <w:rPr>
          <w:rStyle w:val="Strong"/>
          <w:rFonts w:ascii="Arial" w:hAnsi="Arial" w:cs="Arial"/>
          <w:b w:val="0"/>
          <w:bCs w:val="0"/>
          <w:sz w:val="20"/>
          <w:szCs w:val="20"/>
        </w:rPr>
        <w:t>2011</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Les critères microbiologiques des denrées alimentaires. Edition Tec et Doc, Lavoisier, 266 p.</w:t>
      </w:r>
    </w:p>
    <w:p w14:paraId="5ECEEF36"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4569865C" w14:textId="4888B775"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 xml:space="preserve">Fouzia, R. </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2015</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Valorisation du lait de chamelle par l’exploitation des potentialités technologiques des bactéries lactiques isolées localement. Thèse de Doctorat, Université d’Oran, Algérie, 165 p.</w:t>
      </w:r>
    </w:p>
    <w:p w14:paraId="7776EB75"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7C544019" w14:textId="2FF45375" w:rsidR="00B55BD5" w:rsidRPr="00181C00" w:rsidRDefault="00B55BD5" w:rsidP="00FD4DF8">
      <w:pPr>
        <w:jc w:val="both"/>
        <w:rPr>
          <w:rFonts w:ascii="Arial" w:hAnsi="Arial" w:cs="Arial"/>
          <w:bCs/>
          <w:color w:val="000000"/>
        </w:rPr>
      </w:pPr>
      <w:r w:rsidRPr="00181C00">
        <w:rPr>
          <w:rFonts w:ascii="Arial" w:hAnsi="Arial" w:cs="Arial"/>
          <w:bCs/>
          <w:color w:val="000000"/>
        </w:rPr>
        <w:t xml:space="preserve">Guiraud J.P. </w:t>
      </w:r>
      <w:r w:rsidR="005A0D5E" w:rsidRPr="00181C00">
        <w:rPr>
          <w:rFonts w:ascii="Arial" w:hAnsi="Arial" w:cs="Arial"/>
          <w:bCs/>
          <w:color w:val="000000"/>
        </w:rPr>
        <w:t>(</w:t>
      </w:r>
      <w:r w:rsidRPr="00181C00">
        <w:rPr>
          <w:rFonts w:ascii="Arial" w:hAnsi="Arial" w:cs="Arial"/>
          <w:bCs/>
          <w:color w:val="000000"/>
        </w:rPr>
        <w:t>2003</w:t>
      </w:r>
      <w:r w:rsidR="005A0D5E" w:rsidRPr="00181C00">
        <w:rPr>
          <w:rFonts w:ascii="Arial" w:hAnsi="Arial" w:cs="Arial"/>
          <w:bCs/>
          <w:color w:val="000000"/>
        </w:rPr>
        <w:t>)</w:t>
      </w:r>
      <w:r w:rsidRPr="00181C00">
        <w:rPr>
          <w:rFonts w:ascii="Arial" w:hAnsi="Arial" w:cs="Arial"/>
          <w:bCs/>
          <w:color w:val="000000"/>
        </w:rPr>
        <w:t>. Microbiologie alimentaire. Technique et ingénierie, Paris: Dunod,</w:t>
      </w:r>
      <w:r w:rsidRPr="00181C00">
        <w:rPr>
          <w:rFonts w:ascii="Arial" w:hAnsi="Arial" w:cs="Arial"/>
          <w:bCs/>
          <w:color w:val="000000"/>
        </w:rPr>
        <w:br/>
        <w:t>série Agro-alimentaire, p. 387-433.</w:t>
      </w:r>
    </w:p>
    <w:p w14:paraId="6309571F" w14:textId="77777777" w:rsidR="005A0D5E" w:rsidRPr="00181C00" w:rsidRDefault="005A0D5E" w:rsidP="00FD4DF8">
      <w:pPr>
        <w:jc w:val="both"/>
        <w:rPr>
          <w:rFonts w:ascii="Arial" w:hAnsi="Arial" w:cs="Arial"/>
          <w:bCs/>
          <w:color w:val="000000"/>
        </w:rPr>
      </w:pPr>
    </w:p>
    <w:p w14:paraId="472C06A1" w14:textId="79DB26EA" w:rsidR="00B55BD5" w:rsidRDefault="00B55BD5" w:rsidP="00FD4DF8">
      <w:pPr>
        <w:pStyle w:val="NormalWeb"/>
        <w:spacing w:before="0" w:beforeAutospacing="0" w:after="0" w:afterAutospacing="0"/>
        <w:jc w:val="both"/>
        <w:rPr>
          <w:rFonts w:ascii="Arial" w:hAnsi="Arial" w:cs="Arial"/>
          <w:sz w:val="20"/>
          <w:szCs w:val="20"/>
        </w:rPr>
      </w:pPr>
      <w:r w:rsidRPr="00181C00">
        <w:rPr>
          <w:rStyle w:val="Strong"/>
          <w:rFonts w:ascii="Arial" w:hAnsi="Arial" w:cs="Arial"/>
          <w:b w:val="0"/>
          <w:sz w:val="20"/>
          <w:szCs w:val="20"/>
        </w:rPr>
        <w:t xml:space="preserve">Hamchache, G., &amp; Mansouri, A. </w:t>
      </w:r>
      <w:r w:rsidR="005A0D5E" w:rsidRPr="00181C00">
        <w:rPr>
          <w:rStyle w:val="Strong"/>
          <w:rFonts w:ascii="Arial" w:hAnsi="Arial" w:cs="Arial"/>
          <w:b w:val="0"/>
          <w:sz w:val="20"/>
          <w:szCs w:val="20"/>
        </w:rPr>
        <w:t>(</w:t>
      </w:r>
      <w:r w:rsidRPr="00181C00">
        <w:rPr>
          <w:rStyle w:val="Strong"/>
          <w:rFonts w:ascii="Arial" w:hAnsi="Arial" w:cs="Arial"/>
          <w:b w:val="0"/>
          <w:sz w:val="20"/>
          <w:szCs w:val="20"/>
        </w:rPr>
        <w:t>2017</w:t>
      </w:r>
      <w:r w:rsidR="005A0D5E" w:rsidRPr="00181C00">
        <w:rPr>
          <w:rStyle w:val="Strong"/>
          <w:rFonts w:ascii="Arial" w:hAnsi="Arial" w:cs="Arial"/>
          <w:b w:val="0"/>
          <w:sz w:val="20"/>
          <w:szCs w:val="20"/>
        </w:rPr>
        <w:t>)</w:t>
      </w:r>
      <w:r w:rsidRPr="00181C00">
        <w:rPr>
          <w:rStyle w:val="Strong"/>
          <w:rFonts w:ascii="Arial" w:hAnsi="Arial" w:cs="Arial"/>
          <w:b w:val="0"/>
          <w:sz w:val="20"/>
          <w:szCs w:val="20"/>
        </w:rPr>
        <w:t>.</w:t>
      </w:r>
      <w:r w:rsidRPr="00CA5893">
        <w:rPr>
          <w:rFonts w:ascii="Arial" w:hAnsi="Arial" w:cs="Arial"/>
          <w:sz w:val="20"/>
          <w:szCs w:val="20"/>
        </w:rPr>
        <w:t xml:space="preserve"> Isolement des bactéries lactiques à partir d’un fromage artisanal Alatig et étude de leurs quelques aptitudes technologiques. Faculté des Sciences de la Nature et de la Vie, Département de Microbiologie, Université A. MIRA - Bejaia, Algérie, 72 p.</w:t>
      </w:r>
    </w:p>
    <w:p w14:paraId="22DB73B8" w14:textId="77777777" w:rsidR="005A0D5E" w:rsidRPr="00CA5893" w:rsidRDefault="005A0D5E" w:rsidP="00FD4DF8">
      <w:pPr>
        <w:pStyle w:val="NormalWeb"/>
        <w:spacing w:before="0" w:beforeAutospacing="0" w:after="0" w:afterAutospacing="0"/>
        <w:jc w:val="both"/>
        <w:rPr>
          <w:rFonts w:ascii="Arial" w:hAnsi="Arial" w:cs="Arial"/>
          <w:sz w:val="20"/>
          <w:szCs w:val="20"/>
        </w:rPr>
      </w:pPr>
    </w:p>
    <w:p w14:paraId="7F071897" w14:textId="7CC1722A" w:rsidR="00B55BD5" w:rsidRPr="000D4F9A" w:rsidRDefault="00B55BD5" w:rsidP="00FD4DF8">
      <w:pPr>
        <w:pStyle w:val="NormalWeb"/>
        <w:spacing w:before="0" w:beforeAutospacing="0" w:after="0" w:afterAutospacing="0"/>
        <w:jc w:val="both"/>
        <w:rPr>
          <w:rFonts w:ascii="Arial" w:hAnsi="Arial" w:cs="Arial"/>
          <w:sz w:val="20"/>
          <w:szCs w:val="20"/>
        </w:rPr>
      </w:pPr>
      <w:r w:rsidRPr="000D4F9A">
        <w:rPr>
          <w:rStyle w:val="Strong"/>
          <w:rFonts w:ascii="Arial" w:hAnsi="Arial" w:cs="Arial"/>
          <w:b w:val="0"/>
          <w:bCs w:val="0"/>
          <w:sz w:val="20"/>
          <w:szCs w:val="20"/>
        </w:rPr>
        <w:t xml:space="preserve">Hydrominus, B., Le Marrec, P., Hadj Sassi, A., &amp; Deschamps, A.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2000</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0D4F9A">
        <w:rPr>
          <w:rFonts w:ascii="Arial" w:hAnsi="Arial" w:cs="Arial"/>
          <w:sz w:val="20"/>
          <w:szCs w:val="20"/>
        </w:rPr>
        <w:t xml:space="preserve"> Acid and bile tolerance of spore-forming lactic acid bacteria. </w:t>
      </w:r>
      <w:r w:rsidR="006C7E13" w:rsidRPr="000D4F9A">
        <w:rPr>
          <w:rStyle w:val="Emphasis"/>
          <w:rFonts w:ascii="Arial" w:hAnsi="Arial" w:cs="Arial"/>
          <w:i w:val="0"/>
          <w:iCs w:val="0"/>
          <w:sz w:val="20"/>
          <w:szCs w:val="20"/>
        </w:rPr>
        <w:t>International Journal of Food Microbiology</w:t>
      </w:r>
      <w:r w:rsidRPr="000D4F9A">
        <w:rPr>
          <w:rFonts w:ascii="Arial" w:hAnsi="Arial" w:cs="Arial"/>
          <w:i/>
          <w:iCs/>
          <w:sz w:val="20"/>
          <w:szCs w:val="20"/>
        </w:rPr>
        <w:t>,</w:t>
      </w:r>
      <w:r w:rsidRPr="000D4F9A">
        <w:rPr>
          <w:rFonts w:ascii="Arial" w:hAnsi="Arial" w:cs="Arial"/>
          <w:sz w:val="20"/>
          <w:szCs w:val="20"/>
        </w:rPr>
        <w:t xml:space="preserve"> 61, 193–197.</w:t>
      </w:r>
    </w:p>
    <w:p w14:paraId="462C93A9" w14:textId="77777777" w:rsidR="005A0D5E" w:rsidRPr="000D4F9A" w:rsidRDefault="005A0D5E" w:rsidP="00FD4DF8">
      <w:pPr>
        <w:pStyle w:val="NormalWeb"/>
        <w:spacing w:before="0" w:beforeAutospacing="0" w:after="0" w:afterAutospacing="0"/>
        <w:jc w:val="both"/>
        <w:rPr>
          <w:rFonts w:ascii="Arial" w:hAnsi="Arial" w:cs="Arial"/>
          <w:sz w:val="20"/>
          <w:szCs w:val="20"/>
        </w:rPr>
      </w:pPr>
    </w:p>
    <w:p w14:paraId="4E474B58" w14:textId="0A4B245B" w:rsidR="00B55BD5" w:rsidRDefault="00B55BD5" w:rsidP="00FD4DF8">
      <w:pPr>
        <w:pStyle w:val="NormalWeb"/>
        <w:spacing w:before="0" w:beforeAutospacing="0" w:after="0" w:afterAutospacing="0"/>
        <w:jc w:val="both"/>
        <w:rPr>
          <w:rFonts w:ascii="Arial" w:hAnsi="Arial" w:cs="Arial"/>
          <w:sz w:val="20"/>
          <w:szCs w:val="20"/>
        </w:rPr>
      </w:pPr>
      <w:r w:rsidRPr="000D4F9A">
        <w:rPr>
          <w:rStyle w:val="Strong"/>
          <w:rFonts w:ascii="Arial" w:hAnsi="Arial" w:cs="Arial"/>
          <w:b w:val="0"/>
          <w:bCs w:val="0"/>
          <w:sz w:val="20"/>
          <w:szCs w:val="20"/>
        </w:rPr>
        <w:t xml:space="preserve">Karam, N., Dellali, A., &amp; Zadi-Karam, H.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2012</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CA5893">
        <w:rPr>
          <w:rFonts w:ascii="Arial" w:hAnsi="Arial" w:cs="Arial"/>
          <w:sz w:val="20"/>
          <w:szCs w:val="20"/>
        </w:rPr>
        <w:t xml:space="preserve"> Activité lipolytique chez les bactéries lactiques. </w:t>
      </w:r>
      <w:r w:rsidR="00AF2592" w:rsidRPr="00AF2592">
        <w:rPr>
          <w:rStyle w:val="Emphasis"/>
          <w:rFonts w:ascii="Arial" w:hAnsi="Arial" w:cs="Arial"/>
          <w:i w:val="0"/>
          <w:iCs w:val="0"/>
          <w:sz w:val="20"/>
          <w:szCs w:val="20"/>
        </w:rPr>
        <w:t>Rencontres autour des Recherches sur les Ruminants</w:t>
      </w:r>
      <w:r w:rsidRPr="00CA5893">
        <w:rPr>
          <w:rFonts w:ascii="Arial" w:hAnsi="Arial" w:cs="Arial"/>
          <w:sz w:val="20"/>
          <w:szCs w:val="20"/>
        </w:rPr>
        <w:t>, 19.</w:t>
      </w:r>
    </w:p>
    <w:p w14:paraId="7C7C7125"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20225DCA" w14:textId="6CDC8D9A"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Li, E., Wang, J., Guo, B., &amp; Zhang, W. </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Effects of short-chain fatty acid-producing probiotic metabolites on symptom relief and intestinal barrier function in patients with irritable bowel syndrome: A double-blind, randomized controlled trial. </w:t>
      </w:r>
      <w:r w:rsidR="00C924FC" w:rsidRPr="00C924FC">
        <w:rPr>
          <w:rStyle w:val="Emphasis"/>
          <w:rFonts w:ascii="Arial" w:hAnsi="Arial" w:cs="Arial"/>
          <w:i w:val="0"/>
          <w:iCs w:val="0"/>
          <w:sz w:val="20"/>
          <w:szCs w:val="20"/>
        </w:rPr>
        <w:t>Frontiers in Cellular and Infection Microbiology</w:t>
      </w:r>
      <w:r w:rsidR="00C924FC">
        <w:rPr>
          <w:rStyle w:val="Emphasis"/>
          <w:rFonts w:ascii="Arial" w:hAnsi="Arial" w:cs="Arial"/>
          <w:sz w:val="20"/>
          <w:szCs w:val="20"/>
        </w:rPr>
        <w:t xml:space="preserve">, </w:t>
      </w:r>
      <w:r w:rsidRPr="00CA5893">
        <w:rPr>
          <w:rFonts w:ascii="Arial" w:hAnsi="Arial" w:cs="Arial"/>
          <w:sz w:val="20"/>
          <w:szCs w:val="20"/>
        </w:rPr>
        <w:t>June 2025, vol. 15.</w:t>
      </w:r>
    </w:p>
    <w:p w14:paraId="2CC4AC6F"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6174DAA8" w14:textId="23E0905C"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Meena, K. K., Gupta, L., Joshi, M., Rao, P., Panwar, N. L., &amp; Meena, S. </w:t>
      </w:r>
      <w:r w:rsidR="0059709F"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59709F" w:rsidRPr="0059709F">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Evaluation of probiotic properties of lactic acid bacteria isolated from sheep milk and its suitability as a starter in a milk-cereal-based beverage. </w:t>
      </w:r>
      <w:r w:rsidRPr="0059709F">
        <w:rPr>
          <w:rStyle w:val="Emphasis"/>
          <w:rFonts w:ascii="Arial" w:hAnsi="Arial" w:cs="Arial"/>
          <w:i w:val="0"/>
          <w:iCs w:val="0"/>
          <w:sz w:val="20"/>
          <w:szCs w:val="20"/>
        </w:rPr>
        <w:t>Food Biomacromolecules</w:t>
      </w:r>
      <w:r w:rsidRPr="0059709F">
        <w:rPr>
          <w:rFonts w:ascii="Arial" w:hAnsi="Arial" w:cs="Arial"/>
          <w:i/>
          <w:iCs/>
          <w:sz w:val="20"/>
          <w:szCs w:val="20"/>
        </w:rPr>
        <w:t>,</w:t>
      </w:r>
      <w:r w:rsidRPr="00CA5893">
        <w:rPr>
          <w:rFonts w:ascii="Arial" w:hAnsi="Arial" w:cs="Arial"/>
          <w:sz w:val="20"/>
          <w:szCs w:val="20"/>
        </w:rPr>
        <w:t xml:space="preserve"> 1–15.</w:t>
      </w:r>
    </w:p>
    <w:p w14:paraId="3414948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5AF55BC9" w14:textId="5D6593A0"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O’Sullivan, E., &amp; Condon, S. </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1997</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Intracellular pH is a major factor in the induction of tolerance to acid and other stresses in </w:t>
      </w:r>
      <w:r w:rsidRPr="00CA5893">
        <w:rPr>
          <w:rStyle w:val="Emphasis"/>
          <w:rFonts w:ascii="Arial" w:hAnsi="Arial" w:cs="Arial"/>
          <w:sz w:val="20"/>
          <w:szCs w:val="20"/>
        </w:rPr>
        <w:t>Lactococcus lactis</w:t>
      </w:r>
      <w:r w:rsidRPr="00CA5893">
        <w:rPr>
          <w:rFonts w:ascii="Arial" w:hAnsi="Arial" w:cs="Arial"/>
          <w:sz w:val="20"/>
          <w:szCs w:val="20"/>
        </w:rPr>
        <w:t xml:space="preserve">. </w:t>
      </w:r>
      <w:r w:rsidRPr="0059709F">
        <w:rPr>
          <w:rStyle w:val="Emphasis"/>
          <w:rFonts w:ascii="Arial" w:hAnsi="Arial" w:cs="Arial"/>
          <w:i w:val="0"/>
          <w:iCs w:val="0"/>
          <w:sz w:val="20"/>
          <w:szCs w:val="20"/>
        </w:rPr>
        <w:t>Applied Environmental Microbiology</w:t>
      </w:r>
      <w:r w:rsidRPr="00CA5893">
        <w:rPr>
          <w:rFonts w:ascii="Arial" w:hAnsi="Arial" w:cs="Arial"/>
          <w:sz w:val="20"/>
          <w:szCs w:val="20"/>
        </w:rPr>
        <w:t>, 63(11), 4210–4215.</w:t>
      </w:r>
    </w:p>
    <w:p w14:paraId="7CDCB05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11CF186C" w14:textId="3FDA0493" w:rsidR="00B55BD5" w:rsidRPr="00CA5893" w:rsidRDefault="00B55BD5" w:rsidP="00FD4DF8">
      <w:pPr>
        <w:pStyle w:val="NormalWeb"/>
        <w:spacing w:before="0" w:beforeAutospacing="0" w:after="0" w:afterAutospacing="0"/>
        <w:jc w:val="both"/>
        <w:rPr>
          <w:rFonts w:ascii="Arial" w:hAnsi="Arial" w:cs="Arial"/>
          <w:sz w:val="20"/>
          <w:szCs w:val="20"/>
        </w:rPr>
      </w:pPr>
      <w:r w:rsidRPr="00361DE8">
        <w:rPr>
          <w:rStyle w:val="Strong"/>
          <w:rFonts w:ascii="Arial" w:hAnsi="Arial" w:cs="Arial"/>
          <w:b w:val="0"/>
          <w:bCs w:val="0"/>
          <w:sz w:val="20"/>
          <w:szCs w:val="20"/>
        </w:rPr>
        <w:t xml:space="preserve">Ourtirane, R. </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2005</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w:t>
      </w:r>
      <w:r w:rsidRPr="00CA5893">
        <w:rPr>
          <w:rFonts w:ascii="Arial" w:hAnsi="Arial" w:cs="Arial"/>
          <w:sz w:val="20"/>
          <w:szCs w:val="20"/>
        </w:rPr>
        <w:t xml:space="preserve"> Étude de quelques aptitudes probiotiques de </w:t>
      </w:r>
      <w:r w:rsidRPr="00CA5893">
        <w:rPr>
          <w:rStyle w:val="Emphasis"/>
          <w:rFonts w:ascii="Arial" w:hAnsi="Arial" w:cs="Arial"/>
          <w:sz w:val="20"/>
          <w:szCs w:val="20"/>
        </w:rPr>
        <w:t>Lactobacillus paracasei</w:t>
      </w:r>
      <w:r w:rsidRPr="00CA5893">
        <w:rPr>
          <w:rFonts w:ascii="Arial" w:hAnsi="Arial" w:cs="Arial"/>
          <w:sz w:val="20"/>
          <w:szCs w:val="20"/>
        </w:rPr>
        <w:t xml:space="preserve"> subsp. </w:t>
      </w:r>
      <w:r w:rsidRPr="00CA5893">
        <w:rPr>
          <w:rStyle w:val="Emphasis"/>
          <w:rFonts w:ascii="Arial" w:hAnsi="Arial" w:cs="Arial"/>
          <w:sz w:val="20"/>
          <w:szCs w:val="20"/>
        </w:rPr>
        <w:t>paracasei</w:t>
      </w:r>
      <w:r w:rsidRPr="00CA5893">
        <w:rPr>
          <w:rFonts w:ascii="Arial" w:hAnsi="Arial" w:cs="Arial"/>
          <w:sz w:val="20"/>
          <w:szCs w:val="20"/>
        </w:rPr>
        <w:t xml:space="preserve"> BMK. Mémoire de Master en Microbiologie Alimentaire et Santé, Université Abderrahmane Mira Bejaia, 69 p.</w:t>
      </w:r>
    </w:p>
    <w:p w14:paraId="50E89803" w14:textId="50FD6DD3" w:rsidR="00B55BD5" w:rsidRPr="000D706A" w:rsidRDefault="00B55BD5" w:rsidP="00FD4DF8">
      <w:pPr>
        <w:pStyle w:val="NormalWeb"/>
        <w:spacing w:before="0" w:beforeAutospacing="0" w:after="0" w:afterAutospacing="0"/>
        <w:jc w:val="both"/>
        <w:rPr>
          <w:rFonts w:ascii="Arial" w:hAnsi="Arial" w:cs="Arial"/>
          <w:sz w:val="20"/>
          <w:szCs w:val="20"/>
        </w:rPr>
      </w:pPr>
      <w:r w:rsidRPr="000D706A">
        <w:rPr>
          <w:rStyle w:val="Strong"/>
          <w:rFonts w:ascii="Arial" w:hAnsi="Arial" w:cs="Arial"/>
          <w:b w:val="0"/>
          <w:bCs w:val="0"/>
          <w:sz w:val="20"/>
          <w:szCs w:val="20"/>
        </w:rPr>
        <w:t xml:space="preserve">Roselli, M., Colafranceschi, F., Cipriani, V., Valle, A., Zinno, P., Guantario, B., Schifano, E., Uccelletti, D., &amp; Devirgiliis, C. </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2025</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w:t>
      </w:r>
      <w:r w:rsidRPr="000D706A">
        <w:rPr>
          <w:rFonts w:ascii="Arial" w:hAnsi="Arial" w:cs="Arial"/>
          <w:sz w:val="20"/>
          <w:szCs w:val="20"/>
        </w:rPr>
        <w:t xml:space="preserve"> </w:t>
      </w:r>
      <w:r w:rsidR="00A26C21" w:rsidRPr="000D706A">
        <w:rPr>
          <w:rFonts w:ascii="Arial" w:hAnsi="Arial" w:cs="Arial"/>
          <w:sz w:val="20"/>
          <w:szCs w:val="20"/>
        </w:rPr>
        <w:t>Isolation and Characterization of Lactic Acid Bacteria from an Italian Traditional Raw Milk Cheese: Probiotic Properties and Technological Performance of Selected Strains</w:t>
      </w:r>
      <w:r w:rsidRPr="000D706A">
        <w:rPr>
          <w:rFonts w:ascii="Arial" w:hAnsi="Arial" w:cs="Arial"/>
          <w:sz w:val="20"/>
          <w:szCs w:val="20"/>
        </w:rPr>
        <w:t xml:space="preserve">. </w:t>
      </w:r>
      <w:r w:rsidR="00B11C6D" w:rsidRPr="000D706A">
        <w:rPr>
          <w:rStyle w:val="Emphasis"/>
          <w:rFonts w:ascii="Arial" w:hAnsi="Arial" w:cs="Arial"/>
          <w:i w:val="0"/>
          <w:iCs w:val="0"/>
          <w:color w:val="222222"/>
          <w:sz w:val="20"/>
          <w:szCs w:val="20"/>
          <w:shd w:val="clear" w:color="auto" w:fill="FFFFFF"/>
        </w:rPr>
        <w:t>Microorganisms</w:t>
      </w:r>
      <w:r w:rsidR="000D706A" w:rsidRPr="000D706A">
        <w:rPr>
          <w:rFonts w:ascii="Arial" w:hAnsi="Arial" w:cs="Arial"/>
          <w:color w:val="222222"/>
          <w:sz w:val="20"/>
          <w:szCs w:val="20"/>
          <w:shd w:val="clear" w:color="auto" w:fill="FFFFFF"/>
        </w:rPr>
        <w:t xml:space="preserve">, </w:t>
      </w:r>
      <w:r w:rsidRPr="000D706A">
        <w:rPr>
          <w:rFonts w:ascii="Arial" w:hAnsi="Arial" w:cs="Arial"/>
          <w:sz w:val="20"/>
          <w:szCs w:val="20"/>
        </w:rPr>
        <w:t>13(6), 1368.</w:t>
      </w:r>
    </w:p>
    <w:p w14:paraId="2F12887D" w14:textId="77777777" w:rsidR="00C67E60" w:rsidRDefault="00C67E60" w:rsidP="00FD4DF8">
      <w:pPr>
        <w:pStyle w:val="NormalWeb"/>
        <w:spacing w:before="0" w:beforeAutospacing="0" w:after="0" w:afterAutospacing="0"/>
        <w:jc w:val="both"/>
        <w:rPr>
          <w:rStyle w:val="Strong"/>
          <w:rFonts w:ascii="Arial" w:hAnsi="Arial" w:cs="Arial"/>
          <w:sz w:val="20"/>
          <w:szCs w:val="20"/>
        </w:rPr>
      </w:pPr>
    </w:p>
    <w:p w14:paraId="061C8E73" w14:textId="2C6B651B" w:rsidR="00B55BD5" w:rsidRDefault="00B55BD5" w:rsidP="00FD4DF8">
      <w:pPr>
        <w:pStyle w:val="NormalWeb"/>
        <w:spacing w:before="0" w:beforeAutospacing="0" w:after="0" w:afterAutospacing="0"/>
        <w:jc w:val="both"/>
        <w:rPr>
          <w:rFonts w:ascii="Arial" w:hAnsi="Arial" w:cs="Arial"/>
          <w:sz w:val="20"/>
          <w:szCs w:val="20"/>
        </w:rPr>
      </w:pPr>
      <w:r w:rsidRPr="00C67E60">
        <w:rPr>
          <w:rStyle w:val="Strong"/>
          <w:rFonts w:ascii="Arial" w:hAnsi="Arial" w:cs="Arial"/>
          <w:b w:val="0"/>
          <w:bCs w:val="0"/>
          <w:sz w:val="20"/>
          <w:szCs w:val="20"/>
        </w:rPr>
        <w:t xml:space="preserve">Sarita, B., Samadhan, D., Hassan, M. Z., &amp; Kovaleva, E. G. </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2025</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w:t>
      </w:r>
      <w:r w:rsidRPr="00CA5893">
        <w:rPr>
          <w:rFonts w:ascii="Arial" w:hAnsi="Arial" w:cs="Arial"/>
          <w:sz w:val="20"/>
          <w:szCs w:val="20"/>
        </w:rPr>
        <w:t xml:space="preserve"> A comprehensive review of probiotics and human health – current prospective and applications. </w:t>
      </w:r>
      <w:r w:rsidR="00C67E60" w:rsidRPr="00C67E60">
        <w:rPr>
          <w:rStyle w:val="Emphasis"/>
          <w:rFonts w:ascii="Arial" w:hAnsi="Arial" w:cs="Arial"/>
          <w:i w:val="0"/>
          <w:iCs w:val="0"/>
          <w:sz w:val="20"/>
          <w:szCs w:val="20"/>
        </w:rPr>
        <w:t>Frontiers in Microbiology</w:t>
      </w:r>
      <w:r w:rsidRPr="00CA5893">
        <w:rPr>
          <w:rFonts w:ascii="Arial" w:hAnsi="Arial" w:cs="Arial"/>
          <w:sz w:val="20"/>
          <w:szCs w:val="20"/>
        </w:rPr>
        <w:t>, 15, 1487641.</w:t>
      </w:r>
    </w:p>
    <w:p w14:paraId="321A9332"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10917FB6" w14:textId="1BE5A2CE" w:rsidR="00B55BD5" w:rsidRDefault="00B55BD5" w:rsidP="00FD4DF8">
      <w:pPr>
        <w:pStyle w:val="NormalWeb"/>
        <w:spacing w:before="0" w:beforeAutospacing="0" w:after="0" w:afterAutospacing="0"/>
        <w:jc w:val="both"/>
        <w:rPr>
          <w:rFonts w:ascii="Arial" w:hAnsi="Arial" w:cs="Arial"/>
          <w:sz w:val="20"/>
          <w:szCs w:val="20"/>
        </w:rPr>
      </w:pPr>
      <w:r w:rsidRPr="003F591E">
        <w:rPr>
          <w:rStyle w:val="Strong"/>
          <w:rFonts w:ascii="Arial" w:hAnsi="Arial" w:cs="Arial"/>
          <w:b w:val="0"/>
          <w:bCs w:val="0"/>
          <w:sz w:val="20"/>
          <w:szCs w:val="20"/>
        </w:rPr>
        <w:t xml:space="preserve">Shamsudin, W. N. F., Loo, S. S., Ho, Y. W., Abdullah, N., Saad, W. Z., &amp; Lian, W. K. </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2019</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3F591E">
        <w:rPr>
          <w:rFonts w:ascii="Arial" w:hAnsi="Arial" w:cs="Arial"/>
          <w:b/>
          <w:bCs/>
          <w:sz w:val="20"/>
          <w:szCs w:val="20"/>
        </w:rPr>
        <w:t xml:space="preserve"> </w:t>
      </w:r>
      <w:r w:rsidRPr="00CA5893">
        <w:rPr>
          <w:rFonts w:ascii="Arial" w:hAnsi="Arial" w:cs="Arial"/>
          <w:sz w:val="20"/>
          <w:szCs w:val="20"/>
        </w:rPr>
        <w:t xml:space="preserve">Probiotic properties of </w:t>
      </w:r>
      <w:r w:rsidRPr="00CA5893">
        <w:rPr>
          <w:rStyle w:val="Emphasis"/>
          <w:rFonts w:ascii="Arial" w:hAnsi="Arial" w:cs="Arial"/>
          <w:sz w:val="20"/>
          <w:szCs w:val="20"/>
        </w:rPr>
        <w:t>Lactobacillus</w:t>
      </w:r>
      <w:r w:rsidRPr="00CA5893">
        <w:rPr>
          <w:rFonts w:ascii="Arial" w:hAnsi="Arial" w:cs="Arial"/>
          <w:sz w:val="20"/>
          <w:szCs w:val="20"/>
        </w:rPr>
        <w:t xml:space="preserve"> isolates from chicken intestines. </w:t>
      </w:r>
      <w:r w:rsidRPr="003F591E">
        <w:rPr>
          <w:rStyle w:val="Emphasis"/>
          <w:rFonts w:ascii="Arial" w:hAnsi="Arial" w:cs="Arial"/>
          <w:i w:val="0"/>
          <w:iCs w:val="0"/>
          <w:sz w:val="20"/>
          <w:szCs w:val="20"/>
        </w:rPr>
        <w:t>Journal of Biochemistry, Microbiology and Biotechnology</w:t>
      </w:r>
      <w:r w:rsidRPr="003F591E">
        <w:rPr>
          <w:rFonts w:ascii="Arial" w:hAnsi="Arial" w:cs="Arial"/>
          <w:i/>
          <w:iCs/>
          <w:sz w:val="20"/>
          <w:szCs w:val="20"/>
        </w:rPr>
        <w:t>,</w:t>
      </w:r>
      <w:r w:rsidRPr="00CA5893">
        <w:rPr>
          <w:rFonts w:ascii="Arial" w:hAnsi="Arial" w:cs="Arial"/>
          <w:sz w:val="20"/>
          <w:szCs w:val="20"/>
        </w:rPr>
        <w:t xml:space="preserve"> 7(2), 8–13.</w:t>
      </w:r>
    </w:p>
    <w:p w14:paraId="1C25CEC4"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38DD29DB" w14:textId="26859EF0" w:rsidR="00B55BD5" w:rsidRDefault="00B55BD5" w:rsidP="00FD4DF8">
      <w:pPr>
        <w:pStyle w:val="NormalWeb"/>
        <w:spacing w:before="0" w:beforeAutospacing="0" w:after="0" w:afterAutospacing="0"/>
        <w:jc w:val="both"/>
        <w:rPr>
          <w:rFonts w:ascii="Arial" w:hAnsi="Arial" w:cs="Arial"/>
          <w:sz w:val="20"/>
          <w:szCs w:val="20"/>
        </w:rPr>
      </w:pPr>
      <w:r w:rsidRPr="003F591E">
        <w:rPr>
          <w:rStyle w:val="Strong"/>
          <w:rFonts w:ascii="Arial" w:hAnsi="Arial" w:cs="Arial"/>
          <w:b w:val="0"/>
          <w:bCs w:val="0"/>
          <w:sz w:val="20"/>
          <w:szCs w:val="20"/>
        </w:rPr>
        <w:t xml:space="preserve">Tadesse, G., Ephraim, E., &amp; Ashenafi, M. </w:t>
      </w:r>
      <w:r w:rsidR="002D4F47" w:rsidRPr="003F591E">
        <w:rPr>
          <w:rStyle w:val="Strong"/>
          <w:rFonts w:ascii="Arial" w:hAnsi="Arial" w:cs="Arial"/>
          <w:b w:val="0"/>
          <w:bCs w:val="0"/>
          <w:sz w:val="20"/>
          <w:szCs w:val="20"/>
        </w:rPr>
        <w:t>(</w:t>
      </w:r>
      <w:r w:rsidRPr="003F591E">
        <w:rPr>
          <w:rStyle w:val="Strong"/>
          <w:rFonts w:ascii="Arial" w:hAnsi="Arial" w:cs="Arial"/>
          <w:b w:val="0"/>
          <w:bCs w:val="0"/>
          <w:sz w:val="20"/>
          <w:szCs w:val="20"/>
        </w:rPr>
        <w:t>2004</w:t>
      </w:r>
      <w:r w:rsidR="003F591E" w:rsidRP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CA5893">
        <w:rPr>
          <w:rFonts w:ascii="Arial" w:hAnsi="Arial" w:cs="Arial"/>
          <w:sz w:val="20"/>
          <w:szCs w:val="20"/>
        </w:rPr>
        <w:t xml:space="preserve"> Assessment of the antimicrobial activity of lactic acid bacteria isolated from Borde and Shamita, traditional Ethiopian fermented beverages, on some foodborne pathogens and effect of growth medium on the inhibitory activity. </w:t>
      </w:r>
      <w:r w:rsidR="002D4F47" w:rsidRPr="002D4F47">
        <w:rPr>
          <w:rFonts w:ascii="Arial" w:hAnsi="Arial" w:cs="Arial"/>
          <w:i/>
          <w:iCs/>
          <w:sz w:val="20"/>
          <w:szCs w:val="20"/>
        </w:rPr>
        <w:t>I</w:t>
      </w:r>
      <w:r w:rsidR="002D4F47" w:rsidRPr="002D4F47">
        <w:rPr>
          <w:rStyle w:val="Emphasis"/>
          <w:rFonts w:ascii="Arial" w:hAnsi="Arial" w:cs="Arial"/>
          <w:i w:val="0"/>
          <w:iCs w:val="0"/>
          <w:sz w:val="20"/>
          <w:szCs w:val="20"/>
        </w:rPr>
        <w:t>nternational journal of food safety</w:t>
      </w:r>
      <w:r w:rsidRPr="00CA5893">
        <w:rPr>
          <w:rFonts w:ascii="Arial" w:hAnsi="Arial" w:cs="Arial"/>
          <w:sz w:val="20"/>
          <w:szCs w:val="20"/>
        </w:rPr>
        <w:t>, 5, 13–20.</w:t>
      </w:r>
    </w:p>
    <w:p w14:paraId="75FDE271"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179B8E01" w14:textId="5D6531D8" w:rsidR="00B55BD5" w:rsidRDefault="00B55BD5" w:rsidP="00FD4DF8">
      <w:pPr>
        <w:pStyle w:val="NormalWeb"/>
        <w:spacing w:before="0" w:beforeAutospacing="0" w:after="0" w:afterAutospacing="0"/>
        <w:jc w:val="both"/>
        <w:rPr>
          <w:rFonts w:ascii="Arial" w:hAnsi="Arial" w:cs="Arial"/>
          <w:sz w:val="20"/>
          <w:szCs w:val="20"/>
        </w:rPr>
      </w:pPr>
      <w:r w:rsidRPr="00563433">
        <w:rPr>
          <w:rStyle w:val="Strong"/>
          <w:rFonts w:ascii="Arial" w:hAnsi="Arial" w:cs="Arial"/>
          <w:b w:val="0"/>
          <w:bCs w:val="0"/>
          <w:sz w:val="20"/>
          <w:szCs w:val="20"/>
        </w:rPr>
        <w:t xml:space="preserve">Tsega, K. T., Maina, K. J., &amp; Tesema, N. B. </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2023</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w:t>
      </w:r>
      <w:r w:rsidRPr="00CA5893">
        <w:rPr>
          <w:rFonts w:ascii="Arial" w:hAnsi="Arial" w:cs="Arial"/>
          <w:sz w:val="20"/>
          <w:szCs w:val="20"/>
        </w:rPr>
        <w:t xml:space="preserve"> Characterization of potential probiotics </w:t>
      </w:r>
      <w:r w:rsidRPr="00CA5893">
        <w:rPr>
          <w:rStyle w:val="Emphasis"/>
          <w:rFonts w:ascii="Arial" w:hAnsi="Arial" w:cs="Arial"/>
          <w:sz w:val="20"/>
          <w:szCs w:val="20"/>
        </w:rPr>
        <w:t>Lactobacillus</w:t>
      </w:r>
      <w:r w:rsidRPr="00CA5893">
        <w:rPr>
          <w:rFonts w:ascii="Arial" w:hAnsi="Arial" w:cs="Arial"/>
          <w:sz w:val="20"/>
          <w:szCs w:val="20"/>
        </w:rPr>
        <w:t xml:space="preserve"> species isolated from the gastrointestinal tract of Rhode Island Red (RIR) chicken in Ethiopia. </w:t>
      </w:r>
      <w:r w:rsidRPr="00CA5893">
        <w:rPr>
          <w:rStyle w:val="Emphasis"/>
          <w:rFonts w:ascii="Arial" w:hAnsi="Arial" w:cs="Arial"/>
          <w:sz w:val="20"/>
          <w:szCs w:val="20"/>
        </w:rPr>
        <w:t>Heliyon</w:t>
      </w:r>
      <w:r w:rsidRPr="00CA5893">
        <w:rPr>
          <w:rFonts w:ascii="Arial" w:hAnsi="Arial" w:cs="Arial"/>
          <w:sz w:val="20"/>
          <w:szCs w:val="20"/>
        </w:rPr>
        <w:t>, 9, e17453.</w:t>
      </w:r>
    </w:p>
    <w:p w14:paraId="3A54738E"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45A36EDD" w14:textId="714F9CFB" w:rsidR="00B55BD5" w:rsidRDefault="00B55BD5" w:rsidP="00FD4DF8">
      <w:pPr>
        <w:pStyle w:val="NormalWeb"/>
        <w:spacing w:before="0" w:beforeAutospacing="0" w:after="0" w:afterAutospacing="0"/>
        <w:jc w:val="both"/>
        <w:rPr>
          <w:rFonts w:ascii="Arial" w:hAnsi="Arial" w:cs="Arial"/>
          <w:sz w:val="20"/>
          <w:szCs w:val="20"/>
        </w:rPr>
      </w:pPr>
      <w:r w:rsidRPr="00955D79">
        <w:rPr>
          <w:rStyle w:val="Strong"/>
          <w:rFonts w:ascii="Arial" w:hAnsi="Arial" w:cs="Arial"/>
          <w:b w:val="0"/>
          <w:bCs w:val="0"/>
          <w:sz w:val="20"/>
          <w:szCs w:val="20"/>
        </w:rPr>
        <w:t xml:space="preserve">Vuillemard, J. C. </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1986</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w:t>
      </w:r>
      <w:r w:rsidRPr="00CA5893">
        <w:rPr>
          <w:rFonts w:ascii="Arial" w:hAnsi="Arial" w:cs="Arial"/>
          <w:sz w:val="20"/>
          <w:szCs w:val="20"/>
        </w:rPr>
        <w:t xml:space="preserve"> Microbiologie des aliments: Evolution de l’activité protéolytique des bactéries lactiques. Tec &amp; Doc, Lavoisier, Paris, 3, 1–65.</w:t>
      </w:r>
    </w:p>
    <w:p w14:paraId="37F6E64F"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29E0FE76" w14:textId="12BD7307" w:rsidR="00B55BD5"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Yang, R., Jiang, J., Ouyang, J., Zhao, Y., &amp; Xi, B. </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2024</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Efficacy and safety of probiotics in irritable bowel </w:t>
      </w:r>
      <w:r w:rsidR="008C6948" w:rsidRPr="00CA5893">
        <w:rPr>
          <w:rFonts w:ascii="Arial" w:hAnsi="Arial" w:cs="Arial"/>
          <w:sz w:val="20"/>
          <w:szCs w:val="20"/>
        </w:rPr>
        <w:t>syndrome :</w:t>
      </w:r>
      <w:r w:rsidRPr="00CA5893">
        <w:rPr>
          <w:rFonts w:ascii="Arial" w:hAnsi="Arial" w:cs="Arial"/>
          <w:sz w:val="20"/>
          <w:szCs w:val="20"/>
        </w:rPr>
        <w:t xml:space="preserve"> A systematic review and meta-analysis. </w:t>
      </w:r>
      <w:r w:rsidR="00286C65" w:rsidRPr="00286C65">
        <w:rPr>
          <w:rStyle w:val="Emphasis"/>
          <w:rFonts w:ascii="Arial" w:hAnsi="Arial" w:cs="Arial"/>
          <w:i w:val="0"/>
          <w:iCs w:val="0"/>
          <w:sz w:val="20"/>
          <w:szCs w:val="20"/>
        </w:rPr>
        <w:t xml:space="preserve">Clinical Nutrition </w:t>
      </w:r>
      <w:r w:rsidRPr="00286C65">
        <w:rPr>
          <w:rStyle w:val="Emphasis"/>
          <w:rFonts w:ascii="Arial" w:hAnsi="Arial" w:cs="Arial"/>
          <w:i w:val="0"/>
          <w:iCs w:val="0"/>
          <w:sz w:val="20"/>
          <w:szCs w:val="20"/>
        </w:rPr>
        <w:t>ESPEN</w:t>
      </w:r>
      <w:r w:rsidRPr="00CA5893">
        <w:rPr>
          <w:rFonts w:ascii="Arial" w:hAnsi="Arial" w:cs="Arial"/>
          <w:sz w:val="20"/>
          <w:szCs w:val="20"/>
        </w:rPr>
        <w:t>, 60, 362–372.</w:t>
      </w:r>
    </w:p>
    <w:p w14:paraId="5C19D37B"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378EB71B" w14:textId="6F684578" w:rsidR="00B55BD5" w:rsidRPr="00CA5893"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Yao, B., Yang, Z., Zhao, X., Han, Z., Li, P., &amp; Shang, N. </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2025</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Biofilm-state probiotics: Advanced alternatives to traditional probiotics. </w:t>
      </w:r>
      <w:r w:rsidRPr="005D37AD">
        <w:rPr>
          <w:rStyle w:val="Emphasis"/>
          <w:rFonts w:ascii="Arial" w:hAnsi="Arial" w:cs="Arial"/>
          <w:i w:val="0"/>
          <w:iCs w:val="0"/>
          <w:sz w:val="20"/>
          <w:szCs w:val="20"/>
        </w:rPr>
        <w:t>Trends in Food Science and Technology</w:t>
      </w:r>
      <w:r w:rsidRPr="00CA5893">
        <w:rPr>
          <w:rFonts w:ascii="Arial" w:hAnsi="Arial" w:cs="Arial"/>
          <w:sz w:val="20"/>
          <w:szCs w:val="20"/>
        </w:rPr>
        <w:t>, 156, 104854.</w:t>
      </w:r>
    </w:p>
    <w:p w14:paraId="79135029" w14:textId="77777777" w:rsidR="00B55BD5" w:rsidRPr="00CA5893" w:rsidRDefault="00B55BD5" w:rsidP="00B55BD5">
      <w:pPr>
        <w:spacing w:line="360" w:lineRule="auto"/>
        <w:jc w:val="both"/>
        <w:rPr>
          <w:rFonts w:ascii="Arial" w:hAnsi="Arial" w:cs="Arial"/>
        </w:rPr>
      </w:pPr>
    </w:p>
    <w:p w14:paraId="2C40DC37" w14:textId="77777777" w:rsidR="00B01FCD" w:rsidRPr="00CA5893" w:rsidRDefault="00B01FCD" w:rsidP="00441B6F">
      <w:pPr>
        <w:pStyle w:val="Appendix"/>
        <w:spacing w:after="0"/>
        <w:jc w:val="both"/>
        <w:rPr>
          <w:rFonts w:ascii="Arial" w:hAnsi="Arial" w:cs="Arial"/>
          <w:b w:val="0"/>
          <w:sz w:val="20"/>
        </w:rPr>
      </w:pPr>
    </w:p>
    <w:sectPr w:rsidR="00B01FCD" w:rsidRPr="00CA5893" w:rsidSect="005C4DD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owole Victor Atere N1107928" w:date="2026-01-28T18:57:00Z" w:initials="AA">
    <w:p w14:paraId="1938A083" w14:textId="1CEE55F4" w:rsidR="00094167" w:rsidRDefault="00094167">
      <w:pPr>
        <w:pStyle w:val="CommentText"/>
      </w:pPr>
      <w:r>
        <w:rPr>
          <w:rStyle w:val="CommentReference"/>
        </w:rPr>
        <w:annotationRef/>
      </w:r>
      <w:r>
        <w:t>check</w:t>
      </w:r>
    </w:p>
  </w:comment>
  <w:comment w:id="1" w:author="Ayowole Victor Atere N1107928" w:date="2026-01-28T19:00:00Z" w:initials="AA">
    <w:p w14:paraId="7E642EB4" w14:textId="4A1D3412" w:rsidR="00094167" w:rsidRDefault="00094167">
      <w:pPr>
        <w:pStyle w:val="CommentText"/>
      </w:pPr>
      <w:r>
        <w:rPr>
          <w:rStyle w:val="CommentReference"/>
        </w:rPr>
        <w:annotationRef/>
      </w:r>
      <w:r>
        <w:t>Was this compared to the CLSI standard</w:t>
      </w:r>
    </w:p>
  </w:comment>
  <w:comment w:id="2" w:author="Ayowole Victor Atere N1107928" w:date="2026-01-28T19:06:00Z" w:initials="AA">
    <w:p w14:paraId="5D636403" w14:textId="3A9FDAA3" w:rsidR="00094167" w:rsidRDefault="00094167">
      <w:pPr>
        <w:pStyle w:val="CommentText"/>
      </w:pPr>
      <w:r>
        <w:rPr>
          <w:rStyle w:val="CommentReference"/>
        </w:rPr>
        <w:annotationRef/>
      </w:r>
      <w:r>
        <w:t>Scientific name – sh</w:t>
      </w:r>
      <w:r w:rsidR="004E646E">
        <w:t xml:space="preserve">ould be italizised </w:t>
      </w:r>
    </w:p>
  </w:comment>
  <w:comment w:id="3" w:author="Ayowole Victor Atere N1107928" w:date="2026-01-28T19:49:00Z" w:initials="AA">
    <w:p w14:paraId="78558F2F" w14:textId="607D2B8E" w:rsidR="002800C2" w:rsidRDefault="002800C2">
      <w:pPr>
        <w:pStyle w:val="CommentText"/>
      </w:pPr>
      <w:r>
        <w:rPr>
          <w:rStyle w:val="CommentReference"/>
        </w:rPr>
        <w:annotationRef/>
      </w:r>
      <w:r>
        <w:t xml:space="preserve">You can include the standard used </w:t>
      </w:r>
    </w:p>
  </w:comment>
  <w:comment w:id="4" w:author="Ayowole Victor Atere N1107928" w:date="2026-01-28T19:47:00Z" w:initials="AA">
    <w:p w14:paraId="6A18AE29" w14:textId="10F3E99B" w:rsidR="002800C2" w:rsidRDefault="002800C2">
      <w:pPr>
        <w:pStyle w:val="CommentText"/>
      </w:pPr>
      <w:r>
        <w:rPr>
          <w:rStyle w:val="CommentReference"/>
        </w:rPr>
        <w:annotationRef/>
      </w:r>
      <w:r>
        <w:t>Not clear</w:t>
      </w:r>
    </w:p>
  </w:comment>
  <w:comment w:id="5" w:author="Ayowole Victor Atere N1107928" w:date="2026-01-28T19:09:00Z" w:initials="AA">
    <w:p w14:paraId="21937D8D" w14:textId="5AFBA52B" w:rsidR="004E646E" w:rsidRDefault="004E646E">
      <w:pPr>
        <w:pStyle w:val="CommentText"/>
      </w:pPr>
      <w:r>
        <w:rPr>
          <w:rStyle w:val="CommentReference"/>
        </w:rPr>
        <w:annotationRef/>
      </w:r>
      <w:r>
        <w:t>Italizise all scientific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38A083" w15:done="0"/>
  <w15:commentEx w15:paraId="7E642EB4" w15:done="0"/>
  <w15:commentEx w15:paraId="5D636403" w15:done="0"/>
  <w15:commentEx w15:paraId="78558F2F" w15:done="0"/>
  <w15:commentEx w15:paraId="6A18AE29" w15:done="0"/>
  <w15:commentEx w15:paraId="21937D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9B7B94" w16cex:dateUtc="2026-01-28T18:57:00Z"/>
  <w16cex:commentExtensible w16cex:durableId="05172187" w16cex:dateUtc="2026-01-28T19:00:00Z"/>
  <w16cex:commentExtensible w16cex:durableId="1CCA7DB4" w16cex:dateUtc="2026-01-28T19:06:00Z"/>
  <w16cex:commentExtensible w16cex:durableId="70F72D1A" w16cex:dateUtc="2026-01-28T19:49:00Z"/>
  <w16cex:commentExtensible w16cex:durableId="2A0677D9" w16cex:dateUtc="2026-01-28T19:47:00Z"/>
  <w16cex:commentExtensible w16cex:durableId="11A61B32" w16cex:dateUtc="2026-01-28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38A083" w16cid:durableId="799B7B94"/>
  <w16cid:commentId w16cid:paraId="7E642EB4" w16cid:durableId="05172187"/>
  <w16cid:commentId w16cid:paraId="5D636403" w16cid:durableId="1CCA7DB4"/>
  <w16cid:commentId w16cid:paraId="78558F2F" w16cid:durableId="70F72D1A"/>
  <w16cid:commentId w16cid:paraId="6A18AE29" w16cid:durableId="2A0677D9"/>
  <w16cid:commentId w16cid:paraId="21937D8D" w16cid:durableId="11A61B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C2B7" w14:textId="77777777" w:rsidR="006161A4" w:rsidRDefault="006161A4" w:rsidP="00C37E61">
      <w:r>
        <w:separator/>
      </w:r>
    </w:p>
  </w:endnote>
  <w:endnote w:type="continuationSeparator" w:id="0">
    <w:p w14:paraId="48DBB563" w14:textId="77777777" w:rsidR="006161A4" w:rsidRDefault="006161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DF7C" w14:textId="77777777" w:rsidR="005C4DD2" w:rsidRDefault="005C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0B8C" w14:textId="77777777" w:rsidR="005C4DD2" w:rsidRDefault="005C4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F4BA" w14:textId="77777777" w:rsidR="009E048A" w:rsidRDefault="009E048A">
    <w:pPr>
      <w:pStyle w:val="Footer"/>
      <w:rPr>
        <w:rFonts w:ascii="Arial" w:hAnsi="Arial" w:cs="Arial"/>
        <w:sz w:val="16"/>
      </w:rPr>
    </w:pPr>
  </w:p>
  <w:p w14:paraId="45325B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F719AA" w14:textId="77777777" w:rsidR="009E048A" w:rsidRDefault="009E048A">
    <w:pPr>
      <w:pStyle w:val="Footer"/>
      <w:rPr>
        <w:rFonts w:ascii="Arial" w:hAnsi="Arial" w:cs="Arial"/>
        <w:sz w:val="16"/>
      </w:rPr>
    </w:pPr>
  </w:p>
  <w:p w14:paraId="1DA04FB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E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B273" w14:textId="77777777" w:rsidR="006161A4" w:rsidRDefault="006161A4" w:rsidP="00C37E61">
      <w:r>
        <w:separator/>
      </w:r>
    </w:p>
  </w:footnote>
  <w:footnote w:type="continuationSeparator" w:id="0">
    <w:p w14:paraId="007FCF57" w14:textId="77777777" w:rsidR="006161A4" w:rsidRDefault="006161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680" w14:textId="3C8249D7" w:rsidR="005C4DD2" w:rsidRDefault="00000000">
    <w:pPr>
      <w:pStyle w:val="Header"/>
    </w:pPr>
    <w:r>
      <w:rPr>
        <w:noProof/>
      </w:rPr>
      <w:pict w14:anchorId="6F20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8"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974D" w14:textId="57B2680A" w:rsidR="005C4DD2" w:rsidRDefault="00000000">
    <w:pPr>
      <w:pStyle w:val="Header"/>
    </w:pPr>
    <w:r>
      <w:rPr>
        <w:noProof/>
      </w:rPr>
      <w:pict w14:anchorId="1A33F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9"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2224" w14:textId="650C7A89" w:rsidR="00296529" w:rsidRPr="00296529" w:rsidRDefault="00000000" w:rsidP="00296529">
    <w:pPr>
      <w:ind w:left="2160"/>
      <w:jc w:val="center"/>
      <w:rPr>
        <w:rFonts w:ascii="Times New Roman" w:eastAsia="Calibri" w:hAnsi="Times New Roman"/>
        <w:i/>
        <w:sz w:val="18"/>
        <w:szCs w:val="22"/>
      </w:rPr>
    </w:pPr>
    <w:r>
      <w:rPr>
        <w:noProof/>
      </w:rPr>
      <w:pict w14:anchorId="41A1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7"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D397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7043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CB7E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B88C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A11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7B8C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AFEA" w14:textId="27987BF8" w:rsidR="005C4DD2" w:rsidRDefault="00000000">
    <w:pPr>
      <w:pStyle w:val="Header"/>
    </w:pPr>
    <w:r>
      <w:rPr>
        <w:noProof/>
      </w:rPr>
      <w:pict w14:anchorId="024EE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1"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0A4C" w14:textId="318490B0" w:rsidR="005C4DD2" w:rsidRDefault="00000000">
    <w:pPr>
      <w:pStyle w:val="Header"/>
    </w:pPr>
    <w:r>
      <w:rPr>
        <w:noProof/>
      </w:rPr>
      <w:pict w14:anchorId="69530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2"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087B" w14:textId="7C3E83A1" w:rsidR="005C4DD2" w:rsidRDefault="00000000">
    <w:pPr>
      <w:pStyle w:val="Header"/>
    </w:pPr>
    <w:r>
      <w:rPr>
        <w:noProof/>
      </w:rPr>
      <w:pict w14:anchorId="016E3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0"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61486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203886">
    <w:abstractNumId w:val="15"/>
  </w:num>
  <w:num w:numId="3" w16cid:durableId="1141465316">
    <w:abstractNumId w:val="23"/>
  </w:num>
  <w:num w:numId="4" w16cid:durableId="12113061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91897246">
    <w:abstractNumId w:val="7"/>
  </w:num>
  <w:num w:numId="6" w16cid:durableId="781076144">
    <w:abstractNumId w:val="6"/>
  </w:num>
  <w:num w:numId="7" w16cid:durableId="583035407">
    <w:abstractNumId w:val="1"/>
  </w:num>
  <w:num w:numId="8" w16cid:durableId="399790527">
    <w:abstractNumId w:val="12"/>
  </w:num>
  <w:num w:numId="9" w16cid:durableId="1744252002">
    <w:abstractNumId w:val="25"/>
  </w:num>
  <w:num w:numId="10" w16cid:durableId="632441089">
    <w:abstractNumId w:val="2"/>
  </w:num>
  <w:num w:numId="11" w16cid:durableId="25835587">
    <w:abstractNumId w:val="18"/>
  </w:num>
  <w:num w:numId="12" w16cid:durableId="2101219685">
    <w:abstractNumId w:val="3"/>
  </w:num>
  <w:num w:numId="13" w16cid:durableId="1202748341">
    <w:abstractNumId w:val="17"/>
  </w:num>
  <w:num w:numId="14" w16cid:durableId="2014455202">
    <w:abstractNumId w:val="8"/>
  </w:num>
  <w:num w:numId="15" w16cid:durableId="266356184">
    <w:abstractNumId w:val="21"/>
  </w:num>
  <w:num w:numId="16" w16cid:durableId="1657298787">
    <w:abstractNumId w:val="5"/>
  </w:num>
  <w:num w:numId="17" w16cid:durableId="6445236">
    <w:abstractNumId w:val="22"/>
  </w:num>
  <w:num w:numId="18" w16cid:durableId="976565614">
    <w:abstractNumId w:val="14"/>
  </w:num>
  <w:num w:numId="19" w16cid:durableId="365958051">
    <w:abstractNumId w:val="28"/>
  </w:num>
  <w:num w:numId="20" w16cid:durableId="688408247">
    <w:abstractNumId w:val="11"/>
  </w:num>
  <w:num w:numId="21" w16cid:durableId="1483540806">
    <w:abstractNumId w:val="9"/>
  </w:num>
  <w:num w:numId="22" w16cid:durableId="31157674">
    <w:abstractNumId w:val="13"/>
  </w:num>
  <w:num w:numId="23" w16cid:durableId="396785394">
    <w:abstractNumId w:val="19"/>
  </w:num>
  <w:num w:numId="24" w16cid:durableId="1870801426">
    <w:abstractNumId w:val="26"/>
  </w:num>
  <w:num w:numId="25" w16cid:durableId="695233185">
    <w:abstractNumId w:val="4"/>
  </w:num>
  <w:num w:numId="26" w16cid:durableId="1446264446">
    <w:abstractNumId w:val="16"/>
  </w:num>
  <w:num w:numId="27" w16cid:durableId="744643913">
    <w:abstractNumId w:val="20"/>
  </w:num>
  <w:num w:numId="28" w16cid:durableId="763184732">
    <w:abstractNumId w:val="27"/>
  </w:num>
  <w:num w:numId="29" w16cid:durableId="542984660">
    <w:abstractNumId w:val="24"/>
  </w:num>
  <w:num w:numId="30" w16cid:durableId="16106234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wole Victor Atere N1107928">
    <w15:presenceInfo w15:providerId="AD" w15:userId="S::N1107928@my.ntu.ac.uk::7075faec-03d3-4a7d-97aa-67024649a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812"/>
    <w:rsid w:val="00007F1F"/>
    <w:rsid w:val="00013AF3"/>
    <w:rsid w:val="00017A17"/>
    <w:rsid w:val="0002182B"/>
    <w:rsid w:val="00026DBD"/>
    <w:rsid w:val="00027BF8"/>
    <w:rsid w:val="00030174"/>
    <w:rsid w:val="000410F7"/>
    <w:rsid w:val="0004579C"/>
    <w:rsid w:val="00050C44"/>
    <w:rsid w:val="00051ACD"/>
    <w:rsid w:val="000602E6"/>
    <w:rsid w:val="00065795"/>
    <w:rsid w:val="00066594"/>
    <w:rsid w:val="00072706"/>
    <w:rsid w:val="0007445F"/>
    <w:rsid w:val="00083C51"/>
    <w:rsid w:val="000850CC"/>
    <w:rsid w:val="00094167"/>
    <w:rsid w:val="00097AE7"/>
    <w:rsid w:val="000A38E9"/>
    <w:rsid w:val="000A47FA"/>
    <w:rsid w:val="000A65D3"/>
    <w:rsid w:val="000B112D"/>
    <w:rsid w:val="000B1E33"/>
    <w:rsid w:val="000B2B0E"/>
    <w:rsid w:val="000B467D"/>
    <w:rsid w:val="000B5AC8"/>
    <w:rsid w:val="000C038A"/>
    <w:rsid w:val="000C15D7"/>
    <w:rsid w:val="000C65D6"/>
    <w:rsid w:val="000D007A"/>
    <w:rsid w:val="000D0E2F"/>
    <w:rsid w:val="000D4F9A"/>
    <w:rsid w:val="000D689F"/>
    <w:rsid w:val="000D706A"/>
    <w:rsid w:val="000E7B7B"/>
    <w:rsid w:val="000E7D62"/>
    <w:rsid w:val="001000B1"/>
    <w:rsid w:val="00103357"/>
    <w:rsid w:val="00113FB5"/>
    <w:rsid w:val="00114123"/>
    <w:rsid w:val="00121E34"/>
    <w:rsid w:val="00123C9F"/>
    <w:rsid w:val="00126190"/>
    <w:rsid w:val="00130527"/>
    <w:rsid w:val="00130F17"/>
    <w:rsid w:val="00131600"/>
    <w:rsid w:val="001320BF"/>
    <w:rsid w:val="00142CA0"/>
    <w:rsid w:val="00150FEF"/>
    <w:rsid w:val="00155284"/>
    <w:rsid w:val="00163BC4"/>
    <w:rsid w:val="00175B59"/>
    <w:rsid w:val="00181C00"/>
    <w:rsid w:val="00191062"/>
    <w:rsid w:val="00192B72"/>
    <w:rsid w:val="001A0B29"/>
    <w:rsid w:val="001A29D8"/>
    <w:rsid w:val="001A5CAA"/>
    <w:rsid w:val="001A6899"/>
    <w:rsid w:val="001B0427"/>
    <w:rsid w:val="001B0E54"/>
    <w:rsid w:val="001D2DC2"/>
    <w:rsid w:val="001D34F3"/>
    <w:rsid w:val="001D3A51"/>
    <w:rsid w:val="001E10D2"/>
    <w:rsid w:val="001E25B4"/>
    <w:rsid w:val="001E44FE"/>
    <w:rsid w:val="00200595"/>
    <w:rsid w:val="00204835"/>
    <w:rsid w:val="00215520"/>
    <w:rsid w:val="002227F2"/>
    <w:rsid w:val="00231920"/>
    <w:rsid w:val="0023195C"/>
    <w:rsid w:val="0023665D"/>
    <w:rsid w:val="0024282C"/>
    <w:rsid w:val="002460DC"/>
    <w:rsid w:val="0024702C"/>
    <w:rsid w:val="00250985"/>
    <w:rsid w:val="002556F6"/>
    <w:rsid w:val="00262988"/>
    <w:rsid w:val="00266798"/>
    <w:rsid w:val="002723F9"/>
    <w:rsid w:val="002800C2"/>
    <w:rsid w:val="00283105"/>
    <w:rsid w:val="00284C4C"/>
    <w:rsid w:val="00286C65"/>
    <w:rsid w:val="00287862"/>
    <w:rsid w:val="00287E68"/>
    <w:rsid w:val="002942CE"/>
    <w:rsid w:val="00295E45"/>
    <w:rsid w:val="00296529"/>
    <w:rsid w:val="002A5463"/>
    <w:rsid w:val="002B27FB"/>
    <w:rsid w:val="002B685A"/>
    <w:rsid w:val="002C462A"/>
    <w:rsid w:val="002C57D2"/>
    <w:rsid w:val="002C6814"/>
    <w:rsid w:val="002C79AC"/>
    <w:rsid w:val="002D4F47"/>
    <w:rsid w:val="002E0D56"/>
    <w:rsid w:val="002E7CFD"/>
    <w:rsid w:val="003003FB"/>
    <w:rsid w:val="00312FEE"/>
    <w:rsid w:val="00314363"/>
    <w:rsid w:val="00315186"/>
    <w:rsid w:val="00320F37"/>
    <w:rsid w:val="0033343E"/>
    <w:rsid w:val="00343918"/>
    <w:rsid w:val="003512C2"/>
    <w:rsid w:val="003567E5"/>
    <w:rsid w:val="00357465"/>
    <w:rsid w:val="00361DE8"/>
    <w:rsid w:val="00362C50"/>
    <w:rsid w:val="0036760E"/>
    <w:rsid w:val="00371B0F"/>
    <w:rsid w:val="00371FB6"/>
    <w:rsid w:val="003763C1"/>
    <w:rsid w:val="00376BBE"/>
    <w:rsid w:val="00390D56"/>
    <w:rsid w:val="0039224F"/>
    <w:rsid w:val="003961A0"/>
    <w:rsid w:val="003A43A4"/>
    <w:rsid w:val="003A69DB"/>
    <w:rsid w:val="003A758B"/>
    <w:rsid w:val="003A7E18"/>
    <w:rsid w:val="003C4C86"/>
    <w:rsid w:val="003C6258"/>
    <w:rsid w:val="003D4BB3"/>
    <w:rsid w:val="003E2904"/>
    <w:rsid w:val="003F2222"/>
    <w:rsid w:val="003F591E"/>
    <w:rsid w:val="00401927"/>
    <w:rsid w:val="00403E7E"/>
    <w:rsid w:val="004058E5"/>
    <w:rsid w:val="0041027F"/>
    <w:rsid w:val="00412475"/>
    <w:rsid w:val="0041621E"/>
    <w:rsid w:val="0042108A"/>
    <w:rsid w:val="00423789"/>
    <w:rsid w:val="00440F43"/>
    <w:rsid w:val="00441B6F"/>
    <w:rsid w:val="004437CE"/>
    <w:rsid w:val="00446221"/>
    <w:rsid w:val="00447793"/>
    <w:rsid w:val="00450E62"/>
    <w:rsid w:val="004539DB"/>
    <w:rsid w:val="0046253E"/>
    <w:rsid w:val="00471A80"/>
    <w:rsid w:val="00482115"/>
    <w:rsid w:val="004944E9"/>
    <w:rsid w:val="004A14B2"/>
    <w:rsid w:val="004D04EE"/>
    <w:rsid w:val="004D13A6"/>
    <w:rsid w:val="004D305E"/>
    <w:rsid w:val="004D4277"/>
    <w:rsid w:val="004D66EB"/>
    <w:rsid w:val="004E646E"/>
    <w:rsid w:val="004F25A2"/>
    <w:rsid w:val="004F2E8A"/>
    <w:rsid w:val="00502516"/>
    <w:rsid w:val="00505F06"/>
    <w:rsid w:val="00506828"/>
    <w:rsid w:val="00516563"/>
    <w:rsid w:val="00530286"/>
    <w:rsid w:val="0053056E"/>
    <w:rsid w:val="00533109"/>
    <w:rsid w:val="0054227D"/>
    <w:rsid w:val="005500B4"/>
    <w:rsid w:val="00554FDA"/>
    <w:rsid w:val="00555CCA"/>
    <w:rsid w:val="0055657D"/>
    <w:rsid w:val="00560F91"/>
    <w:rsid w:val="00563433"/>
    <w:rsid w:val="00575A45"/>
    <w:rsid w:val="005847AB"/>
    <w:rsid w:val="0059709F"/>
    <w:rsid w:val="005A0D5E"/>
    <w:rsid w:val="005B5138"/>
    <w:rsid w:val="005C2BDC"/>
    <w:rsid w:val="005C4DD2"/>
    <w:rsid w:val="005C784C"/>
    <w:rsid w:val="005D16A1"/>
    <w:rsid w:val="005D17F6"/>
    <w:rsid w:val="005D37AD"/>
    <w:rsid w:val="005E114F"/>
    <w:rsid w:val="005E3D79"/>
    <w:rsid w:val="005E5539"/>
    <w:rsid w:val="005E69B1"/>
    <w:rsid w:val="006008BF"/>
    <w:rsid w:val="00602BF5"/>
    <w:rsid w:val="00610E31"/>
    <w:rsid w:val="006161A4"/>
    <w:rsid w:val="00617FDD"/>
    <w:rsid w:val="00627FCA"/>
    <w:rsid w:val="00633614"/>
    <w:rsid w:val="00633F68"/>
    <w:rsid w:val="00636EB2"/>
    <w:rsid w:val="006375B8"/>
    <w:rsid w:val="0064598F"/>
    <w:rsid w:val="006512E7"/>
    <w:rsid w:val="00661FF8"/>
    <w:rsid w:val="0066510A"/>
    <w:rsid w:val="00673F9F"/>
    <w:rsid w:val="006742CA"/>
    <w:rsid w:val="00676383"/>
    <w:rsid w:val="00677B2E"/>
    <w:rsid w:val="00686953"/>
    <w:rsid w:val="00687DEA"/>
    <w:rsid w:val="00687E67"/>
    <w:rsid w:val="006967F7"/>
    <w:rsid w:val="006A250C"/>
    <w:rsid w:val="006A2A36"/>
    <w:rsid w:val="006B1370"/>
    <w:rsid w:val="006B21D3"/>
    <w:rsid w:val="006B368F"/>
    <w:rsid w:val="006B57D0"/>
    <w:rsid w:val="006C7E13"/>
    <w:rsid w:val="006D30FF"/>
    <w:rsid w:val="006D3882"/>
    <w:rsid w:val="006D6940"/>
    <w:rsid w:val="006F0E88"/>
    <w:rsid w:val="006F11EC"/>
    <w:rsid w:val="006F46E1"/>
    <w:rsid w:val="006F58E7"/>
    <w:rsid w:val="0070082C"/>
    <w:rsid w:val="00703270"/>
    <w:rsid w:val="00703475"/>
    <w:rsid w:val="0070710D"/>
    <w:rsid w:val="007125A6"/>
    <w:rsid w:val="00715781"/>
    <w:rsid w:val="007220A5"/>
    <w:rsid w:val="007353BD"/>
    <w:rsid w:val="007369E6"/>
    <w:rsid w:val="00746019"/>
    <w:rsid w:val="00746E59"/>
    <w:rsid w:val="00747134"/>
    <w:rsid w:val="00750263"/>
    <w:rsid w:val="00754C9A"/>
    <w:rsid w:val="0075599A"/>
    <w:rsid w:val="00761D52"/>
    <w:rsid w:val="00765062"/>
    <w:rsid w:val="00765A1B"/>
    <w:rsid w:val="00771BD8"/>
    <w:rsid w:val="0077749E"/>
    <w:rsid w:val="00790ADA"/>
    <w:rsid w:val="00791D5C"/>
    <w:rsid w:val="00792DE2"/>
    <w:rsid w:val="007B2FCC"/>
    <w:rsid w:val="007B5973"/>
    <w:rsid w:val="007C003A"/>
    <w:rsid w:val="007D2288"/>
    <w:rsid w:val="007D7337"/>
    <w:rsid w:val="007E088F"/>
    <w:rsid w:val="007F195B"/>
    <w:rsid w:val="007F5936"/>
    <w:rsid w:val="007F7B32"/>
    <w:rsid w:val="007F7DD4"/>
    <w:rsid w:val="00803B0A"/>
    <w:rsid w:val="00804BC2"/>
    <w:rsid w:val="00813A6D"/>
    <w:rsid w:val="0081431A"/>
    <w:rsid w:val="0083216F"/>
    <w:rsid w:val="00843BE0"/>
    <w:rsid w:val="008442B5"/>
    <w:rsid w:val="0085418A"/>
    <w:rsid w:val="00857EAF"/>
    <w:rsid w:val="00860000"/>
    <w:rsid w:val="00863BD3"/>
    <w:rsid w:val="008641ED"/>
    <w:rsid w:val="00866D66"/>
    <w:rsid w:val="008671C6"/>
    <w:rsid w:val="008722FF"/>
    <w:rsid w:val="00875803"/>
    <w:rsid w:val="008912C2"/>
    <w:rsid w:val="00894B27"/>
    <w:rsid w:val="008961E8"/>
    <w:rsid w:val="008A05F1"/>
    <w:rsid w:val="008A1E47"/>
    <w:rsid w:val="008B2180"/>
    <w:rsid w:val="008B4226"/>
    <w:rsid w:val="008B459E"/>
    <w:rsid w:val="008C6948"/>
    <w:rsid w:val="008D0727"/>
    <w:rsid w:val="008D44D9"/>
    <w:rsid w:val="008D6B68"/>
    <w:rsid w:val="008E13AE"/>
    <w:rsid w:val="008E1506"/>
    <w:rsid w:val="008E3F93"/>
    <w:rsid w:val="008E710C"/>
    <w:rsid w:val="008F69D6"/>
    <w:rsid w:val="00901F85"/>
    <w:rsid w:val="00902823"/>
    <w:rsid w:val="00903959"/>
    <w:rsid w:val="00905A4E"/>
    <w:rsid w:val="00911A8C"/>
    <w:rsid w:val="00915CA6"/>
    <w:rsid w:val="00920031"/>
    <w:rsid w:val="009218AD"/>
    <w:rsid w:val="009223A6"/>
    <w:rsid w:val="00927834"/>
    <w:rsid w:val="009366B3"/>
    <w:rsid w:val="009367F8"/>
    <w:rsid w:val="00940085"/>
    <w:rsid w:val="00943FED"/>
    <w:rsid w:val="009500A6"/>
    <w:rsid w:val="009525FA"/>
    <w:rsid w:val="00955D79"/>
    <w:rsid w:val="00957C18"/>
    <w:rsid w:val="009659BA"/>
    <w:rsid w:val="00965D78"/>
    <w:rsid w:val="00967361"/>
    <w:rsid w:val="00975559"/>
    <w:rsid w:val="00983040"/>
    <w:rsid w:val="00993547"/>
    <w:rsid w:val="009B3FB9"/>
    <w:rsid w:val="009C2465"/>
    <w:rsid w:val="009D35A0"/>
    <w:rsid w:val="009D7EB7"/>
    <w:rsid w:val="009E048A"/>
    <w:rsid w:val="009E08E9"/>
    <w:rsid w:val="009E3DB9"/>
    <w:rsid w:val="009E6E35"/>
    <w:rsid w:val="009F0EDA"/>
    <w:rsid w:val="009F3BEC"/>
    <w:rsid w:val="00A03B96"/>
    <w:rsid w:val="00A05B19"/>
    <w:rsid w:val="00A066DB"/>
    <w:rsid w:val="00A1134E"/>
    <w:rsid w:val="00A11E9B"/>
    <w:rsid w:val="00A16B10"/>
    <w:rsid w:val="00A16E7B"/>
    <w:rsid w:val="00A24E7E"/>
    <w:rsid w:val="00A258C3"/>
    <w:rsid w:val="00A26C21"/>
    <w:rsid w:val="00A306A0"/>
    <w:rsid w:val="00A33F7F"/>
    <w:rsid w:val="00A347C0"/>
    <w:rsid w:val="00A46C31"/>
    <w:rsid w:val="00A51431"/>
    <w:rsid w:val="00A53101"/>
    <w:rsid w:val="00A539AD"/>
    <w:rsid w:val="00A6009E"/>
    <w:rsid w:val="00A622E3"/>
    <w:rsid w:val="00A70989"/>
    <w:rsid w:val="00A75742"/>
    <w:rsid w:val="00A763B8"/>
    <w:rsid w:val="00A77085"/>
    <w:rsid w:val="00A809A1"/>
    <w:rsid w:val="00A90E3D"/>
    <w:rsid w:val="00A937C8"/>
    <w:rsid w:val="00A94063"/>
    <w:rsid w:val="00A972F2"/>
    <w:rsid w:val="00AA0271"/>
    <w:rsid w:val="00AA58A0"/>
    <w:rsid w:val="00AA5E70"/>
    <w:rsid w:val="00AA6219"/>
    <w:rsid w:val="00AA74E0"/>
    <w:rsid w:val="00AA7808"/>
    <w:rsid w:val="00AB39DD"/>
    <w:rsid w:val="00AB703F"/>
    <w:rsid w:val="00AB77EF"/>
    <w:rsid w:val="00AC6BB8"/>
    <w:rsid w:val="00AD2A28"/>
    <w:rsid w:val="00AE008F"/>
    <w:rsid w:val="00AE1A49"/>
    <w:rsid w:val="00AF2592"/>
    <w:rsid w:val="00AF7B86"/>
    <w:rsid w:val="00B01FCD"/>
    <w:rsid w:val="00B10A79"/>
    <w:rsid w:val="00B11C6D"/>
    <w:rsid w:val="00B13922"/>
    <w:rsid w:val="00B1776C"/>
    <w:rsid w:val="00B2411C"/>
    <w:rsid w:val="00B50CA6"/>
    <w:rsid w:val="00B51B0D"/>
    <w:rsid w:val="00B52583"/>
    <w:rsid w:val="00B52896"/>
    <w:rsid w:val="00B5371A"/>
    <w:rsid w:val="00B53CE5"/>
    <w:rsid w:val="00B55BD5"/>
    <w:rsid w:val="00B95236"/>
    <w:rsid w:val="00B96BD9"/>
    <w:rsid w:val="00B96C3E"/>
    <w:rsid w:val="00BA00E3"/>
    <w:rsid w:val="00BA1B01"/>
    <w:rsid w:val="00BA2641"/>
    <w:rsid w:val="00BA2BE2"/>
    <w:rsid w:val="00BA3BB7"/>
    <w:rsid w:val="00BA7B82"/>
    <w:rsid w:val="00BB37AA"/>
    <w:rsid w:val="00BC0EF0"/>
    <w:rsid w:val="00BC2877"/>
    <w:rsid w:val="00BC4099"/>
    <w:rsid w:val="00BC53A0"/>
    <w:rsid w:val="00BE62AD"/>
    <w:rsid w:val="00BF121F"/>
    <w:rsid w:val="00BF1F80"/>
    <w:rsid w:val="00C112A2"/>
    <w:rsid w:val="00C1666A"/>
    <w:rsid w:val="00C166EF"/>
    <w:rsid w:val="00C17EB0"/>
    <w:rsid w:val="00C2219B"/>
    <w:rsid w:val="00C27F5F"/>
    <w:rsid w:val="00C30A0F"/>
    <w:rsid w:val="00C35447"/>
    <w:rsid w:val="00C37E61"/>
    <w:rsid w:val="00C52027"/>
    <w:rsid w:val="00C5230C"/>
    <w:rsid w:val="00C57044"/>
    <w:rsid w:val="00C67E60"/>
    <w:rsid w:val="00C70F1B"/>
    <w:rsid w:val="00C71A47"/>
    <w:rsid w:val="00C7464C"/>
    <w:rsid w:val="00C77B82"/>
    <w:rsid w:val="00C81FA9"/>
    <w:rsid w:val="00C85447"/>
    <w:rsid w:val="00C85588"/>
    <w:rsid w:val="00C924FC"/>
    <w:rsid w:val="00C96F9A"/>
    <w:rsid w:val="00CA239E"/>
    <w:rsid w:val="00CA3AA0"/>
    <w:rsid w:val="00CA5893"/>
    <w:rsid w:val="00CB4AEE"/>
    <w:rsid w:val="00CC53E9"/>
    <w:rsid w:val="00CD4DEC"/>
    <w:rsid w:val="00CD6755"/>
    <w:rsid w:val="00CD6856"/>
    <w:rsid w:val="00CD7A1B"/>
    <w:rsid w:val="00CE0089"/>
    <w:rsid w:val="00CE1853"/>
    <w:rsid w:val="00CE793C"/>
    <w:rsid w:val="00CF193C"/>
    <w:rsid w:val="00D0125D"/>
    <w:rsid w:val="00D10810"/>
    <w:rsid w:val="00D1612F"/>
    <w:rsid w:val="00D16DF6"/>
    <w:rsid w:val="00D173F1"/>
    <w:rsid w:val="00D4588A"/>
    <w:rsid w:val="00D52DEE"/>
    <w:rsid w:val="00D73F2A"/>
    <w:rsid w:val="00D74CB0"/>
    <w:rsid w:val="00D811E6"/>
    <w:rsid w:val="00D8295D"/>
    <w:rsid w:val="00D830ED"/>
    <w:rsid w:val="00D911E4"/>
    <w:rsid w:val="00D9342B"/>
    <w:rsid w:val="00DA09AC"/>
    <w:rsid w:val="00DB66B8"/>
    <w:rsid w:val="00DC2A65"/>
    <w:rsid w:val="00DD3ABD"/>
    <w:rsid w:val="00DE15F0"/>
    <w:rsid w:val="00DE2862"/>
    <w:rsid w:val="00DE5663"/>
    <w:rsid w:val="00DE78AA"/>
    <w:rsid w:val="00E041DB"/>
    <w:rsid w:val="00E053D0"/>
    <w:rsid w:val="00E15994"/>
    <w:rsid w:val="00E17280"/>
    <w:rsid w:val="00E25E6E"/>
    <w:rsid w:val="00E3114E"/>
    <w:rsid w:val="00E31922"/>
    <w:rsid w:val="00E31A70"/>
    <w:rsid w:val="00E35B02"/>
    <w:rsid w:val="00E41747"/>
    <w:rsid w:val="00E41CCE"/>
    <w:rsid w:val="00E45A93"/>
    <w:rsid w:val="00E60B96"/>
    <w:rsid w:val="00E66496"/>
    <w:rsid w:val="00E66B35"/>
    <w:rsid w:val="00E66E10"/>
    <w:rsid w:val="00E76292"/>
    <w:rsid w:val="00E769F6"/>
    <w:rsid w:val="00E8407C"/>
    <w:rsid w:val="00E84F3C"/>
    <w:rsid w:val="00E94F82"/>
    <w:rsid w:val="00E96133"/>
    <w:rsid w:val="00EA012C"/>
    <w:rsid w:val="00EB5E01"/>
    <w:rsid w:val="00EC5B30"/>
    <w:rsid w:val="00EC6A55"/>
    <w:rsid w:val="00ED0288"/>
    <w:rsid w:val="00EE52CB"/>
    <w:rsid w:val="00EF52C8"/>
    <w:rsid w:val="00EF581D"/>
    <w:rsid w:val="00EF7FD8"/>
    <w:rsid w:val="00F0649B"/>
    <w:rsid w:val="00F06F59"/>
    <w:rsid w:val="00F0774C"/>
    <w:rsid w:val="00F17988"/>
    <w:rsid w:val="00F23C8F"/>
    <w:rsid w:val="00F469F0"/>
    <w:rsid w:val="00F53273"/>
    <w:rsid w:val="00F552F1"/>
    <w:rsid w:val="00F55CB2"/>
    <w:rsid w:val="00F6798E"/>
    <w:rsid w:val="00F72AFA"/>
    <w:rsid w:val="00F738F1"/>
    <w:rsid w:val="00F7404C"/>
    <w:rsid w:val="00F755E4"/>
    <w:rsid w:val="00F75B8A"/>
    <w:rsid w:val="00F7774A"/>
    <w:rsid w:val="00F77D02"/>
    <w:rsid w:val="00F90BC6"/>
    <w:rsid w:val="00FA50BC"/>
    <w:rsid w:val="00FB3A86"/>
    <w:rsid w:val="00FC0706"/>
    <w:rsid w:val="00FC14ED"/>
    <w:rsid w:val="00FC3D3D"/>
    <w:rsid w:val="00FD36C8"/>
    <w:rsid w:val="00FD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D5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502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B1370"/>
    <w:pPr>
      <w:spacing w:before="100" w:beforeAutospacing="1" w:after="100" w:afterAutospacing="1"/>
    </w:pPr>
    <w:rPr>
      <w:rFonts w:ascii="Times New Roman" w:hAnsi="Times New Roman"/>
      <w:sz w:val="24"/>
      <w:szCs w:val="24"/>
      <w:lang w:val="fr-CI" w:eastAsia="zh-CN"/>
    </w:rPr>
  </w:style>
  <w:style w:type="character" w:customStyle="1" w:styleId="Heading3Char">
    <w:name w:val="Heading 3 Char"/>
    <w:basedOn w:val="DefaultParagraphFont"/>
    <w:link w:val="Heading3"/>
    <w:semiHidden/>
    <w:rsid w:val="0075026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750263"/>
    <w:pPr>
      <w:spacing w:after="200"/>
      <w:jc w:val="both"/>
    </w:pPr>
    <w:rPr>
      <w:rFonts w:ascii="Times New Roman" w:eastAsiaTheme="minorHAnsi" w:hAnsi="Times New Roman" w:cstheme="minorBidi"/>
      <w:i/>
      <w:iCs/>
      <w:color w:val="1F497D" w:themeColor="text2"/>
      <w:sz w:val="18"/>
      <w:szCs w:val="18"/>
      <w:lang w:val="fr-FR"/>
    </w:rPr>
  </w:style>
  <w:style w:type="character" w:styleId="Strong">
    <w:name w:val="Strong"/>
    <w:basedOn w:val="DefaultParagraphFont"/>
    <w:uiPriority w:val="22"/>
    <w:qFormat/>
    <w:rsid w:val="00B55BD5"/>
    <w:rPr>
      <w:b/>
      <w:bCs/>
    </w:rPr>
  </w:style>
  <w:style w:type="paragraph" w:styleId="NoSpacing">
    <w:name w:val="No Spacing"/>
    <w:uiPriority w:val="1"/>
    <w:qFormat/>
    <w:rsid w:val="007B5973"/>
    <w:rPr>
      <w:rFonts w:ascii="Helvetica" w:hAnsi="Helvetica"/>
    </w:rPr>
  </w:style>
  <w:style w:type="character" w:customStyle="1" w:styleId="FooterChar">
    <w:name w:val="Footer Char"/>
    <w:basedOn w:val="DefaultParagraphFont"/>
    <w:link w:val="Footer"/>
    <w:uiPriority w:val="99"/>
    <w:rsid w:val="007125A6"/>
    <w:rPr>
      <w:rFonts w:ascii="Helvetica" w:hAnsi="Helvetica"/>
    </w:rPr>
  </w:style>
  <w:style w:type="paragraph" w:styleId="ListParagraph">
    <w:name w:val="List Paragraph"/>
    <w:basedOn w:val="Normal"/>
    <w:uiPriority w:val="34"/>
    <w:qFormat/>
    <w:rsid w:val="00314363"/>
    <w:pPr>
      <w:ind w:left="720"/>
      <w:contextualSpacing/>
    </w:pPr>
  </w:style>
  <w:style w:type="paragraph" w:styleId="CommentSubject">
    <w:name w:val="annotation subject"/>
    <w:basedOn w:val="CommentText"/>
    <w:next w:val="CommentText"/>
    <w:link w:val="CommentSubjectChar"/>
    <w:semiHidden/>
    <w:unhideWhenUsed/>
    <w:rsid w:val="00094167"/>
    <w:rPr>
      <w:rFonts w:ascii="Helvetica" w:hAnsi="Helvetica"/>
      <w:b/>
      <w:bCs/>
      <w:lang w:val="en-US" w:eastAsia="en-US"/>
    </w:rPr>
  </w:style>
  <w:style w:type="character" w:customStyle="1" w:styleId="CommentSubjectChar">
    <w:name w:val="Comment Subject Char"/>
    <w:basedOn w:val="CommentTextChar"/>
    <w:link w:val="CommentSubject"/>
    <w:semiHidden/>
    <w:rsid w:val="0009416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8828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int%20Joseph\S%20d%20S\Article%202024\Dr%20Djoman\Classeu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Feuil1!$E$15</c:f>
              <c:strCache>
                <c:ptCount val="1"/>
                <c:pt idx="0">
                  <c:v>Proteolytic Activity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Feuil1!$F$15:$M$15</c:f>
              <c:numCache>
                <c:formatCode>General</c:formatCode>
                <c:ptCount val="8"/>
                <c:pt idx="0">
                  <c:v>7</c:v>
                </c:pt>
                <c:pt idx="1">
                  <c:v>9</c:v>
                </c:pt>
                <c:pt idx="2">
                  <c:v>9</c:v>
                </c:pt>
                <c:pt idx="3">
                  <c:v>10</c:v>
                </c:pt>
                <c:pt idx="4">
                  <c:v>12</c:v>
                </c:pt>
                <c:pt idx="5">
                  <c:v>13</c:v>
                </c:pt>
                <c:pt idx="6">
                  <c:v>13</c:v>
                </c:pt>
                <c:pt idx="7">
                  <c:v>12</c:v>
                </c:pt>
              </c:numCache>
            </c:numRef>
          </c:val>
          <c:extLst>
            <c:ext xmlns:c16="http://schemas.microsoft.com/office/drawing/2014/chart" uri="{C3380CC4-5D6E-409C-BE32-E72D297353CC}">
              <c16:uniqueId val="{00000000-A843-4FC2-9B9F-65069ECAA314}"/>
            </c:ext>
          </c:extLst>
        </c:ser>
        <c:ser>
          <c:idx val="1"/>
          <c:order val="1"/>
          <c:tx>
            <c:strRef>
              <c:f>Feuil1!$E$16</c:f>
              <c:strCache>
                <c:ptCount val="1"/>
                <c:pt idx="0">
                  <c:v>Lipolytic Activity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Feuil1!$F$16:$M$16</c:f>
              <c:numCache>
                <c:formatCode>General</c:formatCode>
                <c:ptCount val="8"/>
                <c:pt idx="0">
                  <c:v>7</c:v>
                </c:pt>
                <c:pt idx="1">
                  <c:v>8</c:v>
                </c:pt>
                <c:pt idx="2">
                  <c:v>8</c:v>
                </c:pt>
                <c:pt idx="3">
                  <c:v>8</c:v>
                </c:pt>
                <c:pt idx="4">
                  <c:v>9</c:v>
                </c:pt>
                <c:pt idx="5">
                  <c:v>9</c:v>
                </c:pt>
                <c:pt idx="6">
                  <c:v>8</c:v>
                </c:pt>
                <c:pt idx="7">
                  <c:v>9</c:v>
                </c:pt>
              </c:numCache>
            </c:numRef>
          </c:val>
          <c:extLst>
            <c:ext xmlns:c16="http://schemas.microsoft.com/office/drawing/2014/chart" uri="{C3380CC4-5D6E-409C-BE32-E72D297353CC}">
              <c16:uniqueId val="{00000001-A843-4FC2-9B9F-65069ECAA314}"/>
            </c:ext>
          </c:extLst>
        </c:ser>
        <c:dLbls>
          <c:showLegendKey val="0"/>
          <c:showVal val="0"/>
          <c:showCatName val="0"/>
          <c:showSerName val="0"/>
          <c:showPercent val="0"/>
          <c:showBubbleSize val="0"/>
        </c:dLbls>
        <c:gapWidth val="219"/>
        <c:overlap val="-27"/>
        <c:axId val="418414607"/>
        <c:axId val="530820719"/>
      </c:barChart>
      <c:catAx>
        <c:axId val="41841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820719"/>
        <c:crosses val="autoZero"/>
        <c:auto val="1"/>
        <c:lblAlgn val="ctr"/>
        <c:lblOffset val="100"/>
        <c:noMultiLvlLbl val="0"/>
      </c:catAx>
      <c:valAx>
        <c:axId val="53082071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Clear halos diameter (mm)</a:t>
                </a:r>
                <a:endParaRPr lang="fr-C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C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414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'ph acidité'!$C$3</c:f>
              <c:strCache>
                <c:ptCount val="1"/>
                <c:pt idx="0">
                  <c:v>24 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 acidité'!$B$4:$B$11</c:f>
              <c:strCache>
                <c:ptCount val="8"/>
                <c:pt idx="0">
                  <c:v>1A</c:v>
                </c:pt>
                <c:pt idx="1">
                  <c:v>6A</c:v>
                </c:pt>
                <c:pt idx="2">
                  <c:v>Jab 4D</c:v>
                </c:pt>
                <c:pt idx="3">
                  <c:v>Jab Vc</c:v>
                </c:pt>
                <c:pt idx="4">
                  <c:v>B1C</c:v>
                </c:pt>
                <c:pt idx="5">
                  <c:v>B6C</c:v>
                </c:pt>
                <c:pt idx="6">
                  <c:v>T2B</c:v>
                </c:pt>
                <c:pt idx="7">
                  <c:v>T4B</c:v>
                </c:pt>
              </c:strCache>
            </c:strRef>
          </c:cat>
          <c:val>
            <c:numRef>
              <c:f>'ph acidité'!$C$4:$C$11</c:f>
              <c:numCache>
                <c:formatCode>General</c:formatCode>
                <c:ptCount val="8"/>
                <c:pt idx="0">
                  <c:v>1.9259999999999999</c:v>
                </c:pt>
                <c:pt idx="1">
                  <c:v>2.214</c:v>
                </c:pt>
                <c:pt idx="2">
                  <c:v>2.052</c:v>
                </c:pt>
                <c:pt idx="3">
                  <c:v>1.9259999999999999</c:v>
                </c:pt>
                <c:pt idx="4">
                  <c:v>2.552</c:v>
                </c:pt>
                <c:pt idx="5">
                  <c:v>2.3260000000000001</c:v>
                </c:pt>
                <c:pt idx="6">
                  <c:v>2.1259999999999999</c:v>
                </c:pt>
                <c:pt idx="7">
                  <c:v>2.0139999999999998</c:v>
                </c:pt>
              </c:numCache>
            </c:numRef>
          </c:val>
          <c:extLst>
            <c:ext xmlns:c16="http://schemas.microsoft.com/office/drawing/2014/chart" uri="{C3380CC4-5D6E-409C-BE32-E72D297353CC}">
              <c16:uniqueId val="{00000000-38DB-4A5F-9DA9-4208EC2830FE}"/>
            </c:ext>
          </c:extLst>
        </c:ser>
        <c:dLbls>
          <c:showLegendKey val="0"/>
          <c:showVal val="0"/>
          <c:showCatName val="0"/>
          <c:showSerName val="0"/>
          <c:showPercent val="0"/>
          <c:showBubbleSize val="0"/>
        </c:dLbls>
        <c:gapWidth val="219"/>
        <c:overlap val="-27"/>
        <c:axId val="1196500831"/>
        <c:axId val="1264094719"/>
      </c:barChart>
      <c:lineChart>
        <c:grouping val="standard"/>
        <c:varyColors val="0"/>
        <c:ser>
          <c:idx val="1"/>
          <c:order val="1"/>
          <c:tx>
            <c:strRef>
              <c:f>'ph acidité'!$D$3</c:f>
              <c:strCache>
                <c:ptCount val="1"/>
                <c:pt idx="0">
                  <c:v>PH</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 acidité'!$B$4:$B$11</c:f>
              <c:strCache>
                <c:ptCount val="8"/>
                <c:pt idx="0">
                  <c:v>1A</c:v>
                </c:pt>
                <c:pt idx="1">
                  <c:v>6A</c:v>
                </c:pt>
                <c:pt idx="2">
                  <c:v>Jab 4D</c:v>
                </c:pt>
                <c:pt idx="3">
                  <c:v>Jab Vc</c:v>
                </c:pt>
                <c:pt idx="4">
                  <c:v>B1C</c:v>
                </c:pt>
                <c:pt idx="5">
                  <c:v>B6C</c:v>
                </c:pt>
                <c:pt idx="6">
                  <c:v>T2B</c:v>
                </c:pt>
                <c:pt idx="7">
                  <c:v>T4B</c:v>
                </c:pt>
              </c:strCache>
            </c:strRef>
          </c:cat>
          <c:val>
            <c:numRef>
              <c:f>'ph acidité'!$D$4:$D$11</c:f>
              <c:numCache>
                <c:formatCode>General</c:formatCode>
                <c:ptCount val="8"/>
                <c:pt idx="0">
                  <c:v>3.7</c:v>
                </c:pt>
                <c:pt idx="1">
                  <c:v>3.5</c:v>
                </c:pt>
                <c:pt idx="2">
                  <c:v>3.6</c:v>
                </c:pt>
                <c:pt idx="3">
                  <c:v>3.7</c:v>
                </c:pt>
                <c:pt idx="4">
                  <c:v>3.4</c:v>
                </c:pt>
                <c:pt idx="5">
                  <c:v>3.5</c:v>
                </c:pt>
                <c:pt idx="6">
                  <c:v>3.5</c:v>
                </c:pt>
                <c:pt idx="7">
                  <c:v>3.6</c:v>
                </c:pt>
              </c:numCache>
            </c:numRef>
          </c:val>
          <c:smooth val="0"/>
          <c:extLst>
            <c:ext xmlns:c16="http://schemas.microsoft.com/office/drawing/2014/chart" uri="{C3380CC4-5D6E-409C-BE32-E72D297353CC}">
              <c16:uniqueId val="{00000001-38DB-4A5F-9DA9-4208EC2830FE}"/>
            </c:ext>
          </c:extLst>
        </c:ser>
        <c:dLbls>
          <c:showLegendKey val="0"/>
          <c:showVal val="0"/>
          <c:showCatName val="0"/>
          <c:showSerName val="0"/>
          <c:showPercent val="0"/>
          <c:showBubbleSize val="0"/>
        </c:dLbls>
        <c:marker val="1"/>
        <c:smooth val="0"/>
        <c:axId val="1074223215"/>
        <c:axId val="1264088271"/>
      </c:lineChart>
      <c:catAx>
        <c:axId val="119650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4094719"/>
        <c:crosses val="autoZero"/>
        <c:auto val="1"/>
        <c:lblAlgn val="ctr"/>
        <c:lblOffset val="100"/>
        <c:noMultiLvlLbl val="0"/>
      </c:catAx>
      <c:valAx>
        <c:axId val="126409471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a:t>Lactic acid production capacity</a:t>
                </a:r>
                <a:r>
                  <a:rPr lang="fr-CI" baseline="0"/>
                  <a:t> </a:t>
                </a:r>
                <a:r>
                  <a:rPr lang="fr-CI"/>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6500831"/>
        <c:crosses val="autoZero"/>
        <c:crossBetween val="between"/>
      </c:valAx>
      <c:valAx>
        <c:axId val="1264088271"/>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a:t>Evolution of 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4223215"/>
        <c:crosses val="max"/>
        <c:crossBetween val="between"/>
      </c:valAx>
      <c:catAx>
        <c:axId val="1074223215"/>
        <c:scaling>
          <c:orientation val="minMax"/>
        </c:scaling>
        <c:delete val="1"/>
        <c:axPos val="b"/>
        <c:numFmt formatCode="General" sourceLinked="1"/>
        <c:majorTickMark val="out"/>
        <c:minorTickMark val="none"/>
        <c:tickLblPos val="nextTo"/>
        <c:crossAx val="12640882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27B4-9B8F-4B59-AA84-E54CD452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8</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Ayowole Victor Atere N1107928</cp:lastModifiedBy>
  <cp:revision>7</cp:revision>
  <cp:lastPrinted>1999-07-06T11:00:00Z</cp:lastPrinted>
  <dcterms:created xsi:type="dcterms:W3CDTF">2026-01-24T02:38:00Z</dcterms:created>
  <dcterms:modified xsi:type="dcterms:W3CDTF">2026-01-28T19:52:00Z</dcterms:modified>
</cp:coreProperties>
</file>