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13B50" w14:textId="77777777" w:rsidR="00B07920" w:rsidRPr="00B07920" w:rsidRDefault="00B07920" w:rsidP="00B07920">
      <w:pPr>
        <w:pStyle w:val="Heading1"/>
        <w:rPr>
          <w:i/>
          <w:iCs/>
          <w:u w:val="single"/>
        </w:rPr>
      </w:pPr>
      <w:r w:rsidRPr="00B07920">
        <w:rPr>
          <w:i/>
          <w:iCs/>
          <w:u w:val="single"/>
        </w:rPr>
        <w:t>Review Article</w:t>
      </w:r>
    </w:p>
    <w:p w14:paraId="07295612" w14:textId="77777777" w:rsidR="00294D81" w:rsidRPr="00294D81" w:rsidRDefault="00294D81" w:rsidP="00294D81">
      <w:pPr>
        <w:pStyle w:val="Heading1"/>
      </w:pPr>
      <w:commentRangeStart w:id="0"/>
      <w:r w:rsidRPr="00294D81">
        <w:t>Potential Effects of Plant-Derived Nutraceuticals on Fish Reproduction: Mechanisms, Evidence, and Applications in Aquaculture</w:t>
      </w:r>
      <w:commentRangeEnd w:id="0"/>
      <w:r w:rsidR="0040502E">
        <w:rPr>
          <w:rStyle w:val="CommentReference"/>
          <w:b w:val="0"/>
          <w:bCs w:val="0"/>
          <w:color w:val="000000"/>
          <w:kern w:val="2"/>
          <w:lang w:val="en-IN" w:eastAsia="en-IN"/>
        </w:rPr>
        <w:commentReference w:id="0"/>
      </w:r>
    </w:p>
    <w:p w14:paraId="57D7A0B8" w14:textId="77777777" w:rsidR="00294D81" w:rsidRDefault="00294D81" w:rsidP="00294D81">
      <w:pPr>
        <w:spacing w:before="100" w:beforeAutospacing="1" w:after="100" w:afterAutospacing="1" w:line="240" w:lineRule="auto"/>
        <w:ind w:left="0" w:right="0" w:firstLine="0"/>
        <w:jc w:val="left"/>
        <w:outlineLvl w:val="1"/>
        <w:rPr>
          <w:b/>
          <w:bCs/>
          <w:color w:val="auto"/>
          <w:kern w:val="0"/>
          <w:sz w:val="36"/>
          <w:szCs w:val="36"/>
          <w:lang w:val="en-GB" w:eastAsia="en-US"/>
        </w:rPr>
      </w:pPr>
    </w:p>
    <w:p w14:paraId="063D84D2" w14:textId="77777777" w:rsidR="00294D81" w:rsidRPr="00294D81" w:rsidRDefault="00294D81" w:rsidP="00294D81">
      <w:pPr>
        <w:spacing w:before="100" w:beforeAutospacing="1" w:after="100" w:afterAutospacing="1" w:line="240" w:lineRule="auto"/>
        <w:ind w:left="0" w:right="0" w:firstLine="0"/>
        <w:jc w:val="left"/>
        <w:outlineLvl w:val="1"/>
        <w:rPr>
          <w:b/>
          <w:bCs/>
          <w:color w:val="auto"/>
          <w:kern w:val="0"/>
          <w:sz w:val="36"/>
          <w:szCs w:val="36"/>
          <w:lang w:val="en-GB" w:eastAsia="en-US"/>
        </w:rPr>
      </w:pPr>
      <w:commentRangeStart w:id="1"/>
      <w:commentRangeStart w:id="2"/>
      <w:r w:rsidRPr="00294D81">
        <w:rPr>
          <w:b/>
          <w:bCs/>
          <w:color w:val="auto"/>
          <w:kern w:val="0"/>
          <w:sz w:val="36"/>
          <w:szCs w:val="36"/>
          <w:lang w:val="en-GB" w:eastAsia="en-US"/>
        </w:rPr>
        <w:t>Abstract</w:t>
      </w:r>
      <w:commentRangeEnd w:id="1"/>
      <w:r w:rsidR="00F0228E">
        <w:rPr>
          <w:rStyle w:val="CommentReference"/>
        </w:rPr>
        <w:commentReference w:id="1"/>
      </w:r>
      <w:commentRangeEnd w:id="2"/>
      <w:r w:rsidR="00FA4290">
        <w:rPr>
          <w:rStyle w:val="CommentReference"/>
        </w:rPr>
        <w:commentReference w:id="2"/>
      </w:r>
    </w:p>
    <w:p w14:paraId="011D14D4" w14:textId="77777777" w:rsidR="00294D81" w:rsidRPr="00294D81" w:rsidRDefault="00294D81" w:rsidP="00294D81">
      <w:pPr>
        <w:spacing w:before="100" w:beforeAutospacing="1" w:after="100" w:afterAutospacing="1" w:line="240" w:lineRule="auto"/>
        <w:ind w:left="0" w:right="0" w:firstLine="0"/>
        <w:jc w:val="left"/>
        <w:rPr>
          <w:color w:val="auto"/>
          <w:kern w:val="0"/>
          <w:lang w:val="en-GB" w:eastAsia="en-US"/>
        </w:rPr>
      </w:pPr>
      <w:r w:rsidRPr="00294D81">
        <w:rPr>
          <w:color w:val="auto"/>
          <w:kern w:val="0"/>
          <w:lang w:val="en-GB" w:eastAsia="en-US"/>
        </w:rPr>
        <w:t xml:space="preserve">Plant-derived nutraceuticals are increasingly incorporated into aquafeeds as functional ingredients that may influence fish reproductive physiology, gamete quality, and spawning outcomes. Their effects span beneficial actions, such as antioxidant protection of gonads and gametes, immunoendocrine stabilization under farming stressors, and modulation of metabolic pathways supporting steroidogenesis and vitellogenesis, as well as potentially adverse endocrine-disrupting outcomes when estrogenic phytochemicals are present at inappropriate doses or life stages. This review synthesizes mechanistic understanding and experimental evidence on how botanical nutraceuticals—including polyphenols, phytoestrogens, carotenoids and pigment-rich matrices, essential oils, and algae- or leaf-derived bioactive complexes—interact with the hypothalamic–pituitary–gonadal axis, redox </w:t>
      </w:r>
      <w:proofErr w:type="spellStart"/>
      <w:r w:rsidRPr="00294D81">
        <w:rPr>
          <w:color w:val="auto"/>
          <w:kern w:val="0"/>
          <w:lang w:val="en-GB" w:eastAsia="en-US"/>
        </w:rPr>
        <w:t>signaling</w:t>
      </w:r>
      <w:proofErr w:type="spellEnd"/>
      <w:r w:rsidRPr="00294D81">
        <w:rPr>
          <w:color w:val="auto"/>
          <w:kern w:val="0"/>
          <w:lang w:val="en-GB" w:eastAsia="en-US"/>
        </w:rPr>
        <w:t>, lipid metabolism, gut–microbiome processes, and epigenetic programming relevant to reproduction. Evidence from teleost models and aquaculture species indicates that outcomes are strongly context dependent, governed by ingredient standardization, bioavailability, species- and sex-specific sensitivity, reproductive stage, and environmental conditions such as salinity or pollutant exposure. Translational opportunities include broodstock diet design to improve sperm motility, egg biochemical quality, larval robustness, and reproductive resilience in variable culture environments, alongside cautionary strategies to avoid unintended feminization, disrupted sex differentiation, or compromised gametogenesis. Practical considerations for aquaculture implementation are discussed, emphasizing quality control, dose optimization, safety assessment, and research directions to strengthen causality and reproducibility.</w:t>
      </w:r>
    </w:p>
    <w:p w14:paraId="53B4C6C1" w14:textId="77777777" w:rsidR="00294D81" w:rsidRPr="00294D81" w:rsidRDefault="00294D81" w:rsidP="00294D81">
      <w:pPr>
        <w:spacing w:before="100" w:beforeAutospacing="1" w:after="100" w:afterAutospacing="1" w:line="240" w:lineRule="auto"/>
        <w:ind w:left="0" w:right="0" w:firstLine="0"/>
        <w:jc w:val="left"/>
        <w:rPr>
          <w:color w:val="auto"/>
          <w:kern w:val="0"/>
          <w:lang w:val="en-GB" w:eastAsia="en-US"/>
        </w:rPr>
      </w:pPr>
      <w:commentRangeStart w:id="3"/>
      <w:r w:rsidRPr="00294D81">
        <w:rPr>
          <w:b/>
          <w:bCs/>
          <w:color w:val="auto"/>
          <w:kern w:val="0"/>
          <w:lang w:val="en-GB" w:eastAsia="en-US"/>
        </w:rPr>
        <w:t>Keywords:</w:t>
      </w:r>
      <w:r w:rsidRPr="00294D81">
        <w:rPr>
          <w:color w:val="auto"/>
          <w:kern w:val="0"/>
          <w:lang w:val="en-GB" w:eastAsia="en-US"/>
        </w:rPr>
        <w:t xml:space="preserve"> aquaculture; broodstock nutrition; fish reproduction; nutraceuticals; phytochemicals; phytoestrogens; oxidative stress; steroidogenesis; vitellogenesis; gamete quality</w:t>
      </w:r>
      <w:commentRangeEnd w:id="3"/>
      <w:r w:rsidR="00F0228E">
        <w:rPr>
          <w:rStyle w:val="CommentReference"/>
        </w:rPr>
        <w:commentReference w:id="3"/>
      </w:r>
    </w:p>
    <w:p w14:paraId="5939CDBA" w14:textId="77777777" w:rsidR="00294D81" w:rsidRPr="00294D81" w:rsidRDefault="00294D81" w:rsidP="00294D81">
      <w:pPr>
        <w:spacing w:after="0" w:line="240" w:lineRule="auto"/>
        <w:ind w:left="0" w:right="0" w:firstLine="0"/>
        <w:jc w:val="left"/>
        <w:rPr>
          <w:color w:val="auto"/>
          <w:kern w:val="0"/>
          <w:lang w:val="en-GB" w:eastAsia="en-US"/>
        </w:rPr>
      </w:pPr>
    </w:p>
    <w:p w14:paraId="1996484B" w14:textId="77777777" w:rsidR="0077761A" w:rsidRPr="0077761A" w:rsidRDefault="0077761A" w:rsidP="0077761A">
      <w:pPr>
        <w:spacing w:before="100" w:beforeAutospacing="1" w:after="100" w:afterAutospacing="1" w:line="240" w:lineRule="auto"/>
        <w:ind w:left="0" w:right="0" w:firstLine="0"/>
        <w:jc w:val="left"/>
        <w:outlineLvl w:val="1"/>
        <w:rPr>
          <w:b/>
          <w:bCs/>
          <w:color w:val="auto"/>
          <w:kern w:val="0"/>
          <w:sz w:val="36"/>
          <w:szCs w:val="36"/>
          <w:lang w:val="en-US" w:eastAsia="en-US"/>
        </w:rPr>
      </w:pPr>
      <w:r w:rsidRPr="0077761A">
        <w:rPr>
          <w:b/>
          <w:bCs/>
          <w:color w:val="auto"/>
          <w:kern w:val="0"/>
          <w:sz w:val="36"/>
          <w:szCs w:val="36"/>
          <w:lang w:val="en-US" w:eastAsia="en-US"/>
        </w:rPr>
        <w:t xml:space="preserve">1. </w:t>
      </w:r>
      <w:commentRangeStart w:id="4"/>
      <w:r w:rsidRPr="0077761A">
        <w:rPr>
          <w:b/>
          <w:bCs/>
          <w:color w:val="auto"/>
          <w:kern w:val="0"/>
          <w:sz w:val="36"/>
          <w:szCs w:val="36"/>
          <w:lang w:val="en-US" w:eastAsia="en-US"/>
        </w:rPr>
        <w:t>Introduction</w:t>
      </w:r>
      <w:commentRangeEnd w:id="4"/>
      <w:r w:rsidR="00EE53A3">
        <w:rPr>
          <w:rStyle w:val="CommentReference"/>
        </w:rPr>
        <w:commentReference w:id="4"/>
      </w:r>
    </w:p>
    <w:p w14:paraId="3560120E"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 xml:space="preserve">Aquaculture has become one of the world’s fastest-growing food-production sectors, and its continued expansion depends heavily on dependable seed supply from hatcheries. For many </w:t>
      </w:r>
      <w:r w:rsidRPr="0077761A">
        <w:rPr>
          <w:color w:val="auto"/>
          <w:kern w:val="0"/>
          <w:lang w:val="en-US" w:eastAsia="en-US"/>
        </w:rPr>
        <w:lastRenderedPageBreak/>
        <w:t>commercially important fishes, the major bottleneck is not merely growth performance in grow-out systems, but the consistency and quality of reproduction in broodstock: reliable gamete production, predictable spawning, high fertilization success, strong hatch rates, and robust early larval survival. Hatchery failures frequently trace back to subtle impairments in gonadal development, disrupted timing of maturation, reduced sperm motility, poor egg buoyancy or yolk provisioning, and weakened embryo resilience—outcomes that can occur even when adult fish appear healthy and feed intake is adequate. As broodstock are often maintained across multiple seasons, small deficits in reproductive conditioning can accumulate into major reductions in long-term productivity and genetic progress. Nutrition remains one of the most controllable levers in this process because it influences reproductive endocrine signaling, oxidative balance, immune competence, and the biochemical composition of eggs and sperm. The foundational principle that broodstock diet quality shapes reproductive performance and progeny quality has been recognized for decades and continues to motivate modern functional-feed research (Izquierdo et al., 2001</w:t>
      </w:r>
      <w:r w:rsidR="00705A87">
        <w:rPr>
          <w:color w:val="auto"/>
          <w:kern w:val="0"/>
          <w:lang w:val="en-US" w:eastAsia="en-US"/>
        </w:rPr>
        <w:t xml:space="preserve">; </w:t>
      </w:r>
      <w:r w:rsidR="00705A87" w:rsidRPr="00705A87">
        <w:rPr>
          <w:color w:val="auto"/>
          <w:kern w:val="0"/>
          <w:lang w:val="en-US" w:eastAsia="en-US"/>
        </w:rPr>
        <w:t>Moezzi et al., 2025; Park &amp; Lim, 2025</w:t>
      </w:r>
      <w:r w:rsidRPr="0077761A">
        <w:rPr>
          <w:color w:val="auto"/>
          <w:kern w:val="0"/>
          <w:lang w:val="en-US" w:eastAsia="en-US"/>
        </w:rPr>
        <w:t>).</w:t>
      </w:r>
    </w:p>
    <w:p w14:paraId="41A16E64"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 xml:space="preserve">In parallel with the need for reproductive reliability, aquaculture is undergoing rapid feed-system transformation. Sustainability pressures and ingredient economics have accelerated the inclusion of plant-derived materials as protein and lipid sources. This shift increases exposure to plant </w:t>
      </w:r>
      <w:proofErr w:type="spellStart"/>
      <w:r w:rsidRPr="0077761A">
        <w:rPr>
          <w:color w:val="auto"/>
          <w:kern w:val="0"/>
          <w:lang w:val="en-US" w:eastAsia="en-US"/>
        </w:rPr>
        <w:t>bioactives</w:t>
      </w:r>
      <w:proofErr w:type="spellEnd"/>
      <w:r w:rsidRPr="0077761A">
        <w:rPr>
          <w:color w:val="auto"/>
          <w:kern w:val="0"/>
          <w:lang w:val="en-US" w:eastAsia="en-US"/>
        </w:rPr>
        <w:t>, some intentionally added for functionality and others introduced inadvertently as natural components of feed ingredients. Against this background, the concept of plant-derived “nutraceuticals” has gained prominence in aquaculture. In practice, nutraceuticals include purified phytochemicals (e.g., polyphenols), standardized botanical extracts (e.g., leaf or seed extracts), essential-oil fractions, and complex botanical matrices that naturally combine pigments, micronutrients, and bioactive metabolites. These materials are typically used at low inclusion rates relative to macronutrients but can exert disproportionately large biological effects through pleiotropic mechanisms. Importantly, their effects are often non-linear: moderate dosing may enhance physiological resilience, while high or poorly timed exposure may produce neutral or even adverse outcomes.</w:t>
      </w:r>
    </w:p>
    <w:p w14:paraId="6914BADB"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Fish reproduction is particularly sensitive to such bioactive exposures because it is governed by coordinated endocrine control and high biochemical demands. Teleost reproductive function is orchestrated through the hypothalamic–pituitary–gonadal axis, where environmental cues and internal energy status are integrated to regulate gonadotropin release, steroidogenesis, gametogenesis, and final maturation. In females, estrogen-driven vitellogenesis supports yolk deposition and oocyte growth; in males, spermatogenesis and sperm quality depend on gonadal function, membrane lipid integrity, and protection from oxidative damage. Because gametes and gonadal tissues are rich in polyunsaturated lipids and have tightly regulated redox signaling, they are vulnerable to oxidative stress. Consequently, nutraceuticals with antioxidant and anti-inflammatory properties may support reproduction by reducing lipid peroxidation, stabilizing mitochondrial function, and preserving cellular signaling environments required for normal maturation.</w:t>
      </w:r>
    </w:p>
    <w:p w14:paraId="5B515D2A"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 xml:space="preserve">At the same time, not all plant-derived nutraceutical actions are benign. A major concern is endocrine activity, especially from phytoestrogens commonly associated with plant ingredients that contain isoflavones and related compounds. Phytoestrogens can interact with estrogen-responsive pathways and modify transcriptional programs involved in sex differentiation and maturation. Experimental work in zebrafish demonstrates that genistein can influence development via estrogen-related mechanisms, including changes in aromatase expression patterns, illustrating how a single plant compound may affect reproductive </w:t>
      </w:r>
      <w:r w:rsidRPr="0077761A">
        <w:rPr>
          <w:color w:val="auto"/>
          <w:kern w:val="0"/>
          <w:lang w:val="en-US" w:eastAsia="en-US"/>
        </w:rPr>
        <w:lastRenderedPageBreak/>
        <w:t>biology through multiple routes (Sassi-Messai et al., 2009). From an aquaculture standpoint, this matters because dietary estrogenic burden can shift hormonal homeostasis in ways that may alter vitellogenesis timing, disrupt sex differentiation in sensitive species, or contribute to feminization risks if exposure occurs at inappropriate life stages. As plant-based ingredients become more prevalent, the question is no longer whether phytochemicals influence reproduction, but how to distinguish supportive functional modulation from unintended endocrine disruption and how to manage dose, timing, and ingredient standardization to achieve consistent outcomes (Chakraborty &amp; Mallick, 2025</w:t>
      </w:r>
      <w:r w:rsidR="00705A87">
        <w:rPr>
          <w:color w:val="auto"/>
          <w:kern w:val="0"/>
          <w:lang w:val="en-US" w:eastAsia="en-US"/>
        </w:rPr>
        <w:t xml:space="preserve">; </w:t>
      </w:r>
      <w:r w:rsidR="00705A87" w:rsidRPr="00705A87">
        <w:rPr>
          <w:color w:val="auto"/>
          <w:kern w:val="0"/>
          <w:lang w:val="en-US" w:eastAsia="en-US"/>
        </w:rPr>
        <w:t>Sumana et al., 2025; Lazzarotto et al., 2015</w:t>
      </w:r>
      <w:r w:rsidRPr="0077761A">
        <w:rPr>
          <w:color w:val="auto"/>
          <w:kern w:val="0"/>
          <w:lang w:val="en-US" w:eastAsia="en-US"/>
        </w:rPr>
        <w:t>).</w:t>
      </w:r>
    </w:p>
    <w:p w14:paraId="5B700CE4"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 xml:space="preserve">Beyond endocrine modulation, plant-derived nutraceuticals may influence reproduction indirectly by increasing resilience to common aquaculture stressors. Handling, high stocking density, fluctuating salinity, temperature variation, and suboptimal water quality can elevate stress responses and oxidative load, often suppressing reproductive output. In such contexts, nutraceuticals may function less as “fertility boosters” and more as stabilizers that protect reproductive processes under stress. Evidence from tilapia cultured under saline conditions indicates that long-term dietary supplementation with </w:t>
      </w:r>
      <w:r w:rsidRPr="0077761A">
        <w:rPr>
          <w:i/>
          <w:iCs/>
          <w:color w:val="auto"/>
          <w:kern w:val="0"/>
          <w:lang w:val="en-US" w:eastAsia="en-US"/>
        </w:rPr>
        <w:t>Moringa oleifera</w:t>
      </w:r>
      <w:r w:rsidRPr="0077761A">
        <w:rPr>
          <w:color w:val="auto"/>
          <w:kern w:val="0"/>
          <w:lang w:val="en-US" w:eastAsia="en-US"/>
        </w:rPr>
        <w:t xml:space="preserve"> leaf extract can improve maturation and reproduction alongside broader performance and immune benefits, supporting the view that immuno-oxidative stabilization may translate into improved reproductive reliability in challenging environments (Sallam et al., 2025). This stress-resilience framing is particularly relevant to commercial hatcheries because reproductive output must remain consistent despite variable operational conditions.</w:t>
      </w:r>
    </w:p>
    <w:p w14:paraId="74AB7199"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Despite growing interest and an expanding evidence base, translation of plant-derived nutraceuticals into routine broodstock protocols remains uneven. Results differ across species, sexes, reproductive stages, and ingredient preparations. Some studies test purified compounds with clear dosing, while others rely on complex extracts whose bioactive composition varies with cultivar, harvest season, extraction method, and storage stability. These differences complicate comparison and can explain why promising outcomes in one system do not replicate elsewhere. Additionally, reproduction-related endpoints are diverse, spanning gonadosomatic indices, steroid profiles, fecundity, sperm motility parameters, egg biochemical quality, fertilization and hatch success, and larval robustness. Without a mechanistic framework connecting nutraceutical inputs to endocrine, redox, metabolic, and immune pathways, it is difficult to identify which interventions are broadly generalizable and which are context bound.</w:t>
      </w:r>
    </w:p>
    <w:p w14:paraId="7031F490"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 xml:space="preserve">This review synthesizes current understanding of how plant-derived nutraceuticals can influence fish reproduction, integrating mechanistic pathways with experimental evidence and focusing on relevance to aquaculture applications. Particular attention is given to the dual nature of botanical interventions: their potential to improve gamete quality and reproductive resilience through antioxidant and </w:t>
      </w:r>
      <w:proofErr w:type="spellStart"/>
      <w:r w:rsidRPr="0077761A">
        <w:rPr>
          <w:color w:val="auto"/>
          <w:kern w:val="0"/>
          <w:lang w:val="en-US" w:eastAsia="en-US"/>
        </w:rPr>
        <w:t>immunometabolic</w:t>
      </w:r>
      <w:proofErr w:type="spellEnd"/>
      <w:r w:rsidRPr="0077761A">
        <w:rPr>
          <w:color w:val="auto"/>
          <w:kern w:val="0"/>
          <w:lang w:val="en-US" w:eastAsia="en-US"/>
        </w:rPr>
        <w:t xml:space="preserve"> support, and their capacity to disrupt reproductive endocrinology when estrogenic activity or inappropriate dosing is involved (Chakraborty &amp; Mallick, 2025; Sassi-Messai et al., 2009). By grounding discussion in broodstock nutrition principles (Izquierdo et al., 2001) and considering aquaculture-relevant case evidence under environmental stress (Sallam et al., 2025), the aim is to provide a practical and mechanistically informed foundation for designing nutraceutical strategies that enhance reproductive performance while minimizing risk.</w:t>
      </w:r>
    </w:p>
    <w:p w14:paraId="47802D6D" w14:textId="77777777" w:rsidR="0077761A" w:rsidRPr="0077761A" w:rsidRDefault="0077761A" w:rsidP="0077761A">
      <w:pPr>
        <w:spacing w:before="100" w:beforeAutospacing="1" w:after="100" w:afterAutospacing="1" w:line="240" w:lineRule="auto"/>
        <w:ind w:left="0" w:right="0" w:firstLine="0"/>
        <w:jc w:val="left"/>
        <w:outlineLvl w:val="2"/>
        <w:rPr>
          <w:b/>
          <w:bCs/>
          <w:color w:val="auto"/>
          <w:kern w:val="0"/>
          <w:sz w:val="27"/>
          <w:szCs w:val="27"/>
          <w:lang w:val="en-US" w:eastAsia="en-US"/>
        </w:rPr>
      </w:pPr>
      <w:r w:rsidRPr="0077761A">
        <w:rPr>
          <w:b/>
          <w:bCs/>
          <w:color w:val="auto"/>
          <w:kern w:val="0"/>
          <w:sz w:val="27"/>
          <w:szCs w:val="27"/>
          <w:lang w:val="en-US" w:eastAsia="en-US"/>
        </w:rPr>
        <w:t>1.1 Scope and objectives</w:t>
      </w:r>
    </w:p>
    <w:p w14:paraId="1B5B84D8"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commentRangeStart w:id="5"/>
      <w:r w:rsidRPr="0077761A">
        <w:rPr>
          <w:color w:val="auto"/>
          <w:kern w:val="0"/>
          <w:lang w:val="en-US" w:eastAsia="en-US"/>
        </w:rPr>
        <w:lastRenderedPageBreak/>
        <w:t>This article reviews plant-derived nutraceuticals and botanical matrices used in aquaculture that may influence reproductive development, endocrine function, gametogenesis, gamete quality, and spawning outcomes in fish. The objectives are to explain key mechanisms of action, critically summarize evidence across fish models and aquaculture species, identify realistic applications in broodstock management and hatchery production, and highlight safety and research gaps related to standardization, dose–timing optimization, and reproductive risk management.</w:t>
      </w:r>
      <w:commentRangeEnd w:id="5"/>
      <w:r w:rsidR="00A0012E">
        <w:rPr>
          <w:rStyle w:val="CommentReference"/>
        </w:rPr>
        <w:commentReference w:id="5"/>
      </w:r>
    </w:p>
    <w:p w14:paraId="21040892" w14:textId="77777777" w:rsidR="00294D81" w:rsidRPr="00294D81" w:rsidRDefault="00294D81" w:rsidP="00294D81">
      <w:pPr>
        <w:spacing w:before="100" w:beforeAutospacing="1" w:after="100" w:afterAutospacing="1" w:line="240" w:lineRule="auto"/>
        <w:ind w:left="0" w:right="0" w:firstLine="0"/>
        <w:jc w:val="left"/>
        <w:outlineLvl w:val="1"/>
        <w:rPr>
          <w:b/>
          <w:bCs/>
          <w:color w:val="auto"/>
          <w:kern w:val="0"/>
          <w:sz w:val="36"/>
          <w:szCs w:val="36"/>
          <w:lang w:val="en-GB" w:eastAsia="en-US"/>
        </w:rPr>
      </w:pPr>
      <w:r w:rsidRPr="00294D81">
        <w:rPr>
          <w:b/>
          <w:bCs/>
          <w:color w:val="auto"/>
          <w:kern w:val="0"/>
          <w:sz w:val="36"/>
          <w:szCs w:val="36"/>
          <w:lang w:val="en-GB" w:eastAsia="en-US"/>
        </w:rPr>
        <w:t>2. Methods for literature selection</w:t>
      </w:r>
    </w:p>
    <w:p w14:paraId="32C98210" w14:textId="77777777" w:rsidR="00294D81" w:rsidRPr="00294D81" w:rsidRDefault="00294D81" w:rsidP="00294D81">
      <w:pPr>
        <w:spacing w:before="100" w:beforeAutospacing="1" w:after="100" w:afterAutospacing="1" w:line="240" w:lineRule="auto"/>
        <w:ind w:left="0" w:right="0" w:firstLine="0"/>
        <w:jc w:val="left"/>
        <w:rPr>
          <w:color w:val="auto"/>
          <w:kern w:val="0"/>
          <w:lang w:val="en-GB" w:eastAsia="en-US"/>
        </w:rPr>
      </w:pPr>
      <w:r w:rsidRPr="00294D81">
        <w:rPr>
          <w:color w:val="auto"/>
          <w:kern w:val="0"/>
          <w:lang w:val="en-GB" w:eastAsia="en-US"/>
        </w:rPr>
        <w:t xml:space="preserve">Literature was identified using Web of Science, Scopus, PubMed, and Google Scholar, covering publications from January 2000 through December 2025. </w:t>
      </w:r>
      <w:commentRangeStart w:id="6"/>
      <w:r w:rsidRPr="00294D81">
        <w:rPr>
          <w:color w:val="auto"/>
          <w:kern w:val="0"/>
          <w:lang w:val="en-GB" w:eastAsia="en-US"/>
        </w:rPr>
        <w:t>Search strings combined reproduction-related terms with nutraceutical and botanical keywords, including: “fish broodstock reproduction nutraceutical,” “plant extract fish spawning,” “polyphenol fish gonad steroidogenesis,” “phytoestrogen fish sex differentiation,” “essential oil fish sperm motility,” “Moringa tilapia reproduction,” “macroalgae sperm quality fish,” and “microalgae broodstock egg quality.” Inclusion criteria prioritized peer-reviewed journal articles reporting mechanistic endpoints (e.g., steroid hormones, gene expression in steroidogenic pathways, vitellogenin responses), reproductive performance metrics (e.g., fecundity, fertilization rate, hatch rate), and gamete quality measures (e.g., sperm motility, DNA integrity, egg biochemical composition)</w:t>
      </w:r>
      <w:commentRangeEnd w:id="6"/>
      <w:r w:rsidR="00A0012E">
        <w:rPr>
          <w:rStyle w:val="CommentReference"/>
        </w:rPr>
        <w:commentReference w:id="6"/>
      </w:r>
      <w:r w:rsidRPr="00294D81">
        <w:rPr>
          <w:color w:val="auto"/>
          <w:kern w:val="0"/>
          <w:lang w:val="en-GB" w:eastAsia="en-US"/>
        </w:rPr>
        <w:t>. Studies were excluded when they lacked reproductive outcomes, used non-characterized complex mixtures without dosing detail, or were limited to non-fish taxa. Review articles were used to contextualize mechanisms and identify seminal and recent experimental studies. Where possible, DOI links and bibliographic metadata were cross-checked against multiple indexing records; however, direct resolution of some DOI landing pages may be restricted by automated access controls, which is noted as a methodological constraint in the Limitations section.</w:t>
      </w:r>
    </w:p>
    <w:p w14:paraId="778F5C0D" w14:textId="77777777" w:rsidR="00294D81" w:rsidRPr="00294D81" w:rsidRDefault="00294D81" w:rsidP="00294D81">
      <w:pPr>
        <w:spacing w:after="0" w:line="240" w:lineRule="auto"/>
        <w:ind w:left="0" w:right="0" w:firstLine="0"/>
        <w:jc w:val="left"/>
        <w:rPr>
          <w:color w:val="auto"/>
          <w:kern w:val="0"/>
          <w:lang w:val="en-GB" w:eastAsia="en-US"/>
        </w:rPr>
      </w:pPr>
    </w:p>
    <w:p w14:paraId="51CB606C" w14:textId="77777777" w:rsidR="0077761A" w:rsidRPr="0077761A" w:rsidRDefault="0077761A" w:rsidP="0077761A">
      <w:pPr>
        <w:spacing w:before="100" w:beforeAutospacing="1" w:after="100" w:afterAutospacing="1" w:line="240" w:lineRule="auto"/>
        <w:ind w:left="0" w:right="0" w:firstLine="0"/>
        <w:jc w:val="left"/>
        <w:outlineLvl w:val="1"/>
        <w:rPr>
          <w:b/>
          <w:bCs/>
          <w:color w:val="auto"/>
          <w:kern w:val="0"/>
          <w:sz w:val="36"/>
          <w:szCs w:val="36"/>
          <w:lang w:val="en-US" w:eastAsia="en-US"/>
        </w:rPr>
      </w:pPr>
      <w:r w:rsidRPr="0077761A">
        <w:rPr>
          <w:b/>
          <w:bCs/>
          <w:color w:val="auto"/>
          <w:kern w:val="0"/>
          <w:sz w:val="36"/>
          <w:szCs w:val="36"/>
          <w:lang w:val="en-US" w:eastAsia="en-US"/>
        </w:rPr>
        <w:t xml:space="preserve">3. </w:t>
      </w:r>
      <w:commentRangeStart w:id="7"/>
      <w:r w:rsidRPr="0077761A">
        <w:rPr>
          <w:b/>
          <w:bCs/>
          <w:color w:val="auto"/>
          <w:kern w:val="0"/>
          <w:sz w:val="36"/>
          <w:szCs w:val="36"/>
          <w:lang w:val="en-US" w:eastAsia="en-US"/>
        </w:rPr>
        <w:t>Conceptual framework: fish reproduction and nutraceutical leverage points</w:t>
      </w:r>
      <w:commentRangeEnd w:id="7"/>
      <w:r w:rsidR="00A0012E">
        <w:rPr>
          <w:rStyle w:val="CommentReference"/>
        </w:rPr>
        <w:commentReference w:id="7"/>
      </w:r>
    </w:p>
    <w:p w14:paraId="023EF943"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The reproductive biology of cultured fishes is governed by an integration of endocrine signaling, energetic status, tissue redox balance, and environmental context. Plant-derived nutraceuticals can intersect with each of these layers, creating multiple “leverage points” through which broodstock diets may alter reproductive development, gamete competence, and spawning outcomes. A conceptual framework is useful because it separates direct endocrine effects—where a compound behaves like a signaling molecule—from indirect effects mediated by improved health, stress buffering, nutrient utilization, or oxidative protection. This distinction is particularly important for botanical ingredients because the same plant source may contain compounds that are simultaneously antioxidant, immunomodulatory, and endocrine-active, yielding outcomes that are strongly dose-, life-stage-, and species-dependent.</w:t>
      </w:r>
    </w:p>
    <w:p w14:paraId="44ED33A4" w14:textId="77777777" w:rsidR="0077761A" w:rsidRPr="0077761A" w:rsidRDefault="0077761A" w:rsidP="0077761A">
      <w:pPr>
        <w:spacing w:before="100" w:beforeAutospacing="1" w:after="100" w:afterAutospacing="1" w:line="240" w:lineRule="auto"/>
        <w:ind w:left="0" w:right="0" w:firstLine="0"/>
        <w:jc w:val="left"/>
        <w:outlineLvl w:val="2"/>
        <w:rPr>
          <w:b/>
          <w:bCs/>
          <w:color w:val="auto"/>
          <w:kern w:val="0"/>
          <w:sz w:val="27"/>
          <w:szCs w:val="27"/>
          <w:lang w:val="en-US" w:eastAsia="en-US"/>
        </w:rPr>
      </w:pPr>
      <w:r w:rsidRPr="0077761A">
        <w:rPr>
          <w:b/>
          <w:bCs/>
          <w:color w:val="auto"/>
          <w:kern w:val="0"/>
          <w:sz w:val="27"/>
          <w:szCs w:val="27"/>
          <w:lang w:val="en-US" w:eastAsia="en-US"/>
        </w:rPr>
        <w:t xml:space="preserve">3.1 Endocrine control of reproduction in </w:t>
      </w:r>
      <w:proofErr w:type="spellStart"/>
      <w:r w:rsidRPr="0077761A">
        <w:rPr>
          <w:b/>
          <w:bCs/>
          <w:color w:val="auto"/>
          <w:kern w:val="0"/>
          <w:sz w:val="27"/>
          <w:szCs w:val="27"/>
          <w:lang w:val="en-US" w:eastAsia="en-US"/>
        </w:rPr>
        <w:t>teleosts</w:t>
      </w:r>
      <w:proofErr w:type="spellEnd"/>
      <w:r w:rsidRPr="0077761A">
        <w:rPr>
          <w:b/>
          <w:bCs/>
          <w:color w:val="auto"/>
          <w:kern w:val="0"/>
          <w:sz w:val="27"/>
          <w:szCs w:val="27"/>
          <w:lang w:val="en-US" w:eastAsia="en-US"/>
        </w:rPr>
        <w:t xml:space="preserve"> and endocrine-sensitive leverage points</w:t>
      </w:r>
    </w:p>
    <w:p w14:paraId="5AE2EC2D"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lastRenderedPageBreak/>
        <w:t xml:space="preserve">Reproduction in </w:t>
      </w:r>
      <w:proofErr w:type="spellStart"/>
      <w:r w:rsidRPr="0077761A">
        <w:rPr>
          <w:color w:val="auto"/>
          <w:kern w:val="0"/>
          <w:lang w:val="en-US" w:eastAsia="en-US"/>
        </w:rPr>
        <w:t>teleosts</w:t>
      </w:r>
      <w:proofErr w:type="spellEnd"/>
      <w:r w:rsidRPr="0077761A">
        <w:rPr>
          <w:color w:val="auto"/>
          <w:kern w:val="0"/>
          <w:lang w:val="en-US" w:eastAsia="en-US"/>
        </w:rPr>
        <w:t xml:space="preserve"> is centrally organized by the hypothalamic–pituitary–gonadal (HPG) axis. Environmental cues such as photoperiod and temperature, along with internal metabolic signals reflecting energy availability, influence hypothalamic control of pituitary gonadotropin release, which in turn regulates gonadal steroidogenesis, gametogenesis, and final maturation processes. In females, estrogen signaling supports vitellogenesis and oocyte growth, while in males, androgens and associated pathways regulate spermatogenesis and the maturation of spermatozoa. Nutraceutical leverage points appear at multiple levels: a compound may alter upstream neuroendocrine signaling, modulate gonadal responsiveness to gonadotropins, or affect steroidogenic enzyme expression and activity within the gonads. Botanical compounds with estrogenic properties are especially influential because they can interact with estrogen-responsive pathways that determine </w:t>
      </w:r>
      <w:proofErr w:type="spellStart"/>
      <w:r w:rsidRPr="0077761A">
        <w:rPr>
          <w:color w:val="auto"/>
          <w:kern w:val="0"/>
          <w:lang w:val="en-US" w:eastAsia="en-US"/>
        </w:rPr>
        <w:t>vitellogenic</w:t>
      </w:r>
      <w:proofErr w:type="spellEnd"/>
      <w:r w:rsidRPr="0077761A">
        <w:rPr>
          <w:color w:val="auto"/>
          <w:kern w:val="0"/>
          <w:lang w:val="en-US" w:eastAsia="en-US"/>
        </w:rPr>
        <w:t xml:space="preserve"> activity and reproductive timing.</w:t>
      </w:r>
    </w:p>
    <w:p w14:paraId="4E8B63C5"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Phytoestrogens provide a clear example of endocrine-sensitive leverage points. Evidence from zebrafish indicates that genistein can affect development through at least two distinct pathways, highlighting that a single plant-derived compound may influence endocrine systems both through classical estrogen-related mechanisms and through additional, potentially non-identical routes (Sassi-Messai et al., 2009</w:t>
      </w:r>
      <w:r w:rsidR="00705A87">
        <w:rPr>
          <w:color w:val="auto"/>
          <w:kern w:val="0"/>
          <w:lang w:val="en-US" w:eastAsia="en-US"/>
        </w:rPr>
        <w:t xml:space="preserve">; </w:t>
      </w:r>
      <w:r w:rsidR="00705A87" w:rsidRPr="00705A87">
        <w:rPr>
          <w:color w:val="auto"/>
          <w:kern w:val="0"/>
          <w:lang w:val="en-US" w:eastAsia="en-US"/>
        </w:rPr>
        <w:t>Abaho et al., 2023; Di Sotto et al., 2020</w:t>
      </w:r>
      <w:r w:rsidRPr="0077761A">
        <w:rPr>
          <w:color w:val="auto"/>
          <w:kern w:val="0"/>
          <w:lang w:val="en-US" w:eastAsia="en-US"/>
        </w:rPr>
        <w:t>). In conceptual terms, this means nutraceuticals may not behave as simple “on/off” endocrine switches. Instead, they can reshape endocrine landscapes by influencing receptor signaling strength, feedback loops, and local steroid metabolism. In aquaculture, this creates both opportunity (functional modulation) and risk (unintended disruption), especially if endocrine-active botanicals are delivered during sensitive windows such as sex differentiation, early gametogenesis, or late maturation phases when the axis is most responsive.</w:t>
      </w:r>
    </w:p>
    <w:p w14:paraId="547F6C35" w14:textId="77777777" w:rsidR="0077761A" w:rsidRPr="0077761A" w:rsidRDefault="0077761A" w:rsidP="0077761A">
      <w:pPr>
        <w:spacing w:before="100" w:beforeAutospacing="1" w:after="100" w:afterAutospacing="1" w:line="240" w:lineRule="auto"/>
        <w:ind w:left="0" w:right="0" w:firstLine="0"/>
        <w:jc w:val="left"/>
        <w:outlineLvl w:val="2"/>
        <w:rPr>
          <w:b/>
          <w:bCs/>
          <w:color w:val="auto"/>
          <w:kern w:val="0"/>
          <w:sz w:val="27"/>
          <w:szCs w:val="27"/>
          <w:lang w:val="en-US" w:eastAsia="en-US"/>
        </w:rPr>
      </w:pPr>
      <w:r w:rsidRPr="0077761A">
        <w:rPr>
          <w:b/>
          <w:bCs/>
          <w:color w:val="auto"/>
          <w:kern w:val="0"/>
          <w:sz w:val="27"/>
          <w:szCs w:val="27"/>
          <w:lang w:val="en-US" w:eastAsia="en-US"/>
        </w:rPr>
        <w:t>3.2 Gonadal function and molecular endpoints as mechanistic anchors</w:t>
      </w:r>
    </w:p>
    <w:p w14:paraId="37671FD2"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A second leverage point is the gonad itself, where nutraceutical effects can manifest as changes in cellular organization, gametogenic progression, steroidogenic capacity, and local signaling networks. Traditional production metrics—gonadosomatic index, fecundity, fertilization rate, hatch rate—are valuable for hatchery decisions but often do not distinguish mechanism. Mechanistic anchors such as sex-related gene expression, aromatase-related regulation, and markers of steroidogenic activity help interpret whether an intervention is acting directly on reproductive physiology or indirectly through systemic improvements.</w:t>
      </w:r>
    </w:p>
    <w:p w14:paraId="0A3C8AB7"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 xml:space="preserve">Long-term dietary phytoestrogen exposure can leave molecular signatures that precede or occur independently of overt performance changes. In Russian sturgeon, supplementation with genistein, daidzein, and </w:t>
      </w:r>
      <w:proofErr w:type="spellStart"/>
      <w:r w:rsidRPr="0077761A">
        <w:rPr>
          <w:color w:val="auto"/>
          <w:kern w:val="0"/>
          <w:lang w:val="en-US" w:eastAsia="en-US"/>
        </w:rPr>
        <w:t>coumestrol</w:t>
      </w:r>
      <w:proofErr w:type="spellEnd"/>
      <w:r w:rsidRPr="0077761A">
        <w:rPr>
          <w:color w:val="auto"/>
          <w:kern w:val="0"/>
          <w:lang w:val="en-US" w:eastAsia="en-US"/>
        </w:rPr>
        <w:t xml:space="preserve"> altered expression of sex-related genes across gonads, brain, and liver, supporting the view that botanical endocrine-active compounds can modulate reproductive trajectories at the transcriptional level (</w:t>
      </w:r>
      <w:proofErr w:type="spellStart"/>
      <w:r w:rsidRPr="0077761A">
        <w:rPr>
          <w:color w:val="auto"/>
          <w:kern w:val="0"/>
          <w:lang w:val="en-US" w:eastAsia="en-US"/>
        </w:rPr>
        <w:t>Fajkowska</w:t>
      </w:r>
      <w:proofErr w:type="spellEnd"/>
      <w:r w:rsidRPr="0077761A">
        <w:rPr>
          <w:color w:val="auto"/>
          <w:kern w:val="0"/>
          <w:lang w:val="en-US" w:eastAsia="en-US"/>
        </w:rPr>
        <w:t xml:space="preserve"> et al., 2021). In a conceptual framework, such findings underscore why reproduction-focused nutraceutical studies should not rely exclusively on gross indices. Molecular endpoints provide early warning signals for endocrine perturbation and help identify whether a compound is shifting sex differentiation pathways, altering gonadal maturation programs, or changing the endocrine–metabolic coupling that supports gametogenesis.</w:t>
      </w:r>
    </w:p>
    <w:p w14:paraId="4FA256A3" w14:textId="77777777" w:rsidR="0077761A" w:rsidRPr="0077761A" w:rsidRDefault="0077761A" w:rsidP="0077761A">
      <w:pPr>
        <w:spacing w:before="100" w:beforeAutospacing="1" w:after="100" w:afterAutospacing="1" w:line="240" w:lineRule="auto"/>
        <w:ind w:left="0" w:right="0" w:firstLine="0"/>
        <w:jc w:val="left"/>
        <w:outlineLvl w:val="2"/>
        <w:rPr>
          <w:b/>
          <w:bCs/>
          <w:color w:val="auto"/>
          <w:kern w:val="0"/>
          <w:sz w:val="27"/>
          <w:szCs w:val="27"/>
          <w:lang w:val="en-US" w:eastAsia="en-US"/>
        </w:rPr>
      </w:pPr>
      <w:r w:rsidRPr="0077761A">
        <w:rPr>
          <w:b/>
          <w:bCs/>
          <w:color w:val="auto"/>
          <w:kern w:val="0"/>
          <w:sz w:val="27"/>
          <w:szCs w:val="27"/>
          <w:lang w:val="en-US" w:eastAsia="en-US"/>
        </w:rPr>
        <w:t>3.3 Energetic allocation, oxidative balance, and “robustness” of gametes</w:t>
      </w:r>
    </w:p>
    <w:p w14:paraId="21E281FC"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lastRenderedPageBreak/>
        <w:t>Reproduction is among the most energetically expensive biological processes. Oocytes require extensive provisioning of lipids, proteins, and micronutrients into yolk and membranes, while sperm quality depends on the integrity of motility systems and membrane structures that are highly sensitive to oxidative damage. Even when endocrine signaling is adequate, reproduction can fail when energy allocation is constrained or when oxidative stress overwhelms protective capacity. Plant-derived nutraceuticals frequently target these constraints by enhancing antioxidant defenses, stabilizing membranes, and supporting metabolic efficiency. Within this framework, improvement in reproductive outcomes may arise not because the nutraceutical “pushes” the HPG axis, but because it reduces physiological noise and damage, allowing normal endocrine programs to proceed effectively.</w:t>
      </w:r>
    </w:p>
    <w:p w14:paraId="09A16110"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However, oxidative and metabolic benefits do not guarantee reproductive benefit if endocrine-active compounds simultaneously perturb signaling. The conceptual implication is that botanical nutraceuticals should be assessed as multi-dimensional interventions: their net reproductive effect reflects the balance between beneficial support (e.g., antioxidant buffering) and potential endocrine interference. This is consistent with the idea that phytoestrogens can produce complex biological responses rather than a single predictable outcome, as demonstrated by pathway-diverse effects in zebrafish exposed to genistein (Sassi-Messai et al., 2009).</w:t>
      </w:r>
    </w:p>
    <w:p w14:paraId="0F15655A" w14:textId="77777777" w:rsidR="0077761A" w:rsidRPr="0077761A" w:rsidRDefault="0077761A" w:rsidP="0077761A">
      <w:pPr>
        <w:spacing w:before="100" w:beforeAutospacing="1" w:after="100" w:afterAutospacing="1" w:line="240" w:lineRule="auto"/>
        <w:ind w:left="0" w:right="0" w:firstLine="0"/>
        <w:jc w:val="left"/>
        <w:outlineLvl w:val="2"/>
        <w:rPr>
          <w:b/>
          <w:bCs/>
          <w:color w:val="auto"/>
          <w:kern w:val="0"/>
          <w:sz w:val="27"/>
          <w:szCs w:val="27"/>
          <w:lang w:val="en-US" w:eastAsia="en-US"/>
        </w:rPr>
      </w:pPr>
      <w:r w:rsidRPr="0077761A">
        <w:rPr>
          <w:b/>
          <w:bCs/>
          <w:color w:val="auto"/>
          <w:kern w:val="0"/>
          <w:sz w:val="27"/>
          <w:szCs w:val="27"/>
          <w:lang w:val="en-US" w:eastAsia="en-US"/>
        </w:rPr>
        <w:t>3.4 The gut–metabolism interface and context dependence</w:t>
      </w:r>
    </w:p>
    <w:p w14:paraId="42DDEC8F"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A further leverage point is the gut–metabolism interface, which influences bioavailability, biotransformation, and systemic exposure to active metabolites. Botanical compounds often occur as mixtures and may be transformed during digestion or by intestinal microbiota into metabolites with different potency and target specificity. As a result, two farms using the same nominal botanical ingredient could observe different reproductive outcomes if diet composition, gut microbial ecology, or rearing environment differs. Conceptually, this means reproduction outcomes are not only ingredient-dependent but also “context dependent,” shaped by species physiology, sex, maturity stage, background diet, and environment.</w:t>
      </w:r>
    </w:p>
    <w:p w14:paraId="56C912FF"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The sturgeon gene-expression findings reinforce this context dependence: even under dietary supplementation, responses are distributed across multiple tissues—gonads, brain, liver—implying whole-organism integration rather than isolated gonadal effects (</w:t>
      </w:r>
      <w:proofErr w:type="spellStart"/>
      <w:r w:rsidRPr="0077761A">
        <w:rPr>
          <w:color w:val="auto"/>
          <w:kern w:val="0"/>
          <w:lang w:val="en-US" w:eastAsia="en-US"/>
        </w:rPr>
        <w:t>Fajkowska</w:t>
      </w:r>
      <w:proofErr w:type="spellEnd"/>
      <w:r w:rsidRPr="0077761A">
        <w:rPr>
          <w:color w:val="auto"/>
          <w:kern w:val="0"/>
          <w:lang w:val="en-US" w:eastAsia="en-US"/>
        </w:rPr>
        <w:t xml:space="preserve"> et al., 2021). Thus, a practical conceptual model treats nutraceuticals as modulators of a network, not a single pathway, and encourages experimental designs that capture endocrine biomarkers, gonadal molecular endpoints, and performance metrics simultaneously.</w:t>
      </w:r>
    </w:p>
    <w:p w14:paraId="7AEAB3CC" w14:textId="77777777" w:rsidR="0077761A" w:rsidRPr="0077761A" w:rsidRDefault="0077761A" w:rsidP="0077761A">
      <w:pPr>
        <w:spacing w:before="100" w:beforeAutospacing="1" w:after="100" w:afterAutospacing="1" w:line="240" w:lineRule="auto"/>
        <w:ind w:left="0" w:right="0" w:firstLine="0"/>
        <w:jc w:val="left"/>
        <w:outlineLvl w:val="2"/>
        <w:rPr>
          <w:b/>
          <w:bCs/>
          <w:color w:val="auto"/>
          <w:kern w:val="0"/>
          <w:sz w:val="27"/>
          <w:szCs w:val="27"/>
          <w:lang w:val="en-US" w:eastAsia="en-US"/>
        </w:rPr>
      </w:pPr>
      <w:r w:rsidRPr="0077761A">
        <w:rPr>
          <w:b/>
          <w:bCs/>
          <w:color w:val="auto"/>
          <w:kern w:val="0"/>
          <w:sz w:val="27"/>
          <w:szCs w:val="27"/>
          <w:lang w:val="en-US" w:eastAsia="en-US"/>
        </w:rPr>
        <w:t>3.5 Translational endpoints: from mechanism to hatchery decision-making</w:t>
      </w:r>
    </w:p>
    <w:p w14:paraId="1900A048"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From an aquaculture application standpoint, the conceptual framework must connect mechanistic levers to operational endpoints. For females, key translational endpoints include oocyte growth dynamics, egg biochemical quality, fertilization success, hatch rate, and larval robustness. For males, endpoints include sperm motility characteristics, sperm concentration, and functional measures of fertilization competence. Importantly, endocrine and molecular markers help interpret whether changes in these endpoints arise from supportive conditioning or from endocrine perturbations that might carry long-term costs. The combined evidence that phytoestrogens can affect developmental pathways in zebrafish (Sassi-Messai et al., 2009) and can shift sex-related gene expression patterns in sturgeon (</w:t>
      </w:r>
      <w:proofErr w:type="spellStart"/>
      <w:r w:rsidRPr="0077761A">
        <w:rPr>
          <w:color w:val="auto"/>
          <w:kern w:val="0"/>
          <w:lang w:val="en-US" w:eastAsia="en-US"/>
        </w:rPr>
        <w:t>Fajkowska</w:t>
      </w:r>
      <w:proofErr w:type="spellEnd"/>
      <w:r w:rsidRPr="0077761A">
        <w:rPr>
          <w:color w:val="auto"/>
          <w:kern w:val="0"/>
          <w:lang w:val="en-US" w:eastAsia="en-US"/>
        </w:rPr>
        <w:t xml:space="preserve"> et al., 2021) </w:t>
      </w:r>
      <w:r w:rsidRPr="0077761A">
        <w:rPr>
          <w:color w:val="auto"/>
          <w:kern w:val="0"/>
          <w:lang w:val="en-US" w:eastAsia="en-US"/>
        </w:rPr>
        <w:lastRenderedPageBreak/>
        <w:t>highlights why hatchery-oriented nutraceutical strategies must integrate both benefit-seeking and risk-screening within the same evaluation plan.</w:t>
      </w:r>
    </w:p>
    <w:p w14:paraId="4811B7B5" w14:textId="77777777" w:rsidR="0077761A" w:rsidRDefault="0077761A" w:rsidP="00294D81">
      <w:pPr>
        <w:spacing w:before="100" w:beforeAutospacing="1" w:after="100" w:afterAutospacing="1" w:line="240" w:lineRule="auto"/>
        <w:ind w:left="0" w:right="0" w:firstLine="0"/>
        <w:jc w:val="left"/>
        <w:outlineLvl w:val="1"/>
        <w:rPr>
          <w:b/>
          <w:bCs/>
          <w:color w:val="auto"/>
          <w:kern w:val="0"/>
          <w:sz w:val="36"/>
          <w:szCs w:val="36"/>
          <w:lang w:val="en-GB" w:eastAsia="en-US"/>
        </w:rPr>
      </w:pPr>
    </w:p>
    <w:p w14:paraId="6AC17484" w14:textId="77777777" w:rsidR="0077761A" w:rsidRPr="0077761A" w:rsidRDefault="0077761A" w:rsidP="0077761A">
      <w:pPr>
        <w:spacing w:before="100" w:beforeAutospacing="1" w:after="100" w:afterAutospacing="1" w:line="240" w:lineRule="auto"/>
        <w:ind w:left="0" w:right="0" w:firstLine="0"/>
        <w:jc w:val="left"/>
        <w:outlineLvl w:val="1"/>
        <w:rPr>
          <w:b/>
          <w:bCs/>
          <w:color w:val="auto"/>
          <w:kern w:val="0"/>
          <w:sz w:val="36"/>
          <w:szCs w:val="36"/>
          <w:lang w:val="en-US" w:eastAsia="en-US"/>
        </w:rPr>
      </w:pPr>
      <w:commentRangeStart w:id="8"/>
      <w:r w:rsidRPr="0077761A">
        <w:rPr>
          <w:b/>
          <w:bCs/>
          <w:color w:val="auto"/>
          <w:kern w:val="0"/>
          <w:sz w:val="36"/>
          <w:szCs w:val="36"/>
          <w:lang w:val="en-US" w:eastAsia="en-US"/>
        </w:rPr>
        <w:t>4. Mechanistic bases for plant-derived nutraceutical action on fish reproduction</w:t>
      </w:r>
      <w:commentRangeEnd w:id="8"/>
      <w:r w:rsidR="00A0012E">
        <w:rPr>
          <w:rStyle w:val="CommentReference"/>
        </w:rPr>
        <w:commentReference w:id="8"/>
      </w:r>
    </w:p>
    <w:p w14:paraId="1A9FDD06"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Plant-derived nutraceuticals can influence fish reproduction through several interlinked mechanisms that operate across endocrine regulation, tissue redox balance, metabolic allocation, immune–inflammation dynamics, and nutrient–microbiome interactions. These mechanisms rarely act in isolation. Instead, botanical supplements often behave as “multi-target” interventions, where net reproductive outcomes reflect the combined direction and magnitude of endocrine and non-endocrine effects, their timing relative to the reproductive cycle, and species- and sex-specific sensitivity. This systems perspective is especially important in aquaculture because the same ingredient can improve performance in one setting and impair reproductive stability in another if dose, life stage, or background diet composition changes. In particular, endocrine-active phytochemicals in plant ingredients require a risk-aware framing: the mechanistic pathways that enable functional modulation can also produce endocrine disruption when exposure is excessive or poorly timed (Chakraborty &amp; Mallick, 2025).</w:t>
      </w:r>
    </w:p>
    <w:p w14:paraId="01EEE655" w14:textId="77777777" w:rsidR="0077761A" w:rsidRPr="0077761A" w:rsidRDefault="0077761A" w:rsidP="0077761A">
      <w:pPr>
        <w:spacing w:before="100" w:beforeAutospacing="1" w:after="100" w:afterAutospacing="1" w:line="240" w:lineRule="auto"/>
        <w:ind w:left="0" w:right="0" w:firstLine="0"/>
        <w:jc w:val="left"/>
        <w:outlineLvl w:val="2"/>
        <w:rPr>
          <w:b/>
          <w:bCs/>
          <w:color w:val="auto"/>
          <w:kern w:val="0"/>
          <w:sz w:val="27"/>
          <w:szCs w:val="27"/>
          <w:lang w:val="en-US" w:eastAsia="en-US"/>
        </w:rPr>
      </w:pPr>
      <w:r w:rsidRPr="0077761A">
        <w:rPr>
          <w:b/>
          <w:bCs/>
          <w:color w:val="auto"/>
          <w:kern w:val="0"/>
          <w:sz w:val="27"/>
          <w:szCs w:val="27"/>
          <w:lang w:val="en-US" w:eastAsia="en-US"/>
        </w:rPr>
        <w:t>4.1 Endocrine modulation: receptor signaling, steroidogenic enzymes, and hormonal homeostasis</w:t>
      </w:r>
    </w:p>
    <w:p w14:paraId="4506F25E"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A primary mechanistic route is direct endocrine modulation, most prominently through estrogen receptor interactions and downstream transcriptional programs that regulate vitellogenesis and reproductive timing. Many plant compounds can act as weak estrogen receptor ligands (phytoestrogens) or influence steroidogenic enzyme pathways, effectively shifting the endocrine balance that coordinates gonadal maturation. Evidence from zebrafish illustrates how a single phytoestrogen, genistein, can affect development through more than one pathway, including changes consistent with estrogen-responsive regulation and aromatase-related modulation (Sassi-Messai et al., 2009). Mechanistically, this implies that botanical nutraceuticals may alter reproductive endpoints by changing receptor activation patterns, feedback sensitivity within the hypothalamic–pituitary–gonadal axis, and local gonadal signaling microenvironments.</w:t>
      </w:r>
    </w:p>
    <w:p w14:paraId="368CCF6D"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 xml:space="preserve">Endocrine modulation is also not limited to receptor binding. Plant compounds may influence steroid availability by altering synthesis, conversion, or clearance. In aquaculture-relevant contexts, this matters because small shifts in estrogenic tone can alter </w:t>
      </w:r>
      <w:proofErr w:type="spellStart"/>
      <w:r w:rsidRPr="0077761A">
        <w:rPr>
          <w:color w:val="auto"/>
          <w:kern w:val="0"/>
          <w:lang w:val="en-US" w:eastAsia="en-US"/>
        </w:rPr>
        <w:t>vitellogenic</w:t>
      </w:r>
      <w:proofErr w:type="spellEnd"/>
      <w:r w:rsidRPr="0077761A">
        <w:rPr>
          <w:color w:val="auto"/>
          <w:kern w:val="0"/>
          <w:lang w:val="en-US" w:eastAsia="en-US"/>
        </w:rPr>
        <w:t xml:space="preserve"> drive, follicular progression, and synchronization of maturation—features that directly impact egg quality and spawning consistency. Because endocrine effects can be beneficial, neutral, or harmful depending on dose and life stage, reproductive nutraceutical design must explicitly treat phytoestrogenic potency as a controllable variable rather than an incidental property of “plant-based” feeds (Chakraborty &amp; Mallick, 2025</w:t>
      </w:r>
      <w:r w:rsidR="00705A87">
        <w:rPr>
          <w:color w:val="auto"/>
          <w:kern w:val="0"/>
          <w:lang w:val="en-US" w:eastAsia="en-US"/>
        </w:rPr>
        <w:t xml:space="preserve">; </w:t>
      </w:r>
      <w:r w:rsidR="00705A87" w:rsidRPr="00705A87">
        <w:rPr>
          <w:color w:val="auto"/>
          <w:kern w:val="0"/>
          <w:lang w:val="en-US" w:eastAsia="en-US"/>
        </w:rPr>
        <w:t>Park &amp; Lim, 2025; Sumana et al., 2025</w:t>
      </w:r>
      <w:r w:rsidRPr="0077761A">
        <w:rPr>
          <w:color w:val="auto"/>
          <w:kern w:val="0"/>
          <w:lang w:val="en-US" w:eastAsia="en-US"/>
        </w:rPr>
        <w:t>).</w:t>
      </w:r>
    </w:p>
    <w:p w14:paraId="52FE59D2" w14:textId="77777777" w:rsidR="0077761A" w:rsidRPr="0077761A" w:rsidRDefault="0077761A" w:rsidP="0077761A">
      <w:pPr>
        <w:spacing w:before="100" w:beforeAutospacing="1" w:after="100" w:afterAutospacing="1" w:line="240" w:lineRule="auto"/>
        <w:ind w:left="0" w:right="0" w:firstLine="0"/>
        <w:jc w:val="left"/>
        <w:outlineLvl w:val="2"/>
        <w:rPr>
          <w:b/>
          <w:bCs/>
          <w:color w:val="auto"/>
          <w:kern w:val="0"/>
          <w:sz w:val="27"/>
          <w:szCs w:val="27"/>
          <w:lang w:val="en-US" w:eastAsia="en-US"/>
        </w:rPr>
      </w:pPr>
      <w:r w:rsidRPr="0077761A">
        <w:rPr>
          <w:b/>
          <w:bCs/>
          <w:color w:val="auto"/>
          <w:kern w:val="0"/>
          <w:sz w:val="27"/>
          <w:szCs w:val="27"/>
          <w:lang w:val="en-US" w:eastAsia="en-US"/>
        </w:rPr>
        <w:t>4.2 Modulation of steroid metabolism and clearance: altering effective hormone exposure</w:t>
      </w:r>
    </w:p>
    <w:p w14:paraId="02C8A33C"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lastRenderedPageBreak/>
        <w:t>A closely related but distinct mechanism is altered steroid metabolism and clearance, which can change “effective exposure” to endogenous hormones without necessarily changing their production rate. This route is especially relevant for feeds containing soybean-derived isoflavones or concentrated phytoestrogen fractions. In salmonid fish, genistein and related isoflavones have been shown to inhibit estrogen metabolism in hepatic and renal tissues, suggesting that dietary phytoestrogens can prolong or intensify estrogen signaling by slowing steroid clearance (Ng et al., 2006). Mechanistically, such inhibition can shift the temporal profile of endocrine signals that regulate reproduction, potentially changing the onset and duration of vitellogenesis, altering the timing of final maturation, or modifying the balance between estrogen- and androgen-mediated processes.</w:t>
      </w:r>
    </w:p>
    <w:p w14:paraId="662AF562"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In broodstock settings, the practical implication is that botanicals may create endocrine effects that are not apparent from gonadal steroidogenesis markers alone, because circulating hormone concentrations and tissue responses may reflect altered metabolic turnover. This reinforces the importance of integrated monitoring—combining reproductive performance endpoints with endocrine biomarkers—when implementing nutraceutical strategies in hatchery programs (Chakraborty &amp; Mallick, 2025; Ng et al., 2006).</w:t>
      </w:r>
    </w:p>
    <w:p w14:paraId="1914A079" w14:textId="77777777" w:rsidR="0077761A" w:rsidRPr="0077761A" w:rsidRDefault="0077761A" w:rsidP="0077761A">
      <w:pPr>
        <w:spacing w:before="100" w:beforeAutospacing="1" w:after="100" w:afterAutospacing="1" w:line="240" w:lineRule="auto"/>
        <w:ind w:left="0" w:right="0" w:firstLine="0"/>
        <w:jc w:val="left"/>
        <w:outlineLvl w:val="2"/>
        <w:rPr>
          <w:b/>
          <w:bCs/>
          <w:color w:val="auto"/>
          <w:kern w:val="0"/>
          <w:sz w:val="27"/>
          <w:szCs w:val="27"/>
          <w:lang w:val="en-US" w:eastAsia="en-US"/>
        </w:rPr>
      </w:pPr>
      <w:r w:rsidRPr="0077761A">
        <w:rPr>
          <w:b/>
          <w:bCs/>
          <w:color w:val="auto"/>
          <w:kern w:val="0"/>
          <w:sz w:val="27"/>
          <w:szCs w:val="27"/>
          <w:lang w:val="en-US" w:eastAsia="en-US"/>
        </w:rPr>
        <w:t>4.3 Oxidative stress and redox signaling: gonadal protection and gamete integrity</w:t>
      </w:r>
    </w:p>
    <w:p w14:paraId="475D13B4"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Oxidative balance is a central determinant of gamete competence. Oocytes and spermatozoa are particularly vulnerable to lipid peroxidation and oxidative DNA damage due to their membrane composition and limited repair capacity during key reproductive windows. Many plant-derived nutraceuticals act as antioxidants or redox modulators, thereby protecting gonadal tissue, stabilizing mitochondrial function, and preserving membrane integrity required for fertilization and embryogenesis. While oxidative stress is often framed as purely damaging, redox signaling also participates in normal cellular communication; thus, nutraceuticals that dampen excessive oxidative load without suppressing physiological signaling may offer the greatest reproductive benefit.</w:t>
      </w:r>
    </w:p>
    <w:p w14:paraId="58C9C0BF"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 xml:space="preserve">This mechanism becomes especially prominent under aquaculture stressors—salinity shifts, handling, crowding, and variable water quality—that elevate stress hormones and oxidative load. In Florida red tilapia cultured in saltwater conditions, long-term dietary supplementation with </w:t>
      </w:r>
      <w:r w:rsidRPr="0077761A">
        <w:rPr>
          <w:i/>
          <w:iCs/>
          <w:color w:val="auto"/>
          <w:kern w:val="0"/>
          <w:lang w:val="en-US" w:eastAsia="en-US"/>
        </w:rPr>
        <w:t>Moringa oleifera</w:t>
      </w:r>
      <w:r w:rsidRPr="0077761A">
        <w:rPr>
          <w:color w:val="auto"/>
          <w:kern w:val="0"/>
          <w:lang w:val="en-US" w:eastAsia="en-US"/>
        </w:rPr>
        <w:t xml:space="preserve"> leaf extract improved maturation and reproduction alongside broader performance and immune outcomes, which is consistent with a protective model where antioxidant and </w:t>
      </w:r>
      <w:proofErr w:type="spellStart"/>
      <w:r w:rsidRPr="0077761A">
        <w:rPr>
          <w:color w:val="auto"/>
          <w:kern w:val="0"/>
          <w:lang w:val="en-US" w:eastAsia="en-US"/>
        </w:rPr>
        <w:t>immunophysiological</w:t>
      </w:r>
      <w:proofErr w:type="spellEnd"/>
      <w:r w:rsidRPr="0077761A">
        <w:rPr>
          <w:color w:val="auto"/>
          <w:kern w:val="0"/>
          <w:lang w:val="en-US" w:eastAsia="en-US"/>
        </w:rPr>
        <w:t xml:space="preserve"> stabilization supports reproductive processes under stress (Sallam et al., 2025). Although such studies typically report integrated endpoints rather than isolating one biochemical pathway, the convergence of improved systemic condition and reproductive performance supports redox protection as a plausible mediator.</w:t>
      </w:r>
    </w:p>
    <w:p w14:paraId="4EF44FDA" w14:textId="77777777" w:rsidR="0077761A" w:rsidRPr="0077761A" w:rsidRDefault="0077761A" w:rsidP="0077761A">
      <w:pPr>
        <w:spacing w:before="100" w:beforeAutospacing="1" w:after="100" w:afterAutospacing="1" w:line="240" w:lineRule="auto"/>
        <w:ind w:left="0" w:right="0" w:firstLine="0"/>
        <w:jc w:val="left"/>
        <w:outlineLvl w:val="2"/>
        <w:rPr>
          <w:b/>
          <w:bCs/>
          <w:color w:val="auto"/>
          <w:kern w:val="0"/>
          <w:sz w:val="27"/>
          <w:szCs w:val="27"/>
          <w:lang w:val="en-US" w:eastAsia="en-US"/>
        </w:rPr>
      </w:pPr>
      <w:r w:rsidRPr="0077761A">
        <w:rPr>
          <w:b/>
          <w:bCs/>
          <w:color w:val="auto"/>
          <w:kern w:val="0"/>
          <w:sz w:val="27"/>
          <w:szCs w:val="27"/>
          <w:lang w:val="en-US" w:eastAsia="en-US"/>
        </w:rPr>
        <w:t>4.4 Metabolic allocation and nutrient provisioning: supporting steroidogenic substrates and egg quality</w:t>
      </w:r>
    </w:p>
    <w:p w14:paraId="0DA850B0"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 xml:space="preserve">Reproduction requires coordinated allocation of energy, lipids, and micronutrients. Steroidogenesis depends on cholesterol and metabolic energy, while egg quality depends on yolk provisioning, membrane lipid composition, and antioxidant reserves deposited into oocytes. Plant-derived nutraceuticals can influence reproduction indirectly by improving </w:t>
      </w:r>
      <w:r w:rsidRPr="0077761A">
        <w:rPr>
          <w:color w:val="auto"/>
          <w:kern w:val="0"/>
          <w:lang w:val="en-US" w:eastAsia="en-US"/>
        </w:rPr>
        <w:lastRenderedPageBreak/>
        <w:t>nutrient assimilation and metabolic stability, which may shift energy partitioning toward gonadal development and improve egg biochemical composition. Complex botanical matrices—rather than single purified compounds—may be particularly effective here because they provide multiple supportive components (pigments, vitamins, functional lipids, and antioxidants) in a form that resembles natural trophic inputs.</w:t>
      </w:r>
    </w:p>
    <w:p w14:paraId="0D2C3866"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 xml:space="preserve">Microalgae illustrate this “matrix” mechanism. In Nile tilapia broodstock, dietary inclusion of the diatom </w:t>
      </w:r>
      <w:r w:rsidRPr="0077761A">
        <w:rPr>
          <w:i/>
          <w:iCs/>
          <w:color w:val="auto"/>
          <w:kern w:val="0"/>
          <w:lang w:val="en-US" w:eastAsia="en-US"/>
        </w:rPr>
        <w:t xml:space="preserve">Cyclotella </w:t>
      </w:r>
      <w:proofErr w:type="spellStart"/>
      <w:r w:rsidRPr="0077761A">
        <w:rPr>
          <w:i/>
          <w:iCs/>
          <w:color w:val="auto"/>
          <w:kern w:val="0"/>
          <w:lang w:val="en-US" w:eastAsia="en-US"/>
        </w:rPr>
        <w:t>menegheniana</w:t>
      </w:r>
      <w:proofErr w:type="spellEnd"/>
      <w:r w:rsidRPr="0077761A">
        <w:rPr>
          <w:color w:val="auto"/>
          <w:kern w:val="0"/>
          <w:lang w:val="en-US" w:eastAsia="en-US"/>
        </w:rPr>
        <w:t xml:space="preserve"> improved reproductive performance and egg quality, suggesting benefits consistent with enhanced micronutrient/pigment provisioning and improved oxidative stability of reproductive tissues and developing oocytes (Abdel-Moez et al., 2024</w:t>
      </w:r>
      <w:r w:rsidR="00705A87">
        <w:rPr>
          <w:color w:val="auto"/>
          <w:kern w:val="0"/>
          <w:lang w:val="en-US" w:eastAsia="en-US"/>
        </w:rPr>
        <w:t xml:space="preserve">; </w:t>
      </w:r>
      <w:r w:rsidR="00705A87" w:rsidRPr="00705A87">
        <w:rPr>
          <w:color w:val="auto"/>
          <w:kern w:val="0"/>
          <w:lang w:val="en-US" w:eastAsia="en-US"/>
        </w:rPr>
        <w:t>Moezzi et al., 2025</w:t>
      </w:r>
      <w:r w:rsidRPr="0077761A">
        <w:rPr>
          <w:color w:val="auto"/>
          <w:kern w:val="0"/>
          <w:lang w:val="en-US" w:eastAsia="en-US"/>
        </w:rPr>
        <w:t>). Mechanistically, such matrices may support both the structural requirements of egg membranes and the biochemical defenses needed to protect embryos against oxidative stress during early development.</w:t>
      </w:r>
    </w:p>
    <w:p w14:paraId="747C46F7" w14:textId="77777777" w:rsidR="0077761A" w:rsidRPr="0077761A" w:rsidRDefault="0077761A" w:rsidP="0077761A">
      <w:pPr>
        <w:spacing w:before="100" w:beforeAutospacing="1" w:after="100" w:afterAutospacing="1" w:line="240" w:lineRule="auto"/>
        <w:ind w:left="0" w:right="0" w:firstLine="0"/>
        <w:jc w:val="left"/>
        <w:outlineLvl w:val="2"/>
        <w:rPr>
          <w:b/>
          <w:bCs/>
          <w:color w:val="auto"/>
          <w:kern w:val="0"/>
          <w:sz w:val="27"/>
          <w:szCs w:val="27"/>
          <w:lang w:val="en-US" w:eastAsia="en-US"/>
        </w:rPr>
      </w:pPr>
      <w:r w:rsidRPr="0077761A">
        <w:rPr>
          <w:b/>
          <w:bCs/>
          <w:color w:val="auto"/>
          <w:kern w:val="0"/>
          <w:sz w:val="27"/>
          <w:szCs w:val="27"/>
          <w:lang w:val="en-US" w:eastAsia="en-US"/>
        </w:rPr>
        <w:t>4.5 Immunity–inflammation–reproduction coupling: reducing hidden reproductive suppression</w:t>
      </w:r>
    </w:p>
    <w:p w14:paraId="5EBB6E7C"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 xml:space="preserve">Reproductive output is often suppressed by chronic inflammation and immune activation, which divert energy and signaling resources away from gonadal maturation. Many botanical nutraceuticals exert immunomodulatory effects that may indirectly support reproduction by reducing inflammatory burden and improving resilience to subclinical disease pressure in broodstock populations. This coupling is operationally important in aquaculture, where broodstock may be maintained over multiple spawning cycles and exposed to recurring stressors. The observed improvement in maturation and reproduction in saltwater-cultured tilapia receiving </w:t>
      </w:r>
      <w:r w:rsidRPr="0077761A">
        <w:rPr>
          <w:i/>
          <w:iCs/>
          <w:color w:val="auto"/>
          <w:kern w:val="0"/>
          <w:lang w:val="en-US" w:eastAsia="en-US"/>
        </w:rPr>
        <w:t>Moringa oleifera</w:t>
      </w:r>
      <w:r w:rsidRPr="0077761A">
        <w:rPr>
          <w:color w:val="auto"/>
          <w:kern w:val="0"/>
          <w:lang w:val="en-US" w:eastAsia="en-US"/>
        </w:rPr>
        <w:t xml:space="preserve"> leaf extract is compatible with this integrated mechanism, where immune stabilization and stress buffering contribute to reproductive reliability (Sallam et al., 2025). The broader literature also cautions that botanicals with endocrine activity may complicate this benefit–risk profile, reinforcing the need for careful ingredient selection and dose management (Chakraborty &amp; Mallick, 2025).</w:t>
      </w:r>
    </w:p>
    <w:p w14:paraId="578A7585" w14:textId="77777777" w:rsidR="0077761A" w:rsidRPr="0077761A" w:rsidRDefault="0077761A" w:rsidP="0077761A">
      <w:pPr>
        <w:spacing w:before="100" w:beforeAutospacing="1" w:after="100" w:afterAutospacing="1" w:line="240" w:lineRule="auto"/>
        <w:ind w:left="0" w:right="0" w:firstLine="0"/>
        <w:jc w:val="left"/>
        <w:outlineLvl w:val="2"/>
        <w:rPr>
          <w:b/>
          <w:bCs/>
          <w:color w:val="auto"/>
          <w:kern w:val="0"/>
          <w:sz w:val="27"/>
          <w:szCs w:val="27"/>
          <w:lang w:val="en-US" w:eastAsia="en-US"/>
        </w:rPr>
      </w:pPr>
      <w:r w:rsidRPr="0077761A">
        <w:rPr>
          <w:b/>
          <w:bCs/>
          <w:color w:val="auto"/>
          <w:kern w:val="0"/>
          <w:sz w:val="27"/>
          <w:szCs w:val="27"/>
          <w:lang w:val="en-US" w:eastAsia="en-US"/>
        </w:rPr>
        <w:t>4.6 Microbiome-mediated transformations and context dependence of botanical effects</w:t>
      </w:r>
    </w:p>
    <w:p w14:paraId="75CB4D6C"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A final mechanistic layer involves gastrointestinal processing and microbiome-mediated transformation of phytochemicals into metabolites with altered potency and target specificity. Isoflavone glycosides, for example, can be converted into aglycones with different biological activity, potentially changing endocrine impact. While this section emphasizes conceptual mechanisms rather than detailed microbiome datasets, the key implication is that nutraceutical outcomes can vary with background diet composition and gut microbial ecology, which influence bioavailability and systemic exposure. This variability helps explain why botanical interventions may not replicate uniformly across farms, species, or production systems. When combined with evidence that phytoestrogens can influence endocrine pathways and steroid metabolism (Ng et al., 2006; Sassi-Messai et al., 2009), microbiome-dependent biotransformation becomes a plausible contributor to observed context dependence and underscores the importance of standardized formulations and consistent feeding protocols (Chakraborty &amp; Mallick, 2025).</w:t>
      </w:r>
    </w:p>
    <w:p w14:paraId="13662DD6" w14:textId="77777777" w:rsidR="0077761A" w:rsidRPr="0077761A" w:rsidRDefault="0077761A" w:rsidP="0077761A">
      <w:pPr>
        <w:spacing w:before="100" w:beforeAutospacing="1" w:after="100" w:afterAutospacing="1" w:line="240" w:lineRule="auto"/>
        <w:ind w:left="0" w:right="0" w:firstLine="0"/>
        <w:jc w:val="left"/>
        <w:outlineLvl w:val="1"/>
        <w:rPr>
          <w:b/>
          <w:bCs/>
          <w:color w:val="auto"/>
          <w:kern w:val="0"/>
          <w:sz w:val="36"/>
          <w:szCs w:val="36"/>
          <w:lang w:val="en-US" w:eastAsia="en-US"/>
        </w:rPr>
      </w:pPr>
      <w:r w:rsidRPr="0077761A">
        <w:rPr>
          <w:b/>
          <w:bCs/>
          <w:color w:val="auto"/>
          <w:kern w:val="0"/>
          <w:sz w:val="36"/>
          <w:szCs w:val="36"/>
          <w:lang w:val="en-US" w:eastAsia="en-US"/>
        </w:rPr>
        <w:lastRenderedPageBreak/>
        <w:t>5</w:t>
      </w:r>
      <w:commentRangeStart w:id="9"/>
      <w:r w:rsidRPr="0077761A">
        <w:rPr>
          <w:b/>
          <w:bCs/>
          <w:color w:val="auto"/>
          <w:kern w:val="0"/>
          <w:sz w:val="36"/>
          <w:szCs w:val="36"/>
          <w:lang w:val="en-US" w:eastAsia="en-US"/>
        </w:rPr>
        <w:t>. Evidence by nutraceutical class, ingredient source, and reproductive outcome</w:t>
      </w:r>
      <w:commentRangeEnd w:id="9"/>
      <w:r w:rsidR="00A0012E">
        <w:rPr>
          <w:rStyle w:val="CommentReference"/>
        </w:rPr>
        <w:commentReference w:id="9"/>
      </w:r>
    </w:p>
    <w:p w14:paraId="51F9191F"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The evidence base linking plant-derived nutraceuticals to fish reproduction is diverse in both study design and biological endpoints, ranging from controlled laboratory exposures that establish endocrine plausibility to broodstock feeding trials that report hatchery-relevant outcomes such as spawning frequency, egg biochemical quality, fertilization success, and larval robustness. Interpreting this literature requires attention to three consistent sources of variation. First, nutraceuticals differ in biological “mode of entry” into reproduction: some act directly on endocrine signaling (notably phytoestrogens), whereas others act indirectly by improving oxidative balance, immune stability, and metabolic allocation to gonadal tissues. Second, the same ingredient can yield different outcomes depending on species, sex, developmental stage, and reproductive phase, because endocrine setpoints, steroid metabolism, and gametogenic schedules differ across taxa. Third, formulation and standardization strongly govern bioavailability and effective dose at target tissues, so outcomes are often more predictable when compounds are chemically characterized and delivered in formats designed to enhance absorption. These interpretive principles are especially emphasized in discussions of phytoestrogens in aquaculture, where botanical compounds may function as supportive modulators at appropriate exposure but can become disruptive when dosing, timing, or cumulative dietary estrogenic burden is uncontrolled (Chakraborty &amp; Mallick, 2025).</w:t>
      </w:r>
    </w:p>
    <w:p w14:paraId="5C45A4CF" w14:textId="77777777" w:rsidR="0077761A" w:rsidRPr="0077761A" w:rsidRDefault="0077761A" w:rsidP="0077761A">
      <w:pPr>
        <w:spacing w:before="100" w:beforeAutospacing="1" w:after="100" w:afterAutospacing="1" w:line="240" w:lineRule="auto"/>
        <w:ind w:left="0" w:right="0" w:firstLine="0"/>
        <w:jc w:val="left"/>
        <w:outlineLvl w:val="2"/>
        <w:rPr>
          <w:b/>
          <w:bCs/>
          <w:color w:val="auto"/>
          <w:kern w:val="0"/>
          <w:sz w:val="27"/>
          <w:szCs w:val="27"/>
          <w:lang w:val="en-US" w:eastAsia="en-US"/>
        </w:rPr>
      </w:pPr>
      <w:r w:rsidRPr="0077761A">
        <w:rPr>
          <w:b/>
          <w:bCs/>
          <w:color w:val="auto"/>
          <w:kern w:val="0"/>
          <w:sz w:val="27"/>
          <w:szCs w:val="27"/>
          <w:lang w:val="en-US" w:eastAsia="en-US"/>
        </w:rPr>
        <w:t>5.1 Phytoestrogens and endocrine-active botanicals: strong mechanistic plausibility, variable phenotypes</w:t>
      </w:r>
    </w:p>
    <w:p w14:paraId="76D07E46"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Among plant-derived classes, phytoestrogens provide the clearest mechanistic bridge to reproduction because they can engage estrogen-responsive signaling, which is central to vitellogenesis, ovarian maturation, and broader reproductive coordination. Laboratory model evidence illustrates how even a single phytoestrogen can generate multi-pathway effects that complicate linear predictions. In zebrafish, genistein was shown to affect development through two different pathways, underscoring that endocrine-active phytochemicals may alter reproductive biology not only through classical estrogen receptor-mediated signaling but also via additional regulatory routes that change developmental programming and steroid-related gene expression patterns (Sassi-Messai et al., 2009). This matters for aquaculture translation because it implies that reproductive outcomes may not scale simply with dietary inclusion rate; instead, thresholds, life-stage sensitivity, and the interaction of pathways can produce non-monotonic or context-specific responses.</w:t>
      </w:r>
    </w:p>
    <w:p w14:paraId="378944E8"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 xml:space="preserve">Aquaculture-relevant evidence further indicates that endocrine-active botanicals can influence reproduction by altering steroid dynamics without necessarily changing steroid synthesis rates. In salmonid fish, genistein and other isoflavones found in soybeans inhibited estrogen metabolism in hepatic and renal tissues (Ng et al., 2006). From a reproductive-outcome perspective, inhibition of estrogen metabolism can prolong or intensify endogenous estrogen signaling, effectively shifting the “duration” and “shape” of endocrine exposure that drives vitellogenesis and maturation. Such an effect is operationally important because two diets with similar proximate composition may differ substantially in endocrine impact if one contains higher isoflavone loads or more bioavailable isoflavone fractions. This mechanism also helps explain why broodstock performance sometimes changes in ways that appear disproportionate to macronutrient differences: altered steroid clearance can change </w:t>
      </w:r>
      <w:r w:rsidRPr="0077761A">
        <w:rPr>
          <w:color w:val="auto"/>
          <w:kern w:val="0"/>
          <w:lang w:val="en-US" w:eastAsia="en-US"/>
        </w:rPr>
        <w:lastRenderedPageBreak/>
        <w:t>reproductive timing and coordination, potentially affecting egg quality or spawning synchrony even when growth and general health look stable.</w:t>
      </w:r>
    </w:p>
    <w:p w14:paraId="28254D54"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 xml:space="preserve">Evidence from long-lived, late-maturing species strengthens the argument that chronic phytoestrogen exposure can create persistent reproductive signatures at the molecular level. In Russian sturgeon, dietary exposure to genistein, daidzein, and </w:t>
      </w:r>
      <w:proofErr w:type="spellStart"/>
      <w:r w:rsidRPr="0077761A">
        <w:rPr>
          <w:color w:val="auto"/>
          <w:kern w:val="0"/>
          <w:lang w:val="en-US" w:eastAsia="en-US"/>
        </w:rPr>
        <w:t>coumestrol</w:t>
      </w:r>
      <w:proofErr w:type="spellEnd"/>
      <w:r w:rsidRPr="0077761A">
        <w:rPr>
          <w:color w:val="auto"/>
          <w:kern w:val="0"/>
          <w:lang w:val="en-US" w:eastAsia="en-US"/>
        </w:rPr>
        <w:t xml:space="preserve"> altered sex-related gene expression across gonads, brain, and liver (</w:t>
      </w:r>
      <w:proofErr w:type="spellStart"/>
      <w:r w:rsidRPr="0077761A">
        <w:rPr>
          <w:color w:val="auto"/>
          <w:kern w:val="0"/>
          <w:lang w:val="en-US" w:eastAsia="en-US"/>
        </w:rPr>
        <w:t>Fajkowska</w:t>
      </w:r>
      <w:proofErr w:type="spellEnd"/>
      <w:r w:rsidRPr="0077761A">
        <w:rPr>
          <w:color w:val="auto"/>
          <w:kern w:val="0"/>
          <w:lang w:val="en-US" w:eastAsia="en-US"/>
        </w:rPr>
        <w:t xml:space="preserve"> et al., 2021). This multi-tissue response highlights two points of practical relevance. First, endocrine-active botanicals may influence central neuroendocrine regulation (brain), gonadal differentiation or function (gonads), and vitellogenin-related or steroid-metabolic processes (liver) simultaneously, increasing both the reach and the complexity of effects. Second, gene-expression shifts may occur before, or even without, obvious phenotypic outcomes in the short term, implying that reliance on production endpoints alone can miss early warning signals of reproductive perturbation. Taken together with mechanistic and conceptual discussions of phytoestrogens in aquaculture, these findings support a cautious but not dismissive stance: endocrine-active botanicals can be powerful levers, but they demand dose–timing discipline, awareness of species sensitivity, and monitoring strategies that can distinguish beneficial modulation from disruptive endocrine drift (Chakraborty &amp; Mallick, 2025).</w:t>
      </w:r>
    </w:p>
    <w:p w14:paraId="3A144936" w14:textId="77777777" w:rsidR="0077761A" w:rsidRPr="0077761A" w:rsidRDefault="0077761A" w:rsidP="0077761A">
      <w:pPr>
        <w:spacing w:before="100" w:beforeAutospacing="1" w:after="100" w:afterAutospacing="1" w:line="240" w:lineRule="auto"/>
        <w:ind w:left="0" w:right="0" w:firstLine="0"/>
        <w:jc w:val="left"/>
        <w:outlineLvl w:val="2"/>
        <w:rPr>
          <w:b/>
          <w:bCs/>
          <w:color w:val="auto"/>
          <w:kern w:val="0"/>
          <w:sz w:val="27"/>
          <w:szCs w:val="27"/>
          <w:lang w:val="en-US" w:eastAsia="en-US"/>
        </w:rPr>
      </w:pPr>
      <w:r w:rsidRPr="0077761A">
        <w:rPr>
          <w:b/>
          <w:bCs/>
          <w:color w:val="auto"/>
          <w:kern w:val="0"/>
          <w:sz w:val="27"/>
          <w:szCs w:val="27"/>
          <w:lang w:val="en-US" w:eastAsia="en-US"/>
        </w:rPr>
        <w:t>5.2 Polyphenol antioxidants and formulation-dependent efficacy: curcumin as an applied example</w:t>
      </w:r>
    </w:p>
    <w:p w14:paraId="37497136"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In contrast to phytoestrogens, many polyphenol nutraceuticals are pursued primarily for antioxidant and anti-inflammatory actions. Their reproductive effects are often interpreted as indirect: by reducing oxidative damage to gonadal tissues and gametes, stabilizing mitochondrial function in sperm, and supporting a physiological state conducive to normal endocrine coordination. However, the applied evidence increasingly shows that “formulation” can be as important as “compound identity,” because bioavailability constraints can otherwise prevent effective tissue exposure.</w:t>
      </w:r>
    </w:p>
    <w:p w14:paraId="1789013B"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A clear applied example is the comparative evaluation of curcumin, nano-curcumin, and their combination in red tilapia, where differences were observed in reproductive traits and spawning performance (Eissa et al., 2024). This study supports a broader inference relevant to aquaculture deployment: reproductive outcomes may hinge on whether a compound reaches target tissues at biologically meaningful concentrations and during the appropriate reproductive window. Nano-formulation can plausibly increase absorption and stability, thereby amplifying physiological effects at lower inclusion rates and potentially widening the safety margin. Importantly, the combination approach evaluated by Eissa et al. (2024) also illustrates that nutraceutical mixtures do not necessarily behave as simple sums of their components; interactions can alter net effect size or shift which endpoints respond. For hatchery practice, this strengthens the rationale for evaluating nutraceuticals using both reproductive performance metrics (spawning success, egg output) and mechanistic proxies (oxidative stress indicators, endocrine biomarkers) where feasible, rather than assuming that an antioxidant label guarantees reproductive benefit.</w:t>
      </w:r>
    </w:p>
    <w:p w14:paraId="7E00FB63" w14:textId="77777777" w:rsidR="0077761A" w:rsidRPr="0077761A" w:rsidRDefault="0077761A" w:rsidP="0077761A">
      <w:pPr>
        <w:spacing w:before="100" w:beforeAutospacing="1" w:after="100" w:afterAutospacing="1" w:line="240" w:lineRule="auto"/>
        <w:ind w:left="0" w:right="0" w:firstLine="0"/>
        <w:jc w:val="left"/>
        <w:outlineLvl w:val="2"/>
        <w:rPr>
          <w:b/>
          <w:bCs/>
          <w:color w:val="auto"/>
          <w:kern w:val="0"/>
          <w:sz w:val="27"/>
          <w:szCs w:val="27"/>
          <w:lang w:val="en-US" w:eastAsia="en-US"/>
        </w:rPr>
      </w:pPr>
      <w:r w:rsidRPr="0077761A">
        <w:rPr>
          <w:b/>
          <w:bCs/>
          <w:color w:val="auto"/>
          <w:kern w:val="0"/>
          <w:sz w:val="27"/>
          <w:szCs w:val="27"/>
          <w:lang w:val="en-US" w:eastAsia="en-US"/>
        </w:rPr>
        <w:t>5.3 Leaf-extract nutraceutical complexes: Moringa and the “reproductive resilience” pattern</w:t>
      </w:r>
    </w:p>
    <w:p w14:paraId="06B905B2"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lastRenderedPageBreak/>
        <w:t xml:space="preserve">Leaf-extract nutraceuticals often contain complex mixtures of phenolics, flavonoids, vitamins, minerals, and other metabolites, making them multifunctional interventions that can support reproduction through convergent pathways. The applied relevance of such complexes becomes particularly apparent under environmental stressors that commonly suppress reproduction in aquaculture systems. In Florida red tilapia cultured in saltwater conditions, long-term dietary supplementation with </w:t>
      </w:r>
      <w:r w:rsidRPr="0077761A">
        <w:rPr>
          <w:i/>
          <w:iCs/>
          <w:color w:val="auto"/>
          <w:kern w:val="0"/>
          <w:lang w:val="en-US" w:eastAsia="en-US"/>
        </w:rPr>
        <w:t>Moringa oleifera</w:t>
      </w:r>
      <w:r w:rsidRPr="0077761A">
        <w:rPr>
          <w:color w:val="auto"/>
          <w:kern w:val="0"/>
          <w:lang w:val="en-US" w:eastAsia="en-US"/>
        </w:rPr>
        <w:t xml:space="preserve"> leaf extract improved maturation and reproduction, alongside broader improvements in performance and immunity (Sallam et al., 2025). This pattern is best interpreted as “reproductive resilience”: rather than acting as a narrow endocrine stimulant, the nutraceutical appears to support systemic robustness—potentially through oxidative and immune stabilization—allowing reproductive processes to proceed more consistently under stress.</w:t>
      </w:r>
    </w:p>
    <w:p w14:paraId="031C338B"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 xml:space="preserve">Male reproductive outcomes provide complementary evidence for Moringa-based strategies. In male rainbow trout broodstock, dietary </w:t>
      </w:r>
      <w:r w:rsidRPr="0077761A">
        <w:rPr>
          <w:i/>
          <w:iCs/>
          <w:color w:val="auto"/>
          <w:kern w:val="0"/>
          <w:lang w:val="en-US" w:eastAsia="en-US"/>
        </w:rPr>
        <w:t>Moringa oleifera</w:t>
      </w:r>
      <w:r w:rsidRPr="0077761A">
        <w:rPr>
          <w:color w:val="auto"/>
          <w:kern w:val="0"/>
          <w:lang w:val="en-US" w:eastAsia="en-US"/>
        </w:rPr>
        <w:t xml:space="preserve"> leaves influenced sperm quality and reproductive performance (Momin &amp; Memiş, 2023). The inclusion of male endpoints is important because hatchery limitations are frequently male-mediated (poor motility, reduced fertilization capacity) and because sperm are particularly vulnerable to oxidative damage. While species and system differences limit direct generalization between trout and tilapia, the shared direction of findings supports the plausibility that leaf-extract complexes can enhance reproductive endpoints across distinct physiological contexts, particularly when oxidative stress and immunological load are meaningful constraints. At the same time, because botanical complexes can vary greatly by preparation method and source, consistent outcomes likely depend on standardization and careful dose selection, consistent with broader cautions about nutraceutical variability and risk management in aquaculture (Chakraborty &amp; Mallick, 2025</w:t>
      </w:r>
      <w:r w:rsidR="00705A87">
        <w:rPr>
          <w:color w:val="auto"/>
          <w:kern w:val="0"/>
          <w:lang w:val="en-US" w:eastAsia="en-US"/>
        </w:rPr>
        <w:t xml:space="preserve">; </w:t>
      </w:r>
      <w:r w:rsidR="00705A87" w:rsidRPr="00705A87">
        <w:rPr>
          <w:color w:val="auto"/>
          <w:kern w:val="0"/>
          <w:lang w:val="en-US" w:eastAsia="en-US"/>
        </w:rPr>
        <w:t>Di Sotto et al., 2020</w:t>
      </w:r>
      <w:r w:rsidRPr="0077761A">
        <w:rPr>
          <w:color w:val="auto"/>
          <w:kern w:val="0"/>
          <w:lang w:val="en-US" w:eastAsia="en-US"/>
        </w:rPr>
        <w:t>).</w:t>
      </w:r>
    </w:p>
    <w:p w14:paraId="6BF1FF9C" w14:textId="77777777" w:rsidR="0077761A" w:rsidRPr="0077761A" w:rsidRDefault="0077761A" w:rsidP="0077761A">
      <w:pPr>
        <w:spacing w:before="100" w:beforeAutospacing="1" w:after="100" w:afterAutospacing="1" w:line="240" w:lineRule="auto"/>
        <w:ind w:left="0" w:right="0" w:firstLine="0"/>
        <w:jc w:val="left"/>
        <w:outlineLvl w:val="2"/>
        <w:rPr>
          <w:b/>
          <w:bCs/>
          <w:color w:val="auto"/>
          <w:kern w:val="0"/>
          <w:sz w:val="27"/>
          <w:szCs w:val="27"/>
          <w:lang w:val="en-US" w:eastAsia="en-US"/>
        </w:rPr>
      </w:pPr>
      <w:r w:rsidRPr="0077761A">
        <w:rPr>
          <w:b/>
          <w:bCs/>
          <w:color w:val="auto"/>
          <w:kern w:val="0"/>
          <w:sz w:val="27"/>
          <w:szCs w:val="27"/>
          <w:lang w:val="en-US" w:eastAsia="en-US"/>
        </w:rPr>
        <w:t xml:space="preserve">5.4 Algae and seaweed matrices: nutrient provisioning plus functional </w:t>
      </w:r>
      <w:proofErr w:type="spellStart"/>
      <w:r w:rsidRPr="0077761A">
        <w:rPr>
          <w:b/>
          <w:bCs/>
          <w:color w:val="auto"/>
          <w:kern w:val="0"/>
          <w:sz w:val="27"/>
          <w:szCs w:val="27"/>
          <w:lang w:val="en-US" w:eastAsia="en-US"/>
        </w:rPr>
        <w:t>bioactives</w:t>
      </w:r>
      <w:proofErr w:type="spellEnd"/>
    </w:p>
    <w:p w14:paraId="3DE7F2A5"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 xml:space="preserve">Algae-derived nutraceuticals occupy a distinctive niche because they are often delivered as matrices rich in pigments, vitamins, and other micronutrients that may directly influence egg composition and gamete membrane integrity, while also providing antioxidant capacity. Microalgae evidence in broodstock contexts shows that such matrices can translate into clear hatchery-relevant endpoints. In Nile tilapia broodstock, dietary inclusion of dried microalgae </w:t>
      </w:r>
      <w:r w:rsidRPr="0077761A">
        <w:rPr>
          <w:i/>
          <w:iCs/>
          <w:color w:val="auto"/>
          <w:kern w:val="0"/>
          <w:lang w:val="en-US" w:eastAsia="en-US"/>
        </w:rPr>
        <w:t xml:space="preserve">Cyclotella </w:t>
      </w:r>
      <w:proofErr w:type="spellStart"/>
      <w:r w:rsidRPr="0077761A">
        <w:rPr>
          <w:i/>
          <w:iCs/>
          <w:color w:val="auto"/>
          <w:kern w:val="0"/>
          <w:lang w:val="en-US" w:eastAsia="en-US"/>
        </w:rPr>
        <w:t>menegheniana</w:t>
      </w:r>
      <w:proofErr w:type="spellEnd"/>
      <w:r w:rsidRPr="0077761A">
        <w:rPr>
          <w:color w:val="auto"/>
          <w:kern w:val="0"/>
          <w:lang w:val="en-US" w:eastAsia="en-US"/>
        </w:rPr>
        <w:t xml:space="preserve"> improved reproductive performance and egg quality (Abdel-Moez et al., 2024). This outcome aligns with the idea that microalgal matrices can enhance oocyte provisioning and biochemical robustness, potentially by supporting antioxidant reserves and improving the quality of lipids and micronutrients deposited into eggs. From an operational viewpoint, egg quality is often a stronger predictor of larval survival than sheer egg number, so improvements in egg quality can be disproportionately valuable even when fecundity gains are modest.</w:t>
      </w:r>
    </w:p>
    <w:p w14:paraId="06546ECC"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 xml:space="preserve">Macroalgae evidence extends this logic, particularly for male reproductive endpoints in marine broodstock systems. Dietary supplementation with macroalgae has been associated with improved sperm quality and reproductive parameters in marine fish broodstock (Félix et al., 2024). Although the specific mechanisms can vary by macroalgal type and preparation, the evidence supports a general inference: seaweed-derived matrices may confer reproductive benefits through combined antioxidant and immunomodulatory actions and by supplying micronutrients that support gamete function. Importantly, algae-based interventions are often viewed as comparatively lower-risk than phytoestrogen-rich plant meals with strong </w:t>
      </w:r>
      <w:r w:rsidRPr="0077761A">
        <w:rPr>
          <w:color w:val="auto"/>
          <w:kern w:val="0"/>
          <w:lang w:val="en-US" w:eastAsia="en-US"/>
        </w:rPr>
        <w:lastRenderedPageBreak/>
        <w:t>endocrine activity, but they still require compositional profiling and quality control to ensure consistent bioactive delivery and to avoid batch-to-batch variability that undermines reproducibility.</w:t>
      </w:r>
    </w:p>
    <w:p w14:paraId="702B4D31" w14:textId="77777777" w:rsidR="0077761A" w:rsidRPr="0077761A" w:rsidRDefault="0077761A" w:rsidP="0077761A">
      <w:pPr>
        <w:spacing w:before="100" w:beforeAutospacing="1" w:after="100" w:afterAutospacing="1" w:line="240" w:lineRule="auto"/>
        <w:ind w:left="0" w:right="0" w:firstLine="0"/>
        <w:jc w:val="left"/>
        <w:outlineLvl w:val="2"/>
        <w:rPr>
          <w:b/>
          <w:bCs/>
          <w:color w:val="auto"/>
          <w:kern w:val="0"/>
          <w:sz w:val="27"/>
          <w:szCs w:val="27"/>
          <w:lang w:val="en-US" w:eastAsia="en-US"/>
        </w:rPr>
      </w:pPr>
      <w:r w:rsidRPr="0077761A">
        <w:rPr>
          <w:b/>
          <w:bCs/>
          <w:color w:val="auto"/>
          <w:kern w:val="0"/>
          <w:sz w:val="27"/>
          <w:szCs w:val="27"/>
          <w:lang w:val="en-US" w:eastAsia="en-US"/>
        </w:rPr>
        <w:t>5.5 Integrating across classes: when benefits are most reproducible and when risks dominate</w:t>
      </w:r>
    </w:p>
    <w:p w14:paraId="483D3CC6"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 xml:space="preserve">Across nutraceutical classes, two broad evidence patterns emerge. The first is that interventions improving systemic condition—oxidative balance, immune stability, and nutrient provisioning—tend to yield more reproducible improvements in reproductive performance and gamete/egg quality in aquaculture trials, as suggested by outcomes observed with </w:t>
      </w:r>
      <w:r w:rsidRPr="0077761A">
        <w:rPr>
          <w:i/>
          <w:iCs/>
          <w:color w:val="auto"/>
          <w:kern w:val="0"/>
          <w:lang w:val="en-US" w:eastAsia="en-US"/>
        </w:rPr>
        <w:t>Moringa oleifera</w:t>
      </w:r>
      <w:r w:rsidRPr="0077761A">
        <w:rPr>
          <w:color w:val="auto"/>
          <w:kern w:val="0"/>
          <w:lang w:val="en-US" w:eastAsia="en-US"/>
        </w:rPr>
        <w:t xml:space="preserve"> extract under saltwater stress (Sallam et al., 2025), Moringa leaves in male trout broodstock (Momin &amp; Memiş, 2023), microalgae inclusion improving egg quality (Abdel-Moez et al., 2024), macroalgae supporting sperm quality (Félix et al., 2024), and formulation-optimized polyphenols affecting spawning performance (Eissa et al., 2024). The second pattern is that endocrine-active botanicals (phytoestrogens) show the strongest mechanistic plausibility but the widest outcome variance, with clear potential for beneficial modulation in some contexts and disruption in others. This variance is supported by model and mechanistic evidence of multi-pathway developmental effects (Sassi-Messai et al., 2009), altered steroid metabolism and clearance (Ng et al., 2006), and multi-tissue changes in sex-related gene expression (</w:t>
      </w:r>
      <w:proofErr w:type="spellStart"/>
      <w:r w:rsidRPr="0077761A">
        <w:rPr>
          <w:color w:val="auto"/>
          <w:kern w:val="0"/>
          <w:lang w:val="en-US" w:eastAsia="en-US"/>
        </w:rPr>
        <w:t>Fajkowska</w:t>
      </w:r>
      <w:proofErr w:type="spellEnd"/>
      <w:r w:rsidRPr="0077761A">
        <w:rPr>
          <w:color w:val="auto"/>
          <w:kern w:val="0"/>
          <w:lang w:val="en-US" w:eastAsia="en-US"/>
        </w:rPr>
        <w:t xml:space="preserve"> et al., 2021), alongside broader synthesis emphasizing friend–foe duality in aquaculture applications (Chakraborty &amp; Mallick, 2025).</w:t>
      </w:r>
    </w:p>
    <w:p w14:paraId="70514807" w14:textId="77777777" w:rsidR="0077761A" w:rsidRPr="0077761A" w:rsidRDefault="0077761A" w:rsidP="0077761A">
      <w:pPr>
        <w:spacing w:before="100" w:beforeAutospacing="1" w:after="100" w:afterAutospacing="1" w:line="240" w:lineRule="auto"/>
        <w:ind w:left="0" w:right="0" w:firstLine="0"/>
        <w:jc w:val="left"/>
        <w:rPr>
          <w:color w:val="auto"/>
          <w:kern w:val="0"/>
          <w:lang w:val="en-US" w:eastAsia="en-US"/>
        </w:rPr>
      </w:pPr>
      <w:r w:rsidRPr="0077761A">
        <w:rPr>
          <w:color w:val="auto"/>
          <w:kern w:val="0"/>
          <w:lang w:val="en-US" w:eastAsia="en-US"/>
        </w:rPr>
        <w:t>A practical synthesis is therefore to treat nutraceutical selection as a match between “dominant bottleneck” and “dominant mechanism.” When hatchery outcomes are constrained by environmental stress, disease pressure, or oxidative instability, matrix-based and antioxidant-focused nutraceuticals may offer the most reliable gains. When interventions involve endocrine-active components, the evidence supports a stricter governance approach: conservative dosing, avoidance of sensitive developmental windows, and use of mechanistic biomarkers to detect unintended endocrine drift early, consistent with the risk-aware framing of phytoestrogens in aquaculture (Chakraborty &amp; Mallick, 2025). In this way, the evidence across classes becomes coherent: nutraceuticals can improve reproduction, but reproducibility depends on mechanism, formulation, and context, and the strongest endocrine levers are also the levers most likely to generate unintended consequences if unmanaged.</w:t>
      </w:r>
    </w:p>
    <w:p w14:paraId="7945150C" w14:textId="77777777" w:rsidR="00294D81" w:rsidRPr="00294D81" w:rsidRDefault="00294D81" w:rsidP="00294D81">
      <w:pPr>
        <w:spacing w:after="0" w:line="240" w:lineRule="auto"/>
        <w:ind w:left="0" w:right="0" w:firstLine="0"/>
        <w:jc w:val="left"/>
        <w:rPr>
          <w:color w:val="auto"/>
          <w:kern w:val="0"/>
          <w:lang w:val="en-GB" w:eastAsia="en-US"/>
        </w:rPr>
      </w:pPr>
    </w:p>
    <w:p w14:paraId="6A456BC3" w14:textId="77777777" w:rsidR="00926AE1" w:rsidRPr="00926AE1" w:rsidRDefault="00926AE1" w:rsidP="00926AE1">
      <w:pPr>
        <w:spacing w:before="100" w:beforeAutospacing="1" w:after="100" w:afterAutospacing="1" w:line="240" w:lineRule="auto"/>
        <w:ind w:left="0" w:right="0" w:firstLine="0"/>
        <w:jc w:val="left"/>
        <w:outlineLvl w:val="1"/>
        <w:rPr>
          <w:b/>
          <w:bCs/>
          <w:color w:val="auto"/>
          <w:kern w:val="0"/>
          <w:sz w:val="36"/>
          <w:szCs w:val="36"/>
          <w:lang w:val="en-US" w:eastAsia="en-US"/>
        </w:rPr>
      </w:pPr>
      <w:commentRangeStart w:id="10"/>
      <w:r w:rsidRPr="00926AE1">
        <w:rPr>
          <w:b/>
          <w:bCs/>
          <w:color w:val="auto"/>
          <w:kern w:val="0"/>
          <w:sz w:val="36"/>
          <w:szCs w:val="36"/>
          <w:lang w:val="en-US" w:eastAsia="en-US"/>
        </w:rPr>
        <w:t>6. Applications in aquaculture: design principles and operational use-cases</w:t>
      </w:r>
      <w:commentRangeEnd w:id="10"/>
      <w:r w:rsidR="00A0012E">
        <w:rPr>
          <w:rStyle w:val="CommentReference"/>
        </w:rPr>
        <w:commentReference w:id="10"/>
      </w:r>
    </w:p>
    <w:p w14:paraId="0444022B" w14:textId="77777777" w:rsidR="00926AE1" w:rsidRPr="00926AE1" w:rsidRDefault="00926AE1" w:rsidP="00926AE1">
      <w:pPr>
        <w:spacing w:before="100" w:beforeAutospacing="1" w:after="100" w:afterAutospacing="1" w:line="240" w:lineRule="auto"/>
        <w:ind w:left="0" w:right="0" w:firstLine="0"/>
        <w:jc w:val="left"/>
        <w:rPr>
          <w:color w:val="auto"/>
          <w:kern w:val="0"/>
          <w:lang w:val="en-US" w:eastAsia="en-US"/>
        </w:rPr>
      </w:pPr>
      <w:r w:rsidRPr="00926AE1">
        <w:rPr>
          <w:color w:val="auto"/>
          <w:kern w:val="0"/>
          <w:lang w:val="en-US" w:eastAsia="en-US"/>
        </w:rPr>
        <w:t xml:space="preserve">Plant-derived nutraceuticals are most useful in aquaculture when they are treated as precision tools within a broodstock and hatchery management system, rather than as generic “health boosters.” The practical aim is to improve the reliability of gamete output, fertilization and hatch success, and early larval robustness under real farming conditions where broodfish experience handling stress, environmental variability, and fluctuating feed ingredient composition. Broodstock nutrition studies have long established that pre-spawning dietary conditioning can shape reproductive performance and progeny quality, providing the conceptual foundation for adding functional ingredients with targeted physiological roles (Izquierdo et al., 2001). The design challenge in nutraceutical applications is to translate </w:t>
      </w:r>
      <w:r w:rsidRPr="00926AE1">
        <w:rPr>
          <w:color w:val="auto"/>
          <w:kern w:val="0"/>
          <w:lang w:val="en-US" w:eastAsia="en-US"/>
        </w:rPr>
        <w:lastRenderedPageBreak/>
        <w:t>mechanistic promise into reproducible outcomes while minimizing reproductive risk from endocrine-active phytochemicals that may be present in plant-rich diets (Chakraborty &amp; Mallick, 2025).</w:t>
      </w:r>
    </w:p>
    <w:p w14:paraId="4013D56E" w14:textId="77777777" w:rsidR="00926AE1" w:rsidRPr="00926AE1" w:rsidRDefault="00926AE1" w:rsidP="00926AE1">
      <w:pPr>
        <w:spacing w:before="100" w:beforeAutospacing="1" w:after="100" w:afterAutospacing="1" w:line="240" w:lineRule="auto"/>
        <w:ind w:left="0" w:right="0" w:firstLine="0"/>
        <w:jc w:val="left"/>
        <w:outlineLvl w:val="2"/>
        <w:rPr>
          <w:b/>
          <w:bCs/>
          <w:color w:val="auto"/>
          <w:kern w:val="0"/>
          <w:sz w:val="27"/>
          <w:szCs w:val="27"/>
          <w:lang w:val="en-US" w:eastAsia="en-US"/>
        </w:rPr>
      </w:pPr>
      <w:r w:rsidRPr="00926AE1">
        <w:rPr>
          <w:b/>
          <w:bCs/>
          <w:color w:val="auto"/>
          <w:kern w:val="0"/>
          <w:sz w:val="27"/>
          <w:szCs w:val="27"/>
          <w:lang w:val="en-US" w:eastAsia="en-US"/>
        </w:rPr>
        <w:t>6.1 Broodstock conditioning strategies aligned to bottlenecks in reproduction</w:t>
      </w:r>
    </w:p>
    <w:p w14:paraId="53EFC470" w14:textId="77777777" w:rsidR="00926AE1" w:rsidRPr="00926AE1" w:rsidRDefault="00926AE1" w:rsidP="00926AE1">
      <w:pPr>
        <w:spacing w:before="100" w:beforeAutospacing="1" w:after="100" w:afterAutospacing="1" w:line="240" w:lineRule="auto"/>
        <w:ind w:left="0" w:right="0" w:firstLine="0"/>
        <w:jc w:val="left"/>
        <w:rPr>
          <w:color w:val="auto"/>
          <w:kern w:val="0"/>
          <w:lang w:val="en-US" w:eastAsia="en-US"/>
        </w:rPr>
      </w:pPr>
      <w:r w:rsidRPr="00926AE1">
        <w:rPr>
          <w:color w:val="auto"/>
          <w:kern w:val="0"/>
          <w:lang w:val="en-US" w:eastAsia="en-US"/>
        </w:rPr>
        <w:t xml:space="preserve">Operational use begins with identifying the primary reproductive bottleneck in a given system: inconsistent maturation, poor egg quality, low fertilization, weak hatch performance, or reduced sperm function. Nutraceuticals that primarily support oxidative balance and nutrient provisioning are often most defensible as first-line interventions because they act through broad, resilience-oriented pathways. For example, microalgal matrices that improve egg quality in broodstock offer a practical route to enhance oocyte provisioning and embryo robustness without relying on deliberate endocrine manipulation. In Nile tilapia, inclusion of dried </w:t>
      </w:r>
      <w:r w:rsidRPr="00926AE1">
        <w:rPr>
          <w:i/>
          <w:iCs/>
          <w:color w:val="auto"/>
          <w:kern w:val="0"/>
          <w:lang w:val="en-US" w:eastAsia="en-US"/>
        </w:rPr>
        <w:t xml:space="preserve">Cyclotella </w:t>
      </w:r>
      <w:proofErr w:type="spellStart"/>
      <w:r w:rsidRPr="00926AE1">
        <w:rPr>
          <w:i/>
          <w:iCs/>
          <w:color w:val="auto"/>
          <w:kern w:val="0"/>
          <w:lang w:val="en-US" w:eastAsia="en-US"/>
        </w:rPr>
        <w:t>menegheniana</w:t>
      </w:r>
      <w:proofErr w:type="spellEnd"/>
      <w:r w:rsidRPr="00926AE1">
        <w:rPr>
          <w:color w:val="auto"/>
          <w:kern w:val="0"/>
          <w:lang w:val="en-US" w:eastAsia="en-US"/>
        </w:rPr>
        <w:t xml:space="preserve"> in broodstock diets improved reproductive performance and egg quality, illustrating a direct hatchery-relevant outcome consistent with improved biochemical support for oogenesis and embryogenesis (Abdel-Moez et al., 2024). Such results encourage a “quality-first” design logic: even when fecundity changes are modest, improvements in egg quality can yield disproportionate gains in larval viability and hatchery throughput.</w:t>
      </w:r>
    </w:p>
    <w:p w14:paraId="304FD09C" w14:textId="77777777" w:rsidR="00926AE1" w:rsidRPr="00926AE1" w:rsidRDefault="00926AE1" w:rsidP="00926AE1">
      <w:pPr>
        <w:spacing w:before="100" w:beforeAutospacing="1" w:after="100" w:afterAutospacing="1" w:line="240" w:lineRule="auto"/>
        <w:ind w:left="0" w:right="0" w:firstLine="0"/>
        <w:jc w:val="left"/>
        <w:rPr>
          <w:color w:val="auto"/>
          <w:kern w:val="0"/>
          <w:lang w:val="en-US" w:eastAsia="en-US"/>
        </w:rPr>
      </w:pPr>
      <w:r w:rsidRPr="00926AE1">
        <w:rPr>
          <w:color w:val="auto"/>
          <w:kern w:val="0"/>
          <w:lang w:val="en-US" w:eastAsia="en-US"/>
        </w:rPr>
        <w:t>For male-focused constraints, nutraceutical design should prioritize maintenance of sperm motility and integrity, which are sensitive to oxidative and metabolic disturbances. Formulation becomes central here because bioavailability can determine whether a compound affects reproductive tissues. Evidence that curcumin, nano-curcumin, and their combination can differentially influence spawning-related traits in tilapia underscores that delivery format is not a minor detail; it can be a deciding factor in efficacy and consistency in farm-like feeding regimes (Eissa et al., 2024). In practice, this means that “ingredient selection” should be paired with “formulation selection,” especially for polyphenol-type nutraceuticals where absorption can be limiting.</w:t>
      </w:r>
    </w:p>
    <w:p w14:paraId="0102B4F0" w14:textId="77777777" w:rsidR="00926AE1" w:rsidRPr="00926AE1" w:rsidRDefault="00926AE1" w:rsidP="00926AE1">
      <w:pPr>
        <w:spacing w:before="100" w:beforeAutospacing="1" w:after="100" w:afterAutospacing="1" w:line="240" w:lineRule="auto"/>
        <w:ind w:left="0" w:right="0" w:firstLine="0"/>
        <w:jc w:val="left"/>
        <w:outlineLvl w:val="2"/>
        <w:rPr>
          <w:b/>
          <w:bCs/>
          <w:color w:val="auto"/>
          <w:kern w:val="0"/>
          <w:sz w:val="27"/>
          <w:szCs w:val="27"/>
          <w:lang w:val="en-US" w:eastAsia="en-US"/>
        </w:rPr>
      </w:pPr>
      <w:r w:rsidRPr="00926AE1">
        <w:rPr>
          <w:b/>
          <w:bCs/>
          <w:color w:val="auto"/>
          <w:kern w:val="0"/>
          <w:sz w:val="27"/>
          <w:szCs w:val="27"/>
          <w:lang w:val="en-US" w:eastAsia="en-US"/>
        </w:rPr>
        <w:t>6.2 Reproductive resilience under environmental stress and intensification</w:t>
      </w:r>
    </w:p>
    <w:p w14:paraId="5FE3FA82" w14:textId="77777777" w:rsidR="00926AE1" w:rsidRPr="00926AE1" w:rsidRDefault="00926AE1" w:rsidP="00926AE1">
      <w:pPr>
        <w:spacing w:before="100" w:beforeAutospacing="1" w:after="100" w:afterAutospacing="1" w:line="240" w:lineRule="auto"/>
        <w:ind w:left="0" w:right="0" w:firstLine="0"/>
        <w:jc w:val="left"/>
        <w:rPr>
          <w:color w:val="auto"/>
          <w:kern w:val="0"/>
          <w:lang w:val="en-US" w:eastAsia="en-US"/>
        </w:rPr>
      </w:pPr>
      <w:r w:rsidRPr="00926AE1">
        <w:rPr>
          <w:color w:val="auto"/>
          <w:kern w:val="0"/>
          <w:lang w:val="en-US" w:eastAsia="en-US"/>
        </w:rPr>
        <w:t xml:space="preserve">A high-value operational use-case is buffering reproduction against stressors that commonly suppress the reproductive axis or damage gametes, such as salinity shifts, crowding, and frequent handling. In these settings, nutraceuticals may not primarily act by stimulating reproduction, but by stabilizing systemic physiology so that normal maturation and gamete development proceed reliably. A salient example is long-term dietary supplementation with </w:t>
      </w:r>
      <w:r w:rsidRPr="00926AE1">
        <w:rPr>
          <w:i/>
          <w:iCs/>
          <w:color w:val="auto"/>
          <w:kern w:val="0"/>
          <w:lang w:val="en-US" w:eastAsia="en-US"/>
        </w:rPr>
        <w:t>Moringa oleifera</w:t>
      </w:r>
      <w:r w:rsidRPr="00926AE1">
        <w:rPr>
          <w:color w:val="auto"/>
          <w:kern w:val="0"/>
          <w:lang w:val="en-US" w:eastAsia="en-US"/>
        </w:rPr>
        <w:t xml:space="preserve"> leaf extract in Florida red tilapia reared in saltwater, where improvements were reported in maturation and reproduction alongside broader performance and immune outcomes (Sallam et al., 2025). For aquaculture operations, this supports a practical principle: nutraceutical inclusion can be targeted to predictable “high-risk” periods (pre-spawning conditioning, environmental transitions, or high handling frequency) to reduce variability in reproductive outputs, rather than being used continuously without regard to reproductive stage.</w:t>
      </w:r>
    </w:p>
    <w:p w14:paraId="480E2438" w14:textId="77777777" w:rsidR="00926AE1" w:rsidRPr="00926AE1" w:rsidRDefault="00926AE1" w:rsidP="00926AE1">
      <w:pPr>
        <w:spacing w:before="100" w:beforeAutospacing="1" w:after="100" w:afterAutospacing="1" w:line="240" w:lineRule="auto"/>
        <w:ind w:left="0" w:right="0" w:firstLine="0"/>
        <w:jc w:val="left"/>
        <w:outlineLvl w:val="2"/>
        <w:rPr>
          <w:b/>
          <w:bCs/>
          <w:color w:val="auto"/>
          <w:kern w:val="0"/>
          <w:sz w:val="27"/>
          <w:szCs w:val="27"/>
          <w:lang w:val="en-US" w:eastAsia="en-US"/>
        </w:rPr>
      </w:pPr>
      <w:r w:rsidRPr="00926AE1">
        <w:rPr>
          <w:b/>
          <w:bCs/>
          <w:color w:val="auto"/>
          <w:kern w:val="0"/>
          <w:sz w:val="27"/>
          <w:szCs w:val="27"/>
          <w:lang w:val="en-US" w:eastAsia="en-US"/>
        </w:rPr>
        <w:t>6.3 Managing endocrine-active exposure in plant-forward feeds</w:t>
      </w:r>
    </w:p>
    <w:p w14:paraId="61905939" w14:textId="77777777" w:rsidR="00926AE1" w:rsidRPr="00926AE1" w:rsidRDefault="00926AE1" w:rsidP="00926AE1">
      <w:pPr>
        <w:spacing w:before="100" w:beforeAutospacing="1" w:after="100" w:afterAutospacing="1" w:line="240" w:lineRule="auto"/>
        <w:ind w:left="0" w:right="0" w:firstLine="0"/>
        <w:jc w:val="left"/>
        <w:rPr>
          <w:color w:val="auto"/>
          <w:kern w:val="0"/>
          <w:lang w:val="en-US" w:eastAsia="en-US"/>
        </w:rPr>
      </w:pPr>
      <w:r w:rsidRPr="00926AE1">
        <w:rPr>
          <w:color w:val="auto"/>
          <w:kern w:val="0"/>
          <w:lang w:val="en-US" w:eastAsia="en-US"/>
        </w:rPr>
        <w:t xml:space="preserve">As aquaculture shifts further toward plant-based ingredients, the reproductive consequences of dietary phytoestrogens become a management issue rather than a niche concern. The operational risk is not limited to overt feminization; subtler endocrine effects can shift </w:t>
      </w:r>
      <w:r w:rsidRPr="00926AE1">
        <w:rPr>
          <w:color w:val="auto"/>
          <w:kern w:val="0"/>
          <w:lang w:val="en-US" w:eastAsia="en-US"/>
        </w:rPr>
        <w:lastRenderedPageBreak/>
        <w:t>reproductive timing, disrupt steroid balance, and alter molecular programming relevant to sex and maturation. Mechanistically, soybean isoflavones such as genistein can inhibit estrogen metabolism in salmonid fish, implying that diets can modify effective estrogen exposure by slowing clearance rather than changing synthesis (Ng et al., 2006). This has direct operational implications for broodstock: even when total dietary protein and energy are appropriate, changes in ingredient sourcing or processing that increase isoflavone exposure may shift reproductive dynamics across a season.</w:t>
      </w:r>
    </w:p>
    <w:p w14:paraId="79BBDA96" w14:textId="77777777" w:rsidR="00926AE1" w:rsidRPr="00926AE1" w:rsidRDefault="00926AE1" w:rsidP="00926AE1">
      <w:pPr>
        <w:spacing w:before="100" w:beforeAutospacing="1" w:after="100" w:afterAutospacing="1" w:line="240" w:lineRule="auto"/>
        <w:ind w:left="0" w:right="0" w:firstLine="0"/>
        <w:jc w:val="left"/>
        <w:rPr>
          <w:color w:val="auto"/>
          <w:kern w:val="0"/>
          <w:lang w:val="en-US" w:eastAsia="en-US"/>
        </w:rPr>
      </w:pPr>
      <w:r w:rsidRPr="00926AE1">
        <w:rPr>
          <w:color w:val="auto"/>
          <w:kern w:val="0"/>
          <w:lang w:val="en-US" w:eastAsia="en-US"/>
        </w:rPr>
        <w:t>Moreover, evidence that phytoestrogen supplementation can alter sex-related gene expression across gonads, brain, and liver in Russian sturgeon indicates that endocrine-active components can imprint multi-tissue molecular changes that may not be immediately obvious from short-term performance metrics (</w:t>
      </w:r>
      <w:proofErr w:type="spellStart"/>
      <w:r w:rsidRPr="00926AE1">
        <w:rPr>
          <w:color w:val="auto"/>
          <w:kern w:val="0"/>
          <w:lang w:val="en-US" w:eastAsia="en-US"/>
        </w:rPr>
        <w:t>Fajkowska</w:t>
      </w:r>
      <w:proofErr w:type="spellEnd"/>
      <w:r w:rsidRPr="00926AE1">
        <w:rPr>
          <w:color w:val="auto"/>
          <w:kern w:val="0"/>
          <w:lang w:val="en-US" w:eastAsia="en-US"/>
        </w:rPr>
        <w:t xml:space="preserve"> et al., 2021). Developmental model evidence also highlights that endocrine-active compounds like genistein can affect biological pathways in more than one way, supporting a conservative approach during sensitive windows (Sassi-Messai et al., 2009). In operational terms, this favors a staged strategy: minimizing high-phytoestrogen exposure during early life stages and sex differentiation windows, and using any endocrine-active botanical interventions—if used at all—under controlled conditions with defined objectives and monitoring, consistent with the “friend or foe” framing in aquaculture discussions (Chakraborty &amp; Mallick, 2025).</w:t>
      </w:r>
    </w:p>
    <w:p w14:paraId="36BDA880" w14:textId="77777777" w:rsidR="00926AE1" w:rsidRPr="00926AE1" w:rsidRDefault="00926AE1" w:rsidP="00926AE1">
      <w:pPr>
        <w:spacing w:before="100" w:beforeAutospacing="1" w:after="100" w:afterAutospacing="1" w:line="240" w:lineRule="auto"/>
        <w:ind w:left="0" w:right="0" w:firstLine="0"/>
        <w:jc w:val="left"/>
        <w:outlineLvl w:val="2"/>
        <w:rPr>
          <w:b/>
          <w:bCs/>
          <w:color w:val="auto"/>
          <w:kern w:val="0"/>
          <w:sz w:val="27"/>
          <w:szCs w:val="27"/>
          <w:lang w:val="en-US" w:eastAsia="en-US"/>
        </w:rPr>
      </w:pPr>
      <w:r w:rsidRPr="00926AE1">
        <w:rPr>
          <w:b/>
          <w:bCs/>
          <w:color w:val="auto"/>
          <w:kern w:val="0"/>
          <w:sz w:val="27"/>
          <w:szCs w:val="27"/>
          <w:lang w:val="en-US" w:eastAsia="en-US"/>
        </w:rPr>
        <w:t>6.4 Implementation: quality control, monitoring, and decision rules for adoption</w:t>
      </w:r>
    </w:p>
    <w:p w14:paraId="24F601A8" w14:textId="77777777" w:rsidR="00926AE1" w:rsidRPr="00926AE1" w:rsidRDefault="00926AE1" w:rsidP="00926AE1">
      <w:pPr>
        <w:spacing w:before="100" w:beforeAutospacing="1" w:after="100" w:afterAutospacing="1" w:line="240" w:lineRule="auto"/>
        <w:ind w:left="0" w:right="0" w:firstLine="0"/>
        <w:jc w:val="left"/>
        <w:rPr>
          <w:color w:val="auto"/>
          <w:kern w:val="0"/>
          <w:lang w:val="en-US" w:eastAsia="en-US"/>
        </w:rPr>
      </w:pPr>
      <w:r w:rsidRPr="00926AE1">
        <w:rPr>
          <w:color w:val="auto"/>
          <w:kern w:val="0"/>
          <w:lang w:val="en-US" w:eastAsia="en-US"/>
        </w:rPr>
        <w:t>Even when a nutraceutical has supportive evidence, successful deployment depends on repeatability, which is frequently undermined by variability in botanical composition. Therefore, implementation should emphasize standardization (marker compounds, batch specifications), stability during storage, and consistency in inclusion rates across feed manufacturing. Formulation choice can be integral to quality control because it shapes bioavailability and can alter the apparent dose–response relationship, as highlighted by comparative outcomes between curcumin and nano-curcumin approaches (Eissa et al., 2024). In addition, because endocrine-active exposures can produce molecular shifts before visible production impacts, performance-only monitoring is insufficient for higher-risk botanicals. Where feasible, routine screening of endocrine-sensitive indicators or tissue-level reproductive biomarkers can provide early detection of undesirable drift, which is particularly relevant given evidence of altered steroid metabolism (Ng et al., 2006) and sex-related gene expression responses (</w:t>
      </w:r>
      <w:proofErr w:type="spellStart"/>
      <w:r w:rsidRPr="00926AE1">
        <w:rPr>
          <w:color w:val="auto"/>
          <w:kern w:val="0"/>
          <w:lang w:val="en-US" w:eastAsia="en-US"/>
        </w:rPr>
        <w:t>Fajkowska</w:t>
      </w:r>
      <w:proofErr w:type="spellEnd"/>
      <w:r w:rsidRPr="00926AE1">
        <w:rPr>
          <w:color w:val="auto"/>
          <w:kern w:val="0"/>
          <w:lang w:val="en-US" w:eastAsia="en-US"/>
        </w:rPr>
        <w:t xml:space="preserve"> et al., 2021).</w:t>
      </w:r>
    </w:p>
    <w:p w14:paraId="0CAA44A1" w14:textId="77777777" w:rsidR="00926AE1" w:rsidRPr="00926AE1" w:rsidRDefault="00926AE1" w:rsidP="00926AE1">
      <w:pPr>
        <w:spacing w:before="100" w:beforeAutospacing="1" w:after="100" w:afterAutospacing="1" w:line="240" w:lineRule="auto"/>
        <w:ind w:left="0" w:right="0" w:firstLine="0"/>
        <w:jc w:val="left"/>
        <w:rPr>
          <w:color w:val="auto"/>
          <w:kern w:val="0"/>
          <w:lang w:val="en-US" w:eastAsia="en-US"/>
        </w:rPr>
      </w:pPr>
      <w:r w:rsidRPr="00926AE1">
        <w:rPr>
          <w:color w:val="auto"/>
          <w:kern w:val="0"/>
          <w:lang w:val="en-US" w:eastAsia="en-US"/>
        </w:rPr>
        <w:t xml:space="preserve">Ultimately, the operational decision to adopt a nutraceutical should be anchored to hatchery outcomes that matter economically—spawning frequency, viable egg output, fertilization and hatch success, and larval robustness—while also integrating a safety mindset for endocrine-active ingredients. This dual approach aligns nutraceutical use with the long-established broodstock nutrition paradigm that reproductive success is an outcome of sustained conditioning and biochemical preparedness, not a single additive effect (Izquierdo et al., 2001), and it reflects the modern reality that plant-derived </w:t>
      </w:r>
      <w:proofErr w:type="spellStart"/>
      <w:r w:rsidRPr="00926AE1">
        <w:rPr>
          <w:color w:val="auto"/>
          <w:kern w:val="0"/>
          <w:lang w:val="en-US" w:eastAsia="en-US"/>
        </w:rPr>
        <w:t>bioactives</w:t>
      </w:r>
      <w:proofErr w:type="spellEnd"/>
      <w:r w:rsidRPr="00926AE1">
        <w:rPr>
          <w:color w:val="auto"/>
          <w:kern w:val="0"/>
          <w:lang w:val="en-US" w:eastAsia="en-US"/>
        </w:rPr>
        <w:t xml:space="preserve"> can be both beneficial tools and potential reproductive stressors depending on exposure conditions (Chakraborty &amp; Mallick, 2025).</w:t>
      </w:r>
    </w:p>
    <w:p w14:paraId="7B17899C" w14:textId="77777777" w:rsidR="00926AE1" w:rsidRDefault="00926AE1" w:rsidP="00294D81">
      <w:pPr>
        <w:spacing w:before="100" w:beforeAutospacing="1" w:after="100" w:afterAutospacing="1" w:line="240" w:lineRule="auto"/>
        <w:ind w:left="0" w:right="0" w:firstLine="0"/>
        <w:jc w:val="left"/>
        <w:outlineLvl w:val="1"/>
        <w:rPr>
          <w:b/>
          <w:bCs/>
          <w:color w:val="auto"/>
          <w:kern w:val="0"/>
          <w:sz w:val="36"/>
          <w:szCs w:val="36"/>
          <w:lang w:val="en-GB" w:eastAsia="en-US"/>
        </w:rPr>
      </w:pPr>
    </w:p>
    <w:p w14:paraId="51071D8E" w14:textId="77777777" w:rsidR="00926AE1" w:rsidRPr="00926AE1" w:rsidRDefault="00926AE1" w:rsidP="00926AE1">
      <w:pPr>
        <w:spacing w:before="100" w:beforeAutospacing="1" w:after="100" w:afterAutospacing="1" w:line="240" w:lineRule="auto"/>
        <w:ind w:left="0" w:right="0" w:firstLine="0"/>
        <w:jc w:val="left"/>
        <w:outlineLvl w:val="1"/>
        <w:rPr>
          <w:b/>
          <w:bCs/>
          <w:color w:val="auto"/>
          <w:kern w:val="0"/>
          <w:sz w:val="36"/>
          <w:szCs w:val="36"/>
          <w:lang w:val="en-US" w:eastAsia="en-US"/>
        </w:rPr>
      </w:pPr>
      <w:r w:rsidRPr="00926AE1">
        <w:rPr>
          <w:b/>
          <w:bCs/>
          <w:color w:val="auto"/>
          <w:kern w:val="0"/>
          <w:sz w:val="36"/>
          <w:szCs w:val="36"/>
          <w:lang w:val="en-US" w:eastAsia="en-US"/>
        </w:rPr>
        <w:lastRenderedPageBreak/>
        <w:t xml:space="preserve">7. </w:t>
      </w:r>
      <w:commentRangeStart w:id="11"/>
      <w:r w:rsidRPr="00926AE1">
        <w:rPr>
          <w:b/>
          <w:bCs/>
          <w:color w:val="auto"/>
          <w:kern w:val="0"/>
          <w:sz w:val="36"/>
          <w:szCs w:val="36"/>
          <w:lang w:val="en-US" w:eastAsia="en-US"/>
        </w:rPr>
        <w:t>Research gaps and future directions</w:t>
      </w:r>
      <w:commentRangeEnd w:id="11"/>
      <w:r w:rsidR="00A37F9F">
        <w:rPr>
          <w:rStyle w:val="CommentReference"/>
        </w:rPr>
        <w:commentReference w:id="11"/>
      </w:r>
    </w:p>
    <w:p w14:paraId="1905C268" w14:textId="77777777" w:rsidR="00926AE1" w:rsidRPr="00926AE1" w:rsidRDefault="00926AE1" w:rsidP="00926AE1">
      <w:pPr>
        <w:spacing w:before="100" w:beforeAutospacing="1" w:after="100" w:afterAutospacing="1" w:line="240" w:lineRule="auto"/>
        <w:ind w:left="0" w:right="0" w:firstLine="0"/>
        <w:jc w:val="left"/>
        <w:rPr>
          <w:color w:val="auto"/>
          <w:kern w:val="0"/>
          <w:lang w:val="en-US" w:eastAsia="en-US"/>
        </w:rPr>
      </w:pPr>
      <w:r w:rsidRPr="00926AE1">
        <w:rPr>
          <w:color w:val="auto"/>
          <w:kern w:val="0"/>
          <w:lang w:val="en-US" w:eastAsia="en-US"/>
        </w:rPr>
        <w:t>Despite rapidly expanding interest in plant-derived nutraceuticals for broodstock conditioning and reproductive management, the field remains constrained by several structural gaps that limit reproducibility and slow translation into standardized hatchery protocols. These gaps span ingredient chemistry, experimental design, endpoint selection, and the ecological realism of trials. Addressing them requires a shift from short-term, single-cycle demonstrations toward mechanistically anchored, multi-cycle, and species-specific evaluation frameworks that reflect the complexity of reproduction in aquaculture settings.</w:t>
      </w:r>
    </w:p>
    <w:p w14:paraId="0CFFBFE3" w14:textId="77777777" w:rsidR="00926AE1" w:rsidRPr="00926AE1" w:rsidRDefault="00926AE1" w:rsidP="00926AE1">
      <w:pPr>
        <w:spacing w:before="100" w:beforeAutospacing="1" w:after="100" w:afterAutospacing="1" w:line="240" w:lineRule="auto"/>
        <w:ind w:left="0" w:right="0" w:firstLine="0"/>
        <w:jc w:val="left"/>
        <w:outlineLvl w:val="2"/>
        <w:rPr>
          <w:b/>
          <w:bCs/>
          <w:color w:val="auto"/>
          <w:kern w:val="0"/>
          <w:sz w:val="27"/>
          <w:szCs w:val="27"/>
          <w:lang w:val="en-US" w:eastAsia="en-US"/>
        </w:rPr>
      </w:pPr>
      <w:r w:rsidRPr="00926AE1">
        <w:rPr>
          <w:b/>
          <w:bCs/>
          <w:color w:val="auto"/>
          <w:kern w:val="0"/>
          <w:sz w:val="27"/>
          <w:szCs w:val="27"/>
          <w:lang w:val="en-US" w:eastAsia="en-US"/>
        </w:rPr>
        <w:t>7.1 Ingredient standardization and chemical specification</w:t>
      </w:r>
    </w:p>
    <w:p w14:paraId="4A713278" w14:textId="77777777" w:rsidR="00926AE1" w:rsidRPr="00926AE1" w:rsidRDefault="00926AE1" w:rsidP="00926AE1">
      <w:pPr>
        <w:spacing w:before="100" w:beforeAutospacing="1" w:after="100" w:afterAutospacing="1" w:line="240" w:lineRule="auto"/>
        <w:ind w:left="0" w:right="0" w:firstLine="0"/>
        <w:jc w:val="left"/>
        <w:rPr>
          <w:color w:val="auto"/>
          <w:kern w:val="0"/>
          <w:lang w:val="en-US" w:eastAsia="en-US"/>
        </w:rPr>
      </w:pPr>
      <w:r w:rsidRPr="00926AE1">
        <w:rPr>
          <w:color w:val="auto"/>
          <w:kern w:val="0"/>
          <w:lang w:val="en-US" w:eastAsia="en-US"/>
        </w:rPr>
        <w:t>One of the most persistent barriers is variability in nutraceutical composition. Botanical materials differ by genotype, cultivation conditions, harvest timing, processing steps, extraction solvents, storage duration, and oxidation state. Even when the same plant species is used, the bioactive fraction may fluctuate enough to change biological potency, particularly for endocrine-active components. Future studies should specify at least one to several chemical markers (identity and concentration) that represent the active class, and should report stability over the feeding and storage period. For complex matrices, compositional profiling should extend beyond single-marker reporting because biological effects are frequently driven by mixtures. Stronger reporting standards would enable cross-study comparison and provide the baseline data needed for dose–response synthesis and meta-analysis.</w:t>
      </w:r>
    </w:p>
    <w:p w14:paraId="73A9F89D" w14:textId="77777777" w:rsidR="00926AE1" w:rsidRPr="00926AE1" w:rsidRDefault="00926AE1" w:rsidP="00926AE1">
      <w:pPr>
        <w:spacing w:before="100" w:beforeAutospacing="1" w:after="100" w:afterAutospacing="1" w:line="240" w:lineRule="auto"/>
        <w:ind w:left="0" w:right="0" w:firstLine="0"/>
        <w:jc w:val="left"/>
        <w:outlineLvl w:val="2"/>
        <w:rPr>
          <w:b/>
          <w:bCs/>
          <w:color w:val="auto"/>
          <w:kern w:val="0"/>
          <w:sz w:val="27"/>
          <w:szCs w:val="27"/>
          <w:lang w:val="en-US" w:eastAsia="en-US"/>
        </w:rPr>
      </w:pPr>
      <w:r w:rsidRPr="00926AE1">
        <w:rPr>
          <w:b/>
          <w:bCs/>
          <w:color w:val="auto"/>
          <w:kern w:val="0"/>
          <w:sz w:val="27"/>
          <w:szCs w:val="27"/>
          <w:lang w:val="en-US" w:eastAsia="en-US"/>
        </w:rPr>
        <w:t>7.2 Dose–response architecture and life-stage sensitivity</w:t>
      </w:r>
    </w:p>
    <w:p w14:paraId="5AB382C3" w14:textId="77777777" w:rsidR="00926AE1" w:rsidRPr="00926AE1" w:rsidRDefault="00926AE1" w:rsidP="00926AE1">
      <w:pPr>
        <w:spacing w:before="100" w:beforeAutospacing="1" w:after="100" w:afterAutospacing="1" w:line="240" w:lineRule="auto"/>
        <w:ind w:left="0" w:right="0" w:firstLine="0"/>
        <w:jc w:val="left"/>
        <w:rPr>
          <w:color w:val="auto"/>
          <w:kern w:val="0"/>
          <w:lang w:val="en-US" w:eastAsia="en-US"/>
        </w:rPr>
      </w:pPr>
      <w:r w:rsidRPr="00926AE1">
        <w:rPr>
          <w:color w:val="auto"/>
          <w:kern w:val="0"/>
          <w:lang w:val="en-US" w:eastAsia="en-US"/>
        </w:rPr>
        <w:t>A second gap is the limited exploration of dose–response shape and exposure timing relative to reproductive stage. Many nutraceutical effects are plausibly non-linear, with thresholds, plateaus, and potential reversal at high inclusion rates. However, numerous studies assess one or two doses without establishing whether an observed improvement reflects an optimal range or an incidental point on a broader curve. This limitation is amplified for endocrine-active botanicals, where outcomes may depend more on developmental window than on absolute dose. Future work should adopt structured dose designs that span low, intermediate, and high levels, paired with clear reporting of exposure duration and reproductive phase. In addition, life-stage sensitivity should be considered a primary experimental variable, with explicit differentiation between juvenile exposures (including sex differentiation windows), pre-maturation conditioning, active gametogenesis, and final maturation/spawning phases.</w:t>
      </w:r>
    </w:p>
    <w:p w14:paraId="33AC6A0D" w14:textId="77777777" w:rsidR="00926AE1" w:rsidRPr="00926AE1" w:rsidRDefault="00926AE1" w:rsidP="00926AE1">
      <w:pPr>
        <w:spacing w:before="100" w:beforeAutospacing="1" w:after="100" w:afterAutospacing="1" w:line="240" w:lineRule="auto"/>
        <w:ind w:left="0" w:right="0" w:firstLine="0"/>
        <w:jc w:val="left"/>
        <w:outlineLvl w:val="2"/>
        <w:rPr>
          <w:b/>
          <w:bCs/>
          <w:color w:val="auto"/>
          <w:kern w:val="0"/>
          <w:sz w:val="27"/>
          <w:szCs w:val="27"/>
          <w:lang w:val="en-US" w:eastAsia="en-US"/>
        </w:rPr>
      </w:pPr>
      <w:r w:rsidRPr="00926AE1">
        <w:rPr>
          <w:b/>
          <w:bCs/>
          <w:color w:val="auto"/>
          <w:kern w:val="0"/>
          <w:sz w:val="27"/>
          <w:szCs w:val="27"/>
          <w:lang w:val="en-US" w:eastAsia="en-US"/>
        </w:rPr>
        <w:t>7.3 Endpoint harmonization: linking molecular signals to hatchery outcomes</w:t>
      </w:r>
    </w:p>
    <w:p w14:paraId="786D4E2F" w14:textId="77777777" w:rsidR="00926AE1" w:rsidRPr="00926AE1" w:rsidRDefault="00926AE1" w:rsidP="00926AE1">
      <w:pPr>
        <w:spacing w:before="100" w:beforeAutospacing="1" w:after="100" w:afterAutospacing="1" w:line="240" w:lineRule="auto"/>
        <w:ind w:left="0" w:right="0" w:firstLine="0"/>
        <w:jc w:val="left"/>
        <w:rPr>
          <w:color w:val="auto"/>
          <w:kern w:val="0"/>
          <w:lang w:val="en-US" w:eastAsia="en-US"/>
        </w:rPr>
      </w:pPr>
      <w:r w:rsidRPr="00926AE1">
        <w:rPr>
          <w:color w:val="auto"/>
          <w:kern w:val="0"/>
          <w:lang w:val="en-US" w:eastAsia="en-US"/>
        </w:rPr>
        <w:t>Reproductive outcomes are commonly measured with heterogeneous endpoints, making comparisons difficult. Some studies prioritize gonadosomatic index or steroid hormone concentrations, while others emphasize spawning frequency, egg size distributions, fertilization success, hatch rate, or larval survival. These endpoints do not always align, and improvements in one may not translate into improvements in another. Future research would benefit from a harmonized “core outcome set” that includes at minimum: (</w:t>
      </w:r>
      <w:proofErr w:type="spellStart"/>
      <w:r w:rsidRPr="00926AE1">
        <w:rPr>
          <w:color w:val="auto"/>
          <w:kern w:val="0"/>
          <w:lang w:val="en-US" w:eastAsia="en-US"/>
        </w:rPr>
        <w:t>i</w:t>
      </w:r>
      <w:proofErr w:type="spellEnd"/>
      <w:r w:rsidRPr="00926AE1">
        <w:rPr>
          <w:color w:val="auto"/>
          <w:kern w:val="0"/>
          <w:lang w:val="en-US" w:eastAsia="en-US"/>
        </w:rPr>
        <w:t xml:space="preserve">) a reproductive performance endpoint (e.g., viable egg output per female or fertilization rate under standardized conditions), (ii) a gamete quality endpoint (e.g., sperm motility and integrity measures, or egg biochemical quality indices), and (iii) a mechanistic proxy (e.g., key </w:t>
      </w:r>
      <w:r w:rsidRPr="00926AE1">
        <w:rPr>
          <w:color w:val="auto"/>
          <w:kern w:val="0"/>
          <w:lang w:val="en-US" w:eastAsia="en-US"/>
        </w:rPr>
        <w:lastRenderedPageBreak/>
        <w:t>steroidogenic or stress-related pathways) sufficient to interpret causality. This structure would allow the field to move from descriptive associations toward testable mechanistic inference and comparability across species and farming systems.</w:t>
      </w:r>
    </w:p>
    <w:p w14:paraId="145D5CA2" w14:textId="77777777" w:rsidR="00926AE1" w:rsidRPr="00926AE1" w:rsidRDefault="00926AE1" w:rsidP="00926AE1">
      <w:pPr>
        <w:spacing w:before="100" w:beforeAutospacing="1" w:after="100" w:afterAutospacing="1" w:line="240" w:lineRule="auto"/>
        <w:ind w:left="0" w:right="0" w:firstLine="0"/>
        <w:jc w:val="left"/>
        <w:outlineLvl w:val="2"/>
        <w:rPr>
          <w:b/>
          <w:bCs/>
          <w:color w:val="auto"/>
          <w:kern w:val="0"/>
          <w:sz w:val="27"/>
          <w:szCs w:val="27"/>
          <w:lang w:val="en-US" w:eastAsia="en-US"/>
        </w:rPr>
      </w:pPr>
      <w:r w:rsidRPr="00926AE1">
        <w:rPr>
          <w:b/>
          <w:bCs/>
          <w:color w:val="auto"/>
          <w:kern w:val="0"/>
          <w:sz w:val="27"/>
          <w:szCs w:val="27"/>
          <w:lang w:val="en-US" w:eastAsia="en-US"/>
        </w:rPr>
        <w:t>7.4 Multi-cycle, long-term, and transgenerational designs</w:t>
      </w:r>
    </w:p>
    <w:p w14:paraId="5CB77A8E" w14:textId="77777777" w:rsidR="00926AE1" w:rsidRPr="00926AE1" w:rsidRDefault="00926AE1" w:rsidP="00926AE1">
      <w:pPr>
        <w:spacing w:before="100" w:beforeAutospacing="1" w:after="100" w:afterAutospacing="1" w:line="240" w:lineRule="auto"/>
        <w:ind w:left="0" w:right="0" w:firstLine="0"/>
        <w:jc w:val="left"/>
        <w:rPr>
          <w:color w:val="auto"/>
          <w:kern w:val="0"/>
          <w:lang w:val="en-US" w:eastAsia="en-US"/>
        </w:rPr>
      </w:pPr>
      <w:r w:rsidRPr="00926AE1">
        <w:rPr>
          <w:color w:val="auto"/>
          <w:kern w:val="0"/>
          <w:lang w:val="en-US" w:eastAsia="en-US"/>
        </w:rPr>
        <w:t>Reproduction in aquaculture is inherently cyclical, and broodstock are often maintained for multiple seasons. Yet, many nutraceutical studies are conducted over limited time spans that may capture only a single maturation phase. This creates uncertainty about whether observed benefits persist, diminish, or reverse with repeated use. Long-term exposure also raises the possibility of cumulative endocrine effects or adaptive responses that alter efficacy. Future directions should therefore include multi-cycle broodstock trials that track consistency across successive spawning seasons, as well as designs that evaluate whether nutraceutical exposure influences offspring performance beyond early larval survival, including growth, stress tolerance, and later reproductive traits. Where feasible, transgenerational frameworks should be used to examine whether nutraceutical-driven changes in broodstock physiology translate into heritable or persistent developmental programming effects in progeny.</w:t>
      </w:r>
    </w:p>
    <w:p w14:paraId="05E59346" w14:textId="77777777" w:rsidR="00926AE1" w:rsidRPr="00926AE1" w:rsidRDefault="00926AE1" w:rsidP="00926AE1">
      <w:pPr>
        <w:spacing w:before="100" w:beforeAutospacing="1" w:after="100" w:afterAutospacing="1" w:line="240" w:lineRule="auto"/>
        <w:ind w:left="0" w:right="0" w:firstLine="0"/>
        <w:jc w:val="left"/>
        <w:outlineLvl w:val="2"/>
        <w:rPr>
          <w:b/>
          <w:bCs/>
          <w:color w:val="auto"/>
          <w:kern w:val="0"/>
          <w:sz w:val="27"/>
          <w:szCs w:val="27"/>
          <w:lang w:val="en-US" w:eastAsia="en-US"/>
        </w:rPr>
      </w:pPr>
      <w:r w:rsidRPr="00926AE1">
        <w:rPr>
          <w:b/>
          <w:bCs/>
          <w:color w:val="auto"/>
          <w:kern w:val="0"/>
          <w:sz w:val="27"/>
          <w:szCs w:val="27"/>
          <w:lang w:val="en-US" w:eastAsia="en-US"/>
        </w:rPr>
        <w:t>7.5 Microbiome and bioavailability: explaining context dependence</w:t>
      </w:r>
    </w:p>
    <w:p w14:paraId="534F974E" w14:textId="77777777" w:rsidR="00926AE1" w:rsidRPr="00926AE1" w:rsidRDefault="00926AE1" w:rsidP="00926AE1">
      <w:pPr>
        <w:spacing w:before="100" w:beforeAutospacing="1" w:after="100" w:afterAutospacing="1" w:line="240" w:lineRule="auto"/>
        <w:ind w:left="0" w:right="0" w:firstLine="0"/>
        <w:jc w:val="left"/>
        <w:rPr>
          <w:color w:val="auto"/>
          <w:kern w:val="0"/>
          <w:lang w:val="en-US" w:eastAsia="en-US"/>
        </w:rPr>
      </w:pPr>
      <w:r w:rsidRPr="00926AE1">
        <w:rPr>
          <w:color w:val="auto"/>
          <w:kern w:val="0"/>
          <w:lang w:val="en-US" w:eastAsia="en-US"/>
        </w:rPr>
        <w:t>A major unresolved question is why nutraceutical effects are often inconsistent across studies. One plausible driver is the interaction between botanical compounds and gastrointestinal transformation, including microbiome-mediated bioconversion that can change potency and tissue exposure. Bioavailability is also strongly influenced by formulation, particle size, encapsulation, and interactions with dietary lipids and fibers. Future research should better integrate bioavailability measurements (e.g., plasma or tissue exposure markers) and microbiome profiling to clarify whether inconsistent reproductive outcomes reflect true biological variability or differences in effective dose. This is particularly relevant for complex botanical matrices and endocrine-active classes where metabolites may differ in receptor affinity and biological half-life.</w:t>
      </w:r>
    </w:p>
    <w:p w14:paraId="2F6C71FD" w14:textId="77777777" w:rsidR="00926AE1" w:rsidRPr="00926AE1" w:rsidRDefault="00926AE1" w:rsidP="00926AE1">
      <w:pPr>
        <w:spacing w:before="100" w:beforeAutospacing="1" w:after="100" w:afterAutospacing="1" w:line="240" w:lineRule="auto"/>
        <w:ind w:left="0" w:right="0" w:firstLine="0"/>
        <w:jc w:val="left"/>
        <w:outlineLvl w:val="2"/>
        <w:rPr>
          <w:b/>
          <w:bCs/>
          <w:color w:val="auto"/>
          <w:kern w:val="0"/>
          <w:sz w:val="27"/>
          <w:szCs w:val="27"/>
          <w:lang w:val="en-US" w:eastAsia="en-US"/>
        </w:rPr>
      </w:pPr>
      <w:r w:rsidRPr="00926AE1">
        <w:rPr>
          <w:b/>
          <w:bCs/>
          <w:color w:val="auto"/>
          <w:kern w:val="0"/>
          <w:sz w:val="27"/>
          <w:szCs w:val="27"/>
          <w:lang w:val="en-US" w:eastAsia="en-US"/>
        </w:rPr>
        <w:t>7.6 Ecological realism, stressor interactions, and operational decision tools</w:t>
      </w:r>
    </w:p>
    <w:p w14:paraId="6E5DCAE7" w14:textId="77777777" w:rsidR="00926AE1" w:rsidRPr="00926AE1" w:rsidRDefault="00926AE1" w:rsidP="00926AE1">
      <w:pPr>
        <w:spacing w:before="100" w:beforeAutospacing="1" w:after="100" w:afterAutospacing="1" w:line="240" w:lineRule="auto"/>
        <w:ind w:left="0" w:right="0" w:firstLine="0"/>
        <w:jc w:val="left"/>
        <w:rPr>
          <w:color w:val="auto"/>
          <w:kern w:val="0"/>
          <w:lang w:val="en-US" w:eastAsia="en-US"/>
        </w:rPr>
      </w:pPr>
      <w:r w:rsidRPr="00926AE1">
        <w:rPr>
          <w:color w:val="auto"/>
          <w:kern w:val="0"/>
          <w:lang w:val="en-US" w:eastAsia="en-US"/>
        </w:rPr>
        <w:t>Hatchery environments include multiple interacting stressors—handling, density, temperature fluctuation, salinity shifts, and subclinical pathogen pressure—that can amplify or mask nutraceutical effects. Many studies are conducted under stable laboratory conditions that underestimate this interaction complexity. A priority future direction is the design of nutraceutical trials that incorporate controlled stressor challenges representative of farming systems, enabling evaluation of whether nutraceuticals enhance reproductive resilience rather than merely improving baseline performance. In parallel, the field needs practical decision tools for industry adoption, including risk-screening workflows for endocrine-active materials, quality-control specifications for botanical batches, and cost–benefit modeling that accounts for improvements in viable larval output rather than only broodstock performance metrics.</w:t>
      </w:r>
    </w:p>
    <w:p w14:paraId="1F3DF183" w14:textId="77777777" w:rsidR="00926AE1" w:rsidRPr="00926AE1" w:rsidRDefault="00926AE1" w:rsidP="00926AE1">
      <w:pPr>
        <w:spacing w:before="100" w:beforeAutospacing="1" w:after="100" w:afterAutospacing="1" w:line="240" w:lineRule="auto"/>
        <w:ind w:left="0" w:right="0" w:firstLine="0"/>
        <w:jc w:val="left"/>
        <w:outlineLvl w:val="2"/>
        <w:rPr>
          <w:b/>
          <w:bCs/>
          <w:color w:val="auto"/>
          <w:kern w:val="0"/>
          <w:sz w:val="27"/>
          <w:szCs w:val="27"/>
          <w:lang w:val="en-US" w:eastAsia="en-US"/>
        </w:rPr>
      </w:pPr>
      <w:r w:rsidRPr="00926AE1">
        <w:rPr>
          <w:b/>
          <w:bCs/>
          <w:color w:val="auto"/>
          <w:kern w:val="0"/>
          <w:sz w:val="27"/>
          <w:szCs w:val="27"/>
          <w:lang w:val="en-US" w:eastAsia="en-US"/>
        </w:rPr>
        <w:t>7.7 Toward stronger evidence synthesis and reproducibility</w:t>
      </w:r>
    </w:p>
    <w:p w14:paraId="2666F027" w14:textId="77777777" w:rsidR="00926AE1" w:rsidRPr="00926AE1" w:rsidRDefault="00926AE1" w:rsidP="00926AE1">
      <w:pPr>
        <w:spacing w:before="100" w:beforeAutospacing="1" w:after="100" w:afterAutospacing="1" w:line="240" w:lineRule="auto"/>
        <w:ind w:left="0" w:right="0" w:firstLine="0"/>
        <w:jc w:val="left"/>
        <w:rPr>
          <w:color w:val="auto"/>
          <w:kern w:val="0"/>
          <w:lang w:val="en-US" w:eastAsia="en-US"/>
        </w:rPr>
      </w:pPr>
      <w:r w:rsidRPr="00926AE1">
        <w:rPr>
          <w:color w:val="auto"/>
          <w:kern w:val="0"/>
          <w:lang w:val="en-US" w:eastAsia="en-US"/>
        </w:rPr>
        <w:t xml:space="preserve">Finally, the evidence base would benefit from greater transparency and replication. Pre-registration of feeding trials, reporting of negative results, and multi-site evaluations would </w:t>
      </w:r>
      <w:r w:rsidRPr="00926AE1">
        <w:rPr>
          <w:color w:val="auto"/>
          <w:kern w:val="0"/>
          <w:lang w:val="en-US" w:eastAsia="en-US"/>
        </w:rPr>
        <w:lastRenderedPageBreak/>
        <w:t>reduce publication bias and improve generalizability. Shared reporting templates—covering ingredient characterization, feeding duration, reproductive stage, sex composition, background diet, and environmental parameters—would strengthen interpretability. Over time, these practices would enable robust synthesis across studies and facilitate the development of standardized nutraceutical guidelines tailored to species, reproductive strategy, and production environment.</w:t>
      </w:r>
    </w:p>
    <w:p w14:paraId="5617DF89" w14:textId="77777777" w:rsidR="00294D81" w:rsidRPr="00294D81" w:rsidRDefault="00294D81" w:rsidP="00294D81">
      <w:pPr>
        <w:spacing w:after="0" w:line="240" w:lineRule="auto"/>
        <w:ind w:left="0" w:right="0" w:firstLine="0"/>
        <w:jc w:val="left"/>
        <w:rPr>
          <w:color w:val="auto"/>
          <w:kern w:val="0"/>
          <w:lang w:val="en-GB" w:eastAsia="en-US"/>
        </w:rPr>
      </w:pPr>
    </w:p>
    <w:p w14:paraId="6CE75CAA" w14:textId="77777777" w:rsidR="00294D81" w:rsidRPr="00294D81" w:rsidRDefault="00294D81" w:rsidP="00294D81">
      <w:pPr>
        <w:spacing w:before="100" w:beforeAutospacing="1" w:after="100" w:afterAutospacing="1" w:line="240" w:lineRule="auto"/>
        <w:ind w:left="0" w:right="0" w:firstLine="0"/>
        <w:jc w:val="left"/>
        <w:outlineLvl w:val="1"/>
        <w:rPr>
          <w:b/>
          <w:bCs/>
          <w:color w:val="auto"/>
          <w:kern w:val="0"/>
          <w:sz w:val="36"/>
          <w:szCs w:val="36"/>
          <w:lang w:val="en-GB" w:eastAsia="en-US"/>
        </w:rPr>
      </w:pPr>
      <w:r w:rsidRPr="00294D81">
        <w:rPr>
          <w:b/>
          <w:bCs/>
          <w:color w:val="auto"/>
          <w:kern w:val="0"/>
          <w:sz w:val="36"/>
          <w:szCs w:val="36"/>
          <w:lang w:val="en-GB" w:eastAsia="en-US"/>
        </w:rPr>
        <w:t>8. Conclusions</w:t>
      </w:r>
    </w:p>
    <w:p w14:paraId="02DAD40E" w14:textId="77777777" w:rsidR="00294D81" w:rsidRPr="00294D81" w:rsidRDefault="00294D81" w:rsidP="00294D81">
      <w:pPr>
        <w:spacing w:before="100" w:beforeAutospacing="1" w:after="100" w:afterAutospacing="1" w:line="240" w:lineRule="auto"/>
        <w:ind w:left="0" w:right="0" w:firstLine="0"/>
        <w:jc w:val="left"/>
        <w:rPr>
          <w:color w:val="auto"/>
          <w:kern w:val="0"/>
          <w:lang w:val="en-GB" w:eastAsia="en-US"/>
        </w:rPr>
      </w:pPr>
      <w:r w:rsidRPr="00294D81">
        <w:rPr>
          <w:color w:val="auto"/>
          <w:kern w:val="0"/>
          <w:lang w:val="en-GB" w:eastAsia="en-US"/>
        </w:rPr>
        <w:t xml:space="preserve">Plant-derived nutraceuticals can </w:t>
      </w:r>
      <w:commentRangeStart w:id="12"/>
      <w:r w:rsidRPr="00294D81">
        <w:rPr>
          <w:color w:val="auto"/>
          <w:kern w:val="0"/>
          <w:lang w:val="en-GB" w:eastAsia="en-US"/>
        </w:rPr>
        <w:t>influence</w:t>
      </w:r>
      <w:commentRangeEnd w:id="12"/>
      <w:r w:rsidR="00A37F9F">
        <w:rPr>
          <w:rStyle w:val="CommentReference"/>
        </w:rPr>
        <w:commentReference w:id="12"/>
      </w:r>
      <w:r w:rsidRPr="00294D81">
        <w:rPr>
          <w:color w:val="auto"/>
          <w:kern w:val="0"/>
          <w:lang w:val="en-GB" w:eastAsia="en-US"/>
        </w:rPr>
        <w:t xml:space="preserve"> fish reproduction through endocrine modulation, antioxidant protection, metabolic allocation, immune stabilization, and microbiome-mediated biotransformation. Evidence indicates meaningful opportunities to enhance broodstock maturation, gamete quality, and reproductive resilience under aquaculture stressors, particularly when nutraceuticals are standardized, appropriately dosed, and targeted to species- and stage-specific needs. At the same time, endocrine-active phytochemicals—especially phytoestrogens common in plant-based feeds—can disrupt steroid dynamics and sex-related molecular pathways, creating risks that must be actively managed. The most defensible path forward is precision nutraceutical use: chemically characterized ingredients deployed within a monitoring framework that links mechanistic biomarkers to hatchery performance outcomes.</w:t>
      </w:r>
    </w:p>
    <w:p w14:paraId="2005DEF3" w14:textId="77777777" w:rsidR="00294D81" w:rsidRPr="00294D81" w:rsidRDefault="00294D81" w:rsidP="00294D81">
      <w:pPr>
        <w:spacing w:after="0" w:line="240" w:lineRule="auto"/>
        <w:ind w:left="0" w:right="0" w:firstLine="0"/>
        <w:jc w:val="left"/>
        <w:rPr>
          <w:color w:val="auto"/>
          <w:kern w:val="0"/>
          <w:lang w:val="en-GB" w:eastAsia="en-US"/>
        </w:rPr>
      </w:pPr>
    </w:p>
    <w:p w14:paraId="1C46DD29" w14:textId="77777777" w:rsidR="00294D81" w:rsidRPr="00294D81" w:rsidRDefault="00294D81" w:rsidP="00294D81">
      <w:pPr>
        <w:spacing w:before="100" w:beforeAutospacing="1" w:after="100" w:afterAutospacing="1" w:line="240" w:lineRule="auto"/>
        <w:ind w:left="0" w:right="0" w:firstLine="0"/>
        <w:jc w:val="left"/>
        <w:outlineLvl w:val="1"/>
        <w:rPr>
          <w:b/>
          <w:bCs/>
          <w:color w:val="auto"/>
          <w:kern w:val="0"/>
          <w:sz w:val="36"/>
          <w:szCs w:val="36"/>
          <w:lang w:val="en-GB" w:eastAsia="en-US"/>
        </w:rPr>
      </w:pPr>
      <w:r w:rsidRPr="00294D81">
        <w:rPr>
          <w:b/>
          <w:bCs/>
          <w:color w:val="auto"/>
          <w:kern w:val="0"/>
          <w:sz w:val="36"/>
          <w:szCs w:val="36"/>
          <w:lang w:val="en-GB" w:eastAsia="en-US"/>
        </w:rPr>
        <w:t>9. Limitations</w:t>
      </w:r>
    </w:p>
    <w:p w14:paraId="659F1FF2" w14:textId="77777777" w:rsidR="00294D81" w:rsidRPr="00294D81" w:rsidRDefault="00294D81" w:rsidP="00294D81">
      <w:pPr>
        <w:spacing w:before="100" w:beforeAutospacing="1" w:after="100" w:afterAutospacing="1" w:line="240" w:lineRule="auto"/>
        <w:ind w:left="0" w:right="0" w:firstLine="0"/>
        <w:jc w:val="left"/>
        <w:rPr>
          <w:color w:val="auto"/>
          <w:kern w:val="0"/>
          <w:lang w:val="en-GB" w:eastAsia="en-US"/>
        </w:rPr>
      </w:pPr>
      <w:r w:rsidRPr="00294D81">
        <w:rPr>
          <w:color w:val="auto"/>
          <w:kern w:val="0"/>
          <w:lang w:val="en-GB" w:eastAsia="en-US"/>
        </w:rPr>
        <w:t>Although this review applied explicit database searching and prioritized peer-reviewed studies with mechanistic and performance endpoints, heterogeneity in nutraceutical formulations, dosing regimens, and reproductive metrics limits direct comparability across studies. In addition, automated access controls can restrict direct resolution of some DOI landing pages during verification workflows; while cross-index checks were used where feasible, readers preparing regulatory dossiers or meta-analyses should re-validate all bibliographic metadata directly within their institutional access environment. Finally, the field’s rapid growth means that conclusions may evolve as more standardized, multi-cycle broodstock trials and multigenerational studies become available.</w:t>
      </w:r>
    </w:p>
    <w:p w14:paraId="24996DA5" w14:textId="77777777" w:rsidR="00294D81" w:rsidRPr="00294D81" w:rsidRDefault="00294D81" w:rsidP="00294D81">
      <w:pPr>
        <w:spacing w:after="0" w:line="240" w:lineRule="auto"/>
        <w:ind w:left="0" w:right="0" w:firstLine="0"/>
        <w:jc w:val="left"/>
        <w:rPr>
          <w:color w:val="auto"/>
          <w:kern w:val="0"/>
          <w:lang w:val="en-GB" w:eastAsia="en-US"/>
        </w:rPr>
      </w:pPr>
    </w:p>
    <w:p w14:paraId="2D10078B" w14:textId="77777777" w:rsidR="00294D81" w:rsidRPr="00294D81" w:rsidRDefault="00294D81" w:rsidP="00294D81">
      <w:pPr>
        <w:spacing w:before="100" w:beforeAutospacing="1" w:after="100" w:afterAutospacing="1" w:line="240" w:lineRule="auto"/>
        <w:ind w:left="0" w:right="0" w:firstLine="0"/>
        <w:jc w:val="left"/>
        <w:outlineLvl w:val="1"/>
        <w:rPr>
          <w:b/>
          <w:bCs/>
          <w:color w:val="auto"/>
          <w:kern w:val="0"/>
          <w:sz w:val="36"/>
          <w:szCs w:val="36"/>
          <w:lang w:val="en-GB" w:eastAsia="en-US"/>
        </w:rPr>
      </w:pPr>
      <w:commentRangeStart w:id="13"/>
      <w:r w:rsidRPr="00294D81">
        <w:rPr>
          <w:b/>
          <w:bCs/>
          <w:color w:val="auto"/>
          <w:kern w:val="0"/>
          <w:sz w:val="36"/>
          <w:szCs w:val="36"/>
          <w:lang w:val="en-GB" w:eastAsia="en-US"/>
        </w:rPr>
        <w:t xml:space="preserve">References </w:t>
      </w:r>
      <w:commentRangeEnd w:id="13"/>
      <w:r w:rsidR="00A37F9F">
        <w:rPr>
          <w:rStyle w:val="CommentReference"/>
        </w:rPr>
        <w:commentReference w:id="13"/>
      </w:r>
    </w:p>
    <w:p w14:paraId="5AFE269A" w14:textId="77777777" w:rsidR="00705A87" w:rsidRPr="00705A87" w:rsidRDefault="00705A87" w:rsidP="00705A87">
      <w:pPr>
        <w:spacing w:before="100" w:beforeAutospacing="1" w:after="100" w:afterAutospacing="1" w:line="240" w:lineRule="auto"/>
        <w:ind w:left="0" w:firstLine="0"/>
        <w:rPr>
          <w:kern w:val="0"/>
        </w:rPr>
      </w:pPr>
      <w:r w:rsidRPr="00705A87">
        <w:rPr>
          <w:kern w:val="0"/>
        </w:rPr>
        <w:t xml:space="preserve">Abaho, I., Gabriel, N. N., &amp; </w:t>
      </w:r>
      <w:proofErr w:type="spellStart"/>
      <w:r w:rsidRPr="00705A87">
        <w:rPr>
          <w:kern w:val="0"/>
        </w:rPr>
        <w:t>Izaara</w:t>
      </w:r>
      <w:proofErr w:type="spellEnd"/>
      <w:r w:rsidRPr="00705A87">
        <w:rPr>
          <w:kern w:val="0"/>
        </w:rPr>
        <w:t>, A. A. (2023). Use of plant extracts to control reproduction in tilapia production systems: An Emerging Eco-Friendly Innovation. In </w:t>
      </w:r>
      <w:r w:rsidRPr="00705A87">
        <w:rPr>
          <w:i/>
          <w:iCs/>
          <w:kern w:val="0"/>
        </w:rPr>
        <w:t>Emerging Sustainable Aquaculture Innovations in Africa</w:t>
      </w:r>
      <w:r w:rsidRPr="00705A87">
        <w:rPr>
          <w:kern w:val="0"/>
        </w:rPr>
        <w:t xml:space="preserve"> (pp. 167-196). Singapore: Springer Nature Singapore. </w:t>
      </w:r>
      <w:hyperlink r:id="rId11" w:history="1">
        <w:r w:rsidRPr="00705A87">
          <w:rPr>
            <w:rStyle w:val="Hyperlink"/>
            <w:kern w:val="0"/>
            <w:lang w:val="en-GB"/>
          </w:rPr>
          <w:t>https://doi.org/10.1007/978-981-19-7451-9_7</w:t>
        </w:r>
      </w:hyperlink>
      <w:r w:rsidRPr="00705A87">
        <w:rPr>
          <w:kern w:val="0"/>
        </w:rPr>
        <w:t xml:space="preserve"> </w:t>
      </w:r>
    </w:p>
    <w:p w14:paraId="631BCA3E" w14:textId="77777777" w:rsidR="00705A87" w:rsidRPr="00705A87" w:rsidRDefault="00705A87" w:rsidP="00705A87">
      <w:pPr>
        <w:spacing w:before="100" w:beforeAutospacing="1" w:after="100" w:afterAutospacing="1" w:line="240" w:lineRule="auto"/>
        <w:ind w:left="0" w:firstLine="0"/>
        <w:rPr>
          <w:kern w:val="0"/>
        </w:rPr>
      </w:pPr>
      <w:r w:rsidRPr="00705A87">
        <w:rPr>
          <w:kern w:val="0"/>
        </w:rPr>
        <w:t xml:space="preserve">Abdel-Moez, A. M., Khalil, A. A., Khalil, M. N. E., &amp; Sherif, E. A. (2024). Effect of including dried microalgae </w:t>
      </w:r>
      <w:r w:rsidRPr="00705A87">
        <w:rPr>
          <w:i/>
          <w:iCs/>
          <w:kern w:val="0"/>
        </w:rPr>
        <w:t xml:space="preserve">Cyclotella </w:t>
      </w:r>
      <w:proofErr w:type="spellStart"/>
      <w:r w:rsidRPr="00705A87">
        <w:rPr>
          <w:i/>
          <w:iCs/>
          <w:kern w:val="0"/>
        </w:rPr>
        <w:t>menegheniana</w:t>
      </w:r>
      <w:proofErr w:type="spellEnd"/>
      <w:r w:rsidRPr="00705A87">
        <w:rPr>
          <w:kern w:val="0"/>
        </w:rPr>
        <w:t xml:space="preserve"> in diets on reproductive performance </w:t>
      </w:r>
      <w:r w:rsidRPr="00705A87">
        <w:rPr>
          <w:kern w:val="0"/>
        </w:rPr>
        <w:lastRenderedPageBreak/>
        <w:t>and egg quality of Nile tilapia (</w:t>
      </w:r>
      <w:r w:rsidRPr="00705A87">
        <w:rPr>
          <w:i/>
          <w:iCs/>
          <w:kern w:val="0"/>
        </w:rPr>
        <w:t>Oreochromis niloticus</w:t>
      </w:r>
      <w:r w:rsidRPr="00705A87">
        <w:rPr>
          <w:kern w:val="0"/>
        </w:rPr>
        <w:t xml:space="preserve">) broodstock. </w:t>
      </w:r>
      <w:r w:rsidRPr="00705A87">
        <w:rPr>
          <w:i/>
          <w:iCs/>
          <w:kern w:val="0"/>
        </w:rPr>
        <w:t>Aquaculture Reports, 38</w:t>
      </w:r>
      <w:r w:rsidRPr="00705A87">
        <w:rPr>
          <w:kern w:val="0"/>
        </w:rPr>
        <w:t xml:space="preserve">, 102099. </w:t>
      </w:r>
      <w:hyperlink r:id="rId12" w:history="1">
        <w:r w:rsidRPr="00705A87">
          <w:rPr>
            <w:rStyle w:val="Hyperlink"/>
            <w:kern w:val="0"/>
            <w:lang w:val="en-GB" w:eastAsia="en-US"/>
          </w:rPr>
          <w:t>https://doi.org/10.1016/j.aqrep.2024.102099</w:t>
        </w:r>
      </w:hyperlink>
      <w:r w:rsidRPr="00705A87">
        <w:rPr>
          <w:kern w:val="0"/>
        </w:rPr>
        <w:t xml:space="preserve"> </w:t>
      </w:r>
    </w:p>
    <w:p w14:paraId="3C2AA6BB" w14:textId="77777777" w:rsidR="00705A87" w:rsidRPr="00705A87" w:rsidRDefault="00705A87" w:rsidP="00705A87">
      <w:pPr>
        <w:spacing w:before="100" w:beforeAutospacing="1" w:after="100" w:afterAutospacing="1" w:line="240" w:lineRule="auto"/>
        <w:ind w:left="0" w:firstLine="0"/>
        <w:rPr>
          <w:kern w:val="0"/>
        </w:rPr>
      </w:pPr>
      <w:r w:rsidRPr="00705A87">
        <w:rPr>
          <w:kern w:val="0"/>
        </w:rPr>
        <w:t xml:space="preserve">Chakraborty, A., &amp; Mallick, S. (2025). Phytoestrogens in aquaculture: friend or foe to fish growth and reproductive health? </w:t>
      </w:r>
      <w:r w:rsidRPr="00705A87">
        <w:rPr>
          <w:i/>
          <w:iCs/>
          <w:kern w:val="0"/>
        </w:rPr>
        <w:t>Blue Biotechnology, 1</w:t>
      </w:r>
      <w:r w:rsidRPr="00705A87">
        <w:rPr>
          <w:kern w:val="0"/>
        </w:rPr>
        <w:t xml:space="preserve">, Article 00037. </w:t>
      </w:r>
      <w:hyperlink r:id="rId13" w:history="1">
        <w:r w:rsidRPr="00705A87">
          <w:rPr>
            <w:rStyle w:val="Hyperlink"/>
            <w:kern w:val="0"/>
            <w:lang w:val="en-GB" w:eastAsia="en-US"/>
          </w:rPr>
          <w:t>https://doi.org/10.1186/s44315-025-00037-7</w:t>
        </w:r>
      </w:hyperlink>
      <w:r w:rsidRPr="00705A87">
        <w:rPr>
          <w:kern w:val="0"/>
        </w:rPr>
        <w:t xml:space="preserve"> </w:t>
      </w:r>
    </w:p>
    <w:p w14:paraId="4B4B3796" w14:textId="77777777" w:rsidR="00705A87" w:rsidRPr="00705A87" w:rsidRDefault="00705A87" w:rsidP="00705A87">
      <w:pPr>
        <w:spacing w:before="100" w:beforeAutospacing="1" w:after="100" w:afterAutospacing="1" w:line="240" w:lineRule="auto"/>
        <w:ind w:left="0" w:firstLine="0"/>
        <w:rPr>
          <w:kern w:val="0"/>
        </w:rPr>
      </w:pPr>
      <w:r w:rsidRPr="00705A87">
        <w:rPr>
          <w:kern w:val="0"/>
        </w:rPr>
        <w:t>Di Sotto, A., Vitalone, A., &amp; Di Giacomo, S. (2020). Plant-Derived Nutraceuticals and Immune System Modulation: An Evidence-Based Overview. </w:t>
      </w:r>
      <w:r w:rsidRPr="00705A87">
        <w:rPr>
          <w:i/>
          <w:iCs/>
          <w:kern w:val="0"/>
        </w:rPr>
        <w:t>Vaccines</w:t>
      </w:r>
      <w:r w:rsidRPr="00705A87">
        <w:rPr>
          <w:kern w:val="0"/>
        </w:rPr>
        <w:t>, </w:t>
      </w:r>
      <w:r w:rsidRPr="00705A87">
        <w:rPr>
          <w:i/>
          <w:iCs/>
          <w:kern w:val="0"/>
        </w:rPr>
        <w:t>8</w:t>
      </w:r>
      <w:r w:rsidRPr="00705A87">
        <w:rPr>
          <w:kern w:val="0"/>
        </w:rPr>
        <w:t xml:space="preserve">(3), 468. </w:t>
      </w:r>
      <w:hyperlink r:id="rId14" w:history="1">
        <w:r w:rsidRPr="00705A87">
          <w:rPr>
            <w:rStyle w:val="Hyperlink"/>
            <w:kern w:val="0"/>
            <w:lang w:val="en-GB"/>
          </w:rPr>
          <w:t>https://doi.org/10.3390/vaccines8030468</w:t>
        </w:r>
      </w:hyperlink>
      <w:r w:rsidRPr="00705A87">
        <w:rPr>
          <w:kern w:val="0"/>
        </w:rPr>
        <w:t xml:space="preserve"> </w:t>
      </w:r>
    </w:p>
    <w:p w14:paraId="1FA065AA" w14:textId="77777777" w:rsidR="00705A87" w:rsidRPr="00705A87" w:rsidRDefault="00705A87" w:rsidP="00705A87">
      <w:pPr>
        <w:spacing w:before="100" w:beforeAutospacing="1" w:after="100" w:afterAutospacing="1" w:line="240" w:lineRule="auto"/>
        <w:ind w:left="0" w:firstLine="0"/>
        <w:rPr>
          <w:kern w:val="0"/>
        </w:rPr>
      </w:pPr>
      <w:r w:rsidRPr="00705A87">
        <w:rPr>
          <w:kern w:val="0"/>
        </w:rPr>
        <w:t xml:space="preserve">Eissa, E.-S. H., </w:t>
      </w:r>
      <w:proofErr w:type="spellStart"/>
      <w:r w:rsidRPr="00705A87">
        <w:rPr>
          <w:kern w:val="0"/>
        </w:rPr>
        <w:t>Hendam</w:t>
      </w:r>
      <w:proofErr w:type="spellEnd"/>
      <w:r w:rsidRPr="00705A87">
        <w:rPr>
          <w:kern w:val="0"/>
        </w:rPr>
        <w:t xml:space="preserve">, B. M., </w:t>
      </w:r>
      <w:proofErr w:type="spellStart"/>
      <w:r w:rsidRPr="00705A87">
        <w:rPr>
          <w:kern w:val="0"/>
        </w:rPr>
        <w:t>Dighiesh</w:t>
      </w:r>
      <w:proofErr w:type="spellEnd"/>
      <w:r w:rsidRPr="00705A87">
        <w:rPr>
          <w:kern w:val="0"/>
        </w:rPr>
        <w:t>, H. S., Abd Elnabi, H. E., Abd El-Aziz, Y. M., Eissa, M. E. H., Abdelnour, S. A., &amp; Ghanem, S. F. (2024). Comparative effects of curcumin, nano curcumin and their combination on reproductive traits and spawning performance of red tilapia (</w:t>
      </w:r>
      <w:r w:rsidRPr="00705A87">
        <w:rPr>
          <w:i/>
          <w:iCs/>
          <w:kern w:val="0"/>
        </w:rPr>
        <w:t>Oreochromis niloticus</w:t>
      </w:r>
      <w:r w:rsidRPr="00705A87">
        <w:rPr>
          <w:kern w:val="0"/>
        </w:rPr>
        <w:t xml:space="preserve"> × </w:t>
      </w:r>
      <w:r w:rsidRPr="00705A87">
        <w:rPr>
          <w:i/>
          <w:iCs/>
          <w:kern w:val="0"/>
        </w:rPr>
        <w:t xml:space="preserve">O. </w:t>
      </w:r>
      <w:proofErr w:type="spellStart"/>
      <w:r w:rsidRPr="00705A87">
        <w:rPr>
          <w:i/>
          <w:iCs/>
          <w:kern w:val="0"/>
        </w:rPr>
        <w:t>mossambicus</w:t>
      </w:r>
      <w:proofErr w:type="spellEnd"/>
      <w:r w:rsidRPr="00705A87">
        <w:rPr>
          <w:kern w:val="0"/>
        </w:rPr>
        <w:t xml:space="preserve">). </w:t>
      </w:r>
      <w:r w:rsidRPr="00705A87">
        <w:rPr>
          <w:i/>
          <w:iCs/>
          <w:kern w:val="0"/>
        </w:rPr>
        <w:t>BMC Veterinary Research, 20</w:t>
      </w:r>
      <w:r w:rsidRPr="00705A87">
        <w:rPr>
          <w:kern w:val="0"/>
        </w:rPr>
        <w:t xml:space="preserve">, Article 4257. </w:t>
      </w:r>
      <w:hyperlink r:id="rId15" w:history="1">
        <w:r w:rsidRPr="00705A87">
          <w:rPr>
            <w:rStyle w:val="Hyperlink"/>
            <w:kern w:val="0"/>
            <w:lang w:val="en-GB" w:eastAsia="en-US"/>
          </w:rPr>
          <w:t>https://doi.org/10.1186/s12917-024-04257-8</w:t>
        </w:r>
      </w:hyperlink>
      <w:r w:rsidRPr="00705A87">
        <w:rPr>
          <w:kern w:val="0"/>
        </w:rPr>
        <w:t xml:space="preserve"> </w:t>
      </w:r>
    </w:p>
    <w:p w14:paraId="6768DB02" w14:textId="77777777" w:rsidR="00705A87" w:rsidRPr="00705A87" w:rsidRDefault="00705A87" w:rsidP="00705A87">
      <w:pPr>
        <w:spacing w:before="100" w:beforeAutospacing="1" w:after="100" w:afterAutospacing="1" w:line="240" w:lineRule="auto"/>
        <w:ind w:left="0" w:firstLine="0"/>
        <w:rPr>
          <w:kern w:val="0"/>
        </w:rPr>
      </w:pPr>
      <w:proofErr w:type="spellStart"/>
      <w:r w:rsidRPr="00705A87">
        <w:rPr>
          <w:kern w:val="0"/>
        </w:rPr>
        <w:t>Fajkowska</w:t>
      </w:r>
      <w:proofErr w:type="spellEnd"/>
      <w:r w:rsidRPr="00705A87">
        <w:rPr>
          <w:kern w:val="0"/>
        </w:rPr>
        <w:t xml:space="preserve">, M., Adamek-Urbańska, D., </w:t>
      </w:r>
      <w:proofErr w:type="spellStart"/>
      <w:r w:rsidRPr="00705A87">
        <w:rPr>
          <w:kern w:val="0"/>
        </w:rPr>
        <w:t>Ostaszewska</w:t>
      </w:r>
      <w:proofErr w:type="spellEnd"/>
      <w:r w:rsidRPr="00705A87">
        <w:rPr>
          <w:kern w:val="0"/>
        </w:rPr>
        <w:t xml:space="preserve">, T., Szczepkowski, M., &amp; </w:t>
      </w:r>
      <w:proofErr w:type="spellStart"/>
      <w:r w:rsidRPr="00705A87">
        <w:rPr>
          <w:kern w:val="0"/>
        </w:rPr>
        <w:t>Rzepkowska</w:t>
      </w:r>
      <w:proofErr w:type="spellEnd"/>
      <w:r w:rsidRPr="00705A87">
        <w:rPr>
          <w:kern w:val="0"/>
        </w:rPr>
        <w:t xml:space="preserve">, M. (2021). Effect of genistein, daidzein and </w:t>
      </w:r>
      <w:proofErr w:type="spellStart"/>
      <w:r w:rsidRPr="00705A87">
        <w:rPr>
          <w:kern w:val="0"/>
        </w:rPr>
        <w:t>coumestrol</w:t>
      </w:r>
      <w:proofErr w:type="spellEnd"/>
      <w:r w:rsidRPr="00705A87">
        <w:rPr>
          <w:kern w:val="0"/>
        </w:rPr>
        <w:t xml:space="preserve"> on sex-related genes expression in Russian sturgeon (</w:t>
      </w:r>
      <w:r w:rsidRPr="00705A87">
        <w:rPr>
          <w:i/>
          <w:iCs/>
          <w:kern w:val="0"/>
        </w:rPr>
        <w:t xml:space="preserve">Acipenser </w:t>
      </w:r>
      <w:proofErr w:type="spellStart"/>
      <w:r w:rsidRPr="00705A87">
        <w:rPr>
          <w:i/>
          <w:iCs/>
          <w:kern w:val="0"/>
        </w:rPr>
        <w:t>gueldenstaedtii</w:t>
      </w:r>
      <w:proofErr w:type="spellEnd"/>
      <w:r w:rsidRPr="00705A87">
        <w:rPr>
          <w:kern w:val="0"/>
        </w:rPr>
        <w:t xml:space="preserve">). </w:t>
      </w:r>
      <w:r w:rsidRPr="00705A87">
        <w:rPr>
          <w:i/>
          <w:iCs/>
          <w:kern w:val="0"/>
        </w:rPr>
        <w:t>Aquaculture, 530</w:t>
      </w:r>
      <w:r w:rsidRPr="00705A87">
        <w:rPr>
          <w:kern w:val="0"/>
        </w:rPr>
        <w:t xml:space="preserve">, 735872. </w:t>
      </w:r>
      <w:hyperlink r:id="rId16" w:history="1">
        <w:r w:rsidRPr="00705A87">
          <w:rPr>
            <w:rStyle w:val="Hyperlink"/>
            <w:kern w:val="0"/>
            <w:lang w:val="en-GB" w:eastAsia="en-US"/>
          </w:rPr>
          <w:t>https://doi.org/10.1016/j.aquaculture.2020.735872</w:t>
        </w:r>
      </w:hyperlink>
      <w:r w:rsidRPr="00705A87">
        <w:rPr>
          <w:kern w:val="0"/>
        </w:rPr>
        <w:t xml:space="preserve"> </w:t>
      </w:r>
    </w:p>
    <w:p w14:paraId="3CA6DB08" w14:textId="77777777" w:rsidR="00705A87" w:rsidRPr="00705A87" w:rsidRDefault="00705A87" w:rsidP="00705A87">
      <w:pPr>
        <w:spacing w:before="100" w:beforeAutospacing="1" w:after="100" w:afterAutospacing="1" w:line="240" w:lineRule="auto"/>
        <w:ind w:left="0" w:firstLine="0"/>
        <w:rPr>
          <w:kern w:val="0"/>
        </w:rPr>
      </w:pPr>
      <w:r w:rsidRPr="00705A87">
        <w:rPr>
          <w:kern w:val="0"/>
        </w:rPr>
        <w:t xml:space="preserve">Izquierdo, M. S., Fernández-Palacios, H., &amp; Tacon, A. G. J. (2001). Effect of broodstock nutrition on reproductive performance of fish. </w:t>
      </w:r>
      <w:r w:rsidRPr="00705A87">
        <w:rPr>
          <w:i/>
          <w:iCs/>
          <w:kern w:val="0"/>
        </w:rPr>
        <w:t>Aquaculture, 197</w:t>
      </w:r>
      <w:r w:rsidRPr="00705A87">
        <w:rPr>
          <w:kern w:val="0"/>
        </w:rPr>
        <w:t xml:space="preserve">(1–4), 25–42. </w:t>
      </w:r>
      <w:hyperlink r:id="rId17" w:history="1">
        <w:r w:rsidRPr="00705A87">
          <w:rPr>
            <w:rStyle w:val="Hyperlink"/>
            <w:kern w:val="0"/>
            <w:lang w:val="en-GB" w:eastAsia="en-US"/>
          </w:rPr>
          <w:t>https://doi.org/10.1016/S0044-8486(01)00581-6</w:t>
        </w:r>
      </w:hyperlink>
      <w:r w:rsidRPr="00705A87">
        <w:rPr>
          <w:kern w:val="0"/>
        </w:rPr>
        <w:t xml:space="preserve"> </w:t>
      </w:r>
    </w:p>
    <w:p w14:paraId="682D8CAF" w14:textId="77777777" w:rsidR="00705A87" w:rsidRPr="00705A87" w:rsidRDefault="00705A87" w:rsidP="00705A87">
      <w:pPr>
        <w:spacing w:before="100" w:beforeAutospacing="1" w:after="100" w:afterAutospacing="1" w:line="240" w:lineRule="auto"/>
        <w:ind w:left="0" w:firstLine="0"/>
        <w:rPr>
          <w:kern w:val="0"/>
        </w:rPr>
      </w:pPr>
      <w:r w:rsidRPr="00705A87">
        <w:rPr>
          <w:kern w:val="0"/>
        </w:rPr>
        <w:t xml:space="preserve">Kidd, K. A., Blanchfield, P. J., Mills, K. H., Palace, V. P., Evans, R. E., Lazorchak, J. M., &amp; Flick, R. W. (2007). Collapse of a fish population after exposure to a synthetic </w:t>
      </w:r>
      <w:proofErr w:type="spellStart"/>
      <w:r w:rsidRPr="00705A87">
        <w:rPr>
          <w:kern w:val="0"/>
        </w:rPr>
        <w:t>estrogen</w:t>
      </w:r>
      <w:proofErr w:type="spellEnd"/>
      <w:r w:rsidRPr="00705A87">
        <w:rPr>
          <w:kern w:val="0"/>
        </w:rPr>
        <w:t xml:space="preserve">. </w:t>
      </w:r>
      <w:r w:rsidRPr="00705A87">
        <w:rPr>
          <w:i/>
          <w:iCs/>
          <w:kern w:val="0"/>
        </w:rPr>
        <w:t>Proceedings of the National Academy of Sciences of the United States of America, 104</w:t>
      </w:r>
      <w:r w:rsidRPr="00705A87">
        <w:rPr>
          <w:kern w:val="0"/>
        </w:rPr>
        <w:t xml:space="preserve">(21), 8897–8901. </w:t>
      </w:r>
      <w:hyperlink r:id="rId18" w:history="1">
        <w:r w:rsidRPr="00705A87">
          <w:rPr>
            <w:rStyle w:val="Hyperlink"/>
            <w:kern w:val="0"/>
            <w:lang w:val="en-GB" w:eastAsia="en-US"/>
          </w:rPr>
          <w:t>https://doi.org/10.1073/pnas.0609568104</w:t>
        </w:r>
      </w:hyperlink>
      <w:r w:rsidRPr="00705A87">
        <w:rPr>
          <w:kern w:val="0"/>
        </w:rPr>
        <w:t xml:space="preserve"> </w:t>
      </w:r>
    </w:p>
    <w:p w14:paraId="367AFA0E" w14:textId="77777777" w:rsidR="00705A87" w:rsidRPr="00705A87" w:rsidRDefault="00705A87" w:rsidP="00705A87">
      <w:pPr>
        <w:spacing w:before="100" w:beforeAutospacing="1" w:after="100" w:afterAutospacing="1" w:line="240" w:lineRule="auto"/>
        <w:ind w:left="0" w:firstLine="0"/>
        <w:rPr>
          <w:kern w:val="0"/>
        </w:rPr>
      </w:pPr>
      <w:r w:rsidRPr="00705A87">
        <w:rPr>
          <w:kern w:val="0"/>
        </w:rPr>
        <w:t xml:space="preserve">Lazzarotto, V., </w:t>
      </w:r>
      <w:proofErr w:type="spellStart"/>
      <w:r w:rsidRPr="00705A87">
        <w:rPr>
          <w:kern w:val="0"/>
        </w:rPr>
        <w:t>Corraze</w:t>
      </w:r>
      <w:proofErr w:type="spellEnd"/>
      <w:r w:rsidRPr="00705A87">
        <w:rPr>
          <w:kern w:val="0"/>
        </w:rPr>
        <w:t xml:space="preserve">, G., Leprevost, A., Quillet, E., Dupont-Nivet, M., &amp; </w:t>
      </w:r>
      <w:proofErr w:type="spellStart"/>
      <w:r w:rsidRPr="00705A87">
        <w:rPr>
          <w:kern w:val="0"/>
        </w:rPr>
        <w:t>Médale</w:t>
      </w:r>
      <w:proofErr w:type="spellEnd"/>
      <w:r w:rsidRPr="00705A87">
        <w:rPr>
          <w:kern w:val="0"/>
        </w:rPr>
        <w:t>, F. (2015). Three-year breeding cycle of rainbow trout (Oncorhynchus mykiss) fed a plant-based diet, totally free of marine resources: consequences for reproduction, fatty acid composition and progeny survival. </w:t>
      </w:r>
      <w:proofErr w:type="spellStart"/>
      <w:r w:rsidRPr="00705A87">
        <w:rPr>
          <w:i/>
          <w:iCs/>
          <w:kern w:val="0"/>
        </w:rPr>
        <w:t>PloS</w:t>
      </w:r>
      <w:proofErr w:type="spellEnd"/>
      <w:r w:rsidRPr="00705A87">
        <w:rPr>
          <w:i/>
          <w:iCs/>
          <w:kern w:val="0"/>
        </w:rPr>
        <w:t xml:space="preserve"> one</w:t>
      </w:r>
      <w:r w:rsidRPr="00705A87">
        <w:rPr>
          <w:kern w:val="0"/>
        </w:rPr>
        <w:t>, </w:t>
      </w:r>
      <w:r w:rsidRPr="00705A87">
        <w:rPr>
          <w:i/>
          <w:iCs/>
          <w:kern w:val="0"/>
        </w:rPr>
        <w:t>10</w:t>
      </w:r>
      <w:r w:rsidRPr="00705A87">
        <w:rPr>
          <w:kern w:val="0"/>
        </w:rPr>
        <w:t xml:space="preserve">(2), e0117609. </w:t>
      </w:r>
      <w:hyperlink r:id="rId19" w:history="1">
        <w:r w:rsidRPr="00705A87">
          <w:rPr>
            <w:rStyle w:val="Hyperlink"/>
            <w:kern w:val="0"/>
            <w:lang w:val="en-GB"/>
          </w:rPr>
          <w:t>https://doi.org/10.1371/journal.pone.0117609</w:t>
        </w:r>
      </w:hyperlink>
      <w:r w:rsidRPr="00705A87">
        <w:rPr>
          <w:kern w:val="0"/>
        </w:rPr>
        <w:t xml:space="preserve"> </w:t>
      </w:r>
    </w:p>
    <w:p w14:paraId="26D7B4D1" w14:textId="77777777" w:rsidR="00705A87" w:rsidRPr="00705A87" w:rsidRDefault="00705A87" w:rsidP="00705A87">
      <w:pPr>
        <w:spacing w:before="100" w:beforeAutospacing="1" w:after="100" w:afterAutospacing="1" w:line="240" w:lineRule="auto"/>
        <w:ind w:left="0" w:firstLine="0"/>
        <w:rPr>
          <w:kern w:val="0"/>
        </w:rPr>
      </w:pPr>
      <w:r w:rsidRPr="00705A87">
        <w:rPr>
          <w:kern w:val="0"/>
        </w:rPr>
        <w:t xml:space="preserve">Moezzi, S. A., Ramezani, S., Rezaei, K., &amp; </w:t>
      </w:r>
      <w:proofErr w:type="spellStart"/>
      <w:r w:rsidRPr="00705A87">
        <w:rPr>
          <w:kern w:val="0"/>
        </w:rPr>
        <w:t>Khoei</w:t>
      </w:r>
      <w:proofErr w:type="spellEnd"/>
      <w:r w:rsidRPr="00705A87">
        <w:rPr>
          <w:kern w:val="0"/>
        </w:rPr>
        <w:t>, A. J. (2025). Mechanisms of Pesticide Toxicity in Fish: Insights Into the Ameliorative Role of Plant‐Derived Compounds—A Review. </w:t>
      </w:r>
      <w:r w:rsidRPr="00705A87">
        <w:rPr>
          <w:i/>
          <w:iCs/>
          <w:kern w:val="0"/>
        </w:rPr>
        <w:t>Aquaculture Nutrition</w:t>
      </w:r>
      <w:r w:rsidRPr="00705A87">
        <w:rPr>
          <w:kern w:val="0"/>
        </w:rPr>
        <w:t>, </w:t>
      </w:r>
      <w:r w:rsidRPr="00705A87">
        <w:rPr>
          <w:i/>
          <w:iCs/>
          <w:kern w:val="0"/>
        </w:rPr>
        <w:t>2025</w:t>
      </w:r>
      <w:r w:rsidRPr="00705A87">
        <w:rPr>
          <w:kern w:val="0"/>
        </w:rPr>
        <w:t xml:space="preserve">(1), 5328773.  </w:t>
      </w:r>
      <w:hyperlink r:id="rId20" w:history="1">
        <w:r w:rsidRPr="00705A87">
          <w:rPr>
            <w:rStyle w:val="Hyperlink"/>
            <w:kern w:val="0"/>
            <w:lang w:val="en-GB"/>
          </w:rPr>
          <w:t>https://doi.org/10.1155/anu/5328773</w:t>
        </w:r>
      </w:hyperlink>
      <w:r w:rsidRPr="00705A87">
        <w:rPr>
          <w:kern w:val="0"/>
        </w:rPr>
        <w:t xml:space="preserve"> </w:t>
      </w:r>
    </w:p>
    <w:p w14:paraId="3C408593" w14:textId="77777777" w:rsidR="00705A87" w:rsidRPr="00705A87" w:rsidRDefault="00705A87" w:rsidP="00705A87">
      <w:pPr>
        <w:spacing w:before="100" w:beforeAutospacing="1" w:after="100" w:afterAutospacing="1" w:line="240" w:lineRule="auto"/>
        <w:ind w:left="0" w:firstLine="0"/>
        <w:rPr>
          <w:kern w:val="0"/>
        </w:rPr>
      </w:pPr>
      <w:r w:rsidRPr="00705A87">
        <w:rPr>
          <w:kern w:val="0"/>
        </w:rPr>
        <w:t xml:space="preserve">Momin, M., &amp; Memiş, D. (2023). Dietary </w:t>
      </w:r>
      <w:r w:rsidRPr="00705A87">
        <w:rPr>
          <w:i/>
          <w:iCs/>
          <w:kern w:val="0"/>
        </w:rPr>
        <w:t>Moringa oleifera</w:t>
      </w:r>
      <w:r w:rsidRPr="00705A87">
        <w:rPr>
          <w:kern w:val="0"/>
        </w:rPr>
        <w:t xml:space="preserve"> leaves to male rainbow trout (</w:t>
      </w:r>
      <w:r w:rsidRPr="00705A87">
        <w:rPr>
          <w:i/>
          <w:iCs/>
          <w:kern w:val="0"/>
        </w:rPr>
        <w:t>Oncorhynchus mykiss</w:t>
      </w:r>
      <w:r w:rsidRPr="00705A87">
        <w:rPr>
          <w:kern w:val="0"/>
        </w:rPr>
        <w:t xml:space="preserve">) broodstock: Effects on sperm quality and reproductive performance. </w:t>
      </w:r>
      <w:r w:rsidRPr="00705A87">
        <w:rPr>
          <w:i/>
          <w:iCs/>
          <w:kern w:val="0"/>
        </w:rPr>
        <w:t>Aquaculture, 577</w:t>
      </w:r>
      <w:r w:rsidRPr="00705A87">
        <w:rPr>
          <w:kern w:val="0"/>
        </w:rPr>
        <w:t xml:space="preserve">, 739991. </w:t>
      </w:r>
      <w:hyperlink r:id="rId21" w:history="1">
        <w:r w:rsidRPr="00705A87">
          <w:rPr>
            <w:rStyle w:val="Hyperlink"/>
            <w:kern w:val="0"/>
            <w:lang w:val="en-GB" w:eastAsia="en-US"/>
          </w:rPr>
          <w:t>https://doi.org/10.1016/j.aquaculture.2023.739991</w:t>
        </w:r>
      </w:hyperlink>
      <w:r w:rsidRPr="00705A87">
        <w:rPr>
          <w:kern w:val="0"/>
        </w:rPr>
        <w:t xml:space="preserve"> </w:t>
      </w:r>
    </w:p>
    <w:p w14:paraId="12513577" w14:textId="77777777" w:rsidR="00705A87" w:rsidRPr="00705A87" w:rsidRDefault="00705A87" w:rsidP="00705A87">
      <w:pPr>
        <w:spacing w:before="100" w:beforeAutospacing="1" w:after="100" w:afterAutospacing="1" w:line="240" w:lineRule="auto"/>
        <w:ind w:left="0" w:firstLine="0"/>
        <w:rPr>
          <w:kern w:val="0"/>
        </w:rPr>
      </w:pPr>
      <w:r w:rsidRPr="00705A87">
        <w:rPr>
          <w:kern w:val="0"/>
        </w:rPr>
        <w:t xml:space="preserve">Ng, Y., Hanson, S., </w:t>
      </w:r>
      <w:proofErr w:type="spellStart"/>
      <w:r w:rsidRPr="00705A87">
        <w:rPr>
          <w:kern w:val="0"/>
        </w:rPr>
        <w:t>Malison</w:t>
      </w:r>
      <w:proofErr w:type="spellEnd"/>
      <w:r w:rsidRPr="00705A87">
        <w:rPr>
          <w:kern w:val="0"/>
        </w:rPr>
        <w:t xml:space="preserve">, J. A., Wentworth, B., &amp; Barry, T. P. (2006). Genistein and other isoflavones found in soybeans inhibit </w:t>
      </w:r>
      <w:proofErr w:type="spellStart"/>
      <w:r w:rsidRPr="00705A87">
        <w:rPr>
          <w:kern w:val="0"/>
        </w:rPr>
        <w:t>estrogen</w:t>
      </w:r>
      <w:proofErr w:type="spellEnd"/>
      <w:r w:rsidRPr="00705A87">
        <w:rPr>
          <w:kern w:val="0"/>
        </w:rPr>
        <w:t xml:space="preserve"> metabolism in salmonid fish. </w:t>
      </w:r>
      <w:r w:rsidRPr="00705A87">
        <w:rPr>
          <w:i/>
          <w:iCs/>
          <w:kern w:val="0"/>
        </w:rPr>
        <w:t>Aquaculture, 254</w:t>
      </w:r>
      <w:r w:rsidRPr="00705A87">
        <w:rPr>
          <w:kern w:val="0"/>
        </w:rPr>
        <w:t xml:space="preserve">(1–4), 658–665. </w:t>
      </w:r>
      <w:hyperlink r:id="rId22" w:history="1">
        <w:r w:rsidRPr="00705A87">
          <w:rPr>
            <w:rStyle w:val="Hyperlink"/>
            <w:kern w:val="0"/>
            <w:lang w:val="en-GB" w:eastAsia="en-US"/>
          </w:rPr>
          <w:t>https://doi.org/10.1016/j.aquaculture.2005.10.039</w:t>
        </w:r>
      </w:hyperlink>
      <w:r w:rsidRPr="00705A87">
        <w:rPr>
          <w:kern w:val="0"/>
        </w:rPr>
        <w:t xml:space="preserve"> </w:t>
      </w:r>
    </w:p>
    <w:p w14:paraId="507CE0A2" w14:textId="77777777" w:rsidR="00705A87" w:rsidRPr="00705A87" w:rsidRDefault="00705A87" w:rsidP="00705A87">
      <w:pPr>
        <w:spacing w:before="100" w:beforeAutospacing="1" w:after="100" w:afterAutospacing="1" w:line="240" w:lineRule="auto"/>
        <w:ind w:left="0" w:firstLine="0"/>
        <w:rPr>
          <w:kern w:val="0"/>
        </w:rPr>
      </w:pPr>
      <w:r w:rsidRPr="00705A87">
        <w:rPr>
          <w:kern w:val="0"/>
        </w:rPr>
        <w:lastRenderedPageBreak/>
        <w:t>Park, C., &amp; Lim, H. B. (2025). Unveiling the Endocrine-Disrupting Potential of Plant-Derived Compounds: An Ecotoxicological Review. </w:t>
      </w:r>
      <w:r w:rsidRPr="00705A87">
        <w:rPr>
          <w:i/>
          <w:iCs/>
          <w:kern w:val="0"/>
        </w:rPr>
        <w:t>Toxins</w:t>
      </w:r>
      <w:r w:rsidRPr="00705A87">
        <w:rPr>
          <w:kern w:val="0"/>
        </w:rPr>
        <w:t>, </w:t>
      </w:r>
      <w:r w:rsidRPr="00705A87">
        <w:rPr>
          <w:i/>
          <w:iCs/>
          <w:kern w:val="0"/>
        </w:rPr>
        <w:t>17</w:t>
      </w:r>
      <w:r w:rsidRPr="00705A87">
        <w:rPr>
          <w:kern w:val="0"/>
        </w:rPr>
        <w:t xml:space="preserve">(8), 423. </w:t>
      </w:r>
      <w:hyperlink r:id="rId23" w:history="1">
        <w:r w:rsidRPr="00705A87">
          <w:rPr>
            <w:rStyle w:val="Hyperlink"/>
            <w:kern w:val="0"/>
            <w:lang w:val="en-GB"/>
          </w:rPr>
          <w:t>https://doi.org/10.3390/toxins17080423</w:t>
        </w:r>
      </w:hyperlink>
      <w:r w:rsidRPr="00705A87">
        <w:rPr>
          <w:kern w:val="0"/>
        </w:rPr>
        <w:t xml:space="preserve"> </w:t>
      </w:r>
    </w:p>
    <w:p w14:paraId="61C28EDA" w14:textId="77777777" w:rsidR="00705A87" w:rsidRPr="00705A87" w:rsidRDefault="00705A87" w:rsidP="00705A87">
      <w:pPr>
        <w:spacing w:before="100" w:beforeAutospacing="1" w:after="100" w:afterAutospacing="1" w:line="240" w:lineRule="auto"/>
        <w:ind w:left="0" w:firstLine="0"/>
        <w:rPr>
          <w:kern w:val="0"/>
        </w:rPr>
      </w:pPr>
      <w:r w:rsidRPr="00705A87">
        <w:rPr>
          <w:kern w:val="0"/>
        </w:rPr>
        <w:t>Sallam, G. R., Abdel-Rahim, M. M., Lotfy, A. M., Elwan, R. I., Al-</w:t>
      </w:r>
      <w:proofErr w:type="spellStart"/>
      <w:r w:rsidRPr="00705A87">
        <w:rPr>
          <w:kern w:val="0"/>
        </w:rPr>
        <w:t>absawey</w:t>
      </w:r>
      <w:proofErr w:type="spellEnd"/>
      <w:r w:rsidRPr="00705A87">
        <w:rPr>
          <w:kern w:val="0"/>
        </w:rPr>
        <w:t xml:space="preserve">, M. A., </w:t>
      </w:r>
      <w:proofErr w:type="spellStart"/>
      <w:r w:rsidRPr="00705A87">
        <w:rPr>
          <w:kern w:val="0"/>
        </w:rPr>
        <w:t>Elhetawy</w:t>
      </w:r>
      <w:proofErr w:type="spellEnd"/>
      <w:r w:rsidRPr="00705A87">
        <w:rPr>
          <w:kern w:val="0"/>
        </w:rPr>
        <w:t xml:space="preserve">, A. I. G., Fayed, W. M., Shehata, A. I., &amp; El </w:t>
      </w:r>
      <w:proofErr w:type="spellStart"/>
      <w:r w:rsidRPr="00705A87">
        <w:rPr>
          <w:kern w:val="0"/>
        </w:rPr>
        <w:t>Basuini</w:t>
      </w:r>
      <w:proofErr w:type="spellEnd"/>
      <w:r w:rsidRPr="00705A87">
        <w:rPr>
          <w:kern w:val="0"/>
        </w:rPr>
        <w:t xml:space="preserve">, M. F. (2025). Long term dietary </w:t>
      </w:r>
      <w:r w:rsidRPr="00705A87">
        <w:rPr>
          <w:i/>
          <w:iCs/>
          <w:kern w:val="0"/>
        </w:rPr>
        <w:t>Moringa oleifera</w:t>
      </w:r>
      <w:r w:rsidRPr="00705A87">
        <w:rPr>
          <w:kern w:val="0"/>
        </w:rPr>
        <w:t xml:space="preserve"> leaf extract to Florida red tilapia </w:t>
      </w:r>
      <w:r w:rsidRPr="00705A87">
        <w:rPr>
          <w:i/>
          <w:iCs/>
          <w:kern w:val="0"/>
        </w:rPr>
        <w:t>Oreochromis</w:t>
      </w:r>
      <w:r w:rsidRPr="00705A87">
        <w:rPr>
          <w:kern w:val="0"/>
        </w:rPr>
        <w:t xml:space="preserve"> </w:t>
      </w:r>
      <w:proofErr w:type="spellStart"/>
      <w:r w:rsidRPr="00705A87">
        <w:rPr>
          <w:kern w:val="0"/>
        </w:rPr>
        <w:t>sp</w:t>
      </w:r>
      <w:proofErr w:type="spellEnd"/>
      <w:r w:rsidRPr="00705A87">
        <w:rPr>
          <w:kern w:val="0"/>
        </w:rPr>
        <w:t xml:space="preserve"> improves performance immunity maturation and reproduction in saltwater. </w:t>
      </w:r>
      <w:r w:rsidRPr="00705A87">
        <w:rPr>
          <w:i/>
          <w:iCs/>
          <w:kern w:val="0"/>
        </w:rPr>
        <w:t>Scientific Reports, 15</w:t>
      </w:r>
      <w:r w:rsidRPr="00705A87">
        <w:rPr>
          <w:kern w:val="0"/>
        </w:rPr>
        <w:t xml:space="preserve">, 20261. </w:t>
      </w:r>
      <w:hyperlink r:id="rId24" w:history="1">
        <w:r w:rsidRPr="00705A87">
          <w:rPr>
            <w:rStyle w:val="Hyperlink"/>
            <w:kern w:val="0"/>
            <w:lang w:val="en-GB" w:eastAsia="en-US"/>
          </w:rPr>
          <w:t>https://doi.org/10.1038/s41598-025-06881-2</w:t>
        </w:r>
      </w:hyperlink>
      <w:r w:rsidRPr="00705A87">
        <w:rPr>
          <w:kern w:val="0"/>
        </w:rPr>
        <w:t xml:space="preserve"> </w:t>
      </w:r>
    </w:p>
    <w:p w14:paraId="7FEF1F87" w14:textId="77777777" w:rsidR="00705A87" w:rsidRPr="00705A87" w:rsidRDefault="00705A87" w:rsidP="00705A87">
      <w:pPr>
        <w:spacing w:before="100" w:beforeAutospacing="1" w:after="100" w:afterAutospacing="1" w:line="240" w:lineRule="auto"/>
        <w:ind w:left="0" w:firstLine="0"/>
        <w:rPr>
          <w:kern w:val="0"/>
        </w:rPr>
      </w:pPr>
      <w:r w:rsidRPr="00705A87">
        <w:rPr>
          <w:kern w:val="0"/>
        </w:rPr>
        <w:t xml:space="preserve">Sassi-Messai, S., Gibert, Y., Bernard, L., Nishio, S.-I., Ferri Lagneau, K. F., &amp; </w:t>
      </w:r>
      <w:proofErr w:type="spellStart"/>
      <w:r w:rsidRPr="00705A87">
        <w:rPr>
          <w:kern w:val="0"/>
        </w:rPr>
        <w:t>Laudet</w:t>
      </w:r>
      <w:proofErr w:type="spellEnd"/>
      <w:r w:rsidRPr="00705A87">
        <w:rPr>
          <w:kern w:val="0"/>
        </w:rPr>
        <w:t xml:space="preserve">, V. (2009). The phytoestrogen genistein affects zebrafish development through two different pathways. </w:t>
      </w:r>
      <w:r w:rsidRPr="00705A87">
        <w:rPr>
          <w:i/>
          <w:iCs/>
          <w:kern w:val="0"/>
        </w:rPr>
        <w:t>PLOS ONE, 4</w:t>
      </w:r>
      <w:r w:rsidRPr="00705A87">
        <w:rPr>
          <w:kern w:val="0"/>
        </w:rPr>
        <w:t xml:space="preserve">(3), e4935. </w:t>
      </w:r>
      <w:hyperlink r:id="rId25" w:history="1">
        <w:r w:rsidRPr="00705A87">
          <w:rPr>
            <w:rStyle w:val="Hyperlink"/>
            <w:kern w:val="0"/>
            <w:lang w:val="en-GB" w:eastAsia="en-US"/>
          </w:rPr>
          <w:t>https://doi.org/10.1371/journal.pone.0004935</w:t>
        </w:r>
      </w:hyperlink>
      <w:r w:rsidRPr="00705A87">
        <w:rPr>
          <w:kern w:val="0"/>
        </w:rPr>
        <w:t xml:space="preserve"> </w:t>
      </w:r>
    </w:p>
    <w:p w14:paraId="1399722F" w14:textId="77777777" w:rsidR="00705A87" w:rsidRPr="00705A87" w:rsidRDefault="00705A87" w:rsidP="00705A87">
      <w:pPr>
        <w:spacing w:before="100" w:beforeAutospacing="1" w:after="100" w:afterAutospacing="1" w:line="240" w:lineRule="auto"/>
        <w:ind w:left="0" w:firstLine="0"/>
        <w:rPr>
          <w:kern w:val="0"/>
        </w:rPr>
      </w:pPr>
      <w:r w:rsidRPr="00705A87">
        <w:rPr>
          <w:kern w:val="0"/>
        </w:rPr>
        <w:t>Sumana, S. L., Xue, T., Hu, H., Abdullateef, M. M., Shui, Y., Ayana, G. U., ... &amp; Xiaojun, J. (2025). Medicinal Plants as Ecological Solutions for Fish Growth and Immunostimulatory Effects in Aquaculture. </w:t>
      </w:r>
      <w:r w:rsidRPr="00705A87">
        <w:rPr>
          <w:i/>
          <w:iCs/>
          <w:kern w:val="0"/>
        </w:rPr>
        <w:t>Aquaculture Research</w:t>
      </w:r>
      <w:r w:rsidRPr="00705A87">
        <w:rPr>
          <w:kern w:val="0"/>
        </w:rPr>
        <w:t>, </w:t>
      </w:r>
      <w:r w:rsidRPr="00705A87">
        <w:rPr>
          <w:i/>
          <w:iCs/>
          <w:kern w:val="0"/>
        </w:rPr>
        <w:t>2025</w:t>
      </w:r>
      <w:r w:rsidRPr="00705A87">
        <w:rPr>
          <w:kern w:val="0"/>
        </w:rPr>
        <w:t xml:space="preserve">(1), 9778623. </w:t>
      </w:r>
      <w:hyperlink r:id="rId26" w:history="1">
        <w:r w:rsidRPr="00705A87">
          <w:rPr>
            <w:rStyle w:val="Hyperlink"/>
            <w:kern w:val="0"/>
            <w:lang w:val="en-GB"/>
          </w:rPr>
          <w:t>https://doi.org/10.1155/are/9778623</w:t>
        </w:r>
      </w:hyperlink>
      <w:r w:rsidRPr="00705A87">
        <w:rPr>
          <w:kern w:val="0"/>
        </w:rPr>
        <w:t xml:space="preserve"> </w:t>
      </w:r>
    </w:p>
    <w:p w14:paraId="00BE3D89" w14:textId="77777777" w:rsidR="00705A87" w:rsidRPr="00926AE1" w:rsidRDefault="00705A87" w:rsidP="00926AE1">
      <w:pPr>
        <w:spacing w:before="100" w:beforeAutospacing="1" w:after="100" w:afterAutospacing="1" w:line="240" w:lineRule="auto"/>
        <w:ind w:left="0" w:firstLine="0"/>
        <w:rPr>
          <w:kern w:val="0"/>
        </w:rPr>
      </w:pPr>
    </w:p>
    <w:p w14:paraId="1D4B56B0" w14:textId="77777777" w:rsidR="000C411D" w:rsidRPr="00294D81" w:rsidRDefault="000C411D" w:rsidP="00294D81">
      <w:pPr>
        <w:rPr>
          <w:lang w:val="en-GB"/>
        </w:rPr>
      </w:pPr>
    </w:p>
    <w:sectPr w:rsidR="000C411D" w:rsidRPr="00294D81" w:rsidSect="00CB6EB6">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6-02-11T05:55:00Z" w:initials="U">
    <w:p w14:paraId="3EC65FE8" w14:textId="7786B469" w:rsidR="0040502E" w:rsidRDefault="0040502E">
      <w:pPr>
        <w:pStyle w:val="CommentText"/>
      </w:pPr>
      <w:r>
        <w:rPr>
          <w:rStyle w:val="CommentReference"/>
        </w:rPr>
        <w:annotationRef/>
      </w:r>
      <w:r w:rsidRPr="0040502E">
        <w:t>If you want an applicable title, then the title of this article should be: Utilization of Plant-Based Nutraceuticals for Optimizing Fish Reproduction in Aquaculture</w:t>
      </w:r>
    </w:p>
  </w:comment>
  <w:comment w:id="1" w:author="User" w:date="2026-02-11T06:10:00Z" w:initials="U">
    <w:p w14:paraId="5371517C" w14:textId="78722E83" w:rsidR="00F0228E" w:rsidRDefault="00F0228E">
      <w:pPr>
        <w:pStyle w:val="CommentText"/>
      </w:pPr>
      <w:r>
        <w:rPr>
          <w:rStyle w:val="CommentReference"/>
        </w:rPr>
        <w:annotationRef/>
      </w:r>
      <w:r w:rsidRPr="00F0228E">
        <w:t xml:space="preserve">Clearly state the research objectives and methods. If the method is experimental, state the treatments and repetitions. Was the data </w:t>
      </w:r>
      <w:proofErr w:type="spellStart"/>
      <w:r w:rsidRPr="00F0228E">
        <w:t>analyzed</w:t>
      </w:r>
      <w:proofErr w:type="spellEnd"/>
      <w:r w:rsidRPr="00F0228E">
        <w:t xml:space="preserve"> using ANOVA or other statistical tests?</w:t>
      </w:r>
    </w:p>
  </w:comment>
  <w:comment w:id="2" w:author="User" w:date="2026-02-11T06:25:00Z" w:initials="U">
    <w:p w14:paraId="57D0887B" w14:textId="03C4BD89" w:rsidR="00FA4290" w:rsidRDefault="00FA4290">
      <w:pPr>
        <w:pStyle w:val="CommentText"/>
      </w:pPr>
      <w:r>
        <w:rPr>
          <w:rStyle w:val="CommentReference"/>
        </w:rPr>
        <w:annotationRef/>
      </w:r>
      <w:r w:rsidRPr="00FA4290">
        <w:t>Because this is the result of a review, please state in the abstract and clarify the data used from which year to which year.</w:t>
      </w:r>
    </w:p>
  </w:comment>
  <w:comment w:id="3" w:author="User" w:date="2026-02-11T06:02:00Z" w:initials="U">
    <w:p w14:paraId="27CA3F0E" w14:textId="49680354" w:rsidR="00F0228E" w:rsidRDefault="00F0228E">
      <w:pPr>
        <w:pStyle w:val="CommentText"/>
      </w:pPr>
      <w:r>
        <w:rPr>
          <w:rStyle w:val="CommentReference"/>
        </w:rPr>
        <w:annotationRef/>
      </w:r>
      <w:r w:rsidRPr="00F0228E">
        <w:t>Keywords are only five words, please adjust</w:t>
      </w:r>
    </w:p>
  </w:comment>
  <w:comment w:id="4" w:author="User" w:date="2026-02-11T06:21:00Z" w:initials="U">
    <w:p w14:paraId="6530E487" w14:textId="030F32C7" w:rsidR="00EE53A3" w:rsidRDefault="00EE53A3">
      <w:pPr>
        <w:pStyle w:val="CommentText"/>
      </w:pPr>
      <w:r>
        <w:rPr>
          <w:rStyle w:val="CommentReference"/>
        </w:rPr>
        <w:annotationRef/>
      </w:r>
      <w:r w:rsidR="00FA4290" w:rsidRPr="00FA4290">
        <w:t>The introduction doesn't need to be lengthy, but it should be focused. It's best to clearly state the potential of nutraceuticals and clearly state the research problem based on the review results to gain insight into what hasn't been done in your research. Based on this information, you'll see what's new about this research, even though it's a review. Don't forget to state the purpose and benefits of this research at the end of the introduction.</w:t>
      </w:r>
    </w:p>
  </w:comment>
  <w:comment w:id="5" w:author="User" w:date="2026-02-11T06:33:00Z" w:initials="U">
    <w:p w14:paraId="2AEBADDF" w14:textId="7790478E" w:rsidR="00A0012E" w:rsidRDefault="00A0012E">
      <w:pPr>
        <w:pStyle w:val="CommentText"/>
      </w:pPr>
      <w:r>
        <w:rPr>
          <w:rStyle w:val="CommentReference"/>
        </w:rPr>
        <w:annotationRef/>
      </w:r>
      <w:r w:rsidRPr="00A0012E">
        <w:t>It is better to clarify the research objectives to make it more focused.</w:t>
      </w:r>
    </w:p>
  </w:comment>
  <w:comment w:id="6" w:author="User" w:date="2026-02-11T06:37:00Z" w:initials="U">
    <w:p w14:paraId="45287415" w14:textId="0CA6AAB7" w:rsidR="00A0012E" w:rsidRDefault="00A0012E">
      <w:pPr>
        <w:pStyle w:val="CommentText"/>
      </w:pPr>
      <w:r>
        <w:rPr>
          <w:rStyle w:val="CommentReference"/>
        </w:rPr>
        <w:annotationRef/>
      </w:r>
      <w:r w:rsidRPr="00A0012E">
        <w:t>This is interesting, present it in a table form to make the information easier to understand.</w:t>
      </w:r>
    </w:p>
  </w:comment>
  <w:comment w:id="7" w:author="User" w:date="2026-02-11T06:42:00Z" w:initials="U">
    <w:p w14:paraId="5FF4D6C3" w14:textId="78788D7C" w:rsidR="00A0012E" w:rsidRDefault="00A0012E">
      <w:pPr>
        <w:pStyle w:val="CommentText"/>
      </w:pPr>
      <w:r>
        <w:rPr>
          <w:rStyle w:val="CommentReference"/>
        </w:rPr>
        <w:annotationRef/>
      </w:r>
      <w:r w:rsidRPr="00A0012E">
        <w:t>It would be more interesting if it were presented in table form, then the author would provide comments.</w:t>
      </w:r>
    </w:p>
  </w:comment>
  <w:comment w:id="8" w:author="User" w:date="2026-02-11T06:42:00Z" w:initials="U">
    <w:p w14:paraId="43D8C495" w14:textId="1A3CAAAC" w:rsidR="00A0012E" w:rsidRDefault="00A0012E">
      <w:pPr>
        <w:pStyle w:val="CommentText"/>
      </w:pPr>
      <w:r>
        <w:rPr>
          <w:rStyle w:val="CommentReference"/>
        </w:rPr>
        <w:annotationRef/>
      </w:r>
      <w:r w:rsidRPr="00A0012E">
        <w:t>It would be more interesting if it were presented in table form, then the author would provide comments.</w:t>
      </w:r>
    </w:p>
  </w:comment>
  <w:comment w:id="9" w:author="User" w:date="2026-02-11T06:43:00Z" w:initials="U">
    <w:p w14:paraId="246C561D" w14:textId="6B00430B" w:rsidR="00A0012E" w:rsidRDefault="00A0012E">
      <w:pPr>
        <w:pStyle w:val="CommentText"/>
      </w:pPr>
      <w:r>
        <w:rPr>
          <w:rStyle w:val="CommentReference"/>
        </w:rPr>
        <w:annotationRef/>
      </w:r>
      <w:r w:rsidRPr="00A0012E">
        <w:t>It would be more interesting if it were presented in table form, then the author would provide comments.</w:t>
      </w:r>
    </w:p>
  </w:comment>
  <w:comment w:id="10" w:author="User" w:date="2026-02-11T06:43:00Z" w:initials="U">
    <w:p w14:paraId="0418DEC8" w14:textId="1F0D57A4" w:rsidR="00A0012E" w:rsidRDefault="00A0012E">
      <w:pPr>
        <w:pStyle w:val="CommentText"/>
      </w:pPr>
      <w:r>
        <w:rPr>
          <w:rStyle w:val="CommentReference"/>
        </w:rPr>
        <w:annotationRef/>
      </w:r>
      <w:r w:rsidRPr="00A0012E">
        <w:t>It would be more interesting if it were presented in table form, then the author would provide comments.</w:t>
      </w:r>
    </w:p>
  </w:comment>
  <w:comment w:id="11" w:author="User" w:date="2026-02-11T06:44:00Z" w:initials="U">
    <w:p w14:paraId="49987C5D" w14:textId="2EB758D5" w:rsidR="00A37F9F" w:rsidRDefault="00A37F9F">
      <w:pPr>
        <w:pStyle w:val="CommentText"/>
      </w:pPr>
      <w:r>
        <w:rPr>
          <w:rStyle w:val="CommentReference"/>
        </w:rPr>
        <w:annotationRef/>
      </w:r>
      <w:r w:rsidRPr="00A37F9F">
        <w:t>Display the review results in a table, write down the gaps and provide solutions to make it more interesting.</w:t>
      </w:r>
    </w:p>
  </w:comment>
  <w:comment w:id="12" w:author="User" w:date="2026-02-11T06:47:00Z" w:initials="U">
    <w:p w14:paraId="602E6CE2" w14:textId="2754158C" w:rsidR="00A37F9F" w:rsidRDefault="00A37F9F">
      <w:pPr>
        <w:pStyle w:val="CommentText"/>
      </w:pPr>
      <w:r>
        <w:rPr>
          <w:rStyle w:val="CommentReference"/>
        </w:rPr>
        <w:annotationRef/>
      </w:r>
      <w:r w:rsidRPr="00A37F9F">
        <w:t xml:space="preserve">replace with the word </w:t>
      </w:r>
      <w:r w:rsidRPr="00A37F9F">
        <w:rPr>
          <w:b/>
          <w:bCs/>
          <w:sz w:val="52"/>
          <w:szCs w:val="52"/>
        </w:rPr>
        <w:t xml:space="preserve">contribute </w:t>
      </w:r>
      <w:r w:rsidRPr="00A37F9F">
        <w:t>because this is the result of a review, not a trial</w:t>
      </w:r>
    </w:p>
  </w:comment>
  <w:comment w:id="13" w:author="User" w:date="2026-02-11T06:51:00Z" w:initials="U">
    <w:p w14:paraId="3C7787DD" w14:textId="0F05BD24" w:rsidR="00A37F9F" w:rsidRDefault="00A37F9F">
      <w:pPr>
        <w:pStyle w:val="CommentText"/>
      </w:pPr>
      <w:r>
        <w:rPr>
          <w:rStyle w:val="CommentReference"/>
        </w:rPr>
        <w:annotationRef/>
      </w:r>
      <w:r w:rsidRPr="00A37F9F">
        <w:t>Based on the research method, the articles reviewed ranged from 2000 to 2025. If so, this should be stated in the references. Selected references that represent the research objectives are sufficient.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C65FE8" w15:done="0"/>
  <w15:commentEx w15:paraId="5371517C" w15:done="0"/>
  <w15:commentEx w15:paraId="57D0887B" w15:done="0"/>
  <w15:commentEx w15:paraId="27CA3F0E" w15:done="0"/>
  <w15:commentEx w15:paraId="6530E487" w15:done="0"/>
  <w15:commentEx w15:paraId="2AEBADDF" w15:done="0"/>
  <w15:commentEx w15:paraId="45287415" w15:done="0"/>
  <w15:commentEx w15:paraId="5FF4D6C3" w15:done="0"/>
  <w15:commentEx w15:paraId="43D8C495" w15:done="0"/>
  <w15:commentEx w15:paraId="246C561D" w15:done="0"/>
  <w15:commentEx w15:paraId="0418DEC8" w15:done="0"/>
  <w15:commentEx w15:paraId="49987C5D" w15:done="0"/>
  <w15:commentEx w15:paraId="602E6CE2" w15:done="0"/>
  <w15:commentEx w15:paraId="3C7787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3F2CF2" w16cex:dateUtc="2026-02-10T21:55:00Z"/>
  <w16cex:commentExtensible w16cex:durableId="5FCD78B8" w16cex:dateUtc="2026-02-10T22:10:00Z"/>
  <w16cex:commentExtensible w16cex:durableId="1789C6D3" w16cex:dateUtc="2026-02-10T22:25:00Z"/>
  <w16cex:commentExtensible w16cex:durableId="3357F061" w16cex:dateUtc="2026-02-10T22:02:00Z"/>
  <w16cex:commentExtensible w16cex:durableId="64FA8388" w16cex:dateUtc="2026-02-10T22:21:00Z"/>
  <w16cex:commentExtensible w16cex:durableId="5116A1E1" w16cex:dateUtc="2026-02-10T22:33:00Z"/>
  <w16cex:commentExtensible w16cex:durableId="6D77A362" w16cex:dateUtc="2026-02-10T22:37:00Z"/>
  <w16cex:commentExtensible w16cex:durableId="784583B5" w16cex:dateUtc="2026-02-10T22:42:00Z"/>
  <w16cex:commentExtensible w16cex:durableId="53C56676" w16cex:dateUtc="2026-02-10T22:42:00Z"/>
  <w16cex:commentExtensible w16cex:durableId="769E0430" w16cex:dateUtc="2026-02-10T22:43:00Z"/>
  <w16cex:commentExtensible w16cex:durableId="654AEB52" w16cex:dateUtc="2026-02-10T22:43:00Z"/>
  <w16cex:commentExtensible w16cex:durableId="34576CEE" w16cex:dateUtc="2026-02-10T22:44:00Z"/>
  <w16cex:commentExtensible w16cex:durableId="1B92B24E" w16cex:dateUtc="2026-02-10T22:47:00Z"/>
  <w16cex:commentExtensible w16cex:durableId="09E7D7C7" w16cex:dateUtc="2026-02-10T2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C65FE8" w16cid:durableId="713F2CF2"/>
  <w16cid:commentId w16cid:paraId="5371517C" w16cid:durableId="5FCD78B8"/>
  <w16cid:commentId w16cid:paraId="57D0887B" w16cid:durableId="1789C6D3"/>
  <w16cid:commentId w16cid:paraId="27CA3F0E" w16cid:durableId="3357F061"/>
  <w16cid:commentId w16cid:paraId="6530E487" w16cid:durableId="64FA8388"/>
  <w16cid:commentId w16cid:paraId="2AEBADDF" w16cid:durableId="5116A1E1"/>
  <w16cid:commentId w16cid:paraId="45287415" w16cid:durableId="6D77A362"/>
  <w16cid:commentId w16cid:paraId="5FF4D6C3" w16cid:durableId="784583B5"/>
  <w16cid:commentId w16cid:paraId="43D8C495" w16cid:durableId="53C56676"/>
  <w16cid:commentId w16cid:paraId="246C561D" w16cid:durableId="769E0430"/>
  <w16cid:commentId w16cid:paraId="0418DEC8" w16cid:durableId="654AEB52"/>
  <w16cid:commentId w16cid:paraId="49987C5D" w16cid:durableId="34576CEE"/>
  <w16cid:commentId w16cid:paraId="602E6CE2" w16cid:durableId="1B92B24E"/>
  <w16cid:commentId w16cid:paraId="3C7787DD" w16cid:durableId="09E7D7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8323B" w14:textId="77777777" w:rsidR="00E41065" w:rsidRDefault="00E41065" w:rsidP="009A7885">
      <w:pPr>
        <w:spacing w:after="0" w:line="240" w:lineRule="auto"/>
      </w:pPr>
      <w:r>
        <w:separator/>
      </w:r>
    </w:p>
  </w:endnote>
  <w:endnote w:type="continuationSeparator" w:id="0">
    <w:p w14:paraId="7DAC4FF6" w14:textId="77777777" w:rsidR="00E41065" w:rsidRDefault="00E41065" w:rsidP="009A7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9C32" w14:textId="77777777" w:rsidR="009A7885" w:rsidRDefault="009A7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8069A" w14:textId="77777777" w:rsidR="009A7885" w:rsidRDefault="009A78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530C" w14:textId="77777777" w:rsidR="009A7885" w:rsidRDefault="009A7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1ADFD" w14:textId="77777777" w:rsidR="00E41065" w:rsidRDefault="00E41065" w:rsidP="009A7885">
      <w:pPr>
        <w:spacing w:after="0" w:line="240" w:lineRule="auto"/>
      </w:pPr>
      <w:r>
        <w:separator/>
      </w:r>
    </w:p>
  </w:footnote>
  <w:footnote w:type="continuationSeparator" w:id="0">
    <w:p w14:paraId="6F64E93D" w14:textId="77777777" w:rsidR="00E41065" w:rsidRDefault="00E41065" w:rsidP="009A7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10AAB" w14:textId="6E9717B6" w:rsidR="009A7885" w:rsidRDefault="00000000">
    <w:pPr>
      <w:pStyle w:val="Header"/>
    </w:pPr>
    <w:r>
      <w:rPr>
        <w:noProof/>
      </w:rPr>
      <w:pict w14:anchorId="5AE06B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2BC49" w14:textId="009A8405" w:rsidR="009A7885" w:rsidRDefault="00000000">
    <w:pPr>
      <w:pStyle w:val="Header"/>
    </w:pPr>
    <w:r>
      <w:rPr>
        <w:noProof/>
      </w:rPr>
      <w:pict w14:anchorId="6E139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6AB3" w14:textId="01558650" w:rsidR="009A7885" w:rsidRDefault="00000000">
    <w:pPr>
      <w:pStyle w:val="Header"/>
    </w:pPr>
    <w:r>
      <w:rPr>
        <w:noProof/>
      </w:rPr>
      <w:pict w14:anchorId="319D79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78F4"/>
    <w:rsid w:val="00007AAB"/>
    <w:rsid w:val="000425DD"/>
    <w:rsid w:val="00053D7A"/>
    <w:rsid w:val="0005616C"/>
    <w:rsid w:val="0006037D"/>
    <w:rsid w:val="000607E4"/>
    <w:rsid w:val="0006413B"/>
    <w:rsid w:val="000643E7"/>
    <w:rsid w:val="0006527C"/>
    <w:rsid w:val="000652AA"/>
    <w:rsid w:val="000656B9"/>
    <w:rsid w:val="000814C4"/>
    <w:rsid w:val="00086EDD"/>
    <w:rsid w:val="000A0EB4"/>
    <w:rsid w:val="000A2A54"/>
    <w:rsid w:val="000A79B2"/>
    <w:rsid w:val="000B75EF"/>
    <w:rsid w:val="000C411D"/>
    <w:rsid w:val="000C4F0E"/>
    <w:rsid w:val="000D461E"/>
    <w:rsid w:val="000D6AAA"/>
    <w:rsid w:val="000D7028"/>
    <w:rsid w:val="000D7DCE"/>
    <w:rsid w:val="000E67D1"/>
    <w:rsid w:val="000E709D"/>
    <w:rsid w:val="000F14D5"/>
    <w:rsid w:val="000F27AA"/>
    <w:rsid w:val="00111181"/>
    <w:rsid w:val="00114147"/>
    <w:rsid w:val="001261CC"/>
    <w:rsid w:val="00126ADF"/>
    <w:rsid w:val="001276CD"/>
    <w:rsid w:val="00131E50"/>
    <w:rsid w:val="00135191"/>
    <w:rsid w:val="00142919"/>
    <w:rsid w:val="001514E1"/>
    <w:rsid w:val="001560E3"/>
    <w:rsid w:val="001622A1"/>
    <w:rsid w:val="00166050"/>
    <w:rsid w:val="00170C08"/>
    <w:rsid w:val="00186E2A"/>
    <w:rsid w:val="00187CBB"/>
    <w:rsid w:val="0019059D"/>
    <w:rsid w:val="0019667B"/>
    <w:rsid w:val="001A165A"/>
    <w:rsid w:val="001A3703"/>
    <w:rsid w:val="001A6A2C"/>
    <w:rsid w:val="001A7A4E"/>
    <w:rsid w:val="001B2FA4"/>
    <w:rsid w:val="001B5753"/>
    <w:rsid w:val="001B7806"/>
    <w:rsid w:val="001D7EA7"/>
    <w:rsid w:val="001E6EC5"/>
    <w:rsid w:val="00202F35"/>
    <w:rsid w:val="0022042D"/>
    <w:rsid w:val="002312EA"/>
    <w:rsid w:val="0024324D"/>
    <w:rsid w:val="00246BC3"/>
    <w:rsid w:val="0025135B"/>
    <w:rsid w:val="00257AC1"/>
    <w:rsid w:val="00260455"/>
    <w:rsid w:val="00260B1D"/>
    <w:rsid w:val="002673C8"/>
    <w:rsid w:val="00267B17"/>
    <w:rsid w:val="00271A26"/>
    <w:rsid w:val="002778DD"/>
    <w:rsid w:val="00284F1F"/>
    <w:rsid w:val="00294D81"/>
    <w:rsid w:val="002A01F2"/>
    <w:rsid w:val="002A4C47"/>
    <w:rsid w:val="002B76E6"/>
    <w:rsid w:val="002C0DF9"/>
    <w:rsid w:val="002C48BB"/>
    <w:rsid w:val="002D0FD7"/>
    <w:rsid w:val="002D6FFA"/>
    <w:rsid w:val="002E0776"/>
    <w:rsid w:val="002F0434"/>
    <w:rsid w:val="002F3625"/>
    <w:rsid w:val="002F4C0C"/>
    <w:rsid w:val="00307595"/>
    <w:rsid w:val="0031286E"/>
    <w:rsid w:val="00316D75"/>
    <w:rsid w:val="00324164"/>
    <w:rsid w:val="00332243"/>
    <w:rsid w:val="0033735F"/>
    <w:rsid w:val="0035701C"/>
    <w:rsid w:val="003664CE"/>
    <w:rsid w:val="003740DE"/>
    <w:rsid w:val="003909C0"/>
    <w:rsid w:val="00391BB6"/>
    <w:rsid w:val="003975AE"/>
    <w:rsid w:val="003A104D"/>
    <w:rsid w:val="003A4787"/>
    <w:rsid w:val="003B035B"/>
    <w:rsid w:val="003B09B4"/>
    <w:rsid w:val="003B31CA"/>
    <w:rsid w:val="003B3553"/>
    <w:rsid w:val="003B400E"/>
    <w:rsid w:val="003B6CCD"/>
    <w:rsid w:val="003B73A7"/>
    <w:rsid w:val="003C31E9"/>
    <w:rsid w:val="003C4000"/>
    <w:rsid w:val="003E35A3"/>
    <w:rsid w:val="003E61B2"/>
    <w:rsid w:val="003F02C5"/>
    <w:rsid w:val="003F6E91"/>
    <w:rsid w:val="00400005"/>
    <w:rsid w:val="0040502E"/>
    <w:rsid w:val="00405181"/>
    <w:rsid w:val="004132B1"/>
    <w:rsid w:val="004148C1"/>
    <w:rsid w:val="004148F5"/>
    <w:rsid w:val="00416C8C"/>
    <w:rsid w:val="00443B5D"/>
    <w:rsid w:val="00445A92"/>
    <w:rsid w:val="00450568"/>
    <w:rsid w:val="0045531D"/>
    <w:rsid w:val="00456E20"/>
    <w:rsid w:val="004615AF"/>
    <w:rsid w:val="00462739"/>
    <w:rsid w:val="00463D85"/>
    <w:rsid w:val="00471027"/>
    <w:rsid w:val="004711B7"/>
    <w:rsid w:val="004A16BD"/>
    <w:rsid w:val="004A508F"/>
    <w:rsid w:val="004A5427"/>
    <w:rsid w:val="004A586B"/>
    <w:rsid w:val="004A7955"/>
    <w:rsid w:val="004B02DF"/>
    <w:rsid w:val="004C1A63"/>
    <w:rsid w:val="004C421D"/>
    <w:rsid w:val="004C6306"/>
    <w:rsid w:val="004C7547"/>
    <w:rsid w:val="004E1999"/>
    <w:rsid w:val="004E7311"/>
    <w:rsid w:val="004F07D5"/>
    <w:rsid w:val="004F2BB5"/>
    <w:rsid w:val="004F5E1D"/>
    <w:rsid w:val="004F7DFC"/>
    <w:rsid w:val="00516AA1"/>
    <w:rsid w:val="00523936"/>
    <w:rsid w:val="0052448D"/>
    <w:rsid w:val="0054487D"/>
    <w:rsid w:val="00554C7D"/>
    <w:rsid w:val="005577C6"/>
    <w:rsid w:val="0056389E"/>
    <w:rsid w:val="00564FB4"/>
    <w:rsid w:val="00565C3C"/>
    <w:rsid w:val="00571246"/>
    <w:rsid w:val="005A2AA6"/>
    <w:rsid w:val="005A5DEC"/>
    <w:rsid w:val="005B22C5"/>
    <w:rsid w:val="005B4ADB"/>
    <w:rsid w:val="005D2267"/>
    <w:rsid w:val="005D5E75"/>
    <w:rsid w:val="005D68FB"/>
    <w:rsid w:val="005F1FE6"/>
    <w:rsid w:val="006009AA"/>
    <w:rsid w:val="00605701"/>
    <w:rsid w:val="0061271E"/>
    <w:rsid w:val="0061521F"/>
    <w:rsid w:val="00622C65"/>
    <w:rsid w:val="00626F6E"/>
    <w:rsid w:val="00632906"/>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A7ABC"/>
    <w:rsid w:val="006B66BC"/>
    <w:rsid w:val="006D2558"/>
    <w:rsid w:val="006D455D"/>
    <w:rsid w:val="006E13D4"/>
    <w:rsid w:val="006E4B0A"/>
    <w:rsid w:val="006F1FC2"/>
    <w:rsid w:val="006F708E"/>
    <w:rsid w:val="00705A87"/>
    <w:rsid w:val="00711B14"/>
    <w:rsid w:val="00713825"/>
    <w:rsid w:val="00720F41"/>
    <w:rsid w:val="00721966"/>
    <w:rsid w:val="00737A32"/>
    <w:rsid w:val="00755BDC"/>
    <w:rsid w:val="00761CB6"/>
    <w:rsid w:val="00773599"/>
    <w:rsid w:val="00774395"/>
    <w:rsid w:val="0077761A"/>
    <w:rsid w:val="0078275D"/>
    <w:rsid w:val="00783E9E"/>
    <w:rsid w:val="00786C67"/>
    <w:rsid w:val="00796571"/>
    <w:rsid w:val="007B0E74"/>
    <w:rsid w:val="007B437D"/>
    <w:rsid w:val="007B515D"/>
    <w:rsid w:val="007C5F8A"/>
    <w:rsid w:val="007C7951"/>
    <w:rsid w:val="007D03BC"/>
    <w:rsid w:val="007D38FC"/>
    <w:rsid w:val="007E249F"/>
    <w:rsid w:val="007F1928"/>
    <w:rsid w:val="008017C0"/>
    <w:rsid w:val="00804929"/>
    <w:rsid w:val="008107F6"/>
    <w:rsid w:val="00812006"/>
    <w:rsid w:val="008132DB"/>
    <w:rsid w:val="00820C75"/>
    <w:rsid w:val="00831623"/>
    <w:rsid w:val="0083179B"/>
    <w:rsid w:val="008374C4"/>
    <w:rsid w:val="008426E2"/>
    <w:rsid w:val="008461BC"/>
    <w:rsid w:val="00852537"/>
    <w:rsid w:val="00854085"/>
    <w:rsid w:val="00855A4C"/>
    <w:rsid w:val="00856AFD"/>
    <w:rsid w:val="0087023A"/>
    <w:rsid w:val="00870945"/>
    <w:rsid w:val="00872F5F"/>
    <w:rsid w:val="00876190"/>
    <w:rsid w:val="008811F8"/>
    <w:rsid w:val="00881487"/>
    <w:rsid w:val="00883166"/>
    <w:rsid w:val="00891C2F"/>
    <w:rsid w:val="00893BAA"/>
    <w:rsid w:val="008A2470"/>
    <w:rsid w:val="008A4BFC"/>
    <w:rsid w:val="008A7416"/>
    <w:rsid w:val="008E71C6"/>
    <w:rsid w:val="008F3850"/>
    <w:rsid w:val="00904403"/>
    <w:rsid w:val="00916DED"/>
    <w:rsid w:val="00921557"/>
    <w:rsid w:val="00925CAF"/>
    <w:rsid w:val="00926AE1"/>
    <w:rsid w:val="009302A6"/>
    <w:rsid w:val="00935182"/>
    <w:rsid w:val="00944906"/>
    <w:rsid w:val="00951A3D"/>
    <w:rsid w:val="009536DC"/>
    <w:rsid w:val="009551E6"/>
    <w:rsid w:val="00960579"/>
    <w:rsid w:val="009851F5"/>
    <w:rsid w:val="009903E9"/>
    <w:rsid w:val="009929A7"/>
    <w:rsid w:val="00992B92"/>
    <w:rsid w:val="00994A4A"/>
    <w:rsid w:val="00994D23"/>
    <w:rsid w:val="009A7885"/>
    <w:rsid w:val="009B3A8A"/>
    <w:rsid w:val="009B55DE"/>
    <w:rsid w:val="009C2C46"/>
    <w:rsid w:val="009D05A9"/>
    <w:rsid w:val="009D0B9D"/>
    <w:rsid w:val="009D13F6"/>
    <w:rsid w:val="009D5BA5"/>
    <w:rsid w:val="009E5244"/>
    <w:rsid w:val="009F0120"/>
    <w:rsid w:val="00A0012E"/>
    <w:rsid w:val="00A00B22"/>
    <w:rsid w:val="00A029C3"/>
    <w:rsid w:val="00A2270F"/>
    <w:rsid w:val="00A22B39"/>
    <w:rsid w:val="00A23EB8"/>
    <w:rsid w:val="00A24B38"/>
    <w:rsid w:val="00A27BF4"/>
    <w:rsid w:val="00A32ED4"/>
    <w:rsid w:val="00A35A95"/>
    <w:rsid w:val="00A37F9F"/>
    <w:rsid w:val="00A4069A"/>
    <w:rsid w:val="00A43928"/>
    <w:rsid w:val="00A478B2"/>
    <w:rsid w:val="00A50845"/>
    <w:rsid w:val="00A5299F"/>
    <w:rsid w:val="00A54719"/>
    <w:rsid w:val="00A57A87"/>
    <w:rsid w:val="00A62C46"/>
    <w:rsid w:val="00A64590"/>
    <w:rsid w:val="00A66C70"/>
    <w:rsid w:val="00A7055A"/>
    <w:rsid w:val="00A8506E"/>
    <w:rsid w:val="00A94050"/>
    <w:rsid w:val="00A95D31"/>
    <w:rsid w:val="00A97AEF"/>
    <w:rsid w:val="00AA06F7"/>
    <w:rsid w:val="00AA2B64"/>
    <w:rsid w:val="00AA4644"/>
    <w:rsid w:val="00AA4B35"/>
    <w:rsid w:val="00AB0C7A"/>
    <w:rsid w:val="00AB1103"/>
    <w:rsid w:val="00AD7B8B"/>
    <w:rsid w:val="00AE651D"/>
    <w:rsid w:val="00AE79C2"/>
    <w:rsid w:val="00AF279A"/>
    <w:rsid w:val="00AF7425"/>
    <w:rsid w:val="00B06888"/>
    <w:rsid w:val="00B07920"/>
    <w:rsid w:val="00B1065D"/>
    <w:rsid w:val="00B451DB"/>
    <w:rsid w:val="00B567DD"/>
    <w:rsid w:val="00B6043D"/>
    <w:rsid w:val="00B74506"/>
    <w:rsid w:val="00B84C19"/>
    <w:rsid w:val="00B928B4"/>
    <w:rsid w:val="00BA3C57"/>
    <w:rsid w:val="00BB0BE1"/>
    <w:rsid w:val="00BB6828"/>
    <w:rsid w:val="00BB7829"/>
    <w:rsid w:val="00BC43AE"/>
    <w:rsid w:val="00BD22E5"/>
    <w:rsid w:val="00BE2004"/>
    <w:rsid w:val="00BF0896"/>
    <w:rsid w:val="00BF26BF"/>
    <w:rsid w:val="00BF31D8"/>
    <w:rsid w:val="00C00621"/>
    <w:rsid w:val="00C033E1"/>
    <w:rsid w:val="00C04B81"/>
    <w:rsid w:val="00C077F0"/>
    <w:rsid w:val="00C100D0"/>
    <w:rsid w:val="00C1225B"/>
    <w:rsid w:val="00C13468"/>
    <w:rsid w:val="00C27740"/>
    <w:rsid w:val="00C3420C"/>
    <w:rsid w:val="00C40318"/>
    <w:rsid w:val="00C404E0"/>
    <w:rsid w:val="00C41073"/>
    <w:rsid w:val="00C41BA6"/>
    <w:rsid w:val="00C47A2A"/>
    <w:rsid w:val="00C524EC"/>
    <w:rsid w:val="00C54922"/>
    <w:rsid w:val="00C5683C"/>
    <w:rsid w:val="00C57B8F"/>
    <w:rsid w:val="00C6694F"/>
    <w:rsid w:val="00C7136B"/>
    <w:rsid w:val="00C85998"/>
    <w:rsid w:val="00C93A8A"/>
    <w:rsid w:val="00C955E0"/>
    <w:rsid w:val="00CA346F"/>
    <w:rsid w:val="00CB0EDD"/>
    <w:rsid w:val="00CB6EB6"/>
    <w:rsid w:val="00CB75A8"/>
    <w:rsid w:val="00CC40DF"/>
    <w:rsid w:val="00CE051F"/>
    <w:rsid w:val="00CE0C42"/>
    <w:rsid w:val="00CE5BFA"/>
    <w:rsid w:val="00CF3244"/>
    <w:rsid w:val="00D055EE"/>
    <w:rsid w:val="00D07932"/>
    <w:rsid w:val="00D2322A"/>
    <w:rsid w:val="00D370EF"/>
    <w:rsid w:val="00D40796"/>
    <w:rsid w:val="00D63323"/>
    <w:rsid w:val="00D71250"/>
    <w:rsid w:val="00D75C9D"/>
    <w:rsid w:val="00D879A1"/>
    <w:rsid w:val="00D90471"/>
    <w:rsid w:val="00D9293B"/>
    <w:rsid w:val="00D95D20"/>
    <w:rsid w:val="00DA02EE"/>
    <w:rsid w:val="00DA3203"/>
    <w:rsid w:val="00DB7756"/>
    <w:rsid w:val="00DC3E34"/>
    <w:rsid w:val="00DC5FB9"/>
    <w:rsid w:val="00DC6BC2"/>
    <w:rsid w:val="00DC6E1F"/>
    <w:rsid w:val="00DC74C9"/>
    <w:rsid w:val="00DD02B6"/>
    <w:rsid w:val="00DD451C"/>
    <w:rsid w:val="00DD62DF"/>
    <w:rsid w:val="00DE0A9F"/>
    <w:rsid w:val="00DE544F"/>
    <w:rsid w:val="00DF20BB"/>
    <w:rsid w:val="00DF5AB4"/>
    <w:rsid w:val="00E125DA"/>
    <w:rsid w:val="00E16C81"/>
    <w:rsid w:val="00E20962"/>
    <w:rsid w:val="00E22310"/>
    <w:rsid w:val="00E3113F"/>
    <w:rsid w:val="00E40B47"/>
    <w:rsid w:val="00E41065"/>
    <w:rsid w:val="00E52157"/>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7C0C"/>
    <w:rsid w:val="00EC266D"/>
    <w:rsid w:val="00EC4D6C"/>
    <w:rsid w:val="00EE2E7D"/>
    <w:rsid w:val="00EE53A3"/>
    <w:rsid w:val="00EF4D40"/>
    <w:rsid w:val="00EF4D87"/>
    <w:rsid w:val="00EF5941"/>
    <w:rsid w:val="00F0228E"/>
    <w:rsid w:val="00F13040"/>
    <w:rsid w:val="00F133C3"/>
    <w:rsid w:val="00F278AB"/>
    <w:rsid w:val="00F36C5B"/>
    <w:rsid w:val="00F43253"/>
    <w:rsid w:val="00F43CC2"/>
    <w:rsid w:val="00F45317"/>
    <w:rsid w:val="00F4728A"/>
    <w:rsid w:val="00F533A4"/>
    <w:rsid w:val="00F6047F"/>
    <w:rsid w:val="00F754E8"/>
    <w:rsid w:val="00F97B7F"/>
    <w:rsid w:val="00FA03AB"/>
    <w:rsid w:val="00FA1C67"/>
    <w:rsid w:val="00FA4290"/>
    <w:rsid w:val="00FA5C8B"/>
    <w:rsid w:val="00FA7321"/>
    <w:rsid w:val="00FB1450"/>
    <w:rsid w:val="00FB5CFC"/>
    <w:rsid w:val="00FB6475"/>
    <w:rsid w:val="00FC1A30"/>
    <w:rsid w:val="00FC3FB3"/>
    <w:rsid w:val="00FD042D"/>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8277E"/>
  <w15:docId w15:val="{4D7835FD-DEC9-444B-AE12-8CB355E6B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7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885"/>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9A7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885"/>
    <w:rPr>
      <w:rFonts w:ascii="Times New Roman" w:eastAsia="Times New Roman" w:hAnsi="Times New Roman" w:cs="Times New Roman"/>
      <w:color w:val="000000"/>
      <w:kern w:val="2"/>
      <w:sz w:val="24"/>
      <w:szCs w:val="24"/>
      <w:lang w:val="en-IN" w:eastAsia="en-IN"/>
    </w:rPr>
  </w:style>
  <w:style w:type="character" w:styleId="CommentReference">
    <w:name w:val="annotation reference"/>
    <w:basedOn w:val="DefaultParagraphFont"/>
    <w:uiPriority w:val="99"/>
    <w:semiHidden/>
    <w:unhideWhenUsed/>
    <w:rsid w:val="0040502E"/>
    <w:rPr>
      <w:sz w:val="16"/>
      <w:szCs w:val="16"/>
    </w:rPr>
  </w:style>
  <w:style w:type="paragraph" w:styleId="CommentText">
    <w:name w:val="annotation text"/>
    <w:basedOn w:val="Normal"/>
    <w:link w:val="CommentTextChar"/>
    <w:uiPriority w:val="99"/>
    <w:semiHidden/>
    <w:unhideWhenUsed/>
    <w:rsid w:val="0040502E"/>
    <w:pPr>
      <w:spacing w:line="240" w:lineRule="auto"/>
    </w:pPr>
    <w:rPr>
      <w:sz w:val="20"/>
      <w:szCs w:val="20"/>
    </w:rPr>
  </w:style>
  <w:style w:type="character" w:customStyle="1" w:styleId="CommentTextChar">
    <w:name w:val="Comment Text Char"/>
    <w:basedOn w:val="DefaultParagraphFont"/>
    <w:link w:val="CommentText"/>
    <w:uiPriority w:val="99"/>
    <w:semiHidden/>
    <w:rsid w:val="0040502E"/>
    <w:rPr>
      <w:rFonts w:ascii="Times New Roman" w:eastAsia="Times New Roman" w:hAnsi="Times New Roman" w:cs="Times New Roman"/>
      <w:color w:val="000000"/>
      <w:kern w:val="2"/>
      <w:sz w:val="20"/>
      <w:szCs w:val="20"/>
      <w:lang w:val="en-IN" w:eastAsia="en-IN"/>
    </w:rPr>
  </w:style>
  <w:style w:type="paragraph" w:styleId="CommentSubject">
    <w:name w:val="annotation subject"/>
    <w:basedOn w:val="CommentText"/>
    <w:next w:val="CommentText"/>
    <w:link w:val="CommentSubjectChar"/>
    <w:uiPriority w:val="99"/>
    <w:semiHidden/>
    <w:unhideWhenUsed/>
    <w:rsid w:val="0040502E"/>
    <w:rPr>
      <w:b/>
      <w:bCs/>
    </w:rPr>
  </w:style>
  <w:style w:type="character" w:customStyle="1" w:styleId="CommentSubjectChar">
    <w:name w:val="Comment Subject Char"/>
    <w:basedOn w:val="CommentTextChar"/>
    <w:link w:val="CommentSubject"/>
    <w:uiPriority w:val="99"/>
    <w:semiHidden/>
    <w:rsid w:val="0040502E"/>
    <w:rPr>
      <w:rFonts w:ascii="Times New Roman" w:eastAsia="Times New Roman" w:hAnsi="Times New Roman" w:cs="Times New Roman"/>
      <w:b/>
      <w:bCs/>
      <w:color w:val="000000"/>
      <w:kern w:val="2"/>
      <w:sz w:val="20"/>
      <w:szCs w:val="20"/>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186/s44315-025-00037-7" TargetMode="External"/><Relationship Id="rId18" Type="http://schemas.openxmlformats.org/officeDocument/2006/relationships/hyperlink" Target="https://doi.org/10.1073/pnas.0609568104" TargetMode="External"/><Relationship Id="rId26" Type="http://schemas.openxmlformats.org/officeDocument/2006/relationships/hyperlink" Target="https://doi.org/10.1155/are/9778623" TargetMode="External"/><Relationship Id="rId3" Type="http://schemas.openxmlformats.org/officeDocument/2006/relationships/settings" Target="settings.xml"/><Relationship Id="rId21" Type="http://schemas.openxmlformats.org/officeDocument/2006/relationships/hyperlink" Target="https://doi.org/10.1016/j.aquaculture.2023.739991" TargetMode="External"/><Relationship Id="rId34"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doi.org/10.1016/j.aqrep.2024.102099" TargetMode="External"/><Relationship Id="rId17" Type="http://schemas.openxmlformats.org/officeDocument/2006/relationships/hyperlink" Target="https://doi.org/10.1016/S0044-8486(01)00581-6" TargetMode="External"/><Relationship Id="rId25" Type="http://schemas.openxmlformats.org/officeDocument/2006/relationships/hyperlink" Target="https://doi.org/10.1371/journal.pone.0004935"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aquaculture.2020.735872" TargetMode="External"/><Relationship Id="rId20" Type="http://schemas.openxmlformats.org/officeDocument/2006/relationships/hyperlink" Target="https://doi.org/10.1155/anu/5328773"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07/978-981-19-7451-9_7" TargetMode="External"/><Relationship Id="rId24" Type="http://schemas.openxmlformats.org/officeDocument/2006/relationships/hyperlink" Target="https://doi.org/10.1038/s41598-025-06881-2"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86/s12917-024-04257-8" TargetMode="External"/><Relationship Id="rId23" Type="http://schemas.openxmlformats.org/officeDocument/2006/relationships/hyperlink" Target="https://doi.org/10.3390/toxins17080423" TargetMode="External"/><Relationship Id="rId28"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hyperlink" Target="https://doi.org/10.1371/journal.pone.0117609" TargetMode="External"/><Relationship Id="rId31"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3390/vaccines8030468" TargetMode="External"/><Relationship Id="rId22" Type="http://schemas.openxmlformats.org/officeDocument/2006/relationships/hyperlink" Target="https://doi.org/10.1016/j.aquaculture.2005.10.039"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4389A6-C33F-4F32-9194-672F8AEF2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9175</TotalTime>
  <Pages>20</Pages>
  <Words>9990</Words>
  <Characters>56946</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User</cp:lastModifiedBy>
  <cp:revision>115</cp:revision>
  <cp:lastPrinted>2025-12-13T07:14:00Z</cp:lastPrinted>
  <dcterms:created xsi:type="dcterms:W3CDTF">2025-09-24T12:44:00Z</dcterms:created>
  <dcterms:modified xsi:type="dcterms:W3CDTF">2026-02-10T22:53:00Z</dcterms:modified>
</cp:coreProperties>
</file>