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3AEFC" w14:textId="394A25C3" w:rsidR="00761264" w:rsidRPr="00761264" w:rsidRDefault="007327F1" w:rsidP="00761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0"/>
      <w:r>
        <w:rPr>
          <w:rFonts w:ascii="Times New Roman" w:hAnsi="Times New Roman" w:cs="Times New Roman"/>
          <w:b/>
          <w:bCs/>
          <w:sz w:val="24"/>
          <w:szCs w:val="24"/>
        </w:rPr>
        <w:t>Impact</w:t>
      </w:r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761264" w:rsidRPr="007612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Azadirachta </w:t>
      </w:r>
      <w:proofErr w:type="spellStart"/>
      <w:r w:rsidR="00761264" w:rsidRPr="007612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indica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leaves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coccidia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growth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performance of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broiler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chickens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reared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at the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Ecology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Cent</w:t>
      </w:r>
      <w:r w:rsidR="00846FCD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="00761264" w:rsidRPr="00761264">
        <w:rPr>
          <w:rFonts w:ascii="Times New Roman" w:hAnsi="Times New Roman" w:cs="Times New Roman"/>
          <w:b/>
          <w:bCs/>
          <w:sz w:val="24"/>
          <w:szCs w:val="24"/>
        </w:rPr>
        <w:t xml:space="preserve"> (Côte d'Ivoire)</w:t>
      </w:r>
      <w:commentRangeEnd w:id="0"/>
      <w:r w:rsidR="00A61A44">
        <w:rPr>
          <w:rStyle w:val="CommentReference"/>
        </w:rPr>
        <w:commentReference w:id="0"/>
      </w:r>
    </w:p>
    <w:p w14:paraId="221CC5E7" w14:textId="77777777" w:rsidR="00761264" w:rsidRPr="00761264" w:rsidRDefault="00761264" w:rsidP="00761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C9E9E" w14:textId="481152B7" w:rsidR="00761264" w:rsidRDefault="00761264" w:rsidP="007612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F2213" w14:textId="77777777" w:rsidR="00375530" w:rsidRDefault="00375530" w:rsidP="00761264">
      <w:pPr>
        <w:jc w:val="both"/>
      </w:pPr>
    </w:p>
    <w:p w14:paraId="7F0DE2F8" w14:textId="1302C8EA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264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0DBE2FD3" w14:textId="0E2DABEA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761264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Pr="00761264">
        <w:rPr>
          <w:rFonts w:ascii="Times New Roman" w:hAnsi="Times New Roman" w:cs="Times New Roman"/>
          <w:sz w:val="24"/>
          <w:szCs w:val="24"/>
        </w:rPr>
        <w:t xml:space="preserve"> : To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antiparasitic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264">
        <w:rPr>
          <w:rFonts w:ascii="Times New Roman" w:hAnsi="Times New Roman" w:cs="Times New Roman"/>
          <w:i/>
          <w:iCs/>
          <w:sz w:val="24"/>
          <w:szCs w:val="24"/>
        </w:rPr>
        <w:t xml:space="preserve">Azadirachta </w:t>
      </w:r>
      <w:proofErr w:type="spellStart"/>
      <w:r w:rsidRPr="00761264">
        <w:rPr>
          <w:rFonts w:ascii="Times New Roman" w:hAnsi="Times New Roman" w:cs="Times New Roman"/>
          <w:i/>
          <w:iCs/>
          <w:sz w:val="24"/>
          <w:szCs w:val="24"/>
        </w:rPr>
        <w:t>indica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coccidia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impact on the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>.</w:t>
      </w:r>
    </w:p>
    <w:p w14:paraId="5579B0D6" w14:textId="599514CB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AC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0127AC">
        <w:rPr>
          <w:rFonts w:ascii="Times New Roman" w:hAnsi="Times New Roman" w:cs="Times New Roman"/>
          <w:b/>
          <w:bCs/>
          <w:sz w:val="24"/>
          <w:szCs w:val="24"/>
        </w:rPr>
        <w:t xml:space="preserve"> design</w:t>
      </w:r>
      <w:r w:rsidRPr="0076126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randomized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trial.</w:t>
      </w:r>
    </w:p>
    <w:p w14:paraId="6A27C569" w14:textId="39AB1E63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AC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0127AC">
        <w:rPr>
          <w:rFonts w:ascii="Times New Roman" w:hAnsi="Times New Roman" w:cs="Times New Roman"/>
          <w:b/>
          <w:bCs/>
          <w:sz w:val="24"/>
          <w:szCs w:val="24"/>
        </w:rPr>
        <w:t xml:space="preserve"> location and duration</w:t>
      </w:r>
      <w:r w:rsidRPr="0076126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Centre (CRE), Abidjan, Côte d'Ivoire,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June 1 to July 6, 2023.</w:t>
      </w:r>
    </w:p>
    <w:p w14:paraId="3DE41E2C" w14:textId="594606D1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AC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2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forty-eight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Cobb 500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chicks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8 groups of 31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at 14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>. Group R0 (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control)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. Group R1 (positive control)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 commercial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. Groups R2 to R7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neem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at doses of 1% or 2%,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incorporated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(R2, R6),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water (R3, R5), or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(R4, R7). Parasite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(OPG)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assessed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coproscopy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(Mac Master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and water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gain,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conversion ratio,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monitored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49. Data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Tukey's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HSD test and the Chi² test.</w:t>
      </w:r>
    </w:p>
    <w:p w14:paraId="46A4C3D0" w14:textId="474668BB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AC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264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parasite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of R0 (235.5±205 OPG)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of all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groups (P &lt; </w:t>
      </w:r>
      <w:r w:rsidR="000127AC">
        <w:rPr>
          <w:rFonts w:ascii="Times New Roman" w:hAnsi="Times New Roman" w:cs="Times New Roman"/>
          <w:sz w:val="24"/>
          <w:szCs w:val="24"/>
        </w:rPr>
        <w:t>0</w:t>
      </w:r>
      <w:r w:rsidRPr="00761264">
        <w:rPr>
          <w:rFonts w:ascii="Times New Roman" w:hAnsi="Times New Roman" w:cs="Times New Roman"/>
          <w:sz w:val="24"/>
          <w:szCs w:val="24"/>
        </w:rPr>
        <w:t xml:space="preserve">.001). No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of R1 (40±29.5 OPG) and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of the neem-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groups (values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29.25±15.7 to 41±38.5 OPG) (P &gt;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61264">
        <w:rPr>
          <w:rFonts w:ascii="Times New Roman" w:hAnsi="Times New Roman" w:cs="Times New Roman"/>
          <w:sz w:val="24"/>
          <w:szCs w:val="24"/>
        </w:rPr>
        <w:t xml:space="preserve">.05). None of the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gain,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conversion ratio,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water or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differed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the neem-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groups and the control groups (R0 and R1) (P &gt;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761264">
        <w:rPr>
          <w:rFonts w:ascii="Times New Roman" w:hAnsi="Times New Roman" w:cs="Times New Roman"/>
          <w:sz w:val="24"/>
          <w:szCs w:val="24"/>
        </w:rPr>
        <w:t xml:space="preserve">.05). The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in group R0 (13.33%).</w:t>
      </w:r>
    </w:p>
    <w:p w14:paraId="1B238D7B" w14:textId="62504EC3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AC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761264">
        <w:rPr>
          <w:rFonts w:ascii="Times New Roman" w:hAnsi="Times New Roman" w:cs="Times New Roman"/>
          <w:sz w:val="24"/>
          <w:szCs w:val="24"/>
        </w:rPr>
        <w:t xml:space="preserve"> : Neem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, at doses up to 2%, has comparable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coccidia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deleterious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performance. It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phytotherapeutic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alternative.</w:t>
      </w:r>
      <w:commentRangeEnd w:id="2"/>
      <w:r w:rsidR="00ED66A5">
        <w:rPr>
          <w:rStyle w:val="CommentReference"/>
        </w:rPr>
        <w:commentReference w:id="2"/>
      </w:r>
    </w:p>
    <w:p w14:paraId="573A1101" w14:textId="20226383" w:rsidR="00761264" w:rsidRPr="00761264" w:rsidRDefault="00761264" w:rsidP="007612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64">
        <w:rPr>
          <w:rFonts w:ascii="Times New Roman" w:hAnsi="Times New Roman" w:cs="Times New Roman"/>
          <w:b/>
          <w:bCs/>
          <w:sz w:val="24"/>
          <w:szCs w:val="24"/>
        </w:rPr>
        <w:lastRenderedPageBreak/>
        <w:t>Keywords</w:t>
      </w:r>
      <w:r w:rsidRPr="00761264">
        <w:rPr>
          <w:rFonts w:ascii="Times New Roman" w:hAnsi="Times New Roman" w:cs="Times New Roman"/>
          <w:sz w:val="24"/>
          <w:szCs w:val="24"/>
        </w:rPr>
        <w:t xml:space="preserve"> : </w:t>
      </w:r>
      <w:r w:rsidRPr="00761264">
        <w:rPr>
          <w:rFonts w:ascii="Times New Roman" w:hAnsi="Times New Roman" w:cs="Times New Roman"/>
          <w:i/>
          <w:iCs/>
          <w:sz w:val="24"/>
          <w:szCs w:val="24"/>
        </w:rPr>
        <w:t xml:space="preserve">Azadirachta </w:t>
      </w:r>
      <w:proofErr w:type="spellStart"/>
      <w:r w:rsidRPr="00761264">
        <w:rPr>
          <w:rFonts w:ascii="Times New Roman" w:hAnsi="Times New Roman" w:cs="Times New Roman"/>
          <w:i/>
          <w:iCs/>
          <w:sz w:val="24"/>
          <w:szCs w:val="24"/>
        </w:rPr>
        <w:t>indica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264">
        <w:rPr>
          <w:rFonts w:ascii="Times New Roman" w:hAnsi="Times New Roman" w:cs="Times New Roman"/>
          <w:sz w:val="24"/>
          <w:szCs w:val="24"/>
        </w:rPr>
        <w:t>chicken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61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; Natural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 xml:space="preserve"> performance; </w:t>
      </w:r>
      <w:proofErr w:type="spellStart"/>
      <w:r w:rsidRPr="00761264">
        <w:rPr>
          <w:rFonts w:ascii="Times New Roman" w:hAnsi="Times New Roman" w:cs="Times New Roman"/>
          <w:sz w:val="24"/>
          <w:szCs w:val="24"/>
        </w:rPr>
        <w:t>Phytotherapy</w:t>
      </w:r>
      <w:proofErr w:type="spellEnd"/>
      <w:r w:rsidRPr="00761264">
        <w:rPr>
          <w:rFonts w:ascii="Times New Roman" w:hAnsi="Times New Roman" w:cs="Times New Roman"/>
          <w:sz w:val="24"/>
          <w:szCs w:val="24"/>
        </w:rPr>
        <w:t>.</w:t>
      </w:r>
    </w:p>
    <w:p w14:paraId="69AB29AE" w14:textId="77777777" w:rsidR="00761264" w:rsidRDefault="00761264" w:rsidP="00761264"/>
    <w:p w14:paraId="666ADBA4" w14:textId="7FA227F5" w:rsidR="00761264" w:rsidRPr="000127AC" w:rsidRDefault="00E645B2" w:rsidP="000127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38AF0416" w14:textId="77777777" w:rsidR="00761264" w:rsidRPr="000127AC" w:rsidRDefault="00761264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AC">
        <w:rPr>
          <w:rFonts w:ascii="Times New Roman" w:hAnsi="Times New Roman" w:cs="Times New Roman"/>
          <w:sz w:val="24"/>
          <w:szCs w:val="24"/>
        </w:rPr>
        <w:t xml:space="preserve">Modern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 essential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pillar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animal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[1]. In Côte d'Ivoire,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60%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production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 major source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[2, 3].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hindered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constraints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parasitic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high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morbidity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[4]. Control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relies on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anticoccidials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excessive use poses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residues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[5]. In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alternatives,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as the use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plants,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.</w:t>
      </w:r>
    </w:p>
    <w:p w14:paraId="0898B58C" w14:textId="151B925C" w:rsidR="00761264" w:rsidRPr="000127AC" w:rsidRDefault="00761264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AC">
        <w:rPr>
          <w:rFonts w:ascii="Times New Roman" w:hAnsi="Times New Roman" w:cs="Times New Roman"/>
          <w:i/>
          <w:iCs/>
          <w:sz w:val="24"/>
          <w:szCs w:val="24"/>
        </w:rPr>
        <w:t xml:space="preserve">Azadirachta </w:t>
      </w:r>
      <w:proofErr w:type="spellStart"/>
      <w:r w:rsidRPr="000127AC">
        <w:rPr>
          <w:rFonts w:ascii="Times New Roman" w:hAnsi="Times New Roman" w:cs="Times New Roman"/>
          <w:i/>
          <w:iCs/>
          <w:sz w:val="24"/>
          <w:szCs w:val="24"/>
        </w:rPr>
        <w:t>indica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(neem)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 plant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multiple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pharmacological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antifungal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immunomodulatory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[6, 7].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promoter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antiparasitic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agent in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[8, 9].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precise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data on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impact on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zootechnical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Ivorian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lacking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.</w:t>
      </w:r>
    </w:p>
    <w:p w14:paraId="7E0D2F48" w14:textId="77777777" w:rsidR="00761264" w:rsidRPr="000127AC" w:rsidRDefault="00761264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A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objective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possibility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coccidial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resorting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synthetic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anticoccidials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neem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and/or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water on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excretion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coccidial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oocysts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on the main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.</w:t>
      </w:r>
    </w:p>
    <w:p w14:paraId="5ADBE1A1" w14:textId="3B2543DC" w:rsidR="00761264" w:rsidRDefault="00761264" w:rsidP="00761264"/>
    <w:p w14:paraId="1FA9198E" w14:textId="35460CC4" w:rsidR="000127AC" w:rsidRDefault="000127AC" w:rsidP="00761264"/>
    <w:p w14:paraId="5B648D2C" w14:textId="77777777" w:rsidR="000127AC" w:rsidRDefault="000127AC" w:rsidP="00761264"/>
    <w:p w14:paraId="406BBCB9" w14:textId="63A91A27" w:rsidR="00761264" w:rsidRPr="000127AC" w:rsidRDefault="00E645B2" w:rsidP="000127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>MATERIAL AND METHODS</w:t>
      </w:r>
    </w:p>
    <w:p w14:paraId="603A49F4" w14:textId="39DE5CFD" w:rsidR="00761264" w:rsidRPr="000127AC" w:rsidRDefault="00E645B2" w:rsidP="000127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proofErr w:type="spellStart"/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 xml:space="preserve"> area</w:t>
      </w:r>
    </w:p>
    <w:p w14:paraId="60C4673A" w14:textId="421029E0" w:rsidR="00761264" w:rsidRDefault="00761264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AC">
        <w:rPr>
          <w:rFonts w:ascii="Times New Roman" w:hAnsi="Times New Roman" w:cs="Times New Roman"/>
          <w:sz w:val="24"/>
          <w:szCs w:val="24"/>
        </w:rPr>
        <w:t xml:space="preserve">The trial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place at the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Centre (CRE)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the commune of Treichville in Abidjan, Côte d'Ivoire (</w:t>
      </w:r>
      <w:proofErr w:type="spellStart"/>
      <w:proofErr w:type="gramStart"/>
      <w:r w:rsidRPr="000127AC">
        <w:rPr>
          <w:rFonts w:ascii="Times New Roman" w:hAnsi="Times New Roman" w:cs="Times New Roman"/>
          <w:sz w:val="24"/>
          <w:szCs w:val="24"/>
        </w:rPr>
        <w:t>coordinates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127AC">
        <w:rPr>
          <w:rFonts w:ascii="Times New Roman" w:hAnsi="Times New Roman" w:cs="Times New Roman"/>
          <w:sz w:val="24"/>
          <w:szCs w:val="24"/>
        </w:rPr>
        <w:t xml:space="preserve"> 5.312°N, 4.002°W)</w:t>
      </w:r>
      <w:r w:rsidR="00DB421B">
        <w:rPr>
          <w:rFonts w:ascii="Times New Roman" w:hAnsi="Times New Roman" w:cs="Times New Roman"/>
          <w:sz w:val="24"/>
          <w:szCs w:val="24"/>
        </w:rPr>
        <w:t xml:space="preserve"> (Figure 1)</w:t>
      </w:r>
      <w:r w:rsidRPr="000127AC">
        <w:rPr>
          <w:rFonts w:ascii="Times New Roman" w:hAnsi="Times New Roman" w:cs="Times New Roman"/>
          <w:sz w:val="24"/>
          <w:szCs w:val="24"/>
        </w:rPr>
        <w:t xml:space="preserve">. The area has a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humid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tropical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>.</w:t>
      </w:r>
    </w:p>
    <w:p w14:paraId="012347C0" w14:textId="41844E44" w:rsidR="00A8244B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B656B" w14:textId="3A0E9A55" w:rsidR="00A8244B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F5C62C9" wp14:editId="41443138">
            <wp:extent cx="5920028" cy="52578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24" cy="5278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3FDBB" w14:textId="72FFB885" w:rsidR="00A8244B" w:rsidRPr="00F70D92" w:rsidRDefault="00F70D92" w:rsidP="00F70D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D92">
        <w:rPr>
          <w:rFonts w:ascii="Times New Roman" w:hAnsi="Times New Roman" w:cs="Times New Roman"/>
          <w:b/>
          <w:bCs/>
          <w:sz w:val="24"/>
          <w:szCs w:val="24"/>
        </w:rPr>
        <w:t xml:space="preserve">Figure 1 : </w:t>
      </w:r>
      <w:proofErr w:type="spellStart"/>
      <w:r w:rsidRPr="00F70D92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F70D92">
        <w:rPr>
          <w:rFonts w:ascii="Times New Roman" w:hAnsi="Times New Roman" w:cs="Times New Roman"/>
          <w:b/>
          <w:bCs/>
          <w:sz w:val="24"/>
          <w:szCs w:val="24"/>
        </w:rPr>
        <w:t xml:space="preserve"> area</w:t>
      </w:r>
    </w:p>
    <w:p w14:paraId="71B90FB4" w14:textId="70210483" w:rsidR="00A8244B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70742" w14:textId="77777777" w:rsidR="00A8244B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B5349" w14:textId="77777777" w:rsidR="00A8244B" w:rsidRPr="000127AC" w:rsidRDefault="00A8244B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5A593" w14:textId="40E3E362" w:rsidR="00761264" w:rsidRPr="000127AC" w:rsidRDefault="00E645B2" w:rsidP="000127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 xml:space="preserve">Animals, distribution, and </w:t>
      </w:r>
      <w:proofErr w:type="spellStart"/>
      <w:r w:rsidR="00761264" w:rsidRPr="000127AC">
        <w:rPr>
          <w:rFonts w:ascii="Times New Roman" w:hAnsi="Times New Roman" w:cs="Times New Roman"/>
          <w:b/>
          <w:bCs/>
          <w:sz w:val="24"/>
          <w:szCs w:val="24"/>
        </w:rPr>
        <w:t>housing</w:t>
      </w:r>
      <w:proofErr w:type="spellEnd"/>
    </w:p>
    <w:p w14:paraId="0F6E188C" w14:textId="092A42FF" w:rsidR="00761264" w:rsidRPr="000127AC" w:rsidRDefault="00761264" w:rsidP="00012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forty-eight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(248) Cobb 500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chicks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aged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0127AC" w:rsidRPr="000127AC">
        <w:rPr>
          <w:rFonts w:ascii="Times New Roman" w:hAnsi="Times New Roman" w:cs="Times New Roman"/>
          <w:sz w:val="24"/>
          <w:szCs w:val="24"/>
        </w:rPr>
        <w:t xml:space="preserve"> </w:t>
      </w:r>
      <w:r w:rsidRPr="000127AC">
        <w:rPr>
          <w:rFonts w:ascii="Times New Roman" w:hAnsi="Times New Roman" w:cs="Times New Roman"/>
          <w:sz w:val="24"/>
          <w:szCs w:val="24"/>
        </w:rPr>
        <w:t xml:space="preserve">identification by leg ring,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weighed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randomly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allocated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to 8 groups of 31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homogeneous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initial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weights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group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housed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closed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pen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7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127AC">
        <w:rPr>
          <w:rFonts w:ascii="Times New Roman" w:hAnsi="Times New Roman" w:cs="Times New Roman"/>
          <w:sz w:val="24"/>
          <w:szCs w:val="24"/>
        </w:rPr>
        <w:t xml:space="preserve"> an area of 3.1 m² (Figure 2).</w:t>
      </w:r>
    </w:p>
    <w:p w14:paraId="43D16DEF" w14:textId="15B4E4DB" w:rsidR="00F70D92" w:rsidRDefault="00F70D92" w:rsidP="00F70D92">
      <w:pPr>
        <w:spacing w:after="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AF6EC84" wp14:editId="6531E08B">
            <wp:extent cx="3955962" cy="2438400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634" cy="244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352B9" w14:textId="637110C3" w:rsidR="00F70D92" w:rsidRPr="00D8532A" w:rsidRDefault="00F70D92" w:rsidP="00F70D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32A">
        <w:rPr>
          <w:rFonts w:ascii="Times New Roman" w:hAnsi="Times New Roman" w:cs="Times New Roman"/>
          <w:b/>
          <w:bCs/>
          <w:sz w:val="24"/>
          <w:szCs w:val="24"/>
        </w:rPr>
        <w:t xml:space="preserve">Figure 2 : </w:t>
      </w:r>
      <w:proofErr w:type="spellStart"/>
      <w:r w:rsidRPr="00F70D92">
        <w:rPr>
          <w:rFonts w:ascii="Times New Roman" w:hAnsi="Times New Roman" w:cs="Times New Roman"/>
          <w:b/>
          <w:bCs/>
          <w:sz w:val="24"/>
          <w:szCs w:val="24"/>
        </w:rPr>
        <w:t>Grouping</w:t>
      </w:r>
      <w:proofErr w:type="spellEnd"/>
      <w:r w:rsidRPr="00F70D9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70D92">
        <w:rPr>
          <w:rFonts w:ascii="Times New Roman" w:hAnsi="Times New Roman" w:cs="Times New Roman"/>
          <w:b/>
          <w:bCs/>
          <w:sz w:val="24"/>
          <w:szCs w:val="24"/>
        </w:rPr>
        <w:t>chicks</w:t>
      </w:r>
      <w:proofErr w:type="spellEnd"/>
    </w:p>
    <w:p w14:paraId="6739686F" w14:textId="77777777" w:rsidR="00F70D92" w:rsidRDefault="00F70D92" w:rsidP="00F70D92">
      <w:pPr>
        <w:pStyle w:val="Heading2"/>
        <w:numPr>
          <w:ilvl w:val="0"/>
          <w:numId w:val="0"/>
        </w:numPr>
        <w:ind w:left="576" w:hanging="576"/>
      </w:pPr>
    </w:p>
    <w:p w14:paraId="43B75E63" w14:textId="175DB338" w:rsidR="00761264" w:rsidRPr="00DB421B" w:rsidRDefault="00E645B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.3.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Diets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treatments</w:t>
      </w:r>
      <w:proofErr w:type="spellEnd"/>
    </w:p>
    <w:p w14:paraId="3EE36261" w14:textId="3E2DB1F0" w:rsidR="00761264" w:rsidRPr="00DB421B" w:rsidRDefault="00761264" w:rsidP="00DB4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chicks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a commercial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Koudijs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)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>: starter (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crumbs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14 to 22,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grower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(pellets)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49. Water and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ad libitum. 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>:</w:t>
      </w:r>
    </w:p>
    <w:p w14:paraId="5F43E037" w14:textId="6C9F813B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R0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control (no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, no neem).</w:t>
      </w:r>
    </w:p>
    <w:p w14:paraId="206E10F9" w14:textId="58CCB3A9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R1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>: Positive control (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commercial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neem).</w:t>
      </w:r>
    </w:p>
    <w:p w14:paraId="15A89437" w14:textId="09E62370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R2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+ 1%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74532ACE" w14:textId="1DD0F9EB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R3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water + 1%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0D525ACC" w14:textId="11A9C8F4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R4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+ Water,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1%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50FA0738" w14:textId="35DB60DF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R5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water + 2%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0017A39E" w14:textId="3C202154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R6</w:t>
      </w:r>
      <w:r w:rsidR="00DB421B" w:rsidRP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+ 2%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004EE0C5" w14:textId="7DA0D5F3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>- R7</w:t>
      </w:r>
      <w:r w:rsidR="00DB421B">
        <w:rPr>
          <w:rFonts w:ascii="Times New Roman" w:hAnsi="Times New Roman" w:cs="Times New Roman"/>
          <w:sz w:val="24"/>
          <w:szCs w:val="24"/>
        </w:rPr>
        <w:t xml:space="preserve"> </w:t>
      </w:r>
      <w:r w:rsidRPr="00DB4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+ Water,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2% neem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>.</w:t>
      </w:r>
    </w:p>
    <w:p w14:paraId="6D1189AE" w14:textId="77777777" w:rsidR="00761264" w:rsidRPr="00DB421B" w:rsidRDefault="00761264" w:rsidP="00DB42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F0ACD" w14:textId="77777777" w:rsidR="00F70D92" w:rsidRDefault="00F70D9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BC72E" w14:textId="27FAC451" w:rsidR="00761264" w:rsidRPr="00DB421B" w:rsidRDefault="00E645B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.4. </w:t>
      </w:r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Parasite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load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proofErr w:type="spellEnd"/>
    </w:p>
    <w:p w14:paraId="6B859CA3" w14:textId="0771ACB8" w:rsidR="000B4CBB" w:rsidRDefault="00761264" w:rsidP="00DB421B">
      <w:pPr>
        <w:spacing w:line="360" w:lineRule="auto"/>
        <w:jc w:val="both"/>
      </w:pPr>
      <w:proofErr w:type="spellStart"/>
      <w:r w:rsidRPr="00DB421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fecal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(30g</w:t>
      </w:r>
      <w:r w:rsidR="00AE77C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AE77C0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per group and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at the Central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of Bingerville (LCVB)</w:t>
      </w:r>
      <w:r w:rsidR="00820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the quantitative Mac Master technique [10] to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oocyst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(OPG)</w:t>
      </w:r>
      <w:r w:rsidR="00E03C6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E03C6A">
        <w:rPr>
          <w:rFonts w:ascii="Times New Roman" w:hAnsi="Times New Roman" w:cs="Times New Roman"/>
          <w:sz w:val="24"/>
          <w:szCs w:val="24"/>
        </w:rPr>
        <w:t>a</w:t>
      </w:r>
      <w:r w:rsidR="00E03C6A" w:rsidRPr="00E03C6A">
        <w:rPr>
          <w:rFonts w:ascii="Times New Roman" w:hAnsi="Times New Roman" w:cs="Times New Roman"/>
          <w:sz w:val="24"/>
          <w:szCs w:val="24"/>
        </w:rPr>
        <w:t>verage</w:t>
      </w:r>
      <w:proofErr w:type="spellEnd"/>
      <w:r w:rsidR="00E03C6A" w:rsidRPr="00E0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6A" w:rsidRPr="00E03C6A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="00E0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6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0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6A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820A7C" w:rsidRPr="00820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A7C" w:rsidRPr="00820A7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820A7C" w:rsidRPr="00820A7C">
        <w:rPr>
          <w:rFonts w:ascii="Times New Roman" w:hAnsi="Times New Roman" w:cs="Times New Roman"/>
          <w:sz w:val="24"/>
          <w:szCs w:val="24"/>
        </w:rPr>
        <w:t xml:space="preserve"> to the standard formula</w:t>
      </w:r>
      <w:r w:rsidR="00820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A7C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820A7C">
        <w:rPr>
          <w:rFonts w:ascii="Times New Roman" w:hAnsi="Times New Roman" w:cs="Times New Roman"/>
          <w:sz w:val="24"/>
          <w:szCs w:val="24"/>
        </w:rPr>
        <w:t> :</w:t>
      </w:r>
      <w:r w:rsidR="00E03C6A" w:rsidRPr="00E03C6A">
        <w:t xml:space="preserve"> </w:t>
      </w:r>
    </w:p>
    <w:p w14:paraId="3D355E4A" w14:textId="30552E11" w:rsidR="00761264" w:rsidRDefault="000B4CBB" w:rsidP="00DB4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E03C6A" w:rsidRPr="00E03C6A">
        <w:rPr>
          <w:rFonts w:ascii="Times New Roman" w:hAnsi="Times New Roman" w:cs="Times New Roman"/>
          <w:sz w:val="24"/>
          <w:szCs w:val="24"/>
        </w:rPr>
        <w:t>verage</w:t>
      </w:r>
      <w:proofErr w:type="spellEnd"/>
      <w:r w:rsidR="00E03C6A" w:rsidRPr="00E0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6A" w:rsidRPr="00E03C6A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="00E03C6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coccidia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OPG in a batch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4CBB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0B4CBB">
        <w:rPr>
          <w:rFonts w:ascii="Times New Roman" w:hAnsi="Times New Roman" w:cs="Times New Roman"/>
          <w:sz w:val="24"/>
          <w:szCs w:val="24"/>
        </w:rPr>
        <w:t xml:space="preserve"> in the batch</w:t>
      </w:r>
    </w:p>
    <w:p w14:paraId="6130972F" w14:textId="77777777" w:rsidR="00F70D92" w:rsidRDefault="00F70D9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46D58" w14:textId="666183B7" w:rsidR="00846FCD" w:rsidRDefault="00E645B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.5.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Growth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zootechnical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parameters</w:t>
      </w:r>
      <w:proofErr w:type="spellEnd"/>
    </w:p>
    <w:p w14:paraId="05AC281C" w14:textId="070966CA" w:rsidR="00C20958" w:rsidRPr="00C20958" w:rsidRDefault="00C20958" w:rsidP="00C20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58">
        <w:rPr>
          <w:rFonts w:ascii="Times New Roman" w:hAnsi="Times New Roman" w:cs="Times New Roman"/>
          <w:sz w:val="24"/>
          <w:szCs w:val="24"/>
        </w:rPr>
        <w:t xml:space="preserve">Daily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weighing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and water (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refused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weighing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the 49th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958">
        <w:rPr>
          <w:rFonts w:ascii="Times New Roman" w:hAnsi="Times New Roman" w:cs="Times New Roman"/>
          <w:sz w:val="24"/>
          <w:szCs w:val="24"/>
        </w:rPr>
        <w:t>:</w:t>
      </w:r>
    </w:p>
    <w:p w14:paraId="4AF6A5C4" w14:textId="6D644821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58">
        <w:rPr>
          <w:rFonts w:ascii="Times New Roman" w:hAnsi="Times New Roman" w:cs="Times New Roman"/>
          <w:sz w:val="24"/>
          <w:szCs w:val="24"/>
        </w:rPr>
        <w:t xml:space="preserve">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20958">
        <w:rPr>
          <w:rFonts w:ascii="Times New Roman" w:hAnsi="Times New Roman" w:cs="Times New Roman"/>
          <w:sz w:val="24"/>
          <w:szCs w:val="24"/>
        </w:rPr>
        <w:t>ntake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(WI) =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Water Distributed –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Water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Refused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 ;</w:t>
      </w:r>
    </w:p>
    <w:p w14:paraId="1A5BE00F" w14:textId="3CAF1AE6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20958">
        <w:rPr>
          <w:rFonts w:ascii="Times New Roman" w:hAnsi="Times New Roman" w:cs="Times New Roman"/>
          <w:sz w:val="24"/>
          <w:szCs w:val="24"/>
        </w:rPr>
        <w:t>ntake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(FI) =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Distributed –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Refused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 ;</w:t>
      </w:r>
    </w:p>
    <w:p w14:paraId="082BAA50" w14:textId="015CAE1B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20958">
        <w:rPr>
          <w:rFonts w:ascii="Times New Roman" w:hAnsi="Times New Roman" w:cs="Times New Roman"/>
          <w:sz w:val="24"/>
          <w:szCs w:val="24"/>
        </w:rPr>
        <w:t xml:space="preserve">aily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20958">
        <w:rPr>
          <w:rFonts w:ascii="Times New Roman" w:hAnsi="Times New Roman" w:cs="Times New Roman"/>
          <w:sz w:val="24"/>
          <w:szCs w:val="24"/>
        </w:rPr>
        <w:t xml:space="preserve">ain (ADG) = (Final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– Initial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) /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 ;</w:t>
      </w:r>
    </w:p>
    <w:p w14:paraId="4FB1090C" w14:textId="4D643B7E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20958">
        <w:rPr>
          <w:rFonts w:ascii="Times New Roman" w:hAnsi="Times New Roman" w:cs="Times New Roman"/>
          <w:sz w:val="24"/>
          <w:szCs w:val="24"/>
        </w:rPr>
        <w:t xml:space="preserve">onversion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20958">
        <w:rPr>
          <w:rFonts w:ascii="Times New Roman" w:hAnsi="Times New Roman" w:cs="Times New Roman"/>
          <w:sz w:val="24"/>
          <w:szCs w:val="24"/>
        </w:rPr>
        <w:t xml:space="preserve">atio (FCR) =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gain ;</w:t>
      </w:r>
    </w:p>
    <w:p w14:paraId="140BB98E" w14:textId="74807143" w:rsid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Pr="00C20958">
        <w:rPr>
          <w:rFonts w:ascii="Times New Roman" w:hAnsi="Times New Roman" w:cs="Times New Roman"/>
          <w:sz w:val="24"/>
          <w:szCs w:val="24"/>
        </w:rPr>
        <w:t>ield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(CY, %) = (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/ Live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slaughter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) × 100 ;</w:t>
      </w:r>
    </w:p>
    <w:p w14:paraId="671A3606" w14:textId="7A19979D" w:rsidR="00DB421B" w:rsidRPr="00C20958" w:rsidRDefault="00C20958" w:rsidP="00C209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958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20958">
        <w:rPr>
          <w:rFonts w:ascii="Times New Roman" w:hAnsi="Times New Roman" w:cs="Times New Roman"/>
          <w:sz w:val="24"/>
          <w:szCs w:val="24"/>
        </w:rPr>
        <w:t>ate (MR, %) = (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dead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/ Initial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958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C20958">
        <w:rPr>
          <w:rFonts w:ascii="Times New Roman" w:hAnsi="Times New Roman" w:cs="Times New Roman"/>
          <w:sz w:val="24"/>
          <w:szCs w:val="24"/>
        </w:rPr>
        <w:t>) × 100.</w:t>
      </w:r>
    </w:p>
    <w:p w14:paraId="50AC7C40" w14:textId="77777777" w:rsidR="00C20958" w:rsidRDefault="00C20958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45FE" w14:textId="10DE1F08" w:rsidR="00761264" w:rsidRPr="00DB421B" w:rsidRDefault="00E645B2" w:rsidP="00DB42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.6. </w:t>
      </w:r>
      <w:proofErr w:type="spellStart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>Statistical</w:t>
      </w:r>
      <w:proofErr w:type="spellEnd"/>
      <w:r w:rsidR="00761264" w:rsidRPr="00DB421B">
        <w:rPr>
          <w:rFonts w:ascii="Times New Roman" w:hAnsi="Times New Roman" w:cs="Times New Roman"/>
          <w:b/>
          <w:bCs/>
          <w:sz w:val="24"/>
          <w:szCs w:val="24"/>
        </w:rPr>
        <w:t xml:space="preserve"> analyses</w:t>
      </w:r>
    </w:p>
    <w:p w14:paraId="61EC783E" w14:textId="5BFB44D9" w:rsidR="00761264" w:rsidRPr="00DB421B" w:rsidRDefault="00761264" w:rsidP="00DB4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21B">
        <w:rPr>
          <w:rFonts w:ascii="Times New Roman" w:hAnsi="Times New Roman" w:cs="Times New Roman"/>
          <w:sz w:val="24"/>
          <w:szCs w:val="24"/>
        </w:rPr>
        <w:t xml:space="preserve">Analyses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SPSS version 20 software.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of quantitative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(OPG, </w:t>
      </w:r>
      <w:r w:rsidR="00C20958">
        <w:rPr>
          <w:rFonts w:ascii="Times New Roman" w:hAnsi="Times New Roman" w:cs="Times New Roman"/>
          <w:sz w:val="24"/>
          <w:szCs w:val="24"/>
        </w:rPr>
        <w:t>FI</w:t>
      </w:r>
      <w:r w:rsidRPr="00DB421B">
        <w:rPr>
          <w:rFonts w:ascii="Times New Roman" w:hAnsi="Times New Roman" w:cs="Times New Roman"/>
          <w:sz w:val="24"/>
          <w:szCs w:val="24"/>
        </w:rPr>
        <w:t xml:space="preserve">, </w:t>
      </w:r>
      <w:r w:rsidR="00C20958">
        <w:rPr>
          <w:rFonts w:ascii="Times New Roman" w:hAnsi="Times New Roman" w:cs="Times New Roman"/>
          <w:sz w:val="24"/>
          <w:szCs w:val="24"/>
        </w:rPr>
        <w:t>WI</w:t>
      </w:r>
      <w:r w:rsidRPr="00DB421B">
        <w:rPr>
          <w:rFonts w:ascii="Times New Roman" w:hAnsi="Times New Roman" w:cs="Times New Roman"/>
          <w:sz w:val="24"/>
          <w:szCs w:val="24"/>
        </w:rPr>
        <w:t xml:space="preserve">, ADG, FCR)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of variance (ANOVA)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Tukey's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HSD post-hoc test. Percentages (CY, </w:t>
      </w:r>
      <w:r w:rsidR="00C20958">
        <w:rPr>
          <w:rFonts w:ascii="Times New Roman" w:hAnsi="Times New Roman" w:cs="Times New Roman"/>
          <w:sz w:val="24"/>
          <w:szCs w:val="24"/>
        </w:rPr>
        <w:t>MR</w:t>
      </w:r>
      <w:r w:rsidRPr="00DB42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the Chi² test. The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threshold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21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B421B">
        <w:rPr>
          <w:rFonts w:ascii="Times New Roman" w:hAnsi="Times New Roman" w:cs="Times New Roman"/>
          <w:sz w:val="24"/>
          <w:szCs w:val="24"/>
        </w:rPr>
        <w:t xml:space="preserve"> set at P &lt; 0.05.</w:t>
      </w:r>
    </w:p>
    <w:p w14:paraId="47CDD9E2" w14:textId="77777777" w:rsidR="00761264" w:rsidRDefault="00761264" w:rsidP="00761264"/>
    <w:p w14:paraId="3F2C9A81" w14:textId="0C118132" w:rsidR="00761264" w:rsidRPr="00A8244B" w:rsidRDefault="00E645B2" w:rsidP="00A824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1264" w:rsidRPr="00A8244B">
        <w:rPr>
          <w:rFonts w:ascii="Times New Roman" w:hAnsi="Times New Roman" w:cs="Times New Roman"/>
          <w:b/>
          <w:bCs/>
          <w:sz w:val="24"/>
          <w:szCs w:val="24"/>
        </w:rPr>
        <w:t>RESULTS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DISCUSSION</w:t>
      </w:r>
    </w:p>
    <w:p w14:paraId="16CAAF19" w14:textId="4AF6D540" w:rsidR="00E645B2" w:rsidRDefault="00E645B2" w:rsidP="00A824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</w:p>
    <w:p w14:paraId="2875014F" w14:textId="5506D5A5" w:rsidR="00761264" w:rsidRPr="00A8244B" w:rsidRDefault="00E645B2" w:rsidP="00A824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761264" w:rsidRPr="00A8244B">
        <w:rPr>
          <w:rFonts w:ascii="Times New Roman" w:hAnsi="Times New Roman" w:cs="Times New Roman"/>
          <w:b/>
          <w:bCs/>
          <w:sz w:val="24"/>
          <w:szCs w:val="24"/>
        </w:rPr>
        <w:t xml:space="preserve">Parasite </w:t>
      </w:r>
      <w:proofErr w:type="spellStart"/>
      <w:r w:rsidR="00761264" w:rsidRPr="00A8244B">
        <w:rPr>
          <w:rFonts w:ascii="Times New Roman" w:hAnsi="Times New Roman" w:cs="Times New Roman"/>
          <w:b/>
          <w:bCs/>
          <w:sz w:val="24"/>
          <w:szCs w:val="24"/>
        </w:rPr>
        <w:t>load</w:t>
      </w:r>
      <w:proofErr w:type="spellEnd"/>
      <w:r w:rsidR="00761264" w:rsidRPr="00A8244B">
        <w:rPr>
          <w:rFonts w:ascii="Times New Roman" w:hAnsi="Times New Roman" w:cs="Times New Roman"/>
          <w:b/>
          <w:bCs/>
          <w:sz w:val="24"/>
          <w:szCs w:val="24"/>
        </w:rPr>
        <w:t xml:space="preserve"> (OPG)</w:t>
      </w:r>
    </w:p>
    <w:p w14:paraId="7EC09C3D" w14:textId="73ACED32" w:rsidR="00761264" w:rsidRPr="00A8244B" w:rsidRDefault="00761264" w:rsidP="00A824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44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coccidial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oocysts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in Table </w:t>
      </w:r>
      <w:r w:rsidR="00F70D92">
        <w:rPr>
          <w:rFonts w:ascii="Times New Roman" w:hAnsi="Times New Roman" w:cs="Times New Roman"/>
          <w:sz w:val="24"/>
          <w:szCs w:val="24"/>
        </w:rPr>
        <w:t>1</w:t>
      </w:r>
      <w:r w:rsidRPr="00A8244B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value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in group R0 (235.5 ± 205 OPG),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of all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groups (P &lt; 0.001). No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the group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the commercial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(R1</w:t>
      </w:r>
      <w:r w:rsidR="00A8244B">
        <w:rPr>
          <w:rFonts w:ascii="Times New Roman" w:hAnsi="Times New Roman" w:cs="Times New Roman"/>
          <w:sz w:val="24"/>
          <w:szCs w:val="24"/>
        </w:rPr>
        <w:t xml:space="preserve"> </w:t>
      </w:r>
      <w:r w:rsidRPr="00A8244B">
        <w:rPr>
          <w:rFonts w:ascii="Times New Roman" w:hAnsi="Times New Roman" w:cs="Times New Roman"/>
          <w:sz w:val="24"/>
          <w:szCs w:val="24"/>
        </w:rPr>
        <w:t>: 40 ±</w:t>
      </w:r>
      <w:r w:rsidR="00A8244B">
        <w:rPr>
          <w:rFonts w:ascii="Times New Roman" w:hAnsi="Times New Roman" w:cs="Times New Roman"/>
          <w:sz w:val="24"/>
          <w:szCs w:val="24"/>
        </w:rPr>
        <w:t xml:space="preserve"> </w:t>
      </w:r>
      <w:r w:rsidRPr="00A8244B">
        <w:rPr>
          <w:rFonts w:ascii="Times New Roman" w:hAnsi="Times New Roman" w:cs="Times New Roman"/>
          <w:sz w:val="24"/>
          <w:szCs w:val="24"/>
        </w:rPr>
        <w:t xml:space="preserve">29.5 OPG) and the groups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neem (R2 to R7),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loads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ranged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29.25 ± 15.7 to 41 ± 38.5 OPG (P &gt; 0.05). The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(Figure 3)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a drop in OPG in groups R1 to R7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14,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contrasting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the high and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44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A8244B">
        <w:rPr>
          <w:rFonts w:ascii="Times New Roman" w:hAnsi="Times New Roman" w:cs="Times New Roman"/>
          <w:sz w:val="24"/>
          <w:szCs w:val="24"/>
        </w:rPr>
        <w:t xml:space="preserve"> in group R0.</w:t>
      </w:r>
    </w:p>
    <w:tbl>
      <w:tblPr>
        <w:tblpPr w:leftFromText="141" w:rightFromText="141" w:vertAnchor="text" w:horzAnchor="margin" w:tblpY="897"/>
        <w:tblW w:w="9598" w:type="dxa"/>
        <w:tblLook w:val="04A0" w:firstRow="1" w:lastRow="0" w:firstColumn="1" w:lastColumn="0" w:noHBand="0" w:noVBand="1"/>
      </w:tblPr>
      <w:tblGrid>
        <w:gridCol w:w="1292"/>
        <w:gridCol w:w="1162"/>
        <w:gridCol w:w="942"/>
        <w:gridCol w:w="942"/>
        <w:gridCol w:w="942"/>
        <w:gridCol w:w="942"/>
        <w:gridCol w:w="1217"/>
        <w:gridCol w:w="1217"/>
        <w:gridCol w:w="942"/>
      </w:tblGrid>
      <w:tr w:rsidR="001D5872" w:rsidRPr="00383FD0" w14:paraId="400B48B7" w14:textId="77777777" w:rsidTr="001D5872">
        <w:tc>
          <w:tcPr>
            <w:tcW w:w="0" w:type="auto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8EC131A" w14:textId="58B7873F" w:rsidR="001D5872" w:rsidRPr="00383FD0" w:rsidRDefault="00361F26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Diet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13A5B666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R0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57531489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R1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2947AF6D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R2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3E21B267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R3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2DC5F009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R4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1D966236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R5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2" w:space="0" w:color="000000"/>
            </w:tcBorders>
          </w:tcPr>
          <w:p w14:paraId="2D427C66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R6</w:t>
            </w:r>
          </w:p>
        </w:tc>
        <w:tc>
          <w:tcPr>
            <w:tcW w:w="942" w:type="dxa"/>
            <w:tcBorders>
              <w:top w:val="single" w:sz="18" w:space="0" w:color="000000"/>
              <w:bottom w:val="single" w:sz="12" w:space="0" w:color="000000"/>
            </w:tcBorders>
          </w:tcPr>
          <w:p w14:paraId="6AAB132B" w14:textId="77777777" w:rsidR="001D5872" w:rsidRPr="00383FD0" w:rsidRDefault="001D5872" w:rsidP="001D5872">
            <w:pPr>
              <w:keepNext/>
              <w:keepLines/>
              <w:spacing w:before="40"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R7</w:t>
            </w:r>
          </w:p>
        </w:tc>
      </w:tr>
      <w:tr w:rsidR="001D5872" w:rsidRPr="00383FD0" w14:paraId="0CC34210" w14:textId="77777777" w:rsidTr="001D5872">
        <w:tc>
          <w:tcPr>
            <w:tcW w:w="0" w:type="auto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16422" w14:textId="4D676A3B" w:rsidR="001D5872" w:rsidRPr="00383FD0" w:rsidRDefault="00361F26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1F26">
              <w:rPr>
                <w:rFonts w:ascii="Times New Roman" w:eastAsia="Times New Roman" w:hAnsi="Times New Roman" w:cs="Times New Roman"/>
                <w:b/>
              </w:rPr>
              <w:t>Average</w:t>
            </w:r>
            <w:proofErr w:type="spellEnd"/>
            <w:r w:rsidRPr="00361F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1F26"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Pr="00361F26">
              <w:rPr>
                <w:rFonts w:ascii="Times New Roman" w:eastAsia="Times New Roman" w:hAnsi="Times New Roman" w:cs="Times New Roman"/>
                <w:b/>
              </w:rPr>
              <w:t xml:space="preserve"> of OPG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469B230D" w14:textId="3A2FF336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235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5±205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489C7420" w14:textId="03E1C7B2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40±29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351FD7A0" w14:textId="08291AB9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35±26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219FF376" w14:textId="226C2DAF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41±38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104BC3A5" w14:textId="391B74C8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39±33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459D593F" w14:textId="67EE148F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29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25±15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8" w:space="0" w:color="000000"/>
            </w:tcBorders>
          </w:tcPr>
          <w:p w14:paraId="4075AA97" w14:textId="52E9442B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37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25±28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42" w:type="dxa"/>
            <w:tcBorders>
              <w:top w:val="single" w:sz="12" w:space="0" w:color="000000"/>
              <w:bottom w:val="single" w:sz="18" w:space="0" w:color="000000"/>
            </w:tcBorders>
          </w:tcPr>
          <w:p w14:paraId="7D1E417D" w14:textId="372C16FA" w:rsidR="001D5872" w:rsidRPr="00383FD0" w:rsidRDefault="001D5872" w:rsidP="001D5872">
            <w:pPr>
              <w:keepNext/>
              <w:keepLines/>
              <w:spacing w:before="40" w:after="0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83FD0">
              <w:rPr>
                <w:rFonts w:ascii="Times New Roman" w:eastAsia="Times New Roman" w:hAnsi="Times New Roman" w:cs="Times New Roman"/>
                <w:bCs/>
              </w:rPr>
              <w:t>32</w:t>
            </w:r>
            <w:r w:rsidR="00051670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383FD0">
              <w:rPr>
                <w:rFonts w:ascii="Times New Roman" w:eastAsia="Times New Roman" w:hAnsi="Times New Roman" w:cs="Times New Roman"/>
                <w:bCs/>
              </w:rPr>
              <w:t>±19</w:t>
            </w:r>
          </w:p>
        </w:tc>
      </w:tr>
    </w:tbl>
    <w:p w14:paraId="549177D0" w14:textId="4B5C15C7" w:rsidR="00761264" w:rsidRPr="001D5872" w:rsidRDefault="00761264" w:rsidP="00A824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F70D92" w:rsidRPr="001D58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Mean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parasite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load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(OPG,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mean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± standard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deviation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according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dietary</w:t>
      </w:r>
      <w:proofErr w:type="spellEnd"/>
      <w:r w:rsidRPr="001D5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b/>
          <w:bCs/>
          <w:sz w:val="24"/>
          <w:szCs w:val="24"/>
        </w:rPr>
        <w:t>treatment</w:t>
      </w:r>
      <w:proofErr w:type="spellEnd"/>
    </w:p>
    <w:p w14:paraId="5B85E24F" w14:textId="2EC8BF28" w:rsidR="00D7286D" w:rsidRPr="001D5872" w:rsidRDefault="001D5872" w:rsidP="007612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Values on the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row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bearing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letters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(a, b) are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significantly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5872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 w:rsidRPr="001D5872">
        <w:rPr>
          <w:rFonts w:ascii="Times New Roman" w:hAnsi="Times New Roman" w:cs="Times New Roman"/>
          <w:i/>
          <w:iCs/>
          <w:sz w:val="24"/>
          <w:szCs w:val="24"/>
        </w:rPr>
        <w:t xml:space="preserve"> (P &lt; 0.05).</w:t>
      </w:r>
    </w:p>
    <w:p w14:paraId="7014A9E0" w14:textId="405673EB" w:rsidR="00361F26" w:rsidRDefault="00361F26" w:rsidP="00361F26">
      <w:pPr>
        <w:spacing w:before="240" w:line="360" w:lineRule="auto"/>
        <w:jc w:val="center"/>
        <w:rPr>
          <w:noProof/>
        </w:rPr>
      </w:pPr>
    </w:p>
    <w:p w14:paraId="4FA9D344" w14:textId="77777777" w:rsidR="00361F26" w:rsidRDefault="00361F26" w:rsidP="00361F26">
      <w:pPr>
        <w:spacing w:before="240" w:line="360" w:lineRule="auto"/>
        <w:jc w:val="center"/>
        <w:rPr>
          <w:noProof/>
        </w:rPr>
      </w:pPr>
    </w:p>
    <w:p w14:paraId="40FD2881" w14:textId="58EF5174" w:rsidR="00361F26" w:rsidRDefault="00361F26" w:rsidP="00361F26">
      <w:pPr>
        <w:spacing w:before="240" w:line="360" w:lineRule="auto"/>
        <w:jc w:val="center"/>
        <w:rPr>
          <w:noProof/>
        </w:rPr>
      </w:pPr>
      <w:r w:rsidRPr="00940264">
        <w:rPr>
          <w:noProof/>
        </w:rPr>
        <w:drawing>
          <wp:inline distT="0" distB="0" distL="0" distR="0" wp14:anchorId="3F3DCD63" wp14:editId="09133149">
            <wp:extent cx="4781550" cy="3657600"/>
            <wp:effectExtent l="0" t="0" r="0" b="0"/>
            <wp:docPr id="6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8FF47CC" w14:textId="4793A54F" w:rsidR="001D5872" w:rsidRPr="00361F26" w:rsidRDefault="00361F26" w:rsidP="00361F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3"/>
      <w:r w:rsidRPr="00361F26">
        <w:rPr>
          <w:rFonts w:ascii="Times New Roman" w:hAnsi="Times New Roman" w:cs="Times New Roman"/>
          <w:b/>
          <w:bCs/>
          <w:sz w:val="24"/>
          <w:szCs w:val="24"/>
        </w:rPr>
        <w:t>Figure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: Evolution of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average</w:t>
      </w:r>
      <w:proofErr w:type="spellEnd"/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coccidia</w:t>
      </w:r>
      <w:proofErr w:type="spellEnd"/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loads</w:t>
      </w:r>
      <w:proofErr w:type="spellEnd"/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according</w:t>
      </w:r>
      <w:proofErr w:type="spellEnd"/>
      <w:r w:rsidRPr="00361F26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361F26">
        <w:rPr>
          <w:rFonts w:ascii="Times New Roman" w:hAnsi="Times New Roman" w:cs="Times New Roman"/>
          <w:b/>
          <w:bCs/>
          <w:sz w:val="24"/>
          <w:szCs w:val="24"/>
        </w:rPr>
        <w:t>treatments</w:t>
      </w:r>
      <w:commentRangeEnd w:id="3"/>
      <w:proofErr w:type="spellEnd"/>
      <w:r w:rsidR="00A61A44">
        <w:rPr>
          <w:rStyle w:val="CommentReference"/>
        </w:rPr>
        <w:commentReference w:id="3"/>
      </w:r>
    </w:p>
    <w:p w14:paraId="313D8A77" w14:textId="77777777" w:rsidR="001D5872" w:rsidRDefault="001D5872" w:rsidP="00761264"/>
    <w:p w14:paraId="2BF28395" w14:textId="77777777" w:rsidR="00C20958" w:rsidRDefault="00C20958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0611" w14:textId="263ED05C" w:rsidR="00761264" w:rsidRPr="0094608B" w:rsidRDefault="00E645B2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20449866"/>
      <w:r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715F71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bookmarkEnd w:id="4"/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Growth</w:t>
      </w:r>
      <w:proofErr w:type="spellEnd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 xml:space="preserve"> performance and </w:t>
      </w:r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intake</w:t>
      </w:r>
      <w:proofErr w:type="spellEnd"/>
    </w:p>
    <w:p w14:paraId="229507E3" w14:textId="36BEDF20" w:rsidR="00761264" w:rsidRPr="0094608B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8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zootechnical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performance are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Tables </w:t>
      </w:r>
      <w:r w:rsidR="009B2F2D">
        <w:rPr>
          <w:rFonts w:ascii="Times New Roman" w:hAnsi="Times New Roman" w:cs="Times New Roman"/>
          <w:sz w:val="24"/>
          <w:szCs w:val="24"/>
        </w:rPr>
        <w:t>2</w:t>
      </w:r>
      <w:r w:rsidRPr="0094608B">
        <w:rPr>
          <w:rFonts w:ascii="Times New Roman" w:hAnsi="Times New Roman" w:cs="Times New Roman"/>
          <w:sz w:val="24"/>
          <w:szCs w:val="24"/>
        </w:rPr>
        <w:t xml:space="preserve"> to </w:t>
      </w:r>
      <w:r w:rsidR="009B2F2D">
        <w:rPr>
          <w:rFonts w:ascii="Times New Roman" w:hAnsi="Times New Roman" w:cs="Times New Roman"/>
          <w:sz w:val="24"/>
          <w:szCs w:val="24"/>
        </w:rPr>
        <w:t>5</w:t>
      </w:r>
      <w:r w:rsidRPr="0094608B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(P &gt; 0.05)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groups for all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trial</w:t>
      </w:r>
      <w:r w:rsidR="00715F71">
        <w:rPr>
          <w:rFonts w:ascii="Times New Roman" w:hAnsi="Times New Roman" w:cs="Times New Roman"/>
          <w:sz w:val="24"/>
          <w:szCs w:val="24"/>
        </w:rPr>
        <w:t>.</w:t>
      </w:r>
    </w:p>
    <w:p w14:paraId="4082BC62" w14:textId="33961DBE" w:rsidR="00715F71" w:rsidRPr="00E645B2" w:rsidRDefault="00E645B2" w:rsidP="00E645B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5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>Feed</w:t>
      </w:r>
      <w:proofErr w:type="spellEnd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>intake</w:t>
      </w:r>
      <w:proofErr w:type="spellEnd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F5B5F" w:rsidRPr="00E645B2">
        <w:rPr>
          <w:rFonts w:ascii="Times New Roman" w:hAnsi="Times New Roman" w:cs="Times New Roman"/>
          <w:b/>
          <w:bCs/>
          <w:sz w:val="24"/>
          <w:szCs w:val="24"/>
        </w:rPr>
        <w:t>FI</w:t>
      </w:r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) and water </w:t>
      </w:r>
      <w:proofErr w:type="spellStart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>intake</w:t>
      </w:r>
      <w:proofErr w:type="spellEnd"/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F5B5F" w:rsidRPr="00E645B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61264" w:rsidRPr="00E645B2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CD1C80"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74E736" w14:textId="500FA356" w:rsidR="00761264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8B">
        <w:rPr>
          <w:rFonts w:ascii="Times New Roman" w:hAnsi="Times New Roman" w:cs="Times New Roman"/>
          <w:sz w:val="24"/>
          <w:szCs w:val="24"/>
        </w:rPr>
        <w:lastRenderedPageBreak/>
        <w:t>Weekly ingestion profiles</w:t>
      </w:r>
      <w:r w:rsidR="00715F71">
        <w:rPr>
          <w:rFonts w:ascii="Times New Roman" w:hAnsi="Times New Roman" w:cs="Times New Roman"/>
          <w:sz w:val="24"/>
          <w:szCs w:val="24"/>
        </w:rPr>
        <w:t xml:space="preserve"> of</w:t>
      </w:r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71">
        <w:rPr>
          <w:rFonts w:ascii="Times New Roman" w:hAnsi="Times New Roman" w:cs="Times New Roman"/>
          <w:sz w:val="24"/>
          <w:szCs w:val="24"/>
        </w:rPr>
        <w:t>f</w:t>
      </w:r>
      <w:r w:rsidR="00715F71" w:rsidRPr="00715F71">
        <w:rPr>
          <w:rFonts w:ascii="Times New Roman" w:hAnsi="Times New Roman" w:cs="Times New Roman"/>
          <w:sz w:val="24"/>
          <w:szCs w:val="24"/>
        </w:rPr>
        <w:t>eed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="00715F71">
        <w:rPr>
          <w:rFonts w:ascii="Times New Roman" w:hAnsi="Times New Roman" w:cs="Times New Roman"/>
          <w:sz w:val="24"/>
          <w:szCs w:val="24"/>
        </w:rPr>
        <w:t xml:space="preserve"> </w:t>
      </w:r>
      <w:r w:rsidR="00715F71" w:rsidRPr="00715F71">
        <w:rPr>
          <w:rFonts w:ascii="Times New Roman" w:hAnsi="Times New Roman" w:cs="Times New Roman"/>
          <w:sz w:val="24"/>
          <w:szCs w:val="24"/>
        </w:rPr>
        <w:t xml:space="preserve">(Table 2)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groups</w:t>
      </w:r>
      <w:r w:rsidR="00715F71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="00715F7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715F7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715F71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715F71">
        <w:rPr>
          <w:rFonts w:ascii="Times New Roman" w:hAnsi="Times New Roman" w:cs="Times New Roman"/>
          <w:sz w:val="24"/>
          <w:szCs w:val="24"/>
        </w:rPr>
        <w:t xml:space="preserve"> for</w:t>
      </w:r>
      <w:r w:rsidR="00715F71" w:rsidRPr="00715F71"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20449072"/>
      <w:r w:rsidRPr="0094608B">
        <w:rPr>
          <w:rFonts w:ascii="Times New Roman" w:hAnsi="Times New Roman" w:cs="Times New Roman"/>
          <w:sz w:val="24"/>
          <w:szCs w:val="24"/>
        </w:rPr>
        <w:t xml:space="preserve">(Table </w:t>
      </w:r>
      <w:r w:rsidR="009B2F2D">
        <w:rPr>
          <w:rFonts w:ascii="Times New Roman" w:hAnsi="Times New Roman" w:cs="Times New Roman"/>
          <w:sz w:val="24"/>
          <w:szCs w:val="24"/>
        </w:rPr>
        <w:t>3</w:t>
      </w:r>
      <w:r w:rsidRPr="0094608B">
        <w:rPr>
          <w:rFonts w:ascii="Times New Roman" w:hAnsi="Times New Roman" w:cs="Times New Roman"/>
          <w:sz w:val="24"/>
          <w:szCs w:val="24"/>
        </w:rPr>
        <w:t>).</w:t>
      </w:r>
    </w:p>
    <w:bookmarkEnd w:id="5"/>
    <w:p w14:paraId="38D73C64" w14:textId="2F36E960" w:rsidR="00CD1C80" w:rsidRPr="00EC5B62" w:rsidRDefault="00CD1C80" w:rsidP="00CD1C80">
      <w:pPr>
        <w:pStyle w:val="Caption"/>
        <w:keepNext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commentRangeStart w:id="6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Table </w:t>
      </w:r>
      <w:r w:rsidR="009B2F2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: Changes in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food</w:t>
      </w:r>
      <w:proofErr w:type="spellEnd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intake</w:t>
      </w:r>
      <w:proofErr w:type="spellEnd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of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chickens</w:t>
      </w:r>
      <w:proofErr w:type="spellEnd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according</w:t>
      </w:r>
      <w:proofErr w:type="spellEnd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to </w:t>
      </w:r>
      <w:proofErr w:type="spellStart"/>
      <w:r w:rsidRPr="00CD1C80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age</w:t>
      </w:r>
      <w:commentRangeEnd w:id="6"/>
      <w:proofErr w:type="spellEnd"/>
      <w:r w:rsidR="00ED66A5">
        <w:rPr>
          <w:rStyle w:val="CommentReference"/>
          <w:rFonts w:asciiTheme="minorHAnsi" w:eastAsiaTheme="minorHAnsi" w:hAnsiTheme="minorHAnsi" w:cstheme="minorBidi"/>
          <w:i w:val="0"/>
          <w:iCs w:val="0"/>
          <w:color w:val="auto"/>
        </w:rPr>
        <w:commentReference w:id="6"/>
      </w:r>
    </w:p>
    <w:tbl>
      <w:tblPr>
        <w:tblW w:w="9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976"/>
        <w:gridCol w:w="976"/>
        <w:gridCol w:w="976"/>
        <w:gridCol w:w="983"/>
        <w:gridCol w:w="944"/>
        <w:gridCol w:w="944"/>
        <w:gridCol w:w="983"/>
        <w:gridCol w:w="944"/>
        <w:gridCol w:w="944"/>
      </w:tblGrid>
      <w:tr w:rsidR="00CD1C80" w:rsidRPr="005354E3" w14:paraId="73110509" w14:textId="77777777" w:rsidTr="00ED66A5">
        <w:trPr>
          <w:trHeight w:val="306"/>
          <w:jc w:val="center"/>
        </w:trPr>
        <w:tc>
          <w:tcPr>
            <w:tcW w:w="10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34A577" w14:textId="1288D250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(Days)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BC979A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10D2D2" w14:textId="13E1F39F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CD1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AMOUNT OF FOOD CONSUMED (g)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74C75D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P- value</w:t>
            </w:r>
          </w:p>
        </w:tc>
      </w:tr>
      <w:tr w:rsidR="00CD1C80" w:rsidRPr="005354E3" w14:paraId="577F1B3B" w14:textId="77777777" w:rsidTr="00ED66A5">
        <w:trPr>
          <w:trHeight w:val="283"/>
          <w:jc w:val="center"/>
        </w:trPr>
        <w:tc>
          <w:tcPr>
            <w:tcW w:w="10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FB2AB2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A1D564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>R0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84385E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733C39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DA3AE3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11EAB0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651BB6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E4CA51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325DEA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CI"/>
              </w:rPr>
              <w:t>R</w:t>
            </w:r>
            <w:r w:rsidRPr="00535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fr-CI"/>
              </w:rPr>
              <w:t>7</w:t>
            </w:r>
          </w:p>
        </w:tc>
        <w:tc>
          <w:tcPr>
            <w:tcW w:w="9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49C7B5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</w:p>
        </w:tc>
      </w:tr>
      <w:tr w:rsidR="00CD1C80" w:rsidRPr="005354E3" w14:paraId="174B90C3" w14:textId="77777777" w:rsidTr="00ED66A5">
        <w:trPr>
          <w:trHeight w:val="545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49447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J21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94C92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598.95±</w:t>
            </w:r>
          </w:p>
          <w:p w14:paraId="05FB62A5" w14:textId="1015C3E4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5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65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4131C" w14:textId="20C11042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580.03± 17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33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ã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DD15E" w14:textId="75015DAD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593.95± 4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5E5D3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600.87±</w:t>
            </w:r>
          </w:p>
          <w:p w14:paraId="17BED866" w14:textId="2FA826B9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08791" w14:textId="22C7964A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585.85± 13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D763B" w14:textId="40AE03C5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577± 13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D83E2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570.87±</w:t>
            </w:r>
          </w:p>
          <w:p w14:paraId="308955C3" w14:textId="0B575E7D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08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BD975" w14:textId="30CFFA49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569.94± 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21926" w14:textId="59A50433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43757CD7" w14:textId="77777777" w:rsidTr="00ED66A5">
        <w:trPr>
          <w:trHeight w:val="545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D4708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J28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ACE9B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612.43±</w:t>
            </w:r>
          </w:p>
          <w:p w14:paraId="48F4DBD6" w14:textId="27818AFA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48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27E2D" w14:textId="7F812385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615.23± 5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F7199" w14:textId="5851257B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620.58± 8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07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5A7C3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625.51±</w:t>
            </w:r>
          </w:p>
          <w:p w14:paraId="3041D1FC" w14:textId="67A65B8C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18AD5" w14:textId="0EA9320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618.03±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02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808DC" w14:textId="42AE773A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617.65±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8C6F3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602.61±</w:t>
            </w:r>
          </w:p>
          <w:p w14:paraId="5A5528C0" w14:textId="29A1DD80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70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92ABD" w14:textId="5C5C6C5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600.09±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95818" w14:textId="3A0422E1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607DD717" w14:textId="77777777" w:rsidTr="00ED66A5">
        <w:trPr>
          <w:trHeight w:val="545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32212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J35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B779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752.62±</w:t>
            </w:r>
          </w:p>
          <w:p w14:paraId="0F5179DF" w14:textId="0752C185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25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D1C7B" w14:textId="6B80FBA6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762.31± 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27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A6490" w14:textId="1397B98A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776.84±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0C5E6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790.74±</w:t>
            </w:r>
          </w:p>
          <w:p w14:paraId="57E4DD5F" w14:textId="161D400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D7708" w14:textId="3334E02A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768.42±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C2880" w14:textId="175241F0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771.58±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A91FD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760.62±</w:t>
            </w:r>
          </w:p>
          <w:p w14:paraId="344F7F70" w14:textId="48EA56C3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AE12" w14:textId="1F16EF01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758.16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27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AE631" w14:textId="2E9A1E33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690DC48B" w14:textId="77777777" w:rsidTr="00ED66A5">
        <w:trPr>
          <w:trHeight w:val="545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17FC5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J42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906A" w14:textId="579C2865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1047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03±</w:t>
            </w:r>
          </w:p>
          <w:p w14:paraId="22D42945" w14:textId="6638874F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13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01229" w14:textId="6866CEA6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1010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53±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7D6B" w14:textId="33236BCD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1028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50±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597F" w14:textId="2EC3917D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1047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03±</w:t>
            </w:r>
          </w:p>
          <w:p w14:paraId="71DB3F11" w14:textId="6E3BE370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F589B" w14:textId="239E01D4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1018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60</w:t>
            </w:r>
          </w:p>
          <w:p w14:paraId="7EC6D54C" w14:textId="7480AACD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± 4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1BE26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1020,90</w:t>
            </w:r>
          </w:p>
          <w:p w14:paraId="511873D2" w14:textId="5AEF3AF1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±2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40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02C16" w14:textId="23B3B39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1010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18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817F2" w14:textId="26B51CF3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1009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74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20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B4B1F" w14:textId="5D9DF956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1ACD0CCD" w14:textId="77777777" w:rsidTr="00ED66A5">
        <w:trPr>
          <w:trHeight w:val="556"/>
          <w:jc w:val="center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9F1FF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J49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593E2" w14:textId="2660514B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829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 xml:space="preserve"> 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06±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32</w:t>
            </w:r>
            <w:r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7338C" w14:textId="442E829C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813,26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151A8" w14:textId="329FFA20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846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53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68507" w14:textId="754AA884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868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04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12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A4611" w14:textId="70CCB46A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819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03±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13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EE2ED" w14:textId="4F8F497A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821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16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4758B" w14:textId="500C0B3B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810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97 ± 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E0800" w14:textId="7272AE91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810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54 ± 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58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5ABCF" w14:textId="6E3B770C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&gt;0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05</w:t>
            </w:r>
          </w:p>
        </w:tc>
      </w:tr>
      <w:tr w:rsidR="00CD1C80" w:rsidRPr="005354E3" w14:paraId="5F53815D" w14:textId="77777777" w:rsidTr="00ED66A5">
        <w:trPr>
          <w:trHeight w:val="556"/>
          <w:jc w:val="center"/>
        </w:trPr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70DDD4" w14:textId="0ECDE7B1" w:rsidR="00CD1C80" w:rsidRPr="005354E3" w:rsidRDefault="009B2F2D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Averages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FAE12F" w14:textId="77777777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768.02±</w:t>
            </w:r>
          </w:p>
          <w:p w14:paraId="669DB9BD" w14:textId="0D245140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  <w:t>4.22</w:t>
            </w:r>
            <w:r w:rsidR="00022F4D" w:rsidRPr="00022F4D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fr-CI" w:eastAsia="fr-CI"/>
              </w:rPr>
              <w:t>a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EB768E" w14:textId="577AC296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756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27± 5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2FF8D5" w14:textId="02326C14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773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28±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88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69D5A7" w14:textId="77F40FF5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786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50 ± 2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15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362C14" w14:textId="389A344F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99 ±5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04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45CEE4" w14:textId="29F29948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761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63± 4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62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1EC038" w14:textId="4FB3BDA1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751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01± 4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41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C0F173" w14:textId="7108B6DB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749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69± 3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37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fr-CI"/>
              </w:rPr>
              <w:t>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FB78BC" w14:textId="26B45960" w:rsidR="00CD1C80" w:rsidRPr="005354E3" w:rsidRDefault="00CD1C80" w:rsidP="00ED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CI" w:eastAsia="fr-CI"/>
              </w:rPr>
            </w:pP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0</w:t>
            </w:r>
            <w:r w:rsidR="00022F4D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a.</w:t>
            </w:r>
            <w:r w:rsidRPr="005354E3">
              <w:rPr>
                <w:rFonts w:ascii="Times New Roman" w:eastAsia="Times New Roman" w:hAnsi="Times New Roman" w:cs="Times New Roman"/>
                <w:color w:val="000000"/>
                <w:lang w:eastAsia="fr-CI"/>
              </w:rPr>
              <w:t>45</w:t>
            </w:r>
          </w:p>
        </w:tc>
      </w:tr>
    </w:tbl>
    <w:p w14:paraId="15D516EF" w14:textId="34934E67" w:rsidR="00CD1C80" w:rsidRPr="0094608B" w:rsidRDefault="005403BB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mean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values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with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the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same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letters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the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same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row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are not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significantly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different</w:t>
      </w:r>
      <w:proofErr w:type="spellEnd"/>
      <w:r w:rsidRPr="005403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(p&gt;0.05).</w:t>
      </w:r>
    </w:p>
    <w:p w14:paraId="3A4DEDF6" w14:textId="70DDA93F" w:rsidR="005403BB" w:rsidRPr="00DF57BD" w:rsidRDefault="00DF57BD" w:rsidP="005403BB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</w:pPr>
      <w:commentRangeStart w:id="7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Table </w:t>
      </w:r>
      <w:r w:rsidR="009B2F2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: Water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consumption</w:t>
      </w:r>
      <w:proofErr w:type="spellEnd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by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age</w:t>
      </w:r>
      <w:commentRangeEnd w:id="7"/>
      <w:proofErr w:type="spellEnd"/>
      <w:r w:rsidR="00ED66A5">
        <w:rPr>
          <w:rStyle w:val="CommentReference"/>
          <w:rFonts w:asciiTheme="minorHAnsi" w:eastAsiaTheme="minorHAnsi" w:hAnsiTheme="minorHAnsi" w:cstheme="minorBidi"/>
          <w:i w:val="0"/>
          <w:iCs w:val="0"/>
          <w:color w:val="auto"/>
        </w:rPr>
        <w:comment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860"/>
        <w:gridCol w:w="787"/>
        <w:gridCol w:w="859"/>
        <w:gridCol w:w="860"/>
        <w:gridCol w:w="886"/>
        <w:gridCol w:w="888"/>
        <w:gridCol w:w="1106"/>
        <w:gridCol w:w="861"/>
        <w:gridCol w:w="833"/>
      </w:tblGrid>
      <w:tr w:rsidR="005403BB" w:rsidRPr="007854A5" w14:paraId="64D9D0DB" w14:textId="77777777" w:rsidTr="003506E5">
        <w:tc>
          <w:tcPr>
            <w:tcW w:w="113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AAEB707" w14:textId="2FB6467D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 </w:t>
            </w:r>
            <w:r w:rsidR="00DF5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(Days)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7BB07E60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D2C3A" w14:textId="1AB3DDBB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 CONSUMPTION (</w:t>
            </w:r>
            <w:r w:rsidR="00C20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</w:t>
            </w:r>
            <w:r w:rsidRPr="00DF5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F6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F6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</w:t>
            </w:r>
            <w:proofErr w:type="spellEnd"/>
            <w:r w:rsidR="00F6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1C67094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 value</w:t>
            </w:r>
          </w:p>
        </w:tc>
      </w:tr>
      <w:tr w:rsidR="005403BB" w:rsidRPr="007854A5" w14:paraId="169B2699" w14:textId="77777777" w:rsidTr="003506E5">
        <w:tc>
          <w:tcPr>
            <w:tcW w:w="1132" w:type="dxa"/>
            <w:vMerge/>
            <w:tcBorders>
              <w:left w:val="nil"/>
              <w:bottom w:val="single" w:sz="4" w:space="0" w:color="auto"/>
            </w:tcBorders>
          </w:tcPr>
          <w:p w14:paraId="132E3B67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6FA989B9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56157DF5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18E14AC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12BBB6D8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46624453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42E40569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R5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0B05E24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R6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918727B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R7</w:t>
            </w:r>
          </w:p>
        </w:tc>
        <w:tc>
          <w:tcPr>
            <w:tcW w:w="833" w:type="dxa"/>
            <w:vMerge/>
            <w:tcBorders>
              <w:bottom w:val="single" w:sz="4" w:space="0" w:color="auto"/>
              <w:right w:val="nil"/>
            </w:tcBorders>
          </w:tcPr>
          <w:p w14:paraId="49ECA5A2" w14:textId="7777777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03BB" w:rsidRPr="007854A5" w14:paraId="1DA4D474" w14:textId="77777777" w:rsidTr="003506E5">
        <w:tc>
          <w:tcPr>
            <w:tcW w:w="1132" w:type="dxa"/>
            <w:tcBorders>
              <w:top w:val="single" w:sz="4" w:space="0" w:color="auto"/>
              <w:left w:val="nil"/>
            </w:tcBorders>
            <w:vAlign w:val="center"/>
          </w:tcPr>
          <w:p w14:paraId="592480E4" w14:textId="36029198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68718557" w14:textId="3235C73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7854A5">
              <w:rPr>
                <w:rFonts w:ascii="Times New Roman" w:hAnsi="Times New Roman" w:cs="Times New Roman"/>
              </w:rPr>
              <w:t>± 14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13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661544A1" w14:textId="3C0A976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7854A5">
              <w:rPr>
                <w:rFonts w:ascii="Times New Roman" w:hAnsi="Times New Roman" w:cs="Times New Roman"/>
              </w:rPr>
              <w:t>± 15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23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8F6AF26" w14:textId="037DA321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7854A5">
              <w:rPr>
                <w:rFonts w:ascii="Times New Roman" w:hAnsi="Times New Roman" w:cs="Times New Roman"/>
              </w:rPr>
              <w:t>± 12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20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0AAA3CC5" w14:textId="5278BBF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7854A5">
              <w:rPr>
                <w:rFonts w:ascii="Times New Roman" w:hAnsi="Times New Roman" w:cs="Times New Roman"/>
              </w:rPr>
              <w:t>± 16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34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3FE9FDA0" w14:textId="13702485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854A5">
              <w:rPr>
                <w:rFonts w:ascii="Times New Roman" w:hAnsi="Times New Roman" w:cs="Times New Roman"/>
              </w:rPr>
              <w:t>± 13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78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0EB3B579" w14:textId="603A899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7854A5">
              <w:rPr>
                <w:rFonts w:ascii="Times New Roman" w:hAnsi="Times New Roman" w:cs="Times New Roman"/>
              </w:rPr>
              <w:t>± 10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1F45AE56" w14:textId="470F37F8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7854A5">
              <w:rPr>
                <w:rFonts w:ascii="Times New Roman" w:hAnsi="Times New Roman" w:cs="Times New Roman"/>
              </w:rPr>
              <w:t>± 9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65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F3DE8BE" w14:textId="22FF8A73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854A5">
              <w:rPr>
                <w:rFonts w:ascii="Times New Roman" w:hAnsi="Times New Roman" w:cs="Times New Roman"/>
              </w:rPr>
              <w:t>± 18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09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right w:val="nil"/>
            </w:tcBorders>
          </w:tcPr>
          <w:p w14:paraId="15169027" w14:textId="72857126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71EA28F5" w14:textId="77777777" w:rsidTr="003506E5">
        <w:tc>
          <w:tcPr>
            <w:tcW w:w="1132" w:type="dxa"/>
            <w:tcBorders>
              <w:left w:val="nil"/>
            </w:tcBorders>
            <w:vAlign w:val="center"/>
          </w:tcPr>
          <w:p w14:paraId="57772707" w14:textId="26917112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60" w:type="dxa"/>
          </w:tcPr>
          <w:p w14:paraId="11211CED" w14:textId="1FBCA647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854A5">
              <w:rPr>
                <w:rFonts w:ascii="Times New Roman" w:hAnsi="Times New Roman" w:cs="Times New Roman"/>
              </w:rPr>
              <w:t>± 14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7" w:type="dxa"/>
          </w:tcPr>
          <w:p w14:paraId="3E5F5A5C" w14:textId="75974A22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7854A5">
              <w:rPr>
                <w:rFonts w:ascii="Times New Roman" w:hAnsi="Times New Roman" w:cs="Times New Roman"/>
              </w:rPr>
              <w:t>± 14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9" w:type="dxa"/>
          </w:tcPr>
          <w:p w14:paraId="6B1A3FFB" w14:textId="29F52E7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854A5">
              <w:rPr>
                <w:rFonts w:ascii="Times New Roman" w:hAnsi="Times New Roman" w:cs="Times New Roman"/>
              </w:rPr>
              <w:t>± 15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</w:tcPr>
          <w:p w14:paraId="691561BD" w14:textId="2FD9865E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854A5">
              <w:rPr>
                <w:rFonts w:ascii="Times New Roman" w:hAnsi="Times New Roman" w:cs="Times New Roman"/>
              </w:rPr>
              <w:t>± 18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15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</w:tcPr>
          <w:p w14:paraId="74537CAE" w14:textId="76DB8C53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 xml:space="preserve">93± </w:t>
            </w:r>
            <w:r w:rsidRPr="007854A5">
              <w:rPr>
                <w:rFonts w:ascii="Times New Roman" w:hAnsi="Times New Roman" w:cs="Times New Roman"/>
              </w:rPr>
              <w:t>15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 xml:space="preserve">95 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</w:tcPr>
          <w:p w14:paraId="41E30411" w14:textId="1B8362ED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</w:rPr>
              <w:t>40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65± 19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 xml:space="preserve">25 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</w:tcPr>
          <w:p w14:paraId="3D1FC689" w14:textId="549B2E55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7854A5">
              <w:rPr>
                <w:rFonts w:ascii="Times New Roman" w:hAnsi="Times New Roman" w:cs="Times New Roman"/>
              </w:rPr>
              <w:t>± 16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1" w:type="dxa"/>
          </w:tcPr>
          <w:p w14:paraId="07103EC1" w14:textId="5E93B806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7854A5">
              <w:rPr>
                <w:rFonts w:ascii="Times New Roman" w:hAnsi="Times New Roman" w:cs="Times New Roman"/>
              </w:rPr>
              <w:t>± 13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right w:val="nil"/>
            </w:tcBorders>
          </w:tcPr>
          <w:p w14:paraId="15442272" w14:textId="527BDED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1A36747D" w14:textId="77777777" w:rsidTr="003506E5">
        <w:tc>
          <w:tcPr>
            <w:tcW w:w="1132" w:type="dxa"/>
            <w:tcBorders>
              <w:left w:val="nil"/>
            </w:tcBorders>
            <w:vAlign w:val="center"/>
          </w:tcPr>
          <w:p w14:paraId="3F322C06" w14:textId="3607C075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60" w:type="dxa"/>
          </w:tcPr>
          <w:p w14:paraId="02CFC71D" w14:textId="708AF7F0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7854A5">
              <w:rPr>
                <w:rFonts w:ascii="Times New Roman" w:hAnsi="Times New Roman" w:cs="Times New Roman"/>
              </w:rPr>
              <w:t>± 7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7" w:type="dxa"/>
          </w:tcPr>
          <w:p w14:paraId="78164A58" w14:textId="683725F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7854A5">
              <w:rPr>
                <w:rFonts w:ascii="Times New Roman" w:hAnsi="Times New Roman" w:cs="Times New Roman"/>
              </w:rPr>
              <w:t>± 6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9" w:type="dxa"/>
          </w:tcPr>
          <w:p w14:paraId="0A2F15A0" w14:textId="3173807A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7854A5">
              <w:rPr>
                <w:rFonts w:ascii="Times New Roman" w:hAnsi="Times New Roman" w:cs="Times New Roman"/>
              </w:rPr>
              <w:t>± 7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80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</w:tcPr>
          <w:p w14:paraId="4B5D44B6" w14:textId="72E95AB8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854A5">
              <w:rPr>
                <w:rFonts w:ascii="Times New Roman" w:hAnsi="Times New Roman" w:cs="Times New Roman"/>
              </w:rPr>
              <w:t>± 9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19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</w:tcPr>
          <w:p w14:paraId="5421CCB0" w14:textId="59C5537D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7854A5">
              <w:rPr>
                <w:rFonts w:ascii="Times New Roman" w:hAnsi="Times New Roman" w:cs="Times New Roman"/>
              </w:rPr>
              <w:t>± 8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09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</w:tcPr>
          <w:p w14:paraId="2FB65C39" w14:textId="295048AC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7854A5">
              <w:rPr>
                <w:rFonts w:ascii="Times New Roman" w:hAnsi="Times New Roman" w:cs="Times New Roman"/>
              </w:rPr>
              <w:t>± 5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56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</w:tcPr>
          <w:p w14:paraId="01FCB9D9" w14:textId="17E87211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854A5">
              <w:rPr>
                <w:rFonts w:ascii="Times New Roman" w:hAnsi="Times New Roman" w:cs="Times New Roman"/>
              </w:rPr>
              <w:t>±</w:t>
            </w:r>
          </w:p>
          <w:p w14:paraId="577263B7" w14:textId="018060A5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</w:rPr>
              <w:t>8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76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1" w:type="dxa"/>
          </w:tcPr>
          <w:p w14:paraId="5A6851ED" w14:textId="47CEBC1A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854A5">
              <w:rPr>
                <w:rFonts w:ascii="Times New Roman" w:hAnsi="Times New Roman" w:cs="Times New Roman"/>
              </w:rPr>
              <w:t>± 6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53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right w:val="nil"/>
            </w:tcBorders>
          </w:tcPr>
          <w:p w14:paraId="6F1BD7E6" w14:textId="67F84B9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1962F1DC" w14:textId="77777777" w:rsidTr="003506E5">
        <w:tc>
          <w:tcPr>
            <w:tcW w:w="1132" w:type="dxa"/>
            <w:tcBorders>
              <w:left w:val="nil"/>
            </w:tcBorders>
            <w:vAlign w:val="center"/>
          </w:tcPr>
          <w:p w14:paraId="361FA279" w14:textId="198C91AC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60" w:type="dxa"/>
          </w:tcPr>
          <w:p w14:paraId="76A8C53C" w14:textId="65546EAC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854A5">
              <w:rPr>
                <w:rFonts w:ascii="Times New Roman" w:hAnsi="Times New Roman" w:cs="Times New Roman"/>
              </w:rPr>
              <w:t>± 8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19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7" w:type="dxa"/>
          </w:tcPr>
          <w:p w14:paraId="43A3815D" w14:textId="0BD5B785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854A5">
              <w:rPr>
                <w:rFonts w:ascii="Times New Roman" w:hAnsi="Times New Roman" w:cs="Times New Roman"/>
              </w:rPr>
              <w:t>± 8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43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9" w:type="dxa"/>
          </w:tcPr>
          <w:p w14:paraId="72A69C48" w14:textId="1B9A6F29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854A5">
              <w:rPr>
                <w:rFonts w:ascii="Times New Roman" w:hAnsi="Times New Roman" w:cs="Times New Roman"/>
              </w:rPr>
              <w:t>± 8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</w:tcPr>
          <w:p w14:paraId="7CC66BA4" w14:textId="7A8CD39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854A5">
              <w:rPr>
                <w:rFonts w:ascii="Times New Roman" w:hAnsi="Times New Roman" w:cs="Times New Roman"/>
              </w:rPr>
              <w:t>± 11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</w:tcPr>
          <w:p w14:paraId="631C6B96" w14:textId="3DAECBBD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</w:rPr>
              <w:t>80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28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</w:p>
          <w:p w14:paraId="545840D1" w14:textId="06CD3E41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</w:tcPr>
          <w:p w14:paraId="58BB7E45" w14:textId="3DAD006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854A5">
              <w:rPr>
                <w:rFonts w:ascii="Times New Roman" w:hAnsi="Times New Roman" w:cs="Times New Roman"/>
              </w:rPr>
              <w:t>± 9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88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</w:tcPr>
          <w:p w14:paraId="2BE80FEF" w14:textId="31D8053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7854A5">
              <w:rPr>
                <w:rFonts w:ascii="Times New Roman" w:hAnsi="Times New Roman" w:cs="Times New Roman"/>
              </w:rPr>
              <w:t>± 10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34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1" w:type="dxa"/>
          </w:tcPr>
          <w:p w14:paraId="00B808C3" w14:textId="4C188AA9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7854A5">
              <w:rPr>
                <w:rFonts w:ascii="Times New Roman" w:hAnsi="Times New Roman" w:cs="Times New Roman"/>
              </w:rPr>
              <w:t>± 12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54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right w:val="nil"/>
            </w:tcBorders>
          </w:tcPr>
          <w:p w14:paraId="2F34D883" w14:textId="4405881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199E069A" w14:textId="77777777" w:rsidTr="003506E5">
        <w:tc>
          <w:tcPr>
            <w:tcW w:w="1132" w:type="dxa"/>
            <w:tcBorders>
              <w:left w:val="nil"/>
            </w:tcBorders>
            <w:vAlign w:val="center"/>
          </w:tcPr>
          <w:p w14:paraId="03E542DB" w14:textId="02D888D2" w:rsidR="005403BB" w:rsidRPr="007854A5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403BB"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60" w:type="dxa"/>
          </w:tcPr>
          <w:p w14:paraId="0D4270B0" w14:textId="04FF7286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7854A5">
              <w:rPr>
                <w:rFonts w:ascii="Times New Roman" w:hAnsi="Times New Roman" w:cs="Times New Roman"/>
              </w:rPr>
              <w:t>± 6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6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87" w:type="dxa"/>
          </w:tcPr>
          <w:p w14:paraId="48E9D6B5" w14:textId="1045F7B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7854A5">
              <w:rPr>
                <w:rFonts w:ascii="Times New Roman" w:hAnsi="Times New Roman" w:cs="Times New Roman"/>
              </w:rPr>
              <w:t>± 5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7</w:t>
            </w:r>
            <w:r w:rsidRPr="007854A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859" w:type="dxa"/>
          </w:tcPr>
          <w:p w14:paraId="4DDEB9E1" w14:textId="10E7BEB0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7854A5">
              <w:rPr>
                <w:rFonts w:ascii="Times New Roman" w:hAnsi="Times New Roman" w:cs="Times New Roman"/>
              </w:rPr>
              <w:t>± 6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23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0" w:type="dxa"/>
          </w:tcPr>
          <w:p w14:paraId="748DBFE8" w14:textId="0DB56534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854A5">
              <w:rPr>
                <w:rFonts w:ascii="Times New Roman" w:hAnsi="Times New Roman" w:cs="Times New Roman"/>
              </w:rPr>
              <w:t>± 7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80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6" w:type="dxa"/>
          </w:tcPr>
          <w:p w14:paraId="7D0818F2" w14:textId="4B8B3AE2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7854A5">
              <w:rPr>
                <w:rFonts w:ascii="Times New Roman" w:hAnsi="Times New Roman" w:cs="Times New Roman"/>
              </w:rPr>
              <w:t>± 3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45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dxa"/>
          </w:tcPr>
          <w:p w14:paraId="3AB1EAE2" w14:textId="3DF39449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7854A5">
              <w:rPr>
                <w:rFonts w:ascii="Times New Roman" w:hAnsi="Times New Roman" w:cs="Times New Roman"/>
              </w:rPr>
              <w:t>± 4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08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6" w:type="dxa"/>
          </w:tcPr>
          <w:p w14:paraId="568CBA64" w14:textId="7C190E4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022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854A5">
              <w:rPr>
                <w:rFonts w:ascii="Times New Roman" w:hAnsi="Times New Roman" w:cs="Times New Roman"/>
              </w:rPr>
              <w:t>± 7</w:t>
            </w:r>
            <w:r w:rsidR="00022F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12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61" w:type="dxa"/>
          </w:tcPr>
          <w:p w14:paraId="6FD76372" w14:textId="7B2A8726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E33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7854A5">
              <w:rPr>
                <w:rFonts w:ascii="Times New Roman" w:hAnsi="Times New Roman" w:cs="Times New Roman"/>
              </w:rPr>
              <w:t>± 11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50</w:t>
            </w:r>
            <w:r w:rsidRPr="00785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right w:val="nil"/>
            </w:tcBorders>
          </w:tcPr>
          <w:p w14:paraId="350EF371" w14:textId="46A90F73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Pr="007854A5">
              <w:rPr>
                <w:rFonts w:ascii="Times New Roman" w:hAnsi="Times New Roman" w:cs="Times New Roman"/>
              </w:rPr>
              <w:t>0</w:t>
            </w:r>
            <w:r w:rsidR="00E3354D">
              <w:rPr>
                <w:rFonts w:ascii="Times New Roman" w:hAnsi="Times New Roman" w:cs="Times New Roman"/>
              </w:rPr>
              <w:t>.</w:t>
            </w:r>
            <w:r w:rsidRPr="007854A5">
              <w:rPr>
                <w:rFonts w:ascii="Times New Roman" w:hAnsi="Times New Roman" w:cs="Times New Roman"/>
              </w:rPr>
              <w:t>05</w:t>
            </w:r>
          </w:p>
        </w:tc>
      </w:tr>
      <w:tr w:rsidR="005403BB" w:rsidRPr="007854A5" w14:paraId="4CACB442" w14:textId="77777777" w:rsidTr="003506E5"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6FFF89" w14:textId="2DE2F93D" w:rsidR="005403BB" w:rsidRPr="007854A5" w:rsidRDefault="00022F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Averages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09AB1073" w14:textId="0D900EBF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11</w:t>
            </w:r>
            <w:r w:rsidR="00E335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36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14:paraId="02A2D1EA" w14:textId="56E1005C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10</w:t>
            </w:r>
            <w:r w:rsidR="00E335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06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B5BB215" w14:textId="2D48932A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11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01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47CBB2B0" w14:textId="49B2F03E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13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50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6C92D95C" w14:textId="0BFAB663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11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10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58A98CF1" w14:textId="3200752B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10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78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B90D064" w14:textId="69703C7C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022F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11</w:t>
            </w:r>
            <w:r w:rsidR="00022F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40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D977A2B" w14:textId="486F6179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± 12</w:t>
            </w:r>
            <w:r w:rsidR="00E3354D">
              <w:rPr>
                <w:rFonts w:ascii="Times New Roman" w:hAnsi="Times New Roman" w:cs="Times New Roman"/>
                <w:b/>
                <w:bCs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</w:rPr>
              <w:t>02</w:t>
            </w:r>
            <w:r w:rsidRPr="007854A5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36CEEA" w14:textId="6D6ADE6E" w:rsidR="005403BB" w:rsidRPr="007854A5" w:rsidRDefault="005403BB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85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702</w:t>
            </w:r>
          </w:p>
        </w:tc>
      </w:tr>
    </w:tbl>
    <w:p w14:paraId="07E0A4F0" w14:textId="42173CD0" w:rsidR="003506E5" w:rsidRPr="003506E5" w:rsidRDefault="003506E5" w:rsidP="0094608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mean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values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57B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="00DF57B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letter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on the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line are </w:t>
      </w:r>
      <w:r w:rsidR="00DF57BD">
        <w:rPr>
          <w:rFonts w:ascii="Times New Roman" w:hAnsi="Times New Roman" w:cs="Times New Roman"/>
          <w:i/>
          <w:iCs/>
          <w:sz w:val="24"/>
          <w:szCs w:val="24"/>
        </w:rPr>
        <w:t xml:space="preserve">not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significantly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06E5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(p&lt;0.05).</w:t>
      </w:r>
      <w:r w:rsidR="00761264" w:rsidRPr="003506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160246" w14:textId="4C8A10C4" w:rsidR="00715F71" w:rsidRPr="00715F71" w:rsidRDefault="00E645B2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220449220"/>
      <w:r w:rsidRPr="00E645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64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715F71">
        <w:rPr>
          <w:rFonts w:ascii="Times New Roman" w:hAnsi="Times New Roman" w:cs="Times New Roman"/>
          <w:b/>
          <w:bCs/>
          <w:sz w:val="24"/>
          <w:szCs w:val="24"/>
        </w:rPr>
        <w:t>Average</w:t>
      </w:r>
      <w:proofErr w:type="spellEnd"/>
      <w:r w:rsidR="00761264" w:rsidRPr="00715F71">
        <w:rPr>
          <w:rFonts w:ascii="Times New Roman" w:hAnsi="Times New Roman" w:cs="Times New Roman"/>
          <w:b/>
          <w:bCs/>
          <w:sz w:val="24"/>
          <w:szCs w:val="24"/>
        </w:rPr>
        <w:t xml:space="preserve"> Daily Gain (ADG) and </w:t>
      </w:r>
      <w:proofErr w:type="spellStart"/>
      <w:r w:rsidR="00761264" w:rsidRPr="00715F71">
        <w:rPr>
          <w:rFonts w:ascii="Times New Roman" w:hAnsi="Times New Roman" w:cs="Times New Roman"/>
          <w:b/>
          <w:bCs/>
          <w:sz w:val="24"/>
          <w:szCs w:val="24"/>
        </w:rPr>
        <w:t>Feed</w:t>
      </w:r>
      <w:proofErr w:type="spellEnd"/>
      <w:r w:rsidR="00761264" w:rsidRPr="00715F71">
        <w:rPr>
          <w:rFonts w:ascii="Times New Roman" w:hAnsi="Times New Roman" w:cs="Times New Roman"/>
          <w:b/>
          <w:bCs/>
          <w:sz w:val="24"/>
          <w:szCs w:val="24"/>
        </w:rPr>
        <w:t xml:space="preserve"> Conversion Ratio (FCR)</w:t>
      </w:r>
      <w:r w:rsidR="00CD1C80" w:rsidRPr="00715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8"/>
    </w:p>
    <w:p w14:paraId="3A5037A3" w14:textId="67CB9EF2" w:rsidR="00761264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8B">
        <w:rPr>
          <w:rFonts w:ascii="Times New Roman" w:hAnsi="Times New Roman" w:cs="Times New Roman"/>
          <w:sz w:val="24"/>
          <w:szCs w:val="24"/>
        </w:rPr>
        <w:t xml:space="preserve">Final values and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weekly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evolutions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r w:rsidR="00715F71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Daily Gain (ADG) and </w:t>
      </w:r>
      <w:proofErr w:type="spellStart"/>
      <w:r w:rsidR="00715F71" w:rsidRPr="00715F71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="00715F71" w:rsidRPr="00715F71">
        <w:rPr>
          <w:rFonts w:ascii="Times New Roman" w:hAnsi="Times New Roman" w:cs="Times New Roman"/>
          <w:sz w:val="24"/>
          <w:szCs w:val="24"/>
        </w:rPr>
        <w:t xml:space="preserve"> Conversion Ratio (FCR)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(Tables </w:t>
      </w:r>
      <w:r w:rsidR="009B2F2D">
        <w:rPr>
          <w:rFonts w:ascii="Times New Roman" w:hAnsi="Times New Roman" w:cs="Times New Roman"/>
          <w:sz w:val="24"/>
          <w:szCs w:val="24"/>
        </w:rPr>
        <w:t>4</w:t>
      </w:r>
      <w:r w:rsidRPr="0094608B">
        <w:rPr>
          <w:rFonts w:ascii="Times New Roman" w:hAnsi="Times New Roman" w:cs="Times New Roman"/>
          <w:sz w:val="24"/>
          <w:szCs w:val="24"/>
        </w:rPr>
        <w:t xml:space="preserve"> and </w:t>
      </w:r>
      <w:r w:rsidR="009B2F2D">
        <w:rPr>
          <w:rFonts w:ascii="Times New Roman" w:hAnsi="Times New Roman" w:cs="Times New Roman"/>
          <w:sz w:val="24"/>
          <w:szCs w:val="24"/>
        </w:rPr>
        <w:t>5</w:t>
      </w:r>
      <w:r w:rsidRPr="0094608B">
        <w:rPr>
          <w:rFonts w:ascii="Times New Roman" w:hAnsi="Times New Roman" w:cs="Times New Roman"/>
          <w:sz w:val="24"/>
          <w:szCs w:val="24"/>
        </w:rPr>
        <w:t>).</w:t>
      </w:r>
    </w:p>
    <w:p w14:paraId="5B2DF064" w14:textId="35ABFCBC" w:rsidR="00DF57BD" w:rsidRPr="00DF57BD" w:rsidRDefault="00DF57BD" w:rsidP="00F61107">
      <w:pPr>
        <w:pStyle w:val="Caption"/>
        <w:keepNext/>
        <w:spacing w:line="276" w:lineRule="auto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commentRangeStart w:id="9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Table </w:t>
      </w:r>
      <w:r w:rsidR="000556BF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: Evolution of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average</w:t>
      </w:r>
      <w:proofErr w:type="spellEnd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daily</w:t>
      </w:r>
      <w:proofErr w:type="spellEnd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earnings</w:t>
      </w:r>
      <w:proofErr w:type="spellEnd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by </w:t>
      </w:r>
      <w:proofErr w:type="spellStart"/>
      <w:r w:rsidRPr="00DF57BD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age</w:t>
      </w:r>
      <w:commentRangeEnd w:id="9"/>
      <w:proofErr w:type="spellEnd"/>
      <w:r w:rsidR="00ED66A5">
        <w:rPr>
          <w:rStyle w:val="CommentReference"/>
          <w:rFonts w:asciiTheme="minorHAnsi" w:eastAsiaTheme="minorHAnsi" w:hAnsiTheme="minorHAnsi" w:cstheme="minorBidi"/>
          <w:i w:val="0"/>
          <w:iCs w:val="0"/>
          <w:color w:val="auto"/>
        </w:rPr>
        <w:commentReference w:id="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893"/>
        <w:gridCol w:w="58"/>
        <w:gridCol w:w="734"/>
        <w:gridCol w:w="935"/>
        <w:gridCol w:w="893"/>
        <w:gridCol w:w="898"/>
        <w:gridCol w:w="897"/>
        <w:gridCol w:w="893"/>
        <w:gridCol w:w="897"/>
        <w:gridCol w:w="853"/>
      </w:tblGrid>
      <w:tr w:rsidR="00DF57BD" w:rsidRPr="00F65868" w14:paraId="688D138B" w14:textId="77777777" w:rsidTr="00DF57BD">
        <w:tc>
          <w:tcPr>
            <w:tcW w:w="1121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C6C1861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(Days)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</w:tcBorders>
          </w:tcPr>
          <w:p w14:paraId="29EFF1DE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4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EA710" w14:textId="77777777" w:rsidR="00DF57BD" w:rsidRPr="00E014BF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DAILY GAIN (g/</w:t>
            </w:r>
            <w:proofErr w:type="spellStart"/>
            <w:r w:rsidRPr="00A40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  <w:proofErr w:type="spellEnd"/>
            <w:r w:rsidRPr="00A40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3FC13B7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 value</w:t>
            </w:r>
          </w:p>
        </w:tc>
      </w:tr>
      <w:tr w:rsidR="00DF57BD" w:rsidRPr="00F65868" w14:paraId="23C7D138" w14:textId="77777777" w:rsidTr="00DF57BD">
        <w:tc>
          <w:tcPr>
            <w:tcW w:w="1121" w:type="dxa"/>
            <w:vMerge/>
            <w:tcBorders>
              <w:left w:val="nil"/>
              <w:bottom w:val="single" w:sz="4" w:space="0" w:color="auto"/>
            </w:tcBorders>
          </w:tcPr>
          <w:p w14:paraId="0733A0F4" w14:textId="77777777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2B261DE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16873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63F0E5B5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2BA93A2E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1629BFFE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R4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5AB73F79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430AFABF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R6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1742398C" w14:textId="77777777" w:rsidR="00DF57BD" w:rsidRPr="00F65868" w:rsidRDefault="00DF57B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R7</w:t>
            </w:r>
          </w:p>
        </w:tc>
        <w:tc>
          <w:tcPr>
            <w:tcW w:w="853" w:type="dxa"/>
            <w:vMerge/>
            <w:tcBorders>
              <w:bottom w:val="single" w:sz="4" w:space="0" w:color="auto"/>
              <w:right w:val="nil"/>
            </w:tcBorders>
          </w:tcPr>
          <w:p w14:paraId="62A66043" w14:textId="77777777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57BD" w:rsidRPr="00F65868" w14:paraId="63DC5492" w14:textId="77777777" w:rsidTr="00DF57BD">
        <w:tc>
          <w:tcPr>
            <w:tcW w:w="1121" w:type="dxa"/>
            <w:tcBorders>
              <w:top w:val="single" w:sz="4" w:space="0" w:color="auto"/>
              <w:left w:val="nil"/>
            </w:tcBorders>
            <w:vAlign w:val="center"/>
          </w:tcPr>
          <w:p w14:paraId="43B213E1" w14:textId="1C47F33E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21B183F8" w14:textId="11268E5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Pr="00F65868">
              <w:t>± 3</w:t>
            </w:r>
            <w:r w:rsidR="00E3354D">
              <w:t>.</w:t>
            </w:r>
            <w:r>
              <w:t>7</w:t>
            </w:r>
            <w:r w:rsidRPr="00F65868">
              <w:t>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</w:tcPr>
          <w:p w14:paraId="322083C8" w14:textId="0A71609F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31.62</w:t>
            </w:r>
            <w:r w:rsidRPr="00F65868">
              <w:t>± 3</w:t>
            </w:r>
            <w:r w:rsidR="00E3354D">
              <w:t>.</w:t>
            </w:r>
            <w:r w:rsidRPr="00F65868">
              <w:t>98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246C5C76" w14:textId="75AE07E2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31.11</w:t>
            </w:r>
            <w:r w:rsidRPr="00F65868">
              <w:t>± 3</w:t>
            </w:r>
            <w:r w:rsidR="00E3354D">
              <w:t>.</w:t>
            </w:r>
            <w:r w:rsidRPr="00F65868">
              <w:t>03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6C23D54F" w14:textId="635828EB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31.62</w:t>
            </w:r>
            <w:r w:rsidRPr="00F65868">
              <w:t>± 3</w:t>
            </w:r>
            <w:r w:rsidR="00E3354D">
              <w:t>.</w:t>
            </w:r>
            <w:r w:rsidRPr="00F65868">
              <w:t>71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35BB2B9D" w14:textId="757427DD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32.69</w:t>
            </w:r>
            <w:r w:rsidRPr="00F65868">
              <w:t>± 2</w:t>
            </w:r>
            <w:r w:rsidR="00E3354D">
              <w:t>.</w:t>
            </w:r>
            <w:r w:rsidRPr="00F65868">
              <w:t>77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6884FFDF" w14:textId="40EFAEAD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33.20</w:t>
            </w:r>
            <w:r w:rsidRPr="00F65868">
              <w:t>± 2</w:t>
            </w:r>
            <w:r w:rsidR="00E3354D">
              <w:t>.</w:t>
            </w:r>
            <w:r w:rsidRPr="00F65868">
              <w:t>78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5159060C" w14:textId="763188E1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31.13</w:t>
            </w:r>
            <w:r w:rsidRPr="00F65868">
              <w:t>±   3</w:t>
            </w:r>
            <w:r w:rsidR="00E3354D">
              <w:t>.</w:t>
            </w:r>
            <w:r w:rsidRPr="00F65868">
              <w:t>4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5F49D3BF" w14:textId="6A8750F3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31.13</w:t>
            </w:r>
            <w:r w:rsidRPr="00F65868">
              <w:t>± 3</w:t>
            </w:r>
            <w:r w:rsidR="00E3354D">
              <w:t>.</w:t>
            </w:r>
            <w:r w:rsidRPr="00F65868">
              <w:t>39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right w:val="nil"/>
            </w:tcBorders>
          </w:tcPr>
          <w:p w14:paraId="2E4D3AFA" w14:textId="2FC9244C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57B8962E" w14:textId="77777777" w:rsidTr="00DF57BD">
        <w:tc>
          <w:tcPr>
            <w:tcW w:w="1121" w:type="dxa"/>
            <w:tcBorders>
              <w:left w:val="nil"/>
            </w:tcBorders>
            <w:vAlign w:val="center"/>
          </w:tcPr>
          <w:p w14:paraId="16A55762" w14:textId="55D3C079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93" w:type="dxa"/>
          </w:tcPr>
          <w:p w14:paraId="6016051E" w14:textId="4DEE0D81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65868">
              <w:t>± 4</w:t>
            </w:r>
            <w:r w:rsidR="00E3354D">
              <w:t>.</w:t>
            </w:r>
            <w:r>
              <w:t>1</w:t>
            </w:r>
            <w:r w:rsidRPr="00F65868">
              <w:t>2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</w:tcPr>
          <w:p w14:paraId="47CF4AC8" w14:textId="69214E2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32.27</w:t>
            </w:r>
            <w:r w:rsidRPr="00F65868">
              <w:t>± 4</w:t>
            </w:r>
            <w:r w:rsidR="00E3354D">
              <w:t>.</w:t>
            </w:r>
            <w:r w:rsidRPr="00F65868">
              <w:t>92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</w:tcPr>
          <w:p w14:paraId="7674B04C" w14:textId="4DD4A2A3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31.58</w:t>
            </w:r>
            <w:r w:rsidRPr="00F65868">
              <w:t>± 3</w:t>
            </w:r>
            <w:r w:rsidR="00E3354D">
              <w:t>.</w:t>
            </w:r>
            <w:r w:rsidRPr="00F65868">
              <w:t>4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759C450C" w14:textId="0C409940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33.50</w:t>
            </w:r>
            <w:r w:rsidRPr="00F65868">
              <w:t>± 4</w:t>
            </w:r>
            <w:r w:rsidR="00E3354D">
              <w:t>.</w:t>
            </w:r>
            <w:r w:rsidRPr="00F65868">
              <w:t>57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</w:tcPr>
          <w:p w14:paraId="0711DDDD" w14:textId="44F3CF5B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33.64</w:t>
            </w:r>
            <w:r w:rsidRPr="00F65868">
              <w:t>± 3</w:t>
            </w:r>
            <w:r w:rsidR="00E3354D">
              <w:t>.</w:t>
            </w:r>
            <w:r w:rsidRPr="00F65868">
              <w:t>16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53792E8B" w14:textId="7C3552DF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33.89</w:t>
            </w:r>
            <w:r w:rsidRPr="00F65868">
              <w:t>± 3</w:t>
            </w:r>
            <w:r w:rsidR="00E3354D">
              <w:t>.</w:t>
            </w:r>
            <w:r w:rsidRPr="00F65868">
              <w:t>11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6AFB5A5E" w14:textId="19A3147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31.33</w:t>
            </w:r>
            <w:r w:rsidRPr="00F65868">
              <w:t>± 3</w:t>
            </w:r>
            <w:r w:rsidR="00E3354D">
              <w:t>.</w:t>
            </w:r>
            <w:r w:rsidRPr="00F65868">
              <w:t>21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47C6BA1D" w14:textId="0A452792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31.26</w:t>
            </w:r>
            <w:r w:rsidRPr="00F65868">
              <w:t>± 3</w:t>
            </w:r>
            <w:r w:rsidR="00E3354D">
              <w:t>.</w:t>
            </w:r>
            <w:r w:rsidRPr="00F65868">
              <w:t>96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right w:val="nil"/>
            </w:tcBorders>
          </w:tcPr>
          <w:p w14:paraId="2DDECF04" w14:textId="05C7A24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302B8679" w14:textId="77777777" w:rsidTr="00DF57BD">
        <w:tc>
          <w:tcPr>
            <w:tcW w:w="1121" w:type="dxa"/>
            <w:tcBorders>
              <w:left w:val="nil"/>
            </w:tcBorders>
            <w:vAlign w:val="center"/>
          </w:tcPr>
          <w:p w14:paraId="5F6658B9" w14:textId="079EE80D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93" w:type="dxa"/>
          </w:tcPr>
          <w:p w14:paraId="74668E44" w14:textId="5EAF3BC0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F65868">
              <w:t>± 5</w:t>
            </w:r>
            <w:r w:rsidR="00E3354D">
              <w:t>.</w:t>
            </w:r>
            <w:r w:rsidRPr="00F65868">
              <w:t>5</w:t>
            </w:r>
            <w:r>
              <w:t>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</w:tcPr>
          <w:p w14:paraId="1D6CB779" w14:textId="0B4DA2E9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30.21</w:t>
            </w:r>
            <w:r w:rsidRPr="00F65868">
              <w:t>± 5</w:t>
            </w:r>
            <w:r w:rsidR="00E3354D">
              <w:t>.</w:t>
            </w:r>
            <w:r w:rsidRPr="00F65868">
              <w:t>85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</w:tcPr>
          <w:p w14:paraId="6EC75EAB" w14:textId="42CB264B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29.81</w:t>
            </w:r>
            <w:r w:rsidRPr="00F65868">
              <w:t>± 4</w:t>
            </w:r>
            <w:r w:rsidR="00E3354D">
              <w:t>.</w:t>
            </w:r>
            <w:r w:rsidRPr="00F65868">
              <w:t>00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7187AB6C" w14:textId="36C2A190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31.04</w:t>
            </w:r>
            <w:r w:rsidRPr="00F65868">
              <w:t>± 4</w:t>
            </w:r>
            <w:r w:rsidR="00E3354D">
              <w:t>.</w:t>
            </w:r>
            <w:r w:rsidRPr="00F65868">
              <w:t>22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</w:tcPr>
          <w:p w14:paraId="7CC83E40" w14:textId="65D4BB2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31.10</w:t>
            </w:r>
            <w:r w:rsidRPr="00F65868">
              <w:t>± 3</w:t>
            </w:r>
            <w:r w:rsidR="00E3354D">
              <w:t>.</w:t>
            </w:r>
            <w:r w:rsidRPr="00F65868">
              <w:t>08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29090C5F" w14:textId="70A5ABDD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31.26</w:t>
            </w:r>
            <w:r w:rsidRPr="00F65868">
              <w:t>± 3</w:t>
            </w:r>
            <w:r w:rsidR="00E3354D">
              <w:t>.</w:t>
            </w:r>
            <w:r w:rsidRPr="00F65868">
              <w:t>97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5B2C5A5F" w14:textId="1339E34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29.17</w:t>
            </w:r>
            <w:r w:rsidRPr="00F65868">
              <w:t>± 3</w:t>
            </w:r>
            <w:r w:rsidR="00E3354D">
              <w:t>.</w:t>
            </w:r>
            <w:r w:rsidRPr="00F65868">
              <w:t>16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4F93E1C0" w14:textId="4D7A56C0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29.04</w:t>
            </w:r>
            <w:r w:rsidRPr="00F65868">
              <w:t>± 3</w:t>
            </w:r>
            <w:r w:rsidR="00E3354D">
              <w:t>.</w:t>
            </w:r>
            <w:r w:rsidRPr="00F65868">
              <w:t>49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right w:val="nil"/>
            </w:tcBorders>
          </w:tcPr>
          <w:p w14:paraId="77486A86" w14:textId="3042DD8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4249649C" w14:textId="77777777" w:rsidTr="00DF57BD">
        <w:tc>
          <w:tcPr>
            <w:tcW w:w="1121" w:type="dxa"/>
            <w:tcBorders>
              <w:left w:val="nil"/>
            </w:tcBorders>
            <w:vAlign w:val="center"/>
          </w:tcPr>
          <w:p w14:paraId="10D2AA19" w14:textId="0181476B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93" w:type="dxa"/>
          </w:tcPr>
          <w:p w14:paraId="7CD44843" w14:textId="650726C3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Pr="00F65868">
              <w:t xml:space="preserve">± </w:t>
            </w:r>
            <w:r>
              <w:t>4</w:t>
            </w:r>
            <w:r w:rsidR="00E3354D">
              <w:t>.</w:t>
            </w:r>
            <w:r>
              <w:t>84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</w:tcPr>
          <w:p w14:paraId="76E5219B" w14:textId="1BE1691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38.53</w:t>
            </w:r>
            <w:r w:rsidRPr="00F65868">
              <w:t>± 5</w:t>
            </w:r>
            <w:r w:rsidR="00E3354D">
              <w:t>.</w:t>
            </w:r>
            <w:r w:rsidRPr="00F65868">
              <w:t>73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</w:tcPr>
          <w:p w14:paraId="4F472D78" w14:textId="384C321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38.42</w:t>
            </w:r>
            <w:r w:rsidRPr="00F65868">
              <w:t>± 4</w:t>
            </w:r>
            <w:r w:rsidR="00E3354D">
              <w:t>.</w:t>
            </w:r>
            <w:r w:rsidRPr="00F65868">
              <w:t>28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78A83FAA" w14:textId="61E3A559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38.90</w:t>
            </w:r>
            <w:r w:rsidRPr="00F65868">
              <w:t>± 5</w:t>
            </w:r>
            <w:r w:rsidR="00E3354D">
              <w:t>.</w:t>
            </w:r>
            <w:r w:rsidRPr="00F65868">
              <w:t>29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</w:tcPr>
          <w:p w14:paraId="699F4C40" w14:textId="67E4E5B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38.40</w:t>
            </w:r>
            <w:r w:rsidRPr="00F65868">
              <w:t>± 3</w:t>
            </w:r>
            <w:r w:rsidR="00E3354D">
              <w:t>.</w:t>
            </w:r>
            <w:r w:rsidRPr="00F65868">
              <w:t>86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1F3D17E2" w14:textId="29BAD554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38.48</w:t>
            </w:r>
            <w:r w:rsidRPr="00F65868">
              <w:t>± 3</w:t>
            </w:r>
            <w:r w:rsidR="00E3354D">
              <w:t>.</w:t>
            </w:r>
            <w:r w:rsidRPr="00F65868">
              <w:t>43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05C9EA69" w14:textId="43D9AF35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38.48</w:t>
            </w:r>
            <w:r w:rsidRPr="00F65868">
              <w:t>± 3</w:t>
            </w:r>
            <w:r w:rsidR="00E3354D">
              <w:t>.</w:t>
            </w:r>
            <w:r w:rsidRPr="00F65868">
              <w:t>19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</w:tcPr>
          <w:p w14:paraId="2E325F30" w14:textId="759BD037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37.32</w:t>
            </w:r>
            <w:r w:rsidRPr="00F65868">
              <w:t>± 3</w:t>
            </w:r>
            <w:r w:rsidR="00E3354D">
              <w:t>.</w:t>
            </w:r>
            <w:r w:rsidRPr="00F65868">
              <w:t>99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right w:val="nil"/>
            </w:tcBorders>
          </w:tcPr>
          <w:p w14:paraId="5D7A923F" w14:textId="4A64DFE2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5CE2977E" w14:textId="77777777" w:rsidTr="00DF57BD">
        <w:tc>
          <w:tcPr>
            <w:tcW w:w="1121" w:type="dxa"/>
            <w:tcBorders>
              <w:left w:val="nil"/>
            </w:tcBorders>
            <w:vAlign w:val="center"/>
          </w:tcPr>
          <w:p w14:paraId="14A599D4" w14:textId="517531F8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93" w:type="dxa"/>
          </w:tcPr>
          <w:p w14:paraId="300B15BC" w14:textId="661C9931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F65868">
              <w:t xml:space="preserve">± </w:t>
            </w:r>
            <w:r>
              <w:t>7</w:t>
            </w:r>
            <w:r w:rsidR="00E3354D">
              <w:t>.</w:t>
            </w:r>
            <w:r>
              <w:t>1</w:t>
            </w:r>
          </w:p>
        </w:tc>
        <w:tc>
          <w:tcPr>
            <w:tcW w:w="792" w:type="dxa"/>
            <w:gridSpan w:val="2"/>
          </w:tcPr>
          <w:p w14:paraId="344D9E38" w14:textId="2429E555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48.82</w:t>
            </w:r>
            <w:r w:rsidRPr="00F65868">
              <w:t>± 6</w:t>
            </w:r>
            <w:r w:rsidR="00E3354D">
              <w:t>.</w:t>
            </w:r>
            <w:r w:rsidRPr="00F65868">
              <w:t>9</w:t>
            </w:r>
          </w:p>
        </w:tc>
        <w:tc>
          <w:tcPr>
            <w:tcW w:w="935" w:type="dxa"/>
          </w:tcPr>
          <w:p w14:paraId="20BBAAC7" w14:textId="254B292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38.68</w:t>
            </w:r>
            <w:r w:rsidRPr="00F65868">
              <w:t>± 5</w:t>
            </w:r>
            <w:r w:rsidR="00E3354D">
              <w:t>.</w:t>
            </w:r>
            <w:r w:rsidRPr="00F65868">
              <w:t>77</w:t>
            </w:r>
          </w:p>
        </w:tc>
        <w:tc>
          <w:tcPr>
            <w:tcW w:w="893" w:type="dxa"/>
          </w:tcPr>
          <w:p w14:paraId="5A93655D" w14:textId="5EC5C0D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47.75</w:t>
            </w:r>
            <w:r w:rsidRPr="00F65868">
              <w:t>± 10</w:t>
            </w:r>
            <w:r w:rsidR="00E3354D">
              <w:t>.</w:t>
            </w:r>
            <w:r w:rsidRPr="00F65868">
              <w:t>47</w:t>
            </w:r>
          </w:p>
        </w:tc>
        <w:tc>
          <w:tcPr>
            <w:tcW w:w="898" w:type="dxa"/>
          </w:tcPr>
          <w:p w14:paraId="63A48F27" w14:textId="4948F84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48.58</w:t>
            </w:r>
            <w:r w:rsidRPr="00F65868">
              <w:t>± 3</w:t>
            </w:r>
            <w:r w:rsidR="00E3354D">
              <w:t>.</w:t>
            </w:r>
            <w:r w:rsidRPr="00F65868">
              <w:t>08</w:t>
            </w:r>
          </w:p>
        </w:tc>
        <w:tc>
          <w:tcPr>
            <w:tcW w:w="897" w:type="dxa"/>
          </w:tcPr>
          <w:p w14:paraId="3B14BA5D" w14:textId="559D1C3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48.16</w:t>
            </w:r>
            <w:r w:rsidRPr="00F65868">
              <w:t>± 4</w:t>
            </w:r>
            <w:r w:rsidR="00E3354D">
              <w:t>.</w:t>
            </w:r>
            <w:r w:rsidRPr="00F65868">
              <w:t>64</w:t>
            </w:r>
          </w:p>
        </w:tc>
        <w:tc>
          <w:tcPr>
            <w:tcW w:w="893" w:type="dxa"/>
          </w:tcPr>
          <w:p w14:paraId="253E4A8B" w14:textId="27358F55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</w:t>
            </w:r>
            <w:r w:rsidRPr="00F65868">
              <w:t>± 12</w:t>
            </w:r>
            <w:r w:rsidR="00E3354D">
              <w:t>.</w:t>
            </w:r>
            <w:r w:rsidRPr="00F65868">
              <w:t>16</w:t>
            </w:r>
          </w:p>
        </w:tc>
        <w:tc>
          <w:tcPr>
            <w:tcW w:w="897" w:type="dxa"/>
          </w:tcPr>
          <w:p w14:paraId="61BE7848" w14:textId="29E8672F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47.96</w:t>
            </w:r>
            <w:r w:rsidRPr="00F65868">
              <w:t>± 2</w:t>
            </w:r>
            <w:r w:rsidR="00E3354D">
              <w:t>.</w:t>
            </w:r>
            <w:r w:rsidRPr="00F65868">
              <w:t>86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right w:val="nil"/>
            </w:tcBorders>
          </w:tcPr>
          <w:p w14:paraId="63194E6D" w14:textId="74FEBF9C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0F2465C7" w14:textId="77777777" w:rsidTr="00DF57BD">
        <w:tc>
          <w:tcPr>
            <w:tcW w:w="1121" w:type="dxa"/>
            <w:tcBorders>
              <w:left w:val="nil"/>
              <w:bottom w:val="single" w:sz="4" w:space="0" w:color="auto"/>
            </w:tcBorders>
            <w:vAlign w:val="center"/>
          </w:tcPr>
          <w:p w14:paraId="7BDAAC30" w14:textId="7473B62C" w:rsidR="00DF57BD" w:rsidRPr="00F65868" w:rsidRDefault="00E3354D" w:rsidP="00F6110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F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F0CB177" w14:textId="2BFFC24C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  <w:r w:rsidRPr="00F65868">
              <w:t xml:space="preserve">± </w:t>
            </w:r>
            <w:r>
              <w:t>7</w:t>
            </w:r>
            <w:r w:rsidR="00E3354D">
              <w:t>.</w:t>
            </w:r>
            <w:r>
              <w:t>05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14:paraId="7500D7CD" w14:textId="6AD0B07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46.78</w:t>
            </w:r>
            <w:r w:rsidRPr="00F65868">
              <w:t>± 5</w:t>
            </w:r>
            <w:r w:rsidR="00E3354D">
              <w:t>.</w:t>
            </w:r>
            <w:r w:rsidRPr="00F65868">
              <w:t>15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C63CECE" w14:textId="680896C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47.15</w:t>
            </w:r>
            <w:r w:rsidRPr="00F65868">
              <w:t>± 4</w:t>
            </w:r>
            <w:r w:rsidR="00E3354D">
              <w:t>.</w:t>
            </w:r>
            <w:r w:rsidRPr="00F65868">
              <w:t>35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C018E13" w14:textId="4D06EA97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47.63</w:t>
            </w:r>
            <w:r w:rsidRPr="00F65868">
              <w:t>± 6</w:t>
            </w:r>
            <w:r w:rsidR="00E3354D">
              <w:t>.</w:t>
            </w:r>
            <w:r w:rsidRPr="00F65868">
              <w:t>52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2B4558E" w14:textId="2DFD56A2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43.13</w:t>
            </w:r>
            <w:r w:rsidRPr="00F65868">
              <w:t>± 11</w:t>
            </w:r>
            <w:r w:rsidR="00E3354D">
              <w:t>.</w:t>
            </w:r>
            <w:r w:rsidRPr="00F65868">
              <w:t>85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1B42FC95" w14:textId="559610A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45.88</w:t>
            </w:r>
            <w:r w:rsidRPr="00F65868">
              <w:t>± 10</w:t>
            </w:r>
            <w:r w:rsidR="00E3354D">
              <w:t>.</w:t>
            </w:r>
            <w:r w:rsidRPr="00F65868">
              <w:t>63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3E0AB5B" w14:textId="2B2A5B91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44.78</w:t>
            </w:r>
            <w:r w:rsidRPr="00F65868">
              <w:t>± 9</w:t>
            </w:r>
            <w:r w:rsidR="00E3354D">
              <w:t>.</w:t>
            </w:r>
            <w:r w:rsidRPr="00F65868">
              <w:t>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0D1AA9FD" w14:textId="24DA7D6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41.75</w:t>
            </w:r>
            <w:r w:rsidRPr="00F65868">
              <w:t>± 14</w:t>
            </w:r>
            <w:r w:rsidR="00E3354D">
              <w:t>.</w:t>
            </w:r>
            <w:r w:rsidRPr="00F65868">
              <w:t>21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53" w:type="dxa"/>
            <w:tcBorders>
              <w:bottom w:val="single" w:sz="4" w:space="0" w:color="auto"/>
              <w:right w:val="nil"/>
            </w:tcBorders>
          </w:tcPr>
          <w:p w14:paraId="52F7FFFD" w14:textId="26A3830F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&gt;0</w:t>
            </w:r>
            <w:r w:rsidR="00E3354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DF57BD" w:rsidRPr="00F65868" w14:paraId="5AFDEB5E" w14:textId="77777777" w:rsidTr="00DF57BD"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61471B" w14:textId="7642DC3A" w:rsidR="00DF57BD" w:rsidRPr="00F65868" w:rsidRDefault="00E3354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8F1990B" w14:textId="2717D30E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65868">
              <w:t xml:space="preserve">± </w:t>
            </w:r>
            <w:r>
              <w:t>4</w:t>
            </w:r>
            <w:r w:rsidR="00E3354D">
              <w:t>.</w:t>
            </w:r>
            <w:r w:rsidRPr="00F65868">
              <w:t>7</w:t>
            </w:r>
            <w:r>
              <w:t>3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92AB8" w14:textId="5BDAF83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  <w:r w:rsidRPr="00F65868">
              <w:t>± 5</w:t>
            </w:r>
            <w:r w:rsidR="00E3354D">
              <w:t>.</w:t>
            </w:r>
            <w:r w:rsidRPr="00F65868">
              <w:t>71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043898A8" w14:textId="69EFD024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.13</w:t>
            </w:r>
            <w:r w:rsidRPr="00F65868">
              <w:t>± 4</w:t>
            </w:r>
            <w:r w:rsidR="00E3354D">
              <w:t>.</w:t>
            </w:r>
            <w:r w:rsidRPr="00F65868">
              <w:t>36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0A452745" w14:textId="10E7532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 w:rsidRPr="00F65868">
              <w:t>± 6</w:t>
            </w:r>
            <w:r w:rsidR="00E3354D">
              <w:t>.</w:t>
            </w:r>
            <w:r w:rsidRPr="00F65868">
              <w:t>24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1A004B6D" w14:textId="2746B0D9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65868">
              <w:t>± 5</w:t>
            </w:r>
            <w:r w:rsidR="00E3354D">
              <w:t>.</w:t>
            </w:r>
            <w:r w:rsidRPr="00F65868">
              <w:t>06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185A4168" w14:textId="085A23F6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65868">
              <w:t>± 5</w:t>
            </w:r>
            <w:r w:rsidR="00E3354D">
              <w:t>.</w:t>
            </w:r>
            <w:r w:rsidRPr="00F65868">
              <w:t>16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598BFE15" w14:textId="0D4DD09D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F65868">
              <w:t>± 6</w:t>
            </w:r>
            <w:r w:rsidR="00E3354D">
              <w:t>.</w:t>
            </w:r>
            <w:r w:rsidRPr="00F65868">
              <w:t>16</w:t>
            </w:r>
            <w:r w:rsidRPr="00F65868">
              <w:rPr>
                <w:vertAlign w:val="superscript"/>
              </w:rPr>
              <w:t>a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6A9F5A85" w14:textId="6B856128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65868">
              <w:t>± 5</w:t>
            </w:r>
            <w:r w:rsidR="00E3354D">
              <w:t>.</w:t>
            </w:r>
            <w:r w:rsidRPr="00F65868">
              <w:t>7</w:t>
            </w:r>
            <w:r w:rsidRPr="00F65868">
              <w:rPr>
                <w:vertAlign w:val="superscript"/>
              </w:rPr>
              <w:t>a</w:t>
            </w:r>
            <w:r w:rsidRPr="00F65868"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6099EC" w14:textId="05617553" w:rsidR="00DF57BD" w:rsidRPr="00F65868" w:rsidRDefault="00DF57BD" w:rsidP="00F6110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33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65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</w:tr>
    </w:tbl>
    <w:p w14:paraId="378F6DAB" w14:textId="6DAA64BC" w:rsidR="00DF57BD" w:rsidRPr="00DF57BD" w:rsidRDefault="00DF57BD" w:rsidP="00F6110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mean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values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letters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in the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row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are not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significantly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57BD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 w:rsidRPr="00DF57BD">
        <w:rPr>
          <w:rFonts w:ascii="Times New Roman" w:hAnsi="Times New Roman" w:cs="Times New Roman"/>
          <w:i/>
          <w:iCs/>
          <w:sz w:val="24"/>
          <w:szCs w:val="24"/>
        </w:rPr>
        <w:t xml:space="preserve"> (p&gt;0.05)</w:t>
      </w:r>
    </w:p>
    <w:p w14:paraId="084456A1" w14:textId="030076C3" w:rsidR="001F43E0" w:rsidRDefault="001F43E0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0" w:name="_Hlk220358942"/>
    </w:p>
    <w:p w14:paraId="43D8D5C8" w14:textId="708E234F" w:rsidR="00F61107" w:rsidRDefault="00F61107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ED93C0" w14:textId="761309A7" w:rsidR="00F61107" w:rsidRDefault="00F61107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664760" w14:textId="15CD0385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0CD064" w14:textId="07A38CAF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58CEE5" w14:textId="7205FF4E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20448D" w14:textId="4FF2C0BE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D92C0A" w14:textId="5C7B4E81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7F80A9" w14:textId="1377860D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5E4C1B" w14:textId="1B9A93AC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1FDFEA" w14:textId="25DDD0DA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A2018D" w14:textId="67226D90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D22A5F" w14:textId="4FB0380E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635E1C" w14:textId="1D1E16AA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583DF8" w14:textId="224E0E24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8133A7" w14:textId="22A74677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4710EF" w14:textId="6F616229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FFA7B9" w14:textId="3BD21C2E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8FDE7E" w14:textId="585729B7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E83630" w14:textId="417387B5" w:rsidR="000556BF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0CB9A6" w14:textId="18B7DA6E" w:rsidR="000556BF" w:rsidRDefault="003535A0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commentRangeStart w:id="11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Changes in </w:t>
      </w:r>
      <w:proofErr w:type="spellStart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feed</w:t>
      </w:r>
      <w:proofErr w:type="spellEnd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conversion ratio (FCR) </w:t>
      </w:r>
      <w:proofErr w:type="spellStart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with</w:t>
      </w:r>
      <w:proofErr w:type="spellEnd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</w:t>
      </w:r>
      <w:commentRangeEnd w:id="11"/>
      <w:proofErr w:type="spellEnd"/>
      <w:r w:rsidR="00ED66A5">
        <w:rPr>
          <w:rStyle w:val="CommentReference"/>
        </w:rPr>
        <w:commentReference w:id="11"/>
      </w:r>
    </w:p>
    <w:p w14:paraId="10C11B6D" w14:textId="77777777" w:rsidR="000556BF" w:rsidRPr="002E13C5" w:rsidRDefault="000556BF" w:rsidP="00F6110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2288"/>
        <w:tblW w:w="9193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834"/>
        <w:gridCol w:w="917"/>
        <w:gridCol w:w="916"/>
        <w:gridCol w:w="916"/>
        <w:gridCol w:w="916"/>
        <w:gridCol w:w="916"/>
        <w:gridCol w:w="926"/>
        <w:gridCol w:w="926"/>
        <w:gridCol w:w="926"/>
      </w:tblGrid>
      <w:tr w:rsidR="000556BF" w:rsidRPr="009A1665" w14:paraId="30CF0259" w14:textId="77777777" w:rsidTr="00ED66A5">
        <w:trPr>
          <w:trHeight w:val="625"/>
        </w:trPr>
        <w:tc>
          <w:tcPr>
            <w:tcW w:w="0" w:type="auto"/>
            <w:tcBorders>
              <w:bottom w:val="single" w:sz="4" w:space="0" w:color="7F7F7F"/>
            </w:tcBorders>
          </w:tcPr>
          <w:p w14:paraId="6E138B92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7F7F7F"/>
            </w:tcBorders>
          </w:tcPr>
          <w:p w14:paraId="7EDE4A22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556BF">
              <w:rPr>
                <w:sz w:val="24"/>
                <w:szCs w:val="24"/>
              </w:rPr>
              <w:t>Feed</w:t>
            </w:r>
            <w:proofErr w:type="spellEnd"/>
            <w:r w:rsidRPr="000556BF">
              <w:rPr>
                <w:sz w:val="24"/>
                <w:szCs w:val="24"/>
              </w:rPr>
              <w:t xml:space="preserve"> Conversion Ratio (FCR)</w:t>
            </w:r>
          </w:p>
        </w:tc>
      </w:tr>
      <w:tr w:rsidR="000556BF" w:rsidRPr="009A1665" w14:paraId="73DFD140" w14:textId="77777777" w:rsidTr="00ED66A5">
        <w:trPr>
          <w:trHeight w:val="625"/>
        </w:trPr>
        <w:tc>
          <w:tcPr>
            <w:tcW w:w="0" w:type="auto"/>
            <w:tcBorders>
              <w:bottom w:val="single" w:sz="4" w:space="0" w:color="7F7F7F"/>
            </w:tcBorders>
          </w:tcPr>
          <w:p w14:paraId="1099DDE3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AGE(Days)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79E200DD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R0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6E480F59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R1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5D81CD47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R2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57AD180D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R3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26807CD9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R4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2A42474E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R5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4BB65733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R6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2D3C0D87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135B9">
              <w:rPr>
                <w:sz w:val="24"/>
                <w:szCs w:val="24"/>
              </w:rPr>
              <w:t>R7</w:t>
            </w:r>
          </w:p>
        </w:tc>
      </w:tr>
      <w:tr w:rsidR="000556BF" w:rsidRPr="009A1665" w14:paraId="5426F4C7" w14:textId="77777777" w:rsidTr="00ED66A5">
        <w:trPr>
          <w:trHeight w:val="625"/>
        </w:trPr>
        <w:tc>
          <w:tcPr>
            <w:tcW w:w="0" w:type="auto"/>
            <w:tcBorders>
              <w:bottom w:val="single" w:sz="4" w:space="0" w:color="7F7F7F"/>
            </w:tcBorders>
          </w:tcPr>
          <w:p w14:paraId="6C6B82F4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738BAA79" w14:textId="77777777" w:rsidR="000556BF" w:rsidRPr="00D854AD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78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5017CA15" w14:textId="77777777" w:rsidR="000556BF" w:rsidRPr="00D854AD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88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3BB077A6" w14:textId="77777777" w:rsidR="000556BF" w:rsidRPr="00D854AD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7BEAE3FB" w14:textId="77777777" w:rsidR="000556BF" w:rsidRPr="00D854AD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35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7D391BBA" w14:textId="77777777" w:rsidR="000556BF" w:rsidRPr="00D854AD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48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12E99F0A" w14:textId="77777777" w:rsidR="000556BF" w:rsidRPr="00D854AD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44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27870ED6" w14:textId="77777777" w:rsidR="000556BF" w:rsidRPr="00D854AD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84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7F7F7F"/>
            </w:tcBorders>
          </w:tcPr>
          <w:p w14:paraId="0350F72C" w14:textId="77777777" w:rsidR="000556BF" w:rsidRPr="00D854AD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1E2EE3C3" w14:textId="77777777" w:rsidTr="00ED66A5">
        <w:trPr>
          <w:trHeight w:val="633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5894D0F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2F5E3655" w14:textId="77777777" w:rsidR="000556BF" w:rsidRPr="009A1665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66</w:t>
            </w:r>
            <w:r w:rsidRPr="001D1AA9"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4C571459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76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43B48062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EAE1893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05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7F1AB99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0D50F184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54DFBD7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4BC34B5C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53D4E858" w14:textId="77777777" w:rsidTr="00ED66A5">
        <w:trPr>
          <w:trHeight w:val="633"/>
        </w:trPr>
        <w:tc>
          <w:tcPr>
            <w:tcW w:w="0" w:type="auto"/>
          </w:tcPr>
          <w:p w14:paraId="07E4736E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622CF04A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71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10B42F6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91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5814CFC7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56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3173DB3D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74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44AE73C0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62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39B5640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69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2948DCB9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51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6B486844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32EB192D" w14:textId="77777777" w:rsidTr="00ED66A5">
        <w:trPr>
          <w:trHeight w:val="625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29E26AB0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6E2398EF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66AEEF19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60179009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02FD9013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56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548CE478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3C25B8F2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0E34F53B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43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20B09FB1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31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42F65538" w14:textId="77777777" w:rsidTr="00ED66A5">
        <w:trPr>
          <w:trHeight w:val="633"/>
        </w:trPr>
        <w:tc>
          <w:tcPr>
            <w:tcW w:w="0" w:type="auto"/>
          </w:tcPr>
          <w:p w14:paraId="00319EF4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135B9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0AABB4AF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83F6055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87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325FA564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47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1A58B616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19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584E2BC7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62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49F25D90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1FC4935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72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69165AB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b w:val="0"/>
                <w:bCs/>
                <w:sz w:val="24"/>
                <w:szCs w:val="24"/>
                <w:vertAlign w:val="superscript"/>
              </w:rPr>
            </w:pPr>
            <w:r w:rsidRPr="009A1665">
              <w:rPr>
                <w:b w:val="0"/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t>.</w:t>
            </w:r>
            <w:r w:rsidRPr="009A1665">
              <w:rPr>
                <w:b w:val="0"/>
                <w:bCs/>
                <w:sz w:val="24"/>
                <w:szCs w:val="24"/>
              </w:rPr>
              <w:t>79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556BF" w:rsidRPr="009A1665" w14:paraId="6CA269AC" w14:textId="77777777" w:rsidTr="00ED66A5">
        <w:trPr>
          <w:trHeight w:val="633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F30282C" w14:textId="77777777" w:rsidR="000556BF" w:rsidRPr="000135B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5821039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19B55ECF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5E02E7AA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307E5500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798FBE95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1A8F5550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07C8A938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</w:tcPr>
          <w:p w14:paraId="381083F0" w14:textId="77777777" w:rsidR="000556BF" w:rsidRPr="001D1AA9" w:rsidRDefault="000556BF" w:rsidP="00ED66A5">
            <w:pPr>
              <w:pStyle w:val="Heading2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0135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135B9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</w:tr>
    </w:tbl>
    <w:p w14:paraId="44A8AD32" w14:textId="02DB849C" w:rsidR="001F43E0" w:rsidRPr="00E3354D" w:rsidRDefault="00E3354D" w:rsidP="00F61107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mean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values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letters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in the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same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row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are not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significantly</w:t>
      </w:r>
      <w:proofErr w:type="spellEnd"/>
      <w:r w:rsidRPr="00E335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354D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354D">
        <w:rPr>
          <w:rFonts w:ascii="Times New Roman" w:hAnsi="Times New Roman" w:cs="Times New Roman"/>
          <w:i/>
          <w:iCs/>
          <w:sz w:val="24"/>
          <w:szCs w:val="24"/>
        </w:rPr>
        <w:t>(p&gt;0.05).</w:t>
      </w:r>
    </w:p>
    <w:bookmarkEnd w:id="10"/>
    <w:p w14:paraId="675A3665" w14:textId="77777777" w:rsidR="00E3354D" w:rsidRDefault="00E3354D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A684" w14:textId="202F2049" w:rsidR="00761264" w:rsidRPr="0094608B" w:rsidRDefault="00E645B2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5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Carcass</w:t>
      </w:r>
      <w:proofErr w:type="spellEnd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yield</w:t>
      </w:r>
      <w:proofErr w:type="spellEnd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mortality</w:t>
      </w:r>
      <w:proofErr w:type="spellEnd"/>
    </w:p>
    <w:p w14:paraId="1AC4B0F4" w14:textId="426BDCE3" w:rsidR="00761264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C80">
        <w:rPr>
          <w:rFonts w:ascii="Times New Roman" w:hAnsi="Times New Roman" w:cs="Times New Roman"/>
          <w:sz w:val="24"/>
          <w:szCs w:val="24"/>
        </w:rPr>
        <w:t>y</w:t>
      </w:r>
      <w:r w:rsidRPr="0094608B">
        <w:rPr>
          <w:rFonts w:ascii="Times New Roman" w:hAnsi="Times New Roman" w:cs="Times New Roman"/>
          <w:sz w:val="24"/>
          <w:szCs w:val="24"/>
        </w:rPr>
        <w:t>ields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81.04% (R0) to 86.15% (R3),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(P &gt; 0.05) (Table </w:t>
      </w:r>
      <w:r w:rsidR="007327F1">
        <w:rPr>
          <w:rFonts w:ascii="Times New Roman" w:hAnsi="Times New Roman" w:cs="Times New Roman"/>
          <w:sz w:val="24"/>
          <w:szCs w:val="24"/>
        </w:rPr>
        <w:t>6</w:t>
      </w:r>
      <w:r w:rsidRPr="0094608B">
        <w:rPr>
          <w:rFonts w:ascii="Times New Roman" w:hAnsi="Times New Roman" w:cs="Times New Roman"/>
          <w:sz w:val="24"/>
          <w:szCs w:val="24"/>
        </w:rPr>
        <w:t>).</w:t>
      </w:r>
    </w:p>
    <w:p w14:paraId="20EC91EB" w14:textId="0985CEF8" w:rsidR="001F43E0" w:rsidRPr="00B62C8E" w:rsidRDefault="00B62C8E" w:rsidP="000556B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commentRangeStart w:id="12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35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Effect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neem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leaf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powder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on the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carcass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yield</w:t>
      </w:r>
      <w:proofErr w:type="spellEnd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B6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chickens</w:t>
      </w:r>
      <w:commentRangeEnd w:id="12"/>
      <w:proofErr w:type="spellEnd"/>
      <w:r w:rsidR="00ED66A5">
        <w:rPr>
          <w:rStyle w:val="CommentReference"/>
        </w:rPr>
        <w:commentReference w:id="12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773"/>
        <w:gridCol w:w="878"/>
        <w:gridCol w:w="1020"/>
        <w:gridCol w:w="1019"/>
        <w:gridCol w:w="1020"/>
        <w:gridCol w:w="1020"/>
        <w:gridCol w:w="1020"/>
        <w:gridCol w:w="1020"/>
      </w:tblGrid>
      <w:tr w:rsidR="00B62C8E" w14:paraId="674ECF0D" w14:textId="77777777" w:rsidTr="00ED66A5">
        <w:tc>
          <w:tcPr>
            <w:tcW w:w="1344" w:type="dxa"/>
          </w:tcPr>
          <w:p w14:paraId="2EA69D3E" w14:textId="77777777" w:rsidR="001F43E0" w:rsidRPr="003639E5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48EB2831" w14:textId="77777777" w:rsidR="001F43E0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0071C362" w14:textId="77777777" w:rsidR="001F43E0" w:rsidRPr="003639E5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7614970" w14:textId="77777777" w:rsidR="001F43E0" w:rsidRPr="003639E5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R2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5A4B286D" w14:textId="77777777" w:rsidR="001F43E0" w:rsidRPr="003639E5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R3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105AC1AB" w14:textId="77777777" w:rsidR="001F43E0" w:rsidRPr="003639E5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R4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04C473AC" w14:textId="77777777" w:rsidR="001F43E0" w:rsidRPr="003639E5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R5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7F9649F3" w14:textId="77777777" w:rsidR="001F43E0" w:rsidRPr="003639E5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R6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439FDF85" w14:textId="77777777" w:rsidR="001F43E0" w:rsidRPr="003639E5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R7</w:t>
            </w:r>
          </w:p>
        </w:tc>
      </w:tr>
      <w:tr w:rsidR="00B62C8E" w14:paraId="69112CA1" w14:textId="77777777" w:rsidTr="00ED66A5">
        <w:tc>
          <w:tcPr>
            <w:tcW w:w="1344" w:type="dxa"/>
          </w:tcPr>
          <w:p w14:paraId="556A087A" w14:textId="64A9D42D" w:rsidR="001F43E0" w:rsidRPr="003639E5" w:rsidRDefault="00B62C8E" w:rsidP="00B62C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Live </w:t>
            </w:r>
            <w:proofErr w:type="spellStart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5FD41998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66E6BDEC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2504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3D11018B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5075002C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3394672F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5F474FB0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4DC8F611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2517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3194CFEE" w14:textId="77777777" w:rsidR="001F43E0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2448</w:t>
            </w:r>
          </w:p>
          <w:p w14:paraId="34F9AA90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8E" w14:paraId="26073D00" w14:textId="77777777" w:rsidTr="00ED66A5">
        <w:tc>
          <w:tcPr>
            <w:tcW w:w="1344" w:type="dxa"/>
          </w:tcPr>
          <w:p w14:paraId="52E9FFEB" w14:textId="056980CE" w:rsidR="001F43E0" w:rsidRPr="003639E5" w:rsidRDefault="00B62C8E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Carcass</w:t>
            </w:r>
            <w:proofErr w:type="spellEnd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B62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(g)</w:t>
            </w:r>
          </w:p>
        </w:tc>
        <w:tc>
          <w:tcPr>
            <w:tcW w:w="776" w:type="dxa"/>
          </w:tcPr>
          <w:p w14:paraId="760BB5A1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890" w:type="dxa"/>
          </w:tcPr>
          <w:p w14:paraId="3A43EAD5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1047" w:type="dxa"/>
          </w:tcPr>
          <w:p w14:paraId="5A94C545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1045" w:type="dxa"/>
          </w:tcPr>
          <w:p w14:paraId="1860C461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046" w:type="dxa"/>
          </w:tcPr>
          <w:p w14:paraId="535A8EAF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46" w:type="dxa"/>
          </w:tcPr>
          <w:p w14:paraId="5420BA6C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046" w:type="dxa"/>
          </w:tcPr>
          <w:p w14:paraId="069C9BD4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1046" w:type="dxa"/>
          </w:tcPr>
          <w:p w14:paraId="4112B848" w14:textId="77777777" w:rsidR="001F43E0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063478B4" w14:textId="77777777" w:rsidR="001F43E0" w:rsidRPr="00EC1956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8E" w:rsidRPr="000135B9" w14:paraId="4C042C23" w14:textId="77777777" w:rsidTr="00ED66A5">
        <w:tc>
          <w:tcPr>
            <w:tcW w:w="1344" w:type="dxa"/>
          </w:tcPr>
          <w:p w14:paraId="7EBBF7E5" w14:textId="2120CDB8" w:rsidR="001F43E0" w:rsidRPr="000135B9" w:rsidRDefault="00B62C8E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2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Carcass</w:t>
            </w:r>
            <w:proofErr w:type="spellEnd"/>
            <w:r w:rsidRPr="00B62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yield</w:t>
            </w:r>
            <w:proofErr w:type="spellEnd"/>
            <w:r w:rsidRPr="00B62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776" w:type="dxa"/>
          </w:tcPr>
          <w:p w14:paraId="0C2216AA" w14:textId="377E2837" w:rsidR="001F43E0" w:rsidRPr="000135B9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90" w:type="dxa"/>
          </w:tcPr>
          <w:p w14:paraId="12CC1EA6" w14:textId="16C2E3A8" w:rsidR="001F43E0" w:rsidRPr="000135B9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47" w:type="dxa"/>
          </w:tcPr>
          <w:p w14:paraId="3BC08432" w14:textId="1EEF42D2" w:rsidR="001F43E0" w:rsidRPr="000135B9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45" w:type="dxa"/>
          </w:tcPr>
          <w:p w14:paraId="639C4D5A" w14:textId="3501584E" w:rsidR="001F43E0" w:rsidRPr="000135B9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46" w:type="dxa"/>
          </w:tcPr>
          <w:p w14:paraId="7E5051B4" w14:textId="5BB9476E" w:rsidR="001F43E0" w:rsidRPr="000135B9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46" w:type="dxa"/>
          </w:tcPr>
          <w:p w14:paraId="6A5B68B0" w14:textId="1B293289" w:rsidR="001F43E0" w:rsidRPr="000135B9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46" w:type="dxa"/>
          </w:tcPr>
          <w:p w14:paraId="4FCC2358" w14:textId="74C1BECA" w:rsidR="001F43E0" w:rsidRPr="000135B9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46" w:type="dxa"/>
          </w:tcPr>
          <w:p w14:paraId="6574C706" w14:textId="5E6940A2" w:rsidR="001F43E0" w:rsidRPr="000135B9" w:rsidRDefault="001F43E0" w:rsidP="00ED66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B62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3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14:paraId="571E1753" w14:textId="77777777" w:rsidR="001F43E0" w:rsidRPr="003639E5" w:rsidRDefault="001F43E0" w:rsidP="001F43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0D337" w14:textId="77777777" w:rsidR="000556BF" w:rsidRDefault="000556BF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6C3FF" w14:textId="379576F5" w:rsidR="001F43E0" w:rsidRDefault="009C6AC8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6AC8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rate, the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in group R0 (13.33%). In the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groups (R1 to R7), rates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3.33% to 10%,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AC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C6AC8">
        <w:rPr>
          <w:rFonts w:ascii="Times New Roman" w:hAnsi="Times New Roman" w:cs="Times New Roman"/>
          <w:sz w:val="24"/>
          <w:szCs w:val="24"/>
        </w:rPr>
        <w:t xml:space="preserve"> the dose or mode of administration of neem (Figure </w:t>
      </w:r>
      <w:r w:rsidR="003535A0">
        <w:rPr>
          <w:rFonts w:ascii="Times New Roman" w:hAnsi="Times New Roman" w:cs="Times New Roman"/>
          <w:sz w:val="24"/>
          <w:szCs w:val="24"/>
        </w:rPr>
        <w:t>4</w:t>
      </w:r>
      <w:r w:rsidRPr="009C6AC8">
        <w:rPr>
          <w:rFonts w:ascii="Times New Roman" w:hAnsi="Times New Roman" w:cs="Times New Roman"/>
          <w:sz w:val="24"/>
          <w:szCs w:val="24"/>
        </w:rPr>
        <w:t>).</w:t>
      </w:r>
    </w:p>
    <w:p w14:paraId="7C015D02" w14:textId="77777777" w:rsidR="00D4579C" w:rsidRDefault="00D4579C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B2973" w14:textId="77777777" w:rsidR="000556BF" w:rsidRDefault="000556BF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7C5DC" w14:textId="13F3A94D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7DA63" wp14:editId="6FACF9DA">
                <wp:simplePos x="0" y="0"/>
                <wp:positionH relativeFrom="column">
                  <wp:posOffset>-38100</wp:posOffset>
                </wp:positionH>
                <wp:positionV relativeFrom="paragraph">
                  <wp:posOffset>137160</wp:posOffset>
                </wp:positionV>
                <wp:extent cx="5759450" cy="3647440"/>
                <wp:effectExtent l="0" t="3810" r="3175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64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D6234" w14:textId="0AB26469" w:rsidR="00ED66A5" w:rsidRDefault="00ED66A5" w:rsidP="001F43E0">
                            <w:r w:rsidRPr="009629B4">
                              <w:rPr>
                                <w:noProof/>
                              </w:rPr>
                              <w:drawing>
                                <wp:inline distT="0" distB="0" distL="0" distR="0" wp14:anchorId="38B1E866" wp14:editId="611C032B">
                                  <wp:extent cx="5760720" cy="333692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0720" cy="333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7DA6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-3pt;margin-top:10.8pt;width:453.5pt;height:28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" filled="f" stroked="f">
                <v:textbox style="mso-fit-shape-to-text:t">
                  <w:txbxContent>
                    <w:p w14:paraId="1C2D6234" w14:textId="0AB26469" w:rsidR="00ED66A5" w:rsidRDefault="00ED66A5" w:rsidP="001F43E0">
                      <w:r w:rsidRPr="009629B4">
                        <w:rPr>
                          <w:noProof/>
                        </w:rPr>
                        <w:drawing>
                          <wp:inline distT="0" distB="0" distL="0" distR="0" wp14:anchorId="38B1E866" wp14:editId="611C032B">
                            <wp:extent cx="5760720" cy="333692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0720" cy="333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AE76B2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421C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115E5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1D758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F2D0C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01CA6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7C660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221F2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D2F49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BCC59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B6173" w14:textId="77777777" w:rsidR="001F43E0" w:rsidRDefault="001F43E0" w:rsidP="001F43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660EE" w14:textId="77777777" w:rsidR="001F43E0" w:rsidRDefault="001F43E0" w:rsidP="001F43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9B4">
        <w:rPr>
          <w:rFonts w:ascii="Times New Roman" w:hAnsi="Times New Roman" w:cs="Times New Roman"/>
          <w:b/>
          <w:bCs/>
          <w:sz w:val="24"/>
          <w:szCs w:val="24"/>
        </w:rPr>
        <w:t>Figure 9 : Taux de mortalité des poulets en fonction du régime alimentaire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2C8299B8" w14:textId="77777777" w:rsidR="001F43E0" w:rsidRDefault="001F43E0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EB6AF" w14:textId="6BFB4194" w:rsidR="009C6AC8" w:rsidRDefault="009C6AC8" w:rsidP="009C6AC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AC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3535A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AC8">
        <w:rPr>
          <w:rFonts w:ascii="Times New Roman" w:hAnsi="Times New Roman" w:cs="Times New Roman"/>
          <w:b/>
          <w:bCs/>
          <w:sz w:val="24"/>
          <w:szCs w:val="24"/>
        </w:rPr>
        <w:t xml:space="preserve">: Chicken </w:t>
      </w:r>
      <w:proofErr w:type="spellStart"/>
      <w:r w:rsidRPr="009C6AC8">
        <w:rPr>
          <w:rFonts w:ascii="Times New Roman" w:hAnsi="Times New Roman" w:cs="Times New Roman"/>
          <w:b/>
          <w:bCs/>
          <w:sz w:val="24"/>
          <w:szCs w:val="24"/>
        </w:rPr>
        <w:t>mortality</w:t>
      </w:r>
      <w:proofErr w:type="spellEnd"/>
      <w:r w:rsidRPr="009C6AC8">
        <w:rPr>
          <w:rFonts w:ascii="Times New Roman" w:hAnsi="Times New Roman" w:cs="Times New Roman"/>
          <w:b/>
          <w:bCs/>
          <w:sz w:val="24"/>
          <w:szCs w:val="24"/>
        </w:rPr>
        <w:t xml:space="preserve"> rate </w:t>
      </w:r>
      <w:proofErr w:type="spellStart"/>
      <w:r w:rsidRPr="009C6AC8">
        <w:rPr>
          <w:rFonts w:ascii="Times New Roman" w:hAnsi="Times New Roman" w:cs="Times New Roman"/>
          <w:b/>
          <w:bCs/>
          <w:sz w:val="24"/>
          <w:szCs w:val="24"/>
        </w:rPr>
        <w:t>according</w:t>
      </w:r>
      <w:proofErr w:type="spellEnd"/>
      <w:r w:rsidRPr="009C6AC8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9C6AC8">
        <w:rPr>
          <w:rFonts w:ascii="Times New Roman" w:hAnsi="Times New Roman" w:cs="Times New Roman"/>
          <w:b/>
          <w:bCs/>
          <w:sz w:val="24"/>
          <w:szCs w:val="24"/>
        </w:rPr>
        <w:t>diet</w:t>
      </w:r>
      <w:proofErr w:type="spellEnd"/>
    </w:p>
    <w:p w14:paraId="1A8DFD3B" w14:textId="77777777" w:rsidR="009C6AC8" w:rsidRDefault="009C6AC8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B9DA0" w14:textId="6422A4BD" w:rsidR="00761264" w:rsidRPr="0094608B" w:rsidRDefault="007327F1" w:rsidP="00946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645B2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264" w:rsidRPr="0094608B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2FA06D6E" w14:textId="77777777" w:rsidR="00761264" w:rsidRPr="0094608B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13"/>
      <w:r w:rsidRPr="0094608B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demonstrates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dietary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supplementation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neem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, at doses of 1% or 2%,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control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coccidia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as effective as a commercial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oocyst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excretion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all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groups,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control group,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confirms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antiparasitic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neem. This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attributable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bioactive compounds,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azadirachtin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antiprotozoal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have been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documented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[11].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are in agreement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Dossou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[12] and Sylla [13],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OPG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use of neem-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>.</w:t>
      </w:r>
    </w:p>
    <w:p w14:paraId="77C06190" w14:textId="77777777" w:rsidR="00761264" w:rsidRPr="0094608B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08B">
        <w:rPr>
          <w:rFonts w:ascii="Times New Roman" w:hAnsi="Times New Roman" w:cs="Times New Roman"/>
          <w:sz w:val="24"/>
          <w:szCs w:val="24"/>
        </w:rPr>
        <w:t>Notably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performance. Indeed, no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zootechnical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parameter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(ADG, FCR,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intakes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) or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parameter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altered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by the incorporation of neem. This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suggests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doses and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neem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exert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 notable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antinutritional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conditions.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observations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corroborate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conclusions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Zanu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et al. [14] and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Nidaullah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et al. [15], but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reports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doses [16],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importance of dose in the final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>.</w:t>
      </w:r>
      <w:commentRangeEnd w:id="13"/>
      <w:r w:rsidR="00ED66A5">
        <w:rPr>
          <w:rStyle w:val="CommentReference"/>
        </w:rPr>
        <w:commentReference w:id="13"/>
      </w:r>
    </w:p>
    <w:p w14:paraId="064B9B87" w14:textId="77777777" w:rsidR="00761264" w:rsidRPr="0094608B" w:rsidRDefault="00761264" w:rsidP="00946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8B">
        <w:rPr>
          <w:rFonts w:ascii="Times New Roman" w:hAnsi="Times New Roman" w:cs="Times New Roman"/>
          <w:sz w:val="24"/>
          <w:szCs w:val="24"/>
        </w:rPr>
        <w:lastRenderedPageBreak/>
        <w:t xml:space="preserve">The absence of impact on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consistent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Kharde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et al. [17].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rate in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untreated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group (R0)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underscores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uncontrolled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Mortalities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groups,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variable, do not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seem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attributable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to neem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(high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humidity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8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94608B">
        <w:rPr>
          <w:rFonts w:ascii="Times New Roman" w:hAnsi="Times New Roman" w:cs="Times New Roman"/>
          <w:sz w:val="24"/>
          <w:szCs w:val="24"/>
        </w:rPr>
        <w:t xml:space="preserve"> the trial).</w:t>
      </w:r>
    </w:p>
    <w:p w14:paraId="413F889A" w14:textId="6B3255A9" w:rsidR="00761264" w:rsidRPr="0023248F" w:rsidRDefault="00E645B2" w:rsidP="002324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61264" w:rsidRPr="0023248F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64C447CE" w14:textId="67CC79DA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shows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neem (</w:t>
      </w:r>
      <w:r w:rsidRPr="009C6AC8">
        <w:rPr>
          <w:rFonts w:ascii="Times New Roman" w:hAnsi="Times New Roman" w:cs="Times New Roman"/>
          <w:i/>
          <w:iCs/>
          <w:sz w:val="24"/>
          <w:szCs w:val="24"/>
        </w:rPr>
        <w:t xml:space="preserve">Azadirachta </w:t>
      </w:r>
      <w:proofErr w:type="spellStart"/>
      <w:r w:rsidRPr="009C6AC8">
        <w:rPr>
          <w:rFonts w:ascii="Times New Roman" w:hAnsi="Times New Roman" w:cs="Times New Roman"/>
          <w:i/>
          <w:iCs/>
          <w:sz w:val="24"/>
          <w:szCs w:val="24"/>
        </w:rPr>
        <w:t>indica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incorporated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at doses up to 2%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water,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 effective and non-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harmful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alternative to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anticoccidials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coccidia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affect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performance,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slaughter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Neem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phytotherapeutic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option for more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organ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.</w:t>
      </w:r>
    </w:p>
    <w:p w14:paraId="16B513C0" w14:textId="77777777" w:rsidR="0023248F" w:rsidRDefault="0023248F" w:rsidP="0023248F">
      <w:pPr>
        <w:pStyle w:val="NoSpacing"/>
      </w:pPr>
    </w:p>
    <w:p w14:paraId="722540BF" w14:textId="77777777" w:rsidR="0023248F" w:rsidRDefault="0023248F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6535A" w14:textId="77777777" w:rsidR="0023248F" w:rsidRDefault="0023248F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F670A" w14:textId="081D92B0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48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1CE67F1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Alkhalf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Alhaj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, M., &amp; Al-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homidan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I. (2010). Influence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probiotic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supplementation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Saudi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Sciences, 17(3), 219–225.</w:t>
      </w:r>
    </w:p>
    <w:p w14:paraId="0177C622" w14:textId="77777777" w:rsidR="00027EE6" w:rsidRP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2. Ministry of Animal Production and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Fisheries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(MIPRAH). (2017).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Report 2017. Abidjan, Côte d'Ivoire.</w:t>
      </w:r>
    </w:p>
    <w:p w14:paraId="3F4006D3" w14:textId="77777777" w:rsid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3. National Agency for Support to Rural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(ANADER). (2018). Report on the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2018. Abidjan, Côte d'Ivoire.</w:t>
      </w:r>
    </w:p>
    <w:p w14:paraId="7C6541A0" w14:textId="53BAC5B8" w:rsidR="00761264" w:rsidRPr="0023248F" w:rsidRDefault="00761264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4. Allen, P. C.,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Fetterer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R. H. (2002).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immunology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Eimeria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control of infection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coccidian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parasites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, 15(1), 58–65.</w:t>
      </w:r>
    </w:p>
    <w:p w14:paraId="539390E2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5. Lagua, E. B.,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Ampode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K. M. B. (2021).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Turmeric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48F">
        <w:rPr>
          <w:rFonts w:ascii="Times New Roman" w:hAnsi="Times New Roman" w:cs="Times New Roman"/>
          <w:sz w:val="24"/>
          <w:szCs w:val="24"/>
        </w:rPr>
        <w:t>Powder:</w:t>
      </w:r>
      <w:proofErr w:type="gram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alternative to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chicken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diets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Journal of Animal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Production, 9(3), 243–253.</w:t>
      </w:r>
    </w:p>
    <w:p w14:paraId="5F2A0E62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6. Jawad, Z.,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Younus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Mutti-ur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Maqbool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A., Munir, R., Muhammad, K.,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Korejo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R. A.,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Qazi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I. H. (2013).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neem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(Azadirachta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commercial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lastRenderedPageBreak/>
        <w:t>broilers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castle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bursal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Journal of Agricultural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, 8(36), 4596–4603.</w:t>
      </w:r>
    </w:p>
    <w:p w14:paraId="6B76AF19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Ubua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J. A.,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Ozung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P. O.,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Inagu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P. G. (2019).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Dietary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Inclusion of Neem (Azadirachta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Meal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Can Influence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Performance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Asian Journal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Sciences, 12, 180–186.</w:t>
      </w:r>
    </w:p>
    <w:p w14:paraId="7BA2AB98" w14:textId="77777777" w:rsidR="00027EE6" w:rsidRP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Ouedraogo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S., Yoda, J., Traore, T. K.,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Nitiema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Sombie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B. C., Diawara, H. Z.,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Yameogoa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J.B.G.,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Djande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Belemnaba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F.B.,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Ouedraogo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Semde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R. (2021). Production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raw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and manufacture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medicines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plants. International Journal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and Chemical Sciences, 15(2), 750–772.</w:t>
      </w:r>
    </w:p>
    <w:p w14:paraId="2B5ABB8D" w14:textId="77777777" w:rsid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Ackah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M. (2015). Contribution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in Côte d'Ivoire.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Ivorian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and Management Sciences, 10, 45–60.</w:t>
      </w:r>
    </w:p>
    <w:p w14:paraId="0381FB0F" w14:textId="3F228BD2" w:rsidR="00761264" w:rsidRPr="0023248F" w:rsidRDefault="00761264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Zouh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Bi, Z. F.,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Oussou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K. A., Aman, J. B., &amp; Karamoko, Y. (2025). Gastrointestinal parasites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encountered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giant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snail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in Abidjan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District, Côte d'Ivoire. Journal of Chemical,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Physical Sciences, 15(4), 657–666.</w:t>
      </w:r>
    </w:p>
    <w:p w14:paraId="53918675" w14:textId="77777777" w:rsidR="00027EE6" w:rsidRP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11. Biu, A. A.,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Yusuff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S. D., &amp;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Rabo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J. S. (2006). Use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neem (Azadirachta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Borno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State, Nigeria.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Scientist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>, 7(3), 147.</w:t>
      </w:r>
    </w:p>
    <w:p w14:paraId="10E02540" w14:textId="77777777" w:rsidR="00027EE6" w:rsidRP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Dossou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A. D. (2008).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of neem cake (Azadirachta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Juss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) on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avian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[Doctoral dissertation in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]. Cheikh Anta Diop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of Dakar,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Senegal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>.</w:t>
      </w:r>
    </w:p>
    <w:p w14:paraId="30487031" w14:textId="77777777" w:rsidR="00027EE6" w:rsidRDefault="00027EE6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E6">
        <w:rPr>
          <w:rFonts w:ascii="Times New Roman" w:hAnsi="Times New Roman" w:cs="Times New Roman"/>
          <w:sz w:val="24"/>
          <w:szCs w:val="24"/>
        </w:rPr>
        <w:t xml:space="preserve">13. Sylla, M. (2008, May 5-10). Trial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coccidiosis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control in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local plant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, Inter-State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Science and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 xml:space="preserve"> (EISMV), Dakar, </w:t>
      </w:r>
      <w:proofErr w:type="spellStart"/>
      <w:r w:rsidRPr="00027EE6">
        <w:rPr>
          <w:rFonts w:ascii="Times New Roman" w:hAnsi="Times New Roman" w:cs="Times New Roman"/>
          <w:sz w:val="24"/>
          <w:szCs w:val="24"/>
        </w:rPr>
        <w:t>Senegal</w:t>
      </w:r>
      <w:proofErr w:type="spellEnd"/>
      <w:r w:rsidRPr="00027EE6">
        <w:rPr>
          <w:rFonts w:ascii="Times New Roman" w:hAnsi="Times New Roman" w:cs="Times New Roman"/>
          <w:sz w:val="24"/>
          <w:szCs w:val="24"/>
        </w:rPr>
        <w:t>.</w:t>
      </w:r>
    </w:p>
    <w:p w14:paraId="2E2A30EB" w14:textId="7E3E1F6C" w:rsidR="00761264" w:rsidRPr="0023248F" w:rsidRDefault="00761264" w:rsidP="00027E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Zanu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H. K.,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Kagya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Agyemang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J. K.,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Kwenin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W. K. J.,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Bonsu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F. R. K.,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Antwi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Ateni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S. (2011).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chickens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to Neem (Azadirachta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Akakapenpen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Rauvolfia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vomitoria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23248F">
        <w:rPr>
          <w:rFonts w:ascii="Times New Roman" w:hAnsi="Times New Roman" w:cs="Times New Roman"/>
          <w:sz w:val="24"/>
          <w:szCs w:val="24"/>
        </w:rPr>
        <w:t>decoctions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3248F">
        <w:rPr>
          <w:rFonts w:ascii="Times New Roman" w:hAnsi="Times New Roman" w:cs="Times New Roman"/>
          <w:sz w:val="24"/>
          <w:szCs w:val="24"/>
        </w:rPr>
        <w:t xml:space="preserve"> performance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International Journal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Science, 10(9), 730–733.</w:t>
      </w:r>
    </w:p>
    <w:p w14:paraId="23A36D22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Nidaullah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Durrani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F. R., Ahmad, S., Jan, I. U.,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Gul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S. (2010).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plants as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anticoccidial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promotive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immunostimulant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ARPN Journal of Agricultural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Science, 5, 153–159.</w:t>
      </w:r>
    </w:p>
    <w:p w14:paraId="4F9E68F3" w14:textId="77777777" w:rsidR="00761264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Gowda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S. K.,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Sastry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V. R. B.,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Katiyar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R. C. (1998).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utilization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neem kernel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meal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rabbits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Journal, 75, 281–282.</w:t>
      </w:r>
    </w:p>
    <w:p w14:paraId="10D361FF" w14:textId="0B2D0394" w:rsidR="00615A87" w:rsidRPr="0023248F" w:rsidRDefault="00761264" w:rsidP="0023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8F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Kharde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K. R., &amp;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Soujanya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, S. (2014).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garlic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and neem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supplementation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performance and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carcass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traits in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broilers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48F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23248F">
        <w:rPr>
          <w:rFonts w:ascii="Times New Roman" w:hAnsi="Times New Roman" w:cs="Times New Roman"/>
          <w:sz w:val="24"/>
          <w:szCs w:val="24"/>
        </w:rPr>
        <w:t xml:space="preserve"> World, 7(10), 799–802.</w:t>
      </w:r>
    </w:p>
    <w:sectPr w:rsidR="00615A87" w:rsidRPr="0023248F" w:rsidSect="00495F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P 14s" w:date="2026-01-28T23:52:00Z" w:initials="H1">
    <w:p w14:paraId="334ED1AD" w14:textId="77777777" w:rsidR="00A61A44" w:rsidRDefault="00A61A44" w:rsidP="00A61A44">
      <w:pPr>
        <w:pStyle w:val="NormalWeb"/>
      </w:pPr>
      <w:r>
        <w:rPr>
          <w:rStyle w:val="CommentReference"/>
        </w:rPr>
        <w:annotationRef/>
      </w:r>
    </w:p>
    <w:p w14:paraId="71CEAA51" w14:textId="77777777" w:rsidR="00A61A44" w:rsidRDefault="00A61A44" w:rsidP="00A61A44">
      <w:pPr>
        <w:pStyle w:val="NormalWeb"/>
      </w:pPr>
      <w:r>
        <w:t>improve the writing of the manuscript to meet the standards for writing articles</w:t>
      </w:r>
    </w:p>
    <w:p w14:paraId="2068E8C7" w14:textId="77777777" w:rsidR="00A61A44" w:rsidRDefault="00A61A44" w:rsidP="00A61A44">
      <w:pPr>
        <w:pStyle w:val="NormalWeb"/>
      </w:pPr>
    </w:p>
    <w:p w14:paraId="7BFA77ED" w14:textId="73B6DDCD" w:rsidR="00A61A44" w:rsidRDefault="00A61A44">
      <w:pPr>
        <w:pStyle w:val="CommentText"/>
      </w:pPr>
      <w:bookmarkStart w:id="1" w:name="_GoBack"/>
      <w:bookmarkEnd w:id="1"/>
    </w:p>
  </w:comment>
  <w:comment w:id="2" w:author="HP 14s" w:date="2026-01-28T23:41:00Z" w:initials="H1">
    <w:p w14:paraId="419FAE25" w14:textId="73DBE89C" w:rsidR="00ED66A5" w:rsidRDefault="00ED66A5">
      <w:pPr>
        <w:pStyle w:val="CommentText"/>
      </w:pPr>
      <w:r>
        <w:rPr>
          <w:rStyle w:val="CommentReference"/>
        </w:rPr>
        <w:annotationRef/>
      </w:r>
      <w:r w:rsidRPr="00ED66A5">
        <w:t xml:space="preserve">Write the abstract </w:t>
      </w:r>
      <w:proofErr w:type="spellStart"/>
      <w:r w:rsidRPr="00ED66A5">
        <w:t>correctly</w:t>
      </w:r>
      <w:proofErr w:type="spellEnd"/>
      <w:r w:rsidRPr="00ED66A5">
        <w:t>.</w:t>
      </w:r>
    </w:p>
  </w:comment>
  <w:comment w:id="3" w:author="HP 14s" w:date="2026-01-28T23:52:00Z" w:initials="H1">
    <w:p w14:paraId="6389787F" w14:textId="0E15F8E7" w:rsidR="00A61A44" w:rsidRDefault="00A61A44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 w:rsidRPr="00A61A44">
        <w:t>review</w:t>
      </w:r>
      <w:proofErr w:type="spellEnd"/>
      <w:proofErr w:type="gramEnd"/>
      <w:r w:rsidRPr="00A61A44">
        <w:t xml:space="preserve"> </w:t>
      </w:r>
      <w:proofErr w:type="spellStart"/>
      <w:r>
        <w:t>this</w:t>
      </w:r>
      <w:proofErr w:type="spellEnd"/>
      <w:r>
        <w:t xml:space="preserve"> figure </w:t>
      </w:r>
      <w:proofErr w:type="spellStart"/>
      <w:r w:rsidRPr="00A61A44">
        <w:t>clearly</w:t>
      </w:r>
      <w:proofErr w:type="spellEnd"/>
    </w:p>
  </w:comment>
  <w:comment w:id="6" w:author="HP 14s" w:date="2026-01-28T23:50:00Z" w:initials="H1">
    <w:p w14:paraId="2668381E" w14:textId="48D1A914" w:rsidR="00ED66A5" w:rsidRDefault="00ED66A5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 w:rsidRPr="00ED66A5">
        <w:t>review</w:t>
      </w:r>
      <w:proofErr w:type="spellEnd"/>
      <w:proofErr w:type="gramEnd"/>
      <w:r w:rsidRPr="00ED66A5">
        <w:t xml:space="preserve"> </w:t>
      </w:r>
      <w:proofErr w:type="spellStart"/>
      <w:r w:rsidRPr="00ED66A5">
        <w:t>each</w:t>
      </w:r>
      <w:proofErr w:type="spellEnd"/>
      <w:r w:rsidRPr="00ED66A5">
        <w:t xml:space="preserve"> table </w:t>
      </w:r>
      <w:proofErr w:type="spellStart"/>
      <w:r w:rsidRPr="00ED66A5">
        <w:t>clearly</w:t>
      </w:r>
      <w:proofErr w:type="spellEnd"/>
    </w:p>
  </w:comment>
  <w:comment w:id="7" w:author="HP 14s" w:date="2026-01-28T23:50:00Z" w:initials="H1">
    <w:p w14:paraId="2E504A18" w14:textId="363A7AC8" w:rsidR="00ED66A5" w:rsidRDefault="00ED66A5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 w:rsidRPr="00ED66A5">
        <w:t>review</w:t>
      </w:r>
      <w:proofErr w:type="spellEnd"/>
      <w:proofErr w:type="gramEnd"/>
      <w:r w:rsidRPr="00ED66A5">
        <w:t xml:space="preserve"> </w:t>
      </w:r>
      <w:proofErr w:type="spellStart"/>
      <w:r w:rsidRPr="00ED66A5">
        <w:t>each</w:t>
      </w:r>
      <w:proofErr w:type="spellEnd"/>
      <w:r w:rsidRPr="00ED66A5">
        <w:t xml:space="preserve"> table </w:t>
      </w:r>
      <w:proofErr w:type="spellStart"/>
      <w:r w:rsidRPr="00ED66A5">
        <w:t>clearly</w:t>
      </w:r>
      <w:proofErr w:type="spellEnd"/>
    </w:p>
  </w:comment>
  <w:comment w:id="9" w:author="HP 14s" w:date="2026-01-28T23:50:00Z" w:initials="H1">
    <w:p w14:paraId="1972B105" w14:textId="21ADDF9C" w:rsidR="00ED66A5" w:rsidRDefault="00ED66A5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 w:rsidRPr="00ED66A5">
        <w:t>review</w:t>
      </w:r>
      <w:proofErr w:type="spellEnd"/>
      <w:proofErr w:type="gramEnd"/>
      <w:r w:rsidRPr="00ED66A5">
        <w:t xml:space="preserve"> </w:t>
      </w:r>
      <w:proofErr w:type="spellStart"/>
      <w:r w:rsidRPr="00ED66A5">
        <w:t>each</w:t>
      </w:r>
      <w:proofErr w:type="spellEnd"/>
      <w:r w:rsidRPr="00ED66A5">
        <w:t xml:space="preserve"> table </w:t>
      </w:r>
      <w:proofErr w:type="spellStart"/>
      <w:r w:rsidRPr="00ED66A5">
        <w:t>clearly</w:t>
      </w:r>
      <w:proofErr w:type="spellEnd"/>
    </w:p>
  </w:comment>
  <w:comment w:id="11" w:author="HP 14s" w:date="2026-01-28T23:51:00Z" w:initials="H1">
    <w:p w14:paraId="7C85191A" w14:textId="7F232712" w:rsidR="00ED66A5" w:rsidRDefault="00ED66A5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 w:rsidRPr="00ED66A5">
        <w:t>review</w:t>
      </w:r>
      <w:proofErr w:type="spellEnd"/>
      <w:proofErr w:type="gramEnd"/>
      <w:r w:rsidRPr="00ED66A5">
        <w:t xml:space="preserve"> </w:t>
      </w:r>
      <w:proofErr w:type="spellStart"/>
      <w:r w:rsidRPr="00ED66A5">
        <w:t>each</w:t>
      </w:r>
      <w:proofErr w:type="spellEnd"/>
      <w:r w:rsidRPr="00ED66A5">
        <w:t xml:space="preserve"> table </w:t>
      </w:r>
      <w:proofErr w:type="spellStart"/>
      <w:r w:rsidRPr="00ED66A5">
        <w:t>clearly</w:t>
      </w:r>
      <w:proofErr w:type="spellEnd"/>
    </w:p>
  </w:comment>
  <w:comment w:id="12" w:author="HP 14s" w:date="2026-01-28T23:51:00Z" w:initials="H1">
    <w:p w14:paraId="029EE936" w14:textId="0F91F892" w:rsidR="00ED66A5" w:rsidRDefault="00ED66A5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 w:rsidRPr="00ED66A5">
        <w:t>review</w:t>
      </w:r>
      <w:proofErr w:type="spellEnd"/>
      <w:proofErr w:type="gramEnd"/>
      <w:r w:rsidRPr="00ED66A5">
        <w:t xml:space="preserve"> </w:t>
      </w:r>
      <w:proofErr w:type="spellStart"/>
      <w:r w:rsidRPr="00ED66A5">
        <w:t>each</w:t>
      </w:r>
      <w:proofErr w:type="spellEnd"/>
      <w:r w:rsidRPr="00ED66A5">
        <w:t xml:space="preserve"> table </w:t>
      </w:r>
      <w:proofErr w:type="spellStart"/>
      <w:r w:rsidRPr="00ED66A5">
        <w:t>clearly</w:t>
      </w:r>
      <w:proofErr w:type="spellEnd"/>
    </w:p>
  </w:comment>
  <w:comment w:id="13" w:author="HP 14s" w:date="2026-01-28T23:49:00Z" w:initials="H1">
    <w:p w14:paraId="62AA359C" w14:textId="77777777" w:rsidR="00ED66A5" w:rsidRDefault="00ED66A5" w:rsidP="00ED66A5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he</w:t>
      </w:r>
      <w:proofErr w:type="spellEnd"/>
      <w:proofErr w:type="gramEnd"/>
      <w:r>
        <w:t xml:space="preserve"> </w:t>
      </w:r>
      <w:proofErr w:type="spellStart"/>
      <w:r>
        <w:t>mechanism</w:t>
      </w:r>
      <w:proofErr w:type="spellEnd"/>
      <w:r>
        <w:t xml:space="preserve"> of action has not been </w:t>
      </w:r>
      <w:proofErr w:type="spellStart"/>
      <w:r>
        <w:t>discussed</w:t>
      </w:r>
      <w:proofErr w:type="spellEnd"/>
      <w:r>
        <w:t xml:space="preserve"> in </w:t>
      </w:r>
      <w:proofErr w:type="spellStart"/>
      <w:r>
        <w:t>depth</w:t>
      </w:r>
      <w:proofErr w:type="spellEnd"/>
      <w:r>
        <w:t>.</w:t>
      </w:r>
    </w:p>
    <w:p w14:paraId="36D77B96" w14:textId="77777777" w:rsidR="00ED66A5" w:rsidRDefault="00ED66A5" w:rsidP="00ED66A5">
      <w:pPr>
        <w:pStyle w:val="CommentText"/>
      </w:pPr>
      <w:proofErr w:type="spellStart"/>
      <w:r>
        <w:t>Anticoccidial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azadirachtin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of the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or </w:t>
      </w:r>
      <w:proofErr w:type="spellStart"/>
      <w:r>
        <w:t>its</w:t>
      </w:r>
      <w:proofErr w:type="spellEnd"/>
      <w:r>
        <w:t xml:space="preserve"> interaction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Eimeria</w:t>
      </w:r>
      <w:proofErr w:type="spellEnd"/>
      <w:r>
        <w:t xml:space="preserve"> life cycle.</w:t>
      </w:r>
    </w:p>
    <w:p w14:paraId="03AD0223" w14:textId="77777777" w:rsidR="00ED66A5" w:rsidRDefault="00ED66A5" w:rsidP="00ED66A5">
      <w:pPr>
        <w:pStyle w:val="CommentText"/>
      </w:pPr>
    </w:p>
    <w:p w14:paraId="1F37A79F" w14:textId="77777777" w:rsidR="00ED66A5" w:rsidRDefault="00ED66A5" w:rsidP="00ED66A5">
      <w:pPr>
        <w:pStyle w:val="CommentText"/>
      </w:pPr>
      <w:r>
        <w:t xml:space="preserve">There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clear</w:t>
      </w:r>
      <w:proofErr w:type="spellEnd"/>
      <w:r>
        <w:t xml:space="preserve"> quantitative comparative data.</w:t>
      </w:r>
    </w:p>
    <w:p w14:paraId="3BBFDE35" w14:textId="35264D5D" w:rsidR="00ED66A5" w:rsidRDefault="00ED66A5" w:rsidP="00ED66A5">
      <w:pPr>
        <w:pStyle w:val="CommentText"/>
      </w:pPr>
      <w:r>
        <w:t xml:space="preserve">The </w:t>
      </w:r>
      <w:proofErr w:type="spellStart"/>
      <w:r>
        <w:t>statement</w:t>
      </w:r>
      <w:proofErr w:type="spellEnd"/>
      <w:r>
        <w:t xml:space="preserve"> “as effective as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anticoccidials</w:t>
      </w:r>
      <w:proofErr w:type="spellEnd"/>
      <w:r>
        <w:t xml:space="preserve">”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supported</w:t>
      </w:r>
      <w:proofErr w:type="spellEnd"/>
      <w:r>
        <w:t xml:space="preserve"> by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comparisons</w:t>
      </w:r>
      <w:proofErr w:type="spellEnd"/>
      <w:r>
        <w:t xml:space="preserve"> or </w:t>
      </w:r>
      <w:proofErr w:type="spellStart"/>
      <w:r>
        <w:t>measures</w:t>
      </w:r>
      <w:proofErr w:type="spellEnd"/>
      <w:r>
        <w:t xml:space="preserve"> of </w:t>
      </w:r>
      <w:proofErr w:type="spellStart"/>
      <w:r>
        <w:t>effect</w:t>
      </w:r>
      <w:proofErr w:type="spellEnd"/>
      <w:r>
        <w:t xml:space="preserve"> (percentage </w:t>
      </w:r>
      <w:proofErr w:type="spellStart"/>
      <w:r>
        <w:t>reduction</w:t>
      </w:r>
      <w:proofErr w:type="spellEnd"/>
      <w:r>
        <w:t xml:space="preserve"> in OPG, </w:t>
      </w:r>
      <w:proofErr w:type="spellStart"/>
      <w:r>
        <w:t>statistical</w:t>
      </w:r>
      <w:proofErr w:type="spellEnd"/>
      <w:r>
        <w:t xml:space="preserve"> values).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FA77ED" w15:done="0"/>
  <w15:commentEx w15:paraId="419FAE25" w15:done="0"/>
  <w15:commentEx w15:paraId="6389787F" w15:done="0"/>
  <w15:commentEx w15:paraId="2668381E" w15:done="0"/>
  <w15:commentEx w15:paraId="2E504A18" w15:done="0"/>
  <w15:commentEx w15:paraId="1972B105" w15:done="0"/>
  <w15:commentEx w15:paraId="7C85191A" w15:done="0"/>
  <w15:commentEx w15:paraId="029EE936" w15:done="0"/>
  <w15:commentEx w15:paraId="3BBFDE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251FBC" w16cex:dateUtc="2026-01-28T15:52:00Z"/>
  <w16cex:commentExtensible w16cex:durableId="2D251D34" w16cex:dateUtc="2026-01-28T15:41:00Z"/>
  <w16cex:commentExtensible w16cex:durableId="2D251FA5" w16cex:dateUtc="2026-01-28T15:52:00Z"/>
  <w16cex:commentExtensible w16cex:durableId="2D251F57" w16cex:dateUtc="2026-01-28T15:50:00Z"/>
  <w16cex:commentExtensible w16cex:durableId="2D251F60" w16cex:dateUtc="2026-01-28T15:50:00Z"/>
  <w16cex:commentExtensible w16cex:durableId="2D251F2A" w16cex:dateUtc="2026-01-28T15:50:00Z"/>
  <w16cex:commentExtensible w16cex:durableId="2D251F6D" w16cex:dateUtc="2026-01-28T15:51:00Z"/>
  <w16cex:commentExtensible w16cex:durableId="2D251F7F" w16cex:dateUtc="2026-01-28T15:51:00Z"/>
  <w16cex:commentExtensible w16cex:durableId="2D251EF9" w16cex:dateUtc="2026-01-28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FA77ED" w16cid:durableId="2D251FBC"/>
  <w16cid:commentId w16cid:paraId="419FAE25" w16cid:durableId="2D251D34"/>
  <w16cid:commentId w16cid:paraId="6389787F" w16cid:durableId="2D251FA5"/>
  <w16cid:commentId w16cid:paraId="2668381E" w16cid:durableId="2D251F57"/>
  <w16cid:commentId w16cid:paraId="2E504A18" w16cid:durableId="2D251F60"/>
  <w16cid:commentId w16cid:paraId="1972B105" w16cid:durableId="2D251F2A"/>
  <w16cid:commentId w16cid:paraId="7C85191A" w16cid:durableId="2D251F6D"/>
  <w16cid:commentId w16cid:paraId="029EE936" w16cid:durableId="2D251F7F"/>
  <w16cid:commentId w16cid:paraId="3BBFDE35" w16cid:durableId="2D251E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C2A30" w14:textId="77777777" w:rsidR="0016468E" w:rsidRDefault="0016468E" w:rsidP="009C6AC8">
      <w:pPr>
        <w:spacing w:after="0" w:line="240" w:lineRule="auto"/>
      </w:pPr>
      <w:r>
        <w:separator/>
      </w:r>
    </w:p>
  </w:endnote>
  <w:endnote w:type="continuationSeparator" w:id="0">
    <w:p w14:paraId="74C7EFF5" w14:textId="77777777" w:rsidR="0016468E" w:rsidRDefault="0016468E" w:rsidP="009C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B385F" w14:textId="77777777" w:rsidR="00ED66A5" w:rsidRDefault="00ED6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8308538"/>
      <w:docPartObj>
        <w:docPartGallery w:val="Page Numbers (Bottom of Page)"/>
        <w:docPartUnique/>
      </w:docPartObj>
    </w:sdtPr>
    <w:sdtContent>
      <w:p w14:paraId="1BEB23B7" w14:textId="0E5B8C1C" w:rsidR="00ED66A5" w:rsidRDefault="00ED66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1B57E" w14:textId="77777777" w:rsidR="00ED66A5" w:rsidRDefault="00ED6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3FE88" w14:textId="77777777" w:rsidR="00ED66A5" w:rsidRDefault="00ED6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13352" w14:textId="77777777" w:rsidR="0016468E" w:rsidRDefault="0016468E" w:rsidP="009C6AC8">
      <w:pPr>
        <w:spacing w:after="0" w:line="240" w:lineRule="auto"/>
      </w:pPr>
      <w:r>
        <w:separator/>
      </w:r>
    </w:p>
  </w:footnote>
  <w:footnote w:type="continuationSeparator" w:id="0">
    <w:p w14:paraId="331DA2C7" w14:textId="77777777" w:rsidR="0016468E" w:rsidRDefault="0016468E" w:rsidP="009C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FC017" w14:textId="4DDB777F" w:rsidR="00ED66A5" w:rsidRDefault="00ED66A5">
    <w:pPr>
      <w:pStyle w:val="Header"/>
    </w:pPr>
    <w:r>
      <w:rPr>
        <w:noProof/>
      </w:rPr>
      <w:pict w14:anchorId="3621E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4860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2CBF8" w14:textId="40C7ADAD" w:rsidR="00ED66A5" w:rsidRDefault="00ED66A5">
    <w:pPr>
      <w:pStyle w:val="Header"/>
    </w:pPr>
    <w:r>
      <w:rPr>
        <w:noProof/>
      </w:rPr>
      <w:pict w14:anchorId="757C68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4861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99443" w14:textId="191E9756" w:rsidR="00ED66A5" w:rsidRDefault="00ED66A5">
    <w:pPr>
      <w:pStyle w:val="Header"/>
    </w:pPr>
    <w:r>
      <w:rPr>
        <w:noProof/>
      </w:rPr>
      <w:pict w14:anchorId="64151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64859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430CB"/>
    <w:multiLevelType w:val="multilevel"/>
    <w:tmpl w:val="97A4FA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bullet"/>
      <w:pStyle w:val="Heading3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341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A156A1"/>
    <w:multiLevelType w:val="hybridMultilevel"/>
    <w:tmpl w:val="41304A46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B7B9A"/>
    <w:multiLevelType w:val="hybridMultilevel"/>
    <w:tmpl w:val="318C552A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C3948"/>
    <w:multiLevelType w:val="hybridMultilevel"/>
    <w:tmpl w:val="6748C0AC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P 14s">
    <w15:presenceInfo w15:providerId="Windows Live" w15:userId="6fd8cb453d4a4b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64"/>
    <w:rsid w:val="000127AC"/>
    <w:rsid w:val="00022E35"/>
    <w:rsid w:val="00022F4D"/>
    <w:rsid w:val="00027EE6"/>
    <w:rsid w:val="00051670"/>
    <w:rsid w:val="000556BF"/>
    <w:rsid w:val="000B4CBB"/>
    <w:rsid w:val="0016468E"/>
    <w:rsid w:val="001D5872"/>
    <w:rsid w:val="001F43E0"/>
    <w:rsid w:val="0023248F"/>
    <w:rsid w:val="002F5B5F"/>
    <w:rsid w:val="003506E5"/>
    <w:rsid w:val="003535A0"/>
    <w:rsid w:val="00361F26"/>
    <w:rsid w:val="00375530"/>
    <w:rsid w:val="00495FD7"/>
    <w:rsid w:val="005403BB"/>
    <w:rsid w:val="00615A87"/>
    <w:rsid w:val="00715F71"/>
    <w:rsid w:val="007327F1"/>
    <w:rsid w:val="00761264"/>
    <w:rsid w:val="00820A7C"/>
    <w:rsid w:val="00846FCD"/>
    <w:rsid w:val="008937B8"/>
    <w:rsid w:val="0094608B"/>
    <w:rsid w:val="009B2F2D"/>
    <w:rsid w:val="009C6AC8"/>
    <w:rsid w:val="00A61A44"/>
    <w:rsid w:val="00A8244B"/>
    <w:rsid w:val="00AE77C0"/>
    <w:rsid w:val="00B62C8E"/>
    <w:rsid w:val="00C20958"/>
    <w:rsid w:val="00CD1C80"/>
    <w:rsid w:val="00D33AF3"/>
    <w:rsid w:val="00D4579C"/>
    <w:rsid w:val="00D7286D"/>
    <w:rsid w:val="00DB421B"/>
    <w:rsid w:val="00DF57BD"/>
    <w:rsid w:val="00E03C6A"/>
    <w:rsid w:val="00E3354D"/>
    <w:rsid w:val="00E645B2"/>
    <w:rsid w:val="00ED66A5"/>
    <w:rsid w:val="00F61107"/>
    <w:rsid w:val="00F70D92"/>
    <w:rsid w:val="00F7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4D904B"/>
  <w15:chartTrackingRefBased/>
  <w15:docId w15:val="{B5760AA3-A8A7-4BD5-904E-B0B807FB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D92"/>
    <w:pPr>
      <w:keepNext/>
      <w:keepLines/>
      <w:numPr>
        <w:numId w:val="1"/>
      </w:numPr>
      <w:spacing w:before="480" w:after="240"/>
      <w:outlineLvl w:val="0"/>
    </w:pPr>
    <w:rPr>
      <w:rFonts w:ascii="Times New Roman" w:eastAsia="Calibri" w:hAnsi="Times New Roman" w:cs="Times New Roman"/>
      <w:b/>
      <w:color w:val="000000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D92"/>
    <w:pPr>
      <w:keepNext/>
      <w:keepLines/>
      <w:numPr>
        <w:ilvl w:val="1"/>
        <w:numId w:val="1"/>
      </w:numPr>
      <w:spacing w:before="160" w:after="120"/>
      <w:outlineLvl w:val="1"/>
    </w:pPr>
    <w:rPr>
      <w:rFonts w:ascii="Times New Roman" w:eastAsia="SimSu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0D92"/>
    <w:pPr>
      <w:keepNext/>
      <w:keepLines/>
      <w:numPr>
        <w:ilvl w:val="2"/>
        <w:numId w:val="1"/>
      </w:numPr>
      <w:spacing w:before="280" w:after="240"/>
      <w:outlineLvl w:val="2"/>
    </w:pPr>
    <w:rPr>
      <w:rFonts w:ascii="Times New Roman" w:eastAsia="SimSu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D92"/>
    <w:pPr>
      <w:keepNext/>
      <w:keepLines/>
      <w:numPr>
        <w:ilvl w:val="3"/>
        <w:numId w:val="1"/>
      </w:numPr>
      <w:spacing w:before="280" w:after="240"/>
      <w:outlineLvl w:val="3"/>
    </w:pPr>
    <w:rPr>
      <w:rFonts w:ascii="Times New Roman" w:eastAsia="SimSun" w:hAnsi="Times New Roman" w:cs="Times New Roman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0D92"/>
    <w:pPr>
      <w:keepNext/>
      <w:keepLines/>
      <w:numPr>
        <w:ilvl w:val="4"/>
        <w:numId w:val="1"/>
      </w:numPr>
      <w:spacing w:before="280" w:after="240"/>
      <w:outlineLvl w:val="4"/>
    </w:pPr>
    <w:rPr>
      <w:rFonts w:ascii="Times New Roman" w:eastAsia="SimSun" w:hAnsi="Times New Roman" w:cs="Times New Roman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D92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SimSun" w:hAnsi="Calibri Light" w:cs="Times New Roman"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D92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D92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SimSun" w:hAnsi="Calibri Light" w:cs="Times New Roman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D92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D92"/>
    <w:rPr>
      <w:rFonts w:ascii="Times New Roman" w:eastAsia="Calibri" w:hAnsi="Times New Roman" w:cs="Times New Roman"/>
      <w:b/>
      <w:color w:val="000000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70D92"/>
    <w:rPr>
      <w:rFonts w:ascii="Times New Roman" w:eastAsia="SimSu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0D92"/>
    <w:rPr>
      <w:rFonts w:ascii="Times New Roman" w:eastAsia="SimSu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0D92"/>
    <w:rPr>
      <w:rFonts w:ascii="Times New Roman" w:eastAsia="SimSun" w:hAnsi="Times New Roman" w:cs="Times New Roman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70D92"/>
    <w:rPr>
      <w:rFonts w:ascii="Times New Roman" w:eastAsia="SimSun" w:hAnsi="Times New Roman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D92"/>
    <w:rPr>
      <w:rFonts w:ascii="Calibri Light" w:eastAsia="SimSun" w:hAnsi="Calibri Light" w:cs="Times New Roman"/>
      <w:color w:val="1F4E7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D92"/>
    <w:rPr>
      <w:rFonts w:ascii="Calibri Light" w:eastAsia="SimSun" w:hAnsi="Calibri Light" w:cs="Times New Roman"/>
      <w:i/>
      <w:iCs/>
      <w:color w:val="1F4E7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D92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D92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NoSpacing">
    <w:name w:val="No Spacing"/>
    <w:uiPriority w:val="1"/>
    <w:qFormat/>
    <w:rsid w:val="0023248F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CD1C80"/>
    <w:pPr>
      <w:spacing w:after="200" w:line="240" w:lineRule="auto"/>
    </w:pPr>
    <w:rPr>
      <w:rFonts w:ascii="Calibri" w:eastAsia="Calibri" w:hAnsi="Calibri" w:cs="Arial"/>
      <w:i/>
      <w:iCs/>
      <w:color w:val="44546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C8"/>
  </w:style>
  <w:style w:type="paragraph" w:styleId="Footer">
    <w:name w:val="footer"/>
    <w:basedOn w:val="Normal"/>
    <w:link w:val="FooterChar"/>
    <w:uiPriority w:val="99"/>
    <w:unhideWhenUsed/>
    <w:rsid w:val="009C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C8"/>
  </w:style>
  <w:style w:type="character" w:styleId="PlaceholderText">
    <w:name w:val="Placeholder Text"/>
    <w:basedOn w:val="DefaultParagraphFont"/>
    <w:uiPriority w:val="99"/>
    <w:semiHidden/>
    <w:rsid w:val="00E03C6A"/>
    <w:rPr>
      <w:color w:val="808080"/>
    </w:rPr>
  </w:style>
  <w:style w:type="paragraph" w:styleId="ListParagraph">
    <w:name w:val="List Paragraph"/>
    <w:basedOn w:val="Normal"/>
    <w:uiPriority w:val="34"/>
    <w:qFormat/>
    <w:rsid w:val="000B4CB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22E35"/>
  </w:style>
  <w:style w:type="character" w:styleId="CommentReference">
    <w:name w:val="annotation reference"/>
    <w:basedOn w:val="DefaultParagraphFont"/>
    <w:uiPriority w:val="99"/>
    <w:semiHidden/>
    <w:unhideWhenUsed/>
    <w:rsid w:val="00ED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6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3.wmf"/><Relationship Id="rId22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543645634247273E-2"/>
          <c:y val="8.3520833333333336E-2"/>
          <c:w val="0.92345635436575269"/>
          <c:h val="0.82674294619422573"/>
        </c:manualLayout>
      </c:layout>
      <c:lineChart>
        <c:grouping val="standard"/>
        <c:varyColors val="0"/>
        <c:ser>
          <c:idx val="0"/>
          <c:order val="0"/>
          <c:tx>
            <c:strRef>
              <c:f>[OPG.xlsx]Feuil1!$L$12</c:f>
              <c:strCache>
                <c:ptCount val="1"/>
                <c:pt idx="0">
                  <c:v>R0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[OPG.xlsx]Feuil1!$M$12:$R$12</c:f>
              <c:numCache>
                <c:formatCode>General</c:formatCode>
                <c:ptCount val="6"/>
                <c:pt idx="0">
                  <c:v>150</c:v>
                </c:pt>
                <c:pt idx="1">
                  <c:v>130</c:v>
                </c:pt>
                <c:pt idx="2">
                  <c:v>135</c:v>
                </c:pt>
                <c:pt idx="3">
                  <c:v>142</c:v>
                </c:pt>
                <c:pt idx="4">
                  <c:v>200</c:v>
                </c:pt>
                <c:pt idx="5">
                  <c:v>256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9D-4324-9DA0-AA29A6904EAD}"/>
            </c:ext>
          </c:extLst>
        </c:ser>
        <c:ser>
          <c:idx val="1"/>
          <c:order val="1"/>
          <c:tx>
            <c:strRef>
              <c:f>[OPG.xlsx]Feuil1!$L$13</c:f>
              <c:strCache>
                <c:ptCount val="1"/>
                <c:pt idx="0">
                  <c:v>R1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[OPG.xlsx]Feuil1!$M$13:$R$13</c:f>
              <c:numCache>
                <c:formatCode>General</c:formatCode>
                <c:ptCount val="6"/>
                <c:pt idx="0">
                  <c:v>150</c:v>
                </c:pt>
                <c:pt idx="1">
                  <c:v>57</c:v>
                </c:pt>
                <c:pt idx="2">
                  <c:v>89</c:v>
                </c:pt>
                <c:pt idx="3">
                  <c:v>38</c:v>
                </c:pt>
                <c:pt idx="4">
                  <c:v>33</c:v>
                </c:pt>
                <c:pt idx="5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9D-4324-9DA0-AA29A6904EAD}"/>
            </c:ext>
          </c:extLst>
        </c:ser>
        <c:ser>
          <c:idx val="2"/>
          <c:order val="2"/>
          <c:tx>
            <c:strRef>
              <c:f>[OPG.xlsx]Feuil1!$L$14</c:f>
              <c:strCache>
                <c:ptCount val="1"/>
                <c:pt idx="0">
                  <c:v>R2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[OPG.xlsx]Feuil1!$M$14:$R$14</c:f>
              <c:numCache>
                <c:formatCode>General</c:formatCode>
                <c:ptCount val="6"/>
                <c:pt idx="0">
                  <c:v>150</c:v>
                </c:pt>
                <c:pt idx="1">
                  <c:v>66</c:v>
                </c:pt>
                <c:pt idx="2">
                  <c:v>70</c:v>
                </c:pt>
                <c:pt idx="3">
                  <c:v>38</c:v>
                </c:pt>
                <c:pt idx="4">
                  <c:v>22</c:v>
                </c:pt>
                <c:pt idx="5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59D-4324-9DA0-AA29A6904EAD}"/>
            </c:ext>
          </c:extLst>
        </c:ser>
        <c:ser>
          <c:idx val="3"/>
          <c:order val="3"/>
          <c:tx>
            <c:strRef>
              <c:f>[OPG.xlsx]Feuil1!$L$15</c:f>
              <c:strCache>
                <c:ptCount val="1"/>
                <c:pt idx="0">
                  <c:v>R3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[OPG.xlsx]Feuil1!$M$15:$R$15</c:f>
              <c:numCache>
                <c:formatCode>General</c:formatCode>
                <c:ptCount val="6"/>
                <c:pt idx="0">
                  <c:v>150</c:v>
                </c:pt>
                <c:pt idx="1">
                  <c:v>63.5</c:v>
                </c:pt>
                <c:pt idx="2">
                  <c:v>80</c:v>
                </c:pt>
                <c:pt idx="3">
                  <c:v>37</c:v>
                </c:pt>
                <c:pt idx="4">
                  <c:v>26</c:v>
                </c:pt>
                <c:pt idx="5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59D-4324-9DA0-AA29A6904EAD}"/>
            </c:ext>
          </c:extLst>
        </c:ser>
        <c:ser>
          <c:idx val="4"/>
          <c:order val="4"/>
          <c:tx>
            <c:strRef>
              <c:f>[OPG.xlsx]Feuil1!$L$16</c:f>
              <c:strCache>
                <c:ptCount val="1"/>
                <c:pt idx="0">
                  <c:v>R4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[OPG.xlsx]Feuil1!$M$16:$R$16</c:f>
              <c:numCache>
                <c:formatCode>General</c:formatCode>
                <c:ptCount val="6"/>
                <c:pt idx="0">
                  <c:v>150</c:v>
                </c:pt>
                <c:pt idx="1">
                  <c:v>65</c:v>
                </c:pt>
                <c:pt idx="2">
                  <c:v>90</c:v>
                </c:pt>
                <c:pt idx="3">
                  <c:v>40</c:v>
                </c:pt>
                <c:pt idx="4">
                  <c:v>24</c:v>
                </c:pt>
                <c:pt idx="5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59D-4324-9DA0-AA29A6904EAD}"/>
            </c:ext>
          </c:extLst>
        </c:ser>
        <c:ser>
          <c:idx val="5"/>
          <c:order val="5"/>
          <c:tx>
            <c:strRef>
              <c:f>[OPG.xlsx]Feuil1!$L$17</c:f>
              <c:strCache>
                <c:ptCount val="1"/>
                <c:pt idx="0">
                  <c:v>R5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[OPG.xlsx]Feuil1!$M$17:$R$17</c:f>
              <c:numCache>
                <c:formatCode>General</c:formatCode>
                <c:ptCount val="6"/>
                <c:pt idx="0">
                  <c:v>150</c:v>
                </c:pt>
                <c:pt idx="1">
                  <c:v>66</c:v>
                </c:pt>
                <c:pt idx="2">
                  <c:v>41.5</c:v>
                </c:pt>
                <c:pt idx="3">
                  <c:v>46</c:v>
                </c:pt>
                <c:pt idx="4">
                  <c:v>24</c:v>
                </c:pt>
                <c:pt idx="5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59D-4324-9DA0-AA29A6904EAD}"/>
            </c:ext>
          </c:extLst>
        </c:ser>
        <c:ser>
          <c:idx val="6"/>
          <c:order val="6"/>
          <c:tx>
            <c:strRef>
              <c:f>[OPG.xlsx]Feuil1!$L$18</c:f>
              <c:strCache>
                <c:ptCount val="1"/>
                <c:pt idx="0">
                  <c:v>R6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[OPG.xlsx]Feuil1!$M$18:$R$18</c:f>
              <c:numCache>
                <c:formatCode>General</c:formatCode>
                <c:ptCount val="6"/>
                <c:pt idx="0">
                  <c:v>150</c:v>
                </c:pt>
                <c:pt idx="1">
                  <c:v>53.5</c:v>
                </c:pt>
                <c:pt idx="2">
                  <c:v>80</c:v>
                </c:pt>
                <c:pt idx="3">
                  <c:v>37</c:v>
                </c:pt>
                <c:pt idx="4">
                  <c:v>26</c:v>
                </c:pt>
                <c:pt idx="5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59D-4324-9DA0-AA29A6904EAD}"/>
            </c:ext>
          </c:extLst>
        </c:ser>
        <c:ser>
          <c:idx val="7"/>
          <c:order val="7"/>
          <c:tx>
            <c:strRef>
              <c:f>[OPG.xlsx]Feuil1!$L$19</c:f>
              <c:strCache>
                <c:ptCount val="1"/>
                <c:pt idx="0">
                  <c:v>R7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[OPG.xlsx]Feuil1!$M$11:$R$11</c:f>
              <c:strCache>
                <c:ptCount val="6"/>
                <c:pt idx="0">
                  <c:v>J14</c:v>
                </c:pt>
                <c:pt idx="1">
                  <c:v>J21</c:v>
                </c:pt>
                <c:pt idx="2">
                  <c:v>J28</c:v>
                </c:pt>
                <c:pt idx="3">
                  <c:v>J35</c:v>
                </c:pt>
                <c:pt idx="4">
                  <c:v>J42</c:v>
                </c:pt>
                <c:pt idx="5">
                  <c:v>J49</c:v>
                </c:pt>
              </c:strCache>
            </c:strRef>
          </c:cat>
          <c:val>
            <c:numRef>
              <c:f>[OPG.xlsx]Feuil1!$M$19:$R$19</c:f>
              <c:numCache>
                <c:formatCode>General</c:formatCode>
                <c:ptCount val="6"/>
                <c:pt idx="0">
                  <c:v>150</c:v>
                </c:pt>
                <c:pt idx="1">
                  <c:v>55.5</c:v>
                </c:pt>
                <c:pt idx="2">
                  <c:v>51</c:v>
                </c:pt>
                <c:pt idx="3">
                  <c:v>40</c:v>
                </c:pt>
                <c:pt idx="4">
                  <c:v>27</c:v>
                </c:pt>
                <c:pt idx="5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59D-4324-9DA0-AA29A6904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1698831"/>
        <c:axId val="1461690511"/>
      </c:lineChart>
      <c:catAx>
        <c:axId val="14616988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Age en jours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690511"/>
        <c:crosses val="autoZero"/>
        <c:auto val="1"/>
        <c:lblAlgn val="ctr"/>
        <c:lblOffset val="100"/>
        <c:noMultiLvlLbl val="0"/>
      </c:catAx>
      <c:valAx>
        <c:axId val="1461690511"/>
        <c:scaling>
          <c:orientation val="minMax"/>
        </c:scaling>
        <c:delete val="0"/>
        <c:axPos val="l"/>
        <c:majorGridlines>
          <c:spPr>
            <a:ln w="9525" cap="flat" cmpd="sng" algn="ctr">
              <a:gradFill flip="none" rotWithShape="1"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path path="shape">
                  <a:fillToRect l="50000" t="50000" r="50000" b="50000"/>
                </a:path>
                <a:tileRect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Nombre</a:t>
                </a:r>
                <a:r>
                  <a:rPr lang="en-US"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d'OPG</a:t>
                </a:r>
                <a:endParaRPr lang="en-US" sz="1200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1698831"/>
        <c:crosses val="autoZero"/>
        <c:crossBetween val="between"/>
      </c:valAx>
      <c:spPr>
        <a:noFill/>
        <a:ln w="22225">
          <a:solidFill>
            <a:schemeClr val="tx1"/>
          </a:solidFill>
          <a:miter lim="800000"/>
        </a:ln>
        <a:effectLst>
          <a:softEdge rad="12700"/>
        </a:effectLst>
      </c:spPr>
    </c:plotArea>
    <c:legend>
      <c:legendPos val="b"/>
      <c:layout>
        <c:manualLayout>
          <c:xMode val="edge"/>
          <c:yMode val="edge"/>
          <c:x val="0.3341953522313349"/>
          <c:y val="7.9351173710306575E-2"/>
          <c:w val="0.39408790050979098"/>
          <c:h val="0.281012924454585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2732</Words>
  <Characters>15574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 shop</dc:creator>
  <cp:keywords/>
  <dc:description/>
  <cp:lastModifiedBy>HP 14s</cp:lastModifiedBy>
  <cp:revision>2</cp:revision>
  <dcterms:created xsi:type="dcterms:W3CDTF">2026-01-28T15:54:00Z</dcterms:created>
  <dcterms:modified xsi:type="dcterms:W3CDTF">2026-01-28T15:54:00Z</dcterms:modified>
</cp:coreProperties>
</file>