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AEFC" w14:textId="394A25C3" w:rsidR="00761264" w:rsidRDefault="007327F1" w:rsidP="00761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761264" w:rsidRPr="00761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Azadirachta </w:t>
      </w:r>
      <w:proofErr w:type="spellStart"/>
      <w:r w:rsidR="00761264" w:rsidRPr="00761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leaves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coccidia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performance of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broiler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chickens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reared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at the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Ecology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Cent</w:t>
      </w:r>
      <w:r w:rsidR="00846FCD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(Côte d'Ivoire)</w:t>
      </w:r>
    </w:p>
    <w:p w14:paraId="221CC5E7" w14:textId="77777777" w:rsidR="00761264" w:rsidRPr="00761264" w:rsidRDefault="00761264" w:rsidP="00761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16C9E9E" w14:textId="481152B7" w:rsidR="00761264" w:rsidRDefault="00761264" w:rsidP="007612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F2213" w14:textId="77777777" w:rsidR="00375530" w:rsidRDefault="00375530" w:rsidP="00761264">
      <w:pPr>
        <w:jc w:val="both"/>
      </w:pPr>
    </w:p>
    <w:p w14:paraId="7F0DE2F8" w14:textId="584ECF96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264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D15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(Try to frame the abstract in a single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paragraph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consisting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of more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precise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information about the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study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  <w:r w:rsidR="00D15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BE2FD3" w14:textId="0E2DABEA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Objective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To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evaluate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antiparasitic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efficacy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r w:rsidRPr="00D15B9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Azadirachta </w:t>
      </w:r>
      <w:proofErr w:type="spellStart"/>
      <w:r w:rsidRPr="00D15B9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indica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leaf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powder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against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coccidia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its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impact on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growth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performance of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broiler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chickens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, in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comparison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with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chemical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anticoccidial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drug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579B0D6" w14:textId="599514CB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Study</w:t>
      </w:r>
      <w:proofErr w:type="spellEnd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design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Controlled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randomized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experimental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trial.</w:t>
      </w:r>
    </w:p>
    <w:p w14:paraId="6A27C569" w14:textId="39AB1E63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Study</w:t>
      </w:r>
      <w:proofErr w:type="spellEnd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location and duration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Ecology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Research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Centre (CRE), Abidjan, Côte d'Ivoire,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from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June 1 to July 6, 2023.</w:t>
      </w:r>
    </w:p>
    <w:p w14:paraId="3DE41E2C" w14:textId="594606D1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Methodology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Two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hundred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forty-eight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Cobb 500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chicks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were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divided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into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8 groups of 31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subjects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at 14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days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age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. Group R0 (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negative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control)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received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no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treatment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. Group R1 (positive control)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received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 commercial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anticoccidial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. Groups R2 to R7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received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neem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leaf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powder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at doses of 1% or 2%,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incorporated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into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feed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(R2, R6),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drinking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water (R3, R5), or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both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(R4, R7). Parasite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load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(OPG)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was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assessed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by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weekly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coproscopy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(Mac Master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method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).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Growth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parameters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feed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and water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intake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average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daily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gain,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feed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conversion ratio,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carcass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yield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mortality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were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monitored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until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day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49. Data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were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analyzed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using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Tukey's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HSD test and the Chi² test.</w:t>
      </w:r>
    </w:p>
    <w:p w14:paraId="46A4C3D0" w14:textId="474668BB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Results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mean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parasite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load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R0 (235.5±205 OPG)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was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higher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than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that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all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other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groups (P &lt; </w:t>
      </w:r>
      <w:r w:rsidR="000127AC" w:rsidRPr="00D15B9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.001). No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significant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difference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was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observed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between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load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R1 (40±29.5 OPG) and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that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of the neem-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treated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groups (values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ranging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from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29.25±15.7 to 41±38.5 OPG) (P &gt; 0.05). None of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growth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parameters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average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daily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gain,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feed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conversion ratio,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carcass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yield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nor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water or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feed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intake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differed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significantly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between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the neem-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treated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groups and the control groups (R0 and R1) (P &gt; 0.05). The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highest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mortality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rate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was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recorded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in group R0 (13.33%).</w:t>
      </w:r>
    </w:p>
    <w:p w14:paraId="1B238D7B" w14:textId="62504EC3" w:rsidR="00761264" w:rsidRPr="00D15B9F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Conclusion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Neem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leaf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powder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, at doses up to 2%, has comparable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efficacy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to a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chemical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anticoccidial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controlling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coccidia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in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broiler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chickens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with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no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deleterious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effect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on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their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growth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performance. It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constitutes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promising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phytotherapeutic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alternative.</w:t>
      </w:r>
    </w:p>
    <w:p w14:paraId="573A1101" w14:textId="20226383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Keywords</w:t>
      </w:r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r w:rsidRPr="00D15B9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Azadirachta </w:t>
      </w:r>
      <w:proofErr w:type="spellStart"/>
      <w:r w:rsidRPr="00D15B9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indica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;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Broiler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chicken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;</w:t>
      </w:r>
      <w:proofErr w:type="gram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Coccidiosis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; Natural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anticoccidial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Growth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 xml:space="preserve"> performance; </w:t>
      </w:r>
      <w:proofErr w:type="spellStart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Phytotherapy</w:t>
      </w:r>
      <w:proofErr w:type="spellEnd"/>
      <w:r w:rsidRPr="00D15B9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9AB29AE" w14:textId="77777777" w:rsidR="00761264" w:rsidRDefault="00761264" w:rsidP="00761264"/>
    <w:p w14:paraId="666ADBA4" w14:textId="7FA227F5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8AF0416" w14:textId="77777777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Modern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 essential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pillar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animal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[1]. In Côte d'Ivoire,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60%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production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 major source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[2, 3].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hindered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constraints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parasitic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high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morbidity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[4]. Control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relies on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excessive use poses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residues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[5].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alternatives,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as the use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plants,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0898B58C" w14:textId="151B925C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0127AC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(neem)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 plant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antifungal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immunomodulatory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[6, 7].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promoter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agent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[8, 9].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precise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data on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impact on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Ivorian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lacking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5B648D2C" w14:textId="1D48E056" w:rsidR="000127AC" w:rsidRPr="00D15B9F" w:rsidRDefault="00761264" w:rsidP="00D15B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objective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resorting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and/or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water on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oocysts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on the main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  <w:r w:rsidR="00D15B9F">
        <w:rPr>
          <w:rFonts w:ascii="Times New Roman" w:hAnsi="Times New Roman" w:cs="Times New Roman"/>
          <w:sz w:val="24"/>
          <w:szCs w:val="24"/>
        </w:rPr>
        <w:t xml:space="preserve"> </w:t>
      </w:r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Add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more information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related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to the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properties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of neem and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its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products</w:t>
      </w:r>
      <w:proofErr w:type="spellEnd"/>
      <w:r w:rsidR="00D15B9F" w:rsidRPr="00D15B9F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406BBCB9" w14:textId="63A91A27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</w:p>
    <w:p w14:paraId="603A49F4" w14:textId="39DE5CFD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proofErr w:type="spellStart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 area</w:t>
      </w:r>
    </w:p>
    <w:p w14:paraId="60C4673A" w14:textId="421029E0" w:rsidR="00761264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The trial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place at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Centre (CRE)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commune of Treichville in Abidjan, Côte d'Ivoire (</w:t>
      </w:r>
      <w:proofErr w:type="spellStart"/>
      <w:proofErr w:type="gramStart"/>
      <w:r w:rsidRPr="000127AC">
        <w:rPr>
          <w:rFonts w:ascii="Times New Roman" w:hAnsi="Times New Roman" w:cs="Times New Roman"/>
          <w:sz w:val="24"/>
          <w:szCs w:val="24"/>
        </w:rPr>
        <w:t>coordinates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127AC">
        <w:rPr>
          <w:rFonts w:ascii="Times New Roman" w:hAnsi="Times New Roman" w:cs="Times New Roman"/>
          <w:sz w:val="24"/>
          <w:szCs w:val="24"/>
        </w:rPr>
        <w:t xml:space="preserve"> 5.312°N, 4.002°W)</w:t>
      </w:r>
      <w:r w:rsidR="00DB421B">
        <w:rPr>
          <w:rFonts w:ascii="Times New Roman" w:hAnsi="Times New Roman" w:cs="Times New Roman"/>
          <w:sz w:val="24"/>
          <w:szCs w:val="24"/>
        </w:rPr>
        <w:t xml:space="preserve"> (Figure 1)</w:t>
      </w:r>
      <w:r w:rsidRPr="000127AC">
        <w:rPr>
          <w:rFonts w:ascii="Times New Roman" w:hAnsi="Times New Roman" w:cs="Times New Roman"/>
          <w:sz w:val="24"/>
          <w:szCs w:val="24"/>
        </w:rPr>
        <w:t xml:space="preserve">. The area has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tropical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012347C0" w14:textId="41844E44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656B" w14:textId="3A0E9A55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5C62C9" wp14:editId="41443138">
            <wp:extent cx="5920028" cy="52578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24" cy="527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3FDBB" w14:textId="72FFB885" w:rsidR="00A8244B" w:rsidRPr="00F70D92" w:rsidRDefault="00F70D92" w:rsidP="00F70D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Figure 1 :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 area</w:t>
      </w:r>
    </w:p>
    <w:p w14:paraId="71B90FB4" w14:textId="70210483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70742" w14:textId="77777777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5349" w14:textId="77777777" w:rsidR="00A8244B" w:rsidRPr="000127AC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5A593" w14:textId="40E3E362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Animals, distribution, and </w:t>
      </w:r>
      <w:proofErr w:type="spellStart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housing</w:t>
      </w:r>
      <w:proofErr w:type="spellEnd"/>
    </w:p>
    <w:p w14:paraId="0F6E188C" w14:textId="092A42FF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forty-eight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(248) Cobb 500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aged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0127AC" w:rsidRPr="000127AC">
        <w:rPr>
          <w:rFonts w:ascii="Times New Roman" w:hAnsi="Times New Roman" w:cs="Times New Roman"/>
          <w:sz w:val="24"/>
          <w:szCs w:val="24"/>
        </w:rPr>
        <w:t xml:space="preserve"> </w:t>
      </w:r>
      <w:r w:rsidRPr="000127AC">
        <w:rPr>
          <w:rFonts w:ascii="Times New Roman" w:hAnsi="Times New Roman" w:cs="Times New Roman"/>
          <w:sz w:val="24"/>
          <w:szCs w:val="24"/>
        </w:rPr>
        <w:t xml:space="preserve">identification by leg ring,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weighed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randomly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8 groups of 31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initial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group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housed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 area of 3.1 m² (Figure 2).</w:t>
      </w:r>
    </w:p>
    <w:p w14:paraId="43D16DEF" w14:textId="15B4E4DB" w:rsidR="00F70D92" w:rsidRDefault="00F70D92" w:rsidP="00F70D92">
      <w:pPr>
        <w:spacing w:after="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AF6EC84" wp14:editId="6531E08B">
            <wp:extent cx="3955962" cy="243840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634" cy="244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352B9" w14:textId="637110C3" w:rsidR="00F70D92" w:rsidRPr="00D8532A" w:rsidRDefault="00F70D92" w:rsidP="00F70D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32A">
        <w:rPr>
          <w:rFonts w:ascii="Times New Roman" w:hAnsi="Times New Roman" w:cs="Times New Roman"/>
          <w:b/>
          <w:bCs/>
          <w:sz w:val="24"/>
          <w:szCs w:val="24"/>
        </w:rPr>
        <w:t xml:space="preserve">Figure 2 :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Grouping</w:t>
      </w:r>
      <w:proofErr w:type="spellEnd"/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chicks</w:t>
      </w:r>
      <w:proofErr w:type="spellEnd"/>
    </w:p>
    <w:p w14:paraId="6739686F" w14:textId="77777777" w:rsidR="00F70D92" w:rsidRDefault="00F70D92" w:rsidP="00F70D92">
      <w:pPr>
        <w:pStyle w:val="Heading2"/>
        <w:numPr>
          <w:ilvl w:val="0"/>
          <w:numId w:val="0"/>
        </w:numPr>
        <w:ind w:left="576" w:hanging="576"/>
      </w:pPr>
    </w:p>
    <w:p w14:paraId="43B75E63" w14:textId="175DB338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Diets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proofErr w:type="spellEnd"/>
    </w:p>
    <w:p w14:paraId="3EE36261" w14:textId="3E2DB1F0" w:rsidR="00761264" w:rsidRPr="00DB421B" w:rsidRDefault="00761264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a commercial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Koudijs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)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 starter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crumbs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14 to 22,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grower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(pellets)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49. Water and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ad libitum.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</w:t>
      </w:r>
    </w:p>
    <w:p w14:paraId="5F43E037" w14:textId="6C9F813B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R0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control (no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, no neem).</w:t>
      </w:r>
    </w:p>
    <w:p w14:paraId="206E10F9" w14:textId="58CCB3A9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R1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 Positive control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commercial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neem).</w:t>
      </w:r>
    </w:p>
    <w:p w14:paraId="15A89437" w14:textId="09E62370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R2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74532ACE" w14:textId="1DD0F9EB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R3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water + 1%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D525ACC" w14:textId="11A9C8F4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R4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Water,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50FA0738" w14:textId="35DB60DF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R5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water + 2%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017A39E" w14:textId="3C202154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R6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04EE0C5" w14:textId="7DA0D5F3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R7</w:t>
      </w:r>
      <w:r w:rsid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Water,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6D1189AE" w14:textId="77777777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F0ACD" w14:textId="77777777" w:rsidR="00F70D92" w:rsidRDefault="00F70D9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BC72E" w14:textId="27FAC451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Parasite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</w:p>
    <w:p w14:paraId="6B859CA3" w14:textId="0771ACB8" w:rsidR="000B4CBB" w:rsidRDefault="00761264" w:rsidP="00DB421B">
      <w:pPr>
        <w:spacing w:line="360" w:lineRule="auto"/>
        <w:jc w:val="both"/>
      </w:pP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(30g</w:t>
      </w:r>
      <w:r w:rsidR="00AE77C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AE77C0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per group and analyzed at the Central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Bingerville (LCVB)</w:t>
      </w:r>
      <w:r w:rsidR="00820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quantitative Mac Master technique [10] to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oocyst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(OPG)</w:t>
      </w:r>
      <w:r w:rsidR="00E03C6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a</w:t>
      </w:r>
      <w:r w:rsidR="00E03C6A" w:rsidRPr="00E03C6A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="00E03C6A" w:rsidRP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 w:rsidRPr="00E03C6A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820A7C" w:rsidRPr="00820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A7C" w:rsidRPr="00820A7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820A7C" w:rsidRPr="00820A7C">
        <w:rPr>
          <w:rFonts w:ascii="Times New Roman" w:hAnsi="Times New Roman" w:cs="Times New Roman"/>
          <w:sz w:val="24"/>
          <w:szCs w:val="24"/>
        </w:rPr>
        <w:t xml:space="preserve"> to the standard formula</w:t>
      </w:r>
      <w:r w:rsidR="00820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A7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820A7C">
        <w:rPr>
          <w:rFonts w:ascii="Times New Roman" w:hAnsi="Times New Roman" w:cs="Times New Roman"/>
          <w:sz w:val="24"/>
          <w:szCs w:val="24"/>
        </w:rPr>
        <w:t> :</w:t>
      </w:r>
      <w:r w:rsidR="00E03C6A" w:rsidRPr="00E03C6A">
        <w:t xml:space="preserve"> </w:t>
      </w:r>
    </w:p>
    <w:p w14:paraId="3D355E4A" w14:textId="30552E11" w:rsidR="00761264" w:rsidRDefault="000B4CBB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03C6A" w:rsidRPr="00E03C6A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="00E03C6A" w:rsidRP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 w:rsidRPr="00E03C6A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OPG in a batch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in the batch</w:t>
      </w:r>
    </w:p>
    <w:p w14:paraId="6130972F" w14:textId="77777777" w:rsidR="00F70D92" w:rsidRDefault="00F70D9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46D58" w14:textId="666183B7" w:rsidR="00846FCD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.5.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zootechnical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parameters</w:t>
      </w:r>
      <w:proofErr w:type="spellEnd"/>
    </w:p>
    <w:p w14:paraId="05AC281C" w14:textId="070966CA" w:rsidR="00C20958" w:rsidRPr="00C20958" w:rsidRDefault="00C20958" w:rsidP="00C20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58">
        <w:rPr>
          <w:rFonts w:ascii="Times New Roman" w:hAnsi="Times New Roman" w:cs="Times New Roman"/>
          <w:sz w:val="24"/>
          <w:szCs w:val="24"/>
        </w:rPr>
        <w:t xml:space="preserve">Daily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and water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the 49th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958">
        <w:rPr>
          <w:rFonts w:ascii="Times New Roman" w:hAnsi="Times New Roman" w:cs="Times New Roman"/>
          <w:sz w:val="24"/>
          <w:szCs w:val="24"/>
        </w:rPr>
        <w:t>:</w:t>
      </w:r>
    </w:p>
    <w:p w14:paraId="4AF6A5C4" w14:textId="6D644821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58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20958">
        <w:rPr>
          <w:rFonts w:ascii="Times New Roman" w:hAnsi="Times New Roman" w:cs="Times New Roman"/>
          <w:sz w:val="24"/>
          <w:szCs w:val="24"/>
        </w:rPr>
        <w:t>ntake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(WI)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Water Distributed –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Water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1A5BE00F" w14:textId="3CAF1AE6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20958">
        <w:rPr>
          <w:rFonts w:ascii="Times New Roman" w:hAnsi="Times New Roman" w:cs="Times New Roman"/>
          <w:sz w:val="24"/>
          <w:szCs w:val="24"/>
        </w:rPr>
        <w:t>ntake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(FI)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Distributed –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082BAA50" w14:textId="015CAE1B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0958">
        <w:rPr>
          <w:rFonts w:ascii="Times New Roman" w:hAnsi="Times New Roman" w:cs="Times New Roman"/>
          <w:sz w:val="24"/>
          <w:szCs w:val="24"/>
        </w:rPr>
        <w:t xml:space="preserve">aily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20958">
        <w:rPr>
          <w:rFonts w:ascii="Times New Roman" w:hAnsi="Times New Roman" w:cs="Times New Roman"/>
          <w:sz w:val="24"/>
          <w:szCs w:val="24"/>
        </w:rPr>
        <w:t xml:space="preserve">ain (ADG) = (Final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– Initial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4FB1090C" w14:textId="4D643B7E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0958">
        <w:rPr>
          <w:rFonts w:ascii="Times New Roman" w:hAnsi="Times New Roman" w:cs="Times New Roman"/>
          <w:sz w:val="24"/>
          <w:szCs w:val="24"/>
        </w:rPr>
        <w:t xml:space="preserve">onversion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0958">
        <w:rPr>
          <w:rFonts w:ascii="Times New Roman" w:hAnsi="Times New Roman" w:cs="Times New Roman"/>
          <w:sz w:val="24"/>
          <w:szCs w:val="24"/>
        </w:rPr>
        <w:t xml:space="preserve">atio (FCR)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gain ;</w:t>
      </w:r>
    </w:p>
    <w:p w14:paraId="140BB98E" w14:textId="74807143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Pr="00C20958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(CY, %) =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Live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slaughter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) × 100 ;</w:t>
      </w:r>
    </w:p>
    <w:p w14:paraId="671A3606" w14:textId="7A19979D" w:rsidR="00DB421B" w:rsidRP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0958">
        <w:rPr>
          <w:rFonts w:ascii="Times New Roman" w:hAnsi="Times New Roman" w:cs="Times New Roman"/>
          <w:sz w:val="24"/>
          <w:szCs w:val="24"/>
        </w:rPr>
        <w:t>ate (MR, %) =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Initial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) × 100.</w:t>
      </w:r>
    </w:p>
    <w:p w14:paraId="50AC7C40" w14:textId="77777777" w:rsidR="00C20958" w:rsidRDefault="00C20958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45FE" w14:textId="10DE1F08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.6.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Statistical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64" w:rsidRPr="00D15B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analyses</w:t>
      </w:r>
    </w:p>
    <w:p w14:paraId="61EC783E" w14:textId="5BFB44D9" w:rsidR="00761264" w:rsidRPr="00DB421B" w:rsidRDefault="00761264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B9F">
        <w:rPr>
          <w:rFonts w:ascii="Times New Roman" w:hAnsi="Times New Roman" w:cs="Times New Roman"/>
          <w:sz w:val="24"/>
          <w:szCs w:val="24"/>
          <w:highlight w:val="yellow"/>
        </w:rPr>
        <w:t>Analyses</w:t>
      </w:r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SPSS version 20 software.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quantitative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(OPG, </w:t>
      </w:r>
      <w:r w:rsidR="00C20958">
        <w:rPr>
          <w:rFonts w:ascii="Times New Roman" w:hAnsi="Times New Roman" w:cs="Times New Roman"/>
          <w:sz w:val="24"/>
          <w:szCs w:val="24"/>
        </w:rPr>
        <w:t>FI</w:t>
      </w:r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r w:rsidR="00C20958">
        <w:rPr>
          <w:rFonts w:ascii="Times New Roman" w:hAnsi="Times New Roman" w:cs="Times New Roman"/>
          <w:sz w:val="24"/>
          <w:szCs w:val="24"/>
        </w:rPr>
        <w:t>WI</w:t>
      </w:r>
      <w:r w:rsidRPr="00DB421B">
        <w:rPr>
          <w:rFonts w:ascii="Times New Roman" w:hAnsi="Times New Roman" w:cs="Times New Roman"/>
          <w:sz w:val="24"/>
          <w:szCs w:val="24"/>
        </w:rPr>
        <w:t xml:space="preserve">, ADG, FCR)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variance (ANOVA)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Tukey's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HSD post-hoc test. Percentages (CY, </w:t>
      </w:r>
      <w:r w:rsidR="00C20958">
        <w:rPr>
          <w:rFonts w:ascii="Times New Roman" w:hAnsi="Times New Roman" w:cs="Times New Roman"/>
          <w:sz w:val="24"/>
          <w:szCs w:val="24"/>
        </w:rPr>
        <w:t>MR</w:t>
      </w:r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Chi² test.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set at P &lt; 0.05.</w:t>
      </w:r>
    </w:p>
    <w:p w14:paraId="47CDD9E2" w14:textId="77777777" w:rsidR="00761264" w:rsidRDefault="00761264" w:rsidP="00761264"/>
    <w:p w14:paraId="3F2C9A81" w14:textId="0C118132" w:rsidR="00761264" w:rsidRPr="00A8244B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>RESULTS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14:paraId="16CAAF19" w14:textId="4AF6D540" w:rsidR="00E645B2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2875014F" w14:textId="5506D5A5" w:rsidR="00761264" w:rsidRPr="00A8244B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 xml:space="preserve">Parasite </w:t>
      </w:r>
      <w:proofErr w:type="spellStart"/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 xml:space="preserve"> (OPG)</w:t>
      </w:r>
    </w:p>
    <w:p w14:paraId="7EC09C3D" w14:textId="08D11275" w:rsidR="00761264" w:rsidRPr="00A8244B" w:rsidRDefault="00761264" w:rsidP="00A82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44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oocysts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Table </w:t>
      </w:r>
      <w:r w:rsidR="00F70D92">
        <w:rPr>
          <w:rFonts w:ascii="Times New Roman" w:hAnsi="Times New Roman" w:cs="Times New Roman"/>
          <w:sz w:val="24"/>
          <w:szCs w:val="24"/>
        </w:rPr>
        <w:t>1</w:t>
      </w:r>
      <w:r w:rsidRPr="00A8244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group R0 (235.5 ± 205 OPG),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groups (P &lt; 0.001). No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group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commercial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(R1</w:t>
      </w:r>
      <w:r w:rsidR="00A8244B">
        <w:rPr>
          <w:rFonts w:ascii="Times New Roman" w:hAnsi="Times New Roman" w:cs="Times New Roman"/>
          <w:sz w:val="24"/>
          <w:szCs w:val="24"/>
        </w:rPr>
        <w:t xml:space="preserve"> </w:t>
      </w:r>
      <w:r w:rsidRPr="00A8244B">
        <w:rPr>
          <w:rFonts w:ascii="Times New Roman" w:hAnsi="Times New Roman" w:cs="Times New Roman"/>
          <w:sz w:val="24"/>
          <w:szCs w:val="24"/>
        </w:rPr>
        <w:t>: 40 ±</w:t>
      </w:r>
      <w:r w:rsidR="00A8244B">
        <w:rPr>
          <w:rFonts w:ascii="Times New Roman" w:hAnsi="Times New Roman" w:cs="Times New Roman"/>
          <w:sz w:val="24"/>
          <w:szCs w:val="24"/>
        </w:rPr>
        <w:t xml:space="preserve"> </w:t>
      </w:r>
      <w:r w:rsidRPr="00A8244B">
        <w:rPr>
          <w:rFonts w:ascii="Times New Roman" w:hAnsi="Times New Roman" w:cs="Times New Roman"/>
          <w:sz w:val="24"/>
          <w:szCs w:val="24"/>
        </w:rPr>
        <w:t xml:space="preserve">29.5 OPG) and the groups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neem (R2 to R7),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ranged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29.25 ± 15.7 to 41 ± 38.5 OPG (P &gt; 0.05). 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(Figure 3)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a drop in OPG in groups R1 to R7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contrasting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high and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group R0.</w:t>
      </w:r>
      <w:r w:rsidR="00D15B9F">
        <w:rPr>
          <w:rFonts w:ascii="Times New Roman" w:hAnsi="Times New Roman" w:cs="Times New Roman"/>
          <w:sz w:val="24"/>
          <w:szCs w:val="24"/>
        </w:rPr>
        <w:t xml:space="preserve"> </w:t>
      </w:r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proofErr w:type="spellStart"/>
      <w:proofErr w:type="gramStart"/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try</w:t>
      </w:r>
      <w:proofErr w:type="spellEnd"/>
      <w:proofErr w:type="gramEnd"/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to support </w:t>
      </w:r>
      <w:proofErr w:type="spellStart"/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your</w:t>
      </w:r>
      <w:proofErr w:type="spellEnd"/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15B9F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results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with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some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other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studies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as a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part of discussion)</w:t>
      </w:r>
    </w:p>
    <w:tbl>
      <w:tblPr>
        <w:tblpPr w:leftFromText="141" w:rightFromText="141" w:vertAnchor="text" w:horzAnchor="margin" w:tblpY="897"/>
        <w:tblW w:w="9598" w:type="dxa"/>
        <w:tblLook w:val="04A0" w:firstRow="1" w:lastRow="0" w:firstColumn="1" w:lastColumn="0" w:noHBand="0" w:noVBand="1"/>
      </w:tblPr>
      <w:tblGrid>
        <w:gridCol w:w="1292"/>
        <w:gridCol w:w="1162"/>
        <w:gridCol w:w="942"/>
        <w:gridCol w:w="942"/>
        <w:gridCol w:w="942"/>
        <w:gridCol w:w="942"/>
        <w:gridCol w:w="1217"/>
        <w:gridCol w:w="1217"/>
        <w:gridCol w:w="942"/>
      </w:tblGrid>
      <w:tr w:rsidR="001D5872" w:rsidRPr="00383FD0" w14:paraId="400B48B7" w14:textId="77777777" w:rsidTr="001D5872">
        <w:tc>
          <w:tcPr>
            <w:tcW w:w="0" w:type="auto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8EC131A" w14:textId="58B7873F" w:rsidR="001D5872" w:rsidRPr="00383FD0" w:rsidRDefault="00361F26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Diet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13A5B66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R0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57531489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R1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947AF6D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R2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3E21B267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DC5F009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R4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1D96623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R5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D427C6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R6</w:t>
            </w:r>
          </w:p>
        </w:tc>
        <w:tc>
          <w:tcPr>
            <w:tcW w:w="942" w:type="dxa"/>
            <w:tcBorders>
              <w:top w:val="single" w:sz="18" w:space="0" w:color="000000"/>
              <w:bottom w:val="single" w:sz="12" w:space="0" w:color="000000"/>
            </w:tcBorders>
          </w:tcPr>
          <w:p w14:paraId="6AAB132B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R7</w:t>
            </w:r>
          </w:p>
        </w:tc>
      </w:tr>
      <w:tr w:rsidR="001D5872" w:rsidRPr="00383FD0" w14:paraId="0CC34210" w14:textId="77777777" w:rsidTr="001D5872">
        <w:tc>
          <w:tcPr>
            <w:tcW w:w="0" w:type="auto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16422" w14:textId="4D676A3B" w:rsidR="001D5872" w:rsidRPr="00383FD0" w:rsidRDefault="00361F26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1F26">
              <w:rPr>
                <w:rFonts w:ascii="Times New Roman" w:eastAsia="Times New Roman" w:hAnsi="Times New Roman" w:cs="Times New Roman"/>
                <w:b/>
              </w:rPr>
              <w:t>Average</w:t>
            </w:r>
            <w:proofErr w:type="spellEnd"/>
            <w:r w:rsidRPr="00361F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1F26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361F26">
              <w:rPr>
                <w:rFonts w:ascii="Times New Roman" w:eastAsia="Times New Roman" w:hAnsi="Times New Roman" w:cs="Times New Roman"/>
                <w:b/>
              </w:rPr>
              <w:t xml:space="preserve"> of OPG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69B230D" w14:textId="3A2FF336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235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5±205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89C7420" w14:textId="03E1C7B2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40±29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351FD7A0" w14:textId="08291AB9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35±26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219FF376" w14:textId="226C2DAF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41±38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104BC3A5" w14:textId="391B74C8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39±33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59D593F" w14:textId="67EE148F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29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25±15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075AA97" w14:textId="52E9442B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37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25±28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42" w:type="dxa"/>
            <w:tcBorders>
              <w:top w:val="single" w:sz="12" w:space="0" w:color="000000"/>
              <w:bottom w:val="single" w:sz="18" w:space="0" w:color="000000"/>
            </w:tcBorders>
          </w:tcPr>
          <w:p w14:paraId="7D1E417D" w14:textId="372C16FA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32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±19</w:t>
            </w:r>
          </w:p>
        </w:tc>
      </w:tr>
    </w:tbl>
    <w:p w14:paraId="549177D0" w14:textId="4B5C15C7" w:rsidR="00761264" w:rsidRPr="001D5872" w:rsidRDefault="00761264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70D92" w:rsidRPr="001D58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Mean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parasite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(OPG,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mean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± standard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deviation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dietary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treatment</w:t>
      </w:r>
      <w:proofErr w:type="spellEnd"/>
    </w:p>
    <w:p w14:paraId="5B85E24F" w14:textId="2EC8BF28" w:rsidR="00D7286D" w:rsidRPr="001D5872" w:rsidRDefault="001D5872" w:rsidP="007612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Values on the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bearing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(a, b) are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(P &lt; 0.05).</w:t>
      </w:r>
    </w:p>
    <w:p w14:paraId="7014A9E0" w14:textId="405673EB" w:rsidR="00361F26" w:rsidRDefault="00361F26" w:rsidP="00361F26">
      <w:pPr>
        <w:spacing w:before="240" w:line="360" w:lineRule="auto"/>
        <w:jc w:val="center"/>
        <w:rPr>
          <w:noProof/>
        </w:rPr>
      </w:pPr>
    </w:p>
    <w:p w14:paraId="4FA9D344" w14:textId="77777777" w:rsidR="00361F26" w:rsidRDefault="00361F26" w:rsidP="00361F26">
      <w:pPr>
        <w:spacing w:before="240" w:line="360" w:lineRule="auto"/>
        <w:jc w:val="center"/>
        <w:rPr>
          <w:noProof/>
        </w:rPr>
      </w:pPr>
    </w:p>
    <w:p w14:paraId="40FD2881" w14:textId="58EF5174" w:rsidR="00361F26" w:rsidRDefault="00361F26" w:rsidP="00361F26">
      <w:pPr>
        <w:spacing w:before="240" w:line="360" w:lineRule="auto"/>
        <w:jc w:val="center"/>
        <w:rPr>
          <w:noProof/>
        </w:rPr>
      </w:pPr>
      <w:r w:rsidRPr="00940264">
        <w:rPr>
          <w:noProof/>
        </w:rPr>
        <w:drawing>
          <wp:inline distT="0" distB="0" distL="0" distR="0" wp14:anchorId="3F3DCD63" wp14:editId="09133149">
            <wp:extent cx="4781550" cy="3657600"/>
            <wp:effectExtent l="0" t="0" r="0" b="0"/>
            <wp:docPr id="6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FF47CC" w14:textId="4793A54F" w:rsidR="001D5872" w:rsidRPr="00361F26" w:rsidRDefault="00361F26" w:rsidP="00361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26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: Evolution of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average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coccidia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loads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proofErr w:type="spellEnd"/>
    </w:p>
    <w:p w14:paraId="313D8A77" w14:textId="77777777" w:rsidR="001D5872" w:rsidRDefault="001D5872" w:rsidP="00761264"/>
    <w:p w14:paraId="2BF28395" w14:textId="77777777" w:rsidR="00C20958" w:rsidRDefault="00C20958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0611" w14:textId="263ED05C" w:rsidR="00761264" w:rsidRPr="0094608B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0449866"/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bookmarkEnd w:id="1"/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performance and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</w:p>
    <w:p w14:paraId="229507E3" w14:textId="36BEDF20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performance are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Tables </w:t>
      </w:r>
      <w:r w:rsidR="009B2F2D">
        <w:rPr>
          <w:rFonts w:ascii="Times New Roman" w:hAnsi="Times New Roman" w:cs="Times New Roman"/>
          <w:sz w:val="24"/>
          <w:szCs w:val="24"/>
        </w:rPr>
        <w:t>2</w:t>
      </w:r>
      <w:r w:rsidRPr="0094608B">
        <w:rPr>
          <w:rFonts w:ascii="Times New Roman" w:hAnsi="Times New Roman" w:cs="Times New Roman"/>
          <w:sz w:val="24"/>
          <w:szCs w:val="24"/>
        </w:rPr>
        <w:t xml:space="preserve"> to </w:t>
      </w:r>
      <w:r w:rsidR="009B2F2D">
        <w:rPr>
          <w:rFonts w:ascii="Times New Roman" w:hAnsi="Times New Roman" w:cs="Times New Roman"/>
          <w:sz w:val="24"/>
          <w:szCs w:val="24"/>
        </w:rPr>
        <w:t>5</w:t>
      </w:r>
      <w:r w:rsidRPr="0094608B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(P &gt; 0.05)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 for all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trial</w:t>
      </w:r>
      <w:r w:rsidR="00715F71">
        <w:rPr>
          <w:rFonts w:ascii="Times New Roman" w:hAnsi="Times New Roman" w:cs="Times New Roman"/>
          <w:sz w:val="24"/>
          <w:szCs w:val="24"/>
        </w:rPr>
        <w:t>.</w:t>
      </w:r>
    </w:p>
    <w:p w14:paraId="4082BC62" w14:textId="33961DBE" w:rsidR="00715F71" w:rsidRPr="00E645B2" w:rsidRDefault="00E645B2" w:rsidP="00E64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Feed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F5B5F" w:rsidRPr="00E645B2">
        <w:rPr>
          <w:rFonts w:ascii="Times New Roman" w:hAnsi="Times New Roman" w:cs="Times New Roman"/>
          <w:b/>
          <w:bCs/>
          <w:sz w:val="24"/>
          <w:szCs w:val="24"/>
        </w:rPr>
        <w:t>FI</w:t>
      </w:r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) and water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F5B5F" w:rsidRPr="00E645B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CD1C80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4E736" w14:textId="500FA356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lastRenderedPageBreak/>
        <w:t>Weekly ingestion profiles</w:t>
      </w:r>
      <w:r w:rsidR="00715F71">
        <w:rPr>
          <w:rFonts w:ascii="Times New Roman" w:hAnsi="Times New Roman" w:cs="Times New Roman"/>
          <w:sz w:val="24"/>
          <w:szCs w:val="24"/>
        </w:rPr>
        <w:t xml:space="preserve"> of</w:t>
      </w:r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f</w:t>
      </w:r>
      <w:r w:rsidR="00715F71" w:rsidRPr="00715F71">
        <w:rPr>
          <w:rFonts w:ascii="Times New Roman" w:hAnsi="Times New Roman" w:cs="Times New Roman"/>
          <w:sz w:val="24"/>
          <w:szCs w:val="24"/>
        </w:rPr>
        <w:t>eed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</w:t>
      </w:r>
      <w:r w:rsidR="00715F71" w:rsidRPr="00715F71">
        <w:rPr>
          <w:rFonts w:ascii="Times New Roman" w:hAnsi="Times New Roman" w:cs="Times New Roman"/>
          <w:sz w:val="24"/>
          <w:szCs w:val="24"/>
        </w:rPr>
        <w:t xml:space="preserve">(Table 2)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groups</w:t>
      </w:r>
      <w:r w:rsidR="00715F71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for</w:t>
      </w:r>
      <w:r w:rsidR="00715F71" w:rsidRPr="00715F71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0449072"/>
      <w:r w:rsidRPr="0094608B">
        <w:rPr>
          <w:rFonts w:ascii="Times New Roman" w:hAnsi="Times New Roman" w:cs="Times New Roman"/>
          <w:sz w:val="24"/>
          <w:szCs w:val="24"/>
        </w:rPr>
        <w:t xml:space="preserve">(Table </w:t>
      </w:r>
      <w:r w:rsidR="009B2F2D">
        <w:rPr>
          <w:rFonts w:ascii="Times New Roman" w:hAnsi="Times New Roman" w:cs="Times New Roman"/>
          <w:sz w:val="24"/>
          <w:szCs w:val="24"/>
        </w:rPr>
        <w:t>3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bookmarkEnd w:id="2"/>
    <w:p w14:paraId="38D73C64" w14:textId="2F36E960" w:rsidR="00CD1C80" w:rsidRPr="00EC5B62" w:rsidRDefault="00CD1C80" w:rsidP="00CD1C80">
      <w:pPr>
        <w:pStyle w:val="Caption"/>
        <w:keepNext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9B2F2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Changes in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food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intake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of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chickens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according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to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proofErr w:type="spellEnd"/>
    </w:p>
    <w:tbl>
      <w:tblPr>
        <w:tblW w:w="9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976"/>
        <w:gridCol w:w="976"/>
        <w:gridCol w:w="976"/>
        <w:gridCol w:w="983"/>
        <w:gridCol w:w="944"/>
        <w:gridCol w:w="944"/>
        <w:gridCol w:w="983"/>
        <w:gridCol w:w="944"/>
        <w:gridCol w:w="944"/>
      </w:tblGrid>
      <w:tr w:rsidR="00CD1C80" w:rsidRPr="005354E3" w14:paraId="73110509" w14:textId="77777777" w:rsidTr="00591CA6">
        <w:trPr>
          <w:trHeight w:val="306"/>
          <w:jc w:val="center"/>
        </w:trPr>
        <w:tc>
          <w:tcPr>
            <w:tcW w:w="10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34A577" w14:textId="1288D25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(Days)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C979A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10D2D2" w14:textId="13E1F39F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CD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AMOUNT OF FOOD CONSUMED (g)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74C75D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P- value</w:t>
            </w:r>
          </w:p>
        </w:tc>
      </w:tr>
      <w:tr w:rsidR="00CD1C80" w:rsidRPr="005354E3" w14:paraId="577F1B3B" w14:textId="77777777" w:rsidTr="00591CA6">
        <w:trPr>
          <w:trHeight w:val="283"/>
          <w:jc w:val="center"/>
        </w:trPr>
        <w:tc>
          <w:tcPr>
            <w:tcW w:w="10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FB2AB2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A1D564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R0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84385E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733C39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A3AE3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1EAB0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51BB6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E4CA51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325DEA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7</w:t>
            </w:r>
          </w:p>
        </w:tc>
        <w:tc>
          <w:tcPr>
            <w:tcW w:w="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49C7B5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</w:tr>
      <w:tr w:rsidR="00CD1C80" w:rsidRPr="005354E3" w14:paraId="174B90C3" w14:textId="77777777" w:rsidTr="00591CA6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9447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4C92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598.95±</w:t>
            </w:r>
          </w:p>
          <w:p w14:paraId="05FB62A5" w14:textId="1015C3E4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65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4131C" w14:textId="20C11042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580.03± 17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ã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D15E" w14:textId="75015DAD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593.95±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5E5D3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600.87±</w:t>
            </w:r>
          </w:p>
          <w:p w14:paraId="17BED866" w14:textId="2FA826B9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08791" w14:textId="22C7964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585.85± 13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763B" w14:textId="40AE03C5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577± 13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D83E2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570.87±</w:t>
            </w:r>
          </w:p>
          <w:p w14:paraId="308955C3" w14:textId="0B575E7D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BD975" w14:textId="30CFFA49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569.94± 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21926" w14:textId="59A50433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43757CD7" w14:textId="77777777" w:rsidTr="00591CA6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4708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J28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ACE9B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612.43±</w:t>
            </w:r>
          </w:p>
          <w:p w14:paraId="48F4DBD6" w14:textId="27818AF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48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7E2D" w14:textId="7F812385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615.23± 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7199" w14:textId="5851257B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620.58± 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5A7C3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625.51±</w:t>
            </w:r>
          </w:p>
          <w:p w14:paraId="3041D1FC" w14:textId="67A65B8C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8AD5" w14:textId="0EA9320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618.03±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08DC" w14:textId="42AE773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617.65±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8C6F3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602.61±</w:t>
            </w:r>
          </w:p>
          <w:p w14:paraId="5A5528C0" w14:textId="29A1DD8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2ABD" w14:textId="5C5C6C5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600.09±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5818" w14:textId="3A0422E1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607DD717" w14:textId="77777777" w:rsidTr="00591CA6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2212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B779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752.62±</w:t>
            </w:r>
          </w:p>
          <w:p w14:paraId="0F5179DF" w14:textId="0752C185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25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1C7B" w14:textId="6B80FBA6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762.31±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6490" w14:textId="1397B98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776.84±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0C5E6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790.74±</w:t>
            </w:r>
          </w:p>
          <w:p w14:paraId="57E4DD5F" w14:textId="161D400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D7708" w14:textId="3334E02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768.42±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2880" w14:textId="175241F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771.58±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91FD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760.62±</w:t>
            </w:r>
          </w:p>
          <w:p w14:paraId="344F7F70" w14:textId="48EA56C3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AE12" w14:textId="1F16EF01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758.16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AE631" w14:textId="2E9A1E33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690DC48B" w14:textId="77777777" w:rsidTr="00591CA6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7FC5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906A" w14:textId="579C2865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1047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03±</w:t>
            </w:r>
          </w:p>
          <w:p w14:paraId="22D42945" w14:textId="6638874F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13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1229" w14:textId="6866CEA6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53±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7D6B" w14:textId="33236BCD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1028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50±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597F" w14:textId="2EC3917D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1047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03±</w:t>
            </w:r>
          </w:p>
          <w:p w14:paraId="71DB3F11" w14:textId="6E3BE37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F589B" w14:textId="239E01D4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</w:t>
            </w:r>
          </w:p>
          <w:p w14:paraId="7EC6D54C" w14:textId="7480AACD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BE26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1020,90</w:t>
            </w:r>
          </w:p>
          <w:p w14:paraId="511873D2" w14:textId="5AEF3AF1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±2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2C16" w14:textId="23B3B39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1010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17F2" w14:textId="26B51CF3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1009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74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4B1F" w14:textId="5D9DF956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1ACD0CCD" w14:textId="77777777" w:rsidTr="00591CA6">
        <w:trPr>
          <w:trHeight w:val="556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F1FF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593E2" w14:textId="2660514B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829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 xml:space="preserve"> 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06±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32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7338C" w14:textId="442E829C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813,26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151A8" w14:textId="329FFA2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846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53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8507" w14:textId="754AA884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868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04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A4611" w14:textId="70CCB46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03±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E2ED" w14:textId="4F8F497A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821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758B" w14:textId="500C0B3B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97 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0800" w14:textId="7272AE91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54 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5ABCF" w14:textId="6E3B770C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5F53815D" w14:textId="77777777" w:rsidTr="00591CA6">
        <w:trPr>
          <w:trHeight w:val="556"/>
          <w:jc w:val="center"/>
        </w:trPr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70DDD4" w14:textId="0ECDE7B1" w:rsidR="00CD1C80" w:rsidRPr="005354E3" w:rsidRDefault="009B2F2D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Averages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FAE12F" w14:textId="77777777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768.02±</w:t>
            </w:r>
          </w:p>
          <w:p w14:paraId="669DB9BD" w14:textId="0D24514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4.22</w:t>
            </w:r>
            <w:r w:rsidR="00022F4D"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EB768E" w14:textId="577AC296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27± 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2FF8D5" w14:textId="02326C14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28±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69D5A7" w14:textId="77F40FF5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786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50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62C14" w14:textId="389A344F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99 ±5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45CEE4" w14:textId="29F29948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63±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1EC038" w14:textId="4FB3BDA1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01±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41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C0F173" w14:textId="7108B6DB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749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69±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FB78BC" w14:textId="26B45960" w:rsidR="00CD1C80" w:rsidRPr="005354E3" w:rsidRDefault="00CD1C80" w:rsidP="005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a.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45</w:t>
            </w:r>
          </w:p>
        </w:tc>
      </w:tr>
    </w:tbl>
    <w:p w14:paraId="15D516EF" w14:textId="34934E67" w:rsidR="00CD1C80" w:rsidRPr="0094608B" w:rsidRDefault="005403BB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values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with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same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letters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same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row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are not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significantly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different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(p&gt;0.05).</w:t>
      </w:r>
    </w:p>
    <w:p w14:paraId="3A4DEDF6" w14:textId="70DDA93F" w:rsidR="005403BB" w:rsidRPr="00DF57BD" w:rsidRDefault="00DF57BD" w:rsidP="005403BB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</w:pP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9B2F2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Water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consumption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by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860"/>
        <w:gridCol w:w="787"/>
        <w:gridCol w:w="859"/>
        <w:gridCol w:w="860"/>
        <w:gridCol w:w="886"/>
        <w:gridCol w:w="888"/>
        <w:gridCol w:w="1106"/>
        <w:gridCol w:w="861"/>
        <w:gridCol w:w="833"/>
      </w:tblGrid>
      <w:tr w:rsidR="005403BB" w:rsidRPr="007854A5" w14:paraId="64D9D0DB" w14:textId="77777777" w:rsidTr="003506E5">
        <w:tc>
          <w:tcPr>
            <w:tcW w:w="113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AAEB707" w14:textId="2FB6467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r w:rsid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(Days)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7BB07E60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2C3A" w14:textId="1AB3DDBB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CONSUMPTION (</w:t>
            </w:r>
            <w:r w:rsidR="00C20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</w:t>
            </w:r>
            <w:r w:rsidRP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proofErr w:type="spellEnd"/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1C67094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 value</w:t>
            </w:r>
          </w:p>
        </w:tc>
      </w:tr>
      <w:tr w:rsidR="005403BB" w:rsidRPr="007854A5" w14:paraId="169B2699" w14:textId="77777777" w:rsidTr="003506E5">
        <w:tc>
          <w:tcPr>
            <w:tcW w:w="1132" w:type="dxa"/>
            <w:vMerge/>
            <w:tcBorders>
              <w:left w:val="nil"/>
              <w:bottom w:val="single" w:sz="4" w:space="0" w:color="auto"/>
            </w:tcBorders>
          </w:tcPr>
          <w:p w14:paraId="132E3B67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6FA989B9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56157DF5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18E14AC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12BBB6D8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6624453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2E40569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R5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0B05E24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918727B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R7</w:t>
            </w:r>
          </w:p>
        </w:tc>
        <w:tc>
          <w:tcPr>
            <w:tcW w:w="833" w:type="dxa"/>
            <w:vMerge/>
            <w:tcBorders>
              <w:bottom w:val="single" w:sz="4" w:space="0" w:color="auto"/>
              <w:right w:val="nil"/>
            </w:tcBorders>
          </w:tcPr>
          <w:p w14:paraId="49ECA5A2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03BB" w:rsidRPr="007854A5" w14:paraId="1DA4D474" w14:textId="77777777" w:rsidTr="003506E5">
        <w:tc>
          <w:tcPr>
            <w:tcW w:w="1132" w:type="dxa"/>
            <w:tcBorders>
              <w:top w:val="single" w:sz="4" w:space="0" w:color="auto"/>
              <w:left w:val="nil"/>
            </w:tcBorders>
            <w:vAlign w:val="center"/>
          </w:tcPr>
          <w:p w14:paraId="592480E4" w14:textId="36029198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68718557" w14:textId="3235C73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13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661544A1" w14:textId="3C0A976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7854A5">
              <w:rPr>
                <w:rFonts w:ascii="Times New Roman" w:hAnsi="Times New Roman" w:cs="Times New Roman"/>
              </w:rPr>
              <w:t>± 15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23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8F6AF26" w14:textId="037DA32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854A5">
              <w:rPr>
                <w:rFonts w:ascii="Times New Roman" w:hAnsi="Times New Roman" w:cs="Times New Roman"/>
              </w:rPr>
              <w:t>± 12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0AAA3CC5" w14:textId="5278BBF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7854A5">
              <w:rPr>
                <w:rFonts w:ascii="Times New Roman" w:hAnsi="Times New Roman" w:cs="Times New Roman"/>
              </w:rPr>
              <w:t>± 16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34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3FE9FDA0" w14:textId="1370248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854A5">
              <w:rPr>
                <w:rFonts w:ascii="Times New Roman" w:hAnsi="Times New Roman" w:cs="Times New Roman"/>
              </w:rPr>
              <w:t>± 13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0EB3B579" w14:textId="603A899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854A5">
              <w:rPr>
                <w:rFonts w:ascii="Times New Roman" w:hAnsi="Times New Roman" w:cs="Times New Roman"/>
              </w:rPr>
              <w:t>± 10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F45AE56" w14:textId="470F37F8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65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F3DE8BE" w14:textId="22FF8A7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854A5">
              <w:rPr>
                <w:rFonts w:ascii="Times New Roman" w:hAnsi="Times New Roman" w:cs="Times New Roman"/>
              </w:rPr>
              <w:t>± 18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right w:val="nil"/>
            </w:tcBorders>
          </w:tcPr>
          <w:p w14:paraId="15169027" w14:textId="7285712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71EA28F5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57772707" w14:textId="26917112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60" w:type="dxa"/>
          </w:tcPr>
          <w:p w14:paraId="11211CED" w14:textId="1FBCA64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3E5F5A5C" w14:textId="75974A22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6B1A3FFB" w14:textId="29F52E7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854A5">
              <w:rPr>
                <w:rFonts w:ascii="Times New Roman" w:hAnsi="Times New Roman" w:cs="Times New Roman"/>
              </w:rPr>
              <w:t>± 15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691561BD" w14:textId="2FD9865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854A5">
              <w:rPr>
                <w:rFonts w:ascii="Times New Roman" w:hAnsi="Times New Roman" w:cs="Times New Roman"/>
              </w:rPr>
              <w:t>± 18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15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74537CAE" w14:textId="76DB8C5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93± </w:t>
            </w:r>
            <w:r w:rsidRPr="007854A5">
              <w:rPr>
                <w:rFonts w:ascii="Times New Roman" w:hAnsi="Times New Roman" w:cs="Times New Roman"/>
              </w:rPr>
              <w:t>15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 xml:space="preserve">95 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41E30411" w14:textId="1B8362E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</w:rPr>
              <w:t>40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65± 19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 xml:space="preserve">25 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3D1FC689" w14:textId="549B2E5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854A5">
              <w:rPr>
                <w:rFonts w:ascii="Times New Roman" w:hAnsi="Times New Roman" w:cs="Times New Roman"/>
              </w:rPr>
              <w:t>± 16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07103EC1" w14:textId="5E93B80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7854A5">
              <w:rPr>
                <w:rFonts w:ascii="Times New Roman" w:hAnsi="Times New Roman" w:cs="Times New Roman"/>
              </w:rPr>
              <w:t>± 13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15442272" w14:textId="527BDED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A36747D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3F322C06" w14:textId="3607C075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60" w:type="dxa"/>
          </w:tcPr>
          <w:p w14:paraId="02CFC71D" w14:textId="708AF7F0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78164A58" w14:textId="683725F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0A2F15A0" w14:textId="3173807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4B5D44B6" w14:textId="72E95AB8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5421CCB0" w14:textId="59C5537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2FB65C39" w14:textId="295048A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854A5">
              <w:rPr>
                <w:rFonts w:ascii="Times New Roman" w:hAnsi="Times New Roman" w:cs="Times New Roman"/>
              </w:rPr>
              <w:t>± 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01FCB9D9" w14:textId="17E8721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854A5">
              <w:rPr>
                <w:rFonts w:ascii="Times New Roman" w:hAnsi="Times New Roman" w:cs="Times New Roman"/>
              </w:rPr>
              <w:t>±</w:t>
            </w:r>
          </w:p>
          <w:p w14:paraId="577263B7" w14:textId="018060A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</w:rPr>
              <w:t>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5A6851ED" w14:textId="47CEBC1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6F1BD7E6" w14:textId="67F84B9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962F1DC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361FA279" w14:textId="198C91AC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60" w:type="dxa"/>
          </w:tcPr>
          <w:p w14:paraId="76A8C53C" w14:textId="65546EA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43A3815D" w14:textId="0BD5B78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72A69C48" w14:textId="1B9A6F2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7CC66BA4" w14:textId="7A8CD39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854A5">
              <w:rPr>
                <w:rFonts w:ascii="Times New Roman" w:hAnsi="Times New Roman" w:cs="Times New Roman"/>
              </w:rPr>
              <w:t>± 11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631C6B96" w14:textId="3DAECBB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</w:rPr>
              <w:t>80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28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</w:p>
          <w:p w14:paraId="545840D1" w14:textId="06CD3E4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58BB7E45" w14:textId="3DAD006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2BE80FEF" w14:textId="31D8053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854A5">
              <w:rPr>
                <w:rFonts w:ascii="Times New Roman" w:hAnsi="Times New Roman" w:cs="Times New Roman"/>
              </w:rPr>
              <w:t>± 10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34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00B808C3" w14:textId="4C188AA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12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2F34D883" w14:textId="4405881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99E069A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03E542DB" w14:textId="02D888D2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60" w:type="dxa"/>
          </w:tcPr>
          <w:p w14:paraId="0D4270B0" w14:textId="04FF728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48E9D6B5" w14:textId="1045F7B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7854A5">
              <w:rPr>
                <w:rFonts w:ascii="Times New Roman" w:hAnsi="Times New Roman" w:cs="Times New Roman"/>
              </w:rPr>
              <w:t>± 5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4DDEB9E1" w14:textId="10E7BEB0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748DBFE8" w14:textId="0DB5653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7D0818F2" w14:textId="4B8B3AE2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854A5">
              <w:rPr>
                <w:rFonts w:ascii="Times New Roman" w:hAnsi="Times New Roman" w:cs="Times New Roman"/>
              </w:rPr>
              <w:t>± 3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45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3AB1EAE2" w14:textId="3DF3944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7854A5">
              <w:rPr>
                <w:rFonts w:ascii="Times New Roman" w:hAnsi="Times New Roman" w:cs="Times New Roman"/>
              </w:rPr>
              <w:t>± 4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568CBA64" w14:textId="7C190E4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6FD76372" w14:textId="7B2A872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7854A5">
              <w:rPr>
                <w:rFonts w:ascii="Times New Roman" w:hAnsi="Times New Roman" w:cs="Times New Roman"/>
              </w:rPr>
              <w:t>± 11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350EF371" w14:textId="46A90F7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4CACB442" w14:textId="77777777" w:rsidTr="003506E5"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FFF89" w14:textId="2DE2F93D" w:rsidR="005403BB" w:rsidRPr="007854A5" w:rsidRDefault="00022F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Averages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09AB1073" w14:textId="0D900EB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36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02A2D1EA" w14:textId="56E1005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10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06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B5BB215" w14:textId="2D48932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01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47CBB2B0" w14:textId="49B2F03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13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50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6C92D95C" w14:textId="0BFAB66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10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58A98CF1" w14:textId="3200752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10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78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B90D064" w14:textId="69703C7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40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D977A2B" w14:textId="486F617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12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02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36CEEA" w14:textId="6D6ADE6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702</w:t>
            </w:r>
          </w:p>
        </w:tc>
      </w:tr>
    </w:tbl>
    <w:p w14:paraId="07E0A4F0" w14:textId="42173CD0" w:rsidR="003506E5" w:rsidRPr="003506E5" w:rsidRDefault="003506E5" w:rsidP="0094608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7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letter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on the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line are </w:t>
      </w:r>
      <w:r w:rsidR="00DF57BD">
        <w:rPr>
          <w:rFonts w:ascii="Times New Roman" w:hAnsi="Times New Roman" w:cs="Times New Roman"/>
          <w:i/>
          <w:iCs/>
          <w:sz w:val="24"/>
          <w:szCs w:val="24"/>
        </w:rPr>
        <w:t xml:space="preserve">not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(p&lt;0.05).</w:t>
      </w:r>
      <w:r w:rsidR="00761264"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160246" w14:textId="4C8A10C4" w:rsidR="00715F71" w:rsidRPr="00715F71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0449220"/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>Average</w:t>
      </w:r>
      <w:proofErr w:type="spellEnd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Daily Gain (ADG) and </w:t>
      </w:r>
      <w:proofErr w:type="spellStart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>Feed</w:t>
      </w:r>
      <w:proofErr w:type="spellEnd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Conversion Ratio (FCR)</w:t>
      </w:r>
      <w:r w:rsidR="00CD1C80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</w:p>
    <w:p w14:paraId="3A5037A3" w14:textId="67CB9EF2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t xml:space="preserve">Final values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evolutions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r w:rsidR="00715F7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Daily Gain (ADG) and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Conversion Ratio (FCR)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(Tables </w:t>
      </w:r>
      <w:r w:rsidR="009B2F2D">
        <w:rPr>
          <w:rFonts w:ascii="Times New Roman" w:hAnsi="Times New Roman" w:cs="Times New Roman"/>
          <w:sz w:val="24"/>
          <w:szCs w:val="24"/>
        </w:rPr>
        <w:t>4</w:t>
      </w:r>
      <w:r w:rsidRPr="0094608B">
        <w:rPr>
          <w:rFonts w:ascii="Times New Roman" w:hAnsi="Times New Roman" w:cs="Times New Roman"/>
          <w:sz w:val="24"/>
          <w:szCs w:val="24"/>
        </w:rPr>
        <w:t xml:space="preserve"> and </w:t>
      </w:r>
      <w:r w:rsidR="009B2F2D">
        <w:rPr>
          <w:rFonts w:ascii="Times New Roman" w:hAnsi="Times New Roman" w:cs="Times New Roman"/>
          <w:sz w:val="24"/>
          <w:szCs w:val="24"/>
        </w:rPr>
        <w:t>5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p w14:paraId="5B2DF064" w14:textId="35ABFCBC" w:rsidR="00DF57BD" w:rsidRPr="00DF57BD" w:rsidRDefault="00DF57BD" w:rsidP="00F61107">
      <w:pPr>
        <w:pStyle w:val="Caption"/>
        <w:keepNext/>
        <w:spacing w:line="276" w:lineRule="auto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0556BF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Evolution of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average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daily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earnings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by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93"/>
        <w:gridCol w:w="58"/>
        <w:gridCol w:w="734"/>
        <w:gridCol w:w="935"/>
        <w:gridCol w:w="893"/>
        <w:gridCol w:w="898"/>
        <w:gridCol w:w="897"/>
        <w:gridCol w:w="893"/>
        <w:gridCol w:w="897"/>
        <w:gridCol w:w="853"/>
      </w:tblGrid>
      <w:tr w:rsidR="00DF57BD" w:rsidRPr="00F65868" w14:paraId="688D138B" w14:textId="77777777" w:rsidTr="00DF57BD">
        <w:tc>
          <w:tcPr>
            <w:tcW w:w="112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6C1861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(Days)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</w:tcPr>
          <w:p w14:paraId="29EFF1D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EA710" w14:textId="77777777" w:rsidR="00DF57BD" w:rsidRPr="00E014BF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DAILY GAIN (g/</w:t>
            </w:r>
            <w:proofErr w:type="spellStart"/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3FC13B7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 value</w:t>
            </w:r>
          </w:p>
        </w:tc>
      </w:tr>
      <w:tr w:rsidR="00DF57BD" w:rsidRPr="00F65868" w14:paraId="23C7D138" w14:textId="77777777" w:rsidTr="00DF57BD">
        <w:tc>
          <w:tcPr>
            <w:tcW w:w="1121" w:type="dxa"/>
            <w:vMerge/>
            <w:tcBorders>
              <w:left w:val="nil"/>
              <w:bottom w:val="single" w:sz="4" w:space="0" w:color="auto"/>
            </w:tcBorders>
          </w:tcPr>
          <w:p w14:paraId="0733A0F4" w14:textId="7777777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2B261D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16873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63F0E5B5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BA93A2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629BFF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R4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5AB73F79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430AFABF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742398C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R7</w:t>
            </w:r>
          </w:p>
        </w:tc>
        <w:tc>
          <w:tcPr>
            <w:tcW w:w="853" w:type="dxa"/>
            <w:vMerge/>
            <w:tcBorders>
              <w:bottom w:val="single" w:sz="4" w:space="0" w:color="auto"/>
              <w:right w:val="nil"/>
            </w:tcBorders>
          </w:tcPr>
          <w:p w14:paraId="62A66043" w14:textId="7777777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7BD" w:rsidRPr="00F65868" w14:paraId="63DC5492" w14:textId="77777777" w:rsidTr="00DF57BD">
        <w:tc>
          <w:tcPr>
            <w:tcW w:w="1121" w:type="dxa"/>
            <w:tcBorders>
              <w:top w:val="single" w:sz="4" w:space="0" w:color="auto"/>
              <w:left w:val="nil"/>
            </w:tcBorders>
            <w:vAlign w:val="center"/>
          </w:tcPr>
          <w:p w14:paraId="43B213E1" w14:textId="1C47F33E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1B183F8" w14:textId="11268E5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Pr="00F65868">
              <w:t>± 3</w:t>
            </w:r>
            <w:r w:rsidR="00E3354D">
              <w:t>.</w:t>
            </w:r>
            <w:r>
              <w:t>7</w:t>
            </w:r>
            <w:r w:rsidRPr="00F65868">
              <w:t>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</w:tcPr>
          <w:p w14:paraId="322083C8" w14:textId="0A71609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31.62</w:t>
            </w:r>
            <w:r w:rsidRPr="00F65868">
              <w:t>± 3</w:t>
            </w:r>
            <w:r w:rsidR="00E3354D">
              <w:t>.</w:t>
            </w:r>
            <w:r w:rsidRPr="00F65868">
              <w:t>98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246C5C76" w14:textId="75AE07E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31.11</w:t>
            </w:r>
            <w:r w:rsidRPr="00F65868">
              <w:t>± 3</w:t>
            </w:r>
            <w:r w:rsidR="00E3354D">
              <w:t>.</w:t>
            </w:r>
            <w:r w:rsidRPr="00F65868">
              <w:t>03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C23D54F" w14:textId="635828E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31.62</w:t>
            </w:r>
            <w:r w:rsidRPr="00F65868">
              <w:t>± 3</w:t>
            </w:r>
            <w:r w:rsidR="00E3354D">
              <w:t>.</w:t>
            </w:r>
            <w:r w:rsidRPr="00F65868">
              <w:t>71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5BB2B9D" w14:textId="757427D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32.69</w:t>
            </w:r>
            <w:r w:rsidRPr="00F65868">
              <w:t>± 2</w:t>
            </w:r>
            <w:r w:rsidR="00E3354D">
              <w:t>.</w:t>
            </w:r>
            <w:r w:rsidRPr="00F65868">
              <w:t>77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6884FFDF" w14:textId="40EFAEA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33.20</w:t>
            </w:r>
            <w:r w:rsidRPr="00F65868">
              <w:t>± 2</w:t>
            </w:r>
            <w:r w:rsidR="00E3354D">
              <w:t>.</w:t>
            </w:r>
            <w:r w:rsidRPr="00F65868">
              <w:t>78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159060C" w14:textId="763188E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31.13</w:t>
            </w:r>
            <w:r w:rsidRPr="00F65868">
              <w:t>±   3</w:t>
            </w:r>
            <w:r w:rsidR="00E3354D">
              <w:t>.</w:t>
            </w:r>
            <w:r w:rsidRPr="00F65868">
              <w:t>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5F49D3BF" w14:textId="6A8750F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31.13</w:t>
            </w:r>
            <w:r w:rsidRPr="00F65868">
              <w:t>± 3</w:t>
            </w:r>
            <w:r w:rsidR="00E3354D">
              <w:t>.</w:t>
            </w:r>
            <w:r w:rsidRPr="00F65868">
              <w:t>39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right w:val="nil"/>
            </w:tcBorders>
          </w:tcPr>
          <w:p w14:paraId="2E4D3AFA" w14:textId="2FC9244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7B8962E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6A55762" w14:textId="55D3C079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93" w:type="dxa"/>
          </w:tcPr>
          <w:p w14:paraId="6016051E" w14:textId="4DEE0D8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65868">
              <w:t>± 4</w:t>
            </w:r>
            <w:r w:rsidR="00E3354D">
              <w:t>.</w:t>
            </w:r>
            <w:r>
              <w:t>1</w:t>
            </w:r>
            <w:r w:rsidRPr="00F65868">
              <w:t>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47CF4AC8" w14:textId="69214E2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32.27</w:t>
            </w:r>
            <w:r w:rsidRPr="00F65868">
              <w:t>± 4</w:t>
            </w:r>
            <w:r w:rsidR="00E3354D">
              <w:t>.</w:t>
            </w:r>
            <w:r w:rsidRPr="00F65868">
              <w:t>92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7674B04C" w14:textId="4DD4A2A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31.58</w:t>
            </w:r>
            <w:r w:rsidRPr="00F65868">
              <w:t>± 3</w:t>
            </w:r>
            <w:r w:rsidR="00E3354D">
              <w:t>.</w:t>
            </w:r>
            <w:r w:rsidRPr="00F65868">
              <w:t>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59C450C" w14:textId="0C40994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33.50</w:t>
            </w:r>
            <w:r w:rsidRPr="00F65868">
              <w:t>± 4</w:t>
            </w:r>
            <w:r w:rsidR="00E3354D">
              <w:t>.</w:t>
            </w:r>
            <w:r w:rsidRPr="00F65868">
              <w:t>57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0711DDDD" w14:textId="44F3CF5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33.64</w:t>
            </w:r>
            <w:r w:rsidRPr="00F65868">
              <w:t>± 3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53792E8B" w14:textId="7C3552D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33.89</w:t>
            </w:r>
            <w:r w:rsidRPr="00F65868">
              <w:t>± 3</w:t>
            </w:r>
            <w:r w:rsidR="00E3354D">
              <w:t>.</w:t>
            </w:r>
            <w:r w:rsidRPr="00F65868">
              <w:t>11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6AFB5A5E" w14:textId="19A3147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31.33</w:t>
            </w:r>
            <w:r w:rsidRPr="00F65868">
              <w:t>± 3</w:t>
            </w:r>
            <w:r w:rsidR="00E3354D">
              <w:t>.</w:t>
            </w:r>
            <w:r w:rsidRPr="00F65868">
              <w:t>21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47C6BA1D" w14:textId="0A45279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31.26</w:t>
            </w:r>
            <w:r w:rsidRPr="00F65868">
              <w:t>± 3</w:t>
            </w:r>
            <w:r w:rsidR="00E3354D">
              <w:t>.</w:t>
            </w:r>
            <w:r w:rsidRPr="00F65868">
              <w:t>96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2DDECF04" w14:textId="05C7A24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302B8679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5F6658B9" w14:textId="079EE80D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93" w:type="dxa"/>
          </w:tcPr>
          <w:p w14:paraId="74668E44" w14:textId="5EAF3BC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F65868">
              <w:t>± 5</w:t>
            </w:r>
            <w:r w:rsidR="00E3354D">
              <w:t>.</w:t>
            </w:r>
            <w:r w:rsidRPr="00F65868">
              <w:t>5</w:t>
            </w:r>
            <w:r>
              <w:t>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1D6CB779" w14:textId="0B4DA2E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30.21</w:t>
            </w:r>
            <w:r w:rsidRPr="00F65868">
              <w:t>± 5</w:t>
            </w:r>
            <w:r w:rsidR="00E3354D">
              <w:t>.</w:t>
            </w:r>
            <w:r w:rsidRPr="00F65868">
              <w:t>85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6EC75EAB" w14:textId="42CB264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29.81</w:t>
            </w:r>
            <w:r w:rsidRPr="00F65868">
              <w:t>± 4</w:t>
            </w:r>
            <w:r w:rsidR="00E3354D">
              <w:t>.</w:t>
            </w:r>
            <w:r w:rsidRPr="00F65868">
              <w:t>00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187AB6C" w14:textId="36C2A19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31.04</w:t>
            </w:r>
            <w:r w:rsidRPr="00F65868">
              <w:t>± 4</w:t>
            </w:r>
            <w:r w:rsidR="00E3354D">
              <w:t>.</w:t>
            </w:r>
            <w:r w:rsidRPr="00F65868">
              <w:t>22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7CC83E40" w14:textId="65D4BB2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31.10</w:t>
            </w:r>
            <w:r w:rsidRPr="00F65868">
              <w:t>± 3</w:t>
            </w:r>
            <w:r w:rsidR="00E3354D">
              <w:t>.</w:t>
            </w:r>
            <w:r w:rsidRPr="00F65868">
              <w:t>08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29090C5F" w14:textId="70A5ABD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31.26</w:t>
            </w:r>
            <w:r w:rsidRPr="00F65868">
              <w:t>± 3</w:t>
            </w:r>
            <w:r w:rsidR="00E3354D">
              <w:t>.</w:t>
            </w:r>
            <w:r w:rsidRPr="00F65868">
              <w:t>97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5B2C5A5F" w14:textId="1339E34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29.17</w:t>
            </w:r>
            <w:r w:rsidRPr="00F65868">
              <w:t>± 3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4F93E1C0" w14:textId="4D7A56C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29.04</w:t>
            </w:r>
            <w:r w:rsidRPr="00F65868">
              <w:t>± 3</w:t>
            </w:r>
            <w:r w:rsidR="00E3354D">
              <w:t>.</w:t>
            </w:r>
            <w:r w:rsidRPr="00F65868">
              <w:t>49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77486A86" w14:textId="3042DD8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4249649C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0D2AA19" w14:textId="0181476B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93" w:type="dxa"/>
          </w:tcPr>
          <w:p w14:paraId="7CD44843" w14:textId="650726C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Pr="00F65868">
              <w:t xml:space="preserve">± </w:t>
            </w:r>
            <w:r>
              <w:t>4</w:t>
            </w:r>
            <w:r w:rsidR="00E3354D">
              <w:t>.</w:t>
            </w:r>
            <w:r>
              <w:t>84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76E5219B" w14:textId="1BE1691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38.53</w:t>
            </w:r>
            <w:r w:rsidRPr="00F65868">
              <w:t>± 5</w:t>
            </w:r>
            <w:r w:rsidR="00E3354D">
              <w:t>.</w:t>
            </w:r>
            <w:r w:rsidRPr="00F65868">
              <w:t>73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4F472D78" w14:textId="384C321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38.42</w:t>
            </w:r>
            <w:r w:rsidRPr="00F65868">
              <w:t>± 4</w:t>
            </w:r>
            <w:r w:rsidR="00E3354D">
              <w:t>.</w:t>
            </w:r>
            <w:r w:rsidRPr="00F65868">
              <w:t>28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8A83FAA" w14:textId="61E3A55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38.90</w:t>
            </w:r>
            <w:r w:rsidRPr="00F65868">
              <w:t>± 5</w:t>
            </w:r>
            <w:r w:rsidR="00E3354D">
              <w:t>.</w:t>
            </w:r>
            <w:r w:rsidRPr="00F65868">
              <w:t>29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699F4C40" w14:textId="67E4E5B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38.40</w:t>
            </w:r>
            <w:r w:rsidRPr="00F65868">
              <w:t>± 3</w:t>
            </w:r>
            <w:r w:rsidR="00E3354D">
              <w:t>.</w:t>
            </w:r>
            <w:r w:rsidRPr="00F65868">
              <w:t>86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1F3D17E2" w14:textId="29BAD554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38.48</w:t>
            </w:r>
            <w:r w:rsidRPr="00F65868">
              <w:t>± 3</w:t>
            </w:r>
            <w:r w:rsidR="00E3354D">
              <w:t>.</w:t>
            </w:r>
            <w:r w:rsidRPr="00F65868">
              <w:t>43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05C9EA69" w14:textId="43D9AF3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38.48</w:t>
            </w:r>
            <w:r w:rsidRPr="00F65868">
              <w:t>± 3</w:t>
            </w:r>
            <w:r w:rsidR="00E3354D">
              <w:t>.</w:t>
            </w:r>
            <w:r w:rsidRPr="00F65868">
              <w:t>19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2E325F30" w14:textId="759BD03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37.32</w:t>
            </w:r>
            <w:r w:rsidRPr="00F65868">
              <w:t>± 3</w:t>
            </w:r>
            <w:r w:rsidR="00E3354D">
              <w:t>.</w:t>
            </w:r>
            <w:r w:rsidRPr="00F65868">
              <w:t>99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5D7A923F" w14:textId="4A64DFE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CE2977E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4A599D4" w14:textId="517531F8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93" w:type="dxa"/>
          </w:tcPr>
          <w:p w14:paraId="300B15BC" w14:textId="661C993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F65868">
              <w:t xml:space="preserve">± </w:t>
            </w:r>
            <w:r>
              <w:t>7</w:t>
            </w:r>
            <w:r w:rsidR="00E3354D">
              <w:t>.</w:t>
            </w:r>
            <w:r>
              <w:t>1</w:t>
            </w:r>
          </w:p>
        </w:tc>
        <w:tc>
          <w:tcPr>
            <w:tcW w:w="792" w:type="dxa"/>
            <w:gridSpan w:val="2"/>
          </w:tcPr>
          <w:p w14:paraId="344D9E38" w14:textId="2429E55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48.82</w:t>
            </w:r>
            <w:r w:rsidRPr="00F65868">
              <w:t>± 6</w:t>
            </w:r>
            <w:r w:rsidR="00E3354D">
              <w:t>.</w:t>
            </w:r>
            <w:r w:rsidRPr="00F65868">
              <w:t>9</w:t>
            </w:r>
          </w:p>
        </w:tc>
        <w:tc>
          <w:tcPr>
            <w:tcW w:w="935" w:type="dxa"/>
          </w:tcPr>
          <w:p w14:paraId="20BBAAC7" w14:textId="254B292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38.68</w:t>
            </w:r>
            <w:r w:rsidRPr="00F65868">
              <w:t>± 5</w:t>
            </w:r>
            <w:r w:rsidR="00E3354D">
              <w:t>.</w:t>
            </w:r>
            <w:r w:rsidRPr="00F65868">
              <w:t>77</w:t>
            </w:r>
          </w:p>
        </w:tc>
        <w:tc>
          <w:tcPr>
            <w:tcW w:w="893" w:type="dxa"/>
          </w:tcPr>
          <w:p w14:paraId="5A93655D" w14:textId="5EC5C0D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47.75</w:t>
            </w:r>
            <w:r w:rsidRPr="00F65868">
              <w:t>± 10</w:t>
            </w:r>
            <w:r w:rsidR="00E3354D">
              <w:t>.</w:t>
            </w:r>
            <w:r w:rsidRPr="00F65868">
              <w:t>47</w:t>
            </w:r>
          </w:p>
        </w:tc>
        <w:tc>
          <w:tcPr>
            <w:tcW w:w="898" w:type="dxa"/>
          </w:tcPr>
          <w:p w14:paraId="63A48F27" w14:textId="4948F84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48.58</w:t>
            </w:r>
            <w:r w:rsidRPr="00F65868">
              <w:t>± 3</w:t>
            </w:r>
            <w:r w:rsidR="00E3354D">
              <w:t>.</w:t>
            </w:r>
            <w:r w:rsidRPr="00F65868">
              <w:t>08</w:t>
            </w:r>
          </w:p>
        </w:tc>
        <w:tc>
          <w:tcPr>
            <w:tcW w:w="897" w:type="dxa"/>
          </w:tcPr>
          <w:p w14:paraId="3B14BA5D" w14:textId="559D1C3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48.16</w:t>
            </w:r>
            <w:r w:rsidRPr="00F65868">
              <w:t>± 4</w:t>
            </w:r>
            <w:r w:rsidR="00E3354D">
              <w:t>.</w:t>
            </w:r>
            <w:r w:rsidRPr="00F65868">
              <w:t>64</w:t>
            </w:r>
          </w:p>
        </w:tc>
        <w:tc>
          <w:tcPr>
            <w:tcW w:w="893" w:type="dxa"/>
          </w:tcPr>
          <w:p w14:paraId="253E4A8B" w14:textId="27358F5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  <w:r w:rsidRPr="00F65868">
              <w:t>± 12</w:t>
            </w:r>
            <w:r w:rsidR="00E3354D">
              <w:t>.</w:t>
            </w:r>
            <w:r w:rsidRPr="00F65868">
              <w:t>16</w:t>
            </w:r>
          </w:p>
        </w:tc>
        <w:tc>
          <w:tcPr>
            <w:tcW w:w="897" w:type="dxa"/>
          </w:tcPr>
          <w:p w14:paraId="61BE7848" w14:textId="29E8672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47.96</w:t>
            </w:r>
            <w:r w:rsidRPr="00F65868">
              <w:t>± 2</w:t>
            </w:r>
            <w:r w:rsidR="00E3354D">
              <w:t>.</w:t>
            </w:r>
            <w:r w:rsidRPr="00F65868">
              <w:t>86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63194E6D" w14:textId="74FEBF9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0F2465C7" w14:textId="77777777" w:rsidTr="00DF57BD">
        <w:tc>
          <w:tcPr>
            <w:tcW w:w="1121" w:type="dxa"/>
            <w:tcBorders>
              <w:left w:val="nil"/>
              <w:bottom w:val="single" w:sz="4" w:space="0" w:color="auto"/>
            </w:tcBorders>
            <w:vAlign w:val="center"/>
          </w:tcPr>
          <w:p w14:paraId="7BDAAC30" w14:textId="7473B62C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F0CB177" w14:textId="2BFFC24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 w:rsidRPr="00F65868">
              <w:t xml:space="preserve">± </w:t>
            </w:r>
            <w:r>
              <w:t>7</w:t>
            </w:r>
            <w:r w:rsidR="00E3354D">
              <w:t>.</w:t>
            </w:r>
            <w:r>
              <w:t>05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7500D7CD" w14:textId="6AD0B07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46.78</w:t>
            </w:r>
            <w:r w:rsidRPr="00F65868">
              <w:t>± 5</w:t>
            </w:r>
            <w:r w:rsidR="00E3354D">
              <w:t>.</w:t>
            </w:r>
            <w:r w:rsidRPr="00F65868">
              <w:t>15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63CECE" w14:textId="680896C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47.15</w:t>
            </w:r>
            <w:r w:rsidRPr="00F65868">
              <w:t>± 4</w:t>
            </w:r>
            <w:r w:rsidR="00E3354D">
              <w:t>.</w:t>
            </w:r>
            <w:r w:rsidRPr="00F65868">
              <w:t>35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C018E13" w14:textId="4D06EA9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47.63</w:t>
            </w:r>
            <w:r w:rsidRPr="00F65868">
              <w:t>± 6</w:t>
            </w:r>
            <w:r w:rsidR="00E3354D">
              <w:t>.</w:t>
            </w:r>
            <w:r w:rsidRPr="00F65868">
              <w:t>52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2B4558E" w14:textId="2DFD56A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43.13</w:t>
            </w:r>
            <w:r w:rsidRPr="00F65868">
              <w:t>± 11</w:t>
            </w:r>
            <w:r w:rsidR="00E3354D">
              <w:t>.</w:t>
            </w:r>
            <w:r w:rsidRPr="00F65868">
              <w:t>85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B42FC95" w14:textId="559610A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45.88</w:t>
            </w:r>
            <w:r w:rsidRPr="00F65868">
              <w:t>± 10</w:t>
            </w:r>
            <w:r w:rsidR="00E3354D">
              <w:t>.</w:t>
            </w:r>
            <w:r w:rsidRPr="00F65868">
              <w:t>63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3E0AB5B" w14:textId="2B2A5B9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44.78</w:t>
            </w:r>
            <w:r w:rsidRPr="00F65868">
              <w:t>± 9</w:t>
            </w:r>
            <w:r w:rsidR="00E3354D">
              <w:t>.</w:t>
            </w:r>
            <w:r w:rsidRPr="00F65868">
              <w:t>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D1AA9FD" w14:textId="24DA7D6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41.75</w:t>
            </w:r>
            <w:r w:rsidRPr="00F65868">
              <w:t>± 14</w:t>
            </w:r>
            <w:r w:rsidR="00E3354D">
              <w:t>.</w:t>
            </w:r>
            <w:r w:rsidRPr="00F65868">
              <w:t>21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bottom w:val="single" w:sz="4" w:space="0" w:color="auto"/>
              <w:right w:val="nil"/>
            </w:tcBorders>
          </w:tcPr>
          <w:p w14:paraId="52F7FFFD" w14:textId="26A3830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AFDEB5E" w14:textId="77777777" w:rsidTr="00DF57BD"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1471B" w14:textId="7642DC3A" w:rsidR="00DF57BD" w:rsidRPr="00F65868" w:rsidRDefault="00E3354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8F1990B" w14:textId="2717D30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65868">
              <w:t xml:space="preserve">± </w:t>
            </w:r>
            <w:r>
              <w:t>4</w:t>
            </w:r>
            <w:r w:rsidR="00E3354D">
              <w:t>.</w:t>
            </w:r>
            <w:r w:rsidRPr="00F65868">
              <w:t>7</w:t>
            </w:r>
            <w:r>
              <w:t>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92AB8" w14:textId="5BDAF83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Pr="00F65868">
              <w:t>± 5</w:t>
            </w:r>
            <w:r w:rsidR="00E3354D">
              <w:t>.</w:t>
            </w:r>
            <w:r w:rsidRPr="00F65868">
              <w:t>71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043898A8" w14:textId="69EFD024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</w:t>
            </w:r>
            <w:r w:rsidRPr="00F65868">
              <w:t>± 4</w:t>
            </w:r>
            <w:r w:rsidR="00E3354D">
              <w:t>.</w:t>
            </w:r>
            <w:r w:rsidRPr="00F65868">
              <w:t>36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A452745" w14:textId="10E7532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Pr="00F65868">
              <w:t>± 6</w:t>
            </w:r>
            <w:r w:rsidR="00E3354D">
              <w:t>.</w:t>
            </w:r>
            <w:r w:rsidRPr="00F65868">
              <w:t>24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A004B6D" w14:textId="2746B0D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65868">
              <w:t>± 5</w:t>
            </w:r>
            <w:r w:rsidR="00E3354D">
              <w:t>.</w:t>
            </w:r>
            <w:r w:rsidRPr="00F65868">
              <w:t>06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85A4168" w14:textId="085A23F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t>± 5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598BFE15" w14:textId="0D4DD09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F65868">
              <w:t>± 6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6A9F5A85" w14:textId="6B85612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65868">
              <w:t>± 5</w:t>
            </w:r>
            <w:r w:rsidR="00E3354D">
              <w:t>.</w:t>
            </w:r>
            <w:r w:rsidRPr="00F65868">
              <w:t>7</w:t>
            </w:r>
            <w:r w:rsidRPr="00F65868">
              <w:rPr>
                <w:vertAlign w:val="superscript"/>
              </w:rPr>
              <w:t>a</w:t>
            </w:r>
            <w:r w:rsidRPr="00F65868"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099EC" w14:textId="0561755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378F6DAB" w14:textId="6DAA64BC" w:rsidR="00DF57BD" w:rsidRPr="00DF57BD" w:rsidRDefault="00DF57BD" w:rsidP="00F6110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are not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(p&gt;0.05)</w:t>
      </w:r>
    </w:p>
    <w:p w14:paraId="084456A1" w14:textId="030076C3" w:rsidR="001F43E0" w:rsidRDefault="001F43E0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_Hlk220358942"/>
    </w:p>
    <w:p w14:paraId="43D8D5C8" w14:textId="708E234F" w:rsidR="00F61107" w:rsidRDefault="00F61107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ED93C0" w14:textId="761309A7" w:rsidR="00F61107" w:rsidRDefault="00F61107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664760" w14:textId="15CD0385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0CD064" w14:textId="07A38CAF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8CEE5" w14:textId="7205FF4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20448D" w14:textId="4FF2C0B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D92C0A" w14:textId="5C7B4E81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F80A9" w14:textId="1377860D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5E4C1B" w14:textId="1B9A93AC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1FDFEA" w14:textId="25DDD0DA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A2018D" w14:textId="67226D90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D22A5F" w14:textId="4FB0380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635E1C" w14:textId="1D1E16AA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583DF8" w14:textId="224E0E24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8133A7" w14:textId="22A74677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4710EF" w14:textId="6F616229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FFA7B9" w14:textId="3BD21C2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8FDE7E" w14:textId="585729B7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E83630" w14:textId="417387B5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0CB9A6" w14:textId="18B7DA6E" w:rsidR="000556BF" w:rsidRDefault="003535A0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Changes in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feed</w:t>
      </w:r>
      <w:proofErr w:type="spellEnd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conversion ratio (FCR)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</w:t>
      </w:r>
      <w:proofErr w:type="spellEnd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</w:t>
      </w:r>
      <w:proofErr w:type="spellEnd"/>
    </w:p>
    <w:p w14:paraId="10C11B6D" w14:textId="77777777" w:rsidR="000556BF" w:rsidRPr="002E13C5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2288"/>
        <w:tblW w:w="9193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34"/>
        <w:gridCol w:w="917"/>
        <w:gridCol w:w="916"/>
        <w:gridCol w:w="916"/>
        <w:gridCol w:w="916"/>
        <w:gridCol w:w="916"/>
        <w:gridCol w:w="926"/>
        <w:gridCol w:w="926"/>
        <w:gridCol w:w="926"/>
      </w:tblGrid>
      <w:tr w:rsidR="000556BF" w:rsidRPr="009A1665" w14:paraId="30CF0259" w14:textId="77777777" w:rsidTr="00E212BF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6E138B92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7F7F7F"/>
            </w:tcBorders>
          </w:tcPr>
          <w:p w14:paraId="7EDE4A22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56BF">
              <w:rPr>
                <w:sz w:val="24"/>
                <w:szCs w:val="24"/>
              </w:rPr>
              <w:t>Feed</w:t>
            </w:r>
            <w:proofErr w:type="spellEnd"/>
            <w:r w:rsidRPr="000556BF">
              <w:rPr>
                <w:sz w:val="24"/>
                <w:szCs w:val="24"/>
              </w:rPr>
              <w:t xml:space="preserve"> Conversion Ratio (FCR)</w:t>
            </w:r>
          </w:p>
        </w:tc>
      </w:tr>
      <w:tr w:rsidR="000556BF" w:rsidRPr="009A1665" w14:paraId="73DFD140" w14:textId="77777777" w:rsidTr="00E212BF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1099DDE3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AGE(Days)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9E200DD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R0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6E480F59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R1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D81CD47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R2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7AD180D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R3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6807CD9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R4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A42474E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R5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4BB65733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R6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D3C0D87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R7</w:t>
            </w:r>
          </w:p>
        </w:tc>
      </w:tr>
      <w:tr w:rsidR="000556BF" w:rsidRPr="009A1665" w14:paraId="5426F4C7" w14:textId="77777777" w:rsidTr="00E212BF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6C6B82F4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38BAA79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017CA15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3BB077A6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BEAE3FB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35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D391BBA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12E99F0A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7870ED6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0350F72C" w14:textId="77777777" w:rsidR="000556BF" w:rsidRPr="00D854AD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1E2EE3C3" w14:textId="77777777" w:rsidTr="00E212BF">
        <w:trPr>
          <w:trHeight w:val="633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894D0F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F5E3655" w14:textId="77777777" w:rsidR="000556BF" w:rsidRPr="009A1665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66</w:t>
            </w:r>
            <w:r w:rsidRPr="001D1AA9"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C57145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3B48062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EAE1893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05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7F1AB9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D50F184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4DFBD7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BC34B5C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53D4E858" w14:textId="77777777" w:rsidTr="00E212BF">
        <w:trPr>
          <w:trHeight w:val="633"/>
        </w:trPr>
        <w:tc>
          <w:tcPr>
            <w:tcW w:w="0" w:type="auto"/>
          </w:tcPr>
          <w:p w14:paraId="07E4736E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622CF04A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10B42F6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91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5814CFC7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173DB3D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4AE73C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39B564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948DCB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6B486844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32EB192D" w14:textId="77777777" w:rsidTr="00E212BF">
        <w:trPr>
          <w:trHeight w:val="625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9E26AB0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E2398EF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6AEEF1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017900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2FD9013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548CE478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C25B8F2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E34F53B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0B09FB1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42F65538" w14:textId="77777777" w:rsidTr="00E212BF">
        <w:trPr>
          <w:trHeight w:val="633"/>
        </w:trPr>
        <w:tc>
          <w:tcPr>
            <w:tcW w:w="0" w:type="auto"/>
          </w:tcPr>
          <w:p w14:paraId="00319EF4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0AABB4AF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83F6055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25FA564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1A58B616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19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584E2BC7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9F25D9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1FC4935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69165AB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6CA269AC" w14:textId="77777777" w:rsidTr="00E212BF">
        <w:trPr>
          <w:trHeight w:val="633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F30282C" w14:textId="77777777" w:rsidR="000556BF" w:rsidRPr="000135B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821039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19B55ECF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5E02E7AA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07E550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98FBE95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1A8F555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7C8A938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81083F0" w14:textId="77777777" w:rsidR="000556BF" w:rsidRPr="001D1AA9" w:rsidRDefault="000556BF" w:rsidP="00E212BF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</w:tr>
    </w:tbl>
    <w:p w14:paraId="44A8AD32" w14:textId="02DB849C" w:rsidR="001F43E0" w:rsidRPr="00E3354D" w:rsidRDefault="00E3354D" w:rsidP="00F61107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are not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354D">
        <w:rPr>
          <w:rFonts w:ascii="Times New Roman" w:hAnsi="Times New Roman" w:cs="Times New Roman"/>
          <w:i/>
          <w:iCs/>
          <w:sz w:val="24"/>
          <w:szCs w:val="24"/>
        </w:rPr>
        <w:t>(p&gt;0.05).</w:t>
      </w:r>
    </w:p>
    <w:bookmarkEnd w:id="4"/>
    <w:p w14:paraId="675A3665" w14:textId="77777777" w:rsidR="00E3354D" w:rsidRDefault="00E3354D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A684" w14:textId="202F2049" w:rsidR="00761264" w:rsidRPr="0094608B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Carcass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yield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mortality</w:t>
      </w:r>
      <w:proofErr w:type="spellEnd"/>
    </w:p>
    <w:p w14:paraId="1AC4B0F4" w14:textId="426BDCE3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0">
        <w:rPr>
          <w:rFonts w:ascii="Times New Roman" w:hAnsi="Times New Roman" w:cs="Times New Roman"/>
          <w:sz w:val="24"/>
          <w:szCs w:val="24"/>
        </w:rPr>
        <w:t>y</w:t>
      </w:r>
      <w:r w:rsidRPr="0094608B">
        <w:rPr>
          <w:rFonts w:ascii="Times New Roman" w:hAnsi="Times New Roman" w:cs="Times New Roman"/>
          <w:sz w:val="24"/>
          <w:szCs w:val="24"/>
        </w:rPr>
        <w:t>ields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81.04% (R0) to 86.15% (R3),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(P &gt; 0.05) (Table </w:t>
      </w:r>
      <w:r w:rsidR="007327F1">
        <w:rPr>
          <w:rFonts w:ascii="Times New Roman" w:hAnsi="Times New Roman" w:cs="Times New Roman"/>
          <w:sz w:val="24"/>
          <w:szCs w:val="24"/>
        </w:rPr>
        <w:t>6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p w14:paraId="20EC91EB" w14:textId="0985CEF8" w:rsidR="001F43E0" w:rsidRPr="00B62C8E" w:rsidRDefault="00B62C8E" w:rsidP="000556B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Effect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neem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leaf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powder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on the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carcass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yield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chickens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773"/>
        <w:gridCol w:w="878"/>
        <w:gridCol w:w="1020"/>
        <w:gridCol w:w="1019"/>
        <w:gridCol w:w="1020"/>
        <w:gridCol w:w="1020"/>
        <w:gridCol w:w="1020"/>
        <w:gridCol w:w="1020"/>
      </w:tblGrid>
      <w:tr w:rsidR="00B62C8E" w14:paraId="674ECF0D" w14:textId="77777777" w:rsidTr="00591CA6">
        <w:tc>
          <w:tcPr>
            <w:tcW w:w="1344" w:type="dxa"/>
          </w:tcPr>
          <w:p w14:paraId="2EA69D3E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48EB2831" w14:textId="77777777" w:rsidR="001F43E0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071C362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7614970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5A4B286D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05AC1AB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04C473AC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7F9649F3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R6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439FDF85" w14:textId="77777777" w:rsidR="001F43E0" w:rsidRPr="003639E5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R7</w:t>
            </w:r>
          </w:p>
        </w:tc>
      </w:tr>
      <w:tr w:rsidR="00B62C8E" w14:paraId="69112CA1" w14:textId="77777777" w:rsidTr="00591CA6">
        <w:tc>
          <w:tcPr>
            <w:tcW w:w="1344" w:type="dxa"/>
          </w:tcPr>
          <w:p w14:paraId="556A087A" w14:textId="64A9D42D" w:rsidR="001F43E0" w:rsidRPr="003639E5" w:rsidRDefault="00B62C8E" w:rsidP="00B62C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Live </w:t>
            </w: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5FD41998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66E6BDEC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3D11018B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5075002C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394672F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F474FB0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4DC8F611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194CFEE" w14:textId="77777777" w:rsidR="001F43E0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  <w:p w14:paraId="34F9AA90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8E" w14:paraId="26073D00" w14:textId="77777777" w:rsidTr="00591CA6">
        <w:tc>
          <w:tcPr>
            <w:tcW w:w="1344" w:type="dxa"/>
          </w:tcPr>
          <w:p w14:paraId="52E9FFEB" w14:textId="056980CE" w:rsidR="001F43E0" w:rsidRPr="003639E5" w:rsidRDefault="00B62C8E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Carcass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776" w:type="dxa"/>
          </w:tcPr>
          <w:p w14:paraId="760BB5A1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890" w:type="dxa"/>
          </w:tcPr>
          <w:p w14:paraId="3A43EAD5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1047" w:type="dxa"/>
          </w:tcPr>
          <w:p w14:paraId="5A94C545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045" w:type="dxa"/>
          </w:tcPr>
          <w:p w14:paraId="1860C461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046" w:type="dxa"/>
          </w:tcPr>
          <w:p w14:paraId="535A8EAF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46" w:type="dxa"/>
          </w:tcPr>
          <w:p w14:paraId="5420BA6C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046" w:type="dxa"/>
          </w:tcPr>
          <w:p w14:paraId="069C9BD4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046" w:type="dxa"/>
          </w:tcPr>
          <w:p w14:paraId="4112B848" w14:textId="77777777" w:rsidR="001F43E0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063478B4" w14:textId="77777777" w:rsidR="001F43E0" w:rsidRPr="00EC1956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8E" w:rsidRPr="000135B9" w14:paraId="4C042C23" w14:textId="77777777" w:rsidTr="00591CA6">
        <w:tc>
          <w:tcPr>
            <w:tcW w:w="1344" w:type="dxa"/>
          </w:tcPr>
          <w:p w14:paraId="7EBBF7E5" w14:textId="2120CDB8" w:rsidR="001F43E0" w:rsidRPr="000135B9" w:rsidRDefault="00B62C8E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Carcass</w:t>
            </w:r>
            <w:proofErr w:type="spellEnd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yield</w:t>
            </w:r>
            <w:proofErr w:type="spellEnd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776" w:type="dxa"/>
          </w:tcPr>
          <w:p w14:paraId="0C2216AA" w14:textId="377E2837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0" w:type="dxa"/>
          </w:tcPr>
          <w:p w14:paraId="12CC1EA6" w14:textId="16C2E3A8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47" w:type="dxa"/>
          </w:tcPr>
          <w:p w14:paraId="3BC08432" w14:textId="1EEF42D2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45" w:type="dxa"/>
          </w:tcPr>
          <w:p w14:paraId="639C4D5A" w14:textId="3501584E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46" w:type="dxa"/>
          </w:tcPr>
          <w:p w14:paraId="7E5051B4" w14:textId="5BB9476E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14:paraId="6A5B68B0" w14:textId="1B293289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46" w:type="dxa"/>
          </w:tcPr>
          <w:p w14:paraId="4FCC2358" w14:textId="74C1BECA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46" w:type="dxa"/>
          </w:tcPr>
          <w:p w14:paraId="6574C706" w14:textId="5E6940A2" w:rsidR="001F43E0" w:rsidRPr="000135B9" w:rsidRDefault="001F43E0" w:rsidP="00591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14:paraId="571E1753" w14:textId="77777777" w:rsidR="001F43E0" w:rsidRPr="003639E5" w:rsidRDefault="001F43E0" w:rsidP="001F43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0D337" w14:textId="77777777" w:rsidR="000556BF" w:rsidRDefault="000556BF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6C3FF" w14:textId="379576F5" w:rsidR="001F43E0" w:rsidRDefault="009C6AC8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rate,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in group R0 (13.33%). In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groups (R1 to R7), rates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3.33% to 10%,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the dose or mode of administration of neem (Figure </w:t>
      </w:r>
      <w:r w:rsidR="003535A0">
        <w:rPr>
          <w:rFonts w:ascii="Times New Roman" w:hAnsi="Times New Roman" w:cs="Times New Roman"/>
          <w:sz w:val="24"/>
          <w:szCs w:val="24"/>
        </w:rPr>
        <w:t>4</w:t>
      </w:r>
      <w:r w:rsidRPr="009C6AC8">
        <w:rPr>
          <w:rFonts w:ascii="Times New Roman" w:hAnsi="Times New Roman" w:cs="Times New Roman"/>
          <w:sz w:val="24"/>
          <w:szCs w:val="24"/>
        </w:rPr>
        <w:t>).</w:t>
      </w:r>
    </w:p>
    <w:p w14:paraId="7C015D02" w14:textId="77777777" w:rsidR="00D4579C" w:rsidRDefault="00D4579C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B2973" w14:textId="77777777" w:rsidR="000556BF" w:rsidRDefault="000556BF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C5DC" w14:textId="13F3A94D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7DA63" wp14:editId="6FACF9DA">
                <wp:simplePos x="0" y="0"/>
                <wp:positionH relativeFrom="column">
                  <wp:posOffset>-38100</wp:posOffset>
                </wp:positionH>
                <wp:positionV relativeFrom="paragraph">
                  <wp:posOffset>137160</wp:posOffset>
                </wp:positionV>
                <wp:extent cx="5759450" cy="3647440"/>
                <wp:effectExtent l="0" t="3810" r="3175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64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6234" w14:textId="0AB26469" w:rsidR="001F43E0" w:rsidRDefault="001F43E0" w:rsidP="001F43E0">
                            <w:r w:rsidRPr="009629B4">
                              <w:rPr>
                                <w:noProof/>
                              </w:rPr>
                              <w:drawing>
                                <wp:inline distT="0" distB="0" distL="0" distR="0" wp14:anchorId="38B1E866" wp14:editId="611C032B">
                                  <wp:extent cx="5760720" cy="33369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333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E7DA6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3pt;margin-top:10.8pt;width:453.5pt;height:28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" filled="f" stroked="f">
                <v:textbox style="mso-fit-shape-to-text:t">
                  <w:txbxContent>
                    <w:p w14:paraId="1C2D6234" w14:textId="0AB26469" w:rsidR="001F43E0" w:rsidRDefault="001F43E0" w:rsidP="001F43E0">
                      <w:r w:rsidRPr="009629B4">
                        <w:rPr>
                          <w:noProof/>
                        </w:rPr>
                        <w:drawing>
                          <wp:inline distT="0" distB="0" distL="0" distR="0" wp14:anchorId="38B1E866" wp14:editId="611C032B">
                            <wp:extent cx="5760720" cy="33369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333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AE76B2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421C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115E5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1D758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F2D0C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1CA6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7C660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21F2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D2F49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BCC59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6173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660EE" w14:textId="77777777" w:rsidR="001F43E0" w:rsidRDefault="001F43E0" w:rsidP="001F43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9B4">
        <w:rPr>
          <w:rFonts w:ascii="Times New Roman" w:hAnsi="Times New Roman" w:cs="Times New Roman"/>
          <w:b/>
          <w:bCs/>
          <w:sz w:val="24"/>
          <w:szCs w:val="24"/>
        </w:rPr>
        <w:t>Figure 9 : Taux de mortalité des poulets en fonction du régime alimentaire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2C8299B8" w14:textId="77777777" w:rsidR="001F43E0" w:rsidRDefault="001F43E0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B6AF" w14:textId="6BFB4194" w:rsidR="009C6AC8" w:rsidRDefault="009C6AC8" w:rsidP="009C6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535A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: Chicken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mortality</w:t>
      </w:r>
      <w:proofErr w:type="spellEnd"/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 rate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diet</w:t>
      </w:r>
      <w:proofErr w:type="spellEnd"/>
    </w:p>
    <w:p w14:paraId="1A8DFD3B" w14:textId="77777777" w:rsidR="009C6AC8" w:rsidRDefault="009C6AC8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9DA0" w14:textId="6422A4BD" w:rsidR="00761264" w:rsidRPr="0094608B" w:rsidRDefault="007327F1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645B2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FA06D6E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dietary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at doses of 1% or 2%,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control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as effective as a commercial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oocyst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all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control group,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neem. 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attributable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bioactive compounds,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azadirachtin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antiprotozoal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documented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[11].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are in agreement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Dossou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[12] and Sylla [13],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OPG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use of neem-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>.</w:t>
      </w:r>
    </w:p>
    <w:p w14:paraId="77C06190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performance. Indeed,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(ADG, FCR,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intakes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) or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by the incorporation of neem. 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doses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exert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 notable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antinutritional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conditions.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observations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corroborate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conclusions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Zanu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[14]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Nidaullah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[15], but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reports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doses [16],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importance of dose in the final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>.</w:t>
      </w:r>
    </w:p>
    <w:p w14:paraId="064B9B87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lastRenderedPageBreak/>
        <w:t xml:space="preserve">The absence of impact on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Kharde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[17].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rate in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untreated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 (R0)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uncontrolled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Mortalities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variable, do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seem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attributable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(high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trial).</w:t>
      </w:r>
    </w:p>
    <w:p w14:paraId="413F889A" w14:textId="6B3255A9" w:rsidR="00761264" w:rsidRPr="0023248F" w:rsidRDefault="00E645B2" w:rsidP="002324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61264" w:rsidRPr="0023248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4C447CE" w14:textId="67CC79DA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neem (</w:t>
      </w:r>
      <w:r w:rsidRPr="009C6AC8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9C6AC8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at doses up to 2%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 effective and non-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alternative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affect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slaughter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phytotherapeutic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option for more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organ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.</w:t>
      </w:r>
    </w:p>
    <w:p w14:paraId="16B513C0" w14:textId="77777777" w:rsidR="0023248F" w:rsidRDefault="0023248F" w:rsidP="0023248F">
      <w:pPr>
        <w:pStyle w:val="NoSpacing"/>
      </w:pPr>
    </w:p>
    <w:p w14:paraId="722540BF" w14:textId="77777777" w:rsidR="0023248F" w:rsidRDefault="0023248F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535A" w14:textId="77777777" w:rsidR="0023248F" w:rsidRDefault="0023248F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F670A" w14:textId="5791054D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48F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D7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try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to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reframe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these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as per </w:t>
      </w:r>
      <w:proofErr w:type="spellStart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>latest</w:t>
      </w:r>
      <w:proofErr w:type="spellEnd"/>
      <w:r w:rsidR="00D72910" w:rsidRPr="00D7291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APA style)</w:t>
      </w:r>
    </w:p>
    <w:p w14:paraId="71CE67F1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Alkhalf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Alhaj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M., &amp; Al-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homidan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I. (2010). Influence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probiotic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Sciences, 17(3), 219–225.</w:t>
      </w:r>
    </w:p>
    <w:p w14:paraId="0177C622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2. Ministry of Animal Production and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Fisheries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(MIPRAH). (2017).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Report 2017. Abidjan, Côte d'Ivoire.</w:t>
      </w:r>
    </w:p>
    <w:p w14:paraId="3F4006D3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3. National Agency for Support to Rural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(ANADER). (2018). Report on the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2018. Abidjan, Côte d'Ivoire.</w:t>
      </w:r>
    </w:p>
    <w:p w14:paraId="7C6541A0" w14:textId="53BAC5B8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4. Allen, P. C.,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Fetterer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H. (2002).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Eimeria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control of infection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coccidian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parasites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15(1), 58–65.</w:t>
      </w:r>
    </w:p>
    <w:p w14:paraId="539390E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5. Lagua, E. B.,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Ampode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M. B. (2021).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Turmeric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48F">
        <w:rPr>
          <w:rFonts w:ascii="Times New Roman" w:hAnsi="Times New Roman" w:cs="Times New Roman"/>
          <w:sz w:val="24"/>
          <w:szCs w:val="24"/>
        </w:rPr>
        <w:t>Powder:</w:t>
      </w:r>
      <w:proofErr w:type="gram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alternative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diets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Journal of Animal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Production, 9(3), 243–253.</w:t>
      </w:r>
    </w:p>
    <w:p w14:paraId="5F2A0E6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6. Jawad, Z., Younus, M.,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Mutti-ur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R., Maqbool, A., Munir, R., Muhammad,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Korejo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A.,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Qazi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I. H. (2013).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commercial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lastRenderedPageBreak/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castle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bursal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 of Agricultural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8(36), 4596–4603.</w:t>
      </w:r>
    </w:p>
    <w:p w14:paraId="6B76AF19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Ubua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J. A.,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Ozung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P. O.,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Inagu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P. G. (2019).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Dietary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Inclusion of Neem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Can Influence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Asian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Sciences, 12, 180–186.</w:t>
      </w:r>
    </w:p>
    <w:p w14:paraId="7BA2AB98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S., Yoda, J., Traore, T. K.,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Nitiema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Sombie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B. C., Diawara, H. Z.,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Yameogoa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J.B.G.,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Djande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Belemnaba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F.B.,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Semde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R. (2021). Production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manufacture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plants. International Journal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Chemical Sciences, 15(2), 750–772.</w:t>
      </w:r>
    </w:p>
    <w:p w14:paraId="2B5ABB8D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Ackah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M. (2015). Contribution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in Côte d'Ivoire.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Ivorian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Management Sciences, 10, 45–60.</w:t>
      </w:r>
    </w:p>
    <w:p w14:paraId="0381FB0F" w14:textId="3F228BD2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Zouh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Bi, Z. F.,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Oussou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A., Aman, J. B., &amp; Karamoko, Y. (2025). Gastrointestinal parasites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giant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snail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Abidjan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District, Côte d'Ivoire. Journal of Chemical,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Physical Sciences, 15(4), 657–666.</w:t>
      </w:r>
    </w:p>
    <w:p w14:paraId="53918675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11. Biu, A. A.,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Yusuff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 D., &amp;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Rabo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J. S. (2006). Use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neem (Azadirachta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Borno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State, Nigeria.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Scientist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, 7(3), 147.</w:t>
      </w:r>
    </w:p>
    <w:p w14:paraId="10E02540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Dossou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A. D. (2008).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neem cake (Azadirachta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Juss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avian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[Doctoral dissertation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]. Cheikh Anta Diop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Dakar,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Senegal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.</w:t>
      </w:r>
    </w:p>
    <w:p w14:paraId="30487031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13. Sylla, M. (2008, May 5-10). Trial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control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local plant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Inter-State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(EISMV), Dakar,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Senegal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.</w:t>
      </w:r>
    </w:p>
    <w:p w14:paraId="2E2A30EB" w14:textId="7E3E1F6C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Zanu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H.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Kagya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Agyemang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J.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Kwenin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W. K. J.,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Bonsu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F. R.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Antwi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Ateni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(2011).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to Neem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Akakapenpen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Rauvolfia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vomitoria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23248F">
        <w:rPr>
          <w:rFonts w:ascii="Times New Roman" w:hAnsi="Times New Roman" w:cs="Times New Roman"/>
          <w:sz w:val="24"/>
          <w:szCs w:val="24"/>
        </w:rPr>
        <w:t>decoctions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Science, 10(9), 730–733.</w:t>
      </w:r>
    </w:p>
    <w:p w14:paraId="23A36D2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Nidaullah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H., Durrani, F. R., Ahmad, S., Jan, I. U., &amp; Gul, S. (2010).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plants as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promotive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immunostimulant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ARPN Journal of Agricultural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Science, 5, 153–159.</w:t>
      </w:r>
    </w:p>
    <w:p w14:paraId="4F9E68F3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lastRenderedPageBreak/>
        <w:t xml:space="preserve">16. Gowda, S. K., Sastry, V. R. B.,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Katiyar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C. (1998).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neem kernel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rabbits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Journal, 75, 281–282.</w:t>
      </w:r>
    </w:p>
    <w:p w14:paraId="10D361FF" w14:textId="0B2D0394" w:rsidR="00615A87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Kharde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R.,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Soujanya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(2014).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garlic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traits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World, 7(10), 799–802.</w:t>
      </w:r>
    </w:p>
    <w:sectPr w:rsidR="00615A87" w:rsidRPr="0023248F" w:rsidSect="00495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779A6" w14:textId="77777777" w:rsidR="001B1E14" w:rsidRDefault="001B1E14" w:rsidP="009C6AC8">
      <w:pPr>
        <w:spacing w:after="0" w:line="240" w:lineRule="auto"/>
      </w:pPr>
      <w:r>
        <w:separator/>
      </w:r>
    </w:p>
  </w:endnote>
  <w:endnote w:type="continuationSeparator" w:id="0">
    <w:p w14:paraId="006ED1F2" w14:textId="77777777" w:rsidR="001B1E14" w:rsidRDefault="001B1E14" w:rsidP="009C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385F" w14:textId="77777777" w:rsidR="00495FD7" w:rsidRDefault="00495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308538"/>
      <w:docPartObj>
        <w:docPartGallery w:val="Page Numbers (Bottom of Page)"/>
        <w:docPartUnique/>
      </w:docPartObj>
    </w:sdtPr>
    <w:sdtEndPr/>
    <w:sdtContent>
      <w:p w14:paraId="1BEB23B7" w14:textId="0E5B8C1C" w:rsidR="009C6AC8" w:rsidRDefault="009C6A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1B57E" w14:textId="77777777" w:rsidR="009C6AC8" w:rsidRDefault="009C6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FE88" w14:textId="77777777" w:rsidR="00495FD7" w:rsidRDefault="0049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0223" w14:textId="77777777" w:rsidR="001B1E14" w:rsidRDefault="001B1E14" w:rsidP="009C6AC8">
      <w:pPr>
        <w:spacing w:after="0" w:line="240" w:lineRule="auto"/>
      </w:pPr>
      <w:r>
        <w:separator/>
      </w:r>
    </w:p>
  </w:footnote>
  <w:footnote w:type="continuationSeparator" w:id="0">
    <w:p w14:paraId="7F5AD415" w14:textId="77777777" w:rsidR="001B1E14" w:rsidRDefault="001B1E14" w:rsidP="009C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C017" w14:textId="4DDB777F" w:rsidR="00495FD7" w:rsidRDefault="001B1E14">
    <w:pPr>
      <w:pStyle w:val="Header"/>
    </w:pPr>
    <w:r>
      <w:rPr>
        <w:noProof/>
      </w:rPr>
      <w:pict w14:anchorId="3621E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60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CBF8" w14:textId="40C7ADAD" w:rsidR="00495FD7" w:rsidRDefault="001B1E14">
    <w:pPr>
      <w:pStyle w:val="Header"/>
    </w:pPr>
    <w:r>
      <w:rPr>
        <w:noProof/>
      </w:rPr>
      <w:pict w14:anchorId="757C6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61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99443" w14:textId="191E9756" w:rsidR="00495FD7" w:rsidRDefault="001B1E14">
    <w:pPr>
      <w:pStyle w:val="Header"/>
    </w:pPr>
    <w:r>
      <w:rPr>
        <w:noProof/>
      </w:rPr>
      <w:pict w14:anchorId="64151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59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0CB"/>
    <w:multiLevelType w:val="multilevel"/>
    <w:tmpl w:val="97A4FA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bullet"/>
      <w:pStyle w:val="Heading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341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A156A1"/>
    <w:multiLevelType w:val="hybridMultilevel"/>
    <w:tmpl w:val="41304A46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7B9A"/>
    <w:multiLevelType w:val="hybridMultilevel"/>
    <w:tmpl w:val="318C552A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C3948"/>
    <w:multiLevelType w:val="hybridMultilevel"/>
    <w:tmpl w:val="6748C0AC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4"/>
    <w:rsid w:val="000127AC"/>
    <w:rsid w:val="00022E35"/>
    <w:rsid w:val="00022F4D"/>
    <w:rsid w:val="00027EE6"/>
    <w:rsid w:val="00051670"/>
    <w:rsid w:val="000556BF"/>
    <w:rsid w:val="000B4CBB"/>
    <w:rsid w:val="001B1E14"/>
    <w:rsid w:val="001D5872"/>
    <w:rsid w:val="001F43E0"/>
    <w:rsid w:val="0023248F"/>
    <w:rsid w:val="002F5B5F"/>
    <w:rsid w:val="003506E5"/>
    <w:rsid w:val="003535A0"/>
    <w:rsid w:val="00361F26"/>
    <w:rsid w:val="00375530"/>
    <w:rsid w:val="00495FD7"/>
    <w:rsid w:val="005403BB"/>
    <w:rsid w:val="00615A87"/>
    <w:rsid w:val="006F1A20"/>
    <w:rsid w:val="00715F71"/>
    <w:rsid w:val="007327F1"/>
    <w:rsid w:val="00761264"/>
    <w:rsid w:val="00820A7C"/>
    <w:rsid w:val="00846FCD"/>
    <w:rsid w:val="008937B8"/>
    <w:rsid w:val="0094608B"/>
    <w:rsid w:val="009B2F2D"/>
    <w:rsid w:val="009C6AC8"/>
    <w:rsid w:val="00A8244B"/>
    <w:rsid w:val="00AE77C0"/>
    <w:rsid w:val="00B51D60"/>
    <w:rsid w:val="00B62C8E"/>
    <w:rsid w:val="00C20958"/>
    <w:rsid w:val="00CA7850"/>
    <w:rsid w:val="00CD1C80"/>
    <w:rsid w:val="00D15B9F"/>
    <w:rsid w:val="00D33AF3"/>
    <w:rsid w:val="00D4579C"/>
    <w:rsid w:val="00D7286D"/>
    <w:rsid w:val="00D72910"/>
    <w:rsid w:val="00DB421B"/>
    <w:rsid w:val="00DF57BD"/>
    <w:rsid w:val="00E03C6A"/>
    <w:rsid w:val="00E3354D"/>
    <w:rsid w:val="00E645B2"/>
    <w:rsid w:val="00F61107"/>
    <w:rsid w:val="00F70D92"/>
    <w:rsid w:val="00F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4D904B"/>
  <w15:chartTrackingRefBased/>
  <w15:docId w15:val="{B5760AA3-A8A7-4BD5-904E-B0B807F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D92"/>
    <w:pPr>
      <w:keepNext/>
      <w:keepLines/>
      <w:numPr>
        <w:numId w:val="1"/>
      </w:numPr>
      <w:spacing w:before="480" w:after="240"/>
      <w:outlineLvl w:val="0"/>
    </w:pPr>
    <w:rPr>
      <w:rFonts w:ascii="Times New Roman" w:eastAsia="Calibri" w:hAnsi="Times New Roman" w:cs="Times New Roman"/>
      <w:b/>
      <w:color w:val="000000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D92"/>
    <w:pPr>
      <w:keepNext/>
      <w:keepLines/>
      <w:numPr>
        <w:ilvl w:val="1"/>
        <w:numId w:val="1"/>
      </w:numPr>
      <w:spacing w:before="160" w:after="120"/>
      <w:outlineLvl w:val="1"/>
    </w:pPr>
    <w:rPr>
      <w:rFonts w:ascii="Times New Roman" w:eastAsia="SimSu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D92"/>
    <w:pPr>
      <w:keepNext/>
      <w:keepLines/>
      <w:numPr>
        <w:ilvl w:val="2"/>
        <w:numId w:val="1"/>
      </w:numPr>
      <w:spacing w:before="280" w:after="240"/>
      <w:outlineLvl w:val="2"/>
    </w:pPr>
    <w:rPr>
      <w:rFonts w:ascii="Times New Roman" w:eastAsia="SimSu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D92"/>
    <w:pPr>
      <w:keepNext/>
      <w:keepLines/>
      <w:numPr>
        <w:ilvl w:val="3"/>
        <w:numId w:val="1"/>
      </w:numPr>
      <w:spacing w:before="280" w:after="240"/>
      <w:outlineLvl w:val="3"/>
    </w:pPr>
    <w:rPr>
      <w:rFonts w:ascii="Times New Roman" w:eastAsia="SimSun" w:hAnsi="Times New Roman" w:cs="Times New Roman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0D92"/>
    <w:pPr>
      <w:keepNext/>
      <w:keepLines/>
      <w:numPr>
        <w:ilvl w:val="4"/>
        <w:numId w:val="1"/>
      </w:numPr>
      <w:spacing w:before="280" w:after="240"/>
      <w:outlineLvl w:val="4"/>
    </w:pPr>
    <w:rPr>
      <w:rFonts w:ascii="Times New Roman" w:eastAsia="SimSun" w:hAnsi="Times New Roman" w:cs="Times New Roman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D92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D92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D92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D92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D92"/>
    <w:rPr>
      <w:rFonts w:ascii="Times New Roman" w:eastAsia="Calibri" w:hAnsi="Times New Roman" w:cs="Times New Roman"/>
      <w:b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70D92"/>
    <w:rPr>
      <w:rFonts w:ascii="Times New Roman" w:eastAsia="SimSu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0D92"/>
    <w:rPr>
      <w:rFonts w:ascii="Times New Roman" w:eastAsia="SimSu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0D92"/>
    <w:rPr>
      <w:rFonts w:ascii="Times New Roman" w:eastAsia="SimSun" w:hAnsi="Times New Roman" w:cs="Times New Roman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70D92"/>
    <w:rPr>
      <w:rFonts w:ascii="Times New Roman" w:eastAsia="SimSun" w:hAnsi="Times New Roman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D92"/>
    <w:rPr>
      <w:rFonts w:ascii="Calibri Light" w:eastAsia="SimSun" w:hAnsi="Calibri Light" w:cs="Times New Roman"/>
      <w:color w:val="1F4E7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D92"/>
    <w:rPr>
      <w:rFonts w:ascii="Calibri Light" w:eastAsia="SimSun" w:hAnsi="Calibri Light" w:cs="Times New Roman"/>
      <w:i/>
      <w:iCs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D92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D92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oSpacing">
    <w:name w:val="No Spacing"/>
    <w:uiPriority w:val="1"/>
    <w:qFormat/>
    <w:rsid w:val="0023248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D1C80"/>
    <w:pPr>
      <w:spacing w:after="200" w:line="240" w:lineRule="auto"/>
    </w:pPr>
    <w:rPr>
      <w:rFonts w:ascii="Calibri" w:eastAsia="Calibri" w:hAnsi="Calibri" w:cs="Arial"/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C8"/>
  </w:style>
  <w:style w:type="paragraph" w:styleId="Footer">
    <w:name w:val="footer"/>
    <w:basedOn w:val="Normal"/>
    <w:link w:val="FooterChar"/>
    <w:uiPriority w:val="99"/>
    <w:unhideWhenUsed/>
    <w:rsid w:val="009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C8"/>
  </w:style>
  <w:style w:type="character" w:styleId="PlaceholderText">
    <w:name w:val="Placeholder Text"/>
    <w:basedOn w:val="DefaultParagraphFont"/>
    <w:uiPriority w:val="99"/>
    <w:semiHidden/>
    <w:rsid w:val="00E03C6A"/>
    <w:rPr>
      <w:color w:val="808080"/>
    </w:rPr>
  </w:style>
  <w:style w:type="paragraph" w:styleId="ListParagraph">
    <w:name w:val="List Paragraph"/>
    <w:basedOn w:val="Normal"/>
    <w:uiPriority w:val="34"/>
    <w:qFormat/>
    <w:rsid w:val="000B4CB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2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543645634247273E-2"/>
          <c:y val="8.3520833333333336E-2"/>
          <c:w val="0.92345635436575269"/>
          <c:h val="0.82674294619422573"/>
        </c:manualLayout>
      </c:layout>
      <c:lineChart>
        <c:grouping val="standard"/>
        <c:varyColors val="0"/>
        <c:ser>
          <c:idx val="0"/>
          <c:order val="0"/>
          <c:tx>
            <c:strRef>
              <c:f>[OPG.xlsx]Feuil1!$L$12</c:f>
              <c:strCache>
                <c:ptCount val="1"/>
                <c:pt idx="0">
                  <c:v>R0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[OPG.xlsx]Feuil1!$M$12:$R$12</c:f>
              <c:numCache>
                <c:formatCode>General</c:formatCode>
                <c:ptCount val="6"/>
                <c:pt idx="0">
                  <c:v>150</c:v>
                </c:pt>
                <c:pt idx="1">
                  <c:v>130</c:v>
                </c:pt>
                <c:pt idx="2">
                  <c:v>135</c:v>
                </c:pt>
                <c:pt idx="3">
                  <c:v>142</c:v>
                </c:pt>
                <c:pt idx="4">
                  <c:v>200</c:v>
                </c:pt>
                <c:pt idx="5">
                  <c:v>256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9D-4324-9DA0-AA29A6904EAD}"/>
            </c:ext>
          </c:extLst>
        </c:ser>
        <c:ser>
          <c:idx val="1"/>
          <c:order val="1"/>
          <c:tx>
            <c:strRef>
              <c:f>[OPG.xlsx]Feuil1!$L$13</c:f>
              <c:strCache>
                <c:ptCount val="1"/>
                <c:pt idx="0">
                  <c:v>R1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[OPG.xlsx]Feuil1!$M$13:$R$13</c:f>
              <c:numCache>
                <c:formatCode>General</c:formatCode>
                <c:ptCount val="6"/>
                <c:pt idx="0">
                  <c:v>150</c:v>
                </c:pt>
                <c:pt idx="1">
                  <c:v>57</c:v>
                </c:pt>
                <c:pt idx="2">
                  <c:v>89</c:v>
                </c:pt>
                <c:pt idx="3">
                  <c:v>38</c:v>
                </c:pt>
                <c:pt idx="4">
                  <c:v>33</c:v>
                </c:pt>
                <c:pt idx="5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9D-4324-9DA0-AA29A6904EAD}"/>
            </c:ext>
          </c:extLst>
        </c:ser>
        <c:ser>
          <c:idx val="2"/>
          <c:order val="2"/>
          <c:tx>
            <c:strRef>
              <c:f>[OPG.xlsx]Feuil1!$L$14</c:f>
              <c:strCache>
                <c:ptCount val="1"/>
                <c:pt idx="0">
                  <c:v>R2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[OPG.xlsx]Feuil1!$M$14:$R$14</c:f>
              <c:numCache>
                <c:formatCode>General</c:formatCode>
                <c:ptCount val="6"/>
                <c:pt idx="0">
                  <c:v>150</c:v>
                </c:pt>
                <c:pt idx="1">
                  <c:v>66</c:v>
                </c:pt>
                <c:pt idx="2">
                  <c:v>70</c:v>
                </c:pt>
                <c:pt idx="3">
                  <c:v>38</c:v>
                </c:pt>
                <c:pt idx="4">
                  <c:v>22</c:v>
                </c:pt>
                <c:pt idx="5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9D-4324-9DA0-AA29A6904EAD}"/>
            </c:ext>
          </c:extLst>
        </c:ser>
        <c:ser>
          <c:idx val="3"/>
          <c:order val="3"/>
          <c:tx>
            <c:strRef>
              <c:f>[OPG.xlsx]Feuil1!$L$15</c:f>
              <c:strCache>
                <c:ptCount val="1"/>
                <c:pt idx="0">
                  <c:v>R3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[OPG.xlsx]Feuil1!$M$15:$R$15</c:f>
              <c:numCache>
                <c:formatCode>General</c:formatCode>
                <c:ptCount val="6"/>
                <c:pt idx="0">
                  <c:v>150</c:v>
                </c:pt>
                <c:pt idx="1">
                  <c:v>63.5</c:v>
                </c:pt>
                <c:pt idx="2">
                  <c:v>80</c:v>
                </c:pt>
                <c:pt idx="3">
                  <c:v>37</c:v>
                </c:pt>
                <c:pt idx="4">
                  <c:v>26</c:v>
                </c:pt>
                <c:pt idx="5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59D-4324-9DA0-AA29A6904EAD}"/>
            </c:ext>
          </c:extLst>
        </c:ser>
        <c:ser>
          <c:idx val="4"/>
          <c:order val="4"/>
          <c:tx>
            <c:strRef>
              <c:f>[OPG.xlsx]Feuil1!$L$16</c:f>
              <c:strCache>
                <c:ptCount val="1"/>
                <c:pt idx="0">
                  <c:v>R4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[OPG.xlsx]Feuil1!$M$16:$R$16</c:f>
              <c:numCache>
                <c:formatCode>General</c:formatCode>
                <c:ptCount val="6"/>
                <c:pt idx="0">
                  <c:v>150</c:v>
                </c:pt>
                <c:pt idx="1">
                  <c:v>65</c:v>
                </c:pt>
                <c:pt idx="2">
                  <c:v>90</c:v>
                </c:pt>
                <c:pt idx="3">
                  <c:v>40</c:v>
                </c:pt>
                <c:pt idx="4">
                  <c:v>24</c:v>
                </c:pt>
                <c:pt idx="5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59D-4324-9DA0-AA29A6904EAD}"/>
            </c:ext>
          </c:extLst>
        </c:ser>
        <c:ser>
          <c:idx val="5"/>
          <c:order val="5"/>
          <c:tx>
            <c:strRef>
              <c:f>[OPG.xlsx]Feuil1!$L$17</c:f>
              <c:strCache>
                <c:ptCount val="1"/>
                <c:pt idx="0">
                  <c:v>R5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[OPG.xlsx]Feuil1!$M$17:$R$17</c:f>
              <c:numCache>
                <c:formatCode>General</c:formatCode>
                <c:ptCount val="6"/>
                <c:pt idx="0">
                  <c:v>150</c:v>
                </c:pt>
                <c:pt idx="1">
                  <c:v>66</c:v>
                </c:pt>
                <c:pt idx="2">
                  <c:v>41.5</c:v>
                </c:pt>
                <c:pt idx="3">
                  <c:v>46</c:v>
                </c:pt>
                <c:pt idx="4">
                  <c:v>24</c:v>
                </c:pt>
                <c:pt idx="5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9D-4324-9DA0-AA29A6904EAD}"/>
            </c:ext>
          </c:extLst>
        </c:ser>
        <c:ser>
          <c:idx val="6"/>
          <c:order val="6"/>
          <c:tx>
            <c:strRef>
              <c:f>[OPG.xlsx]Feuil1!$L$18</c:f>
              <c:strCache>
                <c:ptCount val="1"/>
                <c:pt idx="0">
                  <c:v>R6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[OPG.xlsx]Feuil1!$M$18:$R$18</c:f>
              <c:numCache>
                <c:formatCode>General</c:formatCode>
                <c:ptCount val="6"/>
                <c:pt idx="0">
                  <c:v>150</c:v>
                </c:pt>
                <c:pt idx="1">
                  <c:v>53.5</c:v>
                </c:pt>
                <c:pt idx="2">
                  <c:v>80</c:v>
                </c:pt>
                <c:pt idx="3">
                  <c:v>37</c:v>
                </c:pt>
                <c:pt idx="4">
                  <c:v>26</c:v>
                </c:pt>
                <c:pt idx="5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59D-4324-9DA0-AA29A6904EAD}"/>
            </c:ext>
          </c:extLst>
        </c:ser>
        <c:ser>
          <c:idx val="7"/>
          <c:order val="7"/>
          <c:tx>
            <c:strRef>
              <c:f>[OPG.xlsx]Feuil1!$L$19</c:f>
              <c:strCache>
                <c:ptCount val="1"/>
                <c:pt idx="0">
                  <c:v>R7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[OPG.xlsx]Feuil1!$M$19:$R$19</c:f>
              <c:numCache>
                <c:formatCode>General</c:formatCode>
                <c:ptCount val="6"/>
                <c:pt idx="0">
                  <c:v>150</c:v>
                </c:pt>
                <c:pt idx="1">
                  <c:v>55.5</c:v>
                </c:pt>
                <c:pt idx="2">
                  <c:v>51</c:v>
                </c:pt>
                <c:pt idx="3">
                  <c:v>40</c:v>
                </c:pt>
                <c:pt idx="4">
                  <c:v>27</c:v>
                </c:pt>
                <c:pt idx="5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59D-4324-9DA0-AA29A6904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1698831"/>
        <c:axId val="1461690511"/>
      </c:lineChart>
      <c:catAx>
        <c:axId val="1461698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Age en jours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690511"/>
        <c:crosses val="autoZero"/>
        <c:auto val="1"/>
        <c:lblAlgn val="ctr"/>
        <c:lblOffset val="100"/>
        <c:noMultiLvlLbl val="0"/>
      </c:catAx>
      <c:valAx>
        <c:axId val="1461690511"/>
        <c:scaling>
          <c:orientation val="minMax"/>
        </c:scaling>
        <c:delete val="0"/>
        <c:axPos val="l"/>
        <c:majorGridlines>
          <c:spPr>
            <a:ln w="9525" cap="flat" cmpd="sng" algn="ctr">
              <a:gradFill flip="none" rotWithShape="1"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path path="shape">
                  <a:fillToRect l="50000" t="50000" r="50000" b="50000"/>
                </a:path>
                <a:tileRect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Nombre</a:t>
                </a:r>
                <a:r>
                  <a:rPr lang="en-US"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d'OPG</a:t>
                </a:r>
                <a:endParaRPr lang="en-US" sz="1200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698831"/>
        <c:crosses val="autoZero"/>
        <c:crossBetween val="between"/>
      </c:valAx>
      <c:spPr>
        <a:noFill/>
        <a:ln w="22225">
          <a:solidFill>
            <a:schemeClr val="tx1"/>
          </a:solidFill>
          <a:miter lim="800000"/>
        </a:ln>
        <a:effectLst>
          <a:softEdge rad="12700"/>
        </a:effectLst>
      </c:spPr>
    </c:plotArea>
    <c:legend>
      <c:legendPos val="b"/>
      <c:layout>
        <c:manualLayout>
          <c:xMode val="edge"/>
          <c:yMode val="edge"/>
          <c:x val="0.3341953522313349"/>
          <c:y val="7.9351173710306575E-2"/>
          <c:w val="0.39408790050979098"/>
          <c:h val="0.281012924454585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13</Pages>
  <Words>2775</Words>
  <Characters>15824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shop</dc:creator>
  <cp:keywords/>
  <dc:description/>
  <cp:lastModifiedBy>Editor-11</cp:lastModifiedBy>
  <cp:revision>19</cp:revision>
  <dcterms:created xsi:type="dcterms:W3CDTF">2026-01-26T10:42:00Z</dcterms:created>
  <dcterms:modified xsi:type="dcterms:W3CDTF">2026-01-29T12:39:00Z</dcterms:modified>
</cp:coreProperties>
</file>