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D21D7" w14:textId="5C38812C" w:rsidR="0014793C" w:rsidRPr="00D33B78" w:rsidRDefault="0014793C" w:rsidP="0014793C">
      <w:pPr>
        <w:shd w:val="clear" w:color="auto" w:fill="FFFFFF"/>
        <w:spacing w:before="100" w:beforeAutospacing="1" w:after="240" w:line="420" w:lineRule="atLeast"/>
        <w:jc w:val="both"/>
        <w:rPr>
          <w:rFonts w:ascii="Times New Roman" w:eastAsia="Times New Roman" w:hAnsi="Times New Roman" w:cs="Times New Roman"/>
          <w:b/>
          <w:bCs/>
          <w:color w:val="0F1115"/>
          <w:sz w:val="24"/>
          <w:szCs w:val="24"/>
          <w:lang w:eastAsia="en-IN"/>
        </w:rPr>
      </w:pPr>
      <w:r w:rsidRPr="00D33B78">
        <w:rPr>
          <w:rFonts w:ascii="Times New Roman" w:eastAsia="Times New Roman" w:hAnsi="Times New Roman" w:cs="Times New Roman"/>
          <w:b/>
          <w:bCs/>
          <w:color w:val="0F1115"/>
          <w:sz w:val="24"/>
          <w:szCs w:val="24"/>
          <w:lang w:eastAsia="en-IN"/>
        </w:rPr>
        <w:t>Integrative Morphometric and DNA Barcoding Analysis of Insect Pollinators in Apple Orchards of the Kashmir Valley, India</w:t>
      </w:r>
    </w:p>
    <w:p w14:paraId="29705959" w14:textId="77777777" w:rsidR="00F03A28" w:rsidRDefault="00F03A28" w:rsidP="0014793C">
      <w:pPr>
        <w:shd w:val="clear" w:color="auto" w:fill="FFFFFF"/>
        <w:spacing w:before="240" w:after="240" w:line="420" w:lineRule="atLeast"/>
        <w:jc w:val="both"/>
        <w:rPr>
          <w:rFonts w:ascii="Times New Roman" w:eastAsia="Times New Roman" w:hAnsi="Times New Roman" w:cs="Times New Roman"/>
          <w:b/>
          <w:bCs/>
          <w:color w:val="0F1115"/>
          <w:lang w:eastAsia="en-IN"/>
        </w:rPr>
      </w:pPr>
    </w:p>
    <w:p w14:paraId="63A81A2F" w14:textId="6E4D6032"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Abstract</w:t>
      </w:r>
      <w:r w:rsidRPr="00FF0849">
        <w:rPr>
          <w:rFonts w:ascii="Times New Roman" w:eastAsia="Times New Roman" w:hAnsi="Times New Roman" w:cs="Times New Roman"/>
          <w:color w:val="0F1115"/>
          <w:lang w:eastAsia="en-IN"/>
        </w:rPr>
        <w:br/>
      </w:r>
      <w:commentRangeStart w:id="0"/>
      <w:r w:rsidRPr="00FF0849">
        <w:rPr>
          <w:rFonts w:ascii="Times New Roman" w:eastAsia="Times New Roman" w:hAnsi="Times New Roman" w:cs="Times New Roman"/>
          <w:color w:val="0F1115"/>
          <w:lang w:eastAsia="en-IN"/>
        </w:rPr>
        <w:t>Pollinators</w:t>
      </w:r>
      <w:commentRangeEnd w:id="0"/>
      <w:r w:rsidR="00185FB3">
        <w:rPr>
          <w:rStyle w:val="CommentReference"/>
        </w:rPr>
        <w:commentReference w:id="0"/>
      </w:r>
      <w:r w:rsidRPr="00FF0849">
        <w:rPr>
          <w:rFonts w:ascii="Times New Roman" w:eastAsia="Times New Roman" w:hAnsi="Times New Roman" w:cs="Times New Roman"/>
          <w:color w:val="0F1115"/>
          <w:lang w:eastAsia="en-IN"/>
        </w:rPr>
        <w:t xml:space="preserve"> play a vital role in enhancing apple productivity and maintaining ecosystem stability. This study investigated the diversity, abundance, and morphometric variation of key insect pollinators in apple orchards across three districts of the Kashmir Valley Baramulla, Srinagar, and Shopian representing varying altitudinal and ecological conditions. Morphological identification was complemented with DNA barcoding using COI gene sequences to confirm species identity. The dominant pollinators recorded were </w:t>
      </w:r>
      <w:r w:rsidRPr="00FF0849">
        <w:rPr>
          <w:rFonts w:ascii="Times New Roman" w:eastAsia="Times New Roman" w:hAnsi="Times New Roman" w:cs="Times New Roman"/>
          <w:i/>
          <w:iCs/>
          <w:color w:val="0F1115"/>
          <w:lang w:eastAsia="en-IN"/>
        </w:rPr>
        <w:t>Apis cerana</w:t>
      </w:r>
      <w:r w:rsidRPr="00FF0849">
        <w:rPr>
          <w:rFonts w:ascii="Times New Roman" w:eastAsia="Times New Roman" w:hAnsi="Times New Roman" w:cs="Times New Roman"/>
          <w:color w:val="0F1115"/>
          <w:lang w:eastAsia="en-IN"/>
        </w:rPr>
        <w:t>, </w:t>
      </w:r>
      <w:r w:rsidRPr="00FF0849">
        <w:rPr>
          <w:rFonts w:ascii="Times New Roman" w:eastAsia="Times New Roman" w:hAnsi="Times New Roman" w:cs="Times New Roman"/>
          <w:i/>
          <w:iCs/>
          <w:color w:val="0F1115"/>
          <w:lang w:eastAsia="en-IN"/>
        </w:rPr>
        <w:t>Apis mellifera</w:t>
      </w:r>
      <w:r w:rsidRPr="00FF0849">
        <w:rPr>
          <w:rFonts w:ascii="Times New Roman" w:eastAsia="Times New Roman" w:hAnsi="Times New Roman" w:cs="Times New Roman"/>
          <w:color w:val="0F1115"/>
          <w:lang w:eastAsia="en-IN"/>
        </w:rPr>
        <w:t>,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and </w:t>
      </w:r>
      <w:r w:rsidRPr="00FF0849">
        <w:rPr>
          <w:rFonts w:ascii="Times New Roman" w:eastAsia="Times New Roman" w:hAnsi="Times New Roman" w:cs="Times New Roman"/>
          <w:i/>
          <w:iCs/>
          <w:color w:val="0F1115"/>
          <w:lang w:eastAsia="en-IN"/>
        </w:rPr>
        <w:t>Eristalis tenax</w:t>
      </w:r>
      <w:r w:rsidRPr="00FF0849">
        <w:rPr>
          <w:rFonts w:ascii="Times New Roman" w:eastAsia="Times New Roman" w:hAnsi="Times New Roman" w:cs="Times New Roman"/>
          <w:color w:val="0F1115"/>
          <w:lang w:eastAsia="en-IN"/>
        </w:rPr>
        <w:t>. Morphometric analysis revealed significant interspecific and intraspecific variation in body size, wing length, and proboscis dimensions, suggesting local adaptation to altitude and floral structure. DNA barcoding confirmed species identity with 98–100% similarity to reference sequences in NCBI, validating morphological taxonomy. Pollinator abundance correlated positively with fruit set and quality attributes, including fruit weight, seed number, and shape index. These findings underscore the ecological importance of pollinator diversity for sustainable apple production in temperate Himalayan ecosystems.</w:t>
      </w:r>
    </w:p>
    <w:p w14:paraId="43015830"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Keywords:</w:t>
      </w:r>
      <w:r w:rsidRPr="00FF0849">
        <w:rPr>
          <w:rFonts w:ascii="Times New Roman" w:eastAsia="Times New Roman" w:hAnsi="Times New Roman" w:cs="Times New Roman"/>
          <w:color w:val="0F1115"/>
          <w:lang w:eastAsia="en-IN"/>
        </w:rPr>
        <w:t> Pollinators, </w:t>
      </w:r>
      <w:r w:rsidRPr="00FF0849">
        <w:rPr>
          <w:rFonts w:ascii="Times New Roman" w:eastAsia="Times New Roman" w:hAnsi="Times New Roman" w:cs="Times New Roman"/>
          <w:i/>
          <w:iCs/>
          <w:color w:val="0F1115"/>
          <w:lang w:eastAsia="en-IN"/>
        </w:rPr>
        <w:t>Apis cerana</w:t>
      </w:r>
      <w:r w:rsidRPr="00FF0849">
        <w:rPr>
          <w:rFonts w:ascii="Times New Roman" w:eastAsia="Times New Roman" w:hAnsi="Times New Roman" w:cs="Times New Roman"/>
          <w:color w:val="0F1115"/>
          <w:lang w:eastAsia="en-IN"/>
        </w:rPr>
        <w:t>,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Morphometrics, DNA barcoding, Apple orchards, Kashmir Valley</w:t>
      </w:r>
    </w:p>
    <w:p w14:paraId="25A0FE7C" w14:textId="77777777" w:rsidR="0014793C" w:rsidRPr="00FF0849" w:rsidRDefault="0014793C" w:rsidP="0014793C">
      <w:pPr>
        <w:shd w:val="clear" w:color="auto" w:fill="FFFFFF"/>
        <w:spacing w:before="480" w:after="240" w:line="450" w:lineRule="atLeast"/>
        <w:jc w:val="both"/>
        <w:outlineLvl w:val="2"/>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1. Introduction</w:t>
      </w:r>
    </w:p>
    <w:p w14:paraId="2C4F94BE"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Apple (</w:t>
      </w:r>
      <w:r w:rsidRPr="00FF0849">
        <w:rPr>
          <w:rFonts w:ascii="Times New Roman" w:eastAsia="Times New Roman" w:hAnsi="Times New Roman" w:cs="Times New Roman"/>
          <w:i/>
          <w:iCs/>
          <w:color w:val="0F1115"/>
          <w:lang w:eastAsia="en-IN"/>
        </w:rPr>
        <w:t>Malus domestica</w:t>
      </w:r>
      <w:r w:rsidRPr="00FF0849">
        <w:rPr>
          <w:rFonts w:ascii="Times New Roman" w:eastAsia="Times New Roman" w:hAnsi="Times New Roman" w:cs="Times New Roman"/>
          <w:color w:val="0F1115"/>
          <w:lang w:eastAsia="en-IN"/>
        </w:rPr>
        <w:t> Borkh.) is a globally significant temperate fruit crop whose economic viability is intrinsically linked to successful pollination. As a predominantly self-incompatible species, apple requires cross-pollination to achieve optimal fruit set, yield, and quality [1]. In the Kashmir Valley, a prime apple-growing region of India, the horticulture sector is a cornerstone of the economy, making effective pollination services not just an ecological concern but a critical socio-economic factor [2].</w:t>
      </w:r>
    </w:p>
    <w:p w14:paraId="040A119F" w14:textId="16503959"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Insect pollinators, including managed honeybees and wild species, are the principal agents facilitating this cross-pollination. While the managed Western honeybee (</w:t>
      </w:r>
      <w:r w:rsidRPr="00FF0849">
        <w:rPr>
          <w:rFonts w:ascii="Times New Roman" w:eastAsia="Times New Roman" w:hAnsi="Times New Roman" w:cs="Times New Roman"/>
          <w:i/>
          <w:iCs/>
          <w:color w:val="0F1115"/>
          <w:lang w:eastAsia="en-IN"/>
        </w:rPr>
        <w:t>Apis mellifera</w:t>
      </w:r>
      <w:r w:rsidRPr="00FF0849">
        <w:rPr>
          <w:rFonts w:ascii="Times New Roman" w:eastAsia="Times New Roman" w:hAnsi="Times New Roman" w:cs="Times New Roman"/>
          <w:color w:val="0F1115"/>
          <w:lang w:eastAsia="en-IN"/>
        </w:rPr>
        <w:t> L.) and the indigenous Asian honeybee (</w:t>
      </w:r>
      <w:r w:rsidRPr="00FF0849">
        <w:rPr>
          <w:rFonts w:ascii="Times New Roman" w:eastAsia="Times New Roman" w:hAnsi="Times New Roman" w:cs="Times New Roman"/>
          <w:i/>
          <w:iCs/>
          <w:color w:val="0F1115"/>
          <w:lang w:eastAsia="en-IN"/>
        </w:rPr>
        <w:t>Apis cerana</w:t>
      </w:r>
      <w:r w:rsidRPr="00FF0849">
        <w:rPr>
          <w:rFonts w:ascii="Times New Roman" w:eastAsia="Times New Roman" w:hAnsi="Times New Roman" w:cs="Times New Roman"/>
          <w:color w:val="0F1115"/>
          <w:lang w:eastAsia="en-IN"/>
        </w:rPr>
        <w:t> F.) are widely recognized for their contribution, a diverse guild of wild pollinators such as bumblebees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spp.), solitary bees, and syrphid flies (e.g., </w:t>
      </w:r>
      <w:r w:rsidRPr="00FF0849">
        <w:rPr>
          <w:rFonts w:ascii="Times New Roman" w:eastAsia="Times New Roman" w:hAnsi="Times New Roman" w:cs="Times New Roman"/>
          <w:i/>
          <w:iCs/>
          <w:color w:val="0F1115"/>
          <w:lang w:eastAsia="en-IN"/>
        </w:rPr>
        <w:t>Eristalis tenax</w:t>
      </w:r>
      <w:r w:rsidRPr="00FF0849">
        <w:rPr>
          <w:rFonts w:ascii="Times New Roman" w:eastAsia="Times New Roman" w:hAnsi="Times New Roman" w:cs="Times New Roman"/>
          <w:color w:val="0F1115"/>
          <w:lang w:eastAsia="en-IN"/>
        </w:rPr>
        <w:t>)—</w:t>
      </w:r>
      <w:r w:rsidRPr="00FF0849">
        <w:rPr>
          <w:rFonts w:ascii="Times New Roman" w:eastAsia="Times New Roman" w:hAnsi="Times New Roman" w:cs="Times New Roman"/>
          <w:color w:val="0F1115"/>
          <w:lang w:eastAsia="en-IN"/>
        </w:rPr>
        <w:lastRenderedPageBreak/>
        <w:t>play a crucial and often undervalued role [3, 4]. These wild pollinators can enhance pollination efficiency through complementary foraging behaviors and often forage effectively under conditions where honeybees are less active [5]. However, pollinator communities worldwide are facing unprecedented threats from habitat fragmentation, agrochemical exposure, climate change, and the spread of pathogens [6]. In the unique context of the Himalayan region, these pressures are compounded by rapid land-use change and a lack of baseline data on pollinator diversity and health.</w:t>
      </w:r>
    </w:p>
    <w:p w14:paraId="1152B703"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Accurate species identification is the foundational step in any conservation or management program. Traditional morphological taxonomy, while powerful, can be challenged by cryptic species, phenotypic plasticity, and the need for expert taxonomists [7]. The advent of DNA barcoding, using a standardized fragment of the mitochondrial cytochrome c oxidase I (COI) gene, has revolutionized biodiversity assessment by providing a rapid, objective, and reproducible tool for species identification [8]. This molecular approach is particularly useful for validating morphological identifications of difficult groups like syrphid flies and for detecting cryptic diversity within well-known genera like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[9].</w:t>
      </w:r>
    </w:p>
    <w:p w14:paraId="2D43B50C"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Furthermore, the functional morphology of pollinators, such as body size (intertegular distance), wing length, and proboscis length, is a key determinant of their pollination efficacy. These traits influence flight capacity, floral resource accessibility, and pollen carrying potential [10]. Morphometric variation within and among species can reflect local adaptations to environmental gradients like altitude and floral resource availability, which is poorly documented in the complex topography of the Kashmir Valley [11].</w:t>
      </w:r>
    </w:p>
    <w:p w14:paraId="198567BA"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Therefore, this study was designed to bridge these knowledge gaps by employing an integrative approach. The specific objectives were to: (i) comprehensively document the diversity and relative abundance of key insect pollinators in apple orchards across three ecologically distinct districts of the Kashmir Valley; (ii) quantify the intra- and interspecific morphometric variation among these pollinators; and (iii) validate the morphological identifications using DNA barcoding to establish a reliable reference database for the region's pollinator fauna.</w:t>
      </w:r>
    </w:p>
    <w:p w14:paraId="2DE9004C" w14:textId="77777777" w:rsidR="0014793C" w:rsidRPr="00FF0849" w:rsidRDefault="0014793C" w:rsidP="0014793C">
      <w:pPr>
        <w:shd w:val="clear" w:color="auto" w:fill="FFFFFF"/>
        <w:spacing w:before="480" w:after="240" w:line="450" w:lineRule="atLeast"/>
        <w:jc w:val="both"/>
        <w:outlineLvl w:val="2"/>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2. Materials and Methods</w:t>
      </w:r>
    </w:p>
    <w:p w14:paraId="5EBD2026"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2.1 Study Area</w:t>
      </w:r>
    </w:p>
    <w:p w14:paraId="7CB68424" w14:textId="08D55594" w:rsidR="00803F09" w:rsidRPr="00FF0849" w:rsidRDefault="0014793C" w:rsidP="00803F09">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lastRenderedPageBreak/>
        <w:t>Surveys were conducted in apple orchards located in three districts of the Kashmir Valley Baramulla, Srinagar, and Shopian during peak apple flowering (April–May 2024). These sites represent distinct ecological zones ranging from 1,500 to 2,300 m a.s.</w:t>
      </w:r>
      <w:commentRangeStart w:id="1"/>
      <w:r w:rsidRPr="00FF0849">
        <w:rPr>
          <w:rFonts w:ascii="Times New Roman" w:eastAsia="Times New Roman" w:hAnsi="Times New Roman" w:cs="Times New Roman"/>
          <w:color w:val="0F1115"/>
          <w:lang w:eastAsia="en-IN"/>
        </w:rPr>
        <w:t>l</w:t>
      </w:r>
      <w:commentRangeEnd w:id="1"/>
      <w:r w:rsidR="00803F09">
        <w:rPr>
          <w:rStyle w:val="CommentReference"/>
        </w:rPr>
        <w:commentReference w:id="1"/>
      </w:r>
      <w:r w:rsidRPr="00FF0849">
        <w:rPr>
          <w:rFonts w:ascii="Times New Roman" w:eastAsia="Times New Roman" w:hAnsi="Times New Roman" w:cs="Times New Roman"/>
          <w:color w:val="0F1115"/>
          <w:lang w:eastAsia="en-IN"/>
        </w:rPr>
        <w:t>.</w:t>
      </w:r>
    </w:p>
    <w:p w14:paraId="1908F7EC" w14:textId="77777777" w:rsidR="0014793C" w:rsidRPr="00FF0849" w:rsidRDefault="0014793C" w:rsidP="0014793C">
      <w:pPr>
        <w:numPr>
          <w:ilvl w:val="0"/>
          <w:numId w:val="1"/>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Baramulla:</w:t>
      </w:r>
      <w:r w:rsidRPr="00FF0849">
        <w:rPr>
          <w:rFonts w:ascii="Times New Roman" w:eastAsia="Times New Roman" w:hAnsi="Times New Roman" w:cs="Times New Roman"/>
          <w:color w:val="0F1115"/>
          <w:lang w:eastAsia="en-IN"/>
        </w:rPr>
        <w:t> Low-altitude (1500-1600 m), warmer site with mixed floral composition.</w:t>
      </w:r>
    </w:p>
    <w:p w14:paraId="081BC791" w14:textId="77777777" w:rsidR="0014793C" w:rsidRPr="00FF0849" w:rsidRDefault="0014793C" w:rsidP="0014793C">
      <w:pPr>
        <w:numPr>
          <w:ilvl w:val="0"/>
          <w:numId w:val="1"/>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Srinagar:</w:t>
      </w:r>
      <w:r w:rsidRPr="00FF0849">
        <w:rPr>
          <w:rFonts w:ascii="Times New Roman" w:eastAsia="Times New Roman" w:hAnsi="Times New Roman" w:cs="Times New Roman"/>
          <w:color w:val="0F1115"/>
          <w:lang w:eastAsia="en-IN"/>
        </w:rPr>
        <w:t> Mid-altitude (1600-1700 m), semi-urban orchards with moderate canopy density.</w:t>
      </w:r>
    </w:p>
    <w:p w14:paraId="1057E540" w14:textId="53FBBC73" w:rsidR="00803F09" w:rsidRPr="00803F09" w:rsidRDefault="0014793C" w:rsidP="00803F09">
      <w:pPr>
        <w:numPr>
          <w:ilvl w:val="0"/>
          <w:numId w:val="1"/>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Shopian:</w:t>
      </w:r>
      <w:r w:rsidRPr="00FF0849">
        <w:rPr>
          <w:rFonts w:ascii="Times New Roman" w:eastAsia="Times New Roman" w:hAnsi="Times New Roman" w:cs="Times New Roman"/>
          <w:color w:val="0F1115"/>
          <w:lang w:eastAsia="en-IN"/>
        </w:rPr>
        <w:t> High-altitude (2000-2300 m), cooler site with intensive apple cultivation.</w:t>
      </w:r>
    </w:p>
    <w:p w14:paraId="6EA81C0C"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2.2 Sampling and Identification</w:t>
      </w:r>
    </w:p>
    <w:p w14:paraId="4248FC15"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Insect pollinators visiting apple flowers were collected using standardized sweep nets and colored pan traps (yellow and white) during peak foraging hours (9:00–13:00 h) under favorable weather conditions. Specimens were anesthetized using ethyl acetate, pinned, and identified morphologically using standard entomological keys [12, 13]. Representative specimens were photographed and preserved in 95% ethanol for molecular analysis.</w:t>
      </w:r>
    </w:p>
    <w:p w14:paraId="04FB980F"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2.3 Morphometric Analysis</w:t>
      </w:r>
    </w:p>
    <w:p w14:paraId="4305368A"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For each species, 10 individuals per district (n=30 per species) were measured under a calibrated stereo microscope (Olympus SZ61, 4.5×15× magnification; 1 ocular division = 0.022 mm). Parameters recorded included body length, wing length, proboscis length, and intertegular distance (ITD), a reliable proxy for body size in bees [10].</w:t>
      </w:r>
    </w:p>
    <w:p w14:paraId="3A0A23BA"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2.4 DNA Barcoding</w:t>
      </w:r>
    </w:p>
    <w:p w14:paraId="32095703"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Genomic DNA was extracted from thoracic muscle tissue using the standard Cetyltrimethylammonium bromide (CTAB) method. The ~650 bp fragment of the COI gene was amplified using universal primers LCO1490 (5'-GGTCAACAAATCATAAAGATATTGG-3') and HCO2198 (5'-TAAACTTCAGGGTGACCAAAAAATCA-3'). PCR products were sequenced bidirectionally, and the resulting sequences were edited and assembled using Geneious Prime®. Processed sequences were compared with NCBI GenBank records using the BLAST algorithm for species confirmation and genetic divergence analysis.</w:t>
      </w:r>
    </w:p>
    <w:p w14:paraId="2B5BC9A9"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2.5 Fruit Characterization</w:t>
      </w:r>
    </w:p>
    <w:p w14:paraId="7B541B61"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lastRenderedPageBreak/>
        <w:t>Apple fruits (cv. 'Delicious') from the corresponding orchards were harvested at commercial maturity. A random sample of 50 fruits per orchard was evaluated for fruit weight (g), polar diameter (mm), equatorial diameter (mm), shape index (polar/equatorial diameter), and seed number per fruit to assess pollination efficiency. Data were analyzed for correlation with pollinator abundance.</w:t>
      </w:r>
    </w:p>
    <w:p w14:paraId="64AB40E9"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2.6 Statistical Analysis</w:t>
      </w:r>
    </w:p>
    <w:p w14:paraId="18E62169"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Data were analyzed using R software (v4.3.1). One-way ANOVA with post-hoc Tukey's HSD test was used to compare morphometric traits among species and districts. Pearson's correlation coefficient was calculated to assess the relationship between pollinator abundance and fruit quality parameters. Genetic distances (K2P) were calculated using MEGA XI.</w:t>
      </w:r>
    </w:p>
    <w:p w14:paraId="4F9C68CC" w14:textId="77777777" w:rsidR="0014793C" w:rsidRPr="00FF0849" w:rsidRDefault="0014793C" w:rsidP="0014793C">
      <w:pPr>
        <w:shd w:val="clear" w:color="auto" w:fill="FFFFFF"/>
        <w:spacing w:before="480" w:after="240" w:line="450" w:lineRule="atLeast"/>
        <w:jc w:val="both"/>
        <w:outlineLvl w:val="2"/>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3. Results</w:t>
      </w:r>
    </w:p>
    <w:p w14:paraId="3E6D4808"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3.1 Diversity and Relative Abundance of Pollinators</w:t>
      </w:r>
    </w:p>
    <w:p w14:paraId="0171204B"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Four major insect pollinators were identified: </w:t>
      </w:r>
      <w:r w:rsidRPr="00FF0849">
        <w:rPr>
          <w:rFonts w:ascii="Times New Roman" w:eastAsia="Times New Roman" w:hAnsi="Times New Roman" w:cs="Times New Roman"/>
          <w:i/>
          <w:iCs/>
          <w:color w:val="0F1115"/>
          <w:lang w:eastAsia="en-IN"/>
        </w:rPr>
        <w:t>Apis cerana</w:t>
      </w:r>
      <w:r w:rsidRPr="00FF0849">
        <w:rPr>
          <w:rFonts w:ascii="Times New Roman" w:eastAsia="Times New Roman" w:hAnsi="Times New Roman" w:cs="Times New Roman"/>
          <w:color w:val="0F1115"/>
          <w:lang w:eastAsia="en-IN"/>
        </w:rPr>
        <w:t>, </w:t>
      </w:r>
      <w:r w:rsidRPr="00FF0849">
        <w:rPr>
          <w:rFonts w:ascii="Times New Roman" w:eastAsia="Times New Roman" w:hAnsi="Times New Roman" w:cs="Times New Roman"/>
          <w:i/>
          <w:iCs/>
          <w:color w:val="0F1115"/>
          <w:lang w:eastAsia="en-IN"/>
        </w:rPr>
        <w:t>Apis mellifera</w:t>
      </w:r>
      <w:r w:rsidRPr="00FF0849">
        <w:rPr>
          <w:rFonts w:ascii="Times New Roman" w:eastAsia="Times New Roman" w:hAnsi="Times New Roman" w:cs="Times New Roman"/>
          <w:color w:val="0F1115"/>
          <w:lang w:eastAsia="en-IN"/>
        </w:rPr>
        <w:t>,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and </w:t>
      </w:r>
      <w:r w:rsidRPr="00FF0849">
        <w:rPr>
          <w:rFonts w:ascii="Times New Roman" w:eastAsia="Times New Roman" w:hAnsi="Times New Roman" w:cs="Times New Roman"/>
          <w:i/>
          <w:iCs/>
          <w:color w:val="0F1115"/>
          <w:lang w:eastAsia="en-IN"/>
        </w:rPr>
        <w:t>Eristalis tenax</w:t>
      </w:r>
      <w:r w:rsidRPr="00FF0849">
        <w:rPr>
          <w:rFonts w:ascii="Times New Roman" w:eastAsia="Times New Roman" w:hAnsi="Times New Roman" w:cs="Times New Roman"/>
          <w:color w:val="0F1115"/>
          <w:lang w:eastAsia="en-IN"/>
        </w:rPr>
        <w:t>. Relative abundance varied significantly across districts (χ² = 45.32, p &lt; 0.001), with </w:t>
      </w:r>
      <w:r w:rsidRPr="00FF0849">
        <w:rPr>
          <w:rFonts w:ascii="Times New Roman" w:eastAsia="Times New Roman" w:hAnsi="Times New Roman" w:cs="Times New Roman"/>
          <w:i/>
          <w:iCs/>
          <w:color w:val="0F1115"/>
          <w:lang w:eastAsia="en-IN"/>
        </w:rPr>
        <w:t>A. mellifera</w:t>
      </w:r>
      <w:r w:rsidRPr="00FF0849">
        <w:rPr>
          <w:rFonts w:ascii="Times New Roman" w:eastAsia="Times New Roman" w:hAnsi="Times New Roman" w:cs="Times New Roman"/>
          <w:color w:val="0F1115"/>
          <w:lang w:eastAsia="en-IN"/>
        </w:rPr>
        <w:t> dominating in Srinagar and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more prevalent in Shopian (Table 1).</w:t>
      </w:r>
    </w:p>
    <w:p w14:paraId="6BF0985D"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Table 1. Relative abundance (%) of major pollinators in apple orchards of Kashmir Valley.</w:t>
      </w:r>
    </w:p>
    <w:tbl>
      <w:tblPr>
        <w:tblW w:w="0" w:type="auto"/>
        <w:tblCellMar>
          <w:top w:w="15" w:type="dxa"/>
          <w:left w:w="15" w:type="dxa"/>
          <w:bottom w:w="15" w:type="dxa"/>
          <w:right w:w="15" w:type="dxa"/>
        </w:tblCellMar>
        <w:tblLook w:val="04A0" w:firstRow="1" w:lastRow="0" w:firstColumn="1" w:lastColumn="0" w:noHBand="0" w:noVBand="1"/>
      </w:tblPr>
      <w:tblGrid>
        <w:gridCol w:w="1518"/>
        <w:gridCol w:w="1397"/>
        <w:gridCol w:w="1226"/>
        <w:gridCol w:w="1202"/>
        <w:gridCol w:w="2423"/>
      </w:tblGrid>
      <w:tr w:rsidR="0014793C" w:rsidRPr="00FF0849" w14:paraId="4F0A98E4" w14:textId="77777777" w:rsidTr="0014793C">
        <w:trPr>
          <w:tblHeader/>
        </w:trPr>
        <w:tc>
          <w:tcPr>
            <w:tcW w:w="0" w:type="auto"/>
            <w:tcBorders>
              <w:top w:val="nil"/>
            </w:tcBorders>
            <w:tcMar>
              <w:top w:w="150" w:type="dxa"/>
              <w:left w:w="0" w:type="dxa"/>
              <w:bottom w:w="150" w:type="dxa"/>
              <w:right w:w="240" w:type="dxa"/>
            </w:tcMar>
            <w:vAlign w:val="center"/>
            <w:hideMark/>
          </w:tcPr>
          <w:p w14:paraId="08120DB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Species</w:t>
            </w:r>
          </w:p>
        </w:tc>
        <w:tc>
          <w:tcPr>
            <w:tcW w:w="0" w:type="auto"/>
            <w:tcBorders>
              <w:top w:val="nil"/>
            </w:tcBorders>
            <w:tcMar>
              <w:top w:w="150" w:type="dxa"/>
              <w:left w:w="240" w:type="dxa"/>
              <w:bottom w:w="150" w:type="dxa"/>
              <w:right w:w="240" w:type="dxa"/>
            </w:tcMar>
            <w:vAlign w:val="center"/>
            <w:hideMark/>
          </w:tcPr>
          <w:p w14:paraId="37A3FF8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Baramulla</w:t>
            </w:r>
          </w:p>
        </w:tc>
        <w:tc>
          <w:tcPr>
            <w:tcW w:w="0" w:type="auto"/>
            <w:tcBorders>
              <w:top w:val="nil"/>
            </w:tcBorders>
            <w:tcMar>
              <w:top w:w="150" w:type="dxa"/>
              <w:left w:w="240" w:type="dxa"/>
              <w:bottom w:w="150" w:type="dxa"/>
              <w:right w:w="240" w:type="dxa"/>
            </w:tcMar>
            <w:vAlign w:val="center"/>
            <w:hideMark/>
          </w:tcPr>
          <w:p w14:paraId="298E37F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Srinagar</w:t>
            </w:r>
          </w:p>
        </w:tc>
        <w:tc>
          <w:tcPr>
            <w:tcW w:w="0" w:type="auto"/>
            <w:tcBorders>
              <w:top w:val="nil"/>
            </w:tcBorders>
            <w:tcMar>
              <w:top w:w="150" w:type="dxa"/>
              <w:left w:w="240" w:type="dxa"/>
              <w:bottom w:w="150" w:type="dxa"/>
              <w:right w:w="240" w:type="dxa"/>
            </w:tcMar>
            <w:vAlign w:val="center"/>
            <w:hideMark/>
          </w:tcPr>
          <w:p w14:paraId="50066788"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Shopian</w:t>
            </w:r>
          </w:p>
        </w:tc>
        <w:tc>
          <w:tcPr>
            <w:tcW w:w="0" w:type="auto"/>
            <w:tcBorders>
              <w:top w:val="nil"/>
            </w:tcBorders>
            <w:tcMar>
              <w:top w:w="150" w:type="dxa"/>
              <w:left w:w="240" w:type="dxa"/>
              <w:bottom w:w="150" w:type="dxa"/>
              <w:right w:w="240" w:type="dxa"/>
            </w:tcMar>
            <w:vAlign w:val="center"/>
            <w:hideMark/>
          </w:tcPr>
          <w:p w14:paraId="20BEB3F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Mean Abundance (%)</w:t>
            </w:r>
          </w:p>
        </w:tc>
      </w:tr>
      <w:tr w:rsidR="0014793C" w:rsidRPr="00FF0849" w14:paraId="3D95DE81" w14:textId="77777777" w:rsidTr="0014793C">
        <w:tc>
          <w:tcPr>
            <w:tcW w:w="0" w:type="auto"/>
            <w:tcMar>
              <w:top w:w="150" w:type="dxa"/>
              <w:left w:w="0" w:type="dxa"/>
              <w:bottom w:w="150" w:type="dxa"/>
              <w:right w:w="240" w:type="dxa"/>
            </w:tcMar>
            <w:vAlign w:val="center"/>
            <w:hideMark/>
          </w:tcPr>
          <w:p w14:paraId="6498495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Apis cerana</w:t>
            </w:r>
          </w:p>
        </w:tc>
        <w:tc>
          <w:tcPr>
            <w:tcW w:w="0" w:type="auto"/>
            <w:tcMar>
              <w:top w:w="150" w:type="dxa"/>
              <w:left w:w="240" w:type="dxa"/>
              <w:bottom w:w="150" w:type="dxa"/>
              <w:right w:w="240" w:type="dxa"/>
            </w:tcMar>
            <w:vAlign w:val="center"/>
            <w:hideMark/>
          </w:tcPr>
          <w:p w14:paraId="414207F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32.5</w:t>
            </w:r>
          </w:p>
        </w:tc>
        <w:tc>
          <w:tcPr>
            <w:tcW w:w="0" w:type="auto"/>
            <w:tcMar>
              <w:top w:w="150" w:type="dxa"/>
              <w:left w:w="240" w:type="dxa"/>
              <w:bottom w:w="150" w:type="dxa"/>
              <w:right w:w="240" w:type="dxa"/>
            </w:tcMar>
            <w:vAlign w:val="center"/>
            <w:hideMark/>
          </w:tcPr>
          <w:p w14:paraId="1D3755A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27.4</w:t>
            </w:r>
          </w:p>
        </w:tc>
        <w:tc>
          <w:tcPr>
            <w:tcW w:w="0" w:type="auto"/>
            <w:tcMar>
              <w:top w:w="150" w:type="dxa"/>
              <w:left w:w="240" w:type="dxa"/>
              <w:bottom w:w="150" w:type="dxa"/>
              <w:right w:w="240" w:type="dxa"/>
            </w:tcMar>
            <w:vAlign w:val="center"/>
            <w:hideMark/>
          </w:tcPr>
          <w:p w14:paraId="6EDDF53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18.3</w:t>
            </w:r>
          </w:p>
        </w:tc>
        <w:tc>
          <w:tcPr>
            <w:tcW w:w="0" w:type="auto"/>
            <w:tcMar>
              <w:top w:w="150" w:type="dxa"/>
              <w:left w:w="240" w:type="dxa"/>
              <w:bottom w:w="150" w:type="dxa"/>
              <w:right w:w="0" w:type="dxa"/>
            </w:tcMar>
            <w:vAlign w:val="center"/>
            <w:hideMark/>
          </w:tcPr>
          <w:p w14:paraId="5414D0A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26.1</w:t>
            </w:r>
          </w:p>
        </w:tc>
      </w:tr>
      <w:tr w:rsidR="0014793C" w:rsidRPr="00FF0849" w14:paraId="715C87AE" w14:textId="77777777" w:rsidTr="0014793C">
        <w:tc>
          <w:tcPr>
            <w:tcW w:w="0" w:type="auto"/>
            <w:tcMar>
              <w:top w:w="150" w:type="dxa"/>
              <w:left w:w="0" w:type="dxa"/>
              <w:bottom w:w="150" w:type="dxa"/>
              <w:right w:w="240" w:type="dxa"/>
            </w:tcMar>
            <w:vAlign w:val="center"/>
            <w:hideMark/>
          </w:tcPr>
          <w:p w14:paraId="3985BF0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Apis mellifera</w:t>
            </w:r>
          </w:p>
        </w:tc>
        <w:tc>
          <w:tcPr>
            <w:tcW w:w="0" w:type="auto"/>
            <w:tcMar>
              <w:top w:w="150" w:type="dxa"/>
              <w:left w:w="240" w:type="dxa"/>
              <w:bottom w:w="150" w:type="dxa"/>
              <w:right w:w="240" w:type="dxa"/>
            </w:tcMar>
            <w:vAlign w:val="center"/>
            <w:hideMark/>
          </w:tcPr>
          <w:p w14:paraId="5AFF147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45.1</w:t>
            </w:r>
          </w:p>
        </w:tc>
        <w:tc>
          <w:tcPr>
            <w:tcW w:w="0" w:type="auto"/>
            <w:tcMar>
              <w:top w:w="150" w:type="dxa"/>
              <w:left w:w="240" w:type="dxa"/>
              <w:bottom w:w="150" w:type="dxa"/>
              <w:right w:w="240" w:type="dxa"/>
            </w:tcMar>
            <w:vAlign w:val="center"/>
            <w:hideMark/>
          </w:tcPr>
          <w:p w14:paraId="06BFE7C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51.2</w:t>
            </w:r>
          </w:p>
        </w:tc>
        <w:tc>
          <w:tcPr>
            <w:tcW w:w="0" w:type="auto"/>
            <w:tcMar>
              <w:top w:w="150" w:type="dxa"/>
              <w:left w:w="240" w:type="dxa"/>
              <w:bottom w:w="150" w:type="dxa"/>
              <w:right w:w="240" w:type="dxa"/>
            </w:tcMar>
            <w:vAlign w:val="center"/>
            <w:hideMark/>
          </w:tcPr>
          <w:p w14:paraId="0B2C788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38.5</w:t>
            </w:r>
          </w:p>
        </w:tc>
        <w:tc>
          <w:tcPr>
            <w:tcW w:w="0" w:type="auto"/>
            <w:tcMar>
              <w:top w:w="150" w:type="dxa"/>
              <w:left w:w="240" w:type="dxa"/>
              <w:bottom w:w="150" w:type="dxa"/>
              <w:right w:w="0" w:type="dxa"/>
            </w:tcMar>
            <w:vAlign w:val="center"/>
            <w:hideMark/>
          </w:tcPr>
          <w:p w14:paraId="4418400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44.9</w:t>
            </w:r>
          </w:p>
        </w:tc>
      </w:tr>
      <w:tr w:rsidR="0014793C" w:rsidRPr="00FF0849" w14:paraId="2857A0AD" w14:textId="77777777" w:rsidTr="0014793C">
        <w:tc>
          <w:tcPr>
            <w:tcW w:w="0" w:type="auto"/>
            <w:tcMar>
              <w:top w:w="150" w:type="dxa"/>
              <w:left w:w="0" w:type="dxa"/>
              <w:bottom w:w="150" w:type="dxa"/>
              <w:right w:w="240" w:type="dxa"/>
            </w:tcMar>
            <w:vAlign w:val="center"/>
            <w:hideMark/>
          </w:tcPr>
          <w:p w14:paraId="05CE213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Bombus</w:t>
            </w:r>
            <w:r w:rsidRPr="00FF0849">
              <w:rPr>
                <w:rFonts w:ascii="Times New Roman" w:eastAsia="Times New Roman" w:hAnsi="Times New Roman" w:cs="Times New Roman"/>
                <w:lang w:eastAsia="en-IN"/>
              </w:rPr>
              <w:t> sp.</w:t>
            </w:r>
          </w:p>
        </w:tc>
        <w:tc>
          <w:tcPr>
            <w:tcW w:w="0" w:type="auto"/>
            <w:tcMar>
              <w:top w:w="150" w:type="dxa"/>
              <w:left w:w="240" w:type="dxa"/>
              <w:bottom w:w="150" w:type="dxa"/>
              <w:right w:w="240" w:type="dxa"/>
            </w:tcMar>
            <w:vAlign w:val="center"/>
            <w:hideMark/>
          </w:tcPr>
          <w:p w14:paraId="4FDBF56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12.6</w:t>
            </w:r>
          </w:p>
        </w:tc>
        <w:tc>
          <w:tcPr>
            <w:tcW w:w="0" w:type="auto"/>
            <w:tcMar>
              <w:top w:w="150" w:type="dxa"/>
              <w:left w:w="240" w:type="dxa"/>
              <w:bottom w:w="150" w:type="dxa"/>
              <w:right w:w="240" w:type="dxa"/>
            </w:tcMar>
            <w:vAlign w:val="center"/>
            <w:hideMark/>
          </w:tcPr>
          <w:p w14:paraId="4461FE0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9.8</w:t>
            </w:r>
          </w:p>
        </w:tc>
        <w:tc>
          <w:tcPr>
            <w:tcW w:w="0" w:type="auto"/>
            <w:tcMar>
              <w:top w:w="150" w:type="dxa"/>
              <w:left w:w="240" w:type="dxa"/>
              <w:bottom w:w="150" w:type="dxa"/>
              <w:right w:w="240" w:type="dxa"/>
            </w:tcMar>
            <w:vAlign w:val="center"/>
            <w:hideMark/>
          </w:tcPr>
          <w:p w14:paraId="7E5C3B2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28.1</w:t>
            </w:r>
          </w:p>
        </w:tc>
        <w:tc>
          <w:tcPr>
            <w:tcW w:w="0" w:type="auto"/>
            <w:tcMar>
              <w:top w:w="150" w:type="dxa"/>
              <w:left w:w="240" w:type="dxa"/>
              <w:bottom w:w="150" w:type="dxa"/>
              <w:right w:w="0" w:type="dxa"/>
            </w:tcMar>
            <w:vAlign w:val="center"/>
            <w:hideMark/>
          </w:tcPr>
          <w:p w14:paraId="3356E9E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16.8</w:t>
            </w:r>
          </w:p>
        </w:tc>
      </w:tr>
      <w:tr w:rsidR="0014793C" w:rsidRPr="00FF0849" w14:paraId="0E5D5749" w14:textId="77777777" w:rsidTr="0014793C">
        <w:tc>
          <w:tcPr>
            <w:tcW w:w="0" w:type="auto"/>
            <w:tcMar>
              <w:top w:w="150" w:type="dxa"/>
              <w:left w:w="0" w:type="dxa"/>
              <w:bottom w:w="150" w:type="dxa"/>
              <w:right w:w="240" w:type="dxa"/>
            </w:tcMar>
            <w:vAlign w:val="center"/>
            <w:hideMark/>
          </w:tcPr>
          <w:p w14:paraId="44BBE65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Eristalis tenax</w:t>
            </w:r>
          </w:p>
        </w:tc>
        <w:tc>
          <w:tcPr>
            <w:tcW w:w="0" w:type="auto"/>
            <w:tcMar>
              <w:top w:w="150" w:type="dxa"/>
              <w:left w:w="240" w:type="dxa"/>
              <w:bottom w:w="150" w:type="dxa"/>
              <w:right w:w="240" w:type="dxa"/>
            </w:tcMar>
            <w:vAlign w:val="center"/>
            <w:hideMark/>
          </w:tcPr>
          <w:p w14:paraId="777F604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9.8</w:t>
            </w:r>
          </w:p>
        </w:tc>
        <w:tc>
          <w:tcPr>
            <w:tcW w:w="0" w:type="auto"/>
            <w:tcMar>
              <w:top w:w="150" w:type="dxa"/>
              <w:left w:w="240" w:type="dxa"/>
              <w:bottom w:w="150" w:type="dxa"/>
              <w:right w:w="240" w:type="dxa"/>
            </w:tcMar>
            <w:vAlign w:val="center"/>
            <w:hideMark/>
          </w:tcPr>
          <w:p w14:paraId="6C9C8B9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11.6</w:t>
            </w:r>
          </w:p>
        </w:tc>
        <w:tc>
          <w:tcPr>
            <w:tcW w:w="0" w:type="auto"/>
            <w:tcMar>
              <w:top w:w="150" w:type="dxa"/>
              <w:left w:w="240" w:type="dxa"/>
              <w:bottom w:w="150" w:type="dxa"/>
              <w:right w:w="240" w:type="dxa"/>
            </w:tcMar>
            <w:vAlign w:val="center"/>
            <w:hideMark/>
          </w:tcPr>
          <w:p w14:paraId="4CA4AC0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15.1</w:t>
            </w:r>
          </w:p>
        </w:tc>
        <w:tc>
          <w:tcPr>
            <w:tcW w:w="0" w:type="auto"/>
            <w:tcMar>
              <w:top w:w="150" w:type="dxa"/>
              <w:left w:w="240" w:type="dxa"/>
              <w:bottom w:w="150" w:type="dxa"/>
              <w:right w:w="0" w:type="dxa"/>
            </w:tcMar>
            <w:vAlign w:val="center"/>
            <w:hideMark/>
          </w:tcPr>
          <w:p w14:paraId="64683F9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12.2</w:t>
            </w:r>
          </w:p>
        </w:tc>
      </w:tr>
    </w:tbl>
    <w:p w14:paraId="2DEA388E"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3.2 Morphometric Measurements</w:t>
      </w:r>
    </w:p>
    <w:p w14:paraId="0D88596F"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Significant interspecific variation (p &lt; 0.001) was observed in all measured morphological traits (Table 2).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exhibited the largest body size, wing length, and proboscis length, while </w:t>
      </w:r>
      <w:r w:rsidRPr="00FF0849">
        <w:rPr>
          <w:rFonts w:ascii="Times New Roman" w:eastAsia="Times New Roman" w:hAnsi="Times New Roman" w:cs="Times New Roman"/>
          <w:i/>
          <w:iCs/>
          <w:color w:val="0F1115"/>
          <w:lang w:eastAsia="en-IN"/>
        </w:rPr>
        <w:t>Eristalis tenax</w:t>
      </w:r>
      <w:r w:rsidRPr="00FF0849">
        <w:rPr>
          <w:rFonts w:ascii="Times New Roman" w:eastAsia="Times New Roman" w:hAnsi="Times New Roman" w:cs="Times New Roman"/>
          <w:color w:val="0F1115"/>
          <w:lang w:eastAsia="en-IN"/>
        </w:rPr>
        <w:t> had the smallest dimensions.</w:t>
      </w:r>
    </w:p>
    <w:p w14:paraId="42DBB37E"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lastRenderedPageBreak/>
        <w:t>Table 2. Mean morphometric traits (mm, Mean ± SD) of major pollinators across districts.</w:t>
      </w:r>
    </w:p>
    <w:tbl>
      <w:tblPr>
        <w:tblW w:w="0" w:type="auto"/>
        <w:tblCellMar>
          <w:top w:w="15" w:type="dxa"/>
          <w:left w:w="15" w:type="dxa"/>
          <w:bottom w:w="15" w:type="dxa"/>
          <w:right w:w="15" w:type="dxa"/>
        </w:tblCellMar>
        <w:tblLook w:val="04A0" w:firstRow="1" w:lastRow="0" w:firstColumn="1" w:lastColumn="0" w:noHBand="0" w:noVBand="1"/>
      </w:tblPr>
      <w:tblGrid>
        <w:gridCol w:w="3310"/>
        <w:gridCol w:w="1252"/>
        <w:gridCol w:w="1249"/>
        <w:gridCol w:w="1504"/>
        <w:gridCol w:w="1711"/>
      </w:tblGrid>
      <w:tr w:rsidR="0014793C" w:rsidRPr="00FF0849" w14:paraId="740AA173" w14:textId="77777777" w:rsidTr="0014793C">
        <w:trPr>
          <w:tblHeader/>
        </w:trPr>
        <w:tc>
          <w:tcPr>
            <w:tcW w:w="0" w:type="auto"/>
            <w:tcBorders>
              <w:top w:val="nil"/>
            </w:tcBorders>
            <w:tcMar>
              <w:top w:w="150" w:type="dxa"/>
              <w:left w:w="0" w:type="dxa"/>
              <w:bottom w:w="150" w:type="dxa"/>
              <w:right w:w="240" w:type="dxa"/>
            </w:tcMar>
            <w:vAlign w:val="center"/>
            <w:hideMark/>
          </w:tcPr>
          <w:p w14:paraId="0181BD2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Species</w:t>
            </w:r>
          </w:p>
        </w:tc>
        <w:tc>
          <w:tcPr>
            <w:tcW w:w="0" w:type="auto"/>
            <w:tcBorders>
              <w:top w:val="nil"/>
            </w:tcBorders>
            <w:tcMar>
              <w:top w:w="150" w:type="dxa"/>
              <w:left w:w="240" w:type="dxa"/>
              <w:bottom w:w="150" w:type="dxa"/>
              <w:right w:w="240" w:type="dxa"/>
            </w:tcMar>
            <w:vAlign w:val="center"/>
            <w:hideMark/>
          </w:tcPr>
          <w:p w14:paraId="6941FC2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Body Length</w:t>
            </w:r>
          </w:p>
        </w:tc>
        <w:tc>
          <w:tcPr>
            <w:tcW w:w="0" w:type="auto"/>
            <w:tcBorders>
              <w:top w:val="nil"/>
            </w:tcBorders>
            <w:tcMar>
              <w:top w:w="150" w:type="dxa"/>
              <w:left w:w="240" w:type="dxa"/>
              <w:bottom w:w="150" w:type="dxa"/>
              <w:right w:w="240" w:type="dxa"/>
            </w:tcMar>
            <w:vAlign w:val="center"/>
            <w:hideMark/>
          </w:tcPr>
          <w:p w14:paraId="2373112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Wing Length</w:t>
            </w:r>
          </w:p>
        </w:tc>
        <w:tc>
          <w:tcPr>
            <w:tcW w:w="0" w:type="auto"/>
            <w:tcBorders>
              <w:top w:val="nil"/>
            </w:tcBorders>
            <w:tcMar>
              <w:top w:w="150" w:type="dxa"/>
              <w:left w:w="240" w:type="dxa"/>
              <w:bottom w:w="150" w:type="dxa"/>
              <w:right w:w="240" w:type="dxa"/>
            </w:tcMar>
            <w:vAlign w:val="center"/>
            <w:hideMark/>
          </w:tcPr>
          <w:p w14:paraId="1064DD5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Proboscis Length</w:t>
            </w:r>
          </w:p>
        </w:tc>
        <w:tc>
          <w:tcPr>
            <w:tcW w:w="0" w:type="auto"/>
            <w:tcBorders>
              <w:top w:val="nil"/>
            </w:tcBorders>
            <w:tcMar>
              <w:top w:w="150" w:type="dxa"/>
              <w:left w:w="240" w:type="dxa"/>
              <w:bottom w:w="150" w:type="dxa"/>
              <w:right w:w="240" w:type="dxa"/>
            </w:tcMar>
            <w:vAlign w:val="center"/>
            <w:hideMark/>
          </w:tcPr>
          <w:p w14:paraId="088BBE27"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Intertegular Distance</w:t>
            </w:r>
          </w:p>
        </w:tc>
      </w:tr>
      <w:tr w:rsidR="0014793C" w:rsidRPr="00FF0849" w14:paraId="36A58952" w14:textId="77777777" w:rsidTr="0014793C">
        <w:tc>
          <w:tcPr>
            <w:tcW w:w="0" w:type="auto"/>
            <w:tcMar>
              <w:top w:w="150" w:type="dxa"/>
              <w:left w:w="0" w:type="dxa"/>
              <w:bottom w:w="150" w:type="dxa"/>
              <w:right w:w="240" w:type="dxa"/>
            </w:tcMar>
            <w:vAlign w:val="center"/>
            <w:hideMark/>
          </w:tcPr>
          <w:p w14:paraId="56E0BD5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cerana</w:t>
            </w:r>
          </w:p>
        </w:tc>
        <w:tc>
          <w:tcPr>
            <w:tcW w:w="0" w:type="auto"/>
            <w:tcMar>
              <w:top w:w="150" w:type="dxa"/>
              <w:left w:w="240" w:type="dxa"/>
              <w:bottom w:w="150" w:type="dxa"/>
              <w:right w:w="240" w:type="dxa"/>
            </w:tcMar>
            <w:vAlign w:val="center"/>
            <w:hideMark/>
          </w:tcPr>
          <w:p w14:paraId="06CBFF6F"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11.82 ± 0.36a</w:t>
            </w:r>
          </w:p>
        </w:tc>
        <w:tc>
          <w:tcPr>
            <w:tcW w:w="0" w:type="auto"/>
            <w:tcMar>
              <w:top w:w="150" w:type="dxa"/>
              <w:left w:w="240" w:type="dxa"/>
              <w:bottom w:w="150" w:type="dxa"/>
              <w:right w:w="240" w:type="dxa"/>
            </w:tcMar>
            <w:vAlign w:val="center"/>
            <w:hideMark/>
          </w:tcPr>
          <w:p w14:paraId="5B12F67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8.45 ± 0.28a</w:t>
            </w:r>
          </w:p>
        </w:tc>
        <w:tc>
          <w:tcPr>
            <w:tcW w:w="0" w:type="auto"/>
            <w:tcMar>
              <w:top w:w="150" w:type="dxa"/>
              <w:left w:w="240" w:type="dxa"/>
              <w:bottom w:w="150" w:type="dxa"/>
              <w:right w:w="240" w:type="dxa"/>
            </w:tcMar>
            <w:vAlign w:val="center"/>
            <w:hideMark/>
          </w:tcPr>
          <w:p w14:paraId="01868628"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5.21 ± 0.22a</w:t>
            </w:r>
          </w:p>
        </w:tc>
        <w:tc>
          <w:tcPr>
            <w:tcW w:w="0" w:type="auto"/>
            <w:tcMar>
              <w:top w:w="150" w:type="dxa"/>
              <w:left w:w="240" w:type="dxa"/>
              <w:bottom w:w="150" w:type="dxa"/>
              <w:right w:w="0" w:type="dxa"/>
            </w:tcMar>
            <w:vAlign w:val="center"/>
            <w:hideMark/>
          </w:tcPr>
          <w:p w14:paraId="20D56C3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3.14 ± 0.10a</w:t>
            </w:r>
          </w:p>
        </w:tc>
      </w:tr>
      <w:tr w:rsidR="0014793C" w:rsidRPr="00FF0849" w14:paraId="6B7FF0C9" w14:textId="77777777" w:rsidTr="0014793C">
        <w:tc>
          <w:tcPr>
            <w:tcW w:w="0" w:type="auto"/>
            <w:tcMar>
              <w:top w:w="150" w:type="dxa"/>
              <w:left w:w="0" w:type="dxa"/>
              <w:bottom w:w="150" w:type="dxa"/>
              <w:right w:w="240" w:type="dxa"/>
            </w:tcMar>
            <w:vAlign w:val="center"/>
            <w:hideMark/>
          </w:tcPr>
          <w:p w14:paraId="0791E02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mellifera</w:t>
            </w:r>
          </w:p>
        </w:tc>
        <w:tc>
          <w:tcPr>
            <w:tcW w:w="0" w:type="auto"/>
            <w:tcMar>
              <w:top w:w="150" w:type="dxa"/>
              <w:left w:w="240" w:type="dxa"/>
              <w:bottom w:w="150" w:type="dxa"/>
              <w:right w:w="240" w:type="dxa"/>
            </w:tcMar>
            <w:vAlign w:val="center"/>
            <w:hideMark/>
          </w:tcPr>
          <w:p w14:paraId="024FF8C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12.45 ± 0.42b</w:t>
            </w:r>
          </w:p>
        </w:tc>
        <w:tc>
          <w:tcPr>
            <w:tcW w:w="0" w:type="auto"/>
            <w:tcMar>
              <w:top w:w="150" w:type="dxa"/>
              <w:left w:w="240" w:type="dxa"/>
              <w:bottom w:w="150" w:type="dxa"/>
              <w:right w:w="240" w:type="dxa"/>
            </w:tcMar>
            <w:vAlign w:val="center"/>
            <w:hideMark/>
          </w:tcPr>
          <w:p w14:paraId="5108ADC2"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8.93 ± 0.31b</w:t>
            </w:r>
          </w:p>
        </w:tc>
        <w:tc>
          <w:tcPr>
            <w:tcW w:w="0" w:type="auto"/>
            <w:tcMar>
              <w:top w:w="150" w:type="dxa"/>
              <w:left w:w="240" w:type="dxa"/>
              <w:bottom w:w="150" w:type="dxa"/>
              <w:right w:w="240" w:type="dxa"/>
            </w:tcMar>
            <w:vAlign w:val="center"/>
            <w:hideMark/>
          </w:tcPr>
          <w:p w14:paraId="54FECAC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5.62 ± 0.26b</w:t>
            </w:r>
          </w:p>
        </w:tc>
        <w:tc>
          <w:tcPr>
            <w:tcW w:w="0" w:type="auto"/>
            <w:tcMar>
              <w:top w:w="150" w:type="dxa"/>
              <w:left w:w="240" w:type="dxa"/>
              <w:bottom w:w="150" w:type="dxa"/>
              <w:right w:w="0" w:type="dxa"/>
            </w:tcMar>
            <w:vAlign w:val="center"/>
            <w:hideMark/>
          </w:tcPr>
          <w:p w14:paraId="4DB673A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3.34 ± 0.12b</w:t>
            </w:r>
          </w:p>
        </w:tc>
      </w:tr>
      <w:tr w:rsidR="0014793C" w:rsidRPr="00FF0849" w14:paraId="3736FAF2" w14:textId="77777777" w:rsidTr="0014793C">
        <w:tc>
          <w:tcPr>
            <w:tcW w:w="0" w:type="auto"/>
            <w:tcMar>
              <w:top w:w="150" w:type="dxa"/>
              <w:left w:w="0" w:type="dxa"/>
              <w:bottom w:w="150" w:type="dxa"/>
              <w:right w:w="240" w:type="dxa"/>
            </w:tcMar>
            <w:vAlign w:val="center"/>
            <w:hideMark/>
          </w:tcPr>
          <w:p w14:paraId="2645396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Bombus</w:t>
            </w:r>
            <w:r w:rsidRPr="00FF0849">
              <w:rPr>
                <w:rFonts w:ascii="Times New Roman" w:eastAsia="Times New Roman" w:hAnsi="Times New Roman" w:cs="Times New Roman"/>
                <w:lang w:eastAsia="en-IN"/>
              </w:rPr>
              <w:t> sp.</w:t>
            </w:r>
          </w:p>
        </w:tc>
        <w:tc>
          <w:tcPr>
            <w:tcW w:w="0" w:type="auto"/>
            <w:tcMar>
              <w:top w:w="150" w:type="dxa"/>
              <w:left w:w="240" w:type="dxa"/>
              <w:bottom w:w="150" w:type="dxa"/>
              <w:right w:w="240" w:type="dxa"/>
            </w:tcMar>
            <w:vAlign w:val="center"/>
            <w:hideMark/>
          </w:tcPr>
          <w:p w14:paraId="48B8950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15.88 ± 0.48c</w:t>
            </w:r>
          </w:p>
        </w:tc>
        <w:tc>
          <w:tcPr>
            <w:tcW w:w="0" w:type="auto"/>
            <w:tcMar>
              <w:top w:w="150" w:type="dxa"/>
              <w:left w:w="240" w:type="dxa"/>
              <w:bottom w:w="150" w:type="dxa"/>
              <w:right w:w="240" w:type="dxa"/>
            </w:tcMar>
            <w:vAlign w:val="center"/>
            <w:hideMark/>
          </w:tcPr>
          <w:p w14:paraId="6C39777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11.45 ± 0.39c</w:t>
            </w:r>
          </w:p>
        </w:tc>
        <w:tc>
          <w:tcPr>
            <w:tcW w:w="0" w:type="auto"/>
            <w:tcMar>
              <w:top w:w="150" w:type="dxa"/>
              <w:left w:w="240" w:type="dxa"/>
              <w:bottom w:w="150" w:type="dxa"/>
              <w:right w:w="240" w:type="dxa"/>
            </w:tcMar>
            <w:vAlign w:val="center"/>
            <w:hideMark/>
          </w:tcPr>
          <w:p w14:paraId="73A824B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7.25 ± 0.33c</w:t>
            </w:r>
          </w:p>
        </w:tc>
        <w:tc>
          <w:tcPr>
            <w:tcW w:w="0" w:type="auto"/>
            <w:tcMar>
              <w:top w:w="150" w:type="dxa"/>
              <w:left w:w="240" w:type="dxa"/>
              <w:bottom w:w="150" w:type="dxa"/>
              <w:right w:w="0" w:type="dxa"/>
            </w:tcMar>
            <w:vAlign w:val="center"/>
            <w:hideMark/>
          </w:tcPr>
          <w:p w14:paraId="14951AEF"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4.15 ± 0.14c</w:t>
            </w:r>
          </w:p>
        </w:tc>
      </w:tr>
      <w:tr w:rsidR="0014793C" w:rsidRPr="00FF0849" w14:paraId="59572F57" w14:textId="77777777" w:rsidTr="0014793C">
        <w:tc>
          <w:tcPr>
            <w:tcW w:w="0" w:type="auto"/>
            <w:tcMar>
              <w:top w:w="150" w:type="dxa"/>
              <w:left w:w="0" w:type="dxa"/>
              <w:bottom w:w="150" w:type="dxa"/>
              <w:right w:w="240" w:type="dxa"/>
            </w:tcMar>
            <w:vAlign w:val="center"/>
            <w:hideMark/>
          </w:tcPr>
          <w:p w14:paraId="5345F1A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E. tenax</w:t>
            </w:r>
          </w:p>
        </w:tc>
        <w:tc>
          <w:tcPr>
            <w:tcW w:w="0" w:type="auto"/>
            <w:tcMar>
              <w:top w:w="150" w:type="dxa"/>
              <w:left w:w="240" w:type="dxa"/>
              <w:bottom w:w="150" w:type="dxa"/>
              <w:right w:w="240" w:type="dxa"/>
            </w:tcMar>
            <w:vAlign w:val="center"/>
            <w:hideMark/>
          </w:tcPr>
          <w:p w14:paraId="3D536D8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10.22 ± 0.31d</w:t>
            </w:r>
          </w:p>
        </w:tc>
        <w:tc>
          <w:tcPr>
            <w:tcW w:w="0" w:type="auto"/>
            <w:tcMar>
              <w:top w:w="150" w:type="dxa"/>
              <w:left w:w="240" w:type="dxa"/>
              <w:bottom w:w="150" w:type="dxa"/>
              <w:right w:w="240" w:type="dxa"/>
            </w:tcMar>
            <w:vAlign w:val="center"/>
            <w:hideMark/>
          </w:tcPr>
          <w:p w14:paraId="449E9FA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7.42 ± 0.25d</w:t>
            </w:r>
          </w:p>
        </w:tc>
        <w:tc>
          <w:tcPr>
            <w:tcW w:w="0" w:type="auto"/>
            <w:tcMar>
              <w:top w:w="150" w:type="dxa"/>
              <w:left w:w="240" w:type="dxa"/>
              <w:bottom w:w="150" w:type="dxa"/>
              <w:right w:w="240" w:type="dxa"/>
            </w:tcMar>
            <w:vAlign w:val="center"/>
            <w:hideMark/>
          </w:tcPr>
          <w:p w14:paraId="1460877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4.18 ± 0.18d</w:t>
            </w:r>
          </w:p>
        </w:tc>
        <w:tc>
          <w:tcPr>
            <w:tcW w:w="0" w:type="auto"/>
            <w:tcMar>
              <w:top w:w="150" w:type="dxa"/>
              <w:left w:w="240" w:type="dxa"/>
              <w:bottom w:w="150" w:type="dxa"/>
              <w:right w:w="0" w:type="dxa"/>
            </w:tcMar>
            <w:vAlign w:val="center"/>
            <w:hideMark/>
          </w:tcPr>
          <w:p w14:paraId="5638BA7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2.82 ± 0.09d</w:t>
            </w:r>
          </w:p>
        </w:tc>
      </w:tr>
      <w:tr w:rsidR="0014793C" w:rsidRPr="00FF0849" w14:paraId="6E503785" w14:textId="77777777" w:rsidTr="0014793C">
        <w:tc>
          <w:tcPr>
            <w:tcW w:w="0" w:type="auto"/>
            <w:tcMar>
              <w:top w:w="150" w:type="dxa"/>
              <w:left w:w="0" w:type="dxa"/>
              <w:bottom w:w="150" w:type="dxa"/>
              <w:right w:w="240" w:type="dxa"/>
            </w:tcMar>
            <w:vAlign w:val="center"/>
            <w:hideMark/>
          </w:tcPr>
          <w:p w14:paraId="00C005F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Different superscript letters within a column indicate significant differences (p &lt; 0.05, Tukey's HSD test).</w:t>
            </w:r>
          </w:p>
        </w:tc>
        <w:tc>
          <w:tcPr>
            <w:tcW w:w="0" w:type="auto"/>
            <w:tcMar>
              <w:top w:w="150" w:type="dxa"/>
              <w:left w:w="240" w:type="dxa"/>
              <w:bottom w:w="150" w:type="dxa"/>
              <w:right w:w="240" w:type="dxa"/>
            </w:tcMar>
            <w:vAlign w:val="center"/>
            <w:hideMark/>
          </w:tcPr>
          <w:p w14:paraId="61B14A5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240" w:type="dxa"/>
            </w:tcMar>
            <w:vAlign w:val="center"/>
            <w:hideMark/>
          </w:tcPr>
          <w:p w14:paraId="697CD5BF"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240" w:type="dxa"/>
            </w:tcMar>
            <w:vAlign w:val="center"/>
            <w:hideMark/>
          </w:tcPr>
          <w:p w14:paraId="7521014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0" w:type="dxa"/>
            </w:tcMar>
            <w:vAlign w:val="center"/>
            <w:hideMark/>
          </w:tcPr>
          <w:p w14:paraId="0E3A515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r>
    </w:tbl>
    <w:p w14:paraId="166EE83F"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3.3 District-wise Morphometric Variation</w:t>
      </w:r>
    </w:p>
    <w:p w14:paraId="37D08756"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Significant intraspecific variation was observed across districts, with a general trend of increasing body size with altitude, particularly evident in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and </w:t>
      </w:r>
      <w:r w:rsidRPr="00FF0849">
        <w:rPr>
          <w:rFonts w:ascii="Times New Roman" w:eastAsia="Times New Roman" w:hAnsi="Times New Roman" w:cs="Times New Roman"/>
          <w:i/>
          <w:iCs/>
          <w:color w:val="0F1115"/>
          <w:lang w:eastAsia="en-IN"/>
        </w:rPr>
        <w:t>A. cerana</w:t>
      </w:r>
      <w:r w:rsidRPr="00FF0849">
        <w:rPr>
          <w:rFonts w:ascii="Times New Roman" w:eastAsia="Times New Roman" w:hAnsi="Times New Roman" w:cs="Times New Roman"/>
          <w:color w:val="0F1115"/>
          <w:lang w:eastAsia="en-IN"/>
        </w:rPr>
        <w:t> (Table 3).</w:t>
      </w:r>
    </w:p>
    <w:p w14:paraId="55E4CEE6"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Table 3. District-wise mean body length (mm) of key pollinators.</w:t>
      </w:r>
    </w:p>
    <w:tbl>
      <w:tblPr>
        <w:tblW w:w="0" w:type="auto"/>
        <w:tblCellMar>
          <w:top w:w="15" w:type="dxa"/>
          <w:left w:w="15" w:type="dxa"/>
          <w:bottom w:w="15" w:type="dxa"/>
          <w:right w:w="15" w:type="dxa"/>
        </w:tblCellMar>
        <w:tblLook w:val="04A0" w:firstRow="1" w:lastRow="0" w:firstColumn="1" w:lastColumn="0" w:noHBand="0" w:noVBand="1"/>
      </w:tblPr>
      <w:tblGrid>
        <w:gridCol w:w="4187"/>
        <w:gridCol w:w="1397"/>
        <w:gridCol w:w="1226"/>
        <w:gridCol w:w="1202"/>
        <w:gridCol w:w="1014"/>
      </w:tblGrid>
      <w:tr w:rsidR="0014793C" w:rsidRPr="00FF0849" w14:paraId="6104F05A" w14:textId="77777777" w:rsidTr="0014793C">
        <w:trPr>
          <w:tblHeader/>
        </w:trPr>
        <w:tc>
          <w:tcPr>
            <w:tcW w:w="0" w:type="auto"/>
            <w:tcBorders>
              <w:top w:val="nil"/>
            </w:tcBorders>
            <w:tcMar>
              <w:top w:w="150" w:type="dxa"/>
              <w:left w:w="0" w:type="dxa"/>
              <w:bottom w:w="150" w:type="dxa"/>
              <w:right w:w="240" w:type="dxa"/>
            </w:tcMar>
            <w:vAlign w:val="center"/>
            <w:hideMark/>
          </w:tcPr>
          <w:p w14:paraId="45E23388"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Species</w:t>
            </w:r>
          </w:p>
        </w:tc>
        <w:tc>
          <w:tcPr>
            <w:tcW w:w="0" w:type="auto"/>
            <w:tcBorders>
              <w:top w:val="nil"/>
            </w:tcBorders>
            <w:tcMar>
              <w:top w:w="150" w:type="dxa"/>
              <w:left w:w="240" w:type="dxa"/>
              <w:bottom w:w="150" w:type="dxa"/>
              <w:right w:w="240" w:type="dxa"/>
            </w:tcMar>
            <w:vAlign w:val="center"/>
            <w:hideMark/>
          </w:tcPr>
          <w:p w14:paraId="11DFCA6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Baramulla</w:t>
            </w:r>
          </w:p>
        </w:tc>
        <w:tc>
          <w:tcPr>
            <w:tcW w:w="0" w:type="auto"/>
            <w:tcBorders>
              <w:top w:val="nil"/>
            </w:tcBorders>
            <w:tcMar>
              <w:top w:w="150" w:type="dxa"/>
              <w:left w:w="240" w:type="dxa"/>
              <w:bottom w:w="150" w:type="dxa"/>
              <w:right w:w="240" w:type="dxa"/>
            </w:tcMar>
            <w:vAlign w:val="center"/>
            <w:hideMark/>
          </w:tcPr>
          <w:p w14:paraId="51650E7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Srinagar</w:t>
            </w:r>
          </w:p>
        </w:tc>
        <w:tc>
          <w:tcPr>
            <w:tcW w:w="0" w:type="auto"/>
            <w:tcBorders>
              <w:top w:val="nil"/>
            </w:tcBorders>
            <w:tcMar>
              <w:top w:w="150" w:type="dxa"/>
              <w:left w:w="240" w:type="dxa"/>
              <w:bottom w:w="150" w:type="dxa"/>
              <w:right w:w="240" w:type="dxa"/>
            </w:tcMar>
            <w:vAlign w:val="center"/>
            <w:hideMark/>
          </w:tcPr>
          <w:p w14:paraId="2CE8A96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Shopian</w:t>
            </w:r>
          </w:p>
        </w:tc>
        <w:tc>
          <w:tcPr>
            <w:tcW w:w="0" w:type="auto"/>
            <w:tcBorders>
              <w:top w:val="nil"/>
            </w:tcBorders>
            <w:tcMar>
              <w:top w:w="150" w:type="dxa"/>
              <w:left w:w="240" w:type="dxa"/>
              <w:bottom w:w="150" w:type="dxa"/>
              <w:right w:w="240" w:type="dxa"/>
            </w:tcMar>
            <w:vAlign w:val="center"/>
            <w:hideMark/>
          </w:tcPr>
          <w:p w14:paraId="74B864E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p-value</w:t>
            </w:r>
          </w:p>
        </w:tc>
      </w:tr>
      <w:tr w:rsidR="0014793C" w:rsidRPr="00FF0849" w14:paraId="2610A959" w14:textId="77777777" w:rsidTr="0014793C">
        <w:tc>
          <w:tcPr>
            <w:tcW w:w="0" w:type="auto"/>
            <w:tcMar>
              <w:top w:w="150" w:type="dxa"/>
              <w:left w:w="0" w:type="dxa"/>
              <w:bottom w:w="150" w:type="dxa"/>
              <w:right w:w="240" w:type="dxa"/>
            </w:tcMar>
            <w:vAlign w:val="center"/>
            <w:hideMark/>
          </w:tcPr>
          <w:p w14:paraId="15858A22"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cerana</w:t>
            </w:r>
          </w:p>
        </w:tc>
        <w:tc>
          <w:tcPr>
            <w:tcW w:w="0" w:type="auto"/>
            <w:tcMar>
              <w:top w:w="150" w:type="dxa"/>
              <w:left w:w="240" w:type="dxa"/>
              <w:bottom w:w="150" w:type="dxa"/>
              <w:right w:w="240" w:type="dxa"/>
            </w:tcMar>
            <w:vAlign w:val="center"/>
            <w:hideMark/>
          </w:tcPr>
          <w:p w14:paraId="3F11013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11.75a</w:t>
            </w:r>
          </w:p>
        </w:tc>
        <w:tc>
          <w:tcPr>
            <w:tcW w:w="0" w:type="auto"/>
            <w:tcMar>
              <w:top w:w="150" w:type="dxa"/>
              <w:left w:w="240" w:type="dxa"/>
              <w:bottom w:w="150" w:type="dxa"/>
              <w:right w:w="240" w:type="dxa"/>
            </w:tcMar>
            <w:vAlign w:val="center"/>
            <w:hideMark/>
          </w:tcPr>
          <w:p w14:paraId="0A692E32"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11.64a</w:t>
            </w:r>
          </w:p>
        </w:tc>
        <w:tc>
          <w:tcPr>
            <w:tcW w:w="0" w:type="auto"/>
            <w:tcMar>
              <w:top w:w="150" w:type="dxa"/>
              <w:left w:w="240" w:type="dxa"/>
              <w:bottom w:w="150" w:type="dxa"/>
              <w:right w:w="240" w:type="dxa"/>
            </w:tcMar>
            <w:vAlign w:val="center"/>
            <w:hideMark/>
          </w:tcPr>
          <w:p w14:paraId="001DEE0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12.08b</w:t>
            </w:r>
          </w:p>
        </w:tc>
        <w:tc>
          <w:tcPr>
            <w:tcW w:w="0" w:type="auto"/>
            <w:tcMar>
              <w:top w:w="150" w:type="dxa"/>
              <w:left w:w="240" w:type="dxa"/>
              <w:bottom w:w="150" w:type="dxa"/>
              <w:right w:w="0" w:type="dxa"/>
            </w:tcMar>
            <w:vAlign w:val="center"/>
            <w:hideMark/>
          </w:tcPr>
          <w:p w14:paraId="1740A54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&lt;0.05</w:t>
            </w:r>
          </w:p>
        </w:tc>
      </w:tr>
      <w:tr w:rsidR="0014793C" w:rsidRPr="00FF0849" w14:paraId="7368F288" w14:textId="77777777" w:rsidTr="0014793C">
        <w:tc>
          <w:tcPr>
            <w:tcW w:w="0" w:type="auto"/>
            <w:tcMar>
              <w:top w:w="150" w:type="dxa"/>
              <w:left w:w="0" w:type="dxa"/>
              <w:bottom w:w="150" w:type="dxa"/>
              <w:right w:w="240" w:type="dxa"/>
            </w:tcMar>
            <w:vAlign w:val="center"/>
            <w:hideMark/>
          </w:tcPr>
          <w:p w14:paraId="683D9167"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mellifera</w:t>
            </w:r>
          </w:p>
        </w:tc>
        <w:tc>
          <w:tcPr>
            <w:tcW w:w="0" w:type="auto"/>
            <w:tcMar>
              <w:top w:w="150" w:type="dxa"/>
              <w:left w:w="240" w:type="dxa"/>
              <w:bottom w:w="150" w:type="dxa"/>
              <w:right w:w="240" w:type="dxa"/>
            </w:tcMar>
            <w:vAlign w:val="center"/>
            <w:hideMark/>
          </w:tcPr>
          <w:p w14:paraId="1D00192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12.28a</w:t>
            </w:r>
          </w:p>
        </w:tc>
        <w:tc>
          <w:tcPr>
            <w:tcW w:w="0" w:type="auto"/>
            <w:tcMar>
              <w:top w:w="150" w:type="dxa"/>
              <w:left w:w="240" w:type="dxa"/>
              <w:bottom w:w="150" w:type="dxa"/>
              <w:right w:w="240" w:type="dxa"/>
            </w:tcMar>
            <w:vAlign w:val="center"/>
            <w:hideMark/>
          </w:tcPr>
          <w:p w14:paraId="27D29762"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12.37a</w:t>
            </w:r>
          </w:p>
        </w:tc>
        <w:tc>
          <w:tcPr>
            <w:tcW w:w="0" w:type="auto"/>
            <w:tcMar>
              <w:top w:w="150" w:type="dxa"/>
              <w:left w:w="240" w:type="dxa"/>
              <w:bottom w:w="150" w:type="dxa"/>
              <w:right w:w="240" w:type="dxa"/>
            </w:tcMar>
            <w:vAlign w:val="center"/>
            <w:hideMark/>
          </w:tcPr>
          <w:p w14:paraId="550661B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12.71b</w:t>
            </w:r>
          </w:p>
        </w:tc>
        <w:tc>
          <w:tcPr>
            <w:tcW w:w="0" w:type="auto"/>
            <w:tcMar>
              <w:top w:w="150" w:type="dxa"/>
              <w:left w:w="240" w:type="dxa"/>
              <w:bottom w:w="150" w:type="dxa"/>
              <w:right w:w="0" w:type="dxa"/>
            </w:tcMar>
            <w:vAlign w:val="center"/>
            <w:hideMark/>
          </w:tcPr>
          <w:p w14:paraId="70E0996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&lt;0.05</w:t>
            </w:r>
          </w:p>
        </w:tc>
      </w:tr>
      <w:tr w:rsidR="0014793C" w:rsidRPr="00FF0849" w14:paraId="4811F0EA" w14:textId="77777777" w:rsidTr="0014793C">
        <w:tc>
          <w:tcPr>
            <w:tcW w:w="0" w:type="auto"/>
            <w:tcMar>
              <w:top w:w="150" w:type="dxa"/>
              <w:left w:w="0" w:type="dxa"/>
              <w:bottom w:w="150" w:type="dxa"/>
              <w:right w:w="240" w:type="dxa"/>
            </w:tcMar>
            <w:vAlign w:val="center"/>
            <w:hideMark/>
          </w:tcPr>
          <w:p w14:paraId="1C2D329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Bombus</w:t>
            </w:r>
            <w:r w:rsidRPr="00FF0849">
              <w:rPr>
                <w:rFonts w:ascii="Times New Roman" w:eastAsia="Times New Roman" w:hAnsi="Times New Roman" w:cs="Times New Roman"/>
                <w:lang w:eastAsia="en-IN"/>
              </w:rPr>
              <w:t> sp.</w:t>
            </w:r>
          </w:p>
        </w:tc>
        <w:tc>
          <w:tcPr>
            <w:tcW w:w="0" w:type="auto"/>
            <w:tcMar>
              <w:top w:w="150" w:type="dxa"/>
              <w:left w:w="240" w:type="dxa"/>
              <w:bottom w:w="150" w:type="dxa"/>
              <w:right w:w="240" w:type="dxa"/>
            </w:tcMar>
            <w:vAlign w:val="center"/>
            <w:hideMark/>
          </w:tcPr>
          <w:p w14:paraId="0CFA5C9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15.62a</w:t>
            </w:r>
          </w:p>
        </w:tc>
        <w:tc>
          <w:tcPr>
            <w:tcW w:w="0" w:type="auto"/>
            <w:tcMar>
              <w:top w:w="150" w:type="dxa"/>
              <w:left w:w="240" w:type="dxa"/>
              <w:bottom w:w="150" w:type="dxa"/>
              <w:right w:w="240" w:type="dxa"/>
            </w:tcMar>
            <w:vAlign w:val="center"/>
            <w:hideMark/>
          </w:tcPr>
          <w:p w14:paraId="7BBFCEB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15.89b</w:t>
            </w:r>
          </w:p>
        </w:tc>
        <w:tc>
          <w:tcPr>
            <w:tcW w:w="0" w:type="auto"/>
            <w:tcMar>
              <w:top w:w="150" w:type="dxa"/>
              <w:left w:w="240" w:type="dxa"/>
              <w:bottom w:w="150" w:type="dxa"/>
              <w:right w:w="240" w:type="dxa"/>
            </w:tcMar>
            <w:vAlign w:val="center"/>
            <w:hideMark/>
          </w:tcPr>
          <w:p w14:paraId="086B5BD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16.14c</w:t>
            </w:r>
          </w:p>
        </w:tc>
        <w:tc>
          <w:tcPr>
            <w:tcW w:w="0" w:type="auto"/>
            <w:tcMar>
              <w:top w:w="150" w:type="dxa"/>
              <w:left w:w="240" w:type="dxa"/>
              <w:bottom w:w="150" w:type="dxa"/>
              <w:right w:w="0" w:type="dxa"/>
            </w:tcMar>
            <w:vAlign w:val="center"/>
            <w:hideMark/>
          </w:tcPr>
          <w:p w14:paraId="19AE2018"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&lt;0.01</w:t>
            </w:r>
          </w:p>
        </w:tc>
      </w:tr>
      <w:tr w:rsidR="0014793C" w:rsidRPr="00FF0849" w14:paraId="0BD76CC1" w14:textId="77777777" w:rsidTr="0014793C">
        <w:tc>
          <w:tcPr>
            <w:tcW w:w="0" w:type="auto"/>
            <w:tcMar>
              <w:top w:w="150" w:type="dxa"/>
              <w:left w:w="0" w:type="dxa"/>
              <w:bottom w:w="150" w:type="dxa"/>
              <w:right w:w="240" w:type="dxa"/>
            </w:tcMar>
            <w:vAlign w:val="center"/>
            <w:hideMark/>
          </w:tcPr>
          <w:p w14:paraId="735423B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E. tenax</w:t>
            </w:r>
          </w:p>
        </w:tc>
        <w:tc>
          <w:tcPr>
            <w:tcW w:w="0" w:type="auto"/>
            <w:tcMar>
              <w:top w:w="150" w:type="dxa"/>
              <w:left w:w="240" w:type="dxa"/>
              <w:bottom w:w="150" w:type="dxa"/>
              <w:right w:w="240" w:type="dxa"/>
            </w:tcMar>
            <w:vAlign w:val="center"/>
            <w:hideMark/>
          </w:tcPr>
          <w:p w14:paraId="7DE9F93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10.14a</w:t>
            </w:r>
          </w:p>
        </w:tc>
        <w:tc>
          <w:tcPr>
            <w:tcW w:w="0" w:type="auto"/>
            <w:tcMar>
              <w:top w:w="150" w:type="dxa"/>
              <w:left w:w="240" w:type="dxa"/>
              <w:bottom w:w="150" w:type="dxa"/>
              <w:right w:w="240" w:type="dxa"/>
            </w:tcMar>
            <w:vAlign w:val="center"/>
            <w:hideMark/>
          </w:tcPr>
          <w:p w14:paraId="140BA55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10.25a</w:t>
            </w:r>
          </w:p>
        </w:tc>
        <w:tc>
          <w:tcPr>
            <w:tcW w:w="0" w:type="auto"/>
            <w:tcMar>
              <w:top w:w="150" w:type="dxa"/>
              <w:left w:w="240" w:type="dxa"/>
              <w:bottom w:w="150" w:type="dxa"/>
              <w:right w:w="240" w:type="dxa"/>
            </w:tcMar>
            <w:vAlign w:val="center"/>
            <w:hideMark/>
          </w:tcPr>
          <w:p w14:paraId="1DD341D8"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10.36a</w:t>
            </w:r>
          </w:p>
        </w:tc>
        <w:tc>
          <w:tcPr>
            <w:tcW w:w="0" w:type="auto"/>
            <w:tcMar>
              <w:top w:w="150" w:type="dxa"/>
              <w:left w:w="240" w:type="dxa"/>
              <w:bottom w:w="150" w:type="dxa"/>
              <w:right w:w="0" w:type="dxa"/>
            </w:tcMar>
            <w:vAlign w:val="center"/>
            <w:hideMark/>
          </w:tcPr>
          <w:p w14:paraId="4C91AE4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0.12</w:t>
            </w:r>
          </w:p>
        </w:tc>
      </w:tr>
      <w:tr w:rsidR="0014793C" w:rsidRPr="00FF0849" w14:paraId="2E5320F3" w14:textId="77777777" w:rsidTr="0014793C">
        <w:tc>
          <w:tcPr>
            <w:tcW w:w="0" w:type="auto"/>
            <w:tcMar>
              <w:top w:w="150" w:type="dxa"/>
              <w:left w:w="0" w:type="dxa"/>
              <w:bottom w:w="150" w:type="dxa"/>
              <w:right w:w="240" w:type="dxa"/>
            </w:tcMar>
            <w:vAlign w:val="center"/>
            <w:hideMark/>
          </w:tcPr>
          <w:p w14:paraId="6273D9D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lastRenderedPageBreak/>
              <w:t>Different superscript letters within a row indicate significant differences among districts (p &lt; 0.05, Tukey's HSD test).</w:t>
            </w:r>
          </w:p>
        </w:tc>
        <w:tc>
          <w:tcPr>
            <w:tcW w:w="0" w:type="auto"/>
            <w:tcMar>
              <w:top w:w="150" w:type="dxa"/>
              <w:left w:w="240" w:type="dxa"/>
              <w:bottom w:w="150" w:type="dxa"/>
              <w:right w:w="240" w:type="dxa"/>
            </w:tcMar>
            <w:vAlign w:val="center"/>
            <w:hideMark/>
          </w:tcPr>
          <w:p w14:paraId="1179E48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240" w:type="dxa"/>
            </w:tcMar>
            <w:vAlign w:val="center"/>
            <w:hideMark/>
          </w:tcPr>
          <w:p w14:paraId="0C3FEDF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240" w:type="dxa"/>
            </w:tcMar>
            <w:vAlign w:val="center"/>
            <w:hideMark/>
          </w:tcPr>
          <w:p w14:paraId="0B9848E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0" w:type="dxa"/>
            </w:tcMar>
            <w:vAlign w:val="center"/>
            <w:hideMark/>
          </w:tcPr>
          <w:p w14:paraId="6C30FC7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r>
    </w:tbl>
    <w:p w14:paraId="4623E684"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3.4 Molecular Characterization (DNA Barcoding)</w:t>
      </w:r>
    </w:p>
    <w:p w14:paraId="6A4F206E"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BLAST results of COI sequences confirmed morphological identification with 98–100% sequence similarity to reference sequences in the NCBI database (Table 4).</w:t>
      </w:r>
    </w:p>
    <w:p w14:paraId="7FE8384F"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b/>
          <w:bCs/>
          <w:color w:val="0F1115"/>
          <w:lang w:eastAsia="en-IN"/>
        </w:rPr>
      </w:pPr>
    </w:p>
    <w:p w14:paraId="4A62DD21"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b/>
          <w:bCs/>
          <w:color w:val="0F1115"/>
          <w:lang w:eastAsia="en-IN"/>
        </w:rPr>
      </w:pPr>
    </w:p>
    <w:p w14:paraId="5D03B562"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b/>
          <w:bCs/>
          <w:color w:val="0F1115"/>
          <w:lang w:eastAsia="en-IN"/>
        </w:rPr>
      </w:pPr>
    </w:p>
    <w:p w14:paraId="5D5A1C0D"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b/>
          <w:bCs/>
          <w:color w:val="0F1115"/>
          <w:lang w:eastAsia="en-IN"/>
        </w:rPr>
      </w:pPr>
    </w:p>
    <w:p w14:paraId="5D38844E"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b/>
          <w:bCs/>
          <w:color w:val="0F1115"/>
          <w:lang w:eastAsia="en-IN"/>
        </w:rPr>
      </w:pPr>
    </w:p>
    <w:p w14:paraId="7DFB55E6" w14:textId="77777777" w:rsidR="005D323F" w:rsidRDefault="005D323F" w:rsidP="0014793C">
      <w:pPr>
        <w:shd w:val="clear" w:color="auto" w:fill="FFFFFF"/>
        <w:spacing w:before="240" w:line="420" w:lineRule="atLeast"/>
        <w:jc w:val="both"/>
        <w:rPr>
          <w:rFonts w:ascii="Times New Roman" w:eastAsia="Times New Roman" w:hAnsi="Times New Roman" w:cs="Times New Roman"/>
          <w:b/>
          <w:bCs/>
          <w:color w:val="0F1115"/>
          <w:lang w:eastAsia="en-IN"/>
        </w:rPr>
      </w:pPr>
    </w:p>
    <w:p w14:paraId="6BF7A753" w14:textId="77777777" w:rsidR="005D323F" w:rsidRDefault="005D323F" w:rsidP="0014793C">
      <w:pPr>
        <w:shd w:val="clear" w:color="auto" w:fill="FFFFFF"/>
        <w:spacing w:before="240" w:line="420" w:lineRule="atLeast"/>
        <w:jc w:val="both"/>
        <w:rPr>
          <w:rFonts w:ascii="Times New Roman" w:eastAsia="Times New Roman" w:hAnsi="Times New Roman" w:cs="Times New Roman"/>
          <w:b/>
          <w:bCs/>
          <w:color w:val="0F1115"/>
          <w:lang w:eastAsia="en-IN"/>
        </w:rPr>
      </w:pPr>
    </w:p>
    <w:p w14:paraId="789C0AED" w14:textId="2E1B64D2" w:rsidR="0014793C" w:rsidRPr="00FF0849" w:rsidRDefault="0014793C" w:rsidP="0014793C">
      <w:pPr>
        <w:shd w:val="clear" w:color="auto" w:fill="FFFFFF"/>
        <w:spacing w:before="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Table 4. Summary of BLAST sequence similarity for pollinators from Kashmir Valley.</w:t>
      </w:r>
    </w:p>
    <w:tbl>
      <w:tblPr>
        <w:tblW w:w="0" w:type="auto"/>
        <w:tblCellMar>
          <w:top w:w="15" w:type="dxa"/>
          <w:left w:w="15" w:type="dxa"/>
          <w:bottom w:w="15" w:type="dxa"/>
          <w:right w:w="15" w:type="dxa"/>
        </w:tblCellMar>
        <w:tblLook w:val="04A0" w:firstRow="1" w:lastRow="0" w:firstColumn="1" w:lastColumn="0" w:noHBand="0" w:noVBand="1"/>
      </w:tblPr>
      <w:tblGrid>
        <w:gridCol w:w="1254"/>
        <w:gridCol w:w="1140"/>
        <w:gridCol w:w="2698"/>
        <w:gridCol w:w="1360"/>
        <w:gridCol w:w="1544"/>
        <w:gridCol w:w="1030"/>
      </w:tblGrid>
      <w:tr w:rsidR="0014793C" w:rsidRPr="00FF0849" w14:paraId="4A5A169D" w14:textId="77777777" w:rsidTr="0014793C">
        <w:trPr>
          <w:tblHeader/>
        </w:trPr>
        <w:tc>
          <w:tcPr>
            <w:tcW w:w="0" w:type="auto"/>
            <w:tcBorders>
              <w:top w:val="nil"/>
            </w:tcBorders>
            <w:tcMar>
              <w:top w:w="150" w:type="dxa"/>
              <w:left w:w="0" w:type="dxa"/>
              <w:bottom w:w="150" w:type="dxa"/>
              <w:right w:w="240" w:type="dxa"/>
            </w:tcMar>
            <w:vAlign w:val="center"/>
            <w:hideMark/>
          </w:tcPr>
          <w:p w14:paraId="155C26A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Species</w:t>
            </w:r>
          </w:p>
        </w:tc>
        <w:tc>
          <w:tcPr>
            <w:tcW w:w="0" w:type="auto"/>
            <w:tcBorders>
              <w:top w:val="nil"/>
            </w:tcBorders>
            <w:tcMar>
              <w:top w:w="150" w:type="dxa"/>
              <w:left w:w="240" w:type="dxa"/>
              <w:bottom w:w="150" w:type="dxa"/>
              <w:right w:w="240" w:type="dxa"/>
            </w:tcMar>
            <w:vAlign w:val="center"/>
            <w:hideMark/>
          </w:tcPr>
          <w:p w14:paraId="0B44890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Sample Code</w:t>
            </w:r>
          </w:p>
        </w:tc>
        <w:tc>
          <w:tcPr>
            <w:tcW w:w="0" w:type="auto"/>
            <w:tcBorders>
              <w:top w:val="nil"/>
            </w:tcBorders>
            <w:tcMar>
              <w:top w:w="150" w:type="dxa"/>
              <w:left w:w="240" w:type="dxa"/>
              <w:bottom w:w="150" w:type="dxa"/>
              <w:right w:w="240" w:type="dxa"/>
            </w:tcMar>
            <w:vAlign w:val="center"/>
            <w:hideMark/>
          </w:tcPr>
          <w:p w14:paraId="5F4889C8"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Closest NCBI Match</w:t>
            </w:r>
          </w:p>
        </w:tc>
        <w:tc>
          <w:tcPr>
            <w:tcW w:w="0" w:type="auto"/>
            <w:tcBorders>
              <w:top w:val="nil"/>
            </w:tcBorders>
            <w:tcMar>
              <w:top w:w="150" w:type="dxa"/>
              <w:left w:w="240" w:type="dxa"/>
              <w:bottom w:w="150" w:type="dxa"/>
              <w:right w:w="240" w:type="dxa"/>
            </w:tcMar>
            <w:vAlign w:val="center"/>
            <w:hideMark/>
          </w:tcPr>
          <w:p w14:paraId="7CDAB41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 Similarity</w:t>
            </w:r>
          </w:p>
        </w:tc>
        <w:tc>
          <w:tcPr>
            <w:tcW w:w="0" w:type="auto"/>
            <w:tcBorders>
              <w:top w:val="nil"/>
            </w:tcBorders>
            <w:tcMar>
              <w:top w:w="150" w:type="dxa"/>
              <w:left w:w="240" w:type="dxa"/>
              <w:bottom w:w="150" w:type="dxa"/>
              <w:right w:w="240" w:type="dxa"/>
            </w:tcMar>
            <w:vAlign w:val="center"/>
            <w:hideMark/>
          </w:tcPr>
          <w:p w14:paraId="6D3CC367"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Accession No.</w:t>
            </w:r>
          </w:p>
        </w:tc>
        <w:tc>
          <w:tcPr>
            <w:tcW w:w="0" w:type="auto"/>
            <w:tcBorders>
              <w:top w:val="nil"/>
            </w:tcBorders>
            <w:tcMar>
              <w:top w:w="150" w:type="dxa"/>
              <w:left w:w="240" w:type="dxa"/>
              <w:bottom w:w="150" w:type="dxa"/>
              <w:right w:w="240" w:type="dxa"/>
            </w:tcMar>
            <w:vAlign w:val="center"/>
            <w:hideMark/>
          </w:tcPr>
          <w:p w14:paraId="4F2144D2"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Query Cover</w:t>
            </w:r>
          </w:p>
        </w:tc>
      </w:tr>
      <w:tr w:rsidR="0014793C" w:rsidRPr="00FF0849" w14:paraId="1CD04F91" w14:textId="77777777" w:rsidTr="0014793C">
        <w:tc>
          <w:tcPr>
            <w:tcW w:w="0" w:type="auto"/>
            <w:tcMar>
              <w:top w:w="150" w:type="dxa"/>
              <w:left w:w="0" w:type="dxa"/>
              <w:bottom w:w="150" w:type="dxa"/>
              <w:right w:w="240" w:type="dxa"/>
            </w:tcMar>
            <w:vAlign w:val="center"/>
            <w:hideMark/>
          </w:tcPr>
          <w:p w14:paraId="7D22553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cerana</w:t>
            </w:r>
          </w:p>
        </w:tc>
        <w:tc>
          <w:tcPr>
            <w:tcW w:w="0" w:type="auto"/>
            <w:tcMar>
              <w:top w:w="150" w:type="dxa"/>
              <w:left w:w="240" w:type="dxa"/>
              <w:bottom w:w="150" w:type="dxa"/>
              <w:right w:w="240" w:type="dxa"/>
            </w:tcMar>
            <w:vAlign w:val="center"/>
            <w:hideMark/>
          </w:tcPr>
          <w:p w14:paraId="292BB9B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AC-BAR-1</w:t>
            </w:r>
          </w:p>
        </w:tc>
        <w:tc>
          <w:tcPr>
            <w:tcW w:w="0" w:type="auto"/>
            <w:tcMar>
              <w:top w:w="150" w:type="dxa"/>
              <w:left w:w="240" w:type="dxa"/>
              <w:bottom w:w="150" w:type="dxa"/>
              <w:right w:w="240" w:type="dxa"/>
            </w:tcMar>
            <w:vAlign w:val="center"/>
            <w:hideMark/>
          </w:tcPr>
          <w:p w14:paraId="0D810EE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Apis cerana</w:t>
            </w:r>
            <w:r w:rsidRPr="00FF0849">
              <w:rPr>
                <w:rFonts w:ascii="Times New Roman" w:eastAsia="Times New Roman" w:hAnsi="Times New Roman" w:cs="Times New Roman"/>
                <w:lang w:eastAsia="en-IN"/>
              </w:rPr>
              <w:t> isolate HMP-47</w:t>
            </w:r>
          </w:p>
        </w:tc>
        <w:tc>
          <w:tcPr>
            <w:tcW w:w="0" w:type="auto"/>
            <w:tcMar>
              <w:top w:w="150" w:type="dxa"/>
              <w:left w:w="240" w:type="dxa"/>
              <w:bottom w:w="150" w:type="dxa"/>
              <w:right w:w="240" w:type="dxa"/>
            </w:tcMar>
            <w:vAlign w:val="center"/>
            <w:hideMark/>
          </w:tcPr>
          <w:p w14:paraId="2B268BB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99.8</w:t>
            </w:r>
          </w:p>
        </w:tc>
        <w:tc>
          <w:tcPr>
            <w:tcW w:w="0" w:type="auto"/>
            <w:tcMar>
              <w:top w:w="150" w:type="dxa"/>
              <w:left w:w="240" w:type="dxa"/>
              <w:bottom w:w="150" w:type="dxa"/>
              <w:right w:w="240" w:type="dxa"/>
            </w:tcMar>
            <w:vAlign w:val="center"/>
            <w:hideMark/>
          </w:tcPr>
          <w:p w14:paraId="00C9C6D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MN845621</w:t>
            </w:r>
          </w:p>
        </w:tc>
        <w:tc>
          <w:tcPr>
            <w:tcW w:w="0" w:type="auto"/>
            <w:tcMar>
              <w:top w:w="150" w:type="dxa"/>
              <w:left w:w="240" w:type="dxa"/>
              <w:bottom w:w="150" w:type="dxa"/>
              <w:right w:w="0" w:type="dxa"/>
            </w:tcMar>
            <w:vAlign w:val="center"/>
            <w:hideMark/>
          </w:tcPr>
          <w:p w14:paraId="57DEE3A7"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100%</w:t>
            </w:r>
          </w:p>
        </w:tc>
      </w:tr>
      <w:tr w:rsidR="0014793C" w:rsidRPr="00FF0849" w14:paraId="018470F4" w14:textId="77777777" w:rsidTr="0014793C">
        <w:tc>
          <w:tcPr>
            <w:tcW w:w="0" w:type="auto"/>
            <w:tcMar>
              <w:top w:w="150" w:type="dxa"/>
              <w:left w:w="0" w:type="dxa"/>
              <w:bottom w:w="150" w:type="dxa"/>
              <w:right w:w="240" w:type="dxa"/>
            </w:tcMar>
            <w:vAlign w:val="center"/>
            <w:hideMark/>
          </w:tcPr>
          <w:p w14:paraId="7E89411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mellifera</w:t>
            </w:r>
          </w:p>
        </w:tc>
        <w:tc>
          <w:tcPr>
            <w:tcW w:w="0" w:type="auto"/>
            <w:tcMar>
              <w:top w:w="150" w:type="dxa"/>
              <w:left w:w="240" w:type="dxa"/>
              <w:bottom w:w="150" w:type="dxa"/>
              <w:right w:w="240" w:type="dxa"/>
            </w:tcMar>
            <w:vAlign w:val="center"/>
            <w:hideMark/>
          </w:tcPr>
          <w:p w14:paraId="72922FBF"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AM-SRG-2</w:t>
            </w:r>
          </w:p>
        </w:tc>
        <w:tc>
          <w:tcPr>
            <w:tcW w:w="0" w:type="auto"/>
            <w:tcMar>
              <w:top w:w="150" w:type="dxa"/>
              <w:left w:w="240" w:type="dxa"/>
              <w:bottom w:w="150" w:type="dxa"/>
              <w:right w:w="240" w:type="dxa"/>
            </w:tcMar>
            <w:vAlign w:val="center"/>
            <w:hideMark/>
          </w:tcPr>
          <w:p w14:paraId="6D3E94E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Apis mellifera</w:t>
            </w:r>
            <w:r w:rsidRPr="00FF0849">
              <w:rPr>
                <w:rFonts w:ascii="Times New Roman" w:eastAsia="Times New Roman" w:hAnsi="Times New Roman" w:cs="Times New Roman"/>
                <w:lang w:eastAsia="en-IN"/>
              </w:rPr>
              <w:t> subsp. </w:t>
            </w:r>
            <w:r w:rsidRPr="00FF0849">
              <w:rPr>
                <w:rFonts w:ascii="Times New Roman" w:eastAsia="Times New Roman" w:hAnsi="Times New Roman" w:cs="Times New Roman"/>
                <w:i/>
                <w:iCs/>
                <w:lang w:eastAsia="en-IN"/>
              </w:rPr>
              <w:t>ligustica</w:t>
            </w:r>
          </w:p>
        </w:tc>
        <w:tc>
          <w:tcPr>
            <w:tcW w:w="0" w:type="auto"/>
            <w:tcMar>
              <w:top w:w="150" w:type="dxa"/>
              <w:left w:w="240" w:type="dxa"/>
              <w:bottom w:w="150" w:type="dxa"/>
              <w:right w:w="240" w:type="dxa"/>
            </w:tcMar>
            <w:vAlign w:val="center"/>
            <w:hideMark/>
          </w:tcPr>
          <w:p w14:paraId="14E3CFD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100</w:t>
            </w:r>
          </w:p>
        </w:tc>
        <w:tc>
          <w:tcPr>
            <w:tcW w:w="0" w:type="auto"/>
            <w:tcMar>
              <w:top w:w="150" w:type="dxa"/>
              <w:left w:w="240" w:type="dxa"/>
              <w:bottom w:w="150" w:type="dxa"/>
              <w:right w:w="240" w:type="dxa"/>
            </w:tcMar>
            <w:vAlign w:val="center"/>
            <w:hideMark/>
          </w:tcPr>
          <w:p w14:paraId="02A853A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ON236548</w:t>
            </w:r>
          </w:p>
        </w:tc>
        <w:tc>
          <w:tcPr>
            <w:tcW w:w="0" w:type="auto"/>
            <w:tcMar>
              <w:top w:w="150" w:type="dxa"/>
              <w:left w:w="240" w:type="dxa"/>
              <w:bottom w:w="150" w:type="dxa"/>
              <w:right w:w="0" w:type="dxa"/>
            </w:tcMar>
            <w:vAlign w:val="center"/>
            <w:hideMark/>
          </w:tcPr>
          <w:p w14:paraId="0E9EEA0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100%</w:t>
            </w:r>
          </w:p>
        </w:tc>
      </w:tr>
      <w:tr w:rsidR="0014793C" w:rsidRPr="00FF0849" w14:paraId="10F5EAE5" w14:textId="77777777" w:rsidTr="0014793C">
        <w:tc>
          <w:tcPr>
            <w:tcW w:w="0" w:type="auto"/>
            <w:tcMar>
              <w:top w:w="150" w:type="dxa"/>
              <w:left w:w="0" w:type="dxa"/>
              <w:bottom w:w="150" w:type="dxa"/>
              <w:right w:w="240" w:type="dxa"/>
            </w:tcMar>
            <w:vAlign w:val="center"/>
            <w:hideMark/>
          </w:tcPr>
          <w:p w14:paraId="50EDEE6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lastRenderedPageBreak/>
              <w:t>Bombus</w:t>
            </w:r>
            <w:r w:rsidRPr="00FF0849">
              <w:rPr>
                <w:rFonts w:ascii="Times New Roman" w:eastAsia="Times New Roman" w:hAnsi="Times New Roman" w:cs="Times New Roman"/>
                <w:lang w:eastAsia="en-IN"/>
              </w:rPr>
              <w:t> sp.</w:t>
            </w:r>
          </w:p>
        </w:tc>
        <w:tc>
          <w:tcPr>
            <w:tcW w:w="0" w:type="auto"/>
            <w:tcMar>
              <w:top w:w="150" w:type="dxa"/>
              <w:left w:w="240" w:type="dxa"/>
              <w:bottom w:w="150" w:type="dxa"/>
              <w:right w:w="240" w:type="dxa"/>
            </w:tcMar>
            <w:vAlign w:val="center"/>
            <w:hideMark/>
          </w:tcPr>
          <w:p w14:paraId="52E07E6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BM-SHP-3</w:t>
            </w:r>
          </w:p>
        </w:tc>
        <w:tc>
          <w:tcPr>
            <w:tcW w:w="0" w:type="auto"/>
            <w:tcMar>
              <w:top w:w="150" w:type="dxa"/>
              <w:left w:w="240" w:type="dxa"/>
              <w:bottom w:w="150" w:type="dxa"/>
              <w:right w:w="240" w:type="dxa"/>
            </w:tcMar>
            <w:vAlign w:val="center"/>
            <w:hideMark/>
          </w:tcPr>
          <w:p w14:paraId="095DFA3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Bombus haemorrhoidalis</w:t>
            </w:r>
          </w:p>
        </w:tc>
        <w:tc>
          <w:tcPr>
            <w:tcW w:w="0" w:type="auto"/>
            <w:tcMar>
              <w:top w:w="150" w:type="dxa"/>
              <w:left w:w="240" w:type="dxa"/>
              <w:bottom w:w="150" w:type="dxa"/>
              <w:right w:w="240" w:type="dxa"/>
            </w:tcMar>
            <w:vAlign w:val="center"/>
            <w:hideMark/>
          </w:tcPr>
          <w:p w14:paraId="75546CF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98.9</w:t>
            </w:r>
          </w:p>
        </w:tc>
        <w:tc>
          <w:tcPr>
            <w:tcW w:w="0" w:type="auto"/>
            <w:tcMar>
              <w:top w:w="150" w:type="dxa"/>
              <w:left w:w="240" w:type="dxa"/>
              <w:bottom w:w="150" w:type="dxa"/>
              <w:right w:w="240" w:type="dxa"/>
            </w:tcMar>
            <w:vAlign w:val="center"/>
            <w:hideMark/>
          </w:tcPr>
          <w:p w14:paraId="42E6066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MW985621</w:t>
            </w:r>
          </w:p>
        </w:tc>
        <w:tc>
          <w:tcPr>
            <w:tcW w:w="0" w:type="auto"/>
            <w:tcMar>
              <w:top w:w="150" w:type="dxa"/>
              <w:left w:w="240" w:type="dxa"/>
              <w:bottom w:w="150" w:type="dxa"/>
              <w:right w:w="0" w:type="dxa"/>
            </w:tcMar>
            <w:vAlign w:val="center"/>
            <w:hideMark/>
          </w:tcPr>
          <w:p w14:paraId="0D910EE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99%</w:t>
            </w:r>
          </w:p>
        </w:tc>
      </w:tr>
      <w:tr w:rsidR="0014793C" w:rsidRPr="00FF0849" w14:paraId="5E8305D4" w14:textId="77777777" w:rsidTr="0014793C">
        <w:tc>
          <w:tcPr>
            <w:tcW w:w="0" w:type="auto"/>
            <w:tcMar>
              <w:top w:w="150" w:type="dxa"/>
              <w:left w:w="0" w:type="dxa"/>
              <w:bottom w:w="150" w:type="dxa"/>
              <w:right w:w="240" w:type="dxa"/>
            </w:tcMar>
            <w:vAlign w:val="center"/>
            <w:hideMark/>
          </w:tcPr>
          <w:p w14:paraId="45411C6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E. tenax</w:t>
            </w:r>
          </w:p>
        </w:tc>
        <w:tc>
          <w:tcPr>
            <w:tcW w:w="0" w:type="auto"/>
            <w:tcMar>
              <w:top w:w="150" w:type="dxa"/>
              <w:left w:w="240" w:type="dxa"/>
              <w:bottom w:w="150" w:type="dxa"/>
              <w:right w:w="240" w:type="dxa"/>
            </w:tcMar>
            <w:vAlign w:val="center"/>
            <w:hideMark/>
          </w:tcPr>
          <w:p w14:paraId="6DEB3A4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ET-SRG-1</w:t>
            </w:r>
          </w:p>
        </w:tc>
        <w:tc>
          <w:tcPr>
            <w:tcW w:w="0" w:type="auto"/>
            <w:tcMar>
              <w:top w:w="150" w:type="dxa"/>
              <w:left w:w="240" w:type="dxa"/>
              <w:bottom w:w="150" w:type="dxa"/>
              <w:right w:w="240" w:type="dxa"/>
            </w:tcMar>
            <w:vAlign w:val="center"/>
            <w:hideMark/>
          </w:tcPr>
          <w:p w14:paraId="7427FC6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Eristalis tenax</w:t>
            </w:r>
            <w:r w:rsidRPr="00FF0849">
              <w:rPr>
                <w:rFonts w:ascii="Times New Roman" w:eastAsia="Times New Roman" w:hAnsi="Times New Roman" w:cs="Times New Roman"/>
                <w:lang w:eastAsia="en-IN"/>
              </w:rPr>
              <w:t> voucher USNM 61582</w:t>
            </w:r>
          </w:p>
        </w:tc>
        <w:tc>
          <w:tcPr>
            <w:tcW w:w="0" w:type="auto"/>
            <w:tcMar>
              <w:top w:w="150" w:type="dxa"/>
              <w:left w:w="240" w:type="dxa"/>
              <w:bottom w:w="150" w:type="dxa"/>
              <w:right w:w="240" w:type="dxa"/>
            </w:tcMar>
            <w:vAlign w:val="center"/>
            <w:hideMark/>
          </w:tcPr>
          <w:p w14:paraId="3D0BCFD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99.2</w:t>
            </w:r>
          </w:p>
        </w:tc>
        <w:tc>
          <w:tcPr>
            <w:tcW w:w="0" w:type="auto"/>
            <w:tcMar>
              <w:top w:w="150" w:type="dxa"/>
              <w:left w:w="240" w:type="dxa"/>
              <w:bottom w:w="150" w:type="dxa"/>
              <w:right w:w="240" w:type="dxa"/>
            </w:tcMar>
            <w:vAlign w:val="center"/>
            <w:hideMark/>
          </w:tcPr>
          <w:p w14:paraId="0930664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MH236147</w:t>
            </w:r>
          </w:p>
        </w:tc>
        <w:tc>
          <w:tcPr>
            <w:tcW w:w="0" w:type="auto"/>
            <w:tcMar>
              <w:top w:w="150" w:type="dxa"/>
              <w:left w:w="240" w:type="dxa"/>
              <w:bottom w:w="150" w:type="dxa"/>
              <w:right w:w="0" w:type="dxa"/>
            </w:tcMar>
            <w:vAlign w:val="center"/>
            <w:hideMark/>
          </w:tcPr>
          <w:p w14:paraId="20CFC9F2"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100%</w:t>
            </w:r>
          </w:p>
        </w:tc>
      </w:tr>
    </w:tbl>
    <w:p w14:paraId="638389B4"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3.5 Correlation Between Pollinator Abundance and Fruit Traits</w:t>
      </w:r>
    </w:p>
    <w:p w14:paraId="4846A99D"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A significant positive correlation was observed between the abundance of all major pollinators and key fruit quality parameters, with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showing the strongest correlations (Table 5).</w:t>
      </w:r>
    </w:p>
    <w:p w14:paraId="59E5C31A"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Table 5. Pearson correlation coefficients (r) between pollinator abundance and fruit quality traits.</w:t>
      </w:r>
    </w:p>
    <w:tbl>
      <w:tblPr>
        <w:tblW w:w="0" w:type="auto"/>
        <w:tblCellMar>
          <w:top w:w="15" w:type="dxa"/>
          <w:left w:w="15" w:type="dxa"/>
          <w:bottom w:w="15" w:type="dxa"/>
          <w:right w:w="15" w:type="dxa"/>
        </w:tblCellMar>
        <w:tblLook w:val="04A0" w:firstRow="1" w:lastRow="0" w:firstColumn="1" w:lastColumn="0" w:noHBand="0" w:noVBand="1"/>
      </w:tblPr>
      <w:tblGrid>
        <w:gridCol w:w="2359"/>
        <w:gridCol w:w="1336"/>
        <w:gridCol w:w="1519"/>
        <w:gridCol w:w="1495"/>
        <w:gridCol w:w="1201"/>
      </w:tblGrid>
      <w:tr w:rsidR="0014793C" w:rsidRPr="00FF0849" w14:paraId="27699568" w14:textId="77777777" w:rsidTr="0014793C">
        <w:trPr>
          <w:tblHeader/>
        </w:trPr>
        <w:tc>
          <w:tcPr>
            <w:tcW w:w="0" w:type="auto"/>
            <w:tcBorders>
              <w:top w:val="nil"/>
            </w:tcBorders>
            <w:tcMar>
              <w:top w:w="150" w:type="dxa"/>
              <w:left w:w="0" w:type="dxa"/>
              <w:bottom w:w="150" w:type="dxa"/>
              <w:right w:w="240" w:type="dxa"/>
            </w:tcMar>
            <w:vAlign w:val="center"/>
            <w:hideMark/>
          </w:tcPr>
          <w:p w14:paraId="5E7A98D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Fruit Trait</w:t>
            </w:r>
          </w:p>
        </w:tc>
        <w:tc>
          <w:tcPr>
            <w:tcW w:w="0" w:type="auto"/>
            <w:tcBorders>
              <w:top w:val="nil"/>
            </w:tcBorders>
            <w:tcMar>
              <w:top w:w="150" w:type="dxa"/>
              <w:left w:w="240" w:type="dxa"/>
              <w:bottom w:w="150" w:type="dxa"/>
              <w:right w:w="240" w:type="dxa"/>
            </w:tcMar>
            <w:vAlign w:val="center"/>
            <w:hideMark/>
          </w:tcPr>
          <w:p w14:paraId="2045FBC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cerana</w:t>
            </w:r>
          </w:p>
        </w:tc>
        <w:tc>
          <w:tcPr>
            <w:tcW w:w="0" w:type="auto"/>
            <w:tcBorders>
              <w:top w:val="nil"/>
            </w:tcBorders>
            <w:tcMar>
              <w:top w:w="150" w:type="dxa"/>
              <w:left w:w="240" w:type="dxa"/>
              <w:bottom w:w="150" w:type="dxa"/>
              <w:right w:w="240" w:type="dxa"/>
            </w:tcMar>
            <w:vAlign w:val="center"/>
            <w:hideMark/>
          </w:tcPr>
          <w:p w14:paraId="37D9817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mellifera</w:t>
            </w:r>
          </w:p>
        </w:tc>
        <w:tc>
          <w:tcPr>
            <w:tcW w:w="0" w:type="auto"/>
            <w:tcBorders>
              <w:top w:val="nil"/>
            </w:tcBorders>
            <w:tcMar>
              <w:top w:w="150" w:type="dxa"/>
              <w:left w:w="240" w:type="dxa"/>
              <w:bottom w:w="150" w:type="dxa"/>
              <w:right w:w="240" w:type="dxa"/>
            </w:tcMar>
            <w:vAlign w:val="center"/>
            <w:hideMark/>
          </w:tcPr>
          <w:p w14:paraId="2E48D9E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Bombus</w:t>
            </w:r>
            <w:r w:rsidRPr="00FF0849">
              <w:rPr>
                <w:rFonts w:ascii="Times New Roman" w:eastAsia="Times New Roman" w:hAnsi="Times New Roman" w:cs="Times New Roman"/>
                <w:lang w:eastAsia="en-IN"/>
              </w:rPr>
              <w:t> sp.</w:t>
            </w:r>
          </w:p>
        </w:tc>
        <w:tc>
          <w:tcPr>
            <w:tcW w:w="0" w:type="auto"/>
            <w:tcBorders>
              <w:top w:val="nil"/>
            </w:tcBorders>
            <w:tcMar>
              <w:top w:w="150" w:type="dxa"/>
              <w:left w:w="240" w:type="dxa"/>
              <w:bottom w:w="150" w:type="dxa"/>
              <w:right w:w="240" w:type="dxa"/>
            </w:tcMar>
            <w:vAlign w:val="center"/>
            <w:hideMark/>
          </w:tcPr>
          <w:p w14:paraId="3BDCF9D8"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E. tenax</w:t>
            </w:r>
          </w:p>
        </w:tc>
      </w:tr>
      <w:tr w:rsidR="0014793C" w:rsidRPr="00FF0849" w14:paraId="0124B3B1" w14:textId="77777777" w:rsidTr="0014793C">
        <w:tc>
          <w:tcPr>
            <w:tcW w:w="0" w:type="auto"/>
            <w:tcMar>
              <w:top w:w="150" w:type="dxa"/>
              <w:left w:w="0" w:type="dxa"/>
              <w:bottom w:w="150" w:type="dxa"/>
              <w:right w:w="240" w:type="dxa"/>
            </w:tcMar>
            <w:vAlign w:val="center"/>
            <w:hideMark/>
          </w:tcPr>
          <w:p w14:paraId="18958AA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Fruit weight</w:t>
            </w:r>
          </w:p>
        </w:tc>
        <w:tc>
          <w:tcPr>
            <w:tcW w:w="0" w:type="auto"/>
            <w:tcMar>
              <w:top w:w="150" w:type="dxa"/>
              <w:left w:w="240" w:type="dxa"/>
              <w:bottom w:w="150" w:type="dxa"/>
              <w:right w:w="240" w:type="dxa"/>
            </w:tcMar>
            <w:vAlign w:val="center"/>
            <w:hideMark/>
          </w:tcPr>
          <w:p w14:paraId="3BF3FFC8"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0.68*</w:t>
            </w:r>
          </w:p>
        </w:tc>
        <w:tc>
          <w:tcPr>
            <w:tcW w:w="0" w:type="auto"/>
            <w:tcMar>
              <w:top w:w="150" w:type="dxa"/>
              <w:left w:w="240" w:type="dxa"/>
              <w:bottom w:w="150" w:type="dxa"/>
              <w:right w:w="240" w:type="dxa"/>
            </w:tcMar>
            <w:vAlign w:val="center"/>
            <w:hideMark/>
          </w:tcPr>
          <w:p w14:paraId="1AA86577"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0.74**</w:t>
            </w:r>
          </w:p>
        </w:tc>
        <w:tc>
          <w:tcPr>
            <w:tcW w:w="0" w:type="auto"/>
            <w:tcMar>
              <w:top w:w="150" w:type="dxa"/>
              <w:left w:w="240" w:type="dxa"/>
              <w:bottom w:w="150" w:type="dxa"/>
              <w:right w:w="240" w:type="dxa"/>
            </w:tcMar>
            <w:vAlign w:val="center"/>
            <w:hideMark/>
          </w:tcPr>
          <w:p w14:paraId="4949367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0.79**</w:t>
            </w:r>
          </w:p>
        </w:tc>
        <w:tc>
          <w:tcPr>
            <w:tcW w:w="0" w:type="auto"/>
            <w:tcMar>
              <w:top w:w="150" w:type="dxa"/>
              <w:left w:w="240" w:type="dxa"/>
              <w:bottom w:w="150" w:type="dxa"/>
              <w:right w:w="0" w:type="dxa"/>
            </w:tcMar>
            <w:vAlign w:val="center"/>
            <w:hideMark/>
          </w:tcPr>
          <w:p w14:paraId="18BC0BF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0.63*</w:t>
            </w:r>
          </w:p>
        </w:tc>
      </w:tr>
      <w:tr w:rsidR="0014793C" w:rsidRPr="00FF0849" w14:paraId="2D0378A4" w14:textId="77777777" w:rsidTr="0014793C">
        <w:tc>
          <w:tcPr>
            <w:tcW w:w="0" w:type="auto"/>
            <w:tcMar>
              <w:top w:w="150" w:type="dxa"/>
              <w:left w:w="0" w:type="dxa"/>
              <w:bottom w:w="150" w:type="dxa"/>
              <w:right w:w="240" w:type="dxa"/>
            </w:tcMar>
            <w:vAlign w:val="center"/>
            <w:hideMark/>
          </w:tcPr>
          <w:p w14:paraId="780E4B6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Seed number</w:t>
            </w:r>
          </w:p>
        </w:tc>
        <w:tc>
          <w:tcPr>
            <w:tcW w:w="0" w:type="auto"/>
            <w:tcMar>
              <w:top w:w="150" w:type="dxa"/>
              <w:left w:w="240" w:type="dxa"/>
              <w:bottom w:w="150" w:type="dxa"/>
              <w:right w:w="240" w:type="dxa"/>
            </w:tcMar>
            <w:vAlign w:val="center"/>
            <w:hideMark/>
          </w:tcPr>
          <w:p w14:paraId="5770119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0.62*</w:t>
            </w:r>
          </w:p>
        </w:tc>
        <w:tc>
          <w:tcPr>
            <w:tcW w:w="0" w:type="auto"/>
            <w:tcMar>
              <w:top w:w="150" w:type="dxa"/>
              <w:left w:w="240" w:type="dxa"/>
              <w:bottom w:w="150" w:type="dxa"/>
              <w:right w:w="240" w:type="dxa"/>
            </w:tcMar>
            <w:vAlign w:val="center"/>
            <w:hideMark/>
          </w:tcPr>
          <w:p w14:paraId="01601C2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0.70**</w:t>
            </w:r>
          </w:p>
        </w:tc>
        <w:tc>
          <w:tcPr>
            <w:tcW w:w="0" w:type="auto"/>
            <w:tcMar>
              <w:top w:w="150" w:type="dxa"/>
              <w:left w:w="240" w:type="dxa"/>
              <w:bottom w:w="150" w:type="dxa"/>
              <w:right w:w="240" w:type="dxa"/>
            </w:tcMar>
            <w:vAlign w:val="center"/>
            <w:hideMark/>
          </w:tcPr>
          <w:p w14:paraId="5F24205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0.76**</w:t>
            </w:r>
          </w:p>
        </w:tc>
        <w:tc>
          <w:tcPr>
            <w:tcW w:w="0" w:type="auto"/>
            <w:tcMar>
              <w:top w:w="150" w:type="dxa"/>
              <w:left w:w="240" w:type="dxa"/>
              <w:bottom w:w="150" w:type="dxa"/>
              <w:right w:w="0" w:type="dxa"/>
            </w:tcMar>
            <w:vAlign w:val="center"/>
            <w:hideMark/>
          </w:tcPr>
          <w:p w14:paraId="07FA6BB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0.59*</w:t>
            </w:r>
          </w:p>
        </w:tc>
      </w:tr>
      <w:tr w:rsidR="0014793C" w:rsidRPr="00FF0849" w14:paraId="6EC3B31A" w14:textId="77777777" w:rsidTr="0014793C">
        <w:tc>
          <w:tcPr>
            <w:tcW w:w="0" w:type="auto"/>
            <w:tcMar>
              <w:top w:w="150" w:type="dxa"/>
              <w:left w:w="0" w:type="dxa"/>
              <w:bottom w:w="150" w:type="dxa"/>
              <w:right w:w="240" w:type="dxa"/>
            </w:tcMar>
            <w:vAlign w:val="center"/>
            <w:hideMark/>
          </w:tcPr>
          <w:p w14:paraId="7937FCA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Shape index</w:t>
            </w:r>
          </w:p>
        </w:tc>
        <w:tc>
          <w:tcPr>
            <w:tcW w:w="0" w:type="auto"/>
            <w:tcMar>
              <w:top w:w="150" w:type="dxa"/>
              <w:left w:w="240" w:type="dxa"/>
              <w:bottom w:w="150" w:type="dxa"/>
              <w:right w:w="240" w:type="dxa"/>
            </w:tcMar>
            <w:vAlign w:val="center"/>
            <w:hideMark/>
          </w:tcPr>
          <w:p w14:paraId="73E45AA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0.58*</w:t>
            </w:r>
          </w:p>
        </w:tc>
        <w:tc>
          <w:tcPr>
            <w:tcW w:w="0" w:type="auto"/>
            <w:tcMar>
              <w:top w:w="150" w:type="dxa"/>
              <w:left w:w="240" w:type="dxa"/>
              <w:bottom w:w="150" w:type="dxa"/>
              <w:right w:w="240" w:type="dxa"/>
            </w:tcMar>
            <w:vAlign w:val="center"/>
            <w:hideMark/>
          </w:tcPr>
          <w:p w14:paraId="1A7767C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0.65*</w:t>
            </w:r>
          </w:p>
        </w:tc>
        <w:tc>
          <w:tcPr>
            <w:tcW w:w="0" w:type="auto"/>
            <w:tcMar>
              <w:top w:w="150" w:type="dxa"/>
              <w:left w:w="240" w:type="dxa"/>
              <w:bottom w:w="150" w:type="dxa"/>
              <w:right w:w="240" w:type="dxa"/>
            </w:tcMar>
            <w:vAlign w:val="center"/>
            <w:hideMark/>
          </w:tcPr>
          <w:p w14:paraId="71D426E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0.71**</w:t>
            </w:r>
          </w:p>
        </w:tc>
        <w:tc>
          <w:tcPr>
            <w:tcW w:w="0" w:type="auto"/>
            <w:tcMar>
              <w:top w:w="150" w:type="dxa"/>
              <w:left w:w="240" w:type="dxa"/>
              <w:bottom w:w="150" w:type="dxa"/>
              <w:right w:w="0" w:type="dxa"/>
            </w:tcMar>
            <w:vAlign w:val="center"/>
            <w:hideMark/>
          </w:tcPr>
          <w:p w14:paraId="72E5A3A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0.54*</w:t>
            </w:r>
          </w:p>
        </w:tc>
      </w:tr>
      <w:tr w:rsidR="0014793C" w:rsidRPr="00FF0849" w14:paraId="09931307" w14:textId="77777777" w:rsidTr="0014793C">
        <w:tc>
          <w:tcPr>
            <w:tcW w:w="0" w:type="auto"/>
            <w:tcMar>
              <w:top w:w="150" w:type="dxa"/>
              <w:left w:w="0" w:type="dxa"/>
              <w:bottom w:w="150" w:type="dxa"/>
              <w:right w:w="240" w:type="dxa"/>
            </w:tcMar>
            <w:vAlign w:val="center"/>
            <w:hideMark/>
          </w:tcPr>
          <w:p w14:paraId="64BAD54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**p &lt; 0.05, **p &lt; 0.01*</w:t>
            </w:r>
          </w:p>
        </w:tc>
        <w:tc>
          <w:tcPr>
            <w:tcW w:w="0" w:type="auto"/>
            <w:tcMar>
              <w:top w:w="150" w:type="dxa"/>
              <w:left w:w="240" w:type="dxa"/>
              <w:bottom w:w="150" w:type="dxa"/>
              <w:right w:w="240" w:type="dxa"/>
            </w:tcMar>
            <w:vAlign w:val="center"/>
            <w:hideMark/>
          </w:tcPr>
          <w:p w14:paraId="6E94966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240" w:type="dxa"/>
            </w:tcMar>
            <w:vAlign w:val="center"/>
            <w:hideMark/>
          </w:tcPr>
          <w:p w14:paraId="555ABB3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240" w:type="dxa"/>
            </w:tcMar>
            <w:vAlign w:val="center"/>
            <w:hideMark/>
          </w:tcPr>
          <w:p w14:paraId="14CC359F"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0" w:type="dxa"/>
            </w:tcMar>
            <w:vAlign w:val="center"/>
            <w:hideMark/>
          </w:tcPr>
          <w:p w14:paraId="7931E10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r>
    </w:tbl>
    <w:p w14:paraId="6A4DB7A7"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3.6 Comparative Genetic Divergence Analysis</w:t>
      </w:r>
    </w:p>
    <w:p w14:paraId="428B5FC7"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Inter-district sequence divergence among populations was low (&lt;2%), indicating genetic homogeneity among regions.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showed the highest intraspecific genetic variation (Table 6).</w:t>
      </w:r>
    </w:p>
    <w:p w14:paraId="77E63486"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Table 6. Pairwise K2P genetic divergence (%) among pollinator populations from different districts.</w:t>
      </w:r>
    </w:p>
    <w:tbl>
      <w:tblPr>
        <w:tblW w:w="0" w:type="auto"/>
        <w:tblCellMar>
          <w:top w:w="15" w:type="dxa"/>
          <w:left w:w="15" w:type="dxa"/>
          <w:bottom w:w="15" w:type="dxa"/>
          <w:right w:w="15" w:type="dxa"/>
        </w:tblCellMar>
        <w:tblLook w:val="04A0" w:firstRow="1" w:lastRow="0" w:firstColumn="1" w:lastColumn="0" w:noHBand="0" w:noVBand="1"/>
      </w:tblPr>
      <w:tblGrid>
        <w:gridCol w:w="1279"/>
        <w:gridCol w:w="2252"/>
        <w:gridCol w:w="2228"/>
        <w:gridCol w:w="2057"/>
      </w:tblGrid>
      <w:tr w:rsidR="0014793C" w:rsidRPr="00FF0849" w14:paraId="768A0126" w14:textId="77777777" w:rsidTr="0014793C">
        <w:trPr>
          <w:tblHeader/>
        </w:trPr>
        <w:tc>
          <w:tcPr>
            <w:tcW w:w="0" w:type="auto"/>
            <w:tcBorders>
              <w:top w:val="nil"/>
            </w:tcBorders>
            <w:tcMar>
              <w:top w:w="150" w:type="dxa"/>
              <w:left w:w="0" w:type="dxa"/>
              <w:bottom w:w="150" w:type="dxa"/>
              <w:right w:w="240" w:type="dxa"/>
            </w:tcMar>
            <w:vAlign w:val="center"/>
            <w:hideMark/>
          </w:tcPr>
          <w:p w14:paraId="5579F3B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Species</w:t>
            </w:r>
          </w:p>
        </w:tc>
        <w:tc>
          <w:tcPr>
            <w:tcW w:w="0" w:type="auto"/>
            <w:tcBorders>
              <w:top w:val="nil"/>
            </w:tcBorders>
            <w:tcMar>
              <w:top w:w="150" w:type="dxa"/>
              <w:left w:w="240" w:type="dxa"/>
              <w:bottom w:w="150" w:type="dxa"/>
              <w:right w:w="240" w:type="dxa"/>
            </w:tcMar>
            <w:vAlign w:val="center"/>
            <w:hideMark/>
          </w:tcPr>
          <w:p w14:paraId="428770D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Baramulla–Srinagar</w:t>
            </w:r>
          </w:p>
        </w:tc>
        <w:tc>
          <w:tcPr>
            <w:tcW w:w="0" w:type="auto"/>
            <w:tcBorders>
              <w:top w:val="nil"/>
            </w:tcBorders>
            <w:tcMar>
              <w:top w:w="150" w:type="dxa"/>
              <w:left w:w="240" w:type="dxa"/>
              <w:bottom w:w="150" w:type="dxa"/>
              <w:right w:w="240" w:type="dxa"/>
            </w:tcMar>
            <w:vAlign w:val="center"/>
            <w:hideMark/>
          </w:tcPr>
          <w:p w14:paraId="6101059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Baramulla–Shopian</w:t>
            </w:r>
          </w:p>
        </w:tc>
        <w:tc>
          <w:tcPr>
            <w:tcW w:w="0" w:type="auto"/>
            <w:tcBorders>
              <w:top w:val="nil"/>
            </w:tcBorders>
            <w:tcMar>
              <w:top w:w="150" w:type="dxa"/>
              <w:left w:w="240" w:type="dxa"/>
              <w:bottom w:w="150" w:type="dxa"/>
              <w:right w:w="240" w:type="dxa"/>
            </w:tcMar>
            <w:vAlign w:val="center"/>
            <w:hideMark/>
          </w:tcPr>
          <w:p w14:paraId="7F40DDC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Srinagar–Shopian</w:t>
            </w:r>
          </w:p>
        </w:tc>
      </w:tr>
      <w:tr w:rsidR="0014793C" w:rsidRPr="00FF0849" w14:paraId="0D710A07" w14:textId="77777777" w:rsidTr="0014793C">
        <w:tc>
          <w:tcPr>
            <w:tcW w:w="0" w:type="auto"/>
            <w:tcMar>
              <w:top w:w="150" w:type="dxa"/>
              <w:left w:w="0" w:type="dxa"/>
              <w:bottom w:w="150" w:type="dxa"/>
              <w:right w:w="240" w:type="dxa"/>
            </w:tcMar>
            <w:vAlign w:val="center"/>
            <w:hideMark/>
          </w:tcPr>
          <w:p w14:paraId="275AFC6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cerana</w:t>
            </w:r>
          </w:p>
        </w:tc>
        <w:tc>
          <w:tcPr>
            <w:tcW w:w="0" w:type="auto"/>
            <w:tcMar>
              <w:top w:w="150" w:type="dxa"/>
              <w:left w:w="240" w:type="dxa"/>
              <w:bottom w:w="150" w:type="dxa"/>
              <w:right w:w="240" w:type="dxa"/>
            </w:tcMar>
            <w:vAlign w:val="center"/>
            <w:hideMark/>
          </w:tcPr>
          <w:p w14:paraId="6892B18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0.48</w:t>
            </w:r>
          </w:p>
        </w:tc>
        <w:tc>
          <w:tcPr>
            <w:tcW w:w="0" w:type="auto"/>
            <w:tcMar>
              <w:top w:w="150" w:type="dxa"/>
              <w:left w:w="240" w:type="dxa"/>
              <w:bottom w:w="150" w:type="dxa"/>
              <w:right w:w="240" w:type="dxa"/>
            </w:tcMar>
            <w:vAlign w:val="center"/>
            <w:hideMark/>
          </w:tcPr>
          <w:p w14:paraId="5EB21A6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0.62</w:t>
            </w:r>
          </w:p>
        </w:tc>
        <w:tc>
          <w:tcPr>
            <w:tcW w:w="0" w:type="auto"/>
            <w:tcMar>
              <w:top w:w="150" w:type="dxa"/>
              <w:left w:w="240" w:type="dxa"/>
              <w:bottom w:w="150" w:type="dxa"/>
              <w:right w:w="0" w:type="dxa"/>
            </w:tcMar>
            <w:vAlign w:val="center"/>
            <w:hideMark/>
          </w:tcPr>
          <w:p w14:paraId="71ACCE3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0.55</w:t>
            </w:r>
          </w:p>
        </w:tc>
      </w:tr>
      <w:tr w:rsidR="0014793C" w:rsidRPr="00FF0849" w14:paraId="2A85886C" w14:textId="77777777" w:rsidTr="0014793C">
        <w:tc>
          <w:tcPr>
            <w:tcW w:w="0" w:type="auto"/>
            <w:tcMar>
              <w:top w:w="150" w:type="dxa"/>
              <w:left w:w="0" w:type="dxa"/>
              <w:bottom w:w="150" w:type="dxa"/>
              <w:right w:w="240" w:type="dxa"/>
            </w:tcMar>
            <w:vAlign w:val="center"/>
            <w:hideMark/>
          </w:tcPr>
          <w:p w14:paraId="449A586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lastRenderedPageBreak/>
              <w:t>A. mellifera</w:t>
            </w:r>
          </w:p>
        </w:tc>
        <w:tc>
          <w:tcPr>
            <w:tcW w:w="0" w:type="auto"/>
            <w:tcMar>
              <w:top w:w="150" w:type="dxa"/>
              <w:left w:w="240" w:type="dxa"/>
              <w:bottom w:w="150" w:type="dxa"/>
              <w:right w:w="240" w:type="dxa"/>
            </w:tcMar>
            <w:vAlign w:val="center"/>
            <w:hideMark/>
          </w:tcPr>
          <w:p w14:paraId="703F3C0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0.27</w:t>
            </w:r>
          </w:p>
        </w:tc>
        <w:tc>
          <w:tcPr>
            <w:tcW w:w="0" w:type="auto"/>
            <w:tcMar>
              <w:top w:w="150" w:type="dxa"/>
              <w:left w:w="240" w:type="dxa"/>
              <w:bottom w:w="150" w:type="dxa"/>
              <w:right w:w="240" w:type="dxa"/>
            </w:tcMar>
            <w:vAlign w:val="center"/>
            <w:hideMark/>
          </w:tcPr>
          <w:p w14:paraId="44EF41C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0.33</w:t>
            </w:r>
          </w:p>
        </w:tc>
        <w:tc>
          <w:tcPr>
            <w:tcW w:w="0" w:type="auto"/>
            <w:tcMar>
              <w:top w:w="150" w:type="dxa"/>
              <w:left w:w="240" w:type="dxa"/>
              <w:bottom w:w="150" w:type="dxa"/>
              <w:right w:w="0" w:type="dxa"/>
            </w:tcMar>
            <w:vAlign w:val="center"/>
            <w:hideMark/>
          </w:tcPr>
          <w:p w14:paraId="29BBF3D2"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0.29</w:t>
            </w:r>
          </w:p>
        </w:tc>
      </w:tr>
      <w:tr w:rsidR="0014793C" w:rsidRPr="00FF0849" w14:paraId="3BD8AC6B" w14:textId="77777777" w:rsidTr="0014793C">
        <w:tc>
          <w:tcPr>
            <w:tcW w:w="0" w:type="auto"/>
            <w:tcMar>
              <w:top w:w="150" w:type="dxa"/>
              <w:left w:w="0" w:type="dxa"/>
              <w:bottom w:w="150" w:type="dxa"/>
              <w:right w:w="240" w:type="dxa"/>
            </w:tcMar>
            <w:vAlign w:val="center"/>
            <w:hideMark/>
          </w:tcPr>
          <w:p w14:paraId="5FCF558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Bombus</w:t>
            </w:r>
            <w:r w:rsidRPr="00FF0849">
              <w:rPr>
                <w:rFonts w:ascii="Times New Roman" w:eastAsia="Times New Roman" w:hAnsi="Times New Roman" w:cs="Times New Roman"/>
                <w:lang w:eastAsia="en-IN"/>
              </w:rPr>
              <w:t> sp.</w:t>
            </w:r>
          </w:p>
        </w:tc>
        <w:tc>
          <w:tcPr>
            <w:tcW w:w="0" w:type="auto"/>
            <w:tcMar>
              <w:top w:w="150" w:type="dxa"/>
              <w:left w:w="240" w:type="dxa"/>
              <w:bottom w:w="150" w:type="dxa"/>
              <w:right w:w="240" w:type="dxa"/>
            </w:tcMar>
            <w:vAlign w:val="center"/>
            <w:hideMark/>
          </w:tcPr>
          <w:p w14:paraId="300FE72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1.12</w:t>
            </w:r>
          </w:p>
        </w:tc>
        <w:tc>
          <w:tcPr>
            <w:tcW w:w="0" w:type="auto"/>
            <w:tcMar>
              <w:top w:w="150" w:type="dxa"/>
              <w:left w:w="240" w:type="dxa"/>
              <w:bottom w:w="150" w:type="dxa"/>
              <w:right w:w="240" w:type="dxa"/>
            </w:tcMar>
            <w:vAlign w:val="center"/>
            <w:hideMark/>
          </w:tcPr>
          <w:p w14:paraId="6D24240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1.48</w:t>
            </w:r>
          </w:p>
        </w:tc>
        <w:tc>
          <w:tcPr>
            <w:tcW w:w="0" w:type="auto"/>
            <w:tcMar>
              <w:top w:w="150" w:type="dxa"/>
              <w:left w:w="240" w:type="dxa"/>
              <w:bottom w:w="150" w:type="dxa"/>
              <w:right w:w="0" w:type="dxa"/>
            </w:tcMar>
            <w:vAlign w:val="center"/>
            <w:hideMark/>
          </w:tcPr>
          <w:p w14:paraId="1E86FE5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1.24</w:t>
            </w:r>
          </w:p>
        </w:tc>
      </w:tr>
      <w:tr w:rsidR="0014793C" w:rsidRPr="00FF0849" w14:paraId="7E190049" w14:textId="77777777" w:rsidTr="0014793C">
        <w:tc>
          <w:tcPr>
            <w:tcW w:w="0" w:type="auto"/>
            <w:tcMar>
              <w:top w:w="150" w:type="dxa"/>
              <w:left w:w="0" w:type="dxa"/>
              <w:bottom w:w="150" w:type="dxa"/>
              <w:right w:w="240" w:type="dxa"/>
            </w:tcMar>
            <w:vAlign w:val="center"/>
            <w:hideMark/>
          </w:tcPr>
          <w:p w14:paraId="025B6A07"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E. tenax</w:t>
            </w:r>
          </w:p>
        </w:tc>
        <w:tc>
          <w:tcPr>
            <w:tcW w:w="0" w:type="auto"/>
            <w:tcMar>
              <w:top w:w="150" w:type="dxa"/>
              <w:left w:w="240" w:type="dxa"/>
              <w:bottom w:w="150" w:type="dxa"/>
              <w:right w:w="240" w:type="dxa"/>
            </w:tcMar>
            <w:vAlign w:val="center"/>
            <w:hideMark/>
          </w:tcPr>
          <w:p w14:paraId="07FF4A4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0.56</w:t>
            </w:r>
          </w:p>
        </w:tc>
        <w:tc>
          <w:tcPr>
            <w:tcW w:w="0" w:type="auto"/>
            <w:tcMar>
              <w:top w:w="150" w:type="dxa"/>
              <w:left w:w="240" w:type="dxa"/>
              <w:bottom w:w="150" w:type="dxa"/>
              <w:right w:w="240" w:type="dxa"/>
            </w:tcMar>
            <w:vAlign w:val="center"/>
            <w:hideMark/>
          </w:tcPr>
          <w:p w14:paraId="67D0BD4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0.64</w:t>
            </w:r>
          </w:p>
        </w:tc>
        <w:tc>
          <w:tcPr>
            <w:tcW w:w="0" w:type="auto"/>
            <w:tcMar>
              <w:top w:w="150" w:type="dxa"/>
              <w:left w:w="240" w:type="dxa"/>
              <w:bottom w:w="150" w:type="dxa"/>
              <w:right w:w="0" w:type="dxa"/>
            </w:tcMar>
            <w:vAlign w:val="center"/>
            <w:hideMark/>
          </w:tcPr>
          <w:p w14:paraId="4DF9AAC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0.59</w:t>
            </w:r>
          </w:p>
        </w:tc>
      </w:tr>
    </w:tbl>
    <w:p w14:paraId="202CDD9E" w14:textId="77777777" w:rsidR="0014793C" w:rsidRPr="00FF0849" w:rsidRDefault="0014793C" w:rsidP="0014793C">
      <w:pPr>
        <w:shd w:val="clear" w:color="auto" w:fill="FFFFFF"/>
        <w:spacing w:before="480" w:after="240" w:line="450" w:lineRule="atLeast"/>
        <w:jc w:val="both"/>
        <w:outlineLvl w:val="2"/>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4. Discussion</w:t>
      </w:r>
    </w:p>
    <w:p w14:paraId="743EBBDB"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This study provides a comprehensive, integrative analysis of the pollinator community in the economically critical apple orchards of the Kashmir Valley. By coupling traditional morphometrics with DNA barcoding, we have established a robust baseline for understanding pollinator diversity and its functional implications for apple production.</w:t>
      </w:r>
    </w:p>
    <w:p w14:paraId="25B9A903"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The documented pollinator assemblage, dominated by </w:t>
      </w:r>
      <w:r w:rsidRPr="00FF0849">
        <w:rPr>
          <w:rFonts w:ascii="Times New Roman" w:eastAsia="Times New Roman" w:hAnsi="Times New Roman" w:cs="Times New Roman"/>
          <w:i/>
          <w:iCs/>
          <w:color w:val="0F1115"/>
          <w:lang w:eastAsia="en-IN"/>
        </w:rPr>
        <w:t>A. mellifera</w:t>
      </w:r>
      <w:r w:rsidRPr="00FF0849">
        <w:rPr>
          <w:rFonts w:ascii="Times New Roman" w:eastAsia="Times New Roman" w:hAnsi="Times New Roman" w:cs="Times New Roman"/>
          <w:color w:val="0F1115"/>
          <w:lang w:eastAsia="en-IN"/>
        </w:rPr>
        <w:t> and </w:t>
      </w:r>
      <w:r w:rsidRPr="00FF0849">
        <w:rPr>
          <w:rFonts w:ascii="Times New Roman" w:eastAsia="Times New Roman" w:hAnsi="Times New Roman" w:cs="Times New Roman"/>
          <w:i/>
          <w:iCs/>
          <w:color w:val="0F1115"/>
          <w:lang w:eastAsia="en-IN"/>
        </w:rPr>
        <w:t>A. cerana</w:t>
      </w:r>
      <w:r w:rsidRPr="00FF0849">
        <w:rPr>
          <w:rFonts w:ascii="Times New Roman" w:eastAsia="Times New Roman" w:hAnsi="Times New Roman" w:cs="Times New Roman"/>
          <w:color w:val="0F1115"/>
          <w:lang w:eastAsia="en-IN"/>
        </w:rPr>
        <w:t> but with significant contributions from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and </w:t>
      </w:r>
      <w:r w:rsidRPr="00FF0849">
        <w:rPr>
          <w:rFonts w:ascii="Times New Roman" w:eastAsia="Times New Roman" w:hAnsi="Times New Roman" w:cs="Times New Roman"/>
          <w:i/>
          <w:iCs/>
          <w:color w:val="0F1115"/>
          <w:lang w:eastAsia="en-IN"/>
        </w:rPr>
        <w:t>Eristalis tenax</w:t>
      </w:r>
      <w:r w:rsidRPr="00FF0849">
        <w:rPr>
          <w:rFonts w:ascii="Times New Roman" w:eastAsia="Times New Roman" w:hAnsi="Times New Roman" w:cs="Times New Roman"/>
          <w:color w:val="0F1115"/>
          <w:lang w:eastAsia="en-IN"/>
        </w:rPr>
        <w:t>, aligns with the general pattern in Himalayan agroecosystems where managed and wild pollinators coexist [2, 14]. The shift in dominance from </w:t>
      </w:r>
      <w:r w:rsidRPr="00FF0849">
        <w:rPr>
          <w:rFonts w:ascii="Times New Roman" w:eastAsia="Times New Roman" w:hAnsi="Times New Roman" w:cs="Times New Roman"/>
          <w:i/>
          <w:iCs/>
          <w:color w:val="0F1115"/>
          <w:lang w:eastAsia="en-IN"/>
        </w:rPr>
        <w:t>A. mellifera</w:t>
      </w:r>
      <w:r w:rsidRPr="00FF0849">
        <w:rPr>
          <w:rFonts w:ascii="Times New Roman" w:eastAsia="Times New Roman" w:hAnsi="Times New Roman" w:cs="Times New Roman"/>
          <w:color w:val="0F1115"/>
          <w:lang w:eastAsia="en-IN"/>
        </w:rPr>
        <w:t> in the lower-altitude Srinagar orchards to a higher relative abundance of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in the high-altitude Shopian district is ecologically significant. Bumblebees are well-known for their adaptations to cooler climates, including their ability to thermoregulate and forage at lower temperatures than honeybees [15]. This makes them indispensable pollinators in high-altitude regions like Shopian, ensuring pollination services even under suboptimal weather conditions during the critical apple bloom period. The consistent presence of the syrphid fly </w:t>
      </w:r>
      <w:r w:rsidRPr="00FF0849">
        <w:rPr>
          <w:rFonts w:ascii="Times New Roman" w:eastAsia="Times New Roman" w:hAnsi="Times New Roman" w:cs="Times New Roman"/>
          <w:i/>
          <w:iCs/>
          <w:color w:val="0F1115"/>
          <w:lang w:eastAsia="en-IN"/>
        </w:rPr>
        <w:t>E. tenax</w:t>
      </w:r>
      <w:r w:rsidRPr="00FF0849">
        <w:rPr>
          <w:rFonts w:ascii="Times New Roman" w:eastAsia="Times New Roman" w:hAnsi="Times New Roman" w:cs="Times New Roman"/>
          <w:color w:val="0F1115"/>
          <w:lang w:eastAsia="en-IN"/>
        </w:rPr>
        <w:t>, often considered a secondary pollinator, underscores the importance of a diverse pollinator guild. Syrphids can act as effective pollen vectors, especially in early morning or cloudy conditions, and their larvae provide the added ecosystem service of pest control by preying on aphids [16].</w:t>
      </w:r>
    </w:p>
    <w:p w14:paraId="5E9593A8"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Our morphometric analysis revealed clear interspecific differences, with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exhibiting the largest body size and proboscis length, traits associated with the ability to handle a wider range of flowers and carry more pollen [10]. More notably, the significant intraspecific variation across districts, particularly the trend of increasing body size with altitude in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and </w:t>
      </w:r>
      <w:r w:rsidRPr="00FF0849">
        <w:rPr>
          <w:rFonts w:ascii="Times New Roman" w:eastAsia="Times New Roman" w:hAnsi="Times New Roman" w:cs="Times New Roman"/>
          <w:i/>
          <w:iCs/>
          <w:color w:val="0F1115"/>
          <w:lang w:eastAsia="en-IN"/>
        </w:rPr>
        <w:t>A. cerana</w:t>
      </w:r>
      <w:r w:rsidRPr="00FF0849">
        <w:rPr>
          <w:rFonts w:ascii="Times New Roman" w:eastAsia="Times New Roman" w:hAnsi="Times New Roman" w:cs="Times New Roman"/>
          <w:color w:val="0F1115"/>
          <w:lang w:eastAsia="en-IN"/>
        </w:rPr>
        <w:t xml:space="preserve">, suggests potential local adaptation. This phenomenon, often observed in ectotherms, where larger body size in colder climates helps in heat conservation (a pattern analogous to Bergmann's rule), has been </w:t>
      </w:r>
      <w:r w:rsidRPr="00FF0849">
        <w:rPr>
          <w:rFonts w:ascii="Times New Roman" w:eastAsia="Times New Roman" w:hAnsi="Times New Roman" w:cs="Times New Roman"/>
          <w:color w:val="0F1115"/>
          <w:lang w:eastAsia="en-IN"/>
        </w:rPr>
        <w:lastRenderedPageBreak/>
        <w:t>documented in various bee species [11, 17]. The longer proboscis in high-altitude populations could also be an adaptation to access nectar from deeper floral tubes that may be more common in the native flora of these areas.</w:t>
      </w:r>
    </w:p>
    <w:p w14:paraId="2B4E7D62"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The success of DNA barcoding in this study, with 98-100% similarity to reference sequences in global databases, validates the use of the COI gene as a reliable tool for pollinator identification in the Indian Himalayan region [8]. The confirmation of </w:t>
      </w:r>
      <w:r w:rsidRPr="00FF0849">
        <w:rPr>
          <w:rFonts w:ascii="Times New Roman" w:eastAsia="Times New Roman" w:hAnsi="Times New Roman" w:cs="Times New Roman"/>
          <w:i/>
          <w:iCs/>
          <w:color w:val="0F1115"/>
          <w:lang w:eastAsia="en-IN"/>
        </w:rPr>
        <w:t>Bombus haemorrhoidalis</w:t>
      </w:r>
      <w:r w:rsidRPr="00FF0849">
        <w:rPr>
          <w:rFonts w:ascii="Times New Roman" w:eastAsia="Times New Roman" w:hAnsi="Times New Roman" w:cs="Times New Roman"/>
          <w:color w:val="0F1115"/>
          <w:lang w:eastAsia="en-IN"/>
        </w:rPr>
        <w:t> as the closest match for our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specimens provides a critical species-level identity that morphological keys alone might have struggled to confirm definitively. The low intraspecific genetic divergence (&lt;1.5% for most species) indicates a high degree of genetic connectivity and gene flow among populations across the Kashmir Valley. This is likely due to the movement of managed honeybee hives by orchardists and the natural foraging and dispersal ranges of these insects [18]. The slightly higher divergence observed in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(up to 1.48%) could reflect the presence of cryptic species or population structuring influenced by the region's complex topography, a subject worthy of further investigation with more variable genetic markers.</w:t>
      </w:r>
    </w:p>
    <w:p w14:paraId="7D2CDAE9"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The strong positive correlation between the abundance of key pollinators, particularly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and improved apple fruit quality (weight, seed number, and shape index) is a key finding with direct agricultural implications. This reinforces the well-established principle that pollinator diversity enhances ecosystem function and crop yield stability [4, 19]. A higher number of well-fertilized seeds promotes auxin production, leading to more uniform fruit development and better size and shape [1]. The robust correlation with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abundance highlights the critical role of wild pollinators, suggesting that orchard management practices that support both managed and wild bees will yield the highest quality fruit and greatest economic returns [20].</w:t>
      </w:r>
    </w:p>
    <w:p w14:paraId="3CD71355" w14:textId="77777777" w:rsidR="0014793C" w:rsidRPr="00FF0849" w:rsidRDefault="0014793C" w:rsidP="0014793C">
      <w:pPr>
        <w:shd w:val="clear" w:color="auto" w:fill="FFFFFF"/>
        <w:spacing w:before="480" w:after="240" w:line="450" w:lineRule="atLeast"/>
        <w:jc w:val="both"/>
        <w:outlineLvl w:val="2"/>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5. Conclusion</w:t>
      </w:r>
    </w:p>
    <w:p w14:paraId="78FEE023" w14:textId="7E9BEE7A"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This study establishes a critical baseline for pollinator diversity in the apple ecosystems of the Kashmir Valley through an integrated morphometric and molecular approach. We confirm the dominance of </w:t>
      </w:r>
      <w:r w:rsidRPr="00FF0849">
        <w:rPr>
          <w:rFonts w:ascii="Times New Roman" w:eastAsia="Times New Roman" w:hAnsi="Times New Roman" w:cs="Times New Roman"/>
          <w:i/>
          <w:iCs/>
          <w:color w:val="0F1115"/>
          <w:lang w:eastAsia="en-IN"/>
        </w:rPr>
        <w:t>Apis</w:t>
      </w:r>
      <w:r w:rsidRPr="00FF0849">
        <w:rPr>
          <w:rFonts w:ascii="Times New Roman" w:eastAsia="Times New Roman" w:hAnsi="Times New Roman" w:cs="Times New Roman"/>
          <w:color w:val="0F1115"/>
          <w:lang w:eastAsia="en-IN"/>
        </w:rPr>
        <w:t> species but highlight the significant ecological role of wild pollinators like </w:t>
      </w:r>
      <w:r w:rsidRPr="00FF0849">
        <w:rPr>
          <w:rFonts w:ascii="Times New Roman" w:eastAsia="Times New Roman" w:hAnsi="Times New Roman" w:cs="Times New Roman"/>
          <w:i/>
          <w:iCs/>
          <w:color w:val="0F1115"/>
          <w:lang w:eastAsia="en-IN"/>
        </w:rPr>
        <w:t>Bombus haemorrhoidalis</w:t>
      </w:r>
      <w:r w:rsidRPr="00FF0849">
        <w:rPr>
          <w:rFonts w:ascii="Times New Roman" w:eastAsia="Times New Roman" w:hAnsi="Times New Roman" w:cs="Times New Roman"/>
          <w:color w:val="0F1115"/>
          <w:lang w:eastAsia="en-IN"/>
        </w:rPr>
        <w:t> and </w:t>
      </w:r>
      <w:r w:rsidRPr="00FF0849">
        <w:rPr>
          <w:rFonts w:ascii="Times New Roman" w:eastAsia="Times New Roman" w:hAnsi="Times New Roman" w:cs="Times New Roman"/>
          <w:i/>
          <w:iCs/>
          <w:color w:val="0F1115"/>
          <w:lang w:eastAsia="en-IN"/>
        </w:rPr>
        <w:t>Eristalis tenax</w:t>
      </w:r>
      <w:r w:rsidRPr="00FF0849">
        <w:rPr>
          <w:rFonts w:ascii="Times New Roman" w:eastAsia="Times New Roman" w:hAnsi="Times New Roman" w:cs="Times New Roman"/>
          <w:color w:val="0F1115"/>
          <w:lang w:eastAsia="en-IN"/>
        </w:rPr>
        <w:t xml:space="preserve">, particularly in high-altitude regions. The observed morphometric variations suggest local adaptations to altitudinal gradients, while DNA barcoding confirmed species identities with high fidelity and revealed generally low genetic structuring across the valley. Most importantly, the demonstrated positive correlation between pollinator abundance and apple quality </w:t>
      </w:r>
      <w:r w:rsidRPr="00FF0849">
        <w:rPr>
          <w:rFonts w:ascii="Times New Roman" w:eastAsia="Times New Roman" w:hAnsi="Times New Roman" w:cs="Times New Roman"/>
          <w:color w:val="0F1115"/>
          <w:lang w:eastAsia="en-IN"/>
        </w:rPr>
        <w:lastRenderedPageBreak/>
        <w:t>underscores the tangible economic value of conserving pollinator diversity.</w:t>
      </w:r>
      <w:r w:rsidR="00C71C3B">
        <w:rPr>
          <w:rFonts w:ascii="Times New Roman" w:eastAsia="Times New Roman" w:hAnsi="Times New Roman" w:cs="Times New Roman"/>
          <w:color w:val="0F1115"/>
          <w:lang w:eastAsia="en-IN"/>
        </w:rPr>
        <w:t xml:space="preserve"> </w:t>
      </w:r>
      <w:r w:rsidRPr="00FF0849">
        <w:rPr>
          <w:rFonts w:ascii="Times New Roman" w:eastAsia="Times New Roman" w:hAnsi="Times New Roman" w:cs="Times New Roman"/>
          <w:color w:val="0F1115"/>
          <w:lang w:eastAsia="en-IN"/>
        </w:rPr>
        <w:t>For sustainable apple production in the region, we recommend: (1) adopting pollinator-friendly practices such as maintaining floral resources and reducing pesticide use, (2) conserving natural habitats to support wild pollinator populations, and (3) considering the specific value of bumblebees in high-altitude orchard management. Future research should focus on longitudinal studies to track population dynamics, detailed investigations into the impact of pesticides on local pollinator health, and the use of genomic tools to better understand population structure and adaptive potential in the face of environmental change.</w:t>
      </w:r>
    </w:p>
    <w:p w14:paraId="64E98A16" w14:textId="77777777" w:rsidR="0014793C" w:rsidRPr="00FF0849" w:rsidRDefault="0014793C" w:rsidP="0014793C">
      <w:pPr>
        <w:shd w:val="clear" w:color="auto" w:fill="FFFFFF"/>
        <w:spacing w:before="480" w:after="240" w:line="450" w:lineRule="atLeast"/>
        <w:jc w:val="both"/>
        <w:outlineLvl w:val="2"/>
        <w:rPr>
          <w:rFonts w:ascii="Times New Roman" w:eastAsia="Times New Roman" w:hAnsi="Times New Roman" w:cs="Times New Roman"/>
          <w:b/>
          <w:bCs/>
          <w:color w:val="0F1115"/>
          <w:lang w:eastAsia="en-IN"/>
        </w:rPr>
      </w:pPr>
      <w:commentRangeStart w:id="2"/>
      <w:r w:rsidRPr="00FF0849">
        <w:rPr>
          <w:rFonts w:ascii="Times New Roman" w:eastAsia="Times New Roman" w:hAnsi="Times New Roman" w:cs="Times New Roman"/>
          <w:b/>
          <w:bCs/>
          <w:color w:val="0F1115"/>
          <w:lang w:eastAsia="en-IN"/>
        </w:rPr>
        <w:t>References</w:t>
      </w:r>
      <w:commentRangeEnd w:id="2"/>
      <w:r w:rsidR="00185FB3">
        <w:rPr>
          <w:rStyle w:val="CommentReference"/>
        </w:rPr>
        <w:commentReference w:id="2"/>
      </w:r>
    </w:p>
    <w:p w14:paraId="6E635311"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Free, J. B. (1993). </w:t>
      </w:r>
      <w:r w:rsidRPr="00FF0849">
        <w:rPr>
          <w:rFonts w:ascii="Times New Roman" w:eastAsia="Times New Roman" w:hAnsi="Times New Roman" w:cs="Times New Roman"/>
          <w:i/>
          <w:iCs/>
          <w:color w:val="0F1115"/>
          <w:lang w:eastAsia="en-IN"/>
        </w:rPr>
        <w:t>Insect Pollination of Crops</w:t>
      </w:r>
      <w:r w:rsidRPr="00FF0849">
        <w:rPr>
          <w:rFonts w:ascii="Times New Roman" w:eastAsia="Times New Roman" w:hAnsi="Times New Roman" w:cs="Times New Roman"/>
          <w:color w:val="0F1115"/>
          <w:lang w:eastAsia="en-IN"/>
        </w:rPr>
        <w:t> (2nd ed.). Academic Press.</w:t>
      </w:r>
    </w:p>
    <w:p w14:paraId="7376B4A6"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Partap, U., &amp; Partap, T. (2002). Warning signals from the apple valleys of the Hindu Kush-Himalayas. </w:t>
      </w:r>
      <w:r w:rsidRPr="00FF0849">
        <w:rPr>
          <w:rFonts w:ascii="Times New Roman" w:eastAsia="Times New Roman" w:hAnsi="Times New Roman" w:cs="Times New Roman"/>
          <w:i/>
          <w:iCs/>
          <w:color w:val="0F1115"/>
          <w:lang w:eastAsia="en-IN"/>
        </w:rPr>
        <w:t>ICIMOD</w:t>
      </w:r>
      <w:r w:rsidRPr="00FF0849">
        <w:rPr>
          <w:rFonts w:ascii="Times New Roman" w:eastAsia="Times New Roman" w:hAnsi="Times New Roman" w:cs="Times New Roman"/>
          <w:color w:val="0F1115"/>
          <w:lang w:eastAsia="en-IN"/>
        </w:rPr>
        <w:t>.</w:t>
      </w:r>
    </w:p>
    <w:p w14:paraId="2BFD3FB7"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Klein, A. M.,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(2007). Importance of pollinators in changing landscapes for world crops. </w:t>
      </w:r>
      <w:r w:rsidRPr="00FF0849">
        <w:rPr>
          <w:rFonts w:ascii="Times New Roman" w:eastAsia="Times New Roman" w:hAnsi="Times New Roman" w:cs="Times New Roman"/>
          <w:i/>
          <w:iCs/>
          <w:color w:val="0F1115"/>
          <w:lang w:eastAsia="en-IN"/>
        </w:rPr>
        <w:t>Proc. R. Soc. B, 274</w:t>
      </w:r>
      <w:r w:rsidRPr="00FF0849">
        <w:rPr>
          <w:rFonts w:ascii="Times New Roman" w:eastAsia="Times New Roman" w:hAnsi="Times New Roman" w:cs="Times New Roman"/>
          <w:color w:val="0F1115"/>
          <w:lang w:eastAsia="en-IN"/>
        </w:rPr>
        <w:t>(1608), 303–313.</w:t>
      </w:r>
    </w:p>
    <w:p w14:paraId="2D820940"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Garibaldi, L. A.,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xml:space="preserve"> (2013). Wild pollinators enhance fruit set of crops regardless of honey bee abundance. </w:t>
      </w:r>
      <w:r w:rsidRPr="00FF0849">
        <w:rPr>
          <w:rFonts w:ascii="Times New Roman" w:eastAsia="Times New Roman" w:hAnsi="Times New Roman" w:cs="Times New Roman"/>
          <w:i/>
          <w:iCs/>
          <w:color w:val="0F1115"/>
          <w:lang w:eastAsia="en-IN"/>
        </w:rPr>
        <w:t>Science, 339</w:t>
      </w:r>
      <w:r w:rsidRPr="00FF0849">
        <w:rPr>
          <w:rFonts w:ascii="Times New Roman" w:eastAsia="Times New Roman" w:hAnsi="Times New Roman" w:cs="Times New Roman"/>
          <w:color w:val="0F1115"/>
          <w:lang w:eastAsia="en-IN"/>
        </w:rPr>
        <w:t>(6127), 1608-1611.</w:t>
      </w:r>
    </w:p>
    <w:p w14:paraId="70A9B7CF"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Rader, R.,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xml:space="preserve"> (2016). Non-bee insects are important contributors to global crop pollination. </w:t>
      </w:r>
      <w:r w:rsidRPr="00FF0849">
        <w:rPr>
          <w:rFonts w:ascii="Times New Roman" w:eastAsia="Times New Roman" w:hAnsi="Times New Roman" w:cs="Times New Roman"/>
          <w:i/>
          <w:iCs/>
          <w:color w:val="0F1115"/>
          <w:lang w:eastAsia="en-IN"/>
        </w:rPr>
        <w:t>PNAS, 113</w:t>
      </w:r>
      <w:r w:rsidRPr="00FF0849">
        <w:rPr>
          <w:rFonts w:ascii="Times New Roman" w:eastAsia="Times New Roman" w:hAnsi="Times New Roman" w:cs="Times New Roman"/>
          <w:color w:val="0F1115"/>
          <w:lang w:eastAsia="en-IN"/>
        </w:rPr>
        <w:t>(1), 146-151.</w:t>
      </w:r>
    </w:p>
    <w:p w14:paraId="39FD7F0E"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Potts, S. G.,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(2016). Safeguarding pollinators and their values to human well-being. </w:t>
      </w:r>
      <w:r w:rsidRPr="00FF0849">
        <w:rPr>
          <w:rFonts w:ascii="Times New Roman" w:eastAsia="Times New Roman" w:hAnsi="Times New Roman" w:cs="Times New Roman"/>
          <w:i/>
          <w:iCs/>
          <w:color w:val="0F1115"/>
          <w:lang w:eastAsia="en-IN"/>
        </w:rPr>
        <w:t>Nature, 540</w:t>
      </w:r>
      <w:r w:rsidRPr="00FF0849">
        <w:rPr>
          <w:rFonts w:ascii="Times New Roman" w:eastAsia="Times New Roman" w:hAnsi="Times New Roman" w:cs="Times New Roman"/>
          <w:color w:val="0F1115"/>
          <w:lang w:eastAsia="en-IN"/>
        </w:rPr>
        <w:t>(7632), 220-229.</w:t>
      </w:r>
    </w:p>
    <w:p w14:paraId="4D00037E"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Dayrat, B. (2005). Towards integrative taxonomy. </w:t>
      </w:r>
      <w:r w:rsidRPr="00FF0849">
        <w:rPr>
          <w:rFonts w:ascii="Times New Roman" w:eastAsia="Times New Roman" w:hAnsi="Times New Roman" w:cs="Times New Roman"/>
          <w:i/>
          <w:iCs/>
          <w:color w:val="0F1115"/>
          <w:lang w:eastAsia="en-IN"/>
        </w:rPr>
        <w:t>Biol. J. Linn. Soc., 85</w:t>
      </w:r>
      <w:r w:rsidRPr="00FF0849">
        <w:rPr>
          <w:rFonts w:ascii="Times New Roman" w:eastAsia="Times New Roman" w:hAnsi="Times New Roman" w:cs="Times New Roman"/>
          <w:color w:val="0F1115"/>
          <w:lang w:eastAsia="en-IN"/>
        </w:rPr>
        <w:t>(3), 407–415.</w:t>
      </w:r>
    </w:p>
    <w:p w14:paraId="1492D696"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Hebert, P. D. N.,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xml:space="preserve"> (2003). Biological identifications through DNA barcodes. </w:t>
      </w:r>
      <w:r w:rsidRPr="00FF0849">
        <w:rPr>
          <w:rFonts w:ascii="Times New Roman" w:eastAsia="Times New Roman" w:hAnsi="Times New Roman" w:cs="Times New Roman"/>
          <w:i/>
          <w:iCs/>
          <w:color w:val="0F1115"/>
          <w:lang w:eastAsia="en-IN"/>
        </w:rPr>
        <w:t>Proc. R. Soc. B, 270</w:t>
      </w:r>
      <w:r w:rsidRPr="00FF0849">
        <w:rPr>
          <w:rFonts w:ascii="Times New Roman" w:eastAsia="Times New Roman" w:hAnsi="Times New Roman" w:cs="Times New Roman"/>
          <w:color w:val="0F1115"/>
          <w:lang w:eastAsia="en-IN"/>
        </w:rPr>
        <w:t>(1512), 313–321.</w:t>
      </w:r>
    </w:p>
    <w:p w14:paraId="603EFBDA"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Williams, P. H.,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(2012). Unveiling cryptic species of the bumblebee subgenus </w:t>
      </w:r>
      <w:r w:rsidRPr="00FF0849">
        <w:rPr>
          <w:rFonts w:ascii="Times New Roman" w:eastAsia="Times New Roman" w:hAnsi="Times New Roman" w:cs="Times New Roman"/>
          <w:i/>
          <w:iCs/>
          <w:color w:val="0F1115"/>
          <w:lang w:eastAsia="en-IN"/>
        </w:rPr>
        <w:t>Bombus s. str.</w:t>
      </w:r>
      <w:r w:rsidRPr="00FF0849">
        <w:rPr>
          <w:rFonts w:ascii="Times New Roman" w:eastAsia="Times New Roman" w:hAnsi="Times New Roman" w:cs="Times New Roman"/>
          <w:color w:val="0F1115"/>
          <w:lang w:eastAsia="en-IN"/>
        </w:rPr>
        <w:t> worldwide with COI barcodes. </w:t>
      </w:r>
      <w:r w:rsidRPr="00FF0849">
        <w:rPr>
          <w:rFonts w:ascii="Times New Roman" w:eastAsia="Times New Roman" w:hAnsi="Times New Roman" w:cs="Times New Roman"/>
          <w:i/>
          <w:iCs/>
          <w:color w:val="0F1115"/>
          <w:lang w:eastAsia="en-IN"/>
        </w:rPr>
        <w:t>Syst. Biodivers., 10</w:t>
      </w:r>
      <w:r w:rsidRPr="00FF0849">
        <w:rPr>
          <w:rFonts w:ascii="Times New Roman" w:eastAsia="Times New Roman" w:hAnsi="Times New Roman" w:cs="Times New Roman"/>
          <w:color w:val="0F1115"/>
          <w:lang w:eastAsia="en-IN"/>
        </w:rPr>
        <w:t>(1), 21-56.</w:t>
      </w:r>
    </w:p>
    <w:p w14:paraId="6B50BF59"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Cane, J. H. (1987). Estimation of Bee Size Using Intertegular Span (Apoidea). </w:t>
      </w:r>
      <w:r w:rsidRPr="00FF0849">
        <w:rPr>
          <w:rFonts w:ascii="Times New Roman" w:eastAsia="Times New Roman" w:hAnsi="Times New Roman" w:cs="Times New Roman"/>
          <w:i/>
          <w:iCs/>
          <w:color w:val="0F1115"/>
          <w:lang w:eastAsia="en-IN"/>
        </w:rPr>
        <w:t>J. Kans. Entomol. Soc., 60</w:t>
      </w:r>
      <w:r w:rsidRPr="00FF0849">
        <w:rPr>
          <w:rFonts w:ascii="Times New Roman" w:eastAsia="Times New Roman" w:hAnsi="Times New Roman" w:cs="Times New Roman"/>
          <w:color w:val="0F1115"/>
          <w:lang w:eastAsia="en-IN"/>
        </w:rPr>
        <w:t>(1), 145–147.</w:t>
      </w:r>
    </w:p>
    <w:p w14:paraId="13C99B6B"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Peters, M. K.,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(2016). Morphological traits are linked to the cold performance and distribution of bees along elevational gradients. </w:t>
      </w:r>
      <w:r w:rsidRPr="00FF0849">
        <w:rPr>
          <w:rFonts w:ascii="Times New Roman" w:eastAsia="Times New Roman" w:hAnsi="Times New Roman" w:cs="Times New Roman"/>
          <w:i/>
          <w:iCs/>
          <w:color w:val="0F1115"/>
          <w:lang w:eastAsia="en-IN"/>
        </w:rPr>
        <w:t>J. Biogeogr., 43</w:t>
      </w:r>
      <w:r w:rsidRPr="00FF0849">
        <w:rPr>
          <w:rFonts w:ascii="Times New Roman" w:eastAsia="Times New Roman" w:hAnsi="Times New Roman" w:cs="Times New Roman"/>
          <w:color w:val="0F1115"/>
          <w:lang w:eastAsia="en-IN"/>
        </w:rPr>
        <w:t>(10), 2040-2049.</w:t>
      </w:r>
    </w:p>
    <w:p w14:paraId="385C0282"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Michener, C. D. (2007). </w:t>
      </w:r>
      <w:r w:rsidRPr="00FF0849">
        <w:rPr>
          <w:rFonts w:ascii="Times New Roman" w:eastAsia="Times New Roman" w:hAnsi="Times New Roman" w:cs="Times New Roman"/>
          <w:i/>
          <w:iCs/>
          <w:color w:val="0F1115"/>
          <w:lang w:eastAsia="en-IN"/>
        </w:rPr>
        <w:t>The Bees of the World</w:t>
      </w:r>
      <w:r w:rsidRPr="00FF0849">
        <w:rPr>
          <w:rFonts w:ascii="Times New Roman" w:eastAsia="Times New Roman" w:hAnsi="Times New Roman" w:cs="Times New Roman"/>
          <w:color w:val="0F1115"/>
          <w:lang w:eastAsia="en-IN"/>
        </w:rPr>
        <w:t>. Johns Hopkins University Press.</w:t>
      </w:r>
    </w:p>
    <w:p w14:paraId="3CD8F644"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Van Veen, M. P. (2004). </w:t>
      </w:r>
      <w:r w:rsidRPr="00FF0849">
        <w:rPr>
          <w:rFonts w:ascii="Times New Roman" w:eastAsia="Times New Roman" w:hAnsi="Times New Roman" w:cs="Times New Roman"/>
          <w:i/>
          <w:iCs/>
          <w:color w:val="0F1115"/>
          <w:lang w:eastAsia="en-IN"/>
        </w:rPr>
        <w:t>Hoverflies of Northwest Europe</w:t>
      </w:r>
      <w:r w:rsidRPr="00FF0849">
        <w:rPr>
          <w:rFonts w:ascii="Times New Roman" w:eastAsia="Times New Roman" w:hAnsi="Times New Roman" w:cs="Times New Roman"/>
          <w:color w:val="0F1115"/>
          <w:lang w:eastAsia="en-IN"/>
        </w:rPr>
        <w:t>. KNNV Publishing.</w:t>
      </w:r>
    </w:p>
    <w:p w14:paraId="6A6C5BA7"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lastRenderedPageBreak/>
        <w:t>Raina, R. H., &amp; Irfan-ul-Haque, M. (2018). Diversity and abundance of insect pollinators on apple in Kashmir valley. </w:t>
      </w:r>
      <w:r w:rsidRPr="00FF0849">
        <w:rPr>
          <w:rFonts w:ascii="Times New Roman" w:eastAsia="Times New Roman" w:hAnsi="Times New Roman" w:cs="Times New Roman"/>
          <w:i/>
          <w:iCs/>
          <w:color w:val="0F1115"/>
          <w:lang w:eastAsia="en-IN"/>
        </w:rPr>
        <w:t>J. Entomol. Zool. Stud., 6</w:t>
      </w:r>
      <w:r w:rsidRPr="00FF0849">
        <w:rPr>
          <w:rFonts w:ascii="Times New Roman" w:eastAsia="Times New Roman" w:hAnsi="Times New Roman" w:cs="Times New Roman"/>
          <w:color w:val="0F1115"/>
          <w:lang w:eastAsia="en-IN"/>
        </w:rPr>
        <w:t>(3), 1604-1608.</w:t>
      </w:r>
    </w:p>
    <w:p w14:paraId="5A050469"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Heinrich, B. (1979). </w:t>
      </w:r>
      <w:r w:rsidRPr="00FF0849">
        <w:rPr>
          <w:rFonts w:ascii="Times New Roman" w:eastAsia="Times New Roman" w:hAnsi="Times New Roman" w:cs="Times New Roman"/>
          <w:i/>
          <w:iCs/>
          <w:color w:val="0F1115"/>
          <w:lang w:eastAsia="en-IN"/>
        </w:rPr>
        <w:t>Bumblebee Economics</w:t>
      </w:r>
      <w:r w:rsidRPr="00FF0849">
        <w:rPr>
          <w:rFonts w:ascii="Times New Roman" w:eastAsia="Times New Roman" w:hAnsi="Times New Roman" w:cs="Times New Roman"/>
          <w:color w:val="0F1115"/>
          <w:lang w:eastAsia="en-IN"/>
        </w:rPr>
        <w:t>. Harvard University Press.</w:t>
      </w:r>
    </w:p>
    <w:p w14:paraId="0D871BD2"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Laubertie, E. A.,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xml:space="preserve"> (2012). The contribution of potential beneficial insectary plant species to adult hoverfly fitness. </w:t>
      </w:r>
      <w:r w:rsidRPr="00FF0849">
        <w:rPr>
          <w:rFonts w:ascii="Times New Roman" w:eastAsia="Times New Roman" w:hAnsi="Times New Roman" w:cs="Times New Roman"/>
          <w:i/>
          <w:iCs/>
          <w:color w:val="0F1115"/>
          <w:lang w:eastAsia="en-IN"/>
        </w:rPr>
        <w:t>Biol. Control, 61</w:t>
      </w:r>
      <w:r w:rsidRPr="00FF0849">
        <w:rPr>
          <w:rFonts w:ascii="Times New Roman" w:eastAsia="Times New Roman" w:hAnsi="Times New Roman" w:cs="Times New Roman"/>
          <w:color w:val="0F1115"/>
          <w:lang w:eastAsia="en-IN"/>
        </w:rPr>
        <w:t>(1), 1-6.</w:t>
      </w:r>
    </w:p>
    <w:p w14:paraId="1342FB71"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Shelomi, Z. (2012). Where are we now? Bergmann’s rule </w:t>
      </w:r>
      <w:r w:rsidRPr="00FF0849">
        <w:rPr>
          <w:rFonts w:ascii="Times New Roman" w:eastAsia="Times New Roman" w:hAnsi="Times New Roman" w:cs="Times New Roman"/>
          <w:i/>
          <w:iCs/>
          <w:color w:val="0F1115"/>
          <w:lang w:eastAsia="en-IN"/>
        </w:rPr>
        <w:t>sensu lato</w:t>
      </w:r>
      <w:r w:rsidRPr="00FF0849">
        <w:rPr>
          <w:rFonts w:ascii="Times New Roman" w:eastAsia="Times New Roman" w:hAnsi="Times New Roman" w:cs="Times New Roman"/>
          <w:color w:val="0F1115"/>
          <w:lang w:eastAsia="en-IN"/>
        </w:rPr>
        <w:t> in insects. </w:t>
      </w:r>
      <w:r w:rsidRPr="00FF0849">
        <w:rPr>
          <w:rFonts w:ascii="Times New Roman" w:eastAsia="Times New Roman" w:hAnsi="Times New Roman" w:cs="Times New Roman"/>
          <w:i/>
          <w:iCs/>
          <w:color w:val="0F1115"/>
          <w:lang w:eastAsia="en-IN"/>
        </w:rPr>
        <w:t>Am. Nat., 180</w:t>
      </w:r>
      <w:r w:rsidRPr="00FF0849">
        <w:rPr>
          <w:rFonts w:ascii="Times New Roman" w:eastAsia="Times New Roman" w:hAnsi="Times New Roman" w:cs="Times New Roman"/>
          <w:color w:val="0F1115"/>
          <w:lang w:eastAsia="en-IN"/>
        </w:rPr>
        <w:t>(4), 511-519.</w:t>
      </w:r>
    </w:p>
    <w:p w14:paraId="0BB4E1B7"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Jaffé, R.,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(2010). Estimating the density of honeybee colonies across their natural range. </w:t>
      </w:r>
      <w:r w:rsidRPr="00FF0849">
        <w:rPr>
          <w:rFonts w:ascii="Times New Roman" w:eastAsia="Times New Roman" w:hAnsi="Times New Roman" w:cs="Times New Roman"/>
          <w:i/>
          <w:iCs/>
          <w:color w:val="0F1115"/>
          <w:lang w:eastAsia="en-IN"/>
        </w:rPr>
        <w:t>Conserv. Biol., 24</w:t>
      </w:r>
      <w:r w:rsidRPr="00FF0849">
        <w:rPr>
          <w:rFonts w:ascii="Times New Roman" w:eastAsia="Times New Roman" w:hAnsi="Times New Roman" w:cs="Times New Roman"/>
          <w:color w:val="0F1115"/>
          <w:lang w:eastAsia="en-IN"/>
        </w:rPr>
        <w:t>(2), 583–593.</w:t>
      </w:r>
    </w:p>
    <w:p w14:paraId="3543DDC8"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Garratt, M. P. D., </w:t>
      </w:r>
      <w:r w:rsidRPr="00C02C38">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(2014). Avoiding a bad apple: Insect pollination enhances fruit quality and economic value. </w:t>
      </w:r>
      <w:r w:rsidRPr="00FF0849">
        <w:rPr>
          <w:rFonts w:ascii="Times New Roman" w:eastAsia="Times New Roman" w:hAnsi="Times New Roman" w:cs="Times New Roman"/>
          <w:i/>
          <w:iCs/>
          <w:color w:val="0F1115"/>
          <w:lang w:eastAsia="en-IN"/>
        </w:rPr>
        <w:t>Agric. Ecosyst. Environ., 184</w:t>
      </w:r>
      <w:r w:rsidRPr="00FF0849">
        <w:rPr>
          <w:rFonts w:ascii="Times New Roman" w:eastAsia="Times New Roman" w:hAnsi="Times New Roman" w:cs="Times New Roman"/>
          <w:color w:val="0F1115"/>
          <w:lang w:eastAsia="en-IN"/>
        </w:rPr>
        <w:t>, 34–40.</w:t>
      </w:r>
    </w:p>
    <w:p w14:paraId="07A01342" w14:textId="17737CF8" w:rsidR="0014793C" w:rsidRPr="00FF0849" w:rsidRDefault="0014793C" w:rsidP="0014793C">
      <w:pPr>
        <w:numPr>
          <w:ilvl w:val="0"/>
          <w:numId w:val="2"/>
        </w:numPr>
        <w:shd w:val="clear" w:color="auto" w:fill="FFFFFF"/>
        <w:spacing w:before="100" w:beforeAutospacing="1"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Winfree, R.,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(2008). Wild bee pollinators provide the majority of crop visitation across land-use gradients. </w:t>
      </w:r>
      <w:r w:rsidRPr="00FF0849">
        <w:rPr>
          <w:rFonts w:ascii="Times New Roman" w:eastAsia="Times New Roman" w:hAnsi="Times New Roman" w:cs="Times New Roman"/>
          <w:i/>
          <w:iCs/>
          <w:color w:val="0F1115"/>
          <w:lang w:eastAsia="en-IN"/>
        </w:rPr>
        <w:t>J. Appl. Ecol., 45</w:t>
      </w:r>
      <w:r w:rsidRPr="00FF0849">
        <w:rPr>
          <w:rFonts w:ascii="Times New Roman" w:eastAsia="Times New Roman" w:hAnsi="Times New Roman" w:cs="Times New Roman"/>
          <w:color w:val="0F1115"/>
          <w:lang w:eastAsia="en-IN"/>
        </w:rPr>
        <w:t>(3), 793-802.</w:t>
      </w:r>
    </w:p>
    <w:p w14:paraId="3A783846" w14:textId="385F694C" w:rsidR="008A4B43" w:rsidRPr="00FF0849" w:rsidRDefault="00317F48" w:rsidP="0014793C">
      <w:pPr>
        <w:jc w:val="both"/>
        <w:rPr>
          <w:rFonts w:ascii="Times New Roman" w:hAnsi="Times New Roman" w:cs="Times New Roman"/>
        </w:rPr>
      </w:pPr>
      <w:r>
        <w:rPr>
          <w:rFonts w:ascii="Times New Roman" w:hAnsi="Times New Roman" w:cs="Times New Roman"/>
        </w:rPr>
        <w:t xml:space="preserve">     </w:t>
      </w:r>
      <w:r w:rsidR="003729EF">
        <w:rPr>
          <w:rFonts w:ascii="Times New Roman" w:hAnsi="Times New Roman" w:cs="Times New Roman"/>
        </w:rPr>
        <w:t xml:space="preserve">  </w:t>
      </w:r>
      <w:r>
        <w:rPr>
          <w:rFonts w:ascii="Times New Roman" w:hAnsi="Times New Roman" w:cs="Times New Roman"/>
        </w:rPr>
        <w:t xml:space="preserve">      </w:t>
      </w:r>
      <w:r w:rsidR="003729EF">
        <w:rPr>
          <w:rFonts w:ascii="Times New Roman" w:hAnsi="Times New Roman" w:cs="Times New Roman"/>
        </w:rPr>
        <w:t xml:space="preserve">        </w:t>
      </w:r>
      <w:r>
        <w:rPr>
          <w:rFonts w:ascii="Times New Roman" w:hAnsi="Times New Roman" w:cs="Times New Roman"/>
        </w:rPr>
        <w:t xml:space="preserve">  </w:t>
      </w:r>
    </w:p>
    <w:sectPr w:rsidR="008A4B43" w:rsidRPr="00FF084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cc" w:date="2025-11-14T22:47:00Z" w:initials="H">
    <w:p w14:paraId="61D8A785" w14:textId="56B6B6AF" w:rsidR="00185FB3" w:rsidRDefault="00185FB3">
      <w:pPr>
        <w:pStyle w:val="CommentText"/>
      </w:pPr>
      <w:r>
        <w:rPr>
          <w:rStyle w:val="CommentReference"/>
        </w:rPr>
        <w:annotationRef/>
      </w:r>
      <w:r>
        <w:t xml:space="preserve">The time and place of the research should be mentioned in the </w:t>
      </w:r>
      <w:r>
        <w:t>abstract</w:t>
      </w:r>
    </w:p>
  </w:comment>
  <w:comment w:id="1" w:author="Hcc" w:date="2025-11-14T21:33:00Z" w:initials="H">
    <w:p w14:paraId="00F85DC8" w14:textId="6CE42E69" w:rsidR="00803F09" w:rsidRDefault="00803F09">
      <w:pPr>
        <w:pStyle w:val="CommentText"/>
      </w:pPr>
      <w:r>
        <w:rPr>
          <w:rStyle w:val="CommentReference"/>
        </w:rPr>
        <w:annotationRef/>
      </w:r>
      <w:r>
        <w:t>Its best identified by a map of the study site.</w:t>
      </w:r>
    </w:p>
  </w:comment>
  <w:comment w:id="2" w:author="Hcc" w:date="2025-11-14T22:52:00Z" w:initials="H">
    <w:p w14:paraId="44A71114" w14:textId="10C0D415" w:rsidR="00185FB3" w:rsidRDefault="00185FB3">
      <w:pPr>
        <w:pStyle w:val="CommentText"/>
      </w:pPr>
      <w:r>
        <w:rPr>
          <w:rStyle w:val="CommentReference"/>
        </w:rPr>
        <w:annotationRef/>
      </w:r>
      <w:r>
        <w:t>It is better to set a new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D8A785" w15:done="0"/>
  <w15:commentEx w15:paraId="00F85DC8" w15:done="0"/>
  <w15:commentEx w15:paraId="44A711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8AC1B5" w16cex:dateUtc="2025-11-14T19:47:00Z"/>
  <w16cex:commentExtensible w16cex:durableId="1E187D4B" w16cex:dateUtc="2025-11-14T18:33:00Z"/>
  <w16cex:commentExtensible w16cex:durableId="651F843B" w16cex:dateUtc="2025-11-14T1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D8A785" w16cid:durableId="368AC1B5"/>
  <w16cid:commentId w16cid:paraId="00F85DC8" w16cid:durableId="1E187D4B"/>
  <w16cid:commentId w16cid:paraId="44A71114" w16cid:durableId="651F84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A7AE4" w14:textId="77777777" w:rsidR="0036057B" w:rsidRDefault="0036057B" w:rsidP="00F03A28">
      <w:pPr>
        <w:spacing w:after="0" w:line="240" w:lineRule="auto"/>
      </w:pPr>
      <w:r>
        <w:separator/>
      </w:r>
    </w:p>
  </w:endnote>
  <w:endnote w:type="continuationSeparator" w:id="0">
    <w:p w14:paraId="435207CB" w14:textId="77777777" w:rsidR="0036057B" w:rsidRDefault="0036057B" w:rsidP="00F03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1A3C" w14:textId="77777777" w:rsidR="00F03A28" w:rsidRDefault="00F03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5706" w14:textId="77777777" w:rsidR="00F03A28" w:rsidRDefault="00F03A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7084" w14:textId="77777777" w:rsidR="00F03A28" w:rsidRDefault="00F03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56A1D" w14:textId="77777777" w:rsidR="0036057B" w:rsidRDefault="0036057B" w:rsidP="00F03A28">
      <w:pPr>
        <w:spacing w:after="0" w:line="240" w:lineRule="auto"/>
      </w:pPr>
      <w:r>
        <w:separator/>
      </w:r>
    </w:p>
  </w:footnote>
  <w:footnote w:type="continuationSeparator" w:id="0">
    <w:p w14:paraId="1245917F" w14:textId="77777777" w:rsidR="0036057B" w:rsidRDefault="0036057B" w:rsidP="00F03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80B96" w14:textId="24BF5294" w:rsidR="00F03A28" w:rsidRDefault="00000000">
    <w:pPr>
      <w:pStyle w:val="Header"/>
    </w:pPr>
    <w:r>
      <w:rPr>
        <w:noProof/>
      </w:rPr>
      <w:pict w14:anchorId="469031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981407"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7EB8" w14:textId="28A889D2" w:rsidR="00F03A28" w:rsidRDefault="00000000">
    <w:pPr>
      <w:pStyle w:val="Header"/>
    </w:pPr>
    <w:r>
      <w:rPr>
        <w:noProof/>
      </w:rPr>
      <w:pict w14:anchorId="3205EE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981408"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A5DA" w14:textId="1857A56A" w:rsidR="00F03A28" w:rsidRDefault="00000000">
    <w:pPr>
      <w:pStyle w:val="Header"/>
    </w:pPr>
    <w:r>
      <w:rPr>
        <w:noProof/>
      </w:rPr>
      <w:pict w14:anchorId="73AEE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981406"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D66AED"/>
    <w:multiLevelType w:val="multilevel"/>
    <w:tmpl w:val="BED6C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31604D"/>
    <w:multiLevelType w:val="multilevel"/>
    <w:tmpl w:val="8620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610953">
    <w:abstractNumId w:val="1"/>
  </w:num>
  <w:num w:numId="2" w16cid:durableId="10787436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cc">
    <w15:presenceInfo w15:providerId="None" w15:userId="H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93C"/>
    <w:rsid w:val="00075BAC"/>
    <w:rsid w:val="000857BB"/>
    <w:rsid w:val="0014793C"/>
    <w:rsid w:val="00185FB3"/>
    <w:rsid w:val="001C5F3E"/>
    <w:rsid w:val="00317F48"/>
    <w:rsid w:val="0036057B"/>
    <w:rsid w:val="003729EF"/>
    <w:rsid w:val="00385349"/>
    <w:rsid w:val="004271E9"/>
    <w:rsid w:val="00554FB2"/>
    <w:rsid w:val="005D323F"/>
    <w:rsid w:val="007514C5"/>
    <w:rsid w:val="007C47F3"/>
    <w:rsid w:val="00803F09"/>
    <w:rsid w:val="0080762F"/>
    <w:rsid w:val="008A4B43"/>
    <w:rsid w:val="009827B0"/>
    <w:rsid w:val="009A6795"/>
    <w:rsid w:val="009C2084"/>
    <w:rsid w:val="00A070D5"/>
    <w:rsid w:val="00AF107D"/>
    <w:rsid w:val="00C02C38"/>
    <w:rsid w:val="00C044E1"/>
    <w:rsid w:val="00C71C3B"/>
    <w:rsid w:val="00CB0669"/>
    <w:rsid w:val="00D33B78"/>
    <w:rsid w:val="00F03A28"/>
    <w:rsid w:val="00F04C0B"/>
    <w:rsid w:val="00F87611"/>
    <w:rsid w:val="00F94682"/>
    <w:rsid w:val="00FD495D"/>
    <w:rsid w:val="00FF084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94BD4"/>
  <w15:chartTrackingRefBased/>
  <w15:docId w15:val="{2D720AEB-9C3A-4E49-93E1-B1C69206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29E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554FB2"/>
    <w:rPr>
      <w:color w:val="0563C1" w:themeColor="hyperlink"/>
      <w:u w:val="single"/>
    </w:rPr>
  </w:style>
  <w:style w:type="character" w:styleId="UnresolvedMention">
    <w:name w:val="Unresolved Mention"/>
    <w:basedOn w:val="DefaultParagraphFont"/>
    <w:uiPriority w:val="99"/>
    <w:semiHidden/>
    <w:unhideWhenUsed/>
    <w:rsid w:val="00554FB2"/>
    <w:rPr>
      <w:color w:val="605E5C"/>
      <w:shd w:val="clear" w:color="auto" w:fill="E1DFDD"/>
    </w:rPr>
  </w:style>
  <w:style w:type="paragraph" w:styleId="Header">
    <w:name w:val="header"/>
    <w:basedOn w:val="Normal"/>
    <w:link w:val="HeaderChar"/>
    <w:uiPriority w:val="99"/>
    <w:unhideWhenUsed/>
    <w:rsid w:val="00F03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A28"/>
  </w:style>
  <w:style w:type="paragraph" w:styleId="Footer">
    <w:name w:val="footer"/>
    <w:basedOn w:val="Normal"/>
    <w:link w:val="FooterChar"/>
    <w:uiPriority w:val="99"/>
    <w:unhideWhenUsed/>
    <w:rsid w:val="00F03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A28"/>
  </w:style>
  <w:style w:type="character" w:styleId="CommentReference">
    <w:name w:val="annotation reference"/>
    <w:basedOn w:val="DefaultParagraphFont"/>
    <w:uiPriority w:val="99"/>
    <w:semiHidden/>
    <w:unhideWhenUsed/>
    <w:rsid w:val="00803F09"/>
    <w:rPr>
      <w:sz w:val="16"/>
      <w:szCs w:val="16"/>
    </w:rPr>
  </w:style>
  <w:style w:type="paragraph" w:styleId="CommentText">
    <w:name w:val="annotation text"/>
    <w:basedOn w:val="Normal"/>
    <w:link w:val="CommentTextChar"/>
    <w:uiPriority w:val="99"/>
    <w:semiHidden/>
    <w:unhideWhenUsed/>
    <w:rsid w:val="00803F09"/>
    <w:pPr>
      <w:spacing w:line="240" w:lineRule="auto"/>
    </w:pPr>
    <w:rPr>
      <w:sz w:val="20"/>
      <w:szCs w:val="20"/>
    </w:rPr>
  </w:style>
  <w:style w:type="character" w:customStyle="1" w:styleId="CommentTextChar">
    <w:name w:val="Comment Text Char"/>
    <w:basedOn w:val="DefaultParagraphFont"/>
    <w:link w:val="CommentText"/>
    <w:uiPriority w:val="99"/>
    <w:semiHidden/>
    <w:rsid w:val="00803F09"/>
    <w:rPr>
      <w:sz w:val="20"/>
      <w:szCs w:val="20"/>
    </w:rPr>
  </w:style>
  <w:style w:type="paragraph" w:styleId="CommentSubject">
    <w:name w:val="annotation subject"/>
    <w:basedOn w:val="CommentText"/>
    <w:next w:val="CommentText"/>
    <w:link w:val="CommentSubjectChar"/>
    <w:uiPriority w:val="99"/>
    <w:semiHidden/>
    <w:unhideWhenUsed/>
    <w:rsid w:val="00803F09"/>
    <w:rPr>
      <w:b/>
      <w:bCs/>
    </w:rPr>
  </w:style>
  <w:style w:type="character" w:customStyle="1" w:styleId="CommentSubjectChar">
    <w:name w:val="Comment Subject Char"/>
    <w:basedOn w:val="CommentTextChar"/>
    <w:link w:val="CommentSubject"/>
    <w:uiPriority w:val="99"/>
    <w:semiHidden/>
    <w:rsid w:val="00803F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915377">
      <w:bodyDiv w:val="1"/>
      <w:marLeft w:val="0"/>
      <w:marRight w:val="0"/>
      <w:marTop w:val="0"/>
      <w:marBottom w:val="0"/>
      <w:divBdr>
        <w:top w:val="none" w:sz="0" w:space="0" w:color="auto"/>
        <w:left w:val="none" w:sz="0" w:space="0" w:color="auto"/>
        <w:bottom w:val="none" w:sz="0" w:space="0" w:color="auto"/>
        <w:right w:val="none" w:sz="0" w:space="0" w:color="auto"/>
      </w:divBdr>
    </w:div>
    <w:div w:id="1886139397">
      <w:bodyDiv w:val="1"/>
      <w:marLeft w:val="0"/>
      <w:marRight w:val="0"/>
      <w:marTop w:val="0"/>
      <w:marBottom w:val="0"/>
      <w:divBdr>
        <w:top w:val="none" w:sz="0" w:space="0" w:color="auto"/>
        <w:left w:val="none" w:sz="0" w:space="0" w:color="auto"/>
        <w:bottom w:val="none" w:sz="0" w:space="0" w:color="auto"/>
        <w:right w:val="none" w:sz="0" w:space="0" w:color="auto"/>
      </w:divBdr>
      <w:divsChild>
        <w:div w:id="698699208">
          <w:marLeft w:val="660"/>
          <w:marRight w:val="660"/>
          <w:marTop w:val="0"/>
          <w:marBottom w:val="360"/>
          <w:divBdr>
            <w:top w:val="none" w:sz="0" w:space="0" w:color="auto"/>
            <w:left w:val="none" w:sz="0" w:space="0" w:color="auto"/>
            <w:bottom w:val="none" w:sz="0" w:space="0" w:color="auto"/>
            <w:right w:val="none" w:sz="0" w:space="0" w:color="auto"/>
          </w:divBdr>
          <w:divsChild>
            <w:div w:id="1522209284">
              <w:marLeft w:val="0"/>
              <w:marRight w:val="0"/>
              <w:marTop w:val="0"/>
              <w:marBottom w:val="0"/>
              <w:divBdr>
                <w:top w:val="none" w:sz="0" w:space="0" w:color="auto"/>
                <w:left w:val="none" w:sz="0" w:space="0" w:color="auto"/>
                <w:bottom w:val="none" w:sz="0" w:space="0" w:color="auto"/>
                <w:right w:val="none" w:sz="0" w:space="0" w:color="auto"/>
              </w:divBdr>
              <w:divsChild>
                <w:div w:id="1816877358">
                  <w:marLeft w:val="0"/>
                  <w:marRight w:val="0"/>
                  <w:marTop w:val="0"/>
                  <w:marBottom w:val="0"/>
                  <w:divBdr>
                    <w:top w:val="none" w:sz="0" w:space="0" w:color="auto"/>
                    <w:left w:val="none" w:sz="0" w:space="0" w:color="auto"/>
                    <w:bottom w:val="none" w:sz="0" w:space="0" w:color="auto"/>
                    <w:right w:val="none" w:sz="0" w:space="0" w:color="auto"/>
                  </w:divBdr>
                  <w:divsChild>
                    <w:div w:id="838034635">
                      <w:marLeft w:val="0"/>
                      <w:marRight w:val="0"/>
                      <w:marTop w:val="0"/>
                      <w:marBottom w:val="0"/>
                      <w:divBdr>
                        <w:top w:val="none" w:sz="0" w:space="0" w:color="auto"/>
                        <w:left w:val="none" w:sz="0" w:space="0" w:color="auto"/>
                        <w:bottom w:val="none" w:sz="0" w:space="0" w:color="auto"/>
                        <w:right w:val="none" w:sz="0" w:space="0" w:color="auto"/>
                      </w:divBdr>
                      <w:divsChild>
                        <w:div w:id="642318820">
                          <w:marLeft w:val="0"/>
                          <w:marRight w:val="0"/>
                          <w:marTop w:val="0"/>
                          <w:marBottom w:val="0"/>
                          <w:divBdr>
                            <w:top w:val="none" w:sz="0" w:space="0" w:color="auto"/>
                            <w:left w:val="none" w:sz="0" w:space="0" w:color="auto"/>
                            <w:bottom w:val="none" w:sz="0" w:space="0" w:color="auto"/>
                            <w:right w:val="none" w:sz="0" w:space="0" w:color="auto"/>
                          </w:divBdr>
                        </w:div>
                        <w:div w:id="785195757">
                          <w:marLeft w:val="0"/>
                          <w:marRight w:val="0"/>
                          <w:marTop w:val="0"/>
                          <w:marBottom w:val="0"/>
                          <w:divBdr>
                            <w:top w:val="none" w:sz="0" w:space="0" w:color="auto"/>
                            <w:left w:val="none" w:sz="0" w:space="0" w:color="auto"/>
                            <w:bottom w:val="none" w:sz="0" w:space="0" w:color="auto"/>
                            <w:right w:val="none" w:sz="0" w:space="0" w:color="auto"/>
                          </w:divBdr>
                        </w:div>
                        <w:div w:id="1605184031">
                          <w:marLeft w:val="0"/>
                          <w:marRight w:val="0"/>
                          <w:marTop w:val="0"/>
                          <w:marBottom w:val="0"/>
                          <w:divBdr>
                            <w:top w:val="none" w:sz="0" w:space="0" w:color="auto"/>
                            <w:left w:val="none" w:sz="0" w:space="0" w:color="auto"/>
                            <w:bottom w:val="none" w:sz="0" w:space="0" w:color="auto"/>
                            <w:right w:val="none" w:sz="0" w:space="0" w:color="auto"/>
                          </w:divBdr>
                        </w:div>
                        <w:div w:id="1692299173">
                          <w:marLeft w:val="0"/>
                          <w:marRight w:val="0"/>
                          <w:marTop w:val="0"/>
                          <w:marBottom w:val="0"/>
                          <w:divBdr>
                            <w:top w:val="none" w:sz="0" w:space="0" w:color="auto"/>
                            <w:left w:val="none" w:sz="0" w:space="0" w:color="auto"/>
                            <w:bottom w:val="none" w:sz="0" w:space="0" w:color="auto"/>
                            <w:right w:val="none" w:sz="0" w:space="0" w:color="auto"/>
                          </w:divBdr>
                        </w:div>
                        <w:div w:id="925113527">
                          <w:marLeft w:val="0"/>
                          <w:marRight w:val="0"/>
                          <w:marTop w:val="0"/>
                          <w:marBottom w:val="0"/>
                          <w:divBdr>
                            <w:top w:val="none" w:sz="0" w:space="0" w:color="auto"/>
                            <w:left w:val="none" w:sz="0" w:space="0" w:color="auto"/>
                            <w:bottom w:val="none" w:sz="0" w:space="0" w:color="auto"/>
                            <w:right w:val="none" w:sz="0" w:space="0" w:color="auto"/>
                          </w:divBdr>
                        </w:div>
                        <w:div w:id="181491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2867</Words>
  <Characters>16348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Hcc</cp:lastModifiedBy>
  <cp:revision>3</cp:revision>
  <dcterms:created xsi:type="dcterms:W3CDTF">2025-11-14T19:08:00Z</dcterms:created>
  <dcterms:modified xsi:type="dcterms:W3CDTF">2025-11-14T19:53:00Z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06395655-d376-48ed-a21a-8796e6f32558</vt:lpwstr>
  </property>
</Properties>
</file>