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932" w:rsidRDefault="006549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654932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654932" w:rsidRDefault="00654932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654932">
        <w:trPr>
          <w:trHeight w:val="290"/>
        </w:trPr>
        <w:tc>
          <w:tcPr>
            <w:tcW w:w="5167" w:type="dxa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932" w:rsidRDefault="00223AA0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5759C2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Neuropsychiatric Disease Journal</w:t>
              </w:r>
            </w:hyperlink>
            <w:r w:rsidR="005759C2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654932">
        <w:trPr>
          <w:trHeight w:val="290"/>
        </w:trPr>
        <w:tc>
          <w:tcPr>
            <w:tcW w:w="5167" w:type="dxa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Ms_INDJ_153546</w:t>
            </w:r>
          </w:p>
        </w:tc>
      </w:tr>
      <w:tr w:rsidR="00654932">
        <w:trPr>
          <w:trHeight w:val="650"/>
        </w:trPr>
        <w:tc>
          <w:tcPr>
            <w:tcW w:w="5167" w:type="dxa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Salivary MicroRNAs as Non-Invasive Epigenetic Biomarkers for Early Detection of Autism Spectrum Disorder: A Systematic Review</w:t>
            </w:r>
          </w:p>
        </w:tc>
      </w:tr>
      <w:tr w:rsidR="00654932">
        <w:trPr>
          <w:trHeight w:val="332"/>
        </w:trPr>
        <w:tc>
          <w:tcPr>
            <w:tcW w:w="5167" w:type="dxa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Systematic Review Article</w:t>
            </w:r>
          </w:p>
        </w:tc>
      </w:tr>
    </w:tbl>
    <w:p w:rsidR="00654932" w:rsidRDefault="00654932">
      <w:pPr>
        <w:rPr>
          <w:sz w:val="20"/>
          <w:szCs w:val="20"/>
        </w:rPr>
      </w:pPr>
      <w:bookmarkStart w:id="0" w:name="_o9snthdmfedc" w:colFirst="0" w:colLast="0"/>
      <w:bookmarkStart w:id="1" w:name="_rb0lwcz4pb3r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654932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654932" w:rsidRDefault="005759C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654932" w:rsidRDefault="00654932">
            <w:pPr>
              <w:rPr>
                <w:sz w:val="20"/>
                <w:szCs w:val="20"/>
              </w:rPr>
            </w:pPr>
          </w:p>
        </w:tc>
      </w:tr>
      <w:tr w:rsidR="00654932">
        <w:tc>
          <w:tcPr>
            <w:tcW w:w="5351" w:type="dxa"/>
          </w:tcPr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654932" w:rsidRDefault="005759C2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654932" w:rsidRDefault="00654932" w:rsidP="000B07BD"/>
        </w:tc>
        <w:tc>
          <w:tcPr>
            <w:tcW w:w="6442" w:type="dxa"/>
          </w:tcPr>
          <w:p w:rsidR="00654932" w:rsidRDefault="005759C2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54932">
        <w:trPr>
          <w:trHeight w:val="1264"/>
        </w:trPr>
        <w:tc>
          <w:tcPr>
            <w:tcW w:w="5351" w:type="dxa"/>
          </w:tcPr>
          <w:p w:rsidR="00654932" w:rsidRDefault="005759C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654932" w:rsidRDefault="00654932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manuscript addresses a highly relevant and rapidly evolving area: the use of salivary microRNAs as non-invasive biomarkers for early ASD detection. The clinical gap is real — </w:t>
            </w:r>
            <w:proofErr w:type="spellStart"/>
            <w:r>
              <w:rPr>
                <w:sz w:val="20"/>
                <w:szCs w:val="20"/>
              </w:rPr>
              <w:t>behavioral</w:t>
            </w:r>
            <w:proofErr w:type="spellEnd"/>
            <w:r>
              <w:rPr>
                <w:sz w:val="20"/>
                <w:szCs w:val="20"/>
              </w:rPr>
              <w:t xml:space="preserve"> diagnosis occurs late, often around 4–5 years of age, and this delay significantly reduces the benefit of early neuroplastic intervention. </w:t>
            </w:r>
          </w:p>
          <w:p w:rsidR="00654932" w:rsidRDefault="00654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paper is important for three reasons: It consolidates salivary miRNA literature in ASD, which is currently fragmented. It introduces the concept of </w:t>
            </w:r>
            <w:proofErr w:type="spellStart"/>
            <w:r>
              <w:rPr>
                <w:sz w:val="20"/>
                <w:szCs w:val="20"/>
              </w:rPr>
              <w:t>polyomics</w:t>
            </w:r>
            <w:proofErr w:type="spellEnd"/>
            <w:r>
              <w:rPr>
                <w:sz w:val="20"/>
                <w:szCs w:val="20"/>
              </w:rPr>
              <w:t xml:space="preserve"> (host + microbiome RNA integration), which is innovative. It discusses translational implications, including phase 2–4 validation.</w:t>
            </w:r>
          </w:p>
        </w:tc>
        <w:tc>
          <w:tcPr>
            <w:tcW w:w="6442" w:type="dxa"/>
          </w:tcPr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54932">
        <w:trPr>
          <w:trHeight w:val="1262"/>
        </w:trPr>
        <w:tc>
          <w:tcPr>
            <w:tcW w:w="5351" w:type="dxa"/>
          </w:tcPr>
          <w:p w:rsidR="00654932" w:rsidRDefault="005759C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654932" w:rsidRDefault="005759C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654932" w:rsidRDefault="005759C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 it is</w:t>
            </w:r>
            <w:proofErr w:type="gramEnd"/>
            <w:r>
              <w:rPr>
                <w:sz w:val="20"/>
                <w:szCs w:val="20"/>
              </w:rPr>
              <w:t xml:space="preserve"> suitable.</w:t>
            </w:r>
          </w:p>
        </w:tc>
        <w:tc>
          <w:tcPr>
            <w:tcW w:w="6442" w:type="dxa"/>
          </w:tcPr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54932">
        <w:trPr>
          <w:trHeight w:val="1262"/>
        </w:trPr>
        <w:tc>
          <w:tcPr>
            <w:tcW w:w="5351" w:type="dxa"/>
          </w:tcPr>
          <w:p w:rsidR="00654932" w:rsidRDefault="005759C2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654932" w:rsidRDefault="005759C2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key sentence that needs tempering is the conclusion-style claim that salivary miRNAs show “high diagnostic accuracy for early ASD screening”. Because authors included studies are case-control and not population screening, “screening” is too strong. Authors could rewrite that portion to something like: “Salivary miRNA panels demonstrate promising diagnostic discrimination in case-control settings, but prospective screening validation remains needed.”</w:t>
            </w:r>
          </w:p>
        </w:tc>
        <w:tc>
          <w:tcPr>
            <w:tcW w:w="6442" w:type="dxa"/>
          </w:tcPr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54932">
        <w:trPr>
          <w:trHeight w:val="704"/>
        </w:trPr>
        <w:tc>
          <w:tcPr>
            <w:tcW w:w="5351" w:type="dxa"/>
          </w:tcPr>
          <w:p w:rsidR="00654932" w:rsidRDefault="005759C2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54932">
        <w:trPr>
          <w:trHeight w:val="703"/>
        </w:trPr>
        <w:tc>
          <w:tcPr>
            <w:tcW w:w="5351" w:type="dxa"/>
          </w:tcPr>
          <w:p w:rsidR="00654932" w:rsidRDefault="005759C2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654932" w:rsidRDefault="005759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654932">
        <w:trPr>
          <w:trHeight w:val="386"/>
        </w:trPr>
        <w:tc>
          <w:tcPr>
            <w:tcW w:w="5351" w:type="dxa"/>
          </w:tcPr>
          <w:p w:rsidR="00654932" w:rsidRDefault="005759C2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654932" w:rsidRDefault="00654932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654932" w:rsidRDefault="005759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654932" w:rsidRDefault="00654932">
            <w:pPr>
              <w:rPr>
                <w:sz w:val="20"/>
                <w:szCs w:val="20"/>
              </w:rPr>
            </w:pPr>
          </w:p>
        </w:tc>
      </w:tr>
      <w:tr w:rsidR="00654932">
        <w:trPr>
          <w:trHeight w:val="1178"/>
        </w:trPr>
        <w:tc>
          <w:tcPr>
            <w:tcW w:w="5351" w:type="dxa"/>
          </w:tcPr>
          <w:p w:rsidR="00654932" w:rsidRDefault="005759C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654932" w:rsidRDefault="00654932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654932" w:rsidRDefault="006549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654932" w:rsidRDefault="00654932">
            <w:pPr>
              <w:rPr>
                <w:sz w:val="20"/>
                <w:szCs w:val="20"/>
              </w:rPr>
            </w:pPr>
          </w:p>
        </w:tc>
      </w:tr>
    </w:tbl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C7247" w:rsidRDefault="006C724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C7247" w:rsidRDefault="006C724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C7247" w:rsidRDefault="006C724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2D36F7" w:rsidRPr="00340561" w:rsidTr="0098320E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6F7" w:rsidRPr="00340561" w:rsidRDefault="002D36F7" w:rsidP="0098320E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2D36F7" w:rsidRPr="00340561" w:rsidRDefault="002D36F7" w:rsidP="0098320E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D36F7" w:rsidRPr="00340561" w:rsidTr="0098320E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6F7" w:rsidRPr="00340561" w:rsidRDefault="002D36F7" w:rsidP="0098320E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6F7" w:rsidRPr="00340561" w:rsidRDefault="002D36F7" w:rsidP="0098320E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40561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2D36F7" w:rsidRPr="008608EB" w:rsidRDefault="002D36F7" w:rsidP="0098320E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608E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608E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2D36F7" w:rsidRPr="00340561" w:rsidRDefault="002D36F7" w:rsidP="0098320E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2D36F7" w:rsidRPr="00340561" w:rsidTr="0098320E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6F7" w:rsidRPr="00340561" w:rsidRDefault="002D36F7" w:rsidP="0098320E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4056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2D36F7" w:rsidRPr="00340561" w:rsidRDefault="002D36F7" w:rsidP="0098320E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6F7" w:rsidRPr="00340561" w:rsidRDefault="002D36F7" w:rsidP="0098320E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2D36F7" w:rsidRPr="00340561" w:rsidRDefault="002D36F7" w:rsidP="0098320E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2D36F7" w:rsidRPr="00340561" w:rsidRDefault="002D36F7" w:rsidP="0098320E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2D36F7" w:rsidRPr="00340561" w:rsidRDefault="002D36F7" w:rsidP="0098320E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2D36F7" w:rsidRPr="00340561" w:rsidRDefault="002D36F7" w:rsidP="0098320E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2D36F7" w:rsidRPr="00340561" w:rsidRDefault="002D36F7" w:rsidP="0098320E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2D36F7" w:rsidRDefault="002D36F7" w:rsidP="002D36F7"/>
    <w:p w:rsidR="002D36F7" w:rsidRDefault="002D36F7" w:rsidP="002D36F7"/>
    <w:p w:rsidR="006C7247" w:rsidRDefault="006C7247" w:rsidP="006C7247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6C7247" w:rsidRDefault="006C7247" w:rsidP="006C7247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6C7247" w:rsidRDefault="006C7247" w:rsidP="006C7247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6C7247" w:rsidRDefault="006C7247" w:rsidP="006C7247">
      <w:pPr>
        <w:rPr>
          <w:rFonts w:ascii="Helvetica" w:hAnsi="Helvetica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</w:rPr>
        <w:t>Maheshkumar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Baladaniya</w:t>
      </w:r>
      <w:proofErr w:type="spellEnd"/>
      <w:r>
        <w:rPr>
          <w:rFonts w:ascii="Calibri" w:hAnsi="Calibri" w:cs="Calibri"/>
          <w:color w:val="000000"/>
        </w:rPr>
        <w:t>, USA</w:t>
      </w:r>
      <w:r>
        <w:rPr>
          <w:rFonts w:ascii="Calibri" w:hAnsi="Calibri" w:cs="Calibri"/>
          <w:color w:val="000000"/>
        </w:rPr>
        <w:br/>
      </w:r>
    </w:p>
    <w:p w:rsidR="002D36F7" w:rsidRPr="00375011" w:rsidRDefault="002D36F7" w:rsidP="002D36F7">
      <w:pPr>
        <w:rPr>
          <w:bCs/>
          <w:u w:val="single"/>
        </w:rPr>
      </w:pPr>
      <w:bookmarkStart w:id="4" w:name="_GoBack"/>
      <w:bookmarkEnd w:id="4"/>
    </w:p>
    <w:bookmarkEnd w:id="3"/>
    <w:p w:rsidR="002D36F7" w:rsidRDefault="002D36F7" w:rsidP="002D36F7"/>
    <w:p w:rsidR="00654932" w:rsidRDefault="00654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654932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AA0" w:rsidRDefault="00223AA0">
      <w:r>
        <w:separator/>
      </w:r>
    </w:p>
  </w:endnote>
  <w:endnote w:type="continuationSeparator" w:id="0">
    <w:p w:rsidR="00223AA0" w:rsidRDefault="00223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23D1AA32-984B-42B2-A047-8687C591C2E9}"/>
    <w:embedBold r:id="rId2" w:fontKey="{3890A282-E6DC-4EAF-B0DC-A642A586F6B5}"/>
  </w:font>
  <w:font w:name="Arimo">
    <w:charset w:val="00"/>
    <w:family w:val="auto"/>
    <w:pitch w:val="default"/>
    <w:embedBold r:id="rId3" w:fontKey="{048D22BC-258D-4450-B70B-CB2DD3E267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B0A199D-B4F2-4464-BF01-783F286B814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0281F83-2EAA-4B9D-8488-B5F83F6DE9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E2B1A97-88BA-4F07-84E9-BA6F38D76566}"/>
    <w:embedBold r:id="rId7" w:fontKey="{8110BC33-366B-4C1F-892F-5F5CBC6910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464BFAE-1FFC-4513-8AE8-432C7297D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932" w:rsidRDefault="005759C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AA0" w:rsidRDefault="00223AA0">
      <w:r>
        <w:separator/>
      </w:r>
    </w:p>
  </w:footnote>
  <w:footnote w:type="continuationSeparator" w:id="0">
    <w:p w:rsidR="00223AA0" w:rsidRDefault="00223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4932" w:rsidRDefault="00654932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654932" w:rsidRDefault="005759C2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932"/>
    <w:rsid w:val="000B07BD"/>
    <w:rsid w:val="001621C3"/>
    <w:rsid w:val="00223AA0"/>
    <w:rsid w:val="002D36F7"/>
    <w:rsid w:val="005759C2"/>
    <w:rsid w:val="00654932"/>
    <w:rsid w:val="006C7247"/>
    <w:rsid w:val="00770DEF"/>
    <w:rsid w:val="009D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5DD38"/>
  <w15:docId w15:val="{470AE9AB-893D-439D-8B83-CF36B499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70D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0DEF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6C7247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1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ndj.com/index.php/INDJ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393</Words>
  <Characters>2242</Characters>
  <Application>Microsoft Office Word</Application>
  <DocSecurity>0</DocSecurity>
  <Lines>18</Lines>
  <Paragraphs>5</Paragraphs>
  <ScaleCrop>false</ScaleCrop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5</cp:revision>
  <dcterms:created xsi:type="dcterms:W3CDTF">2026-02-17T06:13:00Z</dcterms:created>
  <dcterms:modified xsi:type="dcterms:W3CDTF">2026-02-23T09:13:00Z</dcterms:modified>
</cp:coreProperties>
</file>