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34" w:rsidRDefault="00DD0134">
      <w:pPr>
        <w:pStyle w:val="BodyText"/>
        <w:spacing w:before="10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DD0134">
        <w:trPr>
          <w:trHeight w:val="290"/>
        </w:trPr>
        <w:tc>
          <w:tcPr>
            <w:tcW w:w="5168" w:type="dxa"/>
          </w:tcPr>
          <w:p w:rsidR="00DD0134" w:rsidRDefault="00BB2E9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DD0134" w:rsidRDefault="00126462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BB2E9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B2E9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B2E9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BB2E97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BB2E9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BB2E9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BB2E9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B2E9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Dentistry</w:t>
              </w:r>
            </w:hyperlink>
          </w:p>
        </w:tc>
      </w:tr>
      <w:tr w:rsidR="00DD0134">
        <w:trPr>
          <w:trHeight w:val="290"/>
        </w:trPr>
        <w:tc>
          <w:tcPr>
            <w:tcW w:w="5168" w:type="dxa"/>
          </w:tcPr>
          <w:p w:rsidR="00DD0134" w:rsidRDefault="00BB2E9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DD0134" w:rsidRDefault="00BB2E97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Ms_IJRRD_153048</w:t>
            </w:r>
          </w:p>
        </w:tc>
      </w:tr>
      <w:tr w:rsidR="00DD0134">
        <w:trPr>
          <w:trHeight w:val="650"/>
        </w:trPr>
        <w:tc>
          <w:tcPr>
            <w:tcW w:w="5168" w:type="dxa"/>
          </w:tcPr>
          <w:p w:rsidR="00DD0134" w:rsidRDefault="00BB2E9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DD0134" w:rsidRDefault="00BB2E97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Musculoskeletal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Disorders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Dentists: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Descriptive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Cross-Sectional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Analysis</w:t>
            </w:r>
          </w:p>
        </w:tc>
      </w:tr>
      <w:tr w:rsidR="00DD0134">
        <w:trPr>
          <w:trHeight w:val="333"/>
        </w:trPr>
        <w:tc>
          <w:tcPr>
            <w:tcW w:w="5168" w:type="dxa"/>
          </w:tcPr>
          <w:p w:rsidR="00DD0134" w:rsidRDefault="00BB2E9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DD0134" w:rsidRDefault="00BB2E97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Original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spacing w:before="229"/>
        <w:rPr>
          <w:b w:val="0"/>
        </w:rPr>
      </w:pPr>
    </w:p>
    <w:p w:rsidR="00DD0134" w:rsidRDefault="00BB2E97">
      <w:pPr>
        <w:pStyle w:val="BodyText"/>
        <w:ind w:left="165"/>
      </w:pPr>
      <w:r>
        <w:rPr>
          <w:u w:val="single"/>
        </w:rPr>
        <w:t>General</w:t>
      </w:r>
      <w:r>
        <w:rPr>
          <w:spacing w:val="-7"/>
          <w:u w:val="single"/>
        </w:rPr>
        <w:t xml:space="preserve"> </w:t>
      </w:r>
      <w:r>
        <w:rPr>
          <w:u w:val="single"/>
        </w:rPr>
        <w:t>guidelines</w:t>
      </w:r>
      <w:r>
        <w:rPr>
          <w:spacing w:val="-6"/>
          <w:u w:val="single"/>
        </w:rPr>
        <w:t xml:space="preserve"> </w:t>
      </w:r>
      <w:r>
        <w:rPr>
          <w:u w:val="single"/>
        </w:rPr>
        <w:t>for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Peer</w:t>
      </w:r>
      <w:r>
        <w:rPr>
          <w:spacing w:val="-6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process:</w:t>
      </w:r>
    </w:p>
    <w:p w:rsidR="00DD0134" w:rsidRDefault="00DD0134">
      <w:pPr>
        <w:pStyle w:val="BodyText"/>
      </w:pPr>
    </w:p>
    <w:p w:rsidR="00DD0134" w:rsidRDefault="00BB2E97">
      <w:pPr>
        <w:pStyle w:val="BodyText"/>
        <w:spacing w:before="1"/>
        <w:ind w:left="165"/>
      </w:pPr>
      <w:r>
        <w:rPr>
          <w:color w:val="000000"/>
          <w:highlight w:val="yellow"/>
        </w:rPr>
        <w:t>Artificial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Intelligence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(AI)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generated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or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assisted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review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comments</w:t>
      </w:r>
      <w:r>
        <w:rPr>
          <w:color w:val="000000"/>
          <w:spacing w:val="-7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8"/>
          <w:highlight w:val="yellow"/>
        </w:rPr>
        <w:t xml:space="preserve"> </w:t>
      </w:r>
      <w:r>
        <w:rPr>
          <w:color w:val="000000"/>
          <w:highlight w:val="yellow"/>
        </w:rPr>
        <w:t>strictly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prohibited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during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peer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review.</w:t>
      </w:r>
    </w:p>
    <w:p w:rsidR="00DD0134" w:rsidRDefault="00DD0134">
      <w:pPr>
        <w:pStyle w:val="BodyText"/>
        <w:spacing w:before="1"/>
      </w:pPr>
    </w:p>
    <w:p w:rsidR="00DD0134" w:rsidRDefault="00BB2E97">
      <w:pPr>
        <w:ind w:left="165" w:right="589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journal’s</w:t>
      </w:r>
      <w:r>
        <w:rPr>
          <w:spacing w:val="-3"/>
          <w:sz w:val="20"/>
        </w:rPr>
        <w:t xml:space="preserve"> </w:t>
      </w:r>
      <w:r>
        <w:rPr>
          <w:sz w:val="20"/>
        </w:rPr>
        <w:t>peer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2"/>
          <w:sz w:val="20"/>
        </w:rPr>
        <w:t xml:space="preserve"> </w:t>
      </w:r>
      <w:r>
        <w:rPr>
          <w:sz w:val="20"/>
        </w:rPr>
        <w:t>policy</w:t>
      </w:r>
      <w:r>
        <w:rPr>
          <w:spacing w:val="-1"/>
          <w:sz w:val="20"/>
        </w:rPr>
        <w:t xml:space="preserve"> </w:t>
      </w:r>
      <w:r>
        <w:rPr>
          <w:sz w:val="20"/>
        </w:rPr>
        <w:t>states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that </w:t>
      </w:r>
      <w:r>
        <w:rPr>
          <w:b/>
          <w:sz w:val="20"/>
          <w:u w:val="single"/>
        </w:rPr>
        <w:t>NO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manuscript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rejected</w:t>
      </w:r>
      <w:r>
        <w:rPr>
          <w:spacing w:val="-1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basis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‘</w:t>
      </w:r>
      <w:r>
        <w:rPr>
          <w:b/>
          <w:sz w:val="20"/>
          <w:u w:val="single"/>
        </w:rPr>
        <w:t>lack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Novelty’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manuscript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scientifically</w:t>
      </w:r>
      <w:r>
        <w:rPr>
          <w:spacing w:val="-1"/>
          <w:sz w:val="20"/>
        </w:rPr>
        <w:t xml:space="preserve"> </w:t>
      </w:r>
      <w:r>
        <w:rPr>
          <w:sz w:val="20"/>
        </w:rPr>
        <w:t>robust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technically</w:t>
      </w:r>
      <w:r>
        <w:rPr>
          <w:spacing w:val="-3"/>
          <w:sz w:val="20"/>
        </w:rPr>
        <w:t xml:space="preserve"> </w:t>
      </w:r>
      <w:r>
        <w:rPr>
          <w:sz w:val="20"/>
        </w:rPr>
        <w:t>sound. To know the complete guidelines for the Peer Review process, reviewers are requested to visit this link:</w:t>
      </w:r>
    </w:p>
    <w:p w:rsidR="00DD0134" w:rsidRDefault="00126462">
      <w:pPr>
        <w:spacing w:before="229"/>
        <w:ind w:left="165"/>
        <w:rPr>
          <w:sz w:val="20"/>
        </w:rPr>
      </w:pPr>
      <w:hyperlink r:id="rId7">
        <w:r w:rsidR="00BB2E97">
          <w:rPr>
            <w:color w:val="0000FF"/>
            <w:spacing w:val="-2"/>
            <w:sz w:val="20"/>
            <w:u w:val="single" w:color="0000FF"/>
          </w:rPr>
          <w:t>https://r1.reviewerhub.org/general-editorial-policy/</w:t>
        </w:r>
      </w:hyperlink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spacing w:before="1"/>
        <w:rPr>
          <w:b w:val="0"/>
        </w:rPr>
      </w:pPr>
    </w:p>
    <w:p w:rsidR="00DD0134" w:rsidRDefault="00BB2E97">
      <w:pPr>
        <w:pStyle w:val="BodyText"/>
        <w:ind w:left="165"/>
      </w:pPr>
      <w:r>
        <w:rPr>
          <w:color w:val="000000"/>
          <w:highlight w:val="yellow"/>
          <w:u w:val="single"/>
        </w:rPr>
        <w:t>Important</w:t>
      </w:r>
      <w:r>
        <w:rPr>
          <w:color w:val="000000"/>
          <w:spacing w:val="-6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Policies</w:t>
      </w:r>
      <w:r>
        <w:rPr>
          <w:color w:val="000000"/>
          <w:spacing w:val="-8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Regarding</w:t>
      </w:r>
      <w:r>
        <w:rPr>
          <w:color w:val="000000"/>
          <w:spacing w:val="-5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Peer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Review</w:t>
      </w:r>
    </w:p>
    <w:p w:rsidR="00DD0134" w:rsidRDefault="00BB2E97">
      <w:pPr>
        <w:spacing w:before="229"/>
        <w:ind w:left="165" w:right="11775"/>
        <w:rPr>
          <w:sz w:val="20"/>
        </w:rPr>
      </w:pPr>
      <w:r>
        <w:rPr>
          <w:sz w:val="20"/>
        </w:rPr>
        <w:t>Peer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Comments</w:t>
      </w:r>
      <w:r>
        <w:rPr>
          <w:spacing w:val="-8"/>
          <w:sz w:val="20"/>
        </w:rPr>
        <w:t xml:space="preserve"> </w:t>
      </w:r>
      <w:r>
        <w:rPr>
          <w:sz w:val="20"/>
        </w:rPr>
        <w:t>Approval</w:t>
      </w:r>
      <w:r>
        <w:rPr>
          <w:spacing w:val="-7"/>
          <w:sz w:val="20"/>
        </w:rPr>
        <w:t xml:space="preserve"> </w:t>
      </w:r>
      <w:r>
        <w:rPr>
          <w:sz w:val="20"/>
        </w:rPr>
        <w:t>Policy: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  <w:u w:val="single" w:color="0000FF"/>
          </w:rPr>
          <w:t>https://r1.reviewerhub.org/peer-review-comments-approval-policy/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 xml:space="preserve">Benefits for Reviewers: </w:t>
      </w:r>
      <w:hyperlink r:id="rId9">
        <w:r>
          <w:rPr>
            <w:color w:val="0000FF"/>
            <w:sz w:val="20"/>
            <w:u w:val="single" w:color="0000FF"/>
          </w:rPr>
          <w:t>https://r1.reviewerhub.org/benefits-for-reviewers</w:t>
        </w:r>
      </w:hyperlink>
    </w:p>
    <w:p w:rsidR="00DD0134" w:rsidRDefault="00DD0134">
      <w:pPr>
        <w:rPr>
          <w:sz w:val="20"/>
        </w:rPr>
        <w:sectPr w:rsidR="00DD0134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DD0134" w:rsidRDefault="00DD0134">
      <w:pPr>
        <w:pStyle w:val="BodyText"/>
        <w:spacing w:before="15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DD0134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DD0134" w:rsidRDefault="00BB2E9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DD0134">
        <w:trPr>
          <w:trHeight w:val="964"/>
        </w:trPr>
        <w:tc>
          <w:tcPr>
            <w:tcW w:w="5352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D0134" w:rsidRDefault="00BB2E97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DD0134" w:rsidRDefault="00BB2E97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D0134">
        <w:trPr>
          <w:trHeight w:val="1264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before="1"/>
              <w:ind w:left="108" w:right="1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This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manuscript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highlights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important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subject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matter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ergonomics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linked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musculoskeltal</w:t>
            </w:r>
            <w:proofErr w:type="spellEnd"/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disorders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(MSD) of </w:t>
            </w:r>
            <w:proofErr w:type="gramStart"/>
            <w:r>
              <w:rPr>
                <w:rFonts w:ascii="Calibri"/>
                <w:b/>
                <w:sz w:val="20"/>
              </w:rPr>
              <w:t>Dentists .</w:t>
            </w:r>
            <w:proofErr w:type="gramEnd"/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It reflected on the Occupational Health and Safety exposures of Dentists due to poor body posture, manual handling, long period of work hours </w:t>
            </w:r>
            <w:proofErr w:type="spellStart"/>
            <w:r>
              <w:rPr>
                <w:rFonts w:ascii="Calibri"/>
                <w:b/>
                <w:sz w:val="20"/>
              </w:rPr>
              <w:t>etc</w:t>
            </w:r>
            <w:proofErr w:type="spellEnd"/>
            <w:r>
              <w:rPr>
                <w:rFonts w:ascii="Calibri"/>
                <w:b/>
                <w:sz w:val="20"/>
              </w:rPr>
              <w:t xml:space="preserve"> and the negative MSD impact on Dentists which there may be inadequate research on in Africa.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1262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D0134" w:rsidRDefault="00BB2E9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No.</w:t>
            </w:r>
          </w:p>
          <w:p w:rsidR="00DD0134" w:rsidRDefault="00BB2E97">
            <w:pPr>
              <w:pStyle w:val="TableParagraph"/>
              <w:spacing w:before="1"/>
              <w:ind w:left="108" w:right="124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Musculoskeletal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Disorders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among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Dentists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rFonts w:ascii="Calibri"/>
                <w:b/>
                <w:sz w:val="20"/>
              </w:rPr>
              <w:t>In</w:t>
            </w:r>
            <w:proofErr w:type="gramEnd"/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z w:val="20"/>
              </w:rPr>
              <w:t>Morroco</w:t>
            </w:r>
            <w:proofErr w:type="spellEnd"/>
            <w:r>
              <w:rPr>
                <w:rFonts w:ascii="Calibri"/>
                <w:b/>
                <w:sz w:val="20"/>
              </w:rPr>
              <w:t>: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Descriptive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Cross-Sectional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Analysis 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location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(sample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area)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should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be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included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topic</w:t>
            </w:r>
            <w:r>
              <w:rPr>
                <w:rFonts w:ascii="Calibri"/>
                <w:b/>
                <w:spacing w:val="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not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left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open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</w:t>
            </w:r>
            <w:r>
              <w:rPr>
                <w:rFonts w:ascii="Calibri"/>
                <w:b/>
                <w:spacing w:val="-2"/>
                <w:sz w:val="20"/>
              </w:rPr>
              <w:t xml:space="preserve"> generalization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1262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before="1"/>
              <w:ind w:left="46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Adequate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733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Yes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it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is</w:t>
            </w:r>
            <w:proofErr w:type="gramEnd"/>
            <w:r>
              <w:rPr>
                <w:rFonts w:ascii="Calibri"/>
                <w:b/>
                <w:spacing w:val="-2"/>
                <w:sz w:val="20"/>
              </w:rPr>
              <w:t xml:space="preserve"> sufficient.</w:t>
            </w:r>
          </w:p>
          <w:p w:rsidR="00DD0134" w:rsidRDefault="00BB2E97">
            <w:pPr>
              <w:pStyle w:val="TableParagraph"/>
              <w:spacing w:line="240" w:lineRule="atLeast"/>
              <w:ind w:left="108" w:right="13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descriptive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analytical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cross-sectional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study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was</w:t>
            </w:r>
            <w:r>
              <w:rPr>
                <w:rFonts w:asci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conducted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accordance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with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the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Declaration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 Helsinki, ensuring adherence to ethical principles in medical research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702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</w:t>
            </w:r>
          </w:p>
          <w:p w:rsidR="00DD0134" w:rsidRDefault="00BB2E97">
            <w:pPr>
              <w:pStyle w:val="TableParagraph"/>
              <w:spacing w:line="223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them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4"/>
                <w:sz w:val="20"/>
              </w:rPr>
              <w:t xml:space="preserve"> form.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line="243" w:lineRule="exact"/>
              <w:ind w:left="10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Adequate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688"/>
        </w:trPr>
        <w:tc>
          <w:tcPr>
            <w:tcW w:w="5352" w:type="dxa"/>
          </w:tcPr>
          <w:p w:rsidR="00DD0134" w:rsidRDefault="00BB2E9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DD0134" w:rsidRDefault="00BB2E97">
            <w:pPr>
              <w:pStyle w:val="TableParagraph"/>
              <w:spacing w:before="1"/>
              <w:ind w:left="108"/>
              <w:rPr>
                <w:rFonts w:ascii="Calibri"/>
                <w:b/>
                <w:sz w:val="20"/>
              </w:rPr>
            </w:pPr>
            <w:proofErr w:type="gramStart"/>
            <w:r>
              <w:rPr>
                <w:rFonts w:ascii="Calibri"/>
                <w:b/>
                <w:sz w:val="20"/>
              </w:rPr>
              <w:t>Yes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it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is</w:t>
            </w:r>
            <w:proofErr w:type="gramEnd"/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suitable</w:t>
            </w: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1178"/>
        </w:trPr>
        <w:tc>
          <w:tcPr>
            <w:tcW w:w="5352" w:type="dxa"/>
          </w:tcPr>
          <w:p w:rsidR="00DD0134" w:rsidRDefault="00BB2E9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5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spacing w:before="15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DD0134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DD0134" w:rsidRDefault="00BB2E9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DD0134">
        <w:trPr>
          <w:trHeight w:val="935"/>
        </w:trPr>
        <w:tc>
          <w:tcPr>
            <w:tcW w:w="6831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DD0134" w:rsidRDefault="00BB2E9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DD0134" w:rsidRDefault="00BB2E97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DD0134" w:rsidRDefault="00DD0134">
      <w:pPr>
        <w:pStyle w:val="TableParagraph"/>
        <w:spacing w:line="254" w:lineRule="auto"/>
        <w:rPr>
          <w:sz w:val="20"/>
        </w:rPr>
        <w:sectPr w:rsidR="00DD0134">
          <w:pgSz w:w="23820" w:h="16840" w:orient="landscape"/>
          <w:pgMar w:top="1820" w:right="1275" w:bottom="1311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DD0134">
        <w:trPr>
          <w:trHeight w:val="921"/>
        </w:trPr>
        <w:tc>
          <w:tcPr>
            <w:tcW w:w="6831" w:type="dxa"/>
          </w:tcPr>
          <w:p w:rsidR="00DD0134" w:rsidRDefault="00DD0134">
            <w:pPr>
              <w:pStyle w:val="TableParagraph"/>
              <w:ind w:left="0"/>
              <w:rPr>
                <w:sz w:val="20"/>
              </w:rPr>
            </w:pPr>
          </w:p>
          <w:p w:rsidR="00DD0134" w:rsidRDefault="00BB2E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DD0134" w:rsidRDefault="00BB2E97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DD0134" w:rsidRDefault="00DD013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DD0134" w:rsidRDefault="00BB2E9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695"/>
        </w:trPr>
        <w:tc>
          <w:tcPr>
            <w:tcW w:w="6831" w:type="dxa"/>
          </w:tcPr>
          <w:p w:rsidR="00DD0134" w:rsidRDefault="00DD013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DD0134" w:rsidRDefault="00BB2E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DD0134" w:rsidRDefault="00BB2E9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  <w:tr w:rsidR="00DD0134">
        <w:trPr>
          <w:trHeight w:val="698"/>
        </w:trPr>
        <w:tc>
          <w:tcPr>
            <w:tcW w:w="6831" w:type="dxa"/>
          </w:tcPr>
          <w:p w:rsidR="00DD0134" w:rsidRDefault="00DD0134">
            <w:pPr>
              <w:pStyle w:val="TableParagraph"/>
              <w:spacing w:before="5"/>
              <w:ind w:left="0"/>
              <w:rPr>
                <w:sz w:val="20"/>
              </w:rPr>
            </w:pPr>
          </w:p>
          <w:p w:rsidR="00DD0134" w:rsidRDefault="00BB2E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DD0134" w:rsidRDefault="00BB2E9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D0134" w:rsidRDefault="00DD0134">
      <w:pPr>
        <w:pStyle w:val="BodyText"/>
        <w:rPr>
          <w:b w:val="0"/>
        </w:rPr>
      </w:pPr>
    </w:p>
    <w:p w:rsidR="00DD0134" w:rsidRDefault="00DD0134">
      <w:pPr>
        <w:pStyle w:val="BodyText"/>
        <w:spacing w:before="11"/>
        <w:rPr>
          <w:b w:val="0"/>
        </w:rPr>
      </w:pPr>
    </w:p>
    <w:p w:rsidR="00DD0134" w:rsidRDefault="00BB2E97">
      <w:pPr>
        <w:pStyle w:val="BodyText"/>
        <w:ind w:left="165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3: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u w:val="single"/>
        </w:rPr>
        <w:t>Declaration</w:t>
      </w:r>
      <w:r>
        <w:rPr>
          <w:color w:val="000000"/>
          <w:spacing w:val="-5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6"/>
          <w:u w:val="single"/>
        </w:rPr>
        <w:t xml:space="preserve"> </w:t>
      </w:r>
      <w:r>
        <w:rPr>
          <w:color w:val="000000"/>
          <w:u w:val="single"/>
        </w:rPr>
        <w:t>Competing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Interest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of</w:t>
      </w:r>
      <w:r>
        <w:rPr>
          <w:color w:val="000000"/>
          <w:spacing w:val="-4"/>
          <w:u w:val="single"/>
        </w:rPr>
        <w:t xml:space="preserve"> </w:t>
      </w:r>
      <w:r>
        <w:rPr>
          <w:color w:val="000000"/>
          <w:u w:val="single"/>
        </w:rPr>
        <w:t>the</w:t>
      </w:r>
      <w:r>
        <w:rPr>
          <w:color w:val="000000"/>
          <w:spacing w:val="-1"/>
          <w:u w:val="single"/>
        </w:rPr>
        <w:t xml:space="preserve"> </w:t>
      </w:r>
      <w:r>
        <w:rPr>
          <w:color w:val="000000"/>
          <w:spacing w:val="-2"/>
          <w:u w:val="single"/>
        </w:rPr>
        <w:t>Reviewer:</w:t>
      </w:r>
    </w:p>
    <w:p w:rsidR="00DD0134" w:rsidRDefault="00BB2E97">
      <w:pPr>
        <w:pStyle w:val="BodyText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148246</wp:posOffset>
                </wp:positionV>
                <wp:extent cx="13432790" cy="15430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4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D0134" w:rsidRDefault="00BB2E97">
                            <w:pPr>
                              <w:spacing w:before="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his/her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nothing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he/she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can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write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“I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reviewer” “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declare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competing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reviewer”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6.6pt;margin-top:11.65pt;width:1057.7pt;height:12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" filled="f" strokeweight=".16931mm">
                <v:path arrowok="t"/>
                <v:textbox inset="0,0,0,0">
                  <w:txbxContent>
                    <w:p w:rsidR="00DD0134" w:rsidRDefault="00BB2E97">
                      <w:pPr>
                        <w:spacing w:before="1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Here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should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his/her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If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nothing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he/she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can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write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“I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declare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have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competing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interest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reviewer” “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declare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that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have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competing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interest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reviewer”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0134" w:rsidRDefault="00DD0134">
      <w:pPr>
        <w:pStyle w:val="BodyText"/>
      </w:pPr>
    </w:p>
    <w:p w:rsidR="00DD0134" w:rsidRDefault="00DD0134">
      <w:pPr>
        <w:pStyle w:val="BodyText"/>
        <w:spacing w:before="8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DD0134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DD0134" w:rsidRDefault="00BB2E9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DD0134">
        <w:trPr>
          <w:trHeight w:val="230"/>
        </w:trPr>
        <w:tc>
          <w:tcPr>
            <w:tcW w:w="11536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DD0134">
        <w:trPr>
          <w:trHeight w:val="2299"/>
        </w:trPr>
        <w:tc>
          <w:tcPr>
            <w:tcW w:w="11536" w:type="dxa"/>
          </w:tcPr>
          <w:p w:rsidR="00DD0134" w:rsidRDefault="00BB2E97">
            <w:pPr>
              <w:pStyle w:val="TableParagraph"/>
              <w:ind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DD0134" w:rsidRDefault="00BB2E97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DD0134" w:rsidRDefault="00BB2E97">
            <w:pPr>
              <w:pStyle w:val="TableParagraph"/>
              <w:ind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DD0134" w:rsidRDefault="00BB2E97">
            <w:pPr>
              <w:pStyle w:val="TableParagraph"/>
              <w:spacing w:before="1"/>
              <w:ind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DD0134" w:rsidRDefault="00BB2E97">
            <w:pPr>
              <w:pStyle w:val="TableParagraph"/>
              <w:spacing w:line="230" w:lineRule="exact"/>
              <w:ind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DD0134" w:rsidRDefault="00DD0134">
            <w:pPr>
              <w:pStyle w:val="TableParagraph"/>
              <w:ind w:left="0"/>
              <w:rPr>
                <w:b/>
                <w:sz w:val="20"/>
              </w:rPr>
            </w:pPr>
          </w:p>
          <w:p w:rsidR="00DD0134" w:rsidRDefault="00DD0134">
            <w:pPr>
              <w:pStyle w:val="TableParagraph"/>
              <w:ind w:left="0"/>
              <w:rPr>
                <w:b/>
                <w:sz w:val="20"/>
              </w:rPr>
            </w:pPr>
          </w:p>
          <w:p w:rsidR="00DD0134" w:rsidRDefault="00DD0134">
            <w:pPr>
              <w:pStyle w:val="TableParagraph"/>
              <w:ind w:left="0"/>
              <w:rPr>
                <w:b/>
                <w:sz w:val="20"/>
              </w:rPr>
            </w:pPr>
          </w:p>
          <w:p w:rsidR="00DD0134" w:rsidRDefault="00DD0134">
            <w:pPr>
              <w:pStyle w:val="TableParagraph"/>
              <w:spacing w:before="114"/>
              <w:ind w:left="0"/>
              <w:rPr>
                <w:b/>
                <w:sz w:val="20"/>
              </w:rPr>
            </w:pPr>
          </w:p>
          <w:p w:rsidR="00DD0134" w:rsidRDefault="00BB2E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  <w:r w:rsidR="00B922A7">
              <w:rPr>
                <w:b/>
                <w:spacing w:val="-10"/>
                <w:sz w:val="20"/>
              </w:rPr>
              <w:t>.5</w:t>
            </w:r>
            <w:bookmarkStart w:id="0" w:name="_GoBack"/>
            <w:bookmarkEnd w:id="0"/>
          </w:p>
        </w:tc>
      </w:tr>
    </w:tbl>
    <w:p w:rsidR="00DD0134" w:rsidRDefault="00DD0134">
      <w:pPr>
        <w:pStyle w:val="TableParagraph"/>
        <w:rPr>
          <w:b/>
          <w:sz w:val="20"/>
        </w:rPr>
        <w:sectPr w:rsidR="00DD0134">
          <w:type w:val="continuous"/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DD0134" w:rsidRDefault="00DD0134">
      <w:pPr>
        <w:pStyle w:val="BodyText"/>
        <w:spacing w:before="60" w:after="1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DD0134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DD0134" w:rsidRDefault="00BB2E9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DD0134">
        <w:trPr>
          <w:trHeight w:val="230"/>
        </w:trPr>
        <w:tc>
          <w:tcPr>
            <w:tcW w:w="11536" w:type="dxa"/>
          </w:tcPr>
          <w:p w:rsidR="00DD0134" w:rsidRDefault="00DD0134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1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DD0134">
        <w:trPr>
          <w:trHeight w:val="1840"/>
        </w:trPr>
        <w:tc>
          <w:tcPr>
            <w:tcW w:w="11536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18" w:type="dxa"/>
          </w:tcPr>
          <w:p w:rsidR="00DD0134" w:rsidRDefault="00DD013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D0134" w:rsidRDefault="00DD0134">
      <w:pPr>
        <w:pStyle w:val="BodyText"/>
      </w:pPr>
    </w:p>
    <w:p w:rsidR="00DD0134" w:rsidRDefault="00DD0134">
      <w:pPr>
        <w:pStyle w:val="BodyText"/>
      </w:pPr>
    </w:p>
    <w:p w:rsidR="00DD0134" w:rsidRDefault="00DD0134">
      <w:pPr>
        <w:pStyle w:val="BodyText"/>
      </w:pPr>
    </w:p>
    <w:p w:rsidR="00DD0134" w:rsidRDefault="00DD0134">
      <w:pPr>
        <w:pStyle w:val="BodyText"/>
      </w:pPr>
    </w:p>
    <w:p w:rsidR="00DD0134" w:rsidRDefault="00DD0134">
      <w:pPr>
        <w:pStyle w:val="BodyText"/>
      </w:pPr>
    </w:p>
    <w:p w:rsidR="00DD0134" w:rsidRDefault="00DD0134">
      <w:pPr>
        <w:pStyle w:val="BodyText"/>
        <w:spacing w:before="7"/>
      </w:pPr>
    </w:p>
    <w:p w:rsidR="00DD0134" w:rsidRDefault="00BB2E97">
      <w:pPr>
        <w:pStyle w:val="BodyText"/>
        <w:spacing w:line="229" w:lineRule="exact"/>
        <w:ind w:left="165"/>
      </w:pPr>
      <w:r>
        <w:rPr>
          <w:color w:val="000000"/>
          <w:highlight w:val="yellow"/>
          <w:u w:val="single"/>
        </w:rPr>
        <w:t>Reviewer</w:t>
      </w:r>
      <w:r>
        <w:rPr>
          <w:color w:val="000000"/>
          <w:spacing w:val="-7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Details:</w:t>
      </w:r>
    </w:p>
    <w:p w:rsidR="00DD0134" w:rsidRDefault="00BB2E97">
      <w:pPr>
        <w:pStyle w:val="BodyText"/>
        <w:spacing w:line="229" w:lineRule="exact"/>
        <w:ind w:left="165"/>
      </w:pPr>
      <w:r>
        <w:rPr>
          <w:color w:val="FF0000"/>
          <w:u w:val="single" w:color="FF0000"/>
        </w:rPr>
        <w:t>This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section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mandatory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prepare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Reviewer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2"/>
          <w:u w:val="single" w:color="FF0000"/>
        </w:rPr>
        <w:t>Certificate.</w:t>
      </w:r>
    </w:p>
    <w:p w:rsidR="00DD0134" w:rsidRDefault="00BB2E97">
      <w:pPr>
        <w:pStyle w:val="BodyText"/>
        <w:ind w:left="165" w:right="1177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carefully.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Certificate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generated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only. Your Certificate will be wrong, if you provide incorrect information.</w:t>
      </w:r>
    </w:p>
    <w:p w:rsidR="00DD0134" w:rsidRDefault="00BB2E97">
      <w:pPr>
        <w:pStyle w:val="BodyText"/>
        <w:spacing w:before="1"/>
        <w:ind w:left="165" w:right="13919"/>
      </w:pPr>
      <w:r>
        <w:t>Please</w:t>
      </w:r>
      <w:r>
        <w:rPr>
          <w:spacing w:val="-4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generation. Certificate will not be issued if incomplete information is provided.</w:t>
      </w:r>
    </w:p>
    <w:p w:rsidR="00DD0134" w:rsidRDefault="00DD0134">
      <w:pPr>
        <w:pStyle w:val="BodyText"/>
        <w:spacing w:before="229"/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Prof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Akaninyene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Edet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Ekong</w:t>
            </w:r>
            <w:proofErr w:type="spellEnd"/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Occupational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</w:t>
            </w:r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Highstone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USA</w:t>
            </w:r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Nigeria</w:t>
            </w:r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Professor</w:t>
            </w:r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DD0134" w:rsidRDefault="00126462">
            <w:pPr>
              <w:pStyle w:val="TableParagraph"/>
              <w:spacing w:line="210" w:lineRule="exact"/>
              <w:ind w:left="108"/>
              <w:rPr>
                <w:color w:val="0000FF"/>
                <w:spacing w:val="-2"/>
                <w:sz w:val="20"/>
                <w:u w:val="single" w:color="0000FF"/>
              </w:rPr>
            </w:pPr>
            <w:hyperlink r:id="rId12">
              <w:r w:rsidR="00BB2E97">
                <w:rPr>
                  <w:color w:val="0000FF"/>
                  <w:spacing w:val="-2"/>
                  <w:sz w:val="20"/>
                  <w:u w:val="single" w:color="0000FF"/>
                </w:rPr>
                <w:t>ekongakaninyene@gmail.com</w:t>
              </w:r>
            </w:hyperlink>
          </w:p>
          <w:p w:rsidR="00D33534" w:rsidRDefault="00D33534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D33534">
              <w:rPr>
                <w:sz w:val="20"/>
              </w:rPr>
              <w:t>ekongakaninyene@gmail.com</w:t>
            </w:r>
          </w:p>
        </w:tc>
      </w:tr>
      <w:tr w:rsidR="00DD0134">
        <w:trPr>
          <w:trHeight w:val="23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+23407034911992</w:t>
            </w:r>
          </w:p>
        </w:tc>
      </w:tr>
      <w:tr w:rsidR="00DD0134">
        <w:trPr>
          <w:trHeight w:val="460"/>
        </w:trPr>
        <w:tc>
          <w:tcPr>
            <w:tcW w:w="4428" w:type="dxa"/>
          </w:tcPr>
          <w:p w:rsidR="00DD0134" w:rsidRDefault="00BB2E97">
            <w:pPr>
              <w:pStyle w:val="TableParagraph"/>
              <w:spacing w:line="230" w:lineRule="atLeast"/>
              <w:ind w:right="85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DD0134" w:rsidRDefault="00BB2E9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Energy,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Occupational,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.Safety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.Environment.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Marine,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Climate</w:t>
            </w:r>
          </w:p>
        </w:tc>
      </w:tr>
    </w:tbl>
    <w:p w:rsidR="00BB2E97" w:rsidRDefault="00BB2E97"/>
    <w:sectPr w:rsidR="00BB2E97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62" w:rsidRDefault="00126462">
      <w:r>
        <w:separator/>
      </w:r>
    </w:p>
  </w:endnote>
  <w:endnote w:type="continuationSeparator" w:id="0">
    <w:p w:rsidR="00126462" w:rsidRDefault="0012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34" w:rsidRDefault="00BB2E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134" w:rsidRDefault="00BB2E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DD0134" w:rsidRDefault="00BB2E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134" w:rsidRDefault="00BB2E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7.95pt;margin-top:796.2pt;width:55.7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DD0134" w:rsidRDefault="00BB2E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134" w:rsidRDefault="00BB2E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2pt;width:67.8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DD0134" w:rsidRDefault="00BB2E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134" w:rsidRDefault="00BB2E9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2pt;width:80.45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DD0134" w:rsidRDefault="00BB2E9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62" w:rsidRDefault="00126462">
      <w:r>
        <w:separator/>
      </w:r>
    </w:p>
  </w:footnote>
  <w:footnote w:type="continuationSeparator" w:id="0">
    <w:p w:rsidR="00126462" w:rsidRDefault="00126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134" w:rsidRDefault="00BB2E9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0134" w:rsidRDefault="00BB2E9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85pt;height:15.4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DD0134" w:rsidRDefault="00BB2E9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134"/>
    <w:rsid w:val="00126462"/>
    <w:rsid w:val="00B922A7"/>
    <w:rsid w:val="00BB2E97"/>
    <w:rsid w:val="00D33534"/>
    <w:rsid w:val="00D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B524"/>
  <w15:docId w15:val="{26CBE45E-330F-4D35-ABAA-F474EF9C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ekongakaninye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1138</cp:lastModifiedBy>
  <cp:revision>3</cp:revision>
  <dcterms:created xsi:type="dcterms:W3CDTF">2026-02-06T09:58:00Z</dcterms:created>
  <dcterms:modified xsi:type="dcterms:W3CDTF">2026-02-06T12:51:00Z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for Microsoft 365</vt:lpwstr>
  </property>
</Properties>
</file>