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04280" w14:textId="77777777" w:rsidR="00E46DF7" w:rsidRDefault="00597711">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Comparing Extended Half-Life and Standard Half-Life Replacement Therapies in Hemophilia: A Systematic Review and Meta-Analysis</w:t>
      </w:r>
    </w:p>
    <w:p w14:paraId="29C4185F" w14:textId="77777777" w:rsidR="00E46DF7" w:rsidRDefault="00E46DF7">
      <w:pPr>
        <w:spacing w:line="360" w:lineRule="auto"/>
        <w:rPr>
          <w:rFonts w:ascii="Times New Roman" w:eastAsia="Times New Roman" w:hAnsi="Times New Roman" w:cs="Times New Roman"/>
          <w:b/>
          <w:bCs/>
          <w:sz w:val="32"/>
          <w:szCs w:val="32"/>
          <w:highlight w:val="white"/>
        </w:rPr>
      </w:pPr>
    </w:p>
    <w:p w14:paraId="62E7AF41" w14:textId="77777777" w:rsidR="008A033C" w:rsidRDefault="008A033C">
      <w:pPr>
        <w:spacing w:line="360" w:lineRule="auto"/>
        <w:rPr>
          <w:rFonts w:ascii="Times New Roman" w:eastAsia="Times New Roman" w:hAnsi="Times New Roman" w:cs="Times New Roman"/>
          <w:b/>
          <w:bCs/>
          <w:sz w:val="32"/>
          <w:szCs w:val="32"/>
          <w:highlight w:val="white"/>
        </w:rPr>
      </w:pPr>
    </w:p>
    <w:p w14:paraId="6D3B3A09" w14:textId="77777777" w:rsidR="00E46DF7" w:rsidRDefault="00597711">
      <w:pPr>
        <w:spacing w:line="360" w:lineRule="auto"/>
        <w:rPr>
          <w:rFonts w:ascii="Times New Roman" w:eastAsia="Times New Roman" w:hAnsi="Times New Roman" w:cs="Times New Roman"/>
          <w:b/>
          <w:bCs/>
          <w:sz w:val="32"/>
          <w:szCs w:val="32"/>
          <w:highlight w:val="white"/>
        </w:rPr>
      </w:pPr>
      <w:commentRangeStart w:id="0"/>
      <w:r>
        <w:rPr>
          <w:rFonts w:ascii="Times New Roman" w:eastAsia="Times New Roman" w:hAnsi="Times New Roman" w:cs="Times New Roman"/>
          <w:b/>
          <w:bCs/>
          <w:sz w:val="32"/>
          <w:szCs w:val="32"/>
          <w:highlight w:val="white"/>
        </w:rPr>
        <w:t>Abstract</w:t>
      </w:r>
      <w:commentRangeEnd w:id="0"/>
      <w:r w:rsidR="00DD5651">
        <w:rPr>
          <w:rStyle w:val="CommentReference"/>
          <w:rFonts w:ascii="Times New Roman" w:eastAsia="Times New Roman" w:hAnsi="Times New Roman" w:cs="Times New Roman"/>
          <w:b/>
          <w:bCs/>
          <w:sz w:val="32"/>
          <w:szCs w:val="32"/>
          <w:highlight w:val="white"/>
        </w:rPr>
        <w:commentReference w:id="0"/>
      </w:r>
    </w:p>
    <w:p w14:paraId="142E5AEA"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is a congenital bleeding disorder that requires frequent factor replacement therapies to manage bleeding episodes. This systematic review and meta-analysis compares the efficacy of extended half-life (EHL) and standard half-life (SHL) factor replacement therapies in patients with haemophilia A or B. Despite advances in hemophilia treatment, recurrent bleeding episodes, particularly joint bleeds, continue to significantly impact patients' health. While SHL therapies are effective, they require frequent infusions, leading to poor adherence and increased bleeding risks. EHL therapies, developed to extend factor persistence, have shown promise in reducing bleeding events and infusions, improving patient adherence, and enhancing quality of life. In this review, data from six (6) studies involving 259 participants (all male) were synthesized, revealing a pooled Standardized Mean Difference (SMD) of -0.37 in annualized bleeding rate (ABR) favoring EHL therapies (95% CI: -0.69, -0.05). These results underscore EHL's potential in reducing bleeding episodes and infusion frequency. However, heterogeneity across studies suggests the need for further research on factors such as patient demographics and treatment regimens. This study highlights the clinical advantages of EHL therapies and calls for greater global access to these treatments, particularly in regions where SHL remains the primary therapy. Future research should explore randomized studies to enhance evidence and Policymakers should consider facilitating access to EHL therapies, particularly in resource-limited settings.</w:t>
      </w:r>
    </w:p>
    <w:p w14:paraId="51628F5C"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Extended half-life, Standard half-life, Hemophilia, Bleeding rate, annualized bleeding rate, Factor replacement, Joint bleeding</w:t>
      </w:r>
    </w:p>
    <w:p w14:paraId="4D2299C8" w14:textId="77777777" w:rsidR="00E46DF7" w:rsidRDefault="00E46DF7">
      <w:pPr>
        <w:spacing w:line="360" w:lineRule="auto"/>
        <w:jc w:val="both"/>
        <w:rPr>
          <w:rFonts w:ascii="Times New Roman" w:eastAsia="Times New Roman" w:hAnsi="Times New Roman" w:cs="Times New Roman"/>
          <w:sz w:val="24"/>
          <w:szCs w:val="24"/>
          <w:highlight w:val="white"/>
        </w:rPr>
      </w:pPr>
    </w:p>
    <w:p w14:paraId="437273EF" w14:textId="77777777"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Introduction</w:t>
      </w:r>
    </w:p>
    <w:p w14:paraId="18D66F5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commentRangeStart w:id="1"/>
      <w:r>
        <w:rPr>
          <w:rFonts w:ascii="Times New Roman" w:eastAsia="Times New Roman" w:hAnsi="Times New Roman" w:cs="Times New Roman"/>
          <w:sz w:val="24"/>
          <w:szCs w:val="24"/>
          <w:highlight w:val="white"/>
        </w:rPr>
        <w:t xml:space="preserve">Haemophilia is a serious congenital </w:t>
      </w:r>
      <w:commentRangeEnd w:id="1"/>
      <w:r w:rsidR="00DD5651">
        <w:rPr>
          <w:rStyle w:val="CommentReference"/>
          <w:rFonts w:ascii="Times New Roman" w:eastAsia="Times New Roman" w:hAnsi="Times New Roman" w:cs="Times New Roman"/>
          <w:sz w:val="24"/>
          <w:szCs w:val="24"/>
          <w:highlight w:val="white"/>
        </w:rPr>
        <w:commentReference w:id="1"/>
      </w:r>
      <w:r>
        <w:rPr>
          <w:rFonts w:ascii="Times New Roman" w:eastAsia="Times New Roman" w:hAnsi="Times New Roman" w:cs="Times New Roman"/>
          <w:sz w:val="24"/>
          <w:szCs w:val="24"/>
          <w:highlight w:val="white"/>
        </w:rPr>
        <w:t>bleeding disorder caused by a deficiency of factor VIII (hemophilia A) or factor IX (hemophilia B) (Mehta &amp; Reddivari, 2023). Despite significant advances in treatment, patients with haemophilia continue to experience recurrent bleeding episodes, particularly joint bleeds, which contribute to long-term musculoskeletal damage, impaired quality of life, and increased morbidity (Gooding et al., 2021; Jena et al., 2025). Historically, the standard of care for hemophilia has been prophylactic intravenous factor replacement therapy using standard half-life (SHL) concentrates (Iurea et al., 2024). While effective in reducing bleeding events, SHL therapies often require multiple infusions per week, leaving patients vulnerable to breakthrough bleeds due to fluctuations in trough levels (Aledort et al., 2019).</w:t>
      </w:r>
    </w:p>
    <w:p w14:paraId="757A3C70"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limitations, extended half-life (EHL) factor concentrates have been developed over the past decade. EHL products, including recombinant factor VIII and IX, are engineered to have prolonged plasma persistence, thus reducing the frequency of infusions while maintaining effective prophylaxis (Chowdary, 2020). These therapies have been associated with reduced annualised bleeding rates (ABR) and fewer infusions compared to SHL products, improving adherence and quality of life for patients (Abdelgawad et al., 2024).</w:t>
      </w:r>
    </w:p>
    <w:p w14:paraId="6D6D7ABD"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body of evidence suggests that EHL factor therapies offer clinical benefits over SHL therapies, with lower ABR and fewer infusion requirements (Lonardi et al., 2025). However, the comparative evidence for EHL versus SHL therapies remains fragmented, and a comprehensive synthesis of this data is essential to clarify their relative efficacy in key outcomes, such as ABR, annualised joint bleeding rate (AJBR), proportion of patients achieving zero bleeds, factor consumption, health-related quality of life (HRQoL), and safety outcomes. Despite advances in therapeutic modalities, including non-factor replacement therapies, this systematic review and meta-analysis will focus solely on comparing EHL and SHL therapies, a critical aspect of haemophilia treatment, given their widespread use and clinical relevance.</w:t>
      </w:r>
    </w:p>
    <w:p w14:paraId="1C0A8DC9"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aims to systematically review and synthesise the available evidence on the efficacy of EHL versus SHL factor replacement therapies, specifically in terms of ABR. Through a targeted </w:t>
      </w:r>
      <w:r>
        <w:rPr>
          <w:rFonts w:ascii="Times New Roman" w:eastAsia="Times New Roman" w:hAnsi="Times New Roman" w:cs="Times New Roman"/>
          <w:sz w:val="24"/>
          <w:szCs w:val="24"/>
          <w:highlight w:val="white"/>
        </w:rPr>
        <w:lastRenderedPageBreak/>
        <w:t>meta-analysis and narrative synthesis, this work will provide valuable insights into the relative effectiveness of EHL and SHL therapies, focusing on the most commonly reported and relevant outcome measures, thereby informing clinical decision-making and optimizing treatment strategies for haemophilia.</w:t>
      </w:r>
    </w:p>
    <w:p w14:paraId="5BEE2BDD" w14:textId="77777777" w:rsidR="00E46DF7" w:rsidRDefault="00597711">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2" w:name="_heading=h.onzvzl7eng7d" w:colFirst="0" w:colLast="0"/>
      <w:bookmarkEnd w:id="2"/>
      <w:r>
        <w:rPr>
          <w:rFonts w:ascii="Times New Roman" w:eastAsia="Times New Roman" w:hAnsi="Times New Roman" w:cs="Times New Roman"/>
          <w:b/>
          <w:bCs/>
          <w:color w:val="000000"/>
          <w:highlight w:val="white"/>
        </w:rPr>
        <w:t xml:space="preserve">Objective </w:t>
      </w:r>
    </w:p>
    <w:p w14:paraId="5B15A0F0"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compare the efficacy and safety of extended half-life (EHL) factor replacement versus standard half-life (SHL) factor replacement therapies in people with haemophilia A or B. </w:t>
      </w:r>
    </w:p>
    <w:p w14:paraId="67CC075A" w14:textId="77777777" w:rsidR="00E46DF7" w:rsidRDefault="00E46DF7">
      <w:pPr>
        <w:spacing w:before="240" w:after="240" w:line="360" w:lineRule="auto"/>
        <w:jc w:val="both"/>
        <w:rPr>
          <w:rFonts w:ascii="Times New Roman" w:eastAsia="Times New Roman" w:hAnsi="Times New Roman" w:cs="Times New Roman"/>
          <w:sz w:val="24"/>
          <w:szCs w:val="24"/>
          <w:highlight w:val="white"/>
        </w:rPr>
      </w:pPr>
    </w:p>
    <w:p w14:paraId="194304AE" w14:textId="77777777"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14:paraId="3B1739CA"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0510C52A"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utilized a systematic review and meta-analysis design following PRISMA guidelines (Page et al., 2021), as it is particularly effective for mapping broad research questions.</w:t>
      </w:r>
    </w:p>
    <w:p w14:paraId="6F689A5F" w14:textId="77777777" w:rsidR="00E46DF7" w:rsidRDefault="00597711">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3" w:name="_heading=h.e8hepy1alrlm" w:colFirst="0" w:colLast="0"/>
      <w:bookmarkEnd w:id="3"/>
      <w:r>
        <w:rPr>
          <w:rFonts w:ascii="Times New Roman" w:eastAsia="Times New Roman" w:hAnsi="Times New Roman" w:cs="Times New Roman"/>
          <w:b/>
          <w:bCs/>
          <w:color w:val="000000"/>
          <w:highlight w:val="white"/>
        </w:rPr>
        <w:t>Research Question</w:t>
      </w:r>
    </w:p>
    <w:p w14:paraId="1AF71E9B"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research question guiding this work is: How do EHL versus SHL therapies differ in terms of annualized bleeding rate (ABR), with secondary consideration of annualised joint bleeding rate (AJBR), proportion of patients achieving zero bleeds, factor consumption, health-related quality of life (HRQoL), and safety outcomes? In formulating this question, the PICO framework was adopted (Schardt et al., 2007). The key elements were:</w:t>
      </w:r>
    </w:p>
    <w:p w14:paraId="155DEFF6"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(Population): Individuals diagnosed with severe hemophilia A or B.</w:t>
      </w:r>
    </w:p>
    <w:p w14:paraId="4FCB6710"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(Intervention): Extended Half-Life (EHL) factor replacement therapies</w:t>
      </w:r>
    </w:p>
    <w:p w14:paraId="493DC194"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(Comparator): Standard Half-Life (SHL) factor replacement therapies.</w:t>
      </w:r>
    </w:p>
    <w:p w14:paraId="613832C4"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 (Outcome): The primary outcome of interest is the Annualized Bleeding Rate (ABR), which reflects the number of bleeding episodes over a year.</w:t>
      </w:r>
    </w:p>
    <w:p w14:paraId="4400678A"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Information Sources and Search Strategy</w:t>
      </w:r>
    </w:p>
    <w:p w14:paraId="5E90E6E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this question, a systematic literature search was conducted across PubMed, Google Scholar, and </w:t>
      </w:r>
      <w:hyperlink r:id="rId12">
        <w:r w:rsidR="00E46DF7">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These databases were last searched on December 8, 2025, focusing on original research articles published between 2020 and the search date. The search strategy involved using a combination of key terms and Boolean operators “AND” and “OR” (Alharbi &amp; Stevenson, 2020),  as well as Medical Subject Headings (MeSH) terms (for PubMed) (DeMars &amp; Perruso, 2022). The full search strategy is as shown in Supplement file 1. Appropriate database filters such as 2020-2025 (in both PubMed and Google Scholar), free full text, studies published in English, studies involving human participants (in PubMed) were applied to limit search results to peer-reviewed articles, published from 2020 to the search date.</w:t>
      </w:r>
    </w:p>
    <w:p w14:paraId="77F740F2"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Eligibility Criteria</w:t>
      </w:r>
    </w:p>
    <w:p w14:paraId="63838EFB"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capture the most relevant studies, clear inclusion criteria were established.  Publications written in English featuring patients with hemophilia A or B receiving EHL or SHL factor replacement therapies, report at least one of the pre-specified outcomes, and have a minimum follow-up period of six months. Studies without a comparator arm or lacking relevant clinical outcomes were excluded from the analysis.</w:t>
      </w:r>
    </w:p>
    <w:p w14:paraId="491111D1" w14:textId="77777777" w:rsidR="00E46DF7" w:rsidRDefault="00597711">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Search Yield and Study Selection</w:t>
      </w:r>
    </w:p>
    <w:p w14:paraId="2EE56893"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total, 841 records were identified from PubMed (n=324), Google Scholar (n=494), and </w:t>
      </w:r>
      <w:hyperlink r:id="rId13">
        <w:r w:rsidR="00E46DF7">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xml:space="preserve"> (n=23). Following application of appropriate database filters, 241 records were excluded leaving 600 that were subjected to title and abstract screening within the database and 566 did not meet the inclusion criteria. Then the selected studies (34) were downloaded into a reference manager (zotero) and duplicates (8) were removed. 26 reports were then assessed for eligibility, of which 20 articles were removed (3 were review articles, 4 were non-human studies, 5 did not compare EHL and SHL, and 8 focused on unrelated outcomes). Ultimately, six (6) studies met all eligibility criteria and were included in the final analysis, providing the data necessary to </w:t>
      </w:r>
      <w:r>
        <w:rPr>
          <w:rFonts w:ascii="Times New Roman" w:eastAsia="Times New Roman" w:hAnsi="Times New Roman" w:cs="Times New Roman"/>
          <w:sz w:val="24"/>
          <w:szCs w:val="24"/>
          <w:highlight w:val="white"/>
        </w:rPr>
        <w:lastRenderedPageBreak/>
        <w:t>assess the efficacy of EHL versus SHL therapies in hemophilia. The PRISMA flow diagram detailing on the selection process for this study is shown in Figure 1.</w:t>
      </w:r>
    </w:p>
    <w:p w14:paraId="31E9AD97"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noProof/>
          <w:sz w:val="32"/>
          <w:szCs w:val="32"/>
          <w:highlight w:val="white"/>
        </w:rPr>
        <w:drawing>
          <wp:inline distT="114300" distB="114300" distL="114300" distR="114300" wp14:anchorId="1FF70E39" wp14:editId="63E95BD3">
            <wp:extent cx="5943600" cy="4406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4069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Meta-Analysis (PRISMA) Flow Diagram</w:t>
      </w:r>
    </w:p>
    <w:p w14:paraId="6CB539B1"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8"/>
          <w:szCs w:val="28"/>
          <w:highlight w:val="white"/>
        </w:rPr>
        <w:t>Data Extraction</w:t>
      </w:r>
    </w:p>
    <w:p w14:paraId="7F733235"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focused on study design, patient characteristics (age, hemophilia type, inhibitor status), interventions (EHL vs SHL therapies), and outcome measures (ABR, AJBR, zero-bleed proportion, factor consumption, HRQoL, safety outcomes). For the meta-analysis, data were pooled using a random-effects model to account for anticipated heterogeneity. Continuous outcomes particularly ABR were pooled using mean differences.</w:t>
      </w:r>
    </w:p>
    <w:p w14:paraId="015A25A7" w14:textId="77777777" w:rsidR="00E46DF7" w:rsidRDefault="00597711">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Quality Assessment</w:t>
      </w:r>
    </w:p>
    <w:p w14:paraId="7A6317A9"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risk of bias in the included studies will be assessed using the appropriate tools: the ROBINS-I tool for non-randomised studies (Sterne et al., 2016). </w:t>
      </w:r>
    </w:p>
    <w:p w14:paraId="468F9DBD" w14:textId="77777777" w:rsidR="00E46DF7" w:rsidRDefault="00597711">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4" w:name="_heading=h.4p3uegxn2hsq" w:colFirst="0" w:colLast="0"/>
      <w:bookmarkEnd w:id="4"/>
      <w:r>
        <w:rPr>
          <w:rFonts w:ascii="Times New Roman" w:eastAsia="Times New Roman" w:hAnsi="Times New Roman" w:cs="Times New Roman"/>
          <w:b/>
          <w:bCs/>
          <w:color w:val="000000"/>
          <w:highlight w:val="white"/>
        </w:rPr>
        <w:t>Narrative Synthesis</w:t>
      </w:r>
    </w:p>
    <w:p w14:paraId="0EA33DE5"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narrative synthesis was conducted to summarize the findings from the included studies. This synthesis involved a detailed examination of all reported outcomes, including Annualized Bleeding Rate (ABR), Annualized Joint Bleeding Rate (AJBR), factor consumption, Health-Related Quality of Life (HRQoL), and safety outcomes. The goal of this narrative synthesis was to provide a comprehensive overview of the evidence, offering a more nuanced understanding of the broader impacts of Extended Half-Life (EHL) versus Standard Half-Life (SHL) therapies in patients with hemophilia. This approach allows for an exploration of different outcomes, and is particularly useful for identifying trends and variations across studies.</w:t>
      </w:r>
    </w:p>
    <w:p w14:paraId="278A32B0"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narrative synthesis included summary of the primary efficacy outcomes, such as ABR and AJBR, reported by each study as well as assessment of secondary outcomes, including factor consumption, HRQoL, and safety data, where available.</w:t>
      </w:r>
    </w:p>
    <w:p w14:paraId="7BC76220" w14:textId="77777777" w:rsidR="00E46DF7" w:rsidRDefault="00597711">
      <w:pPr>
        <w:spacing w:before="240" w:after="240" w:line="360" w:lineRule="auto"/>
        <w:jc w:val="both"/>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Statistical Analysis</w:t>
      </w:r>
    </w:p>
    <w:p w14:paraId="2B0C5DD0" w14:textId="77777777"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5" w:name="_heading=h.lmblahubypk4" w:colFirst="0" w:colLast="0"/>
      <w:bookmarkEnd w:id="5"/>
      <w:r>
        <w:rPr>
          <w:rFonts w:ascii="Times New Roman" w:eastAsia="Times New Roman" w:hAnsi="Times New Roman" w:cs="Times New Roman"/>
          <w:b/>
          <w:bCs/>
          <w:color w:val="000000"/>
          <w:highlight w:val="white"/>
        </w:rPr>
        <w:t>Data Harmonization and Treatment of Missing Data:</w:t>
      </w:r>
      <w:r>
        <w:rPr>
          <w:rFonts w:ascii="Times New Roman" w:eastAsia="Times New Roman" w:hAnsi="Times New Roman" w:cs="Times New Roman"/>
          <w:color w:val="000000"/>
          <w:highlight w:val="white"/>
        </w:rPr>
        <w:t xml:space="preserve"> For most of the included studies, mean (M) and standard deviation (SD) values for Annualized Bleeding Rate (ABR) were reported directly. However, in cases where these values were missing, we estimated the mean and SD using the following steps, as confidence intervals (CIs) and the number of participants (n) were provided:</w:t>
      </w:r>
    </w:p>
    <w:p w14:paraId="1477B587" w14:textId="77777777" w:rsidR="00E46DF7" w:rsidRDefault="00000000">
      <w:pPr>
        <w:numPr>
          <w:ilvl w:val="0"/>
          <w:numId w:val="2"/>
        </w:numPr>
        <w:spacing w:before="240" w:line="360" w:lineRule="auto"/>
        <w:rPr>
          <w:rFonts w:ascii="Times New Roman" w:eastAsia="Times New Roman" w:hAnsi="Times New Roman" w:cs="Times New Roman"/>
          <w:sz w:val="24"/>
          <w:szCs w:val="24"/>
          <w:highlight w:val="white"/>
        </w:rPr>
      </w:pPr>
      <w:sdt>
        <w:sdtPr>
          <w:tag w:val="goog_rdk_0"/>
          <w:id w:val="1977285892"/>
        </w:sdtPr>
        <w:sdtContent>
          <w:r w:rsidR="00597711">
            <w:rPr>
              <w:rFonts w:ascii="Gungsuh" w:eastAsia="Gungsuh" w:hAnsi="Gungsuh" w:cs="Gungsuh"/>
              <w:sz w:val="24"/>
              <w:szCs w:val="24"/>
              <w:highlight w:val="white"/>
            </w:rPr>
            <w:t>Step 1: The Margin of Error (ME) was calculated as half the difference between the upper and lower bounds of the confidence interval:</w:t>
          </w:r>
          <w:r w:rsidR="00597711">
            <w:rPr>
              <w:rFonts w:ascii="Gungsuh" w:eastAsia="Gungsuh" w:hAnsi="Gungsuh" w:cs="Gungsuh"/>
              <w:sz w:val="24"/>
              <w:szCs w:val="24"/>
              <w:highlight w:val="white"/>
            </w:rPr>
            <w:br/>
            <w:t xml:space="preserve"> ME=(Upper CI−Lower CI)/2</w:t>
          </w:r>
        </w:sdtContent>
      </w:sdt>
    </w:p>
    <w:p w14:paraId="4F7BC206" w14:textId="77777777" w:rsidR="00E46DF7" w:rsidRDefault="00000000">
      <w:pPr>
        <w:numPr>
          <w:ilvl w:val="0"/>
          <w:numId w:val="2"/>
        </w:numPr>
        <w:spacing w:line="360" w:lineRule="auto"/>
        <w:rPr>
          <w:rFonts w:ascii="Times New Roman" w:eastAsia="Times New Roman" w:hAnsi="Times New Roman" w:cs="Times New Roman"/>
          <w:sz w:val="24"/>
          <w:szCs w:val="24"/>
          <w:highlight w:val="white"/>
        </w:rPr>
      </w:pPr>
      <w:sdt>
        <w:sdtPr>
          <w:tag w:val="goog_rdk_1"/>
          <w:id w:val="1493414849"/>
        </w:sdtPr>
        <w:sdtContent>
          <w:r w:rsidR="00597711">
            <w:rPr>
              <w:rFonts w:ascii="Gungsuh" w:eastAsia="Gungsuh" w:hAnsi="Gungsuh" w:cs="Gungsuh"/>
              <w:sz w:val="24"/>
              <w:szCs w:val="24"/>
              <w:highlight w:val="white"/>
            </w:rPr>
            <w:t>Step 2: The critical value was determined based on the sample size:</w:t>
          </w:r>
          <w:r w:rsidR="00597711">
            <w:rPr>
              <w:rFonts w:ascii="Gungsuh" w:eastAsia="Gungsuh" w:hAnsi="Gungsuh" w:cs="Gungsuh"/>
              <w:sz w:val="24"/>
              <w:szCs w:val="24"/>
              <w:highlight w:val="white"/>
            </w:rPr>
            <w:br/>
            <w:t xml:space="preserve">For sample sizes ≥ 30, the Z-score of 1.96 (for a 90% confidence </w:t>
          </w:r>
          <w:r w:rsidR="00597711">
            <w:rPr>
              <w:rFonts w:ascii="Gungsuh" w:eastAsia="Gungsuh" w:hAnsi="Gungsuh" w:cs="Gungsuh"/>
              <w:sz w:val="24"/>
              <w:szCs w:val="24"/>
              <w:highlight w:val="white"/>
            </w:rPr>
            <w:lastRenderedPageBreak/>
            <w:t>interval) was used.</w:t>
          </w:r>
          <w:r w:rsidR="00597711">
            <w:rPr>
              <w:rFonts w:ascii="Gungsuh" w:eastAsia="Gungsuh" w:hAnsi="Gungsuh" w:cs="Gungsuh"/>
              <w:sz w:val="24"/>
              <w:szCs w:val="24"/>
              <w:highlight w:val="white"/>
            </w:rPr>
            <w:br/>
            <w:t>For sample sizes &lt; 30, the t-distribution was used to determine the critical value.</w:t>
          </w:r>
        </w:sdtContent>
      </w:sdt>
    </w:p>
    <w:p w14:paraId="59CF530B" w14:textId="77777777" w:rsidR="00E46DF7" w:rsidRDefault="00597711">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Step 3: The Standard Error (SE) was calculated using the formula:</w:t>
      </w:r>
      <w:r>
        <w:rPr>
          <w:rFonts w:ascii="Times New Roman" w:eastAsia="Times New Roman" w:hAnsi="Times New Roman" w:cs="Times New Roman"/>
          <w:sz w:val="24"/>
          <w:szCs w:val="24"/>
          <w:highlight w:val="white"/>
        </w:rPr>
        <w:br/>
        <w:t xml:space="preserve"> SE=ME​/Critical Value</w:t>
      </w:r>
    </w:p>
    <w:p w14:paraId="01B1B84C" w14:textId="77777777" w:rsidR="00E46DF7" w:rsidRDefault="00000000">
      <w:pPr>
        <w:numPr>
          <w:ilvl w:val="0"/>
          <w:numId w:val="2"/>
        </w:numPr>
        <w:spacing w:after="240" w:line="360" w:lineRule="auto"/>
        <w:rPr>
          <w:rFonts w:ascii="Times New Roman" w:eastAsia="Times New Roman" w:hAnsi="Times New Roman" w:cs="Times New Roman"/>
          <w:sz w:val="24"/>
          <w:szCs w:val="24"/>
          <w:highlight w:val="white"/>
        </w:rPr>
      </w:pPr>
      <w:sdt>
        <w:sdtPr>
          <w:tag w:val="goog_rdk_2"/>
          <w:id w:val="1431609168"/>
        </w:sdtPr>
        <w:sdtContent>
          <w:r w:rsidR="00597711">
            <w:rPr>
              <w:rFonts w:ascii="Gungsuh" w:eastAsia="Gungsuh" w:hAnsi="Gungsuh" w:cs="Gungsuh"/>
              <w:sz w:val="24"/>
              <w:szCs w:val="24"/>
              <w:highlight w:val="white"/>
            </w:rPr>
            <w:t>Step 4: The Standard Deviation (SD) was determined by multiplying SE by the square root of the sample size (nnn):</w:t>
          </w:r>
          <w:r w:rsidR="00597711">
            <w:rPr>
              <w:rFonts w:ascii="Gungsuh" w:eastAsia="Gungsuh" w:hAnsi="Gungsuh" w:cs="Gungsuh"/>
              <w:sz w:val="24"/>
              <w:szCs w:val="24"/>
              <w:highlight w:val="white"/>
            </w:rPr>
            <w:br/>
            <w:t xml:space="preserve"> SD=SE(√n)​</w:t>
          </w:r>
        </w:sdtContent>
      </w:sdt>
    </w:p>
    <w:p w14:paraId="19F7F349"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studies where SDs were not directly reported, this estimation process was followed to harmonize the data and ensure comparability across studies.</w:t>
      </w:r>
    </w:p>
    <w:p w14:paraId="583CE96C" w14:textId="77777777"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6" w:name="_heading=h.1wkkhheajg4w" w:colFirst="0" w:colLast="0"/>
      <w:bookmarkEnd w:id="6"/>
      <w:r>
        <w:rPr>
          <w:rFonts w:ascii="Times New Roman" w:eastAsia="Times New Roman" w:hAnsi="Times New Roman" w:cs="Times New Roman"/>
          <w:b/>
          <w:bCs/>
          <w:color w:val="000000"/>
          <w:highlight w:val="white"/>
        </w:rPr>
        <w:t>Statistical Models:</w:t>
      </w:r>
      <w:r>
        <w:rPr>
          <w:rFonts w:ascii="Times New Roman" w:eastAsia="Times New Roman" w:hAnsi="Times New Roman" w:cs="Times New Roman"/>
          <w:color w:val="000000"/>
          <w:highlight w:val="white"/>
        </w:rPr>
        <w:t xml:space="preserve"> To account for the heterogeneity across studies, both fixed-effect and random-effect models were used to pool the results. We compared the results of these models to assess whether they differed significantly. Given the expected variability across studies, the random-effects model was chosen as the primary model for the meta-analysis.</w:t>
      </w:r>
    </w:p>
    <w:p w14:paraId="33D3C407" w14:textId="77777777"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7" w:name="_heading=h.adjby3ppiqul" w:colFirst="0" w:colLast="0"/>
      <w:bookmarkEnd w:id="7"/>
      <w:r>
        <w:rPr>
          <w:rFonts w:ascii="Times New Roman" w:eastAsia="Times New Roman" w:hAnsi="Times New Roman" w:cs="Times New Roman"/>
          <w:b/>
          <w:bCs/>
          <w:color w:val="000000"/>
          <w:highlight w:val="white"/>
        </w:rPr>
        <w:t xml:space="preserve">Sensitivity Analysis: </w:t>
      </w:r>
      <w:r>
        <w:rPr>
          <w:rFonts w:ascii="Times New Roman" w:eastAsia="Times New Roman" w:hAnsi="Times New Roman" w:cs="Times New Roman"/>
          <w:color w:val="000000"/>
          <w:highlight w:val="white"/>
        </w:rPr>
        <w:t>To test the robustness of the finding Sensitivity analyses were conducted by excluding one study at a time in the analysis to observe the effect on the overall pooled estimate. This specific type of sensitivity analysis was conducted to assess whether the exclusion of any single study would significantly alter the pooled results.</w:t>
      </w:r>
    </w:p>
    <w:p w14:paraId="5E141AAE" w14:textId="77777777"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8" w:name="_heading=h.ay1rgt2qnksi" w:colFirst="0" w:colLast="0"/>
      <w:bookmarkEnd w:id="8"/>
      <w:r>
        <w:rPr>
          <w:rFonts w:ascii="Times New Roman" w:eastAsia="Times New Roman" w:hAnsi="Times New Roman" w:cs="Times New Roman"/>
          <w:b/>
          <w:bCs/>
          <w:color w:val="000000"/>
          <w:highlight w:val="white"/>
        </w:rPr>
        <w:t xml:space="preserve">Pooled Estimate: </w:t>
      </w:r>
      <w:r>
        <w:rPr>
          <w:rFonts w:ascii="Times New Roman" w:eastAsia="Times New Roman" w:hAnsi="Times New Roman" w:cs="Times New Roman"/>
          <w:color w:val="000000"/>
          <w:highlight w:val="white"/>
        </w:rPr>
        <w:t>The Standardized Mean Difference (SMD) was used as the primary statistical measure in this meta-analysis. The SMD standardizes the difference between the means of the EHL and SHL groups by dividing the mean difference by the pooled standard deviation (SD). This approach was selected because the ABR data from several studies were skewed, and SMD is a robust measure that can handle skewed distributions and given the substantial heterogeneity (I² = 58%) across the studies, SMD was selected as it accounts for variability between studies and allows comparisons on a standardized scale, regardless of the differences in measurement techniques or units used across the studies.</w:t>
      </w:r>
      <w:r>
        <w:rPr>
          <w:rFonts w:ascii="Times New Roman" w:eastAsia="Times New Roman" w:hAnsi="Times New Roman" w:cs="Times New Roman"/>
          <w:color w:val="000000"/>
          <w:highlight w:val="white"/>
        </w:rPr>
        <w:br/>
      </w:r>
    </w:p>
    <w:p w14:paraId="445072C2" w14:textId="77777777" w:rsidR="00E46DF7" w:rsidRDefault="00E46DF7">
      <w:pPr>
        <w:spacing w:line="360" w:lineRule="auto"/>
        <w:rPr>
          <w:rFonts w:ascii="Times New Roman" w:eastAsia="Times New Roman" w:hAnsi="Times New Roman" w:cs="Times New Roman"/>
          <w:highlight w:val="white"/>
        </w:rPr>
      </w:pPr>
    </w:p>
    <w:p w14:paraId="5D4F4561" w14:textId="77777777"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Result</w:t>
      </w:r>
    </w:p>
    <w:p w14:paraId="45259053"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Characteristics of Included Studies and Quality Assessment</w:t>
      </w:r>
    </w:p>
    <w:p w14:paraId="4D1EA42E"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included in this analysis employed various designs, such as retrospective cohorts, prospective cohorts, and randomized trials, to assess the efficacy of extended half-life (EHL) factor replacement therapies compared to standard half-life (SHL) therapies in patients with haemophilia. These studies were conducted across multiple countries, including Austria, China, Germany, Italy, and the UK, and involved a range of participants, predominantly male patients with severe haemophilia A or B, and no inhibitors. The patient cohorts ranged from 15 to 131 participants, and participants’ ages varied widely, with medians ranging from 20 to 40 years. The primary outcomes measured in these studies included annualized bleeding rate (ABR), infusion frequency, factor consumption, and adherence. Overall, EHL therapies consistently demonstrated a significant reduction in ABR and infusion frequency, while maintaining or even reducing factor consumption.</w:t>
      </w:r>
    </w:p>
    <w:p w14:paraId="2B8D655C"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quality, all the studies demonstrated a moderate to serious risk of bias, primarily due to confounding factors and participant selection. Studies such as Ay et al. (2021) and Wu et al. (2025) had serious confounding bias, as they did not adjust for potential confounders in their analyses. Additionally, biases in participant selection were common, with some studies including exclusions without proper mitigation measures. Measurement of outcomes and classification of interventions were largely accurate, with most studies showing low risk in these areas. Overall, while the studies demonstrated valuable clinical insights into EHL versus SHL therapies, they highlighted the need for cautious interpretation due to inherent risks.</w:t>
      </w:r>
    </w:p>
    <w:p w14:paraId="6A763C6E"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Table 1: </w:t>
      </w:r>
      <w:commentRangeStart w:id="9"/>
      <w:r>
        <w:rPr>
          <w:rFonts w:ascii="Times New Roman" w:eastAsia="Times New Roman" w:hAnsi="Times New Roman" w:cs="Times New Roman"/>
          <w:b/>
          <w:bCs/>
          <w:sz w:val="24"/>
          <w:szCs w:val="24"/>
          <w:highlight w:val="white"/>
        </w:rPr>
        <w:t>Study Characteristics</w:t>
      </w:r>
      <w:commentRangeEnd w:id="9"/>
      <w:r w:rsidR="00DD5651">
        <w:rPr>
          <w:rStyle w:val="CommentReference"/>
          <w:rFonts w:ascii="Times New Roman" w:eastAsia="Times New Roman" w:hAnsi="Times New Roman" w:cs="Times New Roman"/>
          <w:b/>
          <w:bCs/>
          <w:sz w:val="24"/>
          <w:szCs w:val="24"/>
          <w:highlight w:val="white"/>
        </w:rPr>
        <w:commentReference w:id="9"/>
      </w:r>
    </w:p>
    <w:sdt>
      <w:sdtPr>
        <w:tag w:val="goog_rdk_3"/>
        <w:id w:val="-826140634"/>
        <w:lock w:val="contentLocked"/>
      </w:sdtPr>
      <w:sdtContent>
        <w:tbl>
          <w:tblPr>
            <w:tblStyle w:val="a3"/>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15"/>
            <w:gridCol w:w="1050"/>
            <w:gridCol w:w="1335"/>
            <w:gridCol w:w="1035"/>
            <w:gridCol w:w="1035"/>
            <w:gridCol w:w="1035"/>
            <w:gridCol w:w="2040"/>
          </w:tblGrid>
          <w:tr w:rsidR="00E46DF7" w14:paraId="2DD2C806" w14:textId="77777777">
            <w:tc>
              <w:tcPr>
                <w:tcW w:w="840" w:type="dxa"/>
                <w:tcMar>
                  <w:top w:w="100" w:type="dxa"/>
                  <w:left w:w="100" w:type="dxa"/>
                  <w:bottom w:w="100" w:type="dxa"/>
                  <w:right w:w="100" w:type="dxa"/>
                </w:tcMar>
              </w:tcPr>
              <w:p w14:paraId="54F94923"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915" w:type="dxa"/>
                <w:tcMar>
                  <w:top w:w="100" w:type="dxa"/>
                  <w:left w:w="100" w:type="dxa"/>
                  <w:bottom w:w="100" w:type="dxa"/>
                  <w:right w:w="100" w:type="dxa"/>
                </w:tcMar>
              </w:tcPr>
              <w:p w14:paraId="7A77A33F"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w:t>
                </w:r>
              </w:p>
            </w:tc>
            <w:tc>
              <w:tcPr>
                <w:tcW w:w="1050" w:type="dxa"/>
                <w:tcMar>
                  <w:top w:w="100" w:type="dxa"/>
                  <w:left w:w="100" w:type="dxa"/>
                  <w:bottom w:w="100" w:type="dxa"/>
                  <w:right w:w="100" w:type="dxa"/>
                </w:tcMar>
              </w:tcPr>
              <w:p w14:paraId="5ABE986D"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335" w:type="dxa"/>
                <w:tcMar>
                  <w:top w:w="100" w:type="dxa"/>
                  <w:left w:w="100" w:type="dxa"/>
                  <w:bottom w:w="100" w:type="dxa"/>
                  <w:right w:w="100" w:type="dxa"/>
                </w:tcMar>
              </w:tcPr>
              <w:p w14:paraId="5CEA8734"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Participants</w:t>
                </w:r>
              </w:p>
            </w:tc>
            <w:tc>
              <w:tcPr>
                <w:tcW w:w="1035" w:type="dxa"/>
                <w:tcMar>
                  <w:top w:w="100" w:type="dxa"/>
                  <w:left w:w="100" w:type="dxa"/>
                  <w:bottom w:w="100" w:type="dxa"/>
                  <w:right w:w="100" w:type="dxa"/>
                </w:tcMar>
              </w:tcPr>
              <w:p w14:paraId="2C51CE87"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Type of Hemophilia &amp; Inhibitor Status</w:t>
                </w:r>
              </w:p>
            </w:tc>
            <w:tc>
              <w:tcPr>
                <w:tcW w:w="1035" w:type="dxa"/>
                <w:tcMar>
                  <w:top w:w="100" w:type="dxa"/>
                  <w:left w:w="100" w:type="dxa"/>
                  <w:bottom w:w="100" w:type="dxa"/>
                  <w:right w:w="100" w:type="dxa"/>
                </w:tcMar>
              </w:tcPr>
              <w:p w14:paraId="596CD574"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Interventions </w:t>
                </w:r>
              </w:p>
            </w:tc>
            <w:tc>
              <w:tcPr>
                <w:tcW w:w="1035" w:type="dxa"/>
                <w:tcMar>
                  <w:top w:w="100" w:type="dxa"/>
                  <w:left w:w="100" w:type="dxa"/>
                  <w:bottom w:w="100" w:type="dxa"/>
                  <w:right w:w="100" w:type="dxa"/>
                </w:tcMar>
              </w:tcPr>
              <w:p w14:paraId="3F4596C3"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Comparators </w:t>
                </w:r>
              </w:p>
            </w:tc>
            <w:tc>
              <w:tcPr>
                <w:tcW w:w="2040" w:type="dxa"/>
                <w:tcMar>
                  <w:top w:w="100" w:type="dxa"/>
                  <w:left w:w="100" w:type="dxa"/>
                  <w:bottom w:w="100" w:type="dxa"/>
                  <w:right w:w="100" w:type="dxa"/>
                </w:tcMar>
              </w:tcPr>
              <w:p w14:paraId="6BB58596"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Main Findings/Conclusion</w:t>
                </w:r>
              </w:p>
            </w:tc>
          </w:tr>
          <w:tr w:rsidR="00E46DF7" w14:paraId="0F57F6AD" w14:textId="77777777">
            <w:tc>
              <w:tcPr>
                <w:tcW w:w="840" w:type="dxa"/>
                <w:tcMar>
                  <w:top w:w="100" w:type="dxa"/>
                  <w:left w:w="100" w:type="dxa"/>
                  <w:bottom w:w="100" w:type="dxa"/>
                  <w:right w:w="100" w:type="dxa"/>
                </w:tcMar>
              </w:tcPr>
              <w:p w14:paraId="0A5063D4" w14:textId="77777777"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Ay et al. (2021) </w:t>
                </w:r>
              </w:p>
            </w:tc>
            <w:tc>
              <w:tcPr>
                <w:tcW w:w="915" w:type="dxa"/>
                <w:tcMar>
                  <w:top w:w="100" w:type="dxa"/>
                  <w:left w:w="100" w:type="dxa"/>
                  <w:bottom w:w="100" w:type="dxa"/>
                  <w:right w:w="100" w:type="dxa"/>
                </w:tcMar>
              </w:tcPr>
              <w:p w14:paraId="491260BB"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050" w:type="dxa"/>
                <w:tcMar>
                  <w:top w:w="100" w:type="dxa"/>
                  <w:left w:w="100" w:type="dxa"/>
                  <w:bottom w:w="100" w:type="dxa"/>
                  <w:right w:w="100" w:type="dxa"/>
                </w:tcMar>
              </w:tcPr>
              <w:p w14:paraId="6115BFEC"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multi-centre Cohort </w:t>
                </w:r>
              </w:p>
            </w:tc>
            <w:tc>
              <w:tcPr>
                <w:tcW w:w="1335" w:type="dxa"/>
                <w:tcMar>
                  <w:top w:w="100" w:type="dxa"/>
                  <w:left w:w="100" w:type="dxa"/>
                  <w:bottom w:w="100" w:type="dxa"/>
                  <w:right w:w="100" w:type="dxa"/>
                </w:tcMar>
              </w:tcPr>
              <w:p w14:paraId="1A70A058"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patients (all males), median age 32.5 years, IQR: 25.3–42.6</w:t>
                </w:r>
              </w:p>
            </w:tc>
            <w:tc>
              <w:tcPr>
                <w:tcW w:w="1035" w:type="dxa"/>
                <w:tcMar>
                  <w:top w:w="100" w:type="dxa"/>
                  <w:left w:w="100" w:type="dxa"/>
                  <w:bottom w:w="100" w:type="dxa"/>
                  <w:right w:w="100" w:type="dxa"/>
                </w:tcMar>
              </w:tcPr>
              <w:p w14:paraId="6DC4211D"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14:paraId="18374AE0"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14:paraId="1C40383D"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infusion frequency, factor consumption</w:t>
                </w:r>
              </w:p>
            </w:tc>
            <w:tc>
              <w:tcPr>
                <w:tcW w:w="2040" w:type="dxa"/>
                <w:tcMar>
                  <w:top w:w="100" w:type="dxa"/>
                  <w:left w:w="100" w:type="dxa"/>
                  <w:bottom w:w="100" w:type="dxa"/>
                  <w:right w:w="100" w:type="dxa"/>
                </w:tcMar>
              </w:tcPr>
              <w:p w14:paraId="66BA2CDD"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without significantly increasing factor consumption.</w:t>
                </w:r>
              </w:p>
            </w:tc>
          </w:tr>
          <w:tr w:rsidR="00E46DF7" w14:paraId="56D0D765" w14:textId="77777777">
            <w:tc>
              <w:tcPr>
                <w:tcW w:w="840" w:type="dxa"/>
                <w:tcMar>
                  <w:top w:w="100" w:type="dxa"/>
                  <w:left w:w="100" w:type="dxa"/>
                  <w:bottom w:w="100" w:type="dxa"/>
                  <w:right w:w="100" w:type="dxa"/>
                </w:tcMar>
              </w:tcPr>
              <w:p w14:paraId="3C9EFCE6" w14:textId="77777777"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915" w:type="dxa"/>
                <w:tcMar>
                  <w:top w:w="100" w:type="dxa"/>
                  <w:left w:w="100" w:type="dxa"/>
                  <w:bottom w:w="100" w:type="dxa"/>
                  <w:right w:w="100" w:type="dxa"/>
                </w:tcMar>
              </w:tcPr>
              <w:p w14:paraId="3A58EA48"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China</w:t>
                </w:r>
              </w:p>
            </w:tc>
            <w:tc>
              <w:tcPr>
                <w:tcW w:w="1050" w:type="dxa"/>
                <w:tcMar>
                  <w:top w:w="100" w:type="dxa"/>
                  <w:left w:w="100" w:type="dxa"/>
                  <w:bottom w:w="100" w:type="dxa"/>
                  <w:right w:w="100" w:type="dxa"/>
                </w:tcMar>
              </w:tcPr>
              <w:p w14:paraId="0020A720"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Phase 3b Multicenter Trial</w:t>
                </w:r>
              </w:p>
            </w:tc>
            <w:tc>
              <w:tcPr>
                <w:tcW w:w="1335" w:type="dxa"/>
                <w:tcMar>
                  <w:top w:w="100" w:type="dxa"/>
                  <w:left w:w="100" w:type="dxa"/>
                  <w:bottom w:w="100" w:type="dxa"/>
                  <w:right w:w="100" w:type="dxa"/>
                </w:tcMar>
              </w:tcPr>
              <w:p w14:paraId="7FB8175D"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patients (all male, adolescents, 23 adults), mean age 37 ± 10.5 years)</w:t>
                </w:r>
              </w:p>
            </w:tc>
            <w:tc>
              <w:tcPr>
                <w:tcW w:w="1035" w:type="dxa"/>
                <w:tcMar>
                  <w:top w:w="100" w:type="dxa"/>
                  <w:left w:w="100" w:type="dxa"/>
                  <w:bottom w:w="100" w:type="dxa"/>
                  <w:right w:w="100" w:type="dxa"/>
                </w:tcMar>
              </w:tcPr>
              <w:p w14:paraId="54655973"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14:paraId="4F257302"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(EHL) vs SHL FVIII</w:t>
                </w:r>
              </w:p>
            </w:tc>
            <w:tc>
              <w:tcPr>
                <w:tcW w:w="1035" w:type="dxa"/>
                <w:tcMar>
                  <w:top w:w="100" w:type="dxa"/>
                  <w:left w:w="100" w:type="dxa"/>
                  <w:bottom w:w="100" w:type="dxa"/>
                  <w:right w:w="100" w:type="dxa"/>
                </w:tcMar>
              </w:tcPr>
              <w:p w14:paraId="6AB9F295"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bleeding treatment efficacy, factor consumption</w:t>
                </w:r>
              </w:p>
            </w:tc>
            <w:tc>
              <w:tcPr>
                <w:tcW w:w="2040" w:type="dxa"/>
                <w:tcMar>
                  <w:top w:w="100" w:type="dxa"/>
                  <w:left w:w="100" w:type="dxa"/>
                  <w:bottom w:w="100" w:type="dxa"/>
                  <w:right w:w="100" w:type="dxa"/>
                </w:tcMar>
              </w:tcPr>
              <w:p w14:paraId="7A9C3CAE"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reduced ABR and bleeding events, requiring fewer injections and less factor consumption compared to SHL.</w:t>
                </w:r>
              </w:p>
            </w:tc>
          </w:tr>
          <w:tr w:rsidR="00E46DF7" w14:paraId="5CF4C46F" w14:textId="77777777">
            <w:tc>
              <w:tcPr>
                <w:tcW w:w="840" w:type="dxa"/>
                <w:tcMar>
                  <w:top w:w="100" w:type="dxa"/>
                  <w:left w:w="100" w:type="dxa"/>
                  <w:bottom w:w="100" w:type="dxa"/>
                  <w:right w:w="100" w:type="dxa"/>
                </w:tcMar>
              </w:tcPr>
              <w:p w14:paraId="24E42505" w14:textId="77777777"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(2025a) </w:t>
                </w:r>
              </w:p>
            </w:tc>
            <w:tc>
              <w:tcPr>
                <w:tcW w:w="915" w:type="dxa"/>
                <w:tcMar>
                  <w:top w:w="100" w:type="dxa"/>
                  <w:left w:w="100" w:type="dxa"/>
                  <w:bottom w:w="100" w:type="dxa"/>
                  <w:right w:w="100" w:type="dxa"/>
                </w:tcMar>
              </w:tcPr>
              <w:p w14:paraId="5F6CF6CC"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Multiple European sites</w:t>
                </w:r>
              </w:p>
            </w:tc>
            <w:tc>
              <w:tcPr>
                <w:tcW w:w="1050" w:type="dxa"/>
                <w:tcMar>
                  <w:top w:w="100" w:type="dxa"/>
                  <w:left w:w="100" w:type="dxa"/>
                  <w:bottom w:w="100" w:type="dxa"/>
                  <w:right w:w="100" w:type="dxa"/>
                </w:tcMar>
              </w:tcPr>
              <w:p w14:paraId="7244E2F9"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Prospective Cohort</w:t>
                </w:r>
              </w:p>
            </w:tc>
            <w:tc>
              <w:tcPr>
                <w:tcW w:w="1335" w:type="dxa"/>
                <w:tcMar>
                  <w:top w:w="100" w:type="dxa"/>
                  <w:left w:w="100" w:type="dxa"/>
                  <w:bottom w:w="100" w:type="dxa"/>
                  <w:right w:w="100" w:type="dxa"/>
                </w:tcMar>
              </w:tcPr>
              <w:p w14:paraId="57C455C1"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 patients (all male), median age 20 years, IQR: 11.0–35.0)</w:t>
                </w:r>
              </w:p>
            </w:tc>
            <w:tc>
              <w:tcPr>
                <w:tcW w:w="1035" w:type="dxa"/>
                <w:tcMar>
                  <w:top w:w="100" w:type="dxa"/>
                  <w:left w:w="100" w:type="dxa"/>
                  <w:bottom w:w="100" w:type="dxa"/>
                  <w:right w:w="100" w:type="dxa"/>
                </w:tcMar>
              </w:tcPr>
              <w:p w14:paraId="221AAB27"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14:paraId="7424A911"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14:paraId="3D76F054"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injection frequency, factor consumption</w:t>
                </w:r>
              </w:p>
            </w:tc>
            <w:tc>
              <w:tcPr>
                <w:tcW w:w="2040" w:type="dxa"/>
                <w:tcMar>
                  <w:top w:w="100" w:type="dxa"/>
                  <w:left w:w="100" w:type="dxa"/>
                  <w:bottom w:w="100" w:type="dxa"/>
                  <w:right w:w="100" w:type="dxa"/>
                </w:tcMar>
              </w:tcPr>
              <w:p w14:paraId="16EEA9CC"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Switching to rFVIIIFc significantly reduced ABR and injection frequency, and factor consumption was maintained.</w:t>
                </w:r>
              </w:p>
            </w:tc>
          </w:tr>
          <w:tr w:rsidR="00E46DF7" w14:paraId="55073FEF" w14:textId="77777777">
            <w:tc>
              <w:tcPr>
                <w:tcW w:w="840" w:type="dxa"/>
                <w:tcMar>
                  <w:top w:w="100" w:type="dxa"/>
                  <w:left w:w="100" w:type="dxa"/>
                  <w:bottom w:w="100" w:type="dxa"/>
                  <w:right w:w="100" w:type="dxa"/>
                </w:tcMar>
              </w:tcPr>
              <w:p w14:paraId="3520C18C" w14:textId="77777777"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Goldmann et al. (2021) </w:t>
                </w:r>
              </w:p>
            </w:tc>
            <w:tc>
              <w:tcPr>
                <w:tcW w:w="915" w:type="dxa"/>
                <w:tcMar>
                  <w:top w:w="100" w:type="dxa"/>
                  <w:left w:w="100" w:type="dxa"/>
                  <w:bottom w:w="100" w:type="dxa"/>
                  <w:right w:w="100" w:type="dxa"/>
                </w:tcMar>
              </w:tcPr>
              <w:p w14:paraId="44ADEEED"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Germany</w:t>
                </w:r>
              </w:p>
            </w:tc>
            <w:tc>
              <w:tcPr>
                <w:tcW w:w="1050" w:type="dxa"/>
                <w:tcMar>
                  <w:top w:w="100" w:type="dxa"/>
                  <w:left w:w="100" w:type="dxa"/>
                  <w:bottom w:w="100" w:type="dxa"/>
                  <w:right w:w="100" w:type="dxa"/>
                </w:tcMar>
              </w:tcPr>
              <w:p w14:paraId="5FB3D67C"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Cohort </w:t>
                </w:r>
              </w:p>
            </w:tc>
            <w:tc>
              <w:tcPr>
                <w:tcW w:w="1335" w:type="dxa"/>
                <w:tcMar>
                  <w:top w:w="100" w:type="dxa"/>
                  <w:left w:w="100" w:type="dxa"/>
                  <w:bottom w:w="100" w:type="dxa"/>
                  <w:right w:w="100" w:type="dxa"/>
                </w:tcMar>
              </w:tcPr>
              <w:p w14:paraId="11382B77"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 patients (all male), mean age 37 ± 10.1 years</w:t>
                </w:r>
              </w:p>
            </w:tc>
            <w:tc>
              <w:tcPr>
                <w:tcW w:w="1035" w:type="dxa"/>
                <w:tcMar>
                  <w:top w:w="100" w:type="dxa"/>
                  <w:left w:w="100" w:type="dxa"/>
                  <w:bottom w:w="100" w:type="dxa"/>
                  <w:right w:w="100" w:type="dxa"/>
                </w:tcMar>
              </w:tcPr>
              <w:p w14:paraId="32E83498"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14:paraId="1136862F"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14:paraId="73C6802E"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adherence</w:t>
                </w:r>
              </w:p>
            </w:tc>
            <w:tc>
              <w:tcPr>
                <w:tcW w:w="2040" w:type="dxa"/>
                <w:tcMar>
                  <w:top w:w="100" w:type="dxa"/>
                  <w:left w:w="100" w:type="dxa"/>
                  <w:bottom w:w="100" w:type="dxa"/>
                  <w:right w:w="100" w:type="dxa"/>
                </w:tcMar>
              </w:tcPr>
              <w:p w14:paraId="21304D03"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 improved adherence and lower factor consumption compared to SHL.</w:t>
                </w:r>
              </w:p>
            </w:tc>
          </w:tr>
          <w:tr w:rsidR="00E46DF7" w14:paraId="5A4B2D3D" w14:textId="77777777">
            <w:tc>
              <w:tcPr>
                <w:tcW w:w="840" w:type="dxa"/>
                <w:tcMar>
                  <w:top w:w="100" w:type="dxa"/>
                  <w:left w:w="100" w:type="dxa"/>
                  <w:bottom w:w="100" w:type="dxa"/>
                  <w:right w:w="100" w:type="dxa"/>
                </w:tcMar>
              </w:tcPr>
              <w:p w14:paraId="122C977B" w14:textId="77777777"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Coppola et al. (2024) </w:t>
                </w:r>
              </w:p>
            </w:tc>
            <w:tc>
              <w:tcPr>
                <w:tcW w:w="915" w:type="dxa"/>
                <w:tcMar>
                  <w:top w:w="100" w:type="dxa"/>
                  <w:left w:w="100" w:type="dxa"/>
                  <w:bottom w:w="100" w:type="dxa"/>
                  <w:right w:w="100" w:type="dxa"/>
                </w:tcMar>
              </w:tcPr>
              <w:p w14:paraId="53BC137D"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Italy</w:t>
                </w:r>
              </w:p>
            </w:tc>
            <w:tc>
              <w:tcPr>
                <w:tcW w:w="1050" w:type="dxa"/>
                <w:tcMar>
                  <w:top w:w="100" w:type="dxa"/>
                  <w:left w:w="100" w:type="dxa"/>
                  <w:bottom w:w="100" w:type="dxa"/>
                  <w:right w:w="100" w:type="dxa"/>
                </w:tcMar>
              </w:tcPr>
              <w:p w14:paraId="71447906"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Retrospective-Prospective Cohort</w:t>
                </w:r>
              </w:p>
            </w:tc>
            <w:tc>
              <w:tcPr>
                <w:tcW w:w="1335" w:type="dxa"/>
                <w:tcMar>
                  <w:top w:w="100" w:type="dxa"/>
                  <w:left w:w="100" w:type="dxa"/>
                  <w:bottom w:w="100" w:type="dxa"/>
                  <w:right w:w="100" w:type="dxa"/>
                </w:tcMar>
              </w:tcPr>
              <w:p w14:paraId="6AE3DA7B"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patients (all male), mean age 40.0 ± 12.6 years</w:t>
                </w:r>
              </w:p>
            </w:tc>
            <w:tc>
              <w:tcPr>
                <w:tcW w:w="1035" w:type="dxa"/>
                <w:tcMar>
                  <w:top w:w="100" w:type="dxa"/>
                  <w:left w:w="100" w:type="dxa"/>
                  <w:bottom w:w="100" w:type="dxa"/>
                  <w:right w:w="100" w:type="dxa"/>
                </w:tcMar>
              </w:tcPr>
              <w:p w14:paraId="424191E7"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p w14:paraId="68871013" w14:textId="77777777" w:rsidR="00E46DF7" w:rsidRDefault="00E46DF7">
                <w:pPr>
                  <w:spacing w:before="240" w:after="240" w:line="360" w:lineRule="auto"/>
                  <w:rPr>
                    <w:rFonts w:ascii="Times New Roman" w:eastAsia="Times New Roman" w:hAnsi="Times New Roman" w:cs="Times New Roman"/>
                    <w:sz w:val="24"/>
                    <w:szCs w:val="24"/>
                    <w:highlight w:val="white"/>
                  </w:rPr>
                </w:pPr>
              </w:p>
            </w:tc>
            <w:tc>
              <w:tcPr>
                <w:tcW w:w="1035" w:type="dxa"/>
                <w:tcMar>
                  <w:top w:w="100" w:type="dxa"/>
                  <w:left w:w="100" w:type="dxa"/>
                  <w:bottom w:w="100" w:type="dxa"/>
                  <w:right w:w="100" w:type="dxa"/>
                </w:tcMar>
              </w:tcPr>
              <w:p w14:paraId="20809BD8"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rIX-FP (EHL) vs SHL FIX</w:t>
                </w:r>
              </w:p>
            </w:tc>
            <w:tc>
              <w:tcPr>
                <w:tcW w:w="1035" w:type="dxa"/>
                <w:tcMar>
                  <w:top w:w="100" w:type="dxa"/>
                  <w:left w:w="100" w:type="dxa"/>
                  <w:bottom w:w="100" w:type="dxa"/>
                  <w:right w:w="100" w:type="dxa"/>
                </w:tcMar>
              </w:tcPr>
              <w:p w14:paraId="00E77960"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joint health, adherence, FIX consumption</w:t>
                </w:r>
              </w:p>
            </w:tc>
            <w:tc>
              <w:tcPr>
                <w:tcW w:w="2040" w:type="dxa"/>
                <w:tcMar>
                  <w:top w:w="100" w:type="dxa"/>
                  <w:left w:w="100" w:type="dxa"/>
                  <w:bottom w:w="100" w:type="dxa"/>
                  <w:right w:w="100" w:type="dxa"/>
                </w:tcMar>
              </w:tcPr>
              <w:p w14:paraId="4B280B6D"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rIX-FP therapy reduced bleeding episodes and the frequency of infusions by about 60%, leading to better patient adherence and improved joint health.</w:t>
                </w:r>
              </w:p>
            </w:tc>
          </w:tr>
          <w:tr w:rsidR="00E46DF7" w14:paraId="7CFF10D2" w14:textId="77777777">
            <w:tc>
              <w:tcPr>
                <w:tcW w:w="840" w:type="dxa"/>
                <w:tcMar>
                  <w:top w:w="100" w:type="dxa"/>
                  <w:left w:w="100" w:type="dxa"/>
                  <w:bottom w:w="100" w:type="dxa"/>
                  <w:right w:w="100" w:type="dxa"/>
                </w:tcMar>
              </w:tcPr>
              <w:p w14:paraId="11135DE5" w14:textId="77777777"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915" w:type="dxa"/>
                <w:tcMar>
                  <w:top w:w="100" w:type="dxa"/>
                  <w:left w:w="100" w:type="dxa"/>
                  <w:bottom w:w="100" w:type="dxa"/>
                  <w:right w:w="100" w:type="dxa"/>
                </w:tcMar>
              </w:tcPr>
              <w:p w14:paraId="2F05E0C6"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Denmark, Germany, UK</w:t>
                </w:r>
              </w:p>
            </w:tc>
            <w:tc>
              <w:tcPr>
                <w:tcW w:w="1050" w:type="dxa"/>
                <w:tcMar>
                  <w:top w:w="100" w:type="dxa"/>
                  <w:left w:w="100" w:type="dxa"/>
                  <w:bottom w:w="100" w:type="dxa"/>
                  <w:right w:w="100" w:type="dxa"/>
                </w:tcMar>
              </w:tcPr>
              <w:p w14:paraId="0F8CE9D1"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Multicenter, Retrospective</w:t>
                </w:r>
              </w:p>
            </w:tc>
            <w:tc>
              <w:tcPr>
                <w:tcW w:w="1335" w:type="dxa"/>
                <w:tcMar>
                  <w:top w:w="100" w:type="dxa"/>
                  <w:left w:w="100" w:type="dxa"/>
                  <w:bottom w:w="100" w:type="dxa"/>
                  <w:right w:w="100" w:type="dxa"/>
                </w:tcMar>
              </w:tcPr>
              <w:p w14:paraId="2BF2C142"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patients (all male), mean age 33.5 ± 15.2 years</w:t>
                </w:r>
              </w:p>
            </w:tc>
            <w:tc>
              <w:tcPr>
                <w:tcW w:w="1035" w:type="dxa"/>
                <w:tcMar>
                  <w:top w:w="100" w:type="dxa"/>
                  <w:left w:w="100" w:type="dxa"/>
                  <w:bottom w:w="100" w:type="dxa"/>
                  <w:right w:w="100" w:type="dxa"/>
                </w:tcMar>
              </w:tcPr>
              <w:p w14:paraId="1AECBBA6"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tc>
            <w:tc>
              <w:tcPr>
                <w:tcW w:w="1035" w:type="dxa"/>
                <w:tcMar>
                  <w:top w:w="100" w:type="dxa"/>
                  <w:left w:w="100" w:type="dxa"/>
                  <w:bottom w:w="100" w:type="dxa"/>
                  <w:right w:w="100" w:type="dxa"/>
                </w:tcMar>
              </w:tcPr>
              <w:p w14:paraId="06E78B67"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rFIXFc (EHL) vs SHL FIX</w:t>
                </w:r>
              </w:p>
            </w:tc>
            <w:tc>
              <w:tcPr>
                <w:tcW w:w="1035" w:type="dxa"/>
                <w:tcMar>
                  <w:top w:w="100" w:type="dxa"/>
                  <w:left w:w="100" w:type="dxa"/>
                  <w:bottom w:w="100" w:type="dxa"/>
                  <w:right w:w="100" w:type="dxa"/>
                </w:tcMar>
              </w:tcPr>
              <w:p w14:paraId="7BDB9574"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injection frequency</w:t>
                </w:r>
              </w:p>
            </w:tc>
            <w:tc>
              <w:tcPr>
                <w:tcW w:w="2040" w:type="dxa"/>
                <w:tcMar>
                  <w:top w:w="100" w:type="dxa"/>
                  <w:left w:w="100" w:type="dxa"/>
                  <w:bottom w:w="100" w:type="dxa"/>
                  <w:right w:w="100" w:type="dxa"/>
                </w:tcMar>
              </w:tcPr>
              <w:p w14:paraId="32017555" w14:textId="77777777"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rFIXFc therapy significantly reduced bleeding rates, factor consumption, and injection frequency, improving quality of life and </w:t>
                </w:r>
                <w:r>
                  <w:rPr>
                    <w:rFonts w:ascii="Times New Roman" w:eastAsia="Times New Roman" w:hAnsi="Times New Roman" w:cs="Times New Roman"/>
                    <w:sz w:val="24"/>
                    <w:szCs w:val="24"/>
                    <w:highlight w:val="white"/>
                  </w:rPr>
                  <w:lastRenderedPageBreak/>
                  <w:t>reducing treatment burden for patients switching from SHL FIX.</w:t>
                </w:r>
              </w:p>
            </w:tc>
          </w:tr>
        </w:tbl>
      </w:sdtContent>
    </w:sdt>
    <w:p w14:paraId="60354B69" w14:textId="77777777" w:rsidR="00E46DF7" w:rsidRDefault="00597711">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lastRenderedPageBreak/>
        <w:t>[ABR: Annualized Bleeding Rate; EHL: Extended Half-Life; SHL: Standard Half-Life; rFVIII-Fc: Recombinant Factor VIII Fc fusion protein; N8-GP: Recombinant Factor VIII (turoctocog alfa); rFVIIIFc: Recombinant Factor VIIIFc; AJBR: Annualized Joint Bleeding Rate; FIX: Factor IX; rIX-FP: Recombinant Factor IX Fc fusion protein; rFIXFc: Recombinant Factor IX Fc fusion protein]</w:t>
      </w:r>
    </w:p>
    <w:p w14:paraId="779AF68C" w14:textId="77777777" w:rsidR="00E46DF7" w:rsidRDefault="00597711">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0" w:name="_heading=h.5li0njer8o54" w:colFirst="0" w:colLast="0"/>
      <w:bookmarkEnd w:id="10"/>
      <w:r>
        <w:rPr>
          <w:rFonts w:ascii="Times New Roman" w:eastAsia="Times New Roman" w:hAnsi="Times New Roman" w:cs="Times New Roman"/>
          <w:b/>
          <w:bCs/>
          <w:color w:val="000000"/>
          <w:highlight w:val="white"/>
        </w:rPr>
        <w:t>Narrative Synthesis</w:t>
      </w:r>
    </w:p>
    <w:p w14:paraId="0EF15F49" w14:textId="77777777" w:rsidR="00E46DF7" w:rsidRDefault="00E46DF7">
      <w:pPr>
        <w:spacing w:line="360" w:lineRule="auto"/>
        <w:rPr>
          <w:rFonts w:ascii="Times New Roman" w:eastAsia="Times New Roman" w:hAnsi="Times New Roman" w:cs="Times New Roman"/>
          <w:highlight w:val="white"/>
        </w:rPr>
      </w:pPr>
    </w:p>
    <w:p w14:paraId="5CE121E6" w14:textId="77777777" w:rsidR="00E46DF7" w:rsidRDefault="00597711">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section, we synthesize findings from the included studies regarding the impact of EHL therapies on key clinical outcomes, including annualized bleeding rate (ABR), injection frequency and factor consumption, joint bleeding rates and long-term joint health, patient adherence, quality of life, and safety profiles.</w:t>
      </w:r>
    </w:p>
    <w:p w14:paraId="43DE5F1A" w14:textId="77777777"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1" w:name="_heading=h.x8p2gnt3vae" w:colFirst="0" w:colLast="0"/>
      <w:bookmarkEnd w:id="11"/>
      <w:r>
        <w:rPr>
          <w:rFonts w:ascii="Times New Roman" w:eastAsia="Times New Roman" w:hAnsi="Times New Roman" w:cs="Times New Roman"/>
          <w:b/>
          <w:bCs/>
          <w:color w:val="000000"/>
          <w:sz w:val="26"/>
          <w:szCs w:val="26"/>
          <w:highlight w:val="white"/>
        </w:rPr>
        <w:t>Impact of Extended Half-Life Therapies on Annualized Bleeding Rate (ABR)</w:t>
      </w:r>
    </w:p>
    <w:p w14:paraId="44F34D86"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significant theme emerging across all studies is the reduction in Annualized Bleeding Rate (ABR) following the switch from SHL to EHL therapies as shown in Table 2. For instance, Ay et al. (2021) observed a median decrease in ABR from 6.4 to 2.3 after switching to EHL treatment (rFVIII-Fc), emphasizing its efficacy in reducing bleeding episodes. Similarly, Wu et al. (2025) reported a decrease in ABR from 11.0 to 2.55 in their cohort, demonstrating substantial improvement in bleeding control with EHL therapy. These findings align with Oldenburg et al. (2025a), where the mean ABR reduced from 3.7 to 1.8 upon transitioning to rFVIIIFc. Similarly in Funding et al. (2023), the ABR decreased from 3.3 to 1.5 following switching from SHL FIX therapy to rFIXFc prophylaxis. These findings align with the general trend observed in multiple studies, highlighting that EHL products provide superior prophylactic protection against bleeds. The decreased bleeding episodes, especially spontaneous bleeds, are directly linked to the longer half-life and more stable trough levels associated with EHL therapies. This enhanced pharmacokinetic profile ensures higher factor levels for extended periods, reducing the risk of breakthrough bleeding and its associated complications.</w:t>
      </w:r>
    </w:p>
    <w:p w14:paraId="44F1E8CB"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Table 2: Outcome measure (bleeding outcome during prophylaxis): annualized bleeding rate (ABR) Reported as the rate of bleeding events per year in each group</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46DF7" w14:paraId="4785688B" w14:textId="77777777">
        <w:tc>
          <w:tcPr>
            <w:tcW w:w="2340" w:type="dxa"/>
            <w:tcMar>
              <w:top w:w="100" w:type="dxa"/>
              <w:left w:w="100" w:type="dxa"/>
              <w:bottom w:w="100" w:type="dxa"/>
              <w:right w:w="100" w:type="dxa"/>
            </w:tcMar>
          </w:tcPr>
          <w:p w14:paraId="0F7C88CB"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2340" w:type="dxa"/>
            <w:tcMar>
              <w:top w:w="100" w:type="dxa"/>
              <w:left w:w="100" w:type="dxa"/>
              <w:bottom w:w="100" w:type="dxa"/>
              <w:right w:w="100" w:type="dxa"/>
            </w:tcMar>
          </w:tcPr>
          <w:p w14:paraId="37988D71"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participants examined</w:t>
            </w:r>
          </w:p>
        </w:tc>
        <w:tc>
          <w:tcPr>
            <w:tcW w:w="2340" w:type="dxa"/>
            <w:tcMar>
              <w:top w:w="100" w:type="dxa"/>
              <w:left w:w="100" w:type="dxa"/>
              <w:bottom w:w="100" w:type="dxa"/>
              <w:right w:w="100" w:type="dxa"/>
            </w:tcMar>
          </w:tcPr>
          <w:p w14:paraId="7276FCA4"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EHL</w:t>
            </w:r>
          </w:p>
        </w:tc>
        <w:tc>
          <w:tcPr>
            <w:tcW w:w="2340" w:type="dxa"/>
            <w:tcMar>
              <w:top w:w="100" w:type="dxa"/>
              <w:left w:w="100" w:type="dxa"/>
              <w:bottom w:w="100" w:type="dxa"/>
              <w:right w:w="100" w:type="dxa"/>
            </w:tcMar>
          </w:tcPr>
          <w:p w14:paraId="59C7228D" w14:textId="77777777"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SHL</w:t>
            </w:r>
          </w:p>
        </w:tc>
      </w:tr>
      <w:tr w:rsidR="00E46DF7" w14:paraId="66FF687D" w14:textId="77777777">
        <w:tc>
          <w:tcPr>
            <w:tcW w:w="2340" w:type="dxa"/>
            <w:tcMar>
              <w:top w:w="100" w:type="dxa"/>
              <w:left w:w="100" w:type="dxa"/>
              <w:bottom w:w="100" w:type="dxa"/>
              <w:right w:w="100" w:type="dxa"/>
            </w:tcMar>
          </w:tcPr>
          <w:p w14:paraId="640876DC"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Ay et al. (2021) </w:t>
            </w:r>
          </w:p>
        </w:tc>
        <w:tc>
          <w:tcPr>
            <w:tcW w:w="2340" w:type="dxa"/>
            <w:tcMar>
              <w:top w:w="100" w:type="dxa"/>
              <w:left w:w="100" w:type="dxa"/>
              <w:bottom w:w="100" w:type="dxa"/>
              <w:right w:w="100" w:type="dxa"/>
            </w:tcMar>
          </w:tcPr>
          <w:p w14:paraId="33C4B203"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2340" w:type="dxa"/>
            <w:tcMar>
              <w:top w:w="100" w:type="dxa"/>
              <w:left w:w="100" w:type="dxa"/>
              <w:bottom w:w="100" w:type="dxa"/>
              <w:right w:w="100" w:type="dxa"/>
            </w:tcMar>
          </w:tcPr>
          <w:p w14:paraId="1BEDD9A2"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 (6.2)</w:t>
            </w:r>
          </w:p>
        </w:tc>
        <w:tc>
          <w:tcPr>
            <w:tcW w:w="2340" w:type="dxa"/>
            <w:tcMar>
              <w:top w:w="100" w:type="dxa"/>
              <w:left w:w="100" w:type="dxa"/>
              <w:bottom w:w="100" w:type="dxa"/>
              <w:right w:w="100" w:type="dxa"/>
            </w:tcMar>
          </w:tcPr>
          <w:p w14:paraId="0EC2ECB4"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6.4 (12.2)</w:t>
            </w:r>
          </w:p>
        </w:tc>
      </w:tr>
      <w:tr w:rsidR="00E46DF7" w14:paraId="03B7C400" w14:textId="77777777">
        <w:tc>
          <w:tcPr>
            <w:tcW w:w="2340" w:type="dxa"/>
            <w:tcMar>
              <w:top w:w="100" w:type="dxa"/>
              <w:left w:w="100" w:type="dxa"/>
              <w:bottom w:w="100" w:type="dxa"/>
              <w:right w:w="100" w:type="dxa"/>
            </w:tcMar>
          </w:tcPr>
          <w:p w14:paraId="6F587EF7"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2340" w:type="dxa"/>
            <w:tcMar>
              <w:top w:w="100" w:type="dxa"/>
              <w:left w:w="100" w:type="dxa"/>
              <w:bottom w:w="100" w:type="dxa"/>
              <w:right w:w="100" w:type="dxa"/>
            </w:tcMar>
          </w:tcPr>
          <w:p w14:paraId="310BB7BA"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w:t>
            </w:r>
          </w:p>
        </w:tc>
        <w:tc>
          <w:tcPr>
            <w:tcW w:w="2340" w:type="dxa"/>
            <w:tcMar>
              <w:top w:w="100" w:type="dxa"/>
              <w:left w:w="100" w:type="dxa"/>
              <w:bottom w:w="100" w:type="dxa"/>
              <w:right w:w="100" w:type="dxa"/>
            </w:tcMar>
          </w:tcPr>
          <w:p w14:paraId="299426ED"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2.55 (6.11)</w:t>
            </w:r>
          </w:p>
        </w:tc>
        <w:tc>
          <w:tcPr>
            <w:tcW w:w="2340" w:type="dxa"/>
            <w:tcMar>
              <w:top w:w="100" w:type="dxa"/>
              <w:left w:w="100" w:type="dxa"/>
              <w:bottom w:w="100" w:type="dxa"/>
              <w:right w:w="100" w:type="dxa"/>
            </w:tcMar>
          </w:tcPr>
          <w:p w14:paraId="33A60919"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11.0 (11.1) </w:t>
            </w:r>
          </w:p>
        </w:tc>
      </w:tr>
      <w:tr w:rsidR="00E46DF7" w14:paraId="3DBF4ADC" w14:textId="77777777">
        <w:tc>
          <w:tcPr>
            <w:tcW w:w="2340" w:type="dxa"/>
            <w:tcMar>
              <w:top w:w="100" w:type="dxa"/>
              <w:left w:w="100" w:type="dxa"/>
              <w:bottom w:w="100" w:type="dxa"/>
              <w:right w:w="100" w:type="dxa"/>
            </w:tcMar>
          </w:tcPr>
          <w:p w14:paraId="3BE6E527"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(2025a) </w:t>
            </w:r>
          </w:p>
        </w:tc>
        <w:tc>
          <w:tcPr>
            <w:tcW w:w="2340" w:type="dxa"/>
            <w:tcMar>
              <w:top w:w="100" w:type="dxa"/>
              <w:left w:w="100" w:type="dxa"/>
              <w:bottom w:w="100" w:type="dxa"/>
              <w:right w:w="100" w:type="dxa"/>
            </w:tcMar>
          </w:tcPr>
          <w:p w14:paraId="23F1E901"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2340" w:type="dxa"/>
            <w:tcMar>
              <w:top w:w="100" w:type="dxa"/>
              <w:left w:w="100" w:type="dxa"/>
              <w:bottom w:w="100" w:type="dxa"/>
              <w:right w:w="100" w:type="dxa"/>
            </w:tcMar>
          </w:tcPr>
          <w:p w14:paraId="12848B0E"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(6.42)</w:t>
            </w:r>
          </w:p>
        </w:tc>
        <w:tc>
          <w:tcPr>
            <w:tcW w:w="2340" w:type="dxa"/>
            <w:tcMar>
              <w:top w:w="100" w:type="dxa"/>
              <w:left w:w="100" w:type="dxa"/>
              <w:bottom w:w="100" w:type="dxa"/>
              <w:right w:w="100" w:type="dxa"/>
            </w:tcMar>
          </w:tcPr>
          <w:p w14:paraId="01D75AB4"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 (8.7)</w:t>
            </w:r>
          </w:p>
        </w:tc>
      </w:tr>
      <w:tr w:rsidR="00E46DF7" w14:paraId="4A38A0A6" w14:textId="77777777">
        <w:tc>
          <w:tcPr>
            <w:tcW w:w="2340" w:type="dxa"/>
            <w:tcMar>
              <w:top w:w="100" w:type="dxa"/>
              <w:left w:w="100" w:type="dxa"/>
              <w:bottom w:w="100" w:type="dxa"/>
              <w:right w:w="100" w:type="dxa"/>
            </w:tcMar>
          </w:tcPr>
          <w:p w14:paraId="6EA7BEDA"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Goldmann et al. (2021) </w:t>
            </w:r>
          </w:p>
        </w:tc>
        <w:tc>
          <w:tcPr>
            <w:tcW w:w="2340" w:type="dxa"/>
            <w:tcMar>
              <w:top w:w="100" w:type="dxa"/>
              <w:left w:w="100" w:type="dxa"/>
              <w:bottom w:w="100" w:type="dxa"/>
              <w:right w:w="100" w:type="dxa"/>
            </w:tcMar>
          </w:tcPr>
          <w:p w14:paraId="34519560"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c>
          <w:tcPr>
            <w:tcW w:w="2340" w:type="dxa"/>
            <w:tcMar>
              <w:top w:w="100" w:type="dxa"/>
              <w:left w:w="100" w:type="dxa"/>
              <w:bottom w:w="100" w:type="dxa"/>
              <w:right w:w="100" w:type="dxa"/>
            </w:tcMar>
          </w:tcPr>
          <w:p w14:paraId="38DC582C"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(3.7)</w:t>
            </w:r>
          </w:p>
        </w:tc>
        <w:tc>
          <w:tcPr>
            <w:tcW w:w="2340" w:type="dxa"/>
            <w:tcMar>
              <w:top w:w="100" w:type="dxa"/>
              <w:left w:w="100" w:type="dxa"/>
              <w:bottom w:w="100" w:type="dxa"/>
              <w:right w:w="100" w:type="dxa"/>
            </w:tcMar>
          </w:tcPr>
          <w:p w14:paraId="782F50B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(3.1)</w:t>
            </w:r>
          </w:p>
        </w:tc>
      </w:tr>
      <w:tr w:rsidR="00E46DF7" w14:paraId="60150542" w14:textId="77777777">
        <w:tc>
          <w:tcPr>
            <w:tcW w:w="2340" w:type="dxa"/>
            <w:tcMar>
              <w:top w:w="100" w:type="dxa"/>
              <w:left w:w="100" w:type="dxa"/>
              <w:bottom w:w="100" w:type="dxa"/>
              <w:right w:w="100" w:type="dxa"/>
            </w:tcMar>
          </w:tcPr>
          <w:p w14:paraId="7977D93E" w14:textId="77777777"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Coppola et al. (2024)</w:t>
            </w:r>
          </w:p>
        </w:tc>
        <w:tc>
          <w:tcPr>
            <w:tcW w:w="2340" w:type="dxa"/>
            <w:tcMar>
              <w:top w:w="100" w:type="dxa"/>
              <w:left w:w="100" w:type="dxa"/>
              <w:bottom w:w="100" w:type="dxa"/>
              <w:right w:w="100" w:type="dxa"/>
            </w:tcMar>
          </w:tcPr>
          <w:p w14:paraId="05D610AB"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340" w:type="dxa"/>
            <w:tcMar>
              <w:top w:w="100" w:type="dxa"/>
              <w:left w:w="100" w:type="dxa"/>
              <w:bottom w:w="100" w:type="dxa"/>
              <w:right w:w="100" w:type="dxa"/>
            </w:tcMar>
          </w:tcPr>
          <w:p w14:paraId="004A2E64"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 (0.7)</w:t>
            </w:r>
          </w:p>
        </w:tc>
        <w:tc>
          <w:tcPr>
            <w:tcW w:w="2340" w:type="dxa"/>
            <w:tcMar>
              <w:top w:w="100" w:type="dxa"/>
              <w:left w:w="100" w:type="dxa"/>
              <w:bottom w:w="100" w:type="dxa"/>
              <w:right w:w="100" w:type="dxa"/>
            </w:tcMar>
          </w:tcPr>
          <w:p w14:paraId="38E263A2"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0.4 (0.4)</w:t>
            </w:r>
          </w:p>
        </w:tc>
      </w:tr>
      <w:tr w:rsidR="00E46DF7" w14:paraId="3FF41BBB" w14:textId="77777777">
        <w:tc>
          <w:tcPr>
            <w:tcW w:w="2340" w:type="dxa"/>
            <w:tcMar>
              <w:top w:w="100" w:type="dxa"/>
              <w:left w:w="100" w:type="dxa"/>
              <w:bottom w:w="100" w:type="dxa"/>
              <w:right w:w="100" w:type="dxa"/>
            </w:tcMar>
          </w:tcPr>
          <w:p w14:paraId="2177A12D" w14:textId="77777777"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2340" w:type="dxa"/>
            <w:tcMar>
              <w:top w:w="100" w:type="dxa"/>
              <w:left w:w="100" w:type="dxa"/>
              <w:bottom w:w="100" w:type="dxa"/>
              <w:right w:w="100" w:type="dxa"/>
            </w:tcMar>
          </w:tcPr>
          <w:p w14:paraId="056EF9EB"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2340" w:type="dxa"/>
            <w:tcMar>
              <w:top w:w="100" w:type="dxa"/>
              <w:left w:w="100" w:type="dxa"/>
              <w:bottom w:w="100" w:type="dxa"/>
              <w:right w:w="100" w:type="dxa"/>
            </w:tcMar>
          </w:tcPr>
          <w:p w14:paraId="0D765330"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(1.4)</w:t>
            </w:r>
          </w:p>
        </w:tc>
        <w:tc>
          <w:tcPr>
            <w:tcW w:w="2340" w:type="dxa"/>
            <w:tcMar>
              <w:top w:w="100" w:type="dxa"/>
              <w:left w:w="100" w:type="dxa"/>
              <w:bottom w:w="100" w:type="dxa"/>
              <w:right w:w="100" w:type="dxa"/>
            </w:tcMar>
          </w:tcPr>
          <w:p w14:paraId="0F620F5D" w14:textId="77777777"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 (4.3)</w:t>
            </w:r>
          </w:p>
        </w:tc>
      </w:tr>
    </w:tbl>
    <w:p w14:paraId="12D8B093" w14:textId="77777777" w:rsidR="00E46DF7" w:rsidRDefault="00E46DF7">
      <w:pPr>
        <w:spacing w:line="360" w:lineRule="auto"/>
        <w:rPr>
          <w:rFonts w:ascii="Times New Roman" w:eastAsia="Times New Roman" w:hAnsi="Times New Roman" w:cs="Times New Roman"/>
          <w:sz w:val="18"/>
          <w:szCs w:val="18"/>
          <w:highlight w:val="white"/>
        </w:rPr>
      </w:pPr>
    </w:p>
    <w:p w14:paraId="1DFAB080" w14:textId="77777777" w:rsidR="00E46DF7" w:rsidRDefault="00E46DF7">
      <w:pPr>
        <w:spacing w:line="360" w:lineRule="auto"/>
        <w:rPr>
          <w:rFonts w:ascii="Times New Roman" w:eastAsia="Times New Roman" w:hAnsi="Times New Roman" w:cs="Times New Roman"/>
          <w:sz w:val="18"/>
          <w:szCs w:val="18"/>
          <w:highlight w:val="white"/>
        </w:rPr>
      </w:pPr>
    </w:p>
    <w:p w14:paraId="3551E1B6" w14:textId="77777777"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2" w:name="_heading=h.f2qyd4jfgbjp" w:colFirst="0" w:colLast="0"/>
      <w:bookmarkEnd w:id="12"/>
      <w:r>
        <w:rPr>
          <w:rFonts w:ascii="Times New Roman" w:eastAsia="Times New Roman" w:hAnsi="Times New Roman" w:cs="Times New Roman"/>
          <w:b/>
          <w:bCs/>
          <w:color w:val="000000"/>
          <w:sz w:val="26"/>
          <w:szCs w:val="26"/>
          <w:highlight w:val="white"/>
        </w:rPr>
        <w:t>Comparison of Injection Frequency and Factor Consumption Between SHL and EHL Therapies</w:t>
      </w:r>
    </w:p>
    <w:p w14:paraId="214CDA56"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switch from SHL to EHL therapies is also associated with significant reductions in both injection frequency and factor consumption. A study by Goldmann et al. (2021) observed that the mean number of weekly injections decreased from 3.5 to 2.0 following the introduction of rFVIII-</w:t>
      </w:r>
      <w:r>
        <w:rPr>
          <w:rFonts w:ascii="Times New Roman" w:eastAsia="Times New Roman" w:hAnsi="Times New Roman" w:cs="Times New Roman"/>
          <w:sz w:val="24"/>
          <w:szCs w:val="24"/>
          <w:highlight w:val="white"/>
        </w:rPr>
        <w:lastRenderedPageBreak/>
        <w:t>Fc, with a corresponding reduction in factor consumption. Ay et al. (2021) noted a decrease in the median number of infusions per week from 3.0 to 2.0 after transitioning to EHL and Wu et al. (2025) observed that EHL reduced the weekly infusion frequency from 3.1 to 2.3. Similarly, in the study by Funding et al. (2023), the weekly injection frequency was reduced by 1.0 injection per week after switching to rFIXFc, with a mean reduction in factor consumption by 27.7 IU/kg/week. These findings underscore the practical advantage of EHL therapies, as patients experience fewer infusions and a more manageable treatment regimen, without significantly increasing the total amount of factor consumed.</w:t>
      </w:r>
    </w:p>
    <w:p w14:paraId="1C60D934"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reductions in injection frequency are a major improvement in patient convenience and adherence, as regular infusions are one of the major burdens of standard hemophilia treatment regimens. The decrease in factor consumption, despite the longer dosing intervals, reflects the improved pharmacokinetic properties of EHL products, which allow for sustained therapeutic levels of the clotting factor with fewer doses (Goldmann et al., 2021; Coppola et al., 2024).</w:t>
      </w:r>
    </w:p>
    <w:p w14:paraId="4A797010" w14:textId="77777777"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3" w:name="_heading=h.6s0u0quomhkg" w:colFirst="0" w:colLast="0"/>
      <w:bookmarkEnd w:id="13"/>
      <w:r>
        <w:rPr>
          <w:rFonts w:ascii="Times New Roman" w:eastAsia="Times New Roman" w:hAnsi="Times New Roman" w:cs="Times New Roman"/>
          <w:b/>
          <w:bCs/>
          <w:color w:val="000000"/>
          <w:sz w:val="26"/>
          <w:szCs w:val="26"/>
          <w:highlight w:val="white"/>
        </w:rPr>
        <w:t>Joint Bleeding Rates and Long-Term Joint Health Outcomes</w:t>
      </w:r>
    </w:p>
    <w:p w14:paraId="2FCCFD4A"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joint bleeding rate (AjBR) is another important outcome where EHL therapies demonstrate an advantage over SHL therapies. In a study by Oldenburg et al. (2025a), the joint bleeding rate decreased from 2.4 to 1.1 after the switch to rFVIIIFc, reflecting improved joint health. This reduction is particularly significant as joint bleeds can lead to long-term joint damage and hemophilic arthropathy, which severely impacts patients' quality of life. A similar improvement was noted in Funding et al. (2023), where target joints—joints frequently affected by bleeding—were resolved in 83.3% of patients switching to rFIXFc. Wu et al. (2025) also reported a decrease in joint bleeding episodes with EHL prophylaxis as compared to SHL. These findings suggest that EHL therapies do not only reduce overall bleeding events but also contribute to better long-term joint health, a critical factor for patients with hemophilia who are at risk of debilitating joint damage. The ability to control joint bleeds more effectively with EHL is thus an important consideration in therapy choice, especially for younger patients or those with existing joint damage.  </w:t>
      </w:r>
    </w:p>
    <w:p w14:paraId="661DD3CD" w14:textId="77777777" w:rsidR="00E46DF7" w:rsidRDefault="00597711">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Adherence and Patient Quality of Life: EHL vs. SHL</w:t>
      </w:r>
    </w:p>
    <w:p w14:paraId="21534A19"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impact of EHL therapies on patient adherence is another significant theme. Studies report that the reduction in infusion frequency leads to improved treatment adherence and quality of life. Goldmann et al. (2021) found that the switch to rFVIIIFc resulted in better treatment adherence, with patients more likely to stick to their prophylactic regimens due to the decreased burden of frequent infusions. Similarly, Wu et al. (2025) reported higher adherence rates following the switch to EHL (N8-GP), as it allowed for fewer infusions while maintaining effective bleeding control. These benefits align with findings from Ay et al. (2021), where patients on EHL reported improvements in quality of life as a result of the fewer infusions and better bleeding control. Moreover, Funding et al. (2023) noted a reduction in the overall cost of treatment due to the decreased number of required infusions, further enhancing the attractiveness of EHL therapies from both a clinical and economic perspective. By improving patient adherence and reducing the psychological and physical burden of frequent infusions, EHL therapies contribute to a better overall treatment experience. </w:t>
      </w:r>
    </w:p>
    <w:p w14:paraId="134E66C5" w14:textId="77777777" w:rsidR="00E46DF7" w:rsidRDefault="00597711">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Safety Profiles and Risk of Inhibitor Development in EHL vs. SHL Treatments</w:t>
      </w:r>
    </w:p>
    <w:p w14:paraId="41C94432"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safety, all studies reported favorable safety profiles for EHL therapies, with no significant increase in adverse events compared to SHL therapies. Specifically, there were no reports of inhibitor development in patients who switched from SHL to EHL therapies. This suggests that the long-term use of EHL products does not carry an elevated risk of inhibitor formation, which is a major concern in hemophilia treatment.</w:t>
      </w:r>
    </w:p>
    <w:p w14:paraId="614A0795"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safety of EHL products is crucial, as inhibitors to clotting factors can complicate treatment, leading to resistance and the need for alternative therapies. The consistent safety outcomes reported across all studies strengthen the case for EHL therapies as a viable long-term treatment option for hemophilia patients.</w:t>
      </w:r>
    </w:p>
    <w:p w14:paraId="7011BBAA" w14:textId="77777777" w:rsidR="00E46DF7" w:rsidRDefault="00E46DF7">
      <w:pPr>
        <w:spacing w:before="240" w:after="240" w:line="360" w:lineRule="auto"/>
        <w:jc w:val="both"/>
        <w:rPr>
          <w:rFonts w:ascii="Times New Roman" w:eastAsia="Times New Roman" w:hAnsi="Times New Roman" w:cs="Times New Roman"/>
          <w:sz w:val="24"/>
          <w:szCs w:val="24"/>
          <w:highlight w:val="white"/>
        </w:rPr>
      </w:pPr>
    </w:p>
    <w:p w14:paraId="73594F1B"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Meta-analysis findings</w:t>
      </w:r>
    </w:p>
    <w:p w14:paraId="443CC3CE"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the quantitative synthesis of studies comparing extended half-life (EHL) and standard half-life (SHL) therapies in patients with hemophilia, the pooled standard mean difference (SMD) in </w:t>
      </w:r>
      <w:r>
        <w:rPr>
          <w:rFonts w:ascii="Times New Roman" w:eastAsia="Times New Roman" w:hAnsi="Times New Roman" w:cs="Times New Roman"/>
          <w:sz w:val="24"/>
          <w:szCs w:val="24"/>
          <w:highlight w:val="white"/>
        </w:rPr>
        <w:lastRenderedPageBreak/>
        <w:t>annualized bleeding rate (ABR) was -0.37 (95% CI: -0.69, -0.05), indicating a reduction in bleeding episodes among individuals treated with EHL compared to SHL. The overall effect was statistically significant (Z = 2.24, P = 0.02). However, considerable heterogeneity was observed across the studies (Chi² = 12.00, df = 5, P = 0.03; I² = 58%), suggesting variability in treatment effects likely due to differences in study design and patient characteristics. Despite this, the consistent direction of the effect across studies strengthens the robustness of the pooled estimate. The forest plot summarizing individual study results and the pooled effect is presented in Figure 2.</w:t>
      </w:r>
    </w:p>
    <w:p w14:paraId="6A309F8F"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A74938F" wp14:editId="354D89A0">
            <wp:extent cx="5943600" cy="14605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1460500"/>
                    </a:xfrm>
                    <a:prstGeom prst="rect">
                      <a:avLst/>
                    </a:prstGeom>
                    <a:ln/>
                  </pic:spPr>
                </pic:pic>
              </a:graphicData>
            </a:graphic>
          </wp:inline>
        </w:drawing>
      </w:r>
      <w:r>
        <w:rPr>
          <w:rFonts w:ascii="Times New Roman" w:eastAsia="Times New Roman" w:hAnsi="Times New Roman" w:cs="Times New Roman"/>
          <w:b/>
          <w:bCs/>
          <w:sz w:val="24"/>
          <w:szCs w:val="24"/>
          <w:highlight w:val="white"/>
        </w:rPr>
        <w:t xml:space="preserve">Figure 2: Forest plot of the comparison between EHL and SHL therapies, showing the effect sizes (SMD) for ABR </w:t>
      </w:r>
    </w:p>
    <w:p w14:paraId="6666161A" w14:textId="77777777" w:rsidR="00E46DF7" w:rsidRDefault="00597711">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t>[Data source: Ay et al. (2021), Wu et al. (2025), Oldenburg et al. (2025a), Goldmann et al. (2021), Funding et al. (2023), Coppola et al. (2024)]</w:t>
      </w:r>
    </w:p>
    <w:p w14:paraId="756AC586" w14:textId="77777777" w:rsidR="00E46DF7" w:rsidRDefault="00E46DF7">
      <w:pPr>
        <w:spacing w:before="240" w:after="240" w:line="360" w:lineRule="auto"/>
        <w:jc w:val="both"/>
        <w:rPr>
          <w:rFonts w:ascii="Times New Roman" w:eastAsia="Times New Roman" w:hAnsi="Times New Roman" w:cs="Times New Roman"/>
          <w:b/>
          <w:bCs/>
          <w:i/>
          <w:iCs/>
          <w:sz w:val="20"/>
          <w:szCs w:val="20"/>
          <w:highlight w:val="white"/>
        </w:rPr>
      </w:pPr>
    </w:p>
    <w:p w14:paraId="1C289CF8" w14:textId="77777777"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Publication Bias</w:t>
      </w:r>
    </w:p>
    <w:p w14:paraId="5D1A9029"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Assessment of publication bias was conducted using a funnel plot of the studies included in the meta-analysis (Figure 3). The plot displayed several points, each corresponding to an individual study. The distribution of these points appeared relatively symmetric around the pooled standard mean difference (SMD), suggesting no substantial publication bias.  Studies with larger sample sizes, represented by smaller standard errors (SE), cluster near the center of the plot, while studies with smaller sample sizes are more spread out. This pattern indicates that the results of smaller studies are unlikely to systematically differ from larger ones. However, due to the moderate number of studies included, the visual symmetry should be interpreted with caution, as funnel plots are less powerful in detecting asymmetry with fewer than ten studies (Lau et al., 2006). Overall, </w:t>
      </w:r>
      <w:r>
        <w:rPr>
          <w:rFonts w:ascii="Times New Roman" w:eastAsia="Times New Roman" w:hAnsi="Times New Roman" w:cs="Times New Roman"/>
          <w:sz w:val="24"/>
          <w:szCs w:val="24"/>
          <w:highlight w:val="white"/>
        </w:rPr>
        <w:lastRenderedPageBreak/>
        <w:t>the funnel plot did not provide evidence of systematic bias that could substantially affect the validity of the pooled mean difference.</w:t>
      </w:r>
    </w:p>
    <w:p w14:paraId="5F196C54" w14:textId="77777777"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AA58D32" wp14:editId="3C26C1B5">
            <wp:extent cx="5715000" cy="3810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15000" cy="3810000"/>
                    </a:xfrm>
                    <a:prstGeom prst="rect">
                      <a:avLst/>
                    </a:prstGeom>
                    <a:ln/>
                  </pic:spPr>
                </pic:pic>
              </a:graphicData>
            </a:graphic>
          </wp:inline>
        </w:drawing>
      </w:r>
      <w:r>
        <w:rPr>
          <w:rFonts w:ascii="Times New Roman" w:eastAsia="Times New Roman" w:hAnsi="Times New Roman" w:cs="Times New Roman"/>
          <w:b/>
          <w:bCs/>
          <w:sz w:val="24"/>
          <w:szCs w:val="24"/>
          <w:highlight w:val="white"/>
        </w:rPr>
        <w:t>Figure 3: Funnel plot for assessing publication bias in the meta-analysis using effect sizes (SMD) for ABR</w:t>
      </w:r>
    </w:p>
    <w:p w14:paraId="6D5DC0E2" w14:textId="77777777" w:rsidR="00E46DF7" w:rsidRDefault="00597711">
      <w:pPr>
        <w:spacing w:before="240" w:after="240" w:line="360" w:lineRule="auto"/>
        <w:jc w:val="both"/>
        <w:rPr>
          <w:rFonts w:ascii="Times New Roman" w:eastAsia="Times New Roman" w:hAnsi="Times New Roman" w:cs="Times New Roman"/>
          <w:b/>
          <w:bCs/>
          <w:sz w:val="16"/>
          <w:szCs w:val="16"/>
          <w:highlight w:val="white"/>
        </w:rPr>
      </w:pPr>
      <w:r>
        <w:rPr>
          <w:rFonts w:ascii="Times New Roman" w:eastAsia="Times New Roman" w:hAnsi="Times New Roman" w:cs="Times New Roman"/>
          <w:b/>
          <w:bCs/>
          <w:i/>
          <w:iCs/>
          <w:sz w:val="16"/>
          <w:szCs w:val="16"/>
          <w:highlight w:val="white"/>
        </w:rPr>
        <w:t>[Data source: Ay et al. (2021) [14], Wu et al. (2025) [15], Oldenburg et al. (2025) [16], Goldmann et al. (2021) [17], Funding et al. (2023) [19], Coppola et al. (2024) [18]]</w:t>
      </w:r>
    </w:p>
    <w:p w14:paraId="40BD8D4C" w14:textId="77777777" w:rsidR="00E46DF7" w:rsidRDefault="00E46DF7">
      <w:pPr>
        <w:spacing w:before="240" w:after="240" w:line="360" w:lineRule="auto"/>
        <w:jc w:val="both"/>
        <w:rPr>
          <w:rFonts w:ascii="Times New Roman" w:eastAsia="Times New Roman" w:hAnsi="Times New Roman" w:cs="Times New Roman"/>
          <w:b/>
          <w:bCs/>
          <w:i/>
          <w:iCs/>
          <w:sz w:val="24"/>
          <w:szCs w:val="24"/>
          <w:highlight w:val="white"/>
        </w:rPr>
      </w:pPr>
    </w:p>
    <w:p w14:paraId="42E2655D" w14:textId="77777777" w:rsidR="00E46DF7" w:rsidRDefault="00597711">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14:paraId="025788F1"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of this review point toward a pattern in which extended half-life (EHL) factor replacement therapies tend to be associated with lower annualized bleeding rates (ABR) and a reduced treatment burden compared to standard half-life (SHL) therapies, as suggested by a pooled standard mean difference of –0.37 (95% CI: –0.69, –0.05) in our meta‑analysis.  The findings of this study are consistent with literature supporting the clinical benefits of EHL products in hemophilia management, particularly in terms of reducing bleeding events and minimizing the </w:t>
      </w:r>
      <w:r>
        <w:rPr>
          <w:rFonts w:ascii="Times New Roman" w:eastAsia="Times New Roman" w:hAnsi="Times New Roman" w:cs="Times New Roman"/>
          <w:sz w:val="24"/>
          <w:szCs w:val="24"/>
          <w:highlight w:val="white"/>
        </w:rPr>
        <w:lastRenderedPageBreak/>
        <w:t xml:space="preserve">treatment burden on patients (Abdelgawad et al., 2024; Klamroth et al., 2025). Notably, the lower annualized joint bleeding rates (AJBR) observed with EHL therapies is crucial, as joint damage from recurrent bleeding remains a leading cause of long-term disability in haemophilia (Boccalandro et al., 2023; Chiari et al., 2024; Gooding et al., 2021). This reinforces the argument for incorporating EHL therapies as a standard of care for individuals with severe haemophilia. </w:t>
      </w:r>
    </w:p>
    <w:p w14:paraId="732D251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Abdelgawad et al. (2024) noted that novel EHL factor VIII products were associated with lower median ABRs and fewer required infusions compared to older therapies, although the authors highlighted the need for more controlled evidence to confirm these benefits unequivocally.</w:t>
      </w:r>
      <w:hyperlink r:id="rId17">
        <w:r w:rsidR="00E46DF7">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A recent meta‑analysis comparing efanesoctocog alfa with both SHL and EHL products suggested lower bleed rates with extended dosing intervals, but also underscored variability in study populations and designs across the literature (Klamroth et al., 2025). Other real‑world observational studies and retrospective studies similarly point toward improved bleed control and extended dosing potential with EHL products in everyday practice, while noting challenges in direct comparability with SHL regimes (Sun et al., 2021; Zanon et al., 2025; Oldenburg et al., 2025b).</w:t>
      </w:r>
    </w:p>
    <w:p w14:paraId="25F4F59F"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From a public health perspective, the findings are significant, given the high global burden of hemophilia and the potential for improving patient outcomes through more efficient treatment strategies (El-Sayed &amp; Bolous, 2025; Jiménez-Yuste et al., 2024). Access to EHL therapies, however, remains a challenge in low-resource settings, where SHL treatments are still more widely used due to cost constraints. As such, policy advocacy and global health interventions are needed to address these disparities, ensuring that EHL therapies are available to those who could benefit most, especially in settings where regular infusions are less feasible (Berger et al., 2025). </w:t>
      </w:r>
    </w:p>
    <w:p w14:paraId="417F8E8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strengths of this study lie in its comprehensive synthesis of the latest research, there are limitations. All studies reviewed carried a serious risk of confounding, and two exhibited serious participant‑selection bias, which can distort the representativeness of outcomes and limit generalizability. These biases may particularly affect comparisons of ABR and infusion frequency, since baseline characteristics such as prior bleed history and concurrent interventions can influence both treatment choice and outcomes. Additionally, the moderate between</w:t>
      </w:r>
      <w:commentRangeStart w:id="14"/>
      <w:r>
        <w:rPr>
          <w:rFonts w:ascii="Times New Roman" w:eastAsia="Times New Roman" w:hAnsi="Times New Roman" w:cs="Times New Roman"/>
          <w:sz w:val="24"/>
          <w:szCs w:val="24"/>
          <w:highlight w:val="white"/>
        </w:rPr>
        <w:t xml:space="preserve">‑study heterogeneity (I² </w:t>
      </w:r>
      <w:commentRangeEnd w:id="14"/>
      <w:r w:rsidR="00DD5651">
        <w:rPr>
          <w:rStyle w:val="CommentReference"/>
          <w:rFonts w:ascii="Times New Roman" w:eastAsia="Times New Roman" w:hAnsi="Times New Roman" w:cs="Times New Roman"/>
          <w:sz w:val="24"/>
          <w:szCs w:val="24"/>
          <w:highlight w:val="white"/>
        </w:rPr>
        <w:commentReference w:id="14"/>
      </w:r>
      <w:r>
        <w:rPr>
          <w:rFonts w:ascii="Times New Roman" w:eastAsia="Times New Roman" w:hAnsi="Times New Roman" w:cs="Times New Roman"/>
          <w:sz w:val="24"/>
          <w:szCs w:val="24"/>
          <w:highlight w:val="white"/>
        </w:rPr>
        <w:t xml:space="preserve">= 58%) reflects variability in study designs, patient populations, and measurement practices that </w:t>
      </w:r>
      <w:r>
        <w:rPr>
          <w:rFonts w:ascii="Times New Roman" w:eastAsia="Times New Roman" w:hAnsi="Times New Roman" w:cs="Times New Roman"/>
          <w:sz w:val="24"/>
          <w:szCs w:val="24"/>
          <w:highlight w:val="white"/>
        </w:rPr>
        <w:lastRenderedPageBreak/>
        <w:t>challenge interpretation. Heterogeneity in outcome definitions, dosing protocols, and follow‑up durations further complicates attempts to draw firm conclusions. The non‑randomized nature of included evidence also means that unmeasured confounding cannot be excluded as an explanation for observed differences between EHL and SHL groups.</w:t>
      </w:r>
    </w:p>
    <w:p w14:paraId="558BD2F8"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 while this review suggests that EHL therapies may be associated with favorable outcomes in bleed control and treatment burden compared to SHL products, these associations are best understood as indicative trends rather than conclusive evidence. Continued research—including pragmatic trials, larger longitudinal cohort studies, and data synthesized through rigorous comparative frameworks—will be essential to more precisely characterize the relative benefits and limitations of these therapies. Such evidence will be critical not only for clinicians tailoring individual patient regimens, but also for policymakers and public health planners striving to optimize hemophilia care delivery worldwide.</w:t>
      </w:r>
    </w:p>
    <w:p w14:paraId="70294C95" w14:textId="77777777" w:rsidR="00E46DF7" w:rsidRDefault="00E46DF7">
      <w:pPr>
        <w:spacing w:before="240" w:after="240" w:line="360" w:lineRule="auto"/>
        <w:jc w:val="both"/>
        <w:rPr>
          <w:rFonts w:ascii="Times New Roman" w:eastAsia="Times New Roman" w:hAnsi="Times New Roman" w:cs="Times New Roman"/>
          <w:sz w:val="24"/>
          <w:szCs w:val="24"/>
          <w:highlight w:val="white"/>
        </w:rPr>
      </w:pPr>
    </w:p>
    <w:p w14:paraId="7B6BDDD2" w14:textId="77777777" w:rsidR="00E46DF7" w:rsidRDefault="00597711">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7429BE7E"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suggest that extended half-life (EHL) therapies are associated with a reduction in bleeding episodes and treatment burden compared to standard half-life (SHL) therapies in patients with hemophilia. The findings point to improved annualized bleeding rates (ABR), fewer infusions, and better joint health outcomes with EHL products, although the evidence is limited by substantial heterogeneity and significant risks of bias, particularly confounding and selection bias. Given the suggestive nature of the results, further robust, randomized studies are needed to confirm these trends. Policymakers should consider facilitating access to EHL therapies, especially in low-resource settings, to enhance global hemophilia care.</w:t>
      </w:r>
    </w:p>
    <w:p w14:paraId="007DD5B3" w14:textId="77777777" w:rsidR="00E46DF7" w:rsidRDefault="00E46DF7">
      <w:pPr>
        <w:spacing w:before="240" w:after="240" w:line="360" w:lineRule="auto"/>
        <w:jc w:val="both"/>
        <w:rPr>
          <w:rFonts w:ascii="Times New Roman" w:eastAsia="Times New Roman" w:hAnsi="Times New Roman" w:cs="Times New Roman"/>
          <w:sz w:val="24"/>
          <w:szCs w:val="24"/>
          <w:highlight w:val="white"/>
        </w:rPr>
      </w:pPr>
    </w:p>
    <w:p w14:paraId="767BD31F"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interest.</w:t>
      </w:r>
    </w:p>
    <w:p w14:paraId="075F34B7" w14:textId="77777777"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PRISMA guidelines and meta-analyses.</w:t>
      </w:r>
    </w:p>
    <w:p w14:paraId="6A76176F" w14:textId="77777777"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Consent for publication: </w:t>
      </w:r>
      <w:r>
        <w:rPr>
          <w:rFonts w:ascii="Times New Roman" w:eastAsia="Times New Roman" w:hAnsi="Times New Roman" w:cs="Times New Roman"/>
          <w:sz w:val="24"/>
          <w:szCs w:val="24"/>
          <w:highlight w:val="white"/>
        </w:rPr>
        <w:t>Not applicable</w:t>
      </w:r>
    </w:p>
    <w:p w14:paraId="4F6DFE0D" w14:textId="77777777"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49B814CF" w14:textId="77777777" w:rsidR="00E46DF7" w:rsidRDefault="00E46DF7">
      <w:pPr>
        <w:spacing w:before="240" w:after="240" w:line="360" w:lineRule="auto"/>
        <w:jc w:val="both"/>
        <w:rPr>
          <w:rFonts w:ascii="Times New Roman" w:eastAsia="Times New Roman" w:hAnsi="Times New Roman" w:cs="Times New Roman"/>
          <w:sz w:val="24"/>
          <w:szCs w:val="24"/>
          <w:highlight w:val="white"/>
        </w:rPr>
      </w:pPr>
    </w:p>
    <w:p w14:paraId="36032C1B" w14:textId="77777777" w:rsidR="00E46DF7" w:rsidRDefault="00597711">
      <w:pPr>
        <w:spacing w:before="240" w:after="240" w:line="360" w:lineRule="auto"/>
        <w:rPr>
          <w:rFonts w:ascii="Times New Roman" w:eastAsia="Times New Roman" w:hAnsi="Times New Roman" w:cs="Times New Roman"/>
          <w:b/>
          <w:bCs/>
          <w:sz w:val="32"/>
          <w:szCs w:val="32"/>
          <w:highlight w:val="white"/>
        </w:rPr>
      </w:pPr>
      <w:commentRangeStart w:id="15"/>
      <w:r>
        <w:rPr>
          <w:rFonts w:ascii="Times New Roman" w:eastAsia="Times New Roman" w:hAnsi="Times New Roman" w:cs="Times New Roman"/>
          <w:b/>
          <w:bCs/>
          <w:sz w:val="32"/>
          <w:szCs w:val="32"/>
          <w:highlight w:val="white"/>
        </w:rPr>
        <w:t>References</w:t>
      </w:r>
      <w:commentRangeEnd w:id="15"/>
      <w:r w:rsidR="00DD5651">
        <w:rPr>
          <w:rStyle w:val="CommentReference"/>
          <w:rFonts w:ascii="Times New Roman" w:eastAsia="Times New Roman" w:hAnsi="Times New Roman" w:cs="Times New Roman"/>
          <w:b/>
          <w:bCs/>
          <w:sz w:val="32"/>
          <w:szCs w:val="32"/>
          <w:highlight w:val="white"/>
        </w:rPr>
        <w:commentReference w:id="15"/>
      </w:r>
    </w:p>
    <w:p w14:paraId="32BFD8A8"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Abdelgawad, H. A. H., Foster, R., &amp; Otto, M. (2024). Nothing short of a revolution: Novel extended half-life factor VIII replacement products and non-replacement agents reshape the treatment landscape in hemophilia A. </w:t>
      </w:r>
      <w:r>
        <w:rPr>
          <w:rFonts w:ascii="Times New Roman" w:eastAsia="Times New Roman" w:hAnsi="Times New Roman" w:cs="Times New Roman"/>
          <w:i/>
          <w:iCs/>
          <w:sz w:val="24"/>
          <w:szCs w:val="24"/>
          <w:highlight w:val="white"/>
        </w:rPr>
        <w:t>Blood reviews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64</w:t>
      </w:r>
      <w:r>
        <w:rPr>
          <w:rFonts w:ascii="Times New Roman" w:eastAsia="Times New Roman" w:hAnsi="Times New Roman" w:cs="Times New Roman"/>
          <w:sz w:val="24"/>
          <w:szCs w:val="24"/>
          <w:highlight w:val="white"/>
        </w:rPr>
        <w:t xml:space="preserve">, 101164. </w:t>
      </w:r>
      <w:hyperlink r:id="rId18">
        <w:r w:rsidR="00E46DF7">
          <w:rPr>
            <w:rFonts w:ascii="Times New Roman" w:eastAsia="Times New Roman" w:hAnsi="Times New Roman" w:cs="Times New Roman"/>
            <w:color w:val="1155CC"/>
            <w:sz w:val="24"/>
            <w:szCs w:val="24"/>
            <w:highlight w:val="white"/>
            <w:u w:val="single"/>
          </w:rPr>
          <w:t>https://doi.org/10.1016/j.blre.2023.101164</w:t>
        </w:r>
      </w:hyperlink>
    </w:p>
    <w:p w14:paraId="04E77E80"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Aledort, L., Mannucci, P. M., Schramm, W., &amp; Tarantino, M. (2019). Factor VIII replacement is still the standard of care in haemophilia A. </w:t>
      </w:r>
      <w:r>
        <w:rPr>
          <w:rFonts w:ascii="Times New Roman" w:eastAsia="Times New Roman" w:hAnsi="Times New Roman" w:cs="Times New Roman"/>
          <w:i/>
          <w:iCs/>
          <w:sz w:val="24"/>
          <w:szCs w:val="24"/>
          <w:highlight w:val="white"/>
        </w:rPr>
        <w:t>Blood transfusion = Trasfusione del sangue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17</w:t>
      </w:r>
      <w:r>
        <w:rPr>
          <w:rFonts w:ascii="Times New Roman" w:eastAsia="Times New Roman" w:hAnsi="Times New Roman" w:cs="Times New Roman"/>
          <w:sz w:val="24"/>
          <w:szCs w:val="24"/>
          <w:highlight w:val="white"/>
        </w:rPr>
        <w:t xml:space="preserve">(6), 479–486. </w:t>
      </w:r>
      <w:hyperlink r:id="rId19">
        <w:r w:rsidR="00E46DF7">
          <w:rPr>
            <w:rFonts w:ascii="Times New Roman" w:eastAsia="Times New Roman" w:hAnsi="Times New Roman" w:cs="Times New Roman"/>
            <w:color w:val="1155CC"/>
            <w:sz w:val="24"/>
            <w:szCs w:val="24"/>
            <w:highlight w:val="white"/>
            <w:u w:val="single"/>
          </w:rPr>
          <w:t>https://doi.org/10.2450/2019.0211-19</w:t>
        </w:r>
      </w:hyperlink>
    </w:p>
    <w:p w14:paraId="3FECA355"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Alharbi, A., &amp; Stevenson, M. (2020). Refining Boolean queries to identify relevant studies for systematic review updates. </w:t>
      </w:r>
      <w:r>
        <w:rPr>
          <w:rFonts w:ascii="Times New Roman" w:eastAsia="Times New Roman" w:hAnsi="Times New Roman" w:cs="Times New Roman"/>
          <w:i/>
          <w:iCs/>
          <w:sz w:val="24"/>
          <w:szCs w:val="24"/>
          <w:highlight w:val="white"/>
        </w:rPr>
        <w:t>Journal of the American Medical Informatics Association : JAMIA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27</w:t>
      </w:r>
      <w:r>
        <w:rPr>
          <w:rFonts w:ascii="Times New Roman" w:eastAsia="Times New Roman" w:hAnsi="Times New Roman" w:cs="Times New Roman"/>
          <w:sz w:val="24"/>
          <w:szCs w:val="24"/>
          <w:highlight w:val="white"/>
        </w:rPr>
        <w:t xml:space="preserve">(11), 1658–1666. </w:t>
      </w:r>
      <w:hyperlink r:id="rId20">
        <w:r w:rsidR="00E46DF7">
          <w:rPr>
            <w:rFonts w:ascii="Times New Roman" w:eastAsia="Times New Roman" w:hAnsi="Times New Roman" w:cs="Times New Roman"/>
            <w:color w:val="1155CC"/>
            <w:sz w:val="24"/>
            <w:szCs w:val="24"/>
            <w:highlight w:val="white"/>
            <w:u w:val="single"/>
          </w:rPr>
          <w:t>https://doi.org/10.1093/jamia/ocaa148</w:t>
        </w:r>
      </w:hyperlink>
    </w:p>
    <w:p w14:paraId="7442BB82"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Ay, C., Feistritzer, C., Rettl, J., Schuster, G., Vavrovsky, A., Perschy, L., &amp; Pabinger, I. (2021). Bleeding outcomes and factor utilization after switching to an extended half-life product for prophylaxis in haemophilia A in Austria. </w:t>
      </w:r>
      <w:r>
        <w:rPr>
          <w:rFonts w:ascii="Times New Roman" w:eastAsia="Times New Roman" w:hAnsi="Times New Roman" w:cs="Times New Roman"/>
          <w:i/>
          <w:iCs/>
          <w:sz w:val="24"/>
          <w:szCs w:val="24"/>
          <w:highlight w:val="white"/>
        </w:rPr>
        <w:t>Scientific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 xml:space="preserve">(1), 12967. </w:t>
      </w:r>
      <w:hyperlink r:id="rId21">
        <w:r w:rsidR="00E46DF7">
          <w:rPr>
            <w:rFonts w:ascii="Times New Roman" w:eastAsia="Times New Roman" w:hAnsi="Times New Roman" w:cs="Times New Roman"/>
            <w:color w:val="1155CC"/>
            <w:sz w:val="24"/>
            <w:szCs w:val="24"/>
            <w:highlight w:val="white"/>
            <w:u w:val="single"/>
          </w:rPr>
          <w:t>https://doi.org/10.1038/s41598-021-92245-5</w:t>
        </w:r>
      </w:hyperlink>
    </w:p>
    <w:p w14:paraId="3F205CF1"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Berger, K., O'Rourke, R. H., Di Minno, M. N. D., Batorova, A., Kavakli, K., Mannucci, P. M., Schramm, W., Bohn, R. L., &amp; Aledort, L. (2025). Challenges associated with access to recently developed hemophilia treatments in routine care: perspectives of healthcare professionals. </w:t>
      </w:r>
      <w:r>
        <w:rPr>
          <w:rFonts w:ascii="Times New Roman" w:eastAsia="Times New Roman" w:hAnsi="Times New Roman" w:cs="Times New Roman"/>
          <w:i/>
          <w:iCs/>
          <w:sz w:val="24"/>
          <w:szCs w:val="24"/>
          <w:highlight w:val="white"/>
        </w:rPr>
        <w:t>Haematologica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(3), 673–682. https://doi.org/10.3324/haematol.2024.285647</w:t>
      </w:r>
    </w:p>
    <w:p w14:paraId="579A66FC"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Boccalandro, E. A., Pasca, S., Begnozzi, V., Gualtierotti, R., &amp; Mannucci, P. M. (2023). Joint Dysfunction as a Cause of Spontaneous Subclinical Bleeding in Infants with Hemophilia.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(20), 6672. </w:t>
      </w:r>
      <w:hyperlink r:id="rId22">
        <w:r w:rsidR="00E46DF7">
          <w:rPr>
            <w:rFonts w:ascii="Times New Roman" w:eastAsia="Times New Roman" w:hAnsi="Times New Roman" w:cs="Times New Roman"/>
            <w:color w:val="1155CC"/>
            <w:sz w:val="24"/>
            <w:szCs w:val="24"/>
            <w:highlight w:val="white"/>
            <w:u w:val="single"/>
          </w:rPr>
          <w:t>https://doi.org/10.3390/jcm12206672</w:t>
        </w:r>
      </w:hyperlink>
    </w:p>
    <w:p w14:paraId="596DBECB"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Chiari, J. B., Prozora, S., Feinn, R., Louizos, E., Gallagher, P. G., &amp; Bona, R. (2024). Joint bleeds in mild hemophilia: Prevalence and clinical characteristics. </w:t>
      </w:r>
      <w:r>
        <w:rPr>
          <w:rFonts w:ascii="Times New Roman" w:eastAsia="Times New Roman" w:hAnsi="Times New Roman" w:cs="Times New Roman"/>
          <w:i/>
          <w:iCs/>
          <w:sz w:val="24"/>
          <w:szCs w:val="24"/>
          <w:highlight w:val="white"/>
        </w:rPr>
        <w:t>Haemophilia : the official journal of the World Federation of Hemophilia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(2), 331–335. https://doi.org/10.1111/hae.14939</w:t>
      </w:r>
    </w:p>
    <w:p w14:paraId="623D4524"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Chowdary P. (2020). Extended half-life recombinant products in haemophilia clinical practice - Expectations, opportunities and challenges.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196</w:t>
      </w:r>
      <w:r>
        <w:rPr>
          <w:rFonts w:ascii="Times New Roman" w:eastAsia="Times New Roman" w:hAnsi="Times New Roman" w:cs="Times New Roman"/>
          <w:sz w:val="24"/>
          <w:szCs w:val="24"/>
          <w:highlight w:val="white"/>
        </w:rPr>
        <w:t xml:space="preserve">, 609–617. </w:t>
      </w:r>
      <w:hyperlink r:id="rId23">
        <w:r w:rsidR="00E46DF7">
          <w:rPr>
            <w:rFonts w:ascii="Times New Roman" w:eastAsia="Times New Roman" w:hAnsi="Times New Roman" w:cs="Times New Roman"/>
            <w:color w:val="1155CC"/>
            <w:sz w:val="24"/>
            <w:szCs w:val="24"/>
            <w:highlight w:val="white"/>
            <w:u w:val="single"/>
          </w:rPr>
          <w:t>https://doi.org/10.1016/j.thromres.2019.12.012</w:t>
        </w:r>
      </w:hyperlink>
    </w:p>
    <w:p w14:paraId="63925649"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Coppola, A., Rivolta, G. F., Quintavalle, G., Matichecchia, A., Riccardi, F., Rossi, R., Benegiamo, A., Ranalli, P., Coluccio, V., &amp; Tagliaferri, A. (2024). Six-Year, Real-World Use of Prophylaxis with Recombinant Factor IX-Albumin Fusion Protein (rIX-FP) in Persons with Hemophilia B: A Single-Center Retrospective-Prospective Study.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13</w:t>
      </w:r>
      <w:r>
        <w:rPr>
          <w:rFonts w:ascii="Times New Roman" w:eastAsia="Times New Roman" w:hAnsi="Times New Roman" w:cs="Times New Roman"/>
          <w:sz w:val="24"/>
          <w:szCs w:val="24"/>
          <w:highlight w:val="white"/>
        </w:rPr>
        <w:t>(5), 1518. https://doi.org/10.3390/jcm13051518</w:t>
      </w:r>
    </w:p>
    <w:p w14:paraId="0005110E"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DeMars, M. M., &amp; Perruso, C. (2022). MeSH and text-word search strategies: precision, recall, and their implications for library instruction. </w:t>
      </w:r>
      <w:r>
        <w:rPr>
          <w:rFonts w:ascii="Times New Roman" w:eastAsia="Times New Roman" w:hAnsi="Times New Roman" w:cs="Times New Roman"/>
          <w:i/>
          <w:iCs/>
          <w:sz w:val="24"/>
          <w:szCs w:val="24"/>
          <w:highlight w:val="white"/>
        </w:rPr>
        <w:t>Journal of the Medical Library Association : JMLA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 xml:space="preserve">(1), 23–33. </w:t>
      </w:r>
      <w:hyperlink r:id="rId24">
        <w:r w:rsidR="00E46DF7">
          <w:rPr>
            <w:rFonts w:ascii="Times New Roman" w:eastAsia="Times New Roman" w:hAnsi="Times New Roman" w:cs="Times New Roman"/>
            <w:color w:val="1155CC"/>
            <w:sz w:val="24"/>
            <w:szCs w:val="24"/>
            <w:highlight w:val="white"/>
            <w:u w:val="single"/>
          </w:rPr>
          <w:t>https://doi.org/10.5195/jmla.2022.1283</w:t>
        </w:r>
      </w:hyperlink>
    </w:p>
    <w:p w14:paraId="5D6BF417"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El-Sayed, A. A., &amp; Bolous, N. S. (2025). Economic Burden of Haemophilia from a Societal Perspective: A Scoping Review. </w:t>
      </w:r>
      <w:r>
        <w:rPr>
          <w:rFonts w:ascii="Times New Roman" w:eastAsia="Times New Roman" w:hAnsi="Times New Roman" w:cs="Times New Roman"/>
          <w:i/>
          <w:iCs/>
          <w:sz w:val="24"/>
          <w:szCs w:val="24"/>
          <w:highlight w:val="white"/>
        </w:rPr>
        <w:t>PharmacoEconomics -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9</w:t>
      </w:r>
      <w:r>
        <w:rPr>
          <w:rFonts w:ascii="Times New Roman" w:eastAsia="Times New Roman" w:hAnsi="Times New Roman" w:cs="Times New Roman"/>
          <w:sz w:val="24"/>
          <w:szCs w:val="24"/>
          <w:highlight w:val="white"/>
        </w:rPr>
        <w:t>(2), 179–205. https://doi.org/10.1007/s41669-024-00540-4</w:t>
      </w:r>
    </w:p>
    <w:p w14:paraId="1180046E"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Funding, E., Lowe, G., Poulsen, L. H., Shapiro, S., Oldenburg, J., Eriksson, D., Falk, A., &amp; Rich, C. (2023). Real-World Effectiveness of rFIXFc Prophylaxis in Patients with Haemophilia B Switched from Standard Half-Life Therapy in Three European Countries.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40</w:t>
      </w:r>
      <w:r>
        <w:rPr>
          <w:rFonts w:ascii="Times New Roman" w:eastAsia="Times New Roman" w:hAnsi="Times New Roman" w:cs="Times New Roman"/>
          <w:sz w:val="24"/>
          <w:szCs w:val="24"/>
          <w:highlight w:val="white"/>
        </w:rPr>
        <w:t>(9), 3770–3783. https://doi.org/10.1007/s12325-023-02559-1</w:t>
      </w:r>
    </w:p>
    <w:p w14:paraId="7736AAC7"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Goldmann, G., Marquardt, N., Horneff, S., Klein, C., Albert, T., &amp; Oldenburg, J. (2021). Real-world clinical experience of extended half-life recombinant factor VIII Fc fusion protein (rFVIIIFc) in comparison to conventional factor products in patients with severe hemophilia A. </w:t>
      </w:r>
      <w:r>
        <w:rPr>
          <w:rFonts w:ascii="Times New Roman" w:eastAsia="Times New Roman" w:hAnsi="Times New Roman" w:cs="Times New Roman"/>
          <w:i/>
          <w:iCs/>
          <w:sz w:val="24"/>
          <w:szCs w:val="24"/>
          <w:highlight w:val="white"/>
        </w:rPr>
        <w:t>CMRO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w:t>
      </w:r>
      <w:r>
        <w:rPr>
          <w:rFonts w:ascii="Times New Roman" w:eastAsia="Times New Roman" w:hAnsi="Times New Roman" w:cs="Times New Roman"/>
          <w:sz w:val="24"/>
          <w:szCs w:val="24"/>
          <w:highlight w:val="white"/>
        </w:rPr>
        <w:t xml:space="preserve">(5), 950-60. </w:t>
      </w:r>
      <w:hyperlink r:id="rId25">
        <w:r w:rsidR="00E46DF7">
          <w:rPr>
            <w:rFonts w:ascii="Times New Roman" w:eastAsia="Times New Roman" w:hAnsi="Times New Roman" w:cs="Times New Roman"/>
            <w:sz w:val="24"/>
            <w:szCs w:val="24"/>
            <w:highlight w:val="white"/>
            <w:u w:val="single"/>
          </w:rPr>
          <w:t>https://doi.org/10.15520/jcmro.v4i05.422</w:t>
        </w:r>
      </w:hyperlink>
    </w:p>
    <w:p w14:paraId="074284B0"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Gooding, R., Thachil, J., Alamelu, J., Motwani, J., &amp; Chowdary, P. (2021). Asymptomatic Joint Bleeding and Joint Health in Hemophilia: A Review of Variables, Methods, and Biomarkers. </w:t>
      </w:r>
      <w:r>
        <w:rPr>
          <w:rFonts w:ascii="Times New Roman" w:eastAsia="Times New Roman" w:hAnsi="Times New Roman" w:cs="Times New Roman"/>
          <w:i/>
          <w:iCs/>
          <w:sz w:val="24"/>
          <w:szCs w:val="24"/>
          <w:highlight w:val="white"/>
        </w:rPr>
        <w:t>Journal of blood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 209–220. </w:t>
      </w:r>
      <w:hyperlink r:id="rId26">
        <w:r w:rsidR="00E46DF7">
          <w:rPr>
            <w:rFonts w:ascii="Times New Roman" w:eastAsia="Times New Roman" w:hAnsi="Times New Roman" w:cs="Times New Roman"/>
            <w:color w:val="1155CC"/>
            <w:sz w:val="24"/>
            <w:szCs w:val="24"/>
            <w:highlight w:val="white"/>
            <w:u w:val="single"/>
          </w:rPr>
          <w:t>https://doi.org/10.2147/JBM.S304597</w:t>
        </w:r>
      </w:hyperlink>
    </w:p>
    <w:p w14:paraId="1DE91919"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Iurea, I. M., Severin, E., &amp; Matei, A. (2024). Transforming Hemophilia A Care: Insights into New Therapeutic Options. </w:t>
      </w:r>
      <w:r>
        <w:rPr>
          <w:rFonts w:ascii="Times New Roman" w:eastAsia="Times New Roman" w:hAnsi="Times New Roman" w:cs="Times New Roman"/>
          <w:i/>
          <w:iCs/>
          <w:sz w:val="24"/>
          <w:szCs w:val="24"/>
          <w:highlight w:val="white"/>
        </w:rPr>
        <w:t>Life (Basel, Switzerland)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(12), 1568. https://doi.org/10.3390/life14121568</w:t>
      </w:r>
    </w:p>
    <w:p w14:paraId="1274A0A9"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Jena, R. K., Dolai, T. K., Bhattacharyya, J., Garg, K., Sethy, S., Jha, S. C., Meena, L. P., Varadarajan, M., Das, D., Patel, N., Singh, A. I., &amp; Nevrekar, R. (2025). Unmet Needs in Hemophilia: A Narrative Review. </w:t>
      </w:r>
      <w:r>
        <w:rPr>
          <w:rFonts w:ascii="Times New Roman" w:eastAsia="Times New Roman" w:hAnsi="Times New Roman" w:cs="Times New Roman"/>
          <w:i/>
          <w:iCs/>
          <w:sz w:val="24"/>
          <w:szCs w:val="24"/>
          <w:highlight w:val="white"/>
        </w:rPr>
        <w:t>The Journal of the Association of Physicians of India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73</w:t>
      </w:r>
      <w:r>
        <w:rPr>
          <w:rFonts w:ascii="Times New Roman" w:eastAsia="Times New Roman" w:hAnsi="Times New Roman" w:cs="Times New Roman"/>
          <w:sz w:val="24"/>
          <w:szCs w:val="24"/>
          <w:highlight w:val="white"/>
        </w:rPr>
        <w:t xml:space="preserve">(7), e61–e65. </w:t>
      </w:r>
      <w:hyperlink r:id="rId27">
        <w:r w:rsidR="00E46DF7">
          <w:rPr>
            <w:rFonts w:ascii="Times New Roman" w:eastAsia="Times New Roman" w:hAnsi="Times New Roman" w:cs="Times New Roman"/>
            <w:color w:val="1155CC"/>
            <w:sz w:val="24"/>
            <w:szCs w:val="24"/>
            <w:highlight w:val="white"/>
            <w:u w:val="single"/>
          </w:rPr>
          <w:t>https://doi.org/10.59556/japi.73.1055</w:t>
        </w:r>
      </w:hyperlink>
    </w:p>
    <w:p w14:paraId="1F443F4D"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Jiménez-Yuste, V., Percier, C., Shridhar, N., Reynolds, N., Rajkovic-Hooley, O., Dewar, T., &amp; Castaman, G. (2024). Burden of Treatment on People with Hemophilia: Global Real-World Data. </w:t>
      </w:r>
      <w:r>
        <w:rPr>
          <w:rFonts w:ascii="Times New Roman" w:eastAsia="Times New Roman" w:hAnsi="Times New Roman" w:cs="Times New Roman"/>
          <w:i/>
          <w:iCs/>
          <w:sz w:val="24"/>
          <w:szCs w:val="24"/>
          <w:highlight w:val="white"/>
        </w:rPr>
        <w:t>Blood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144</w:t>
      </w:r>
      <w:r>
        <w:rPr>
          <w:rFonts w:ascii="Times New Roman" w:eastAsia="Times New Roman" w:hAnsi="Times New Roman" w:cs="Times New Roman"/>
          <w:sz w:val="24"/>
          <w:szCs w:val="24"/>
          <w:highlight w:val="white"/>
        </w:rPr>
        <w:t xml:space="preserve">, 5077. </w:t>
      </w:r>
      <w:hyperlink r:id="rId28">
        <w:r w:rsidR="00E46DF7">
          <w:rPr>
            <w:rFonts w:ascii="Times New Roman" w:eastAsia="Times New Roman" w:hAnsi="Times New Roman" w:cs="Times New Roman"/>
            <w:sz w:val="24"/>
            <w:szCs w:val="24"/>
            <w:highlight w:val="white"/>
            <w:u w:val="single"/>
          </w:rPr>
          <w:t>https://doi.org/10.1182/blood-2024-200008</w:t>
        </w:r>
      </w:hyperlink>
    </w:p>
    <w:p w14:paraId="183D2087"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Klamroth, R., Kragh, N., Arnaud, A., Guyot, P., Wilson, A., Wojciechowski, P., Wdowiak, M., Margas, W., Bystrická, L., &amp; Tosetto, A. (2025). Efanesoctocog Alfa versus Standard and Extended Half-Life Factor VIII Prophylaxis in Adolescent and Adult Patients with Haemophilia A without Inhibitors.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(1), 427–441. https://doi.org/10.1007/s12325-024-03032-3</w:t>
      </w:r>
    </w:p>
    <w:p w14:paraId="7C158D51" w14:textId="77777777"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Lau, J., Ioannidis, J. P., Terrin, N., Schmid, C. H., &amp; Olkin, I. (2006). The case of the misleading funnel plot.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333</w:t>
      </w:r>
      <w:r>
        <w:rPr>
          <w:rFonts w:ascii="Times New Roman" w:eastAsia="Times New Roman" w:hAnsi="Times New Roman" w:cs="Times New Roman"/>
          <w:sz w:val="24"/>
          <w:szCs w:val="24"/>
          <w:highlight w:val="white"/>
        </w:rPr>
        <w:t>(7568), 597–600. https://doi.org/10.1136/bmj.333.7568.597</w:t>
      </w:r>
    </w:p>
    <w:p w14:paraId="61DB580E"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Lonardi, J., Halimeh, S., von Mackensen, S., Kleinlein, L., Fleischer, J., Funk, H., Hölz, J., Holzapfel, J., Juranek, S., Lieftüchter, V., Bidlingmaier, C., &amp; Olivieri, M. (2025). HAEMFIX: Impact of Switching From SHL-FIX to EHL-FIX in Patients With Haemophilia B. </w:t>
      </w:r>
      <w:r>
        <w:rPr>
          <w:rFonts w:ascii="Times New Roman" w:eastAsia="Times New Roman" w:hAnsi="Times New Roman" w:cs="Times New Roman"/>
          <w:i/>
          <w:iCs/>
          <w:sz w:val="24"/>
          <w:szCs w:val="24"/>
          <w:highlight w:val="white"/>
        </w:rPr>
        <w:t>Haemophilia : the official journal of the World Federation of Hemophilia</w:t>
      </w:r>
      <w:r>
        <w:rPr>
          <w:rFonts w:ascii="Times New Roman" w:eastAsia="Times New Roman" w:hAnsi="Times New Roman" w:cs="Times New Roman"/>
          <w:sz w:val="24"/>
          <w:szCs w:val="24"/>
          <w:highlight w:val="white"/>
        </w:rPr>
        <w:t>, 10.1111/hae.70157. Advance online publication. https://doi.org/10.1111/hae.70157</w:t>
      </w:r>
    </w:p>
    <w:p w14:paraId="36CE0633"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Mehta P, Reddivari AKR. Hemophilia. [Updated 2023 Jun 5]. In: StatPearls [Internet]. Treasure Island (FL): StatPearls Publishing; 2025 Jan-. Available from: </w:t>
      </w:r>
      <w:hyperlink r:id="rId29">
        <w:r w:rsidR="00E46DF7">
          <w:rPr>
            <w:rFonts w:ascii="Times New Roman" w:eastAsia="Times New Roman" w:hAnsi="Times New Roman" w:cs="Times New Roman"/>
            <w:sz w:val="24"/>
            <w:szCs w:val="24"/>
            <w:highlight w:val="white"/>
            <w:u w:val="single"/>
          </w:rPr>
          <w:t>https://www.ncbi.nlm.nih.gov/books/NBK551607/</w:t>
        </w:r>
      </w:hyperlink>
    </w:p>
    <w:p w14:paraId="18D0A8B3"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Hay, C., Peyvandi, F., Lehtinen, A. E., Pabinger, I., Nüesch, E., Malmström, H., Bednar, E., &amp; Lethagen, S. (2025a). A-SURE: intra-patient comparison of prophylactic effectiveness of a recombinant factor VIII Fc fusion protein versus standard half-life factor VIII in hemophilia A. </w:t>
      </w:r>
      <w:r>
        <w:rPr>
          <w:rFonts w:ascii="Times New Roman" w:eastAsia="Times New Roman" w:hAnsi="Times New Roman" w:cs="Times New Roman"/>
          <w:i/>
          <w:iCs/>
          <w:sz w:val="24"/>
          <w:szCs w:val="24"/>
          <w:highlight w:val="white"/>
        </w:rPr>
        <w:t>Hematology (Amsterdam, Netherlands)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(1), 2513186. https://doi.org/10.1080/16078454.2025.2513186</w:t>
      </w:r>
    </w:p>
    <w:p w14:paraId="17E48A29"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Olivieri, M., Yan, S., Yang, Y., Tomic, R., Zhang, X., Drelich, D., Jakobs, N., &amp; Napolitano, M. (2025b). Real-World Prophylaxis Outcomes with rIX-FP and rFIXFc for Males with Hemophilia B: Pooled Analysis of Medical Chart Data from Germany and Italy.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 xml:space="preserve">(9), 4583–4596. </w:t>
      </w:r>
      <w:hyperlink r:id="rId30">
        <w:r w:rsidR="00E46DF7">
          <w:rPr>
            <w:rFonts w:ascii="Times New Roman" w:eastAsia="Times New Roman" w:hAnsi="Times New Roman" w:cs="Times New Roman"/>
            <w:color w:val="1155CC"/>
            <w:sz w:val="24"/>
            <w:szCs w:val="24"/>
            <w:highlight w:val="white"/>
            <w:u w:val="single"/>
          </w:rPr>
          <w:t>https://doi.org/10.1007/s12325-025-03303-7</w:t>
        </w:r>
      </w:hyperlink>
    </w:p>
    <w:p w14:paraId="35950409"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Bossuyt, P. M., Boutron, I., Hoffmann, T. C., Mulrow, C. D., Shamseer, L., Tetzlaff, J. M., Akl, E. A., Brennan, S. E., Chou, R., Glanville, J., Grimshaw, J. M., Hróbjartsson, A., Lalu, M. M., Li, T., Loder, E. W., Mayo-Wilson,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31">
        <w:r w:rsidR="00E46DF7">
          <w:rPr>
            <w:rFonts w:ascii="Times New Roman" w:eastAsia="Times New Roman" w:hAnsi="Times New Roman" w:cs="Times New Roman"/>
            <w:color w:val="1155CC"/>
            <w:sz w:val="24"/>
            <w:szCs w:val="24"/>
            <w:highlight w:val="white"/>
            <w:u w:val="single"/>
          </w:rPr>
          <w:t>https://doi.org/10.1136/bmj.n71</w:t>
        </w:r>
      </w:hyperlink>
    </w:p>
    <w:p w14:paraId="30C8AF80"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Schardt, C., Adams, M. B., Owens, T., Keitz, S., &amp; Fontelo, P. (2007). Utilization of the PICO framework to improve searching PubMed for clinical questions. </w:t>
      </w:r>
      <w:r>
        <w:rPr>
          <w:rFonts w:ascii="Times New Roman" w:eastAsia="Times New Roman" w:hAnsi="Times New Roman" w:cs="Times New Roman"/>
          <w:i/>
          <w:iCs/>
          <w:sz w:val="24"/>
          <w:szCs w:val="24"/>
          <w:highlight w:val="white"/>
        </w:rPr>
        <w:t>BMC medical informatics and decision making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 xml:space="preserve">, 16. </w:t>
      </w:r>
      <w:hyperlink r:id="rId32">
        <w:r w:rsidR="00E46DF7">
          <w:rPr>
            <w:rFonts w:ascii="Times New Roman" w:eastAsia="Times New Roman" w:hAnsi="Times New Roman" w:cs="Times New Roman"/>
            <w:color w:val="1155CC"/>
            <w:sz w:val="24"/>
            <w:szCs w:val="24"/>
            <w:highlight w:val="white"/>
            <w:u w:val="single"/>
          </w:rPr>
          <w:t>https://doi.org/10.1186/1472-6947-7-16</w:t>
        </w:r>
      </w:hyperlink>
    </w:p>
    <w:p w14:paraId="1E01A05D"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Sterne, J. A., Hernán, M. A., Reeves, B. C., Savović, J., Berkman, N. D., Viswanathan, M., Henry, D., Altman, D. G., Ansari, M. T., Boutron, I., Carpenter, J. R., Chan, A. W., Churchill, R., Deeks, J. J., Hróbjartsson, A., Kirkham, J., Jüni, P., Loke, Y. K., Pigott, T. D., Ramsay, C. R., … Higgins, J. P. (2016). ROBINS-I: a tool for assessing risk of bias in non-randomised studies of interventions.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355</w:t>
      </w:r>
      <w:r>
        <w:rPr>
          <w:rFonts w:ascii="Times New Roman" w:eastAsia="Times New Roman" w:hAnsi="Times New Roman" w:cs="Times New Roman"/>
          <w:sz w:val="24"/>
          <w:szCs w:val="24"/>
          <w:highlight w:val="white"/>
        </w:rPr>
        <w:t xml:space="preserve">, i4919. </w:t>
      </w:r>
      <w:hyperlink r:id="rId33">
        <w:r w:rsidR="00E46DF7">
          <w:rPr>
            <w:rFonts w:ascii="Times New Roman" w:eastAsia="Times New Roman" w:hAnsi="Times New Roman" w:cs="Times New Roman"/>
            <w:color w:val="1155CC"/>
            <w:sz w:val="24"/>
            <w:szCs w:val="24"/>
            <w:highlight w:val="white"/>
            <w:u w:val="single"/>
          </w:rPr>
          <w:t>https://doi.org/10.1136/bmj.i4919</w:t>
        </w:r>
      </w:hyperlink>
    </w:p>
    <w:p w14:paraId="3F71C19D"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 H. L., Yang, M., Poon, M. C., Lee, A., Robinson, K. S., Sholzberg, M., Wu, J., Iorio, A., Blanchette, V., Carcao, M., Klaassen, R. J., &amp; Jackson, S. (2021). The impact of extended half-life factor concentrates on patient reported health outcome measures in persons with hemophilia </w:t>
      </w:r>
      <w:r>
        <w:rPr>
          <w:rFonts w:ascii="Times New Roman" w:eastAsia="Times New Roman" w:hAnsi="Times New Roman" w:cs="Times New Roman"/>
          <w:sz w:val="24"/>
          <w:szCs w:val="24"/>
          <w:highlight w:val="white"/>
        </w:rPr>
        <w:lastRenderedPageBreak/>
        <w:t xml:space="preserve">A and hemophilia B. </w:t>
      </w:r>
      <w:r>
        <w:rPr>
          <w:rFonts w:ascii="Times New Roman" w:eastAsia="Times New Roman" w:hAnsi="Times New Roman" w:cs="Times New Roman"/>
          <w:i/>
          <w:iCs/>
          <w:sz w:val="24"/>
          <w:szCs w:val="24"/>
          <w:highlight w:val="white"/>
        </w:rPr>
        <w:t>Research and practice in thrombosis and haemostasis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(7), e12601. </w:t>
      </w:r>
      <w:hyperlink r:id="rId34">
        <w:r w:rsidR="00E46DF7">
          <w:rPr>
            <w:rFonts w:ascii="Times New Roman" w:eastAsia="Times New Roman" w:hAnsi="Times New Roman" w:cs="Times New Roman"/>
            <w:color w:val="1155CC"/>
            <w:sz w:val="24"/>
            <w:szCs w:val="24"/>
            <w:highlight w:val="white"/>
            <w:u w:val="single"/>
          </w:rPr>
          <w:t>https://doi.org/10.1002/rth2.12601</w:t>
        </w:r>
      </w:hyperlink>
    </w:p>
    <w:p w14:paraId="0A1D75DC"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Wu, R., Chen, Y., Li, W., Sun, J., Yang, F., Zeng, X., Zhou, Z., Bao, X., Li, X., Zak, M. S., &amp; Yang, R. (2025). The efficacy, safety, and pharmacokinetics of N8-GP in previously treated Chinese patients with haemophilia A: results from the phase 3b pathfinder10 study. </w:t>
      </w:r>
      <w:r>
        <w:rPr>
          <w:rFonts w:ascii="Times New Roman" w:eastAsia="Times New Roman" w:hAnsi="Times New Roman" w:cs="Times New Roman"/>
          <w:i/>
          <w:iCs/>
          <w:sz w:val="24"/>
          <w:szCs w:val="24"/>
          <w:highlight w:val="white"/>
        </w:rPr>
        <w:t>Blood coagulation &amp; fibrinolysis : an international journal in haemostasis and thrombosis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36</w:t>
      </w:r>
      <w:r>
        <w:rPr>
          <w:rFonts w:ascii="Times New Roman" w:eastAsia="Times New Roman" w:hAnsi="Times New Roman" w:cs="Times New Roman"/>
          <w:sz w:val="24"/>
          <w:szCs w:val="24"/>
          <w:highlight w:val="white"/>
        </w:rPr>
        <w:t xml:space="preserve">(7), 309–317. </w:t>
      </w:r>
      <w:hyperlink r:id="rId35">
        <w:r w:rsidR="00E46DF7">
          <w:rPr>
            <w:rFonts w:ascii="Times New Roman" w:eastAsia="Times New Roman" w:hAnsi="Times New Roman" w:cs="Times New Roman"/>
            <w:color w:val="1155CC"/>
            <w:sz w:val="24"/>
            <w:szCs w:val="24"/>
            <w:highlight w:val="white"/>
            <w:u w:val="single"/>
          </w:rPr>
          <w:t>https://doi.org/10.1097/MBC.0000000000001386</w:t>
        </w:r>
      </w:hyperlink>
    </w:p>
    <w:p w14:paraId="273F39E3" w14:textId="77777777"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Zanon, E., Porreca, A., Napolitano, A., Simion, C., &amp; Simioni, P. (2025). FVIII half-life products: A real-world experience.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249</w:t>
      </w:r>
      <w:r>
        <w:rPr>
          <w:rFonts w:ascii="Times New Roman" w:eastAsia="Times New Roman" w:hAnsi="Times New Roman" w:cs="Times New Roman"/>
          <w:sz w:val="24"/>
          <w:szCs w:val="24"/>
          <w:highlight w:val="white"/>
        </w:rPr>
        <w:t>, 109306. https://doi.org/10.1016/j.thromres.2025.109306</w:t>
      </w:r>
    </w:p>
    <w:p w14:paraId="3F9C7F73" w14:textId="77777777" w:rsidR="00E46DF7" w:rsidRDefault="00E46DF7">
      <w:pPr>
        <w:spacing w:line="360" w:lineRule="auto"/>
        <w:jc w:val="both"/>
        <w:rPr>
          <w:rFonts w:ascii="Times New Roman" w:eastAsia="Times New Roman" w:hAnsi="Times New Roman" w:cs="Times New Roman"/>
          <w:b/>
          <w:bCs/>
          <w:sz w:val="32"/>
          <w:szCs w:val="32"/>
          <w:highlight w:val="white"/>
        </w:rPr>
      </w:pPr>
    </w:p>
    <w:p w14:paraId="71D22B47" w14:textId="77777777" w:rsidR="00E46DF7" w:rsidRDefault="00E46DF7">
      <w:pPr>
        <w:spacing w:line="360" w:lineRule="auto"/>
        <w:ind w:left="720"/>
        <w:jc w:val="both"/>
        <w:rPr>
          <w:rFonts w:ascii="Times New Roman" w:eastAsia="Times New Roman" w:hAnsi="Times New Roman" w:cs="Times New Roman"/>
          <w:sz w:val="24"/>
          <w:szCs w:val="24"/>
          <w:highlight w:val="white"/>
        </w:rPr>
      </w:pPr>
    </w:p>
    <w:p w14:paraId="26D32E18" w14:textId="77777777" w:rsidR="00E46DF7" w:rsidRDefault="00E46DF7">
      <w:pPr>
        <w:spacing w:line="360" w:lineRule="auto"/>
        <w:ind w:left="720"/>
        <w:jc w:val="both"/>
        <w:rPr>
          <w:rFonts w:ascii="Times New Roman" w:eastAsia="Times New Roman" w:hAnsi="Times New Roman" w:cs="Times New Roman"/>
          <w:sz w:val="24"/>
          <w:szCs w:val="24"/>
          <w:highlight w:val="white"/>
        </w:rPr>
      </w:pPr>
    </w:p>
    <w:p w14:paraId="0E9C0665" w14:textId="77777777" w:rsidR="00E46DF7" w:rsidRDefault="00E46DF7">
      <w:pPr>
        <w:spacing w:before="240" w:after="240"/>
        <w:jc w:val="both"/>
        <w:rPr>
          <w:rFonts w:ascii="Times New Roman" w:eastAsia="Times New Roman" w:hAnsi="Times New Roman" w:cs="Times New Roman"/>
          <w:sz w:val="24"/>
          <w:szCs w:val="24"/>
        </w:rPr>
      </w:pPr>
    </w:p>
    <w:p w14:paraId="12AE0299" w14:textId="77777777" w:rsidR="00E46DF7" w:rsidRDefault="00E46DF7">
      <w:pPr>
        <w:spacing w:before="240" w:after="240"/>
        <w:jc w:val="both"/>
        <w:rPr>
          <w:rFonts w:ascii="Times New Roman" w:eastAsia="Times New Roman" w:hAnsi="Times New Roman" w:cs="Times New Roman"/>
          <w:sz w:val="24"/>
          <w:szCs w:val="24"/>
        </w:rPr>
      </w:pPr>
    </w:p>
    <w:p w14:paraId="38A65A02" w14:textId="77777777" w:rsidR="00E46DF7" w:rsidRDefault="00E46DF7">
      <w:pPr>
        <w:spacing w:before="240" w:after="240"/>
        <w:jc w:val="both"/>
        <w:rPr>
          <w:rFonts w:ascii="Times New Roman" w:eastAsia="Times New Roman" w:hAnsi="Times New Roman" w:cs="Times New Roman"/>
          <w:sz w:val="24"/>
          <w:szCs w:val="24"/>
        </w:rPr>
      </w:pPr>
    </w:p>
    <w:p w14:paraId="60D7E1EE" w14:textId="77777777" w:rsidR="00E46DF7" w:rsidRDefault="00E46DF7">
      <w:pPr>
        <w:spacing w:before="240" w:after="240"/>
        <w:jc w:val="both"/>
        <w:rPr>
          <w:rFonts w:ascii="Times New Roman" w:eastAsia="Times New Roman" w:hAnsi="Times New Roman" w:cs="Times New Roman"/>
          <w:sz w:val="24"/>
          <w:szCs w:val="24"/>
        </w:rPr>
      </w:pPr>
    </w:p>
    <w:p w14:paraId="5503542E" w14:textId="77777777" w:rsidR="00B77831" w:rsidRDefault="00B77831" w:rsidP="00B77831">
      <w:pPr>
        <w:spacing w:before="240" w:after="240"/>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Supplement File 1: Search Strategy (last day of search December 8 2025)</w:t>
      </w:r>
    </w:p>
    <w:tbl>
      <w:tblPr>
        <w:tblStyle w:val="a0"/>
        <w:tblW w:w="9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690"/>
        <w:gridCol w:w="870"/>
        <w:gridCol w:w="825"/>
        <w:gridCol w:w="720"/>
      </w:tblGrid>
      <w:tr w:rsidR="00B77831" w14:paraId="12ED6FE5" w14:textId="77777777" w:rsidTr="00A2364D">
        <w:tc>
          <w:tcPr>
            <w:tcW w:w="720" w:type="dxa"/>
            <w:tcMar>
              <w:top w:w="100" w:type="dxa"/>
              <w:left w:w="100" w:type="dxa"/>
              <w:bottom w:w="100" w:type="dxa"/>
              <w:right w:w="100" w:type="dxa"/>
            </w:tcMar>
          </w:tcPr>
          <w:p w14:paraId="7BC1580D" w14:textId="77777777"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6690" w:type="dxa"/>
            <w:tcMar>
              <w:top w:w="100" w:type="dxa"/>
              <w:left w:w="100" w:type="dxa"/>
              <w:bottom w:w="100" w:type="dxa"/>
              <w:right w:w="100" w:type="dxa"/>
            </w:tcMar>
          </w:tcPr>
          <w:p w14:paraId="435BE7C7" w14:textId="77777777"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Compiled search terms</w:t>
            </w:r>
          </w:p>
        </w:tc>
        <w:tc>
          <w:tcPr>
            <w:tcW w:w="870" w:type="dxa"/>
            <w:tcMar>
              <w:top w:w="100" w:type="dxa"/>
              <w:left w:w="100" w:type="dxa"/>
              <w:bottom w:w="100" w:type="dxa"/>
              <w:right w:w="100" w:type="dxa"/>
            </w:tcMar>
          </w:tcPr>
          <w:p w14:paraId="37D79D47" w14:textId="77777777"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825" w:type="dxa"/>
            <w:tcMar>
              <w:top w:w="100" w:type="dxa"/>
              <w:left w:w="100" w:type="dxa"/>
              <w:bottom w:w="100" w:type="dxa"/>
              <w:right w:w="100" w:type="dxa"/>
            </w:tcMar>
          </w:tcPr>
          <w:p w14:paraId="65B97A6B" w14:textId="77777777"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w:t>
            </w:r>
          </w:p>
        </w:tc>
        <w:tc>
          <w:tcPr>
            <w:tcW w:w="720" w:type="dxa"/>
            <w:tcMar>
              <w:top w:w="100" w:type="dxa"/>
              <w:left w:w="100" w:type="dxa"/>
              <w:bottom w:w="100" w:type="dxa"/>
              <w:right w:w="100" w:type="dxa"/>
            </w:tcMar>
          </w:tcPr>
          <w:p w14:paraId="179A3B9B" w14:textId="77777777"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filtering</w:t>
            </w:r>
          </w:p>
        </w:tc>
      </w:tr>
      <w:tr w:rsidR="00B77831" w14:paraId="0474607E" w14:textId="77777777" w:rsidTr="00A2364D">
        <w:tc>
          <w:tcPr>
            <w:tcW w:w="720" w:type="dxa"/>
            <w:tcMar>
              <w:top w:w="100" w:type="dxa"/>
              <w:left w:w="100" w:type="dxa"/>
              <w:bottom w:w="100" w:type="dxa"/>
              <w:right w:w="100" w:type="dxa"/>
            </w:tcMar>
          </w:tcPr>
          <w:p w14:paraId="39EA5BB7"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6690" w:type="dxa"/>
            <w:tcMar>
              <w:top w:w="100" w:type="dxa"/>
              <w:left w:w="100" w:type="dxa"/>
              <w:bottom w:w="100" w:type="dxa"/>
              <w:right w:w="100" w:type="dxa"/>
            </w:tcMar>
          </w:tcPr>
          <w:p w14:paraId="6ECD45C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("hemophilia a"[MeSH Terms] OR "hemophilia b"[MeSH Terms] OR ("haemophilia a"[All Fields] OR "hemophilia a"[MeSH Terms] OR "hemophilia a"[All Fields]) OR ("haemophilia b"[All Fields] </w:t>
            </w:r>
            <w:r>
              <w:rPr>
                <w:rFonts w:ascii="Times New Roman" w:eastAsia="Times New Roman" w:hAnsi="Times New Roman" w:cs="Times New Roman"/>
                <w:sz w:val="24"/>
                <w:szCs w:val="24"/>
                <w:highlight w:val="white"/>
              </w:rPr>
              <w:lastRenderedPageBreak/>
              <w:t xml:space="preserve">OR "hemophilia b"[MeSH Terms] OR "hemophilia b"[All Fields]) OR ("haemophilia a"[All Fields] OR "hemophilia a"[MeSH Terms] OR "hemophilia a"[All Fields]) OR ("haemophilia b"[All Fields] OR "hemophilia b"[MeSH Terms] OR "hemophilia b"[All Fields])) AND ("factor replacement"[Title/Abstract] OR "clotting factor concentrate"[Title/Abstract] OR "fviii replacement"[Title/Abstract] OR "fix replacement"[Title/Abstract]) AND ("extended half life"[Title/Abstract] OR "EHL"[Title/Abstract] OR ("longer"[All Fields] AND "half life factor"[Title/Abstract]) OR "extended half life factor viii"[Title/Abstract] OR "extended half life factor ix"[Title/Abstract] OR ("standard half life"[Title/Abstract] OR "SHL"[Title/Abstract] OR "standard half life factor viii"[Title/Abstract] OR "standard half life factor ix"[Title/Abstract]) OR ("non factor replacement"[Title/Abstract] AND ("prophylaxis"[Title/Abstract] OR "bleeding rate"[Title/Abstract] OR "annualized bleeding rate"[Title/Abstract] OR "ABR"[Title/Abstract] OR "annualised bleeding rate"[Title/Abstract] OR "joint bleeding"[Title/Abstract] OR ("annualised"[All Fields] AND "joint bleeding rate"[Title/Abstract]) OR "AJBR"[Title/Abstract] OR "zero bleeds"[Title/Abstract] OR ((("dose fractionation, radiation"[MeSH Terms] OR ("dose"[All Fields] AND "fractionation"[All Fields] AND "radiation"[All Fields]) OR "radiation dose fractionation"[All Fields] OR "fractionation"[All Fields] OR "chemical fractionation"[MeSH Terms] OR ("chemical"[All Fields] AND "fractionation"[All Fields]) OR "chemical fractionation"[All Fields] OR "fraction"[All Fields] OR "fraction s"[All Fields] OR "fractionate"[All Fields] OR "fractionated"[All Fields] OR "fractionates"[All Fields] OR "fractionating"[All Fields] OR "fractionationed"[All Fields] OR "fractionations"[All Fields] OR "fractionator"[All Fields] OR "fractionators"[All Fields] OR "fractioned"[All Fields] OR "fractioning"[All Fields] OR "fractionized"[All Fields] OR "fractions"[All Fields]) AND ("patient s"[All Fields] OR "patients"[MeSH Terms] OR "patients"[All Fields] OR "patient"[All Fields] OR "patients s"[All Fields])) AND "zero bleeds"[Title/Abstract]) OR "factor consumption"[Title/Abstract] OR "infusion frequency"[Title/Abstract] OR "quality of life"[Title/Abstract] OR "HRQoL"[Title/Abstract] OR "safety outcome"[Title/Abstract] OR </w:t>
            </w:r>
            <w:r>
              <w:rPr>
                <w:rFonts w:ascii="Times New Roman" w:eastAsia="Times New Roman" w:hAnsi="Times New Roman" w:cs="Times New Roman"/>
                <w:sz w:val="24"/>
                <w:szCs w:val="24"/>
                <w:highlight w:val="white"/>
              </w:rPr>
              <w:lastRenderedPageBreak/>
              <w:t>"inhibitor"[Title/Abstract] OR "thromboembolic event"[Title/Abstract])</w:t>
            </w:r>
          </w:p>
          <w:p w14:paraId="53FBF73B" w14:textId="77777777"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14:paraId="044874F8"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324</w:t>
            </w:r>
          </w:p>
        </w:tc>
        <w:tc>
          <w:tcPr>
            <w:tcW w:w="825" w:type="dxa"/>
            <w:tcMar>
              <w:top w:w="100" w:type="dxa"/>
              <w:left w:w="100" w:type="dxa"/>
              <w:bottom w:w="100" w:type="dxa"/>
              <w:right w:w="100" w:type="dxa"/>
            </w:tcMar>
          </w:tcPr>
          <w:p w14:paraId="6ABBFC19"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2020-2025,Free full </w:t>
            </w:r>
            <w:r>
              <w:rPr>
                <w:rFonts w:ascii="Times New Roman" w:eastAsia="Times New Roman" w:hAnsi="Times New Roman" w:cs="Times New Roman"/>
                <w:sz w:val="24"/>
                <w:szCs w:val="24"/>
                <w:highlight w:val="white"/>
              </w:rPr>
              <w:t>text, English, Humans.</w:t>
            </w:r>
          </w:p>
        </w:tc>
        <w:tc>
          <w:tcPr>
            <w:tcW w:w="720" w:type="dxa"/>
            <w:tcMar>
              <w:top w:w="100" w:type="dxa"/>
              <w:left w:w="100" w:type="dxa"/>
              <w:bottom w:w="100" w:type="dxa"/>
              <w:right w:w="100" w:type="dxa"/>
            </w:tcMar>
          </w:tcPr>
          <w:p w14:paraId="48C33927"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95</w:t>
            </w:r>
          </w:p>
        </w:tc>
      </w:tr>
      <w:tr w:rsidR="00B77831" w14:paraId="3BEAB4BB" w14:textId="77777777" w:rsidTr="00A2364D">
        <w:tc>
          <w:tcPr>
            <w:tcW w:w="720" w:type="dxa"/>
            <w:tcMar>
              <w:top w:w="100" w:type="dxa"/>
              <w:left w:w="100" w:type="dxa"/>
              <w:bottom w:w="100" w:type="dxa"/>
              <w:right w:w="100" w:type="dxa"/>
            </w:tcMar>
          </w:tcPr>
          <w:p w14:paraId="7FA674A5"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Google Scholar</w:t>
            </w:r>
          </w:p>
        </w:tc>
        <w:tc>
          <w:tcPr>
            <w:tcW w:w="6690" w:type="dxa"/>
            <w:tcMar>
              <w:top w:w="100" w:type="dxa"/>
              <w:left w:w="100" w:type="dxa"/>
              <w:bottom w:w="100" w:type="dxa"/>
              <w:right w:w="100" w:type="dxa"/>
            </w:tcMar>
          </w:tcPr>
          <w:p w14:paraId="2FD5EAF5"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("hemophilia A" OR "hemophilia B")</w:t>
            </w:r>
          </w:p>
          <w:p w14:paraId="3CA38D26"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("extended half-life" OR "EHL")</w:t>
            </w:r>
          </w:p>
          <w:p w14:paraId="696AC3F8"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("standard half-life" OR "SHL")</w:t>
            </w:r>
          </w:p>
          <w:p w14:paraId="3FECE0C7"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("factor VIII" OR "factor IX")</w:t>
            </w:r>
          </w:p>
          <w:p w14:paraId="7D780A68"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("annualized bleeding rate" OR "ABR" OR "joint bleeding rate" OR "AJBR" OR "zero bleeds")</w:t>
            </w:r>
          </w:p>
          <w:p w14:paraId="01342901" w14:textId="77777777"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("prophylaxis" OR "treatment adherence" OR "infusion frequency" OR "quality of life" OR "HRQoL")</w:t>
            </w:r>
          </w:p>
          <w:p w14:paraId="4915AA29" w14:textId="77777777"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14:paraId="5F2DB379"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494</w:t>
            </w:r>
          </w:p>
        </w:tc>
        <w:tc>
          <w:tcPr>
            <w:tcW w:w="825" w:type="dxa"/>
            <w:tcMar>
              <w:top w:w="100" w:type="dxa"/>
              <w:left w:w="100" w:type="dxa"/>
              <w:bottom w:w="100" w:type="dxa"/>
              <w:right w:w="100" w:type="dxa"/>
            </w:tcMar>
          </w:tcPr>
          <w:p w14:paraId="774B0052"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2020-2025</w:t>
            </w:r>
          </w:p>
        </w:tc>
        <w:tc>
          <w:tcPr>
            <w:tcW w:w="720" w:type="dxa"/>
            <w:tcMar>
              <w:top w:w="100" w:type="dxa"/>
              <w:left w:w="100" w:type="dxa"/>
              <w:bottom w:w="100" w:type="dxa"/>
              <w:right w:w="100" w:type="dxa"/>
            </w:tcMar>
          </w:tcPr>
          <w:p w14:paraId="1358420D"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0"/>
                <w:szCs w:val="20"/>
                <w:highlight w:val="white"/>
              </w:rPr>
              <w:t>482</w:t>
            </w:r>
          </w:p>
        </w:tc>
      </w:tr>
      <w:tr w:rsidR="00B77831" w14:paraId="46E62398" w14:textId="77777777" w:rsidTr="00A2364D">
        <w:tc>
          <w:tcPr>
            <w:tcW w:w="720" w:type="dxa"/>
            <w:tcMar>
              <w:top w:w="100" w:type="dxa"/>
              <w:left w:w="100" w:type="dxa"/>
              <w:bottom w:w="100" w:type="dxa"/>
              <w:right w:w="100" w:type="dxa"/>
            </w:tcMar>
          </w:tcPr>
          <w:p w14:paraId="362432C4"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Clinicaltrial.gov</w:t>
            </w:r>
          </w:p>
        </w:tc>
        <w:tc>
          <w:tcPr>
            <w:tcW w:w="6690" w:type="dxa"/>
            <w:tcMar>
              <w:top w:w="100" w:type="dxa"/>
              <w:left w:w="100" w:type="dxa"/>
              <w:bottom w:w="100" w:type="dxa"/>
              <w:right w:w="100" w:type="dxa"/>
            </w:tcMar>
          </w:tcPr>
          <w:p w14:paraId="25BC51F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A OR hemophilia B) AND (extended half-life OR EHL OR longer half-life factor OR extended half life factor VIII OR extended half life factor IX) OR (standard half-life OR SHL OR standard half life factor VIII OR standard half life factor IX) AND (factor replacement OR clotting factor concentrate OR FVIII replacement OR FIX replacement) AND (prophylaxis OR bleeding rate OR annualized bleeding rate OR ABR OR annualised bleeding rate OR joint bleeding OR annualised joint bleeding rate OR AJBR OR zero bleeds OR fraction of patients zero bleeds OR factor consumption OR infusion frequency OR quality of life OR HRQoL OR safety outcome OR inhibitor OR thromboembolic event)</w:t>
            </w:r>
          </w:p>
          <w:p w14:paraId="44A10C27" w14:textId="77777777"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14:paraId="715C2070"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w:t>
            </w:r>
          </w:p>
        </w:tc>
        <w:tc>
          <w:tcPr>
            <w:tcW w:w="825" w:type="dxa"/>
            <w:tcMar>
              <w:top w:w="100" w:type="dxa"/>
              <w:left w:w="100" w:type="dxa"/>
              <w:bottom w:w="100" w:type="dxa"/>
              <w:right w:w="100" w:type="dxa"/>
            </w:tcMar>
          </w:tcPr>
          <w:p w14:paraId="76555495" w14:textId="77777777"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720" w:type="dxa"/>
            <w:tcMar>
              <w:top w:w="100" w:type="dxa"/>
              <w:left w:w="100" w:type="dxa"/>
              <w:bottom w:w="100" w:type="dxa"/>
              <w:right w:w="100" w:type="dxa"/>
            </w:tcMar>
          </w:tcPr>
          <w:p w14:paraId="429AC78C" w14:textId="77777777" w:rsidR="00B77831" w:rsidRDefault="00B77831" w:rsidP="00A2364D">
            <w:pPr>
              <w:widowControl w:val="0"/>
              <w:rPr>
                <w:rFonts w:ascii="Times New Roman" w:eastAsia="Times New Roman" w:hAnsi="Times New Roman" w:cs="Times New Roman"/>
                <w:sz w:val="24"/>
                <w:szCs w:val="24"/>
                <w:highlight w:val="white"/>
              </w:rPr>
            </w:pPr>
          </w:p>
        </w:tc>
      </w:tr>
    </w:tbl>
    <w:p w14:paraId="05F060FA" w14:textId="77777777" w:rsidR="00B77831" w:rsidRDefault="00B77831" w:rsidP="00B77831">
      <w:pPr>
        <w:spacing w:before="240" w:after="240"/>
        <w:jc w:val="both"/>
      </w:pPr>
    </w:p>
    <w:p w14:paraId="71C519BB" w14:textId="77777777" w:rsidR="00B77831" w:rsidRDefault="00B77831" w:rsidP="00B77831">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Supplement File 2: Quality Assessment of the Included Studies Based on ROBINS-I tool for non-randomized studies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B77831" w14:paraId="71D7FB0F" w14:textId="77777777" w:rsidTr="00A2364D">
        <w:tc>
          <w:tcPr>
            <w:tcW w:w="936" w:type="dxa"/>
            <w:tcMar>
              <w:top w:w="100" w:type="dxa"/>
              <w:left w:w="100" w:type="dxa"/>
              <w:bottom w:w="100" w:type="dxa"/>
              <w:right w:w="100" w:type="dxa"/>
            </w:tcMar>
          </w:tcPr>
          <w:p w14:paraId="3178FCA4" w14:textId="77777777" w:rsidR="00B77831" w:rsidRDefault="00B77831" w:rsidP="00A2364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Study ID </w:t>
            </w:r>
          </w:p>
        </w:tc>
        <w:tc>
          <w:tcPr>
            <w:tcW w:w="936" w:type="dxa"/>
            <w:tcMar>
              <w:top w:w="100" w:type="dxa"/>
              <w:left w:w="100" w:type="dxa"/>
              <w:bottom w:w="100" w:type="dxa"/>
              <w:right w:w="100" w:type="dxa"/>
            </w:tcMar>
          </w:tcPr>
          <w:p w14:paraId="0980F407"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Confounding</w:t>
            </w:r>
          </w:p>
        </w:tc>
        <w:tc>
          <w:tcPr>
            <w:tcW w:w="936" w:type="dxa"/>
            <w:tcMar>
              <w:top w:w="100" w:type="dxa"/>
              <w:left w:w="100" w:type="dxa"/>
              <w:bottom w:w="100" w:type="dxa"/>
              <w:right w:w="100" w:type="dxa"/>
            </w:tcMar>
          </w:tcPr>
          <w:p w14:paraId="331E58DB"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the Selection of Participants</w:t>
            </w:r>
          </w:p>
        </w:tc>
        <w:tc>
          <w:tcPr>
            <w:tcW w:w="936" w:type="dxa"/>
            <w:tcMar>
              <w:top w:w="100" w:type="dxa"/>
              <w:left w:w="100" w:type="dxa"/>
              <w:bottom w:w="100" w:type="dxa"/>
              <w:right w:w="100" w:type="dxa"/>
            </w:tcMar>
          </w:tcPr>
          <w:p w14:paraId="2E4398C2"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Classification of the Intervention</w:t>
            </w:r>
          </w:p>
        </w:tc>
        <w:tc>
          <w:tcPr>
            <w:tcW w:w="936" w:type="dxa"/>
            <w:tcMar>
              <w:top w:w="100" w:type="dxa"/>
              <w:left w:w="100" w:type="dxa"/>
              <w:bottom w:w="100" w:type="dxa"/>
              <w:right w:w="100" w:type="dxa"/>
            </w:tcMar>
          </w:tcPr>
          <w:p w14:paraId="72482417"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Deviations from Intended Intervention</w:t>
            </w:r>
          </w:p>
        </w:tc>
        <w:tc>
          <w:tcPr>
            <w:tcW w:w="936" w:type="dxa"/>
            <w:tcMar>
              <w:top w:w="100" w:type="dxa"/>
              <w:left w:w="100" w:type="dxa"/>
              <w:bottom w:w="100" w:type="dxa"/>
              <w:right w:w="100" w:type="dxa"/>
            </w:tcMar>
          </w:tcPr>
          <w:p w14:paraId="549D697C"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Missing Outcome Data</w:t>
            </w:r>
          </w:p>
        </w:tc>
        <w:tc>
          <w:tcPr>
            <w:tcW w:w="936" w:type="dxa"/>
            <w:tcMar>
              <w:top w:w="100" w:type="dxa"/>
              <w:left w:w="100" w:type="dxa"/>
              <w:bottom w:w="100" w:type="dxa"/>
              <w:right w:w="100" w:type="dxa"/>
            </w:tcMar>
          </w:tcPr>
          <w:p w14:paraId="35E49FE0"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Measurement of the Outcome</w:t>
            </w:r>
          </w:p>
        </w:tc>
        <w:tc>
          <w:tcPr>
            <w:tcW w:w="936" w:type="dxa"/>
            <w:tcMar>
              <w:top w:w="100" w:type="dxa"/>
              <w:left w:w="100" w:type="dxa"/>
              <w:bottom w:w="100" w:type="dxa"/>
              <w:right w:w="100" w:type="dxa"/>
            </w:tcMar>
          </w:tcPr>
          <w:p w14:paraId="1ED62872"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Selection of the Reported Result</w:t>
            </w:r>
          </w:p>
        </w:tc>
        <w:tc>
          <w:tcPr>
            <w:tcW w:w="936" w:type="dxa"/>
            <w:tcMar>
              <w:top w:w="100" w:type="dxa"/>
              <w:left w:w="100" w:type="dxa"/>
              <w:bottom w:w="100" w:type="dxa"/>
              <w:right w:w="100" w:type="dxa"/>
            </w:tcMar>
          </w:tcPr>
          <w:p w14:paraId="18DA6F9D"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Overall Risk of Bias</w:t>
            </w:r>
          </w:p>
        </w:tc>
        <w:tc>
          <w:tcPr>
            <w:tcW w:w="936" w:type="dxa"/>
            <w:tcMar>
              <w:top w:w="100" w:type="dxa"/>
              <w:left w:w="100" w:type="dxa"/>
              <w:bottom w:w="100" w:type="dxa"/>
              <w:right w:w="100" w:type="dxa"/>
            </w:tcMar>
          </w:tcPr>
          <w:p w14:paraId="0EF8977B"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Rationale for Overall Judgment</w:t>
            </w:r>
          </w:p>
        </w:tc>
      </w:tr>
      <w:tr w:rsidR="00B77831" w14:paraId="3C18E1DD" w14:textId="77777777" w:rsidTr="00A2364D">
        <w:tc>
          <w:tcPr>
            <w:tcW w:w="936" w:type="dxa"/>
            <w:tcMar>
              <w:top w:w="100" w:type="dxa"/>
              <w:left w:w="100" w:type="dxa"/>
              <w:bottom w:w="100" w:type="dxa"/>
              <w:right w:w="100" w:type="dxa"/>
            </w:tcMar>
          </w:tcPr>
          <w:p w14:paraId="05C76331"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Ay et al. (2021)</w:t>
            </w:r>
          </w:p>
        </w:tc>
        <w:tc>
          <w:tcPr>
            <w:tcW w:w="936" w:type="dxa"/>
            <w:tcMar>
              <w:top w:w="100" w:type="dxa"/>
              <w:left w:w="100" w:type="dxa"/>
              <w:bottom w:w="100" w:type="dxa"/>
              <w:right w:w="100" w:type="dxa"/>
            </w:tcMar>
          </w:tcPr>
          <w:p w14:paraId="4D350247"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05A52F7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2D1AC19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7682BEF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10E5BBAA"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585D34C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0ABFD10E"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7BC3B01E"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1D486B4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14:paraId="7E4870B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 risk in selection (some exclusions without addressing bias)</w:t>
            </w:r>
          </w:p>
        </w:tc>
      </w:tr>
      <w:tr w:rsidR="00B77831" w14:paraId="41AFDC48" w14:textId="77777777" w:rsidTr="00A2364D">
        <w:tc>
          <w:tcPr>
            <w:tcW w:w="936" w:type="dxa"/>
            <w:tcMar>
              <w:top w:w="100" w:type="dxa"/>
              <w:left w:w="100" w:type="dxa"/>
              <w:bottom w:w="100" w:type="dxa"/>
              <w:right w:w="100" w:type="dxa"/>
            </w:tcMar>
          </w:tcPr>
          <w:p w14:paraId="219DBCEB"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Wu et al. (2025) </w:t>
            </w:r>
          </w:p>
        </w:tc>
        <w:tc>
          <w:tcPr>
            <w:tcW w:w="936" w:type="dxa"/>
            <w:tcMar>
              <w:top w:w="100" w:type="dxa"/>
              <w:left w:w="100" w:type="dxa"/>
              <w:bottom w:w="100" w:type="dxa"/>
              <w:right w:w="100" w:type="dxa"/>
            </w:tcMar>
          </w:tcPr>
          <w:p w14:paraId="3B6550D9"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38DB67A1"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54235A50"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6B4C8C32"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72AB51E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3171C89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7528E8D9"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3D79BC2D"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0234E132"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adjustment for confounders, non-random participant selection, impacting generalizability, moderate deviations and missing data concerns</w:t>
            </w:r>
          </w:p>
        </w:tc>
      </w:tr>
      <w:tr w:rsidR="00B77831" w14:paraId="568F1299" w14:textId="77777777" w:rsidTr="00A2364D">
        <w:tc>
          <w:tcPr>
            <w:tcW w:w="936" w:type="dxa"/>
            <w:tcMar>
              <w:top w:w="100" w:type="dxa"/>
              <w:left w:w="100" w:type="dxa"/>
              <w:bottom w:w="100" w:type="dxa"/>
              <w:right w:w="100" w:type="dxa"/>
            </w:tcMar>
          </w:tcPr>
          <w:p w14:paraId="12A29AF1"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Oldenburg et al. (2025a)</w:t>
            </w:r>
          </w:p>
        </w:tc>
        <w:tc>
          <w:tcPr>
            <w:tcW w:w="936" w:type="dxa"/>
            <w:tcMar>
              <w:top w:w="100" w:type="dxa"/>
              <w:left w:w="100" w:type="dxa"/>
              <w:bottom w:w="100" w:type="dxa"/>
              <w:right w:w="100" w:type="dxa"/>
            </w:tcMar>
          </w:tcPr>
          <w:p w14:paraId="031EBF6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4DA2BB6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76FCFD9E"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629A9001"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5E936F12"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5918F747"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2DD354A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1F63802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4738512D"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adjustment for confounders, non-random participant selection, </w:t>
            </w:r>
            <w:r>
              <w:rPr>
                <w:rFonts w:ascii="Times New Roman" w:eastAsia="Times New Roman" w:hAnsi="Times New Roman" w:cs="Times New Roman"/>
                <w:sz w:val="24"/>
                <w:szCs w:val="24"/>
                <w:highlight w:val="white"/>
              </w:rPr>
              <w:lastRenderedPageBreak/>
              <w:t>unbalanced intervention groups, deviations from intended interventions</w:t>
            </w:r>
          </w:p>
        </w:tc>
      </w:tr>
      <w:tr w:rsidR="00B77831" w14:paraId="07E946E6" w14:textId="77777777" w:rsidTr="00A2364D">
        <w:tc>
          <w:tcPr>
            <w:tcW w:w="936" w:type="dxa"/>
            <w:tcMar>
              <w:top w:w="100" w:type="dxa"/>
              <w:left w:w="100" w:type="dxa"/>
              <w:bottom w:w="100" w:type="dxa"/>
              <w:right w:w="100" w:type="dxa"/>
            </w:tcMar>
          </w:tcPr>
          <w:p w14:paraId="49C95CF6" w14:textId="77777777"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Goldmann et al. (2021)</w:t>
            </w:r>
          </w:p>
        </w:tc>
        <w:tc>
          <w:tcPr>
            <w:tcW w:w="936" w:type="dxa"/>
            <w:tcMar>
              <w:top w:w="100" w:type="dxa"/>
              <w:left w:w="100" w:type="dxa"/>
              <w:bottom w:w="100" w:type="dxa"/>
              <w:right w:w="100" w:type="dxa"/>
            </w:tcMar>
          </w:tcPr>
          <w:p w14:paraId="4D0019FD"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17F1E9D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36A471F0"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5DB3CAB2"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5573E594"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5A3B5394"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3102356D"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3CC8563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6CA0379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14:paraId="5982BF14"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 risk in selection (some exclusions, though transparent)</w:t>
            </w:r>
          </w:p>
        </w:tc>
      </w:tr>
      <w:tr w:rsidR="00B77831" w14:paraId="294C91F1" w14:textId="77777777" w:rsidTr="00A2364D">
        <w:tc>
          <w:tcPr>
            <w:tcW w:w="936" w:type="dxa"/>
            <w:tcMar>
              <w:top w:w="100" w:type="dxa"/>
              <w:left w:w="100" w:type="dxa"/>
              <w:bottom w:w="100" w:type="dxa"/>
              <w:right w:w="100" w:type="dxa"/>
            </w:tcMar>
          </w:tcPr>
          <w:p w14:paraId="1B5196DC" w14:textId="77777777" w:rsidR="00B77831" w:rsidRDefault="00B77831" w:rsidP="00A2364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Coppola et al. (2024)</w:t>
            </w:r>
          </w:p>
        </w:tc>
        <w:tc>
          <w:tcPr>
            <w:tcW w:w="936" w:type="dxa"/>
            <w:tcMar>
              <w:top w:w="100" w:type="dxa"/>
              <w:left w:w="100" w:type="dxa"/>
              <w:bottom w:w="100" w:type="dxa"/>
              <w:right w:w="100" w:type="dxa"/>
            </w:tcMar>
          </w:tcPr>
          <w:p w14:paraId="24153D55"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5DDE9D53"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404662E0"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674C1087"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6C22ED1F"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12EFB58D"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11149C4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5EBCBA51"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0944A3C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risk and moderate selection bias</w:t>
            </w:r>
          </w:p>
        </w:tc>
      </w:tr>
      <w:tr w:rsidR="00B77831" w14:paraId="23B64453" w14:textId="77777777" w:rsidTr="00A2364D">
        <w:tc>
          <w:tcPr>
            <w:tcW w:w="936" w:type="dxa"/>
            <w:tcMar>
              <w:top w:w="100" w:type="dxa"/>
              <w:left w:w="100" w:type="dxa"/>
              <w:bottom w:w="100" w:type="dxa"/>
              <w:right w:w="100" w:type="dxa"/>
            </w:tcMar>
          </w:tcPr>
          <w:p w14:paraId="7987934E" w14:textId="77777777" w:rsidR="00B77831" w:rsidRDefault="00B77831" w:rsidP="00A2364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Funding et al. (2023)</w:t>
            </w:r>
          </w:p>
        </w:tc>
        <w:tc>
          <w:tcPr>
            <w:tcW w:w="936" w:type="dxa"/>
            <w:tcMar>
              <w:top w:w="100" w:type="dxa"/>
              <w:left w:w="100" w:type="dxa"/>
              <w:bottom w:w="100" w:type="dxa"/>
              <w:right w:w="100" w:type="dxa"/>
            </w:tcMar>
          </w:tcPr>
          <w:p w14:paraId="612AFF7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14:paraId="4998247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6CBBE310"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7F02C3FC"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28259F66"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4660C17A"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14:paraId="08EB52B8"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46D117D0"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14:paraId="5E8B5E87" w14:textId="77777777"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and moderate selection bias</w:t>
            </w:r>
          </w:p>
        </w:tc>
      </w:tr>
    </w:tbl>
    <w:p w14:paraId="2267F17B" w14:textId="77777777" w:rsidR="00B77831" w:rsidRDefault="00B77831" w:rsidP="00B77831">
      <w:pPr>
        <w:spacing w:before="240" w:after="240"/>
        <w:jc w:val="both"/>
      </w:pPr>
    </w:p>
    <w:p w14:paraId="08A7C08C" w14:textId="77777777" w:rsidR="00B77831" w:rsidRDefault="00B77831" w:rsidP="00B77831">
      <w:pPr>
        <w:spacing w:before="240" w:after="240"/>
        <w:jc w:val="both"/>
      </w:pPr>
    </w:p>
    <w:p w14:paraId="26926B91" w14:textId="77777777" w:rsidR="00B77831" w:rsidRDefault="00B77831" w:rsidP="00B77831">
      <w:pPr>
        <w:spacing w:before="240" w:after="240"/>
        <w:jc w:val="both"/>
      </w:pPr>
    </w:p>
    <w:p w14:paraId="5A354FB3" w14:textId="77777777" w:rsidR="00B77831" w:rsidRDefault="00B77831" w:rsidP="00B77831">
      <w:pPr>
        <w:spacing w:before="240" w:after="240"/>
        <w:jc w:val="both"/>
      </w:pPr>
    </w:p>
    <w:p w14:paraId="4A3F5E71" w14:textId="77777777" w:rsidR="00E46DF7" w:rsidRDefault="00E46DF7">
      <w:pPr>
        <w:spacing w:before="240" w:after="240"/>
        <w:jc w:val="both"/>
        <w:rPr>
          <w:rFonts w:ascii="Times New Roman" w:eastAsia="Times New Roman" w:hAnsi="Times New Roman" w:cs="Times New Roman"/>
          <w:sz w:val="24"/>
          <w:szCs w:val="24"/>
        </w:rPr>
      </w:pPr>
    </w:p>
    <w:p w14:paraId="7C16FBC6" w14:textId="77777777" w:rsidR="00E46DF7" w:rsidRDefault="00E46DF7">
      <w:pPr>
        <w:spacing w:before="240" w:after="240"/>
        <w:jc w:val="both"/>
        <w:rPr>
          <w:rFonts w:ascii="Times New Roman" w:eastAsia="Times New Roman" w:hAnsi="Times New Roman" w:cs="Times New Roman"/>
          <w:sz w:val="24"/>
          <w:szCs w:val="24"/>
        </w:rPr>
      </w:pPr>
    </w:p>
    <w:p w14:paraId="18C5DC42" w14:textId="77777777" w:rsidR="00E46DF7" w:rsidRDefault="00E46DF7">
      <w:pPr>
        <w:spacing w:before="240" w:after="240"/>
        <w:jc w:val="both"/>
        <w:rPr>
          <w:rFonts w:ascii="Times New Roman" w:eastAsia="Times New Roman" w:hAnsi="Times New Roman" w:cs="Times New Roman"/>
          <w:sz w:val="24"/>
          <w:szCs w:val="24"/>
        </w:rPr>
      </w:pPr>
    </w:p>
    <w:p w14:paraId="799F973B" w14:textId="77777777" w:rsidR="00E46DF7" w:rsidRDefault="00E46DF7">
      <w:pPr>
        <w:spacing w:before="240" w:after="240"/>
        <w:jc w:val="both"/>
        <w:rPr>
          <w:rFonts w:ascii="Times New Roman" w:eastAsia="Times New Roman" w:hAnsi="Times New Roman" w:cs="Times New Roman"/>
          <w:sz w:val="24"/>
          <w:szCs w:val="24"/>
        </w:rPr>
      </w:pPr>
    </w:p>
    <w:p w14:paraId="7A79A8AB" w14:textId="77777777" w:rsidR="00E46DF7" w:rsidRDefault="00E46DF7">
      <w:pPr>
        <w:spacing w:before="240" w:after="240"/>
        <w:jc w:val="both"/>
        <w:rPr>
          <w:rFonts w:ascii="Times New Roman" w:eastAsia="Times New Roman" w:hAnsi="Times New Roman" w:cs="Times New Roman"/>
          <w:sz w:val="24"/>
          <w:szCs w:val="24"/>
        </w:rPr>
      </w:pPr>
    </w:p>
    <w:p w14:paraId="28489A3D" w14:textId="77777777" w:rsidR="00E46DF7" w:rsidRDefault="00E46DF7">
      <w:pPr>
        <w:spacing w:before="240" w:after="240"/>
        <w:jc w:val="both"/>
        <w:rPr>
          <w:rFonts w:ascii="Times New Roman" w:eastAsia="Times New Roman" w:hAnsi="Times New Roman" w:cs="Times New Roman"/>
          <w:b/>
          <w:bCs/>
          <w:sz w:val="16"/>
          <w:szCs w:val="16"/>
        </w:rPr>
      </w:pPr>
    </w:p>
    <w:p w14:paraId="0451E237" w14:textId="77777777" w:rsidR="00E46DF7" w:rsidRDefault="00E46DF7">
      <w:pPr>
        <w:spacing w:before="240" w:after="240"/>
        <w:jc w:val="both"/>
        <w:rPr>
          <w:rFonts w:ascii="Times New Roman" w:eastAsia="Times New Roman" w:hAnsi="Times New Roman" w:cs="Times New Roman"/>
          <w:b/>
          <w:bCs/>
          <w:sz w:val="16"/>
          <w:szCs w:val="16"/>
        </w:rPr>
      </w:pPr>
    </w:p>
    <w:p w14:paraId="54601978" w14:textId="77777777" w:rsidR="00E46DF7" w:rsidRDefault="00E46DF7">
      <w:pPr>
        <w:spacing w:before="240" w:after="240"/>
        <w:jc w:val="both"/>
        <w:rPr>
          <w:rFonts w:ascii="Times New Roman" w:eastAsia="Times New Roman" w:hAnsi="Times New Roman" w:cs="Times New Roman"/>
          <w:b/>
          <w:bCs/>
          <w:sz w:val="16"/>
          <w:szCs w:val="16"/>
        </w:rPr>
      </w:pPr>
    </w:p>
    <w:p w14:paraId="05BDE0FF" w14:textId="77777777" w:rsidR="00E46DF7" w:rsidRDefault="00E46DF7">
      <w:pPr>
        <w:spacing w:before="240" w:after="240"/>
        <w:jc w:val="both"/>
        <w:rPr>
          <w:rFonts w:ascii="Times New Roman" w:eastAsia="Times New Roman" w:hAnsi="Times New Roman" w:cs="Times New Roman"/>
          <w:b/>
          <w:bCs/>
          <w:sz w:val="16"/>
          <w:szCs w:val="16"/>
        </w:rPr>
      </w:pPr>
    </w:p>
    <w:p w14:paraId="606D464A" w14:textId="77777777" w:rsidR="00E46DF7" w:rsidRDefault="00E46DF7">
      <w:pPr>
        <w:spacing w:before="240" w:after="240"/>
        <w:jc w:val="both"/>
        <w:rPr>
          <w:rFonts w:ascii="Times New Roman" w:eastAsia="Times New Roman" w:hAnsi="Times New Roman" w:cs="Times New Roman"/>
          <w:b/>
          <w:bCs/>
          <w:sz w:val="16"/>
          <w:szCs w:val="16"/>
        </w:rPr>
      </w:pPr>
    </w:p>
    <w:p w14:paraId="5B2E72CD" w14:textId="77777777" w:rsidR="00E46DF7" w:rsidRDefault="00E46DF7">
      <w:pPr>
        <w:spacing w:before="240" w:after="240"/>
        <w:jc w:val="both"/>
        <w:rPr>
          <w:rFonts w:ascii="Times New Roman" w:eastAsia="Times New Roman" w:hAnsi="Times New Roman" w:cs="Times New Roman"/>
          <w:b/>
          <w:bCs/>
          <w:sz w:val="16"/>
          <w:szCs w:val="16"/>
        </w:rPr>
      </w:pPr>
    </w:p>
    <w:sectPr w:rsidR="00E46DF7">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a t" w:date="2026-02-11T14:40:00Z" w:initials="at">
    <w:p w14:paraId="10539974" w14:textId="07EC9144" w:rsidR="00DD5651" w:rsidRDefault="00DD5651" w:rsidP="00DD5651">
      <w:pPr>
        <w:pStyle w:val="CommentText"/>
      </w:pPr>
      <w:r>
        <w:rPr>
          <w:rStyle w:val="CommentReference"/>
        </w:rPr>
        <w:annotationRef/>
      </w:r>
      <w:r w:rsidRPr="00DD5651">
        <w:t>Clarify the distribution of patients between Hemophilia A and B to provide a better clinical context for the results.</w:t>
      </w:r>
    </w:p>
  </w:comment>
  <w:comment w:id="1" w:author="aa t" w:date="2026-02-11T14:41:00Z" w:initials="at">
    <w:p w14:paraId="34B4EA60" w14:textId="20369579" w:rsidR="00DD5651" w:rsidRDefault="00DD5651" w:rsidP="00DD5651">
      <w:pPr>
        <w:pStyle w:val="CommentText"/>
      </w:pPr>
      <w:r>
        <w:rPr>
          <w:rStyle w:val="CommentReference"/>
        </w:rPr>
        <w:annotationRef/>
      </w:r>
      <w:r w:rsidRPr="00DD5651">
        <w:t>Consolidate the first two paragraphs. Focus more on the specific challenges of SHL (infusion frequency) to justify the study.</w:t>
      </w:r>
    </w:p>
  </w:comment>
  <w:comment w:id="9" w:author="aa t" w:date="2026-02-11T14:42:00Z" w:initials="at">
    <w:p w14:paraId="5D8C7EAA" w14:textId="448376A0" w:rsidR="00DD5651" w:rsidRDefault="00DD5651" w:rsidP="00DD5651">
      <w:pPr>
        <w:pStyle w:val="CommentText"/>
      </w:pPr>
      <w:r>
        <w:rPr>
          <w:rStyle w:val="CommentReference"/>
        </w:rPr>
        <w:annotationRef/>
      </w:r>
      <w:r w:rsidRPr="00DD5651">
        <w:t>Add the specific factor used (rIX-FP) in the table to maintain data completeness.</w:t>
      </w:r>
    </w:p>
  </w:comment>
  <w:comment w:id="14" w:author="aa t" w:date="2026-02-11T14:39:00Z" w:initials="at">
    <w:p w14:paraId="6F54623D" w14:textId="3268CC2C" w:rsidR="00DD5651" w:rsidRDefault="00DD5651" w:rsidP="00DD5651">
      <w:pPr>
        <w:pStyle w:val="CommentText"/>
      </w:pPr>
      <w:r>
        <w:rPr>
          <w:rStyle w:val="CommentReference"/>
        </w:rPr>
        <w:annotationRef/>
      </w:r>
      <w:r w:rsidRPr="00DD5651">
        <w:t>Add a sentence discussing if this heterogeneity is due to the small sample size or different factor types (VIII vs. IX).</w:t>
      </w:r>
    </w:p>
  </w:comment>
  <w:comment w:id="15" w:author="aa t" w:date="2026-02-11T14:34:00Z" w:initials="at">
    <w:p w14:paraId="62E64FC9" w14:textId="6E69248D" w:rsidR="00DD5651" w:rsidRDefault="00DD5651" w:rsidP="00DD5651">
      <w:pPr>
        <w:pStyle w:val="CommentText"/>
      </w:pPr>
      <w:r>
        <w:rPr>
          <w:rStyle w:val="CommentReference"/>
        </w:rPr>
        <w:annotationRef/>
      </w:r>
      <w:r w:rsidRPr="00DD5651">
        <w:t>Standardize the spelling throughout the document according to the journal’s preference (usually US English for IJR2H)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539974" w15:done="0"/>
  <w15:commentEx w15:paraId="34B4EA60" w15:done="0"/>
  <w15:commentEx w15:paraId="5D8C7EAA" w15:done="0"/>
  <w15:commentEx w15:paraId="6F54623D" w15:done="0"/>
  <w15:commentEx w15:paraId="62E64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AD1961" w16cex:dateUtc="2026-02-11T11:40:00Z"/>
  <w16cex:commentExtensible w16cex:durableId="2DC1D6D7" w16cex:dateUtc="2026-02-11T11:41:00Z"/>
  <w16cex:commentExtensible w16cex:durableId="7230C041" w16cex:dateUtc="2026-02-11T11:42:00Z"/>
  <w16cex:commentExtensible w16cex:durableId="02D19BBE" w16cex:dateUtc="2026-02-11T11:39:00Z"/>
  <w16cex:commentExtensible w16cex:durableId="340E3FD1" w16cex:dateUtc="2026-02-11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539974" w16cid:durableId="0BAD1961"/>
  <w16cid:commentId w16cid:paraId="34B4EA60" w16cid:durableId="2DC1D6D7"/>
  <w16cid:commentId w16cid:paraId="5D8C7EAA" w16cid:durableId="7230C041"/>
  <w16cid:commentId w16cid:paraId="6F54623D" w16cid:durableId="02D19BBE"/>
  <w16cid:commentId w16cid:paraId="62E64FC9" w16cid:durableId="340E3F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269B" w14:textId="77777777" w:rsidR="00DA2ACB" w:rsidRDefault="00DA2ACB" w:rsidP="008A033C">
      <w:pPr>
        <w:spacing w:line="240" w:lineRule="auto"/>
      </w:pPr>
      <w:r>
        <w:separator/>
      </w:r>
    </w:p>
  </w:endnote>
  <w:endnote w:type="continuationSeparator" w:id="0">
    <w:p w14:paraId="35693F29" w14:textId="77777777" w:rsidR="00DA2ACB" w:rsidRDefault="00DA2ACB" w:rsidP="008A0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46251CF7-96CB-46FD-B4C3-0C2D30548B46}"/>
  </w:font>
  <w:font w:name="Calibri">
    <w:panose1 w:val="020F0502020204030204"/>
    <w:charset w:val="00"/>
    <w:family w:val="swiss"/>
    <w:pitch w:val="variable"/>
    <w:sig w:usb0="E4002EFF" w:usb1="C200247B" w:usb2="00000009" w:usb3="00000000" w:csb0="000001FF" w:csb1="00000000"/>
    <w:embedRegular r:id="rId2" w:fontKey="{8CE09369-BB6F-41F3-814A-E978AC9AB45D}"/>
  </w:font>
  <w:font w:name="Cambria">
    <w:panose1 w:val="02040503050406030204"/>
    <w:charset w:val="00"/>
    <w:family w:val="roman"/>
    <w:pitch w:val="variable"/>
    <w:sig w:usb0="E00006FF" w:usb1="420024FF" w:usb2="02000000" w:usb3="00000000" w:csb0="0000019F" w:csb1="00000000"/>
    <w:embedRegular r:id="rId3" w:fontKey="{DBC04577-253A-4EF5-A0F3-1EC6B4AA1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4146" w14:textId="77777777" w:rsidR="008A033C" w:rsidRDefault="008A0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B3DA" w14:textId="77777777" w:rsidR="008A033C" w:rsidRDefault="008A0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6507" w14:textId="77777777" w:rsidR="008A033C" w:rsidRDefault="008A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8D8AE" w14:textId="77777777" w:rsidR="00DA2ACB" w:rsidRDefault="00DA2ACB" w:rsidP="008A033C">
      <w:pPr>
        <w:spacing w:line="240" w:lineRule="auto"/>
      </w:pPr>
      <w:r>
        <w:separator/>
      </w:r>
    </w:p>
  </w:footnote>
  <w:footnote w:type="continuationSeparator" w:id="0">
    <w:p w14:paraId="573784F8" w14:textId="77777777" w:rsidR="00DA2ACB" w:rsidRDefault="00DA2ACB" w:rsidP="008A0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A7DF" w14:textId="77777777" w:rsidR="008A033C" w:rsidRDefault="00000000">
    <w:pPr>
      <w:pStyle w:val="Header"/>
    </w:pPr>
    <w:r>
      <w:rPr>
        <w:noProof/>
      </w:rPr>
      <w:pict w14:anchorId="56793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9D76" w14:textId="77777777" w:rsidR="008A033C" w:rsidRDefault="00000000">
    <w:pPr>
      <w:pStyle w:val="Header"/>
    </w:pPr>
    <w:r>
      <w:rPr>
        <w:noProof/>
      </w:rPr>
      <w:pict w14:anchorId="0423A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ADCC" w14:textId="77777777" w:rsidR="008A033C" w:rsidRDefault="00000000">
    <w:pPr>
      <w:pStyle w:val="Header"/>
    </w:pPr>
    <w:r>
      <w:rPr>
        <w:noProof/>
      </w:rPr>
      <w:pict w14:anchorId="665FD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380"/>
    <w:multiLevelType w:val="multilevel"/>
    <w:tmpl w:val="826CC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167D1E"/>
    <w:multiLevelType w:val="multilevel"/>
    <w:tmpl w:val="887C8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8502848">
    <w:abstractNumId w:val="0"/>
  </w:num>
  <w:num w:numId="2" w16cid:durableId="75151135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a t">
    <w15:presenceInfo w15:providerId="Windows Live" w15:userId="4aed20d0013e6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DF7"/>
    <w:rsid w:val="000B3780"/>
    <w:rsid w:val="002E1A0D"/>
    <w:rsid w:val="004D73A1"/>
    <w:rsid w:val="00597711"/>
    <w:rsid w:val="006E61A9"/>
    <w:rsid w:val="007874F1"/>
    <w:rsid w:val="008A033C"/>
    <w:rsid w:val="00B77831"/>
    <w:rsid w:val="00DA2ACB"/>
    <w:rsid w:val="00DD5651"/>
    <w:rsid w:val="00E46D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FD834"/>
  <w15:docId w15:val="{D3FA2881-BE46-477F-A160-B72140899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character" w:styleId="Hyperlink">
    <w:name w:val="Hyperlink"/>
    <w:basedOn w:val="DefaultParagraphFont"/>
    <w:uiPriority w:val="99"/>
    <w:unhideWhenUsed/>
    <w:rsid w:val="007874F1"/>
    <w:rPr>
      <w:color w:val="0000FF" w:themeColor="hyperlink"/>
      <w:u w:val="single"/>
    </w:rPr>
  </w:style>
  <w:style w:type="character" w:styleId="UnresolvedMention">
    <w:name w:val="Unresolved Mention"/>
    <w:basedOn w:val="DefaultParagraphFont"/>
    <w:uiPriority w:val="99"/>
    <w:semiHidden/>
    <w:unhideWhenUsed/>
    <w:rsid w:val="007874F1"/>
    <w:rPr>
      <w:color w:val="605E5C"/>
      <w:shd w:val="clear" w:color="auto" w:fill="E1DFDD"/>
    </w:rPr>
  </w:style>
  <w:style w:type="paragraph" w:styleId="Header">
    <w:name w:val="header"/>
    <w:basedOn w:val="Normal"/>
    <w:link w:val="HeaderChar"/>
    <w:uiPriority w:val="99"/>
    <w:unhideWhenUsed/>
    <w:rsid w:val="008A033C"/>
    <w:pPr>
      <w:tabs>
        <w:tab w:val="center" w:pos="4680"/>
        <w:tab w:val="right" w:pos="9360"/>
      </w:tabs>
      <w:spacing w:line="240" w:lineRule="auto"/>
    </w:pPr>
  </w:style>
  <w:style w:type="character" w:customStyle="1" w:styleId="HeaderChar">
    <w:name w:val="Header Char"/>
    <w:basedOn w:val="DefaultParagraphFont"/>
    <w:link w:val="Header"/>
    <w:uiPriority w:val="99"/>
    <w:rsid w:val="008A033C"/>
  </w:style>
  <w:style w:type="paragraph" w:styleId="Footer">
    <w:name w:val="footer"/>
    <w:basedOn w:val="Normal"/>
    <w:link w:val="FooterChar"/>
    <w:uiPriority w:val="99"/>
    <w:unhideWhenUsed/>
    <w:rsid w:val="008A033C"/>
    <w:pPr>
      <w:tabs>
        <w:tab w:val="center" w:pos="4680"/>
        <w:tab w:val="right" w:pos="9360"/>
      </w:tabs>
      <w:spacing w:line="240" w:lineRule="auto"/>
    </w:pPr>
  </w:style>
  <w:style w:type="character" w:customStyle="1" w:styleId="FooterChar">
    <w:name w:val="Footer Char"/>
    <w:basedOn w:val="DefaultParagraphFont"/>
    <w:link w:val="Footer"/>
    <w:uiPriority w:val="99"/>
    <w:rsid w:val="008A033C"/>
  </w:style>
  <w:style w:type="character" w:styleId="CommentReference">
    <w:name w:val="annotation reference"/>
    <w:basedOn w:val="DefaultParagraphFont"/>
    <w:uiPriority w:val="99"/>
    <w:semiHidden/>
    <w:unhideWhenUsed/>
    <w:rsid w:val="00DD5651"/>
    <w:rPr>
      <w:sz w:val="16"/>
      <w:szCs w:val="16"/>
    </w:rPr>
  </w:style>
  <w:style w:type="paragraph" w:styleId="CommentText">
    <w:name w:val="annotation text"/>
    <w:basedOn w:val="Normal"/>
    <w:link w:val="CommentTextChar"/>
    <w:uiPriority w:val="99"/>
    <w:semiHidden/>
    <w:unhideWhenUsed/>
    <w:rsid w:val="00DD5651"/>
    <w:pPr>
      <w:spacing w:line="240" w:lineRule="auto"/>
    </w:pPr>
    <w:rPr>
      <w:sz w:val="20"/>
      <w:szCs w:val="20"/>
    </w:rPr>
  </w:style>
  <w:style w:type="character" w:customStyle="1" w:styleId="CommentTextChar">
    <w:name w:val="Comment Text Char"/>
    <w:basedOn w:val="DefaultParagraphFont"/>
    <w:link w:val="CommentText"/>
    <w:uiPriority w:val="99"/>
    <w:semiHidden/>
    <w:rsid w:val="00DD5651"/>
    <w:rPr>
      <w:sz w:val="20"/>
      <w:szCs w:val="20"/>
    </w:rPr>
  </w:style>
  <w:style w:type="paragraph" w:styleId="CommentSubject">
    <w:name w:val="annotation subject"/>
    <w:basedOn w:val="CommentText"/>
    <w:next w:val="CommentText"/>
    <w:link w:val="CommentSubjectChar"/>
    <w:uiPriority w:val="99"/>
    <w:semiHidden/>
    <w:unhideWhenUsed/>
    <w:rsid w:val="00DD5651"/>
    <w:rPr>
      <w:b/>
      <w:bCs/>
    </w:rPr>
  </w:style>
  <w:style w:type="character" w:customStyle="1" w:styleId="CommentSubjectChar">
    <w:name w:val="Comment Subject Char"/>
    <w:basedOn w:val="CommentTextChar"/>
    <w:link w:val="CommentSubject"/>
    <w:uiPriority w:val="99"/>
    <w:semiHidden/>
    <w:rsid w:val="00DD56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clinicaltrials.gov" TargetMode="External"/><Relationship Id="rId18" Type="http://schemas.openxmlformats.org/officeDocument/2006/relationships/hyperlink" Target="https://doi.org/10.1016/j.blre.2023.101164" TargetMode="External"/><Relationship Id="rId26" Type="http://schemas.openxmlformats.org/officeDocument/2006/relationships/hyperlink" Target="https://doi.org/10.2147/JBM.S304597" TargetMode="External"/><Relationship Id="rId39" Type="http://schemas.openxmlformats.org/officeDocument/2006/relationships/footer" Target="footer2.xml"/><Relationship Id="rId21" Type="http://schemas.openxmlformats.org/officeDocument/2006/relationships/hyperlink" Target="https://doi.org/10.1038/s41598-021-92245-5" TargetMode="External"/><Relationship Id="rId34" Type="http://schemas.openxmlformats.org/officeDocument/2006/relationships/hyperlink" Target="https://doi.org/10.1002/rth2.1260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93/jamia/ocaa148" TargetMode="External"/><Relationship Id="rId29" Type="http://schemas.openxmlformats.org/officeDocument/2006/relationships/hyperlink" Target="https://www.ncbi.nlm.nih.gov/books/NBK551607/"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5195/jmla.2022.1283" TargetMode="External"/><Relationship Id="rId32" Type="http://schemas.openxmlformats.org/officeDocument/2006/relationships/hyperlink" Target="https://doi.org/10.1186/1472-6947-7-1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thromres.2019.12.012" TargetMode="External"/><Relationship Id="rId28" Type="http://schemas.openxmlformats.org/officeDocument/2006/relationships/hyperlink" Target="https://doi.org/10.1182/blood-2024-200008" TargetMode="External"/><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https://doi.org/10.2450/2019.0211-19" TargetMode="External"/><Relationship Id="rId31" Type="http://schemas.openxmlformats.org/officeDocument/2006/relationships/hyperlink" Target="https://doi.org/10.1136/bmj.n71"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hyperlink" Target="https://doi.org/10.3390/jcm12206672" TargetMode="External"/><Relationship Id="rId27" Type="http://schemas.openxmlformats.org/officeDocument/2006/relationships/hyperlink" Target="https://doi.org/10.59556/japi.73.1055" TargetMode="External"/><Relationship Id="rId30" Type="http://schemas.openxmlformats.org/officeDocument/2006/relationships/hyperlink" Target="https://doi.org/10.1007/s12325-025-03303-7" TargetMode="External"/><Relationship Id="rId35" Type="http://schemas.openxmlformats.org/officeDocument/2006/relationships/hyperlink" Target="https://doi.org/10.1097/MBC.0000000000001386" TargetMode="External"/><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clinicaltrials.gov" TargetMode="External"/><Relationship Id="rId17" Type="http://schemas.openxmlformats.org/officeDocument/2006/relationships/hyperlink" Target="https://www.sciencedirect.com/science/article/pii/S0268960X23001340?utm_source=chatgpt.com" TargetMode="External"/><Relationship Id="rId25" Type="http://schemas.openxmlformats.org/officeDocument/2006/relationships/hyperlink" Target="https://doi.org/10.15520/jcmro.v4i05.422" TargetMode="External"/><Relationship Id="rId33" Type="http://schemas.openxmlformats.org/officeDocument/2006/relationships/hyperlink" Target="https://doi.org/10.1136/bmj.i4919"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ThvgnD2N5ed7TP46EuhcGCpg==">CgMxLjAaJQoBMBIgCh4IB0IaCg9UaW1lcyBOZXcgUm9tYW4SB0d1bmdzdWgaJQoBMRIgCh4IB0IaCg9UaW1lcyBOZXcgUm9tYW4SB0d1bmdzdWgaJQoBMhIgCh4IB0IaCg9UaW1lcyBOZXcgUm9tYW4SB0d1bmdzdWgaHwoBMxIaChgICVIUChJ0YWJsZS53aXV2ZmNhN3djN3kyDmgub256dnpsN2VuZzdkMg5oLmU4aGVweTFhbHJsbTIOaC40cDN1ZWd4bjJoc3EyDmgubG1ibGFodWJ5cGs0Mg5oLjF3a2toaGVhamc0dzIOaC5hZGpieTNwcGlxdWwyDmguYXkxcmd0MnFua3NpMg5oLjVsaTBuamVyOG81NDINaC54OHAyZ250M3ZhZTIOaC5mMnF5ZDRqZmdianAyDmguNnMwdTBxdW9taGtnOAByITEyX2ZpbktpWDZqMllfUnRuTkQ0dUlxbnZlSGMyMmM0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7067</Words>
  <Characters>40288</Characters>
  <Application>Microsoft Office Word</Application>
  <DocSecurity>0</DocSecurity>
  <Lines>335</Lines>
  <Paragraphs>94</Paragraphs>
  <ScaleCrop>false</ScaleCrop>
  <Company/>
  <LinksUpToDate>false</LinksUpToDate>
  <CharactersWithSpaces>47261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 t</cp:lastModifiedBy>
  <cp:revision>7</cp:revision>
  <dcterms:created xsi:type="dcterms:W3CDTF">2026-02-11T05:44:00Z</dcterms:created>
  <dcterms:modified xsi:type="dcterms:W3CDTF">2026-02-11T11:42:00Z</dcterms:modified>
</cp:coreProperties>
</file>