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F5B7" w14:textId="10790484" w:rsidR="007A2E21" w:rsidRPr="000A56CD" w:rsidRDefault="001E227F" w:rsidP="001E227F">
      <w:pPr>
        <w:jc w:val="center"/>
        <w:rPr>
          <w:rFonts w:ascii="Times New Roman" w:hAnsi="Times New Roman" w:cs="Times New Roman"/>
          <w:b/>
          <w:bCs/>
          <w:sz w:val="28"/>
          <w:szCs w:val="22"/>
        </w:rPr>
      </w:pPr>
      <w:r w:rsidRPr="000A56CD">
        <w:rPr>
          <w:rFonts w:ascii="Times New Roman" w:hAnsi="Times New Roman" w:cs="Times New Roman"/>
          <w:b/>
          <w:bCs/>
          <w:sz w:val="28"/>
          <w:szCs w:val="22"/>
        </w:rPr>
        <w:t>Evaluation of Various Fungicidal and Biocontrol Agents for Controlling Powdery Mildew in Okra</w:t>
      </w:r>
    </w:p>
    <w:p w14:paraId="077F8D5E" w14:textId="77777777" w:rsidR="000F79A9" w:rsidRDefault="000F79A9" w:rsidP="00D22D66">
      <w:pPr>
        <w:spacing w:after="0" w:line="240" w:lineRule="auto"/>
        <w:outlineLvl w:val="2"/>
        <w:rPr>
          <w:rFonts w:ascii="Times New Roman" w:eastAsia="Times New Roman" w:hAnsi="Times New Roman" w:cs="Times New Roman"/>
          <w:b/>
          <w:bCs/>
          <w:kern w:val="0"/>
          <w:szCs w:val="24"/>
          <w:lang w:bidi="ar-SA"/>
          <w14:ligatures w14:val="none"/>
        </w:rPr>
      </w:pPr>
    </w:p>
    <w:p w14:paraId="258901EA" w14:textId="75743E1B" w:rsidR="00D22D66" w:rsidRPr="00D22D66" w:rsidRDefault="00D22D66" w:rsidP="00D22D66">
      <w:pPr>
        <w:spacing w:after="0" w:line="240" w:lineRule="auto"/>
        <w:outlineLvl w:val="2"/>
        <w:rPr>
          <w:rFonts w:ascii="Times New Roman" w:eastAsia="Times New Roman" w:hAnsi="Times New Roman" w:cs="Times New Roman"/>
          <w:b/>
          <w:bCs/>
          <w:kern w:val="0"/>
          <w:szCs w:val="24"/>
          <w:lang w:bidi="ar-SA"/>
          <w14:ligatures w14:val="none"/>
        </w:rPr>
      </w:pPr>
      <w:r w:rsidRPr="00D22D66">
        <w:rPr>
          <w:rFonts w:ascii="Times New Roman" w:eastAsia="Times New Roman" w:hAnsi="Times New Roman" w:cs="Times New Roman"/>
          <w:b/>
          <w:bCs/>
          <w:kern w:val="0"/>
          <w:szCs w:val="24"/>
          <w:lang w:bidi="ar-SA"/>
          <w14:ligatures w14:val="none"/>
        </w:rPr>
        <w:t>Abstract</w:t>
      </w:r>
    </w:p>
    <w:p w14:paraId="70FFD6C9" w14:textId="35EFDE05" w:rsidR="00D22D66" w:rsidRPr="00D22D66" w:rsidRDefault="00D22D66" w:rsidP="000F2DB8">
      <w:pPr>
        <w:spacing w:after="0" w:line="240" w:lineRule="auto"/>
        <w:ind w:firstLine="720"/>
        <w:jc w:val="both"/>
        <w:outlineLvl w:val="2"/>
        <w:rPr>
          <w:rFonts w:ascii="Times New Roman" w:eastAsia="Times New Roman" w:hAnsi="Times New Roman" w:cs="Times New Roman"/>
          <w:kern w:val="0"/>
          <w:szCs w:val="24"/>
          <w:lang w:bidi="ar-SA"/>
          <w14:ligatures w14:val="none"/>
        </w:rPr>
      </w:pPr>
      <w:r w:rsidRPr="00D22D66">
        <w:rPr>
          <w:rFonts w:ascii="Times New Roman" w:eastAsia="Times New Roman" w:hAnsi="Times New Roman" w:cs="Times New Roman"/>
          <w:kern w:val="0"/>
          <w:szCs w:val="24"/>
          <w:lang w:bidi="ar-SA"/>
          <w14:ligatures w14:val="none"/>
        </w:rPr>
        <w:t xml:space="preserve">A field experiment was conducted during the </w:t>
      </w:r>
      <w:r w:rsidRPr="00844EF8">
        <w:rPr>
          <w:rFonts w:ascii="Times New Roman" w:eastAsia="Times New Roman" w:hAnsi="Times New Roman" w:cs="Times New Roman"/>
          <w:i/>
          <w:iCs/>
          <w:kern w:val="0"/>
          <w:szCs w:val="24"/>
          <w:lang w:bidi="ar-SA"/>
          <w14:ligatures w14:val="none"/>
        </w:rPr>
        <w:t>Kharif</w:t>
      </w:r>
      <w:r w:rsidRPr="00D22D66">
        <w:rPr>
          <w:rFonts w:ascii="Times New Roman" w:eastAsia="Times New Roman" w:hAnsi="Times New Roman" w:cs="Times New Roman"/>
          <w:kern w:val="0"/>
          <w:szCs w:val="24"/>
          <w:lang w:bidi="ar-SA"/>
          <w14:ligatures w14:val="none"/>
        </w:rPr>
        <w:t xml:space="preserve"> season of 2024 at the Chemical Agriculture Research Farm, Narayan Bagh, Bundelkhand University, Jhansi (U.P.), to evaluate the efficacy of various fungicidal, botanical, and biological treatments against powdery mildew (</w:t>
      </w:r>
      <w:r w:rsidRPr="00844EF8">
        <w:rPr>
          <w:rFonts w:ascii="Times New Roman" w:eastAsia="Times New Roman" w:hAnsi="Times New Roman" w:cs="Times New Roman"/>
          <w:i/>
          <w:iCs/>
          <w:kern w:val="0"/>
          <w:szCs w:val="24"/>
          <w:lang w:bidi="ar-SA"/>
          <w14:ligatures w14:val="none"/>
        </w:rPr>
        <w:t>Erysiphe cichoracearum</w:t>
      </w:r>
      <w:r w:rsidRPr="00D22D66">
        <w:rPr>
          <w:rFonts w:ascii="Times New Roman" w:eastAsia="Times New Roman" w:hAnsi="Times New Roman" w:cs="Times New Roman"/>
          <w:kern w:val="0"/>
          <w:szCs w:val="24"/>
          <w:lang w:bidi="ar-SA"/>
          <w14:ligatures w14:val="none"/>
        </w:rPr>
        <w:t>) in okra (</w:t>
      </w:r>
      <w:r w:rsidRPr="00844EF8">
        <w:rPr>
          <w:rFonts w:ascii="Times New Roman" w:eastAsia="Times New Roman" w:hAnsi="Times New Roman" w:cs="Times New Roman"/>
          <w:i/>
          <w:iCs/>
          <w:kern w:val="0"/>
          <w:szCs w:val="24"/>
          <w:lang w:bidi="ar-SA"/>
          <w14:ligatures w14:val="none"/>
        </w:rPr>
        <w:t>Abelmoschus esculentus</w:t>
      </w:r>
      <w:r w:rsidRPr="00D22D66">
        <w:rPr>
          <w:rFonts w:ascii="Times New Roman" w:eastAsia="Times New Roman" w:hAnsi="Times New Roman" w:cs="Times New Roman"/>
          <w:kern w:val="0"/>
          <w:szCs w:val="24"/>
          <w:lang w:bidi="ar-SA"/>
          <w14:ligatures w14:val="none"/>
        </w:rPr>
        <w:t xml:space="preserve"> L.). The study was laid out in a Randomized Block Design with nine treatments and three replications, using the susceptible variety UPRI-900. Disease incidence and severity were recorded at four intervals: initial appearance and after three successive spray applications. Results revealed that Sulphur 0.3% (T</w:t>
      </w:r>
      <w:r w:rsidRPr="00ED37E0">
        <w:rPr>
          <w:rFonts w:ascii="Times New Roman" w:eastAsia="Times New Roman" w:hAnsi="Times New Roman" w:cs="Times New Roman"/>
          <w:kern w:val="0"/>
          <w:szCs w:val="24"/>
          <w:vertAlign w:val="subscript"/>
          <w:lang w:bidi="ar-SA"/>
          <w14:ligatures w14:val="none"/>
        </w:rPr>
        <w:t>1</w:t>
      </w:r>
      <w:r w:rsidRPr="00D22D66">
        <w:rPr>
          <w:rFonts w:ascii="Times New Roman" w:eastAsia="Times New Roman" w:hAnsi="Times New Roman" w:cs="Times New Roman"/>
          <w:kern w:val="0"/>
          <w:szCs w:val="24"/>
          <w:lang w:bidi="ar-SA"/>
          <w14:ligatures w14:val="none"/>
        </w:rPr>
        <w:t>) was the most effective treatment, achieving the lowest mean disease incidence (17.80%) and highest per cent disease control (63.94%), followed by Hexaconazole 0.1% (T</w:t>
      </w:r>
      <w:r w:rsidRPr="00ED37E0">
        <w:rPr>
          <w:rFonts w:ascii="Times New Roman" w:eastAsia="Times New Roman" w:hAnsi="Times New Roman" w:cs="Times New Roman"/>
          <w:kern w:val="0"/>
          <w:szCs w:val="24"/>
          <w:vertAlign w:val="subscript"/>
          <w:lang w:bidi="ar-SA"/>
          <w14:ligatures w14:val="none"/>
        </w:rPr>
        <w:t>2</w:t>
      </w:r>
      <w:r w:rsidRPr="00D22D66">
        <w:rPr>
          <w:rFonts w:ascii="Times New Roman" w:eastAsia="Times New Roman" w:hAnsi="Times New Roman" w:cs="Times New Roman"/>
          <w:kern w:val="0"/>
          <w:szCs w:val="24"/>
          <w:lang w:bidi="ar-SA"/>
          <w14:ligatures w14:val="none"/>
        </w:rPr>
        <w:t>) and Propiconazole 0.1% (T</w:t>
      </w:r>
      <w:r w:rsidRPr="00ED37E0">
        <w:rPr>
          <w:rFonts w:ascii="Times New Roman" w:eastAsia="Times New Roman" w:hAnsi="Times New Roman" w:cs="Times New Roman"/>
          <w:kern w:val="0"/>
          <w:szCs w:val="24"/>
          <w:vertAlign w:val="subscript"/>
          <w:lang w:bidi="ar-SA"/>
          <w14:ligatures w14:val="none"/>
        </w:rPr>
        <w:t>3</w:t>
      </w:r>
      <w:r w:rsidRPr="00D22D66">
        <w:rPr>
          <w:rFonts w:ascii="Times New Roman" w:eastAsia="Times New Roman" w:hAnsi="Times New Roman" w:cs="Times New Roman"/>
          <w:kern w:val="0"/>
          <w:szCs w:val="24"/>
          <w:lang w:bidi="ar-SA"/>
          <w14:ligatures w14:val="none"/>
        </w:rPr>
        <w:t>). Biopesticides like Neem oil (T</w:t>
      </w:r>
      <w:r w:rsidRPr="00ED37E0">
        <w:rPr>
          <w:rFonts w:ascii="Times New Roman" w:eastAsia="Times New Roman" w:hAnsi="Times New Roman" w:cs="Times New Roman"/>
          <w:kern w:val="0"/>
          <w:szCs w:val="24"/>
          <w:vertAlign w:val="subscript"/>
          <w:lang w:bidi="ar-SA"/>
          <w14:ligatures w14:val="none"/>
        </w:rPr>
        <w:t>5</w:t>
      </w:r>
      <w:r w:rsidRPr="00D22D66">
        <w:rPr>
          <w:rFonts w:ascii="Times New Roman" w:eastAsia="Times New Roman" w:hAnsi="Times New Roman" w:cs="Times New Roman"/>
          <w:kern w:val="0"/>
          <w:szCs w:val="24"/>
          <w:lang w:bidi="ar-SA"/>
          <w14:ligatures w14:val="none"/>
        </w:rPr>
        <w:t xml:space="preserve">) and </w:t>
      </w:r>
      <w:r w:rsidRPr="00ED37E0">
        <w:rPr>
          <w:rFonts w:ascii="Times New Roman" w:eastAsia="Times New Roman" w:hAnsi="Times New Roman" w:cs="Times New Roman"/>
          <w:i/>
          <w:iCs/>
          <w:kern w:val="0"/>
          <w:szCs w:val="24"/>
          <w:lang w:bidi="ar-SA"/>
          <w14:ligatures w14:val="none"/>
        </w:rPr>
        <w:t xml:space="preserve">Trichoderma </w:t>
      </w:r>
      <w:r w:rsidRPr="00D22D66">
        <w:rPr>
          <w:rFonts w:ascii="Times New Roman" w:eastAsia="Times New Roman" w:hAnsi="Times New Roman" w:cs="Times New Roman"/>
          <w:kern w:val="0"/>
          <w:szCs w:val="24"/>
          <w:lang w:bidi="ar-SA"/>
          <w14:ligatures w14:val="none"/>
        </w:rPr>
        <w:t>spp. (T</w:t>
      </w:r>
      <w:r w:rsidRPr="00ED37E0">
        <w:rPr>
          <w:rFonts w:ascii="Times New Roman" w:eastAsia="Times New Roman" w:hAnsi="Times New Roman" w:cs="Times New Roman"/>
          <w:kern w:val="0"/>
          <w:szCs w:val="24"/>
          <w:vertAlign w:val="subscript"/>
          <w:lang w:bidi="ar-SA"/>
          <w14:ligatures w14:val="none"/>
        </w:rPr>
        <w:t>6</w:t>
      </w:r>
      <w:r w:rsidRPr="00D22D66">
        <w:rPr>
          <w:rFonts w:ascii="Times New Roman" w:eastAsia="Times New Roman" w:hAnsi="Times New Roman" w:cs="Times New Roman"/>
          <w:kern w:val="0"/>
          <w:szCs w:val="24"/>
          <w:lang w:bidi="ar-SA"/>
          <w14:ligatures w14:val="none"/>
        </w:rPr>
        <w:t>, T</w:t>
      </w:r>
      <w:r w:rsidRPr="00ED37E0">
        <w:rPr>
          <w:rFonts w:ascii="Times New Roman" w:eastAsia="Times New Roman" w:hAnsi="Times New Roman" w:cs="Times New Roman"/>
          <w:kern w:val="0"/>
          <w:szCs w:val="24"/>
          <w:vertAlign w:val="subscript"/>
          <w:lang w:bidi="ar-SA"/>
          <w14:ligatures w14:val="none"/>
        </w:rPr>
        <w:t>7</w:t>
      </w:r>
      <w:r w:rsidRPr="00D22D66">
        <w:rPr>
          <w:rFonts w:ascii="Times New Roman" w:eastAsia="Times New Roman" w:hAnsi="Times New Roman" w:cs="Times New Roman"/>
          <w:kern w:val="0"/>
          <w:szCs w:val="24"/>
          <w:lang w:bidi="ar-SA"/>
          <w14:ligatures w14:val="none"/>
        </w:rPr>
        <w:t>) showed moderate efficacy but were less effective under high disease pressure. Dinocap 4% (T</w:t>
      </w:r>
      <w:r w:rsidRPr="00ED37E0">
        <w:rPr>
          <w:rFonts w:ascii="Times New Roman" w:eastAsia="Times New Roman" w:hAnsi="Times New Roman" w:cs="Times New Roman"/>
          <w:kern w:val="0"/>
          <w:szCs w:val="24"/>
          <w:vertAlign w:val="subscript"/>
          <w:lang w:bidi="ar-SA"/>
          <w14:ligatures w14:val="none"/>
        </w:rPr>
        <w:t>8</w:t>
      </w:r>
      <w:r w:rsidRPr="00D22D66">
        <w:rPr>
          <w:rFonts w:ascii="Times New Roman" w:eastAsia="Times New Roman" w:hAnsi="Times New Roman" w:cs="Times New Roman"/>
          <w:kern w:val="0"/>
          <w:szCs w:val="24"/>
          <w:lang w:bidi="ar-SA"/>
          <w14:ligatures w14:val="none"/>
        </w:rPr>
        <w:t>) performed poorly, recording the highest disease severity among treated plots. The untreated control (T</w:t>
      </w:r>
      <w:r w:rsidRPr="00ED37E0">
        <w:rPr>
          <w:rFonts w:ascii="Times New Roman" w:eastAsia="Times New Roman" w:hAnsi="Times New Roman" w:cs="Times New Roman"/>
          <w:kern w:val="0"/>
          <w:szCs w:val="24"/>
          <w:vertAlign w:val="subscript"/>
          <w:lang w:bidi="ar-SA"/>
          <w14:ligatures w14:val="none"/>
        </w:rPr>
        <w:t>9</w:t>
      </w:r>
      <w:r w:rsidRPr="00D22D66">
        <w:rPr>
          <w:rFonts w:ascii="Times New Roman" w:eastAsia="Times New Roman" w:hAnsi="Times New Roman" w:cs="Times New Roman"/>
          <w:kern w:val="0"/>
          <w:szCs w:val="24"/>
          <w:lang w:bidi="ar-SA"/>
          <w14:ligatures w14:val="none"/>
        </w:rPr>
        <w:t>) exhibited maximum disease progression, underlining the need for timely disease management. The study concludes that Sulphur, Hexaconazole, and Propiconazole can be effectively integrated into powdery mildew management strategies in okra, while biocontrol agents offer sustainable alternatives under low to moderate disease pressure.</w:t>
      </w:r>
    </w:p>
    <w:p w14:paraId="1C5D5922" w14:textId="1FE11760" w:rsidR="00D22D66" w:rsidRPr="00D22D66" w:rsidRDefault="00D22D66" w:rsidP="000F2DB8">
      <w:pPr>
        <w:spacing w:after="0" w:line="240" w:lineRule="auto"/>
        <w:jc w:val="both"/>
        <w:outlineLvl w:val="2"/>
        <w:rPr>
          <w:rFonts w:ascii="Times New Roman" w:eastAsia="Times New Roman" w:hAnsi="Times New Roman" w:cs="Times New Roman"/>
          <w:kern w:val="0"/>
          <w:szCs w:val="24"/>
          <w:lang w:bidi="ar-SA"/>
          <w14:ligatures w14:val="none"/>
        </w:rPr>
      </w:pPr>
      <w:r w:rsidRPr="00D22D66">
        <w:rPr>
          <w:rFonts w:ascii="Times New Roman" w:eastAsia="Times New Roman" w:hAnsi="Times New Roman" w:cs="Times New Roman"/>
          <w:b/>
          <w:bCs/>
          <w:kern w:val="0"/>
          <w:szCs w:val="24"/>
          <w:lang w:bidi="ar-SA"/>
          <w14:ligatures w14:val="none"/>
        </w:rPr>
        <w:t>Keywords:</w:t>
      </w:r>
      <w:r w:rsidRPr="00D22D66">
        <w:rPr>
          <w:rFonts w:ascii="Times New Roman" w:eastAsia="Times New Roman" w:hAnsi="Times New Roman" w:cs="Times New Roman"/>
          <w:kern w:val="0"/>
          <w:szCs w:val="24"/>
          <w:lang w:bidi="ar-SA"/>
          <w14:ligatures w14:val="none"/>
        </w:rPr>
        <w:t xml:space="preserve"> Okra, Powdery mildew, </w:t>
      </w:r>
      <w:r w:rsidRPr="00ED37E0">
        <w:rPr>
          <w:rFonts w:ascii="Times New Roman" w:eastAsia="Times New Roman" w:hAnsi="Times New Roman" w:cs="Times New Roman"/>
          <w:i/>
          <w:iCs/>
          <w:kern w:val="0"/>
          <w:szCs w:val="24"/>
          <w:lang w:bidi="ar-SA"/>
          <w14:ligatures w14:val="none"/>
        </w:rPr>
        <w:t>Erysiphe cichoracearum</w:t>
      </w:r>
      <w:r w:rsidRPr="00D22D66">
        <w:rPr>
          <w:rFonts w:ascii="Times New Roman" w:eastAsia="Times New Roman" w:hAnsi="Times New Roman" w:cs="Times New Roman"/>
          <w:kern w:val="0"/>
          <w:szCs w:val="24"/>
          <w:lang w:bidi="ar-SA"/>
          <w14:ligatures w14:val="none"/>
        </w:rPr>
        <w:t>, Disease control, Fungicide efficacy, Biopesticides.</w:t>
      </w:r>
    </w:p>
    <w:p w14:paraId="37C69520" w14:textId="2D3D1BB9" w:rsidR="00132041" w:rsidRPr="00132041" w:rsidRDefault="001843B8" w:rsidP="000F2DB8">
      <w:pPr>
        <w:spacing w:after="0" w:line="240" w:lineRule="auto"/>
        <w:jc w:val="both"/>
        <w:outlineLvl w:val="2"/>
        <w:rPr>
          <w:rFonts w:ascii="Times New Roman" w:eastAsia="Times New Roman" w:hAnsi="Times New Roman" w:cs="Times New Roman"/>
          <w:b/>
          <w:bCs/>
          <w:kern w:val="0"/>
          <w:szCs w:val="24"/>
          <w:lang w:bidi="ar-SA"/>
          <w14:ligatures w14:val="none"/>
        </w:rPr>
      </w:pPr>
      <w:r w:rsidRPr="001843B8">
        <w:rPr>
          <w:rFonts w:ascii="Times New Roman" w:eastAsia="Times New Roman" w:hAnsi="Times New Roman" w:cs="Times New Roman"/>
          <w:b/>
          <w:bCs/>
          <w:kern w:val="0"/>
          <w:szCs w:val="24"/>
          <w:lang w:bidi="ar-SA"/>
          <w14:ligatures w14:val="none"/>
        </w:rPr>
        <w:t>INTRODUCTION</w:t>
      </w:r>
    </w:p>
    <w:p w14:paraId="53C3D25F" w14:textId="77777777" w:rsidR="000F2DB8" w:rsidRDefault="000F2DB8" w:rsidP="000F2DB8">
      <w:pPr>
        <w:pStyle w:val="NormalWeb"/>
        <w:jc w:val="both"/>
      </w:pPr>
      <w:r>
        <w:t>Okra (</w:t>
      </w:r>
      <w:r>
        <w:rPr>
          <w:rStyle w:val="Emphasis"/>
          <w:rFonts w:eastAsiaTheme="majorEastAsia"/>
        </w:rPr>
        <w:t>Abelmoschus esculentus</w:t>
      </w:r>
      <w:r>
        <w:t xml:space="preserve"> L.) is an important vegetable crop cultivated extensively in tropical and subtropical regions of the world, including India. It is a rich source of vitamins, minerals, and dietary fibre, and contributes significantly to nutritional security and income generation, especially for small and marginal farmers (Lamont, 1999; Kumar et al., 2010). However, its productivity and quality are adversely affected by various biotic stresses, among which fungal diseases are particularly damaging (Fajinmi &amp; Fajinmi, 2010). Among the foliar diseases, powdery mildew, caused primarily by </w:t>
      </w:r>
      <w:r>
        <w:rPr>
          <w:rStyle w:val="Emphasis"/>
          <w:rFonts w:eastAsiaTheme="majorEastAsia"/>
        </w:rPr>
        <w:t>Erysiphe cichoracearum</w:t>
      </w:r>
      <w:r>
        <w:t>, is considered one of the most destructive diseases of okra (Saharan &amp; Mehta, 2008). The disease typically appears as white powdery growth on leaves, stems, and occasionally fruits, leading to reduced photosynthesis, premature leaf drop, poor fruit development, and considerable yield losses (Agrios, 2005; McGrath &amp; Thomas, 2012). Warm and dry weather conditions favour the development and spread of this disease, making it a recurring problem in many okra-growing regions (Singh et al., 2011).</w:t>
      </w:r>
    </w:p>
    <w:p w14:paraId="4AC58065" w14:textId="5C235D6C" w:rsidR="000F2DB8" w:rsidRDefault="000F2DB8" w:rsidP="000F2DB8">
      <w:pPr>
        <w:pStyle w:val="NormalWeb"/>
        <w:jc w:val="both"/>
      </w:pPr>
      <w:r>
        <w:t xml:space="preserve">The conventional management of powdery mildew primarily involves the application of chemical fungicides such as sulfur, carbendazim, and hexaconazole, which have shown high efficacy (Kumar et al., 2013; Anand et al., 2016). However, excessive and indiscriminate use of these chemicals has led to various issues, including the development of fungicide-resistant strains of pathogens, accumulation of toxic residues, environmental pollution, and negative effects on beneficial organisms (Brent &amp; Hollomon, 2007; Lucas et al., 2015). In recent years, there has been a growing shift toward integrated disease management approaches that combine chemical treatments with environmentally safe alternatives like biocontrol agents and botanicals. Biological </w:t>
      </w:r>
      <w:r>
        <w:lastRenderedPageBreak/>
        <w:t xml:space="preserve">control agents such as </w:t>
      </w:r>
      <w:r>
        <w:rPr>
          <w:rStyle w:val="Emphasis"/>
          <w:rFonts w:eastAsiaTheme="majorEastAsia"/>
        </w:rPr>
        <w:t>Trichoderma harzianum</w:t>
      </w:r>
      <w:r>
        <w:t xml:space="preserve">, </w:t>
      </w:r>
      <w:r>
        <w:rPr>
          <w:rStyle w:val="Emphasis"/>
          <w:rFonts w:eastAsiaTheme="majorEastAsia"/>
        </w:rPr>
        <w:t>Trichoderma viride</w:t>
      </w:r>
      <w:r>
        <w:t xml:space="preserve">, and </w:t>
      </w:r>
      <w:r>
        <w:rPr>
          <w:rStyle w:val="Emphasis"/>
          <w:rFonts w:eastAsiaTheme="majorEastAsia"/>
        </w:rPr>
        <w:t>Pseudomonas fluorescens</w:t>
      </w:r>
      <w:r>
        <w:t xml:space="preserve"> have shown promise in suppressing several plant diseases, including powdery mildew, through mechanisms such as competition, antibiosis, and induction of systemic resistance (Harman et al., 2004; Vinale et al., 2008; Compant et al., 2005). In this context, the present investigation was undertaken to evaluate and compare the efficacy of selected fungicides and biocontrol agents for the management of powdery mildew of okra under field conditions. The goal is to identify effective, economical, and environmentally safe treatment options that can be recommended for sustainable okra cultivation.</w:t>
      </w:r>
    </w:p>
    <w:p w14:paraId="5967C94D" w14:textId="77777777" w:rsidR="00240E3B" w:rsidRPr="00240E3B" w:rsidRDefault="00240E3B" w:rsidP="000F2DB8">
      <w:pPr>
        <w:spacing w:after="0" w:line="240" w:lineRule="auto"/>
        <w:jc w:val="both"/>
        <w:outlineLvl w:val="2"/>
        <w:rPr>
          <w:rFonts w:ascii="Times New Roman" w:eastAsia="Times New Roman" w:hAnsi="Times New Roman" w:cs="Times New Roman"/>
          <w:b/>
          <w:bCs/>
          <w:kern w:val="0"/>
          <w:szCs w:val="24"/>
          <w:lang w:bidi="ar-SA"/>
          <w14:ligatures w14:val="none"/>
        </w:rPr>
      </w:pPr>
      <w:r w:rsidRPr="00240E3B">
        <w:rPr>
          <w:rFonts w:ascii="Times New Roman" w:eastAsia="Times New Roman" w:hAnsi="Times New Roman" w:cs="Times New Roman"/>
          <w:b/>
          <w:bCs/>
          <w:kern w:val="0"/>
          <w:szCs w:val="24"/>
          <w:lang w:bidi="ar-SA"/>
          <w14:ligatures w14:val="none"/>
        </w:rPr>
        <w:t>MATERIALS AND METHODS</w:t>
      </w:r>
    </w:p>
    <w:p w14:paraId="736C5107" w14:textId="27F2BE7A" w:rsidR="00240E3B" w:rsidRPr="00240E3B" w:rsidRDefault="00240E3B" w:rsidP="000F2DB8">
      <w:pPr>
        <w:spacing w:after="0" w:line="240" w:lineRule="auto"/>
        <w:ind w:firstLine="720"/>
        <w:jc w:val="both"/>
        <w:rPr>
          <w:rFonts w:ascii="Times New Roman" w:eastAsia="Times New Roman" w:hAnsi="Times New Roman" w:cs="Times New Roman"/>
          <w:kern w:val="0"/>
          <w:szCs w:val="24"/>
          <w:lang w:bidi="ar-SA"/>
          <w14:ligatures w14:val="none"/>
        </w:rPr>
      </w:pPr>
      <w:r w:rsidRPr="00240E3B">
        <w:rPr>
          <w:rFonts w:ascii="Times New Roman" w:eastAsia="Times New Roman" w:hAnsi="Times New Roman" w:cs="Times New Roman"/>
          <w:kern w:val="0"/>
          <w:szCs w:val="24"/>
          <w:lang w:bidi="ar-SA"/>
          <w14:ligatures w14:val="none"/>
        </w:rPr>
        <w:t xml:space="preserve">The present field experiment was conducted during the </w:t>
      </w:r>
      <w:r w:rsidRPr="00240E3B">
        <w:rPr>
          <w:rFonts w:ascii="Times New Roman" w:eastAsia="Times New Roman" w:hAnsi="Times New Roman" w:cs="Times New Roman"/>
          <w:i/>
          <w:iCs/>
          <w:kern w:val="0"/>
          <w:szCs w:val="24"/>
          <w:lang w:bidi="ar-SA"/>
          <w14:ligatures w14:val="none"/>
        </w:rPr>
        <w:t>Kharif</w:t>
      </w:r>
      <w:r w:rsidRPr="00240E3B">
        <w:rPr>
          <w:rFonts w:ascii="Times New Roman" w:eastAsia="Times New Roman" w:hAnsi="Times New Roman" w:cs="Times New Roman"/>
          <w:kern w:val="0"/>
          <w:szCs w:val="24"/>
          <w:lang w:bidi="ar-SA"/>
          <w14:ligatures w14:val="none"/>
        </w:rPr>
        <w:t xml:space="preserve"> season of 2024 at the Chemical Agriculture Research Farm, Narayan Bagh, Institute of Agricultural Science, Bundelkhand University, Jhansi, Uttar Pradesh. The </w:t>
      </w:r>
      <w:r w:rsidR="00F53BC9">
        <w:rPr>
          <w:rFonts w:ascii="Times New Roman" w:eastAsia="Times New Roman" w:hAnsi="Times New Roman" w:cs="Times New Roman"/>
          <w:kern w:val="0"/>
          <w:szCs w:val="24"/>
          <w:lang w:bidi="ar-SA"/>
          <w14:ligatures w14:val="none"/>
        </w:rPr>
        <w:t>study aimed</w:t>
      </w:r>
      <w:r w:rsidRPr="00240E3B">
        <w:rPr>
          <w:rFonts w:ascii="Times New Roman" w:eastAsia="Times New Roman" w:hAnsi="Times New Roman" w:cs="Times New Roman"/>
          <w:kern w:val="0"/>
          <w:szCs w:val="24"/>
          <w:lang w:bidi="ar-SA"/>
          <w14:ligatures w14:val="none"/>
        </w:rPr>
        <w:t xml:space="preserve"> to assess the efficacy of various treatments against powdery mildew (</w:t>
      </w:r>
      <w:r w:rsidRPr="00240E3B">
        <w:rPr>
          <w:rFonts w:ascii="Times New Roman" w:eastAsia="Times New Roman" w:hAnsi="Times New Roman" w:cs="Times New Roman"/>
          <w:i/>
          <w:iCs/>
          <w:kern w:val="0"/>
          <w:szCs w:val="24"/>
          <w:lang w:bidi="ar-SA"/>
          <w14:ligatures w14:val="none"/>
        </w:rPr>
        <w:t>Erysiphe cichoracearum</w:t>
      </w:r>
      <w:r w:rsidRPr="00240E3B">
        <w:rPr>
          <w:rFonts w:ascii="Times New Roman" w:eastAsia="Times New Roman" w:hAnsi="Times New Roman" w:cs="Times New Roman"/>
          <w:kern w:val="0"/>
          <w:szCs w:val="24"/>
          <w:lang w:bidi="ar-SA"/>
          <w14:ligatures w14:val="none"/>
        </w:rPr>
        <w:t>) in okra (</w:t>
      </w:r>
      <w:r w:rsidRPr="00240E3B">
        <w:rPr>
          <w:rFonts w:ascii="Times New Roman" w:eastAsia="Times New Roman" w:hAnsi="Times New Roman" w:cs="Times New Roman"/>
          <w:i/>
          <w:iCs/>
          <w:kern w:val="0"/>
          <w:szCs w:val="24"/>
          <w:lang w:bidi="ar-SA"/>
          <w14:ligatures w14:val="none"/>
        </w:rPr>
        <w:t>Abelmoschus esculentus</w:t>
      </w:r>
      <w:r w:rsidRPr="00240E3B">
        <w:rPr>
          <w:rFonts w:ascii="Times New Roman" w:eastAsia="Times New Roman" w:hAnsi="Times New Roman" w:cs="Times New Roman"/>
          <w:kern w:val="0"/>
          <w:szCs w:val="24"/>
          <w:lang w:bidi="ar-SA"/>
          <w14:ligatures w14:val="none"/>
        </w:rPr>
        <w:t xml:space="preserve"> L.). The experiment was laid out in a Randomized Block Design (RBD) comprising nine treatments with three replications. The crop variety used was UPRI-900, which is known to be susceptible to powdery mildew. Each plot measured 2.40 × 2.0 meters with a spacing of 45 cm between rows and 30 cm between plants. The total number of plots was 27, and sowing was carried out on 30</w:t>
      </w:r>
      <w:r w:rsidRPr="00240E3B">
        <w:rPr>
          <w:rFonts w:ascii="Times New Roman" w:eastAsia="Times New Roman" w:hAnsi="Times New Roman" w:cs="Times New Roman"/>
          <w:kern w:val="0"/>
          <w:szCs w:val="24"/>
          <w:vertAlign w:val="superscript"/>
          <w:lang w:bidi="ar-SA"/>
          <w14:ligatures w14:val="none"/>
        </w:rPr>
        <w:t>th</w:t>
      </w:r>
      <w:r w:rsidR="000C6DA7">
        <w:rPr>
          <w:rFonts w:ascii="Times New Roman" w:eastAsia="Times New Roman" w:hAnsi="Times New Roman" w:cs="Times New Roman"/>
          <w:kern w:val="0"/>
          <w:szCs w:val="24"/>
          <w:lang w:bidi="ar-SA"/>
          <w14:ligatures w14:val="none"/>
        </w:rPr>
        <w:t xml:space="preserve"> </w:t>
      </w:r>
      <w:r w:rsidRPr="00240E3B">
        <w:rPr>
          <w:rFonts w:ascii="Times New Roman" w:eastAsia="Times New Roman" w:hAnsi="Times New Roman" w:cs="Times New Roman"/>
          <w:kern w:val="0"/>
          <w:szCs w:val="24"/>
          <w:lang w:bidi="ar-SA"/>
          <w14:ligatures w14:val="none"/>
        </w:rPr>
        <w:t>July 2024.</w:t>
      </w:r>
      <w:r w:rsidR="005123B7">
        <w:rPr>
          <w:rFonts w:ascii="Times New Roman" w:eastAsia="Times New Roman" w:hAnsi="Times New Roman" w:cs="Times New Roman"/>
          <w:kern w:val="0"/>
          <w:szCs w:val="24"/>
          <w:lang w:bidi="ar-SA"/>
          <w14:ligatures w14:val="none"/>
        </w:rPr>
        <w:t xml:space="preserve"> </w:t>
      </w:r>
      <w:r w:rsidRPr="00240E3B">
        <w:rPr>
          <w:rFonts w:ascii="Times New Roman" w:eastAsia="Times New Roman" w:hAnsi="Times New Roman" w:cs="Times New Roman"/>
          <w:kern w:val="0"/>
          <w:szCs w:val="24"/>
          <w:lang w:bidi="ar-SA"/>
          <w14:ligatures w14:val="none"/>
        </w:rPr>
        <w:t xml:space="preserve">Recommended doses of </w:t>
      </w:r>
      <w:r w:rsidR="00A56964" w:rsidRPr="00240E3B">
        <w:rPr>
          <w:rFonts w:ascii="Times New Roman" w:eastAsia="Times New Roman" w:hAnsi="Times New Roman" w:cs="Times New Roman"/>
          <w:kern w:val="0"/>
          <w:szCs w:val="24"/>
          <w:lang w:bidi="ar-SA"/>
          <w14:ligatures w14:val="none"/>
        </w:rPr>
        <w:t>fertili</w:t>
      </w:r>
      <w:r w:rsidR="00A56964">
        <w:rPr>
          <w:rFonts w:ascii="Times New Roman" w:eastAsia="Times New Roman" w:hAnsi="Times New Roman" w:cs="Times New Roman"/>
          <w:kern w:val="0"/>
          <w:szCs w:val="24"/>
          <w:lang w:bidi="ar-SA"/>
          <w14:ligatures w14:val="none"/>
        </w:rPr>
        <w:t>z</w:t>
      </w:r>
      <w:r w:rsidR="00A56964" w:rsidRPr="00240E3B">
        <w:rPr>
          <w:rFonts w:ascii="Times New Roman" w:eastAsia="Times New Roman" w:hAnsi="Times New Roman" w:cs="Times New Roman"/>
          <w:kern w:val="0"/>
          <w:szCs w:val="24"/>
          <w:lang w:bidi="ar-SA"/>
          <w14:ligatures w14:val="none"/>
        </w:rPr>
        <w:t>ers</w:t>
      </w:r>
      <w:r w:rsidRPr="00240E3B">
        <w:rPr>
          <w:rFonts w:ascii="Times New Roman" w:eastAsia="Times New Roman" w:hAnsi="Times New Roman" w:cs="Times New Roman"/>
          <w:kern w:val="0"/>
          <w:szCs w:val="24"/>
          <w:lang w:bidi="ar-SA"/>
          <w14:ligatures w14:val="none"/>
        </w:rPr>
        <w:t xml:space="preserve"> were applied uniformly across all the plots. Light irrigation was provided to facilitate proper seed germination. Ten days after sowing, thinning and gap filling were performed to ensure a uniform plant population. Intercultural operations such as weeding and hoeing were carried out as needed throughout the crop growth period. Regular observations were made to monitor the onset and development of powdery mildew symptoms.</w:t>
      </w:r>
      <w:r w:rsidR="005123B7">
        <w:rPr>
          <w:rFonts w:ascii="Times New Roman" w:eastAsia="Times New Roman" w:hAnsi="Times New Roman" w:cs="Times New Roman"/>
          <w:kern w:val="0"/>
          <w:szCs w:val="24"/>
          <w:lang w:bidi="ar-SA"/>
          <w14:ligatures w14:val="none"/>
        </w:rPr>
        <w:t xml:space="preserve"> </w:t>
      </w:r>
      <w:r w:rsidRPr="00240E3B">
        <w:rPr>
          <w:rFonts w:ascii="Times New Roman" w:eastAsia="Times New Roman" w:hAnsi="Times New Roman" w:cs="Times New Roman"/>
          <w:kern w:val="0"/>
          <w:szCs w:val="24"/>
          <w:lang w:bidi="ar-SA"/>
          <w14:ligatures w14:val="none"/>
        </w:rPr>
        <w:t xml:space="preserve">Observations on powdery mildew incidence and severity were recorded on five randomly selected plants from each plot. The first observation was taken at the initial appearance of the disease, followed by three more observations taken after each spray application. </w:t>
      </w:r>
      <w:r w:rsidR="00F53BC9">
        <w:rPr>
          <w:rFonts w:ascii="Times New Roman" w:eastAsia="Times New Roman" w:hAnsi="Times New Roman" w:cs="Times New Roman"/>
          <w:kern w:val="0"/>
          <w:szCs w:val="24"/>
          <w:lang w:bidi="ar-SA"/>
          <w14:ligatures w14:val="none"/>
        </w:rPr>
        <w:t>The percentage</w:t>
      </w:r>
      <w:r w:rsidRPr="00240E3B">
        <w:rPr>
          <w:rFonts w:ascii="Times New Roman" w:eastAsia="Times New Roman" w:hAnsi="Times New Roman" w:cs="Times New Roman"/>
          <w:kern w:val="0"/>
          <w:szCs w:val="24"/>
          <w:lang w:bidi="ar-SA"/>
          <w14:ligatures w14:val="none"/>
        </w:rPr>
        <w:t xml:space="preserve"> disease incidence was calculated using the formula:</w:t>
      </w:r>
    </w:p>
    <w:p w14:paraId="13B66EF6" w14:textId="27996030" w:rsidR="00D45496" w:rsidRPr="005123B7" w:rsidRDefault="00D45496" w:rsidP="007836A1">
      <w:pPr>
        <w:autoSpaceDE w:val="0"/>
        <w:autoSpaceDN w:val="0"/>
        <w:adjustRightInd w:val="0"/>
        <w:spacing w:before="240" w:line="240" w:lineRule="auto"/>
        <w:rPr>
          <w:rFonts w:ascii="Times New Roman" w:eastAsiaTheme="minorEastAsia" w:hAnsi="Times New Roman" w:cs="Times New Roman"/>
          <w:iCs/>
          <w:kern w:val="0"/>
          <w:szCs w:val="24"/>
        </w:rPr>
      </w:pPr>
      <m:oMathPara>
        <m:oMath>
          <m:r>
            <m:rPr>
              <m:sty m:val="p"/>
            </m:rPr>
            <w:rPr>
              <w:rFonts w:ascii="Cambria Math" w:hAnsi="Cambria Math" w:cs="Times New Roman"/>
              <w:kern w:val="0"/>
              <w:szCs w:val="24"/>
            </w:rPr>
            <m:t>Per cent disease incidence</m:t>
          </m:r>
          <m:f>
            <m:fPr>
              <m:ctrlPr>
                <w:rPr>
                  <w:rFonts w:ascii="Cambria Math" w:hAnsi="Cambria Math" w:cs="Times New Roman"/>
                  <w:iCs/>
                  <w:kern w:val="0"/>
                  <w:szCs w:val="24"/>
                </w:rPr>
              </m:ctrlPr>
            </m:fPr>
            <m:num>
              <m:r>
                <m:rPr>
                  <m:sty m:val="p"/>
                </m:rPr>
                <w:rPr>
                  <w:rFonts w:ascii="Cambria Math" w:hAnsi="Cambria Math" w:cs="Times New Roman"/>
                  <w:kern w:val="0"/>
                  <w:szCs w:val="24"/>
                </w:rPr>
                <m:t>No.  of plants affected</m:t>
              </m:r>
            </m:num>
            <m:den>
              <m:r>
                <m:rPr>
                  <m:sty m:val="p"/>
                </m:rPr>
                <w:rPr>
                  <w:rFonts w:ascii="Cambria Math" w:hAnsi="Cambria Math" w:cs="Times New Roman"/>
                  <w:kern w:val="0"/>
                  <w:szCs w:val="24"/>
                </w:rPr>
                <m:t>Total number of plants observed</m:t>
              </m:r>
            </m:den>
          </m:f>
          <m:r>
            <m:rPr>
              <m:sty m:val="p"/>
            </m:rPr>
            <w:rPr>
              <w:rFonts w:ascii="Cambria Math" w:hAnsi="Cambria Math" w:cs="Times New Roman"/>
              <w:kern w:val="0"/>
              <w:szCs w:val="24"/>
            </w:rPr>
            <m:t>×100</m:t>
          </m:r>
        </m:oMath>
      </m:oMathPara>
    </w:p>
    <w:p w14:paraId="2DA0AD53" w14:textId="5C6DCA10" w:rsidR="00D45496" w:rsidRPr="000A56CD" w:rsidRDefault="00D45496" w:rsidP="00885457">
      <w:pPr>
        <w:autoSpaceDE w:val="0"/>
        <w:autoSpaceDN w:val="0"/>
        <w:adjustRightInd w:val="0"/>
        <w:spacing w:after="0" w:line="240" w:lineRule="auto"/>
        <w:jc w:val="both"/>
        <w:rPr>
          <w:rFonts w:ascii="Times New Roman" w:hAnsi="Times New Roman" w:cs="Times New Roman"/>
          <w:kern w:val="0"/>
          <w:szCs w:val="24"/>
        </w:rPr>
      </w:pPr>
      <w:r w:rsidRPr="000A56CD">
        <w:rPr>
          <w:rFonts w:ascii="Times New Roman" w:hAnsi="Times New Roman" w:cs="Times New Roman"/>
          <w:kern w:val="0"/>
          <w:szCs w:val="24"/>
        </w:rPr>
        <w:t>Based on numerical ratings observed, the per</w:t>
      </w:r>
      <w:r w:rsidR="00F53BC9">
        <w:rPr>
          <w:rFonts w:ascii="Times New Roman" w:hAnsi="Times New Roman" w:cs="Times New Roman"/>
          <w:kern w:val="0"/>
          <w:szCs w:val="24"/>
        </w:rPr>
        <w:t>centage</w:t>
      </w:r>
      <w:r w:rsidRPr="000A56CD">
        <w:rPr>
          <w:rFonts w:ascii="Times New Roman" w:hAnsi="Times New Roman" w:cs="Times New Roman"/>
          <w:kern w:val="0"/>
          <w:szCs w:val="24"/>
        </w:rPr>
        <w:t xml:space="preserve"> disease control was calculated by applying the formula as given below:</w:t>
      </w:r>
    </w:p>
    <w:p w14:paraId="38CBE1F3" w14:textId="3EFE3E48" w:rsidR="00D45496" w:rsidRDefault="00D45496" w:rsidP="00885457">
      <w:pPr>
        <w:autoSpaceDE w:val="0"/>
        <w:autoSpaceDN w:val="0"/>
        <w:adjustRightInd w:val="0"/>
        <w:spacing w:after="0" w:line="240" w:lineRule="auto"/>
        <w:ind w:firstLine="720"/>
        <w:jc w:val="both"/>
        <w:rPr>
          <w:rFonts w:ascii="Times New Roman" w:hAnsi="Times New Roman" w:cs="Times New Roman"/>
          <w:kern w:val="0"/>
          <w:szCs w:val="24"/>
        </w:rPr>
      </w:pPr>
      <w:r w:rsidRPr="000A56CD">
        <w:rPr>
          <w:rFonts w:ascii="Times New Roman" w:hAnsi="Times New Roman" w:cs="Times New Roman"/>
          <w:kern w:val="0"/>
          <w:szCs w:val="24"/>
        </w:rPr>
        <w:t>Per cent disease control (PDC) was worked out by applying the formula:</w:t>
      </w:r>
    </w:p>
    <w:p w14:paraId="698D6696" w14:textId="77777777" w:rsidR="00885457" w:rsidRPr="00892CFE" w:rsidRDefault="00885457" w:rsidP="00885457">
      <w:pPr>
        <w:autoSpaceDE w:val="0"/>
        <w:autoSpaceDN w:val="0"/>
        <w:adjustRightInd w:val="0"/>
        <w:spacing w:after="0" w:line="240" w:lineRule="auto"/>
        <w:ind w:firstLine="720"/>
        <w:jc w:val="both"/>
        <w:rPr>
          <w:rFonts w:ascii="Times New Roman" w:hAnsi="Times New Roman" w:cs="Times New Roman"/>
          <w:kern w:val="0"/>
          <w:szCs w:val="24"/>
        </w:rPr>
      </w:pPr>
    </w:p>
    <w:p w14:paraId="5D261617" w14:textId="7AED9EE0" w:rsidR="00240E3B" w:rsidRPr="000A56CD" w:rsidRDefault="00D45496" w:rsidP="00885457">
      <w:pPr>
        <w:autoSpaceDE w:val="0"/>
        <w:autoSpaceDN w:val="0"/>
        <w:adjustRightInd w:val="0"/>
        <w:spacing w:after="0" w:line="240" w:lineRule="auto"/>
        <w:jc w:val="center"/>
        <w:rPr>
          <w:rFonts w:ascii="Times New Roman" w:eastAsiaTheme="minorEastAsia" w:hAnsi="Times New Roman" w:cs="Times New Roman"/>
          <w:iCs/>
          <w:kern w:val="0"/>
          <w:szCs w:val="24"/>
        </w:rPr>
      </w:pPr>
      <m:oMathPara>
        <m:oMath>
          <m:r>
            <m:rPr>
              <m:sty m:val="p"/>
            </m:rPr>
            <w:rPr>
              <w:rFonts w:ascii="Cambria Math" w:hAnsi="Cambria Math" w:cs="Times New Roman"/>
              <w:kern w:val="0"/>
              <w:szCs w:val="24"/>
            </w:rPr>
            <m:t>Per cent disease control</m:t>
          </m:r>
          <m:f>
            <m:fPr>
              <m:ctrlPr>
                <w:rPr>
                  <w:rFonts w:ascii="Cambria Math" w:hAnsi="Cambria Math" w:cs="Times New Roman"/>
                  <w:iCs/>
                  <w:kern w:val="0"/>
                  <w:szCs w:val="24"/>
                </w:rPr>
              </m:ctrlPr>
            </m:fPr>
            <m:num>
              <m:r>
                <m:rPr>
                  <m:sty m:val="p"/>
                </m:rPr>
                <w:rPr>
                  <w:rFonts w:ascii="Cambria Math" w:hAnsi="Cambria Math" w:cs="Times New Roman"/>
                  <w:kern w:val="0"/>
                  <w:szCs w:val="24"/>
                </w:rPr>
                <m:t>Control plot-Treatment plot</m:t>
              </m:r>
            </m:num>
            <m:den>
              <m:r>
                <m:rPr>
                  <m:sty m:val="p"/>
                </m:rPr>
                <w:rPr>
                  <w:rFonts w:ascii="Cambria Math" w:hAnsi="Cambria Math" w:cs="Times New Roman"/>
                  <w:kern w:val="0"/>
                  <w:szCs w:val="24"/>
                </w:rPr>
                <m:t>Control plot</m:t>
              </m:r>
            </m:den>
          </m:f>
          <m:r>
            <m:rPr>
              <m:sty m:val="p"/>
            </m:rPr>
            <w:rPr>
              <w:rFonts w:ascii="Cambria Math" w:hAnsi="Cambria Math" w:cs="Times New Roman"/>
              <w:kern w:val="0"/>
              <w:szCs w:val="24"/>
            </w:rPr>
            <m:t>×100</m:t>
          </m:r>
        </m:oMath>
      </m:oMathPara>
    </w:p>
    <w:p w14:paraId="72839475" w14:textId="0A04EB8A" w:rsidR="00C35DB6" w:rsidRPr="00892CFE" w:rsidRDefault="00CD5857" w:rsidP="00A7122D">
      <w:pPr>
        <w:autoSpaceDE w:val="0"/>
        <w:autoSpaceDN w:val="0"/>
        <w:adjustRightInd w:val="0"/>
        <w:spacing w:after="0" w:line="240" w:lineRule="auto"/>
        <w:jc w:val="both"/>
        <w:rPr>
          <w:rFonts w:ascii="Times New Roman" w:hAnsi="Times New Roman" w:cs="Times New Roman"/>
          <w:b/>
          <w:bCs/>
          <w:szCs w:val="20"/>
        </w:rPr>
      </w:pPr>
      <w:r w:rsidRPr="00892CFE">
        <w:rPr>
          <w:rFonts w:ascii="Times New Roman" w:hAnsi="Times New Roman" w:cs="Times New Roman"/>
          <w:b/>
          <w:bCs/>
          <w:szCs w:val="20"/>
        </w:rPr>
        <w:t xml:space="preserve">RESULTS </w:t>
      </w:r>
    </w:p>
    <w:p w14:paraId="3CE34BA8" w14:textId="0117E55B"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 xml:space="preserve">Powdery mildew, caused by </w:t>
      </w:r>
      <w:r w:rsidRPr="000A56CD">
        <w:rPr>
          <w:rFonts w:ascii="Times New Roman" w:hAnsi="Times New Roman" w:cs="Times New Roman"/>
          <w:i/>
          <w:iCs/>
        </w:rPr>
        <w:t>Erysiphe cichoracearum</w:t>
      </w:r>
      <w:r w:rsidRPr="000A56CD">
        <w:rPr>
          <w:rFonts w:ascii="Times New Roman" w:hAnsi="Times New Roman" w:cs="Times New Roman"/>
        </w:rPr>
        <w:t>, is one of the most important fungal diseases affecting okra, leading to significant yield and quality losses. To evaluate the effectiveness of different fungicides and biocontrol agents in managing this disease, a field experiment was conducted with nine treatments, including a control, during the cropping season. The disease incidence was recorded at the first appearance and after each of the three fungicidal sprayings. The observations are presented in Table</w:t>
      </w:r>
      <w:r w:rsidR="00F53BC9">
        <w:rPr>
          <w:rFonts w:ascii="Times New Roman" w:hAnsi="Times New Roman" w:cs="Times New Roman"/>
        </w:rPr>
        <w:t xml:space="preserve"> </w:t>
      </w:r>
      <w:r w:rsidR="00A15267">
        <w:rPr>
          <w:rFonts w:ascii="Times New Roman" w:hAnsi="Times New Roman" w:cs="Times New Roman"/>
        </w:rPr>
        <w:t>1</w:t>
      </w:r>
      <w:r w:rsidRPr="000A56CD">
        <w:rPr>
          <w:rFonts w:ascii="Times New Roman" w:hAnsi="Times New Roman" w:cs="Times New Roman"/>
        </w:rPr>
        <w:t xml:space="preserve"> and Figure</w:t>
      </w:r>
      <w:r w:rsidR="00F53BC9">
        <w:rPr>
          <w:rFonts w:ascii="Times New Roman" w:hAnsi="Times New Roman" w:cs="Times New Roman"/>
        </w:rPr>
        <w:t xml:space="preserve"> </w:t>
      </w:r>
      <w:r w:rsidR="00A15267">
        <w:rPr>
          <w:rFonts w:ascii="Times New Roman" w:hAnsi="Times New Roman" w:cs="Times New Roman"/>
        </w:rPr>
        <w:t>2</w:t>
      </w:r>
      <w:r w:rsidR="00F53BC9">
        <w:rPr>
          <w:rFonts w:ascii="Times New Roman" w:hAnsi="Times New Roman" w:cs="Times New Roman"/>
        </w:rPr>
        <w:t>,</w:t>
      </w:r>
      <w:r w:rsidRPr="000A56CD">
        <w:rPr>
          <w:rFonts w:ascii="Times New Roman" w:hAnsi="Times New Roman" w:cs="Times New Roman"/>
        </w:rPr>
        <w:t xml:space="preserve"> discussed below.</w:t>
      </w:r>
    </w:p>
    <w:p w14:paraId="76DA4F4F" w14:textId="7CB51FB7"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First Appearance of Disease</w:t>
      </w:r>
    </w:p>
    <w:p w14:paraId="30217D64" w14:textId="77777777"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At the time of first appearance, the Per cent Disease Incidence (PDI) was observed to range from 8.89% to 12.22%. The lowest initial PDI (8.89%) was recorded in (T</w:t>
      </w:r>
      <w:r w:rsidRPr="000A56CD">
        <w:rPr>
          <w:rFonts w:ascii="Times New Roman" w:hAnsi="Times New Roman" w:cs="Times New Roman"/>
          <w:vertAlign w:val="subscript"/>
        </w:rPr>
        <w:t>5</w:t>
      </w:r>
      <w:r w:rsidRPr="000A56CD">
        <w:rPr>
          <w:rFonts w:ascii="Times New Roman" w:hAnsi="Times New Roman" w:cs="Times New Roman"/>
        </w:rPr>
        <w:t>)</w:t>
      </w:r>
      <w:r w:rsidRPr="000A56CD">
        <w:rPr>
          <w:rFonts w:ascii="Times New Roman" w:hAnsi="Times New Roman" w:cs="Times New Roman"/>
          <w:vertAlign w:val="subscript"/>
        </w:rPr>
        <w:t xml:space="preserve"> </w:t>
      </w:r>
      <w:r w:rsidRPr="000A56CD">
        <w:rPr>
          <w:rFonts w:ascii="Times New Roman" w:hAnsi="Times New Roman" w:cs="Times New Roman"/>
        </w:rPr>
        <w:t xml:space="preserve">Neem oil 4%, followed </w:t>
      </w:r>
      <w:r w:rsidRPr="000A56CD">
        <w:rPr>
          <w:rFonts w:ascii="Times New Roman" w:hAnsi="Times New Roman" w:cs="Times New Roman"/>
        </w:rPr>
        <w:lastRenderedPageBreak/>
        <w:t>by (T</w:t>
      </w:r>
      <w:r w:rsidRPr="000A56CD">
        <w:rPr>
          <w:rFonts w:ascii="Times New Roman" w:hAnsi="Times New Roman" w:cs="Times New Roman"/>
          <w:vertAlign w:val="subscript"/>
        </w:rPr>
        <w:t>3</w:t>
      </w:r>
      <w:r w:rsidRPr="000A56CD">
        <w:rPr>
          <w:rFonts w:ascii="Times New Roman" w:hAnsi="Times New Roman" w:cs="Times New Roman"/>
        </w:rPr>
        <w:t>) Propiconazole 0.1% and (T</w:t>
      </w:r>
      <w:r w:rsidRPr="000A56CD">
        <w:rPr>
          <w:rFonts w:ascii="Times New Roman" w:hAnsi="Times New Roman" w:cs="Times New Roman"/>
          <w:vertAlign w:val="subscript"/>
        </w:rPr>
        <w:t>7</w:t>
      </w:r>
      <w:r w:rsidRPr="000A56CD">
        <w:rPr>
          <w:rFonts w:ascii="Times New Roman" w:hAnsi="Times New Roman" w:cs="Times New Roman"/>
        </w:rPr>
        <w:t xml:space="preserve">) </w:t>
      </w:r>
      <w:r w:rsidRPr="000A56CD">
        <w:rPr>
          <w:rFonts w:ascii="Times New Roman" w:hAnsi="Times New Roman" w:cs="Times New Roman"/>
          <w:i/>
          <w:iCs/>
        </w:rPr>
        <w:t>Trichoderma harzianum</w:t>
      </w:r>
      <w:r w:rsidRPr="000A56CD">
        <w:rPr>
          <w:rFonts w:ascii="Times New Roman" w:hAnsi="Times New Roman" w:cs="Times New Roman"/>
        </w:rPr>
        <w:t xml:space="preserve"> 4%, both recording 10.56%. The highest PDI at this stage (12.22%) was observed in (T</w:t>
      </w:r>
      <w:r w:rsidRPr="000A56CD">
        <w:rPr>
          <w:rFonts w:ascii="Times New Roman" w:hAnsi="Times New Roman" w:cs="Times New Roman"/>
          <w:vertAlign w:val="subscript"/>
        </w:rPr>
        <w:t>6</w:t>
      </w:r>
      <w:r w:rsidRPr="000A56CD">
        <w:rPr>
          <w:rFonts w:ascii="Times New Roman" w:hAnsi="Times New Roman" w:cs="Times New Roman"/>
        </w:rPr>
        <w:t xml:space="preserve">) </w:t>
      </w:r>
      <w:r w:rsidRPr="000A56CD">
        <w:rPr>
          <w:rFonts w:ascii="Times New Roman" w:hAnsi="Times New Roman" w:cs="Times New Roman"/>
          <w:i/>
          <w:iCs/>
        </w:rPr>
        <w:t>Trichoderma asperellum</w:t>
      </w:r>
      <w:r w:rsidRPr="000A56CD">
        <w:rPr>
          <w:rFonts w:ascii="Times New Roman" w:hAnsi="Times New Roman" w:cs="Times New Roman"/>
        </w:rPr>
        <w:t xml:space="preserve"> 3%. These early observations suggest that neem oil has some preventive properties, potentially acting as an early deterrent to fungal infection. However, differences in disease development in the later stages indicate the varying curative and systemic properties of the fungicides.</w:t>
      </w:r>
    </w:p>
    <w:p w14:paraId="0FD42A31" w14:textId="33A7B89B"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Per cent Disease Incidence After Spraying</w:t>
      </w:r>
    </w:p>
    <w:p w14:paraId="59634A81" w14:textId="1F7D6BA8"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50 DAS</w:t>
      </w:r>
    </w:p>
    <w:p w14:paraId="513A1715" w14:textId="77777777" w:rsidR="00234386"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After the first spraying, a significant reduction in disease progression was noted in most treatments. (T</w:t>
      </w:r>
      <w:r w:rsidRPr="000A56CD">
        <w:rPr>
          <w:rFonts w:ascii="Times New Roman" w:hAnsi="Times New Roman" w:cs="Times New Roman"/>
          <w:vertAlign w:val="subscript"/>
        </w:rPr>
        <w:t>1</w:t>
      </w:r>
      <w:r w:rsidRPr="000A56CD">
        <w:rPr>
          <w:rFonts w:ascii="Times New Roman" w:hAnsi="Times New Roman" w:cs="Times New Roman"/>
        </w:rPr>
        <w:t>) Sulphur 0.3% recorded the lowest PDI of 13.56%, followed closely by (T</w:t>
      </w:r>
      <w:r w:rsidRPr="000A56CD">
        <w:rPr>
          <w:rFonts w:ascii="Times New Roman" w:hAnsi="Times New Roman" w:cs="Times New Roman"/>
          <w:vertAlign w:val="subscript"/>
        </w:rPr>
        <w:t>2</w:t>
      </w:r>
      <w:r w:rsidRPr="000A56CD">
        <w:rPr>
          <w:rFonts w:ascii="Times New Roman" w:hAnsi="Times New Roman" w:cs="Times New Roman"/>
        </w:rPr>
        <w:t>) Hexaconazole 0.1% at 13.11 % and (T</w:t>
      </w:r>
      <w:r w:rsidRPr="000A56CD">
        <w:rPr>
          <w:rFonts w:ascii="Times New Roman" w:hAnsi="Times New Roman" w:cs="Times New Roman"/>
          <w:vertAlign w:val="subscript"/>
        </w:rPr>
        <w:t>3</w:t>
      </w:r>
      <w:r w:rsidRPr="000A56CD">
        <w:rPr>
          <w:rFonts w:ascii="Times New Roman" w:hAnsi="Times New Roman" w:cs="Times New Roman"/>
        </w:rPr>
        <w:t>) Propiconazole 0.1% at 14.47%. The highest PDI was noted in (T</w:t>
      </w:r>
      <w:r w:rsidRPr="000A56CD">
        <w:rPr>
          <w:rFonts w:ascii="Times New Roman" w:hAnsi="Times New Roman" w:cs="Times New Roman"/>
          <w:vertAlign w:val="subscript"/>
        </w:rPr>
        <w:t>9</w:t>
      </w:r>
      <w:r w:rsidRPr="000A56CD">
        <w:rPr>
          <w:rFonts w:ascii="Times New Roman" w:hAnsi="Times New Roman" w:cs="Times New Roman"/>
        </w:rPr>
        <w:t>) Control (Water Spray) at 29.07%, clearly indicating the effectiveness of chemical and biological treatments in suppressing disease progression post-treatment.</w:t>
      </w:r>
    </w:p>
    <w:p w14:paraId="6FA556AA" w14:textId="08B98BEF" w:rsidR="00C35DB6" w:rsidRPr="00234386" w:rsidRDefault="00C35DB6" w:rsidP="00A7122D">
      <w:pPr>
        <w:autoSpaceDE w:val="0"/>
        <w:autoSpaceDN w:val="0"/>
        <w:adjustRightInd w:val="0"/>
        <w:spacing w:after="0" w:line="240" w:lineRule="auto"/>
        <w:jc w:val="both"/>
        <w:rPr>
          <w:rFonts w:ascii="Times New Roman" w:hAnsi="Times New Roman" w:cs="Times New Roman"/>
        </w:rPr>
      </w:pPr>
      <w:r w:rsidRPr="000A56CD">
        <w:rPr>
          <w:rFonts w:ascii="Times New Roman" w:hAnsi="Times New Roman" w:cs="Times New Roman"/>
          <w:b/>
          <w:bCs/>
        </w:rPr>
        <w:t>60 DAS</w:t>
      </w:r>
    </w:p>
    <w:p w14:paraId="34FA9E7C" w14:textId="77777777"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Following the second spray, the PDI continued to rise in most treatments, but at a significantly lower rate in treated plots compared to the control. The lowest incidence was observed in (T</w:t>
      </w:r>
      <w:r w:rsidRPr="000A56CD">
        <w:rPr>
          <w:rFonts w:ascii="Times New Roman" w:hAnsi="Times New Roman" w:cs="Times New Roman"/>
          <w:vertAlign w:val="subscript"/>
        </w:rPr>
        <w:t>1</w:t>
      </w:r>
      <w:r w:rsidRPr="000A56CD">
        <w:rPr>
          <w:rFonts w:ascii="Times New Roman" w:hAnsi="Times New Roman" w:cs="Times New Roman"/>
        </w:rPr>
        <w:t>) Sulphur 0.3% at 17.68%, followed by (T</w:t>
      </w:r>
      <w:r w:rsidRPr="000A56CD">
        <w:rPr>
          <w:rFonts w:ascii="Times New Roman" w:hAnsi="Times New Roman" w:cs="Times New Roman"/>
          <w:vertAlign w:val="subscript"/>
        </w:rPr>
        <w:t>2</w:t>
      </w:r>
      <w:r w:rsidRPr="000A56CD">
        <w:rPr>
          <w:rFonts w:ascii="Times New Roman" w:hAnsi="Times New Roman" w:cs="Times New Roman"/>
        </w:rPr>
        <w:t>) Hexaconazole and (T</w:t>
      </w:r>
      <w:r w:rsidRPr="000A56CD">
        <w:rPr>
          <w:rFonts w:ascii="Times New Roman" w:hAnsi="Times New Roman" w:cs="Times New Roman"/>
          <w:vertAlign w:val="subscript"/>
        </w:rPr>
        <w:t>3</w:t>
      </w:r>
      <w:r w:rsidRPr="000A56CD">
        <w:rPr>
          <w:rFonts w:ascii="Times New Roman" w:hAnsi="Times New Roman" w:cs="Times New Roman"/>
        </w:rPr>
        <w:t>) Propiconazole with PDIs of 21.81% and 25.00%, respectively. Biological agents such as (T</w:t>
      </w:r>
      <w:r w:rsidRPr="000A56CD">
        <w:rPr>
          <w:rFonts w:ascii="Times New Roman" w:hAnsi="Times New Roman" w:cs="Times New Roman"/>
          <w:vertAlign w:val="subscript"/>
        </w:rPr>
        <w:t>6</w:t>
      </w:r>
      <w:r w:rsidRPr="000A56CD">
        <w:rPr>
          <w:rFonts w:ascii="Times New Roman" w:hAnsi="Times New Roman" w:cs="Times New Roman"/>
        </w:rPr>
        <w:t xml:space="preserve">) </w:t>
      </w:r>
      <w:r w:rsidRPr="000A56CD">
        <w:rPr>
          <w:rFonts w:ascii="Times New Roman" w:hAnsi="Times New Roman" w:cs="Times New Roman"/>
          <w:i/>
          <w:iCs/>
        </w:rPr>
        <w:t>Trichoderma asperellum</w:t>
      </w:r>
      <w:r w:rsidRPr="000A56CD">
        <w:rPr>
          <w:rFonts w:ascii="Times New Roman" w:hAnsi="Times New Roman" w:cs="Times New Roman"/>
        </w:rPr>
        <w:t xml:space="preserve"> and (T</w:t>
      </w:r>
      <w:r w:rsidRPr="000A56CD">
        <w:rPr>
          <w:rFonts w:ascii="Times New Roman" w:hAnsi="Times New Roman" w:cs="Times New Roman"/>
          <w:vertAlign w:val="subscript"/>
        </w:rPr>
        <w:t>7</w:t>
      </w:r>
      <w:r w:rsidRPr="000A56CD">
        <w:rPr>
          <w:rFonts w:ascii="Times New Roman" w:hAnsi="Times New Roman" w:cs="Times New Roman"/>
        </w:rPr>
        <w:t xml:space="preserve">) </w:t>
      </w:r>
      <w:r w:rsidRPr="000A56CD">
        <w:rPr>
          <w:rFonts w:ascii="Times New Roman" w:hAnsi="Times New Roman" w:cs="Times New Roman"/>
          <w:i/>
          <w:iCs/>
        </w:rPr>
        <w:t>Trichoderma harzianum</w:t>
      </w:r>
      <w:r w:rsidRPr="000A56CD">
        <w:rPr>
          <w:rFonts w:ascii="Times New Roman" w:hAnsi="Times New Roman" w:cs="Times New Roman"/>
        </w:rPr>
        <w:t xml:space="preserve"> recorded higher PDIs of 27.61% and 29.50%, respectively, suggesting their relatively slower mode of action and lower efficacy under field conditions.</w:t>
      </w:r>
    </w:p>
    <w:p w14:paraId="0D9ED617" w14:textId="77777777"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p>
    <w:p w14:paraId="2187D812" w14:textId="53C5BAFA"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70 DAS</w:t>
      </w:r>
    </w:p>
    <w:p w14:paraId="7378E85A" w14:textId="77777777"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After the third and final spraying, the trend of disease suppression became more apparent. The lowest PDI was again observed in (T</w:t>
      </w:r>
      <w:r w:rsidRPr="000A56CD">
        <w:rPr>
          <w:rFonts w:ascii="Times New Roman" w:hAnsi="Times New Roman" w:cs="Times New Roman"/>
          <w:vertAlign w:val="subscript"/>
        </w:rPr>
        <w:t>1</w:t>
      </w:r>
      <w:r w:rsidRPr="000A56CD">
        <w:rPr>
          <w:rFonts w:ascii="Times New Roman" w:hAnsi="Times New Roman" w:cs="Times New Roman"/>
        </w:rPr>
        <w:t>) Sulphur 0.3% with 18.43%, followed by (T</w:t>
      </w:r>
      <w:r w:rsidRPr="000A56CD">
        <w:rPr>
          <w:rFonts w:ascii="Times New Roman" w:hAnsi="Times New Roman" w:cs="Times New Roman"/>
          <w:vertAlign w:val="subscript"/>
        </w:rPr>
        <w:t>2</w:t>
      </w:r>
      <w:r w:rsidRPr="000A56CD">
        <w:rPr>
          <w:rFonts w:ascii="Times New Roman" w:hAnsi="Times New Roman" w:cs="Times New Roman"/>
        </w:rPr>
        <w:t>) Hexaconazole at 20.60% and (T</w:t>
      </w:r>
      <w:r w:rsidRPr="000A56CD">
        <w:rPr>
          <w:rFonts w:ascii="Times New Roman" w:hAnsi="Times New Roman" w:cs="Times New Roman"/>
          <w:vertAlign w:val="subscript"/>
        </w:rPr>
        <w:t>4</w:t>
      </w:r>
      <w:r w:rsidRPr="000A56CD">
        <w:rPr>
          <w:rFonts w:ascii="Times New Roman" w:hAnsi="Times New Roman" w:cs="Times New Roman"/>
        </w:rPr>
        <w:t>)</w:t>
      </w:r>
      <w:r w:rsidRPr="000A56CD">
        <w:rPr>
          <w:rFonts w:ascii="Times New Roman" w:hAnsi="Times New Roman" w:cs="Times New Roman"/>
          <w:vertAlign w:val="subscript"/>
        </w:rPr>
        <w:t xml:space="preserve"> </w:t>
      </w:r>
      <w:r w:rsidRPr="000A56CD">
        <w:rPr>
          <w:rFonts w:ascii="Times New Roman" w:hAnsi="Times New Roman" w:cs="Times New Roman"/>
        </w:rPr>
        <w:t>Potassium bicarbonate at 20.60%. (T</w:t>
      </w:r>
      <w:r w:rsidRPr="000A56CD">
        <w:rPr>
          <w:rFonts w:ascii="Times New Roman" w:hAnsi="Times New Roman" w:cs="Times New Roman"/>
          <w:vertAlign w:val="subscript"/>
        </w:rPr>
        <w:t>9</w:t>
      </w:r>
      <w:r w:rsidRPr="000A56CD">
        <w:rPr>
          <w:rFonts w:ascii="Times New Roman" w:hAnsi="Times New Roman" w:cs="Times New Roman"/>
        </w:rPr>
        <w:t>) Control showed a drastic increase in disease incidence, reaching 66.70%, demonstrating the unchecked spread of powdery mildew in the absence of any disease management practices.</w:t>
      </w:r>
    </w:p>
    <w:p w14:paraId="0076BF48" w14:textId="5F3819C3" w:rsidR="00C35DB6" w:rsidRPr="000A56CD" w:rsidRDefault="00C35DB6" w:rsidP="00A7122D">
      <w:pPr>
        <w:autoSpaceDE w:val="0"/>
        <w:autoSpaceDN w:val="0"/>
        <w:adjustRightInd w:val="0"/>
        <w:spacing w:after="0" w:line="240" w:lineRule="auto"/>
        <w:jc w:val="both"/>
        <w:rPr>
          <w:rFonts w:ascii="Times New Roman" w:hAnsi="Times New Roman" w:cs="Times New Roman"/>
          <w:b/>
          <w:bCs/>
        </w:rPr>
      </w:pPr>
      <w:r w:rsidRPr="000A56CD">
        <w:rPr>
          <w:rFonts w:ascii="Times New Roman" w:hAnsi="Times New Roman" w:cs="Times New Roman"/>
          <w:b/>
          <w:bCs/>
        </w:rPr>
        <w:t>Mean Per cent Disease Incidence (Mean PDI)</w:t>
      </w:r>
    </w:p>
    <w:p w14:paraId="706294F6" w14:textId="40F47B4A" w:rsidR="00C35DB6" w:rsidRPr="000A56CD" w:rsidRDefault="00C35DB6" w:rsidP="00751809">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The cumulative mean PDI across all three observations revealed clear differences in the efficacy of the treatments. The most effective treatment in reducing disease incidence was (T</w:t>
      </w:r>
      <w:r w:rsidRPr="000A56CD">
        <w:rPr>
          <w:rFonts w:ascii="Times New Roman" w:hAnsi="Times New Roman" w:cs="Times New Roman"/>
          <w:vertAlign w:val="subscript"/>
        </w:rPr>
        <w:t>1</w:t>
      </w:r>
      <w:r w:rsidRPr="000A56CD">
        <w:rPr>
          <w:rFonts w:ascii="Times New Roman" w:hAnsi="Times New Roman" w:cs="Times New Roman"/>
        </w:rPr>
        <w:t>) Sulphur 0.3%, recording the lowest mean PDI of 1</w:t>
      </w:r>
      <w:r w:rsidR="005A0CAA">
        <w:rPr>
          <w:rFonts w:ascii="Times New Roman" w:hAnsi="Times New Roman" w:cs="Times New Roman"/>
        </w:rPr>
        <w:t>7.8</w:t>
      </w:r>
      <w:r w:rsidRPr="000A56CD">
        <w:rPr>
          <w:rFonts w:ascii="Times New Roman" w:hAnsi="Times New Roman" w:cs="Times New Roman"/>
        </w:rPr>
        <w:t>%, followed by (T</w:t>
      </w:r>
      <w:r w:rsidRPr="000A56CD">
        <w:rPr>
          <w:rFonts w:ascii="Times New Roman" w:hAnsi="Times New Roman" w:cs="Times New Roman"/>
          <w:vertAlign w:val="subscript"/>
        </w:rPr>
        <w:t>2</w:t>
      </w:r>
      <w:r w:rsidRPr="000A56CD">
        <w:rPr>
          <w:rFonts w:ascii="Times New Roman" w:hAnsi="Times New Roman" w:cs="Times New Roman"/>
        </w:rPr>
        <w:t>) Hexaconazole 0.1% with 20.16%, and (T</w:t>
      </w:r>
      <w:r w:rsidRPr="000A56CD">
        <w:rPr>
          <w:rFonts w:ascii="Times New Roman" w:hAnsi="Times New Roman" w:cs="Times New Roman"/>
          <w:vertAlign w:val="subscript"/>
        </w:rPr>
        <w:t>3</w:t>
      </w:r>
      <w:r w:rsidRPr="000A56CD">
        <w:rPr>
          <w:rFonts w:ascii="Times New Roman" w:hAnsi="Times New Roman" w:cs="Times New Roman"/>
        </w:rPr>
        <w:t>) Propiconazole 0.1% with 23.20%. These treatments significantly suppressed powdery mildew incidence and were statistically superior to the control.</w:t>
      </w:r>
      <w:r w:rsidR="00751809">
        <w:rPr>
          <w:rFonts w:ascii="Times New Roman" w:hAnsi="Times New Roman" w:cs="Times New Roman"/>
        </w:rPr>
        <w:t xml:space="preserve"> </w:t>
      </w:r>
      <w:r w:rsidRPr="000A56CD">
        <w:rPr>
          <w:rFonts w:ascii="Times New Roman" w:hAnsi="Times New Roman" w:cs="Times New Roman"/>
        </w:rPr>
        <w:t>Other treatments</w:t>
      </w:r>
      <w:r w:rsidR="00F53BC9">
        <w:rPr>
          <w:rFonts w:ascii="Times New Roman" w:hAnsi="Times New Roman" w:cs="Times New Roman"/>
        </w:rPr>
        <w:t>,</w:t>
      </w:r>
      <w:r w:rsidRPr="000A56CD">
        <w:rPr>
          <w:rFonts w:ascii="Times New Roman" w:hAnsi="Times New Roman" w:cs="Times New Roman"/>
        </w:rPr>
        <w:t xml:space="preserve"> such as (T</w:t>
      </w:r>
      <w:r w:rsidRPr="000A56CD">
        <w:rPr>
          <w:rFonts w:ascii="Times New Roman" w:hAnsi="Times New Roman" w:cs="Times New Roman"/>
          <w:vertAlign w:val="subscript"/>
        </w:rPr>
        <w:t>4</w:t>
      </w:r>
      <w:r w:rsidRPr="000A56CD">
        <w:rPr>
          <w:rFonts w:ascii="Times New Roman" w:hAnsi="Times New Roman" w:cs="Times New Roman"/>
        </w:rPr>
        <w:t>) Potassium bicarbonate and (T</w:t>
      </w:r>
      <w:r w:rsidRPr="000A56CD">
        <w:rPr>
          <w:rFonts w:ascii="Times New Roman" w:hAnsi="Times New Roman" w:cs="Times New Roman"/>
          <w:vertAlign w:val="subscript"/>
        </w:rPr>
        <w:t>5</w:t>
      </w:r>
      <w:r w:rsidRPr="000A56CD">
        <w:rPr>
          <w:rFonts w:ascii="Times New Roman" w:hAnsi="Times New Roman" w:cs="Times New Roman"/>
        </w:rPr>
        <w:t>) Neem oil</w:t>
      </w:r>
      <w:r w:rsidR="00F53BC9">
        <w:rPr>
          <w:rFonts w:ascii="Times New Roman" w:hAnsi="Times New Roman" w:cs="Times New Roman"/>
        </w:rPr>
        <w:t>,</w:t>
      </w:r>
      <w:r w:rsidRPr="000A56CD">
        <w:rPr>
          <w:rFonts w:ascii="Times New Roman" w:hAnsi="Times New Roman" w:cs="Times New Roman"/>
        </w:rPr>
        <w:t xml:space="preserve"> recorded moderate efficacy with mean PDIs of 24.76% and 25.41%, respectively. These treatments may be considered for integrated disease management, especially under low disease pressure or organic farming systems.</w:t>
      </w:r>
      <w:r w:rsidR="00751809">
        <w:rPr>
          <w:rFonts w:ascii="Times New Roman" w:hAnsi="Times New Roman" w:cs="Times New Roman"/>
        </w:rPr>
        <w:t xml:space="preserve"> </w:t>
      </w:r>
      <w:r w:rsidRPr="000A56CD">
        <w:rPr>
          <w:rFonts w:ascii="Times New Roman" w:hAnsi="Times New Roman" w:cs="Times New Roman"/>
        </w:rPr>
        <w:t>Biological treatments, namely (T</w:t>
      </w:r>
      <w:r w:rsidRPr="000A56CD">
        <w:rPr>
          <w:rFonts w:ascii="Times New Roman" w:hAnsi="Times New Roman" w:cs="Times New Roman"/>
          <w:vertAlign w:val="subscript"/>
        </w:rPr>
        <w:t>6</w:t>
      </w:r>
      <w:r w:rsidRPr="000A56CD">
        <w:rPr>
          <w:rFonts w:ascii="Times New Roman" w:hAnsi="Times New Roman" w:cs="Times New Roman"/>
        </w:rPr>
        <w:t xml:space="preserve">) </w:t>
      </w:r>
      <w:r w:rsidRPr="000A56CD">
        <w:rPr>
          <w:rFonts w:ascii="Times New Roman" w:hAnsi="Times New Roman" w:cs="Times New Roman"/>
          <w:i/>
          <w:iCs/>
        </w:rPr>
        <w:t>Trichoderma asperellum</w:t>
      </w:r>
      <w:r w:rsidRPr="000A56CD">
        <w:rPr>
          <w:rFonts w:ascii="Times New Roman" w:hAnsi="Times New Roman" w:cs="Times New Roman"/>
        </w:rPr>
        <w:t xml:space="preserve"> and (T</w:t>
      </w:r>
      <w:r w:rsidRPr="000A56CD">
        <w:rPr>
          <w:rFonts w:ascii="Times New Roman" w:hAnsi="Times New Roman" w:cs="Times New Roman"/>
          <w:vertAlign w:val="subscript"/>
        </w:rPr>
        <w:t>7</w:t>
      </w:r>
      <w:r w:rsidRPr="000A56CD">
        <w:rPr>
          <w:rFonts w:ascii="Times New Roman" w:hAnsi="Times New Roman" w:cs="Times New Roman"/>
        </w:rPr>
        <w:t xml:space="preserve">) </w:t>
      </w:r>
      <w:r w:rsidRPr="000A56CD">
        <w:rPr>
          <w:rFonts w:ascii="Times New Roman" w:hAnsi="Times New Roman" w:cs="Times New Roman"/>
          <w:i/>
          <w:iCs/>
        </w:rPr>
        <w:t>Trichoderma harzianum</w:t>
      </w:r>
      <w:r w:rsidRPr="000A56CD">
        <w:rPr>
          <w:rFonts w:ascii="Times New Roman" w:hAnsi="Times New Roman" w:cs="Times New Roman"/>
        </w:rPr>
        <w:t>, although environmentally safe and suitable for organic cultivation, recorded higher disease incidences with mean PDIs of 26.30% and 28.20%, respectively. These agents work more slowly and are generally less effective than chemical fungicides, especially under high disease pressure.</w:t>
      </w:r>
      <w:r w:rsidR="00751809">
        <w:rPr>
          <w:rFonts w:ascii="Times New Roman" w:hAnsi="Times New Roman" w:cs="Times New Roman"/>
        </w:rPr>
        <w:t xml:space="preserve"> </w:t>
      </w:r>
      <w:r w:rsidRPr="000A56CD">
        <w:rPr>
          <w:rFonts w:ascii="Times New Roman" w:hAnsi="Times New Roman" w:cs="Times New Roman"/>
        </w:rPr>
        <w:t>Interestingly, (T</w:t>
      </w:r>
      <w:r w:rsidRPr="000A56CD">
        <w:rPr>
          <w:rFonts w:ascii="Times New Roman" w:hAnsi="Times New Roman" w:cs="Times New Roman"/>
          <w:vertAlign w:val="subscript"/>
        </w:rPr>
        <w:t>8</w:t>
      </w:r>
      <w:r w:rsidRPr="000A56CD">
        <w:rPr>
          <w:rFonts w:ascii="Times New Roman" w:hAnsi="Times New Roman" w:cs="Times New Roman"/>
        </w:rPr>
        <w:t>) Dinocap 0.1%, a chemical fungicide, was found to be less effective than sulphur, propiconazole, and hexaconazole, with a mean PDI of 32.37%, suggesting that it may not be the best choice for controlling powdery mildew in okra under current conditions.</w:t>
      </w:r>
      <w:r w:rsidR="00751809">
        <w:rPr>
          <w:rFonts w:ascii="Times New Roman" w:hAnsi="Times New Roman" w:cs="Times New Roman"/>
        </w:rPr>
        <w:t xml:space="preserve"> </w:t>
      </w:r>
      <w:r w:rsidRPr="000A56CD">
        <w:rPr>
          <w:rFonts w:ascii="Times New Roman" w:hAnsi="Times New Roman" w:cs="Times New Roman"/>
        </w:rPr>
        <w:t>The untreated control (T</w:t>
      </w:r>
      <w:r w:rsidRPr="000A56CD">
        <w:rPr>
          <w:rFonts w:ascii="Times New Roman" w:hAnsi="Times New Roman" w:cs="Times New Roman"/>
          <w:vertAlign w:val="subscript"/>
        </w:rPr>
        <w:t>9</w:t>
      </w:r>
      <w:r w:rsidRPr="000A56CD">
        <w:rPr>
          <w:rFonts w:ascii="Times New Roman" w:hAnsi="Times New Roman" w:cs="Times New Roman"/>
        </w:rPr>
        <w:t>) showed the highest mean PDI of 51.83%, highlighting the severe impact of powdery mildew in the absence of disease management. This underscores the necessity of employing effective fungicidal treatments to ensure healthy crop growth and optimal yields.</w:t>
      </w:r>
    </w:p>
    <w:p w14:paraId="10F99A14" w14:textId="38906487" w:rsidR="00C35DB6" w:rsidRPr="000A56CD" w:rsidRDefault="00C35DB6" w:rsidP="00A7122D">
      <w:pPr>
        <w:autoSpaceDE w:val="0"/>
        <w:autoSpaceDN w:val="0"/>
        <w:adjustRightInd w:val="0"/>
        <w:spacing w:after="0" w:line="240" w:lineRule="auto"/>
        <w:jc w:val="both"/>
        <w:rPr>
          <w:rFonts w:ascii="Times New Roman" w:hAnsi="Times New Roman" w:cs="Times New Roman"/>
          <w:b/>
          <w:bCs/>
          <w:kern w:val="0"/>
          <w:szCs w:val="24"/>
        </w:rPr>
      </w:pPr>
      <w:r w:rsidRPr="000A56CD">
        <w:rPr>
          <w:rFonts w:ascii="Times New Roman" w:hAnsi="Times New Roman" w:cs="Times New Roman"/>
          <w:b/>
          <w:bCs/>
        </w:rPr>
        <w:lastRenderedPageBreak/>
        <w:t>Reduction Over Control (ROC%)</w:t>
      </w:r>
    </w:p>
    <w:p w14:paraId="5298BCB8" w14:textId="4F339E12" w:rsidR="00C35DB6" w:rsidRPr="000A56CD" w:rsidRDefault="00C35DB6" w:rsidP="00A7122D">
      <w:pPr>
        <w:autoSpaceDE w:val="0"/>
        <w:autoSpaceDN w:val="0"/>
        <w:adjustRightInd w:val="0"/>
        <w:spacing w:after="0" w:line="240" w:lineRule="auto"/>
        <w:ind w:firstLine="720"/>
        <w:jc w:val="both"/>
        <w:rPr>
          <w:rFonts w:ascii="Times New Roman" w:hAnsi="Times New Roman" w:cs="Times New Roman"/>
          <w:kern w:val="0"/>
          <w:szCs w:val="24"/>
        </w:rPr>
        <w:sectPr w:rsidR="00C35DB6" w:rsidRPr="000A56CD" w:rsidSect="00551A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0A56CD">
        <w:rPr>
          <w:rFonts w:ascii="Times New Roman" w:hAnsi="Times New Roman" w:cs="Times New Roman"/>
          <w:kern w:val="0"/>
          <w:szCs w:val="24"/>
        </w:rPr>
        <w:t>Among all treatments, sulphur (T</w:t>
      </w:r>
      <w:r w:rsidRPr="000A56CD">
        <w:rPr>
          <w:rFonts w:ascii="Times New Roman" w:hAnsi="Times New Roman" w:cs="Times New Roman"/>
          <w:kern w:val="0"/>
          <w:szCs w:val="24"/>
          <w:vertAlign w:val="subscript"/>
        </w:rPr>
        <w:t>1</w:t>
      </w:r>
      <w:r w:rsidRPr="000A56CD">
        <w:rPr>
          <w:rFonts w:ascii="Times New Roman" w:hAnsi="Times New Roman" w:cs="Times New Roman"/>
          <w:kern w:val="0"/>
          <w:szCs w:val="24"/>
        </w:rPr>
        <w:t>) recorded the highest ROC value of 65.55%, indicating its superior efficacy in reducing disease incidence. This was followed by hexaconazole (T</w:t>
      </w:r>
      <w:r w:rsidRPr="000A56CD">
        <w:rPr>
          <w:rFonts w:ascii="Times New Roman" w:hAnsi="Times New Roman" w:cs="Times New Roman"/>
          <w:kern w:val="0"/>
          <w:szCs w:val="24"/>
          <w:vertAlign w:val="subscript"/>
        </w:rPr>
        <w:t>2</w:t>
      </w:r>
      <w:r w:rsidRPr="000A56CD">
        <w:rPr>
          <w:rFonts w:ascii="Times New Roman" w:hAnsi="Times New Roman" w:cs="Times New Roman"/>
          <w:kern w:val="0"/>
          <w:szCs w:val="24"/>
        </w:rPr>
        <w:t>) and propiconazole (T</w:t>
      </w:r>
      <w:r w:rsidRPr="000A56CD">
        <w:rPr>
          <w:rFonts w:ascii="Times New Roman" w:hAnsi="Times New Roman" w:cs="Times New Roman"/>
          <w:kern w:val="0"/>
          <w:szCs w:val="24"/>
          <w:vertAlign w:val="subscript"/>
        </w:rPr>
        <w:t>3</w:t>
      </w:r>
      <w:r w:rsidRPr="000A56CD">
        <w:rPr>
          <w:rFonts w:ascii="Times New Roman" w:hAnsi="Times New Roman" w:cs="Times New Roman"/>
          <w:kern w:val="0"/>
          <w:szCs w:val="24"/>
        </w:rPr>
        <w:t>), which showed ROC values of 61.11% and 55.24%, respectively. These systemic fungicides were highly effective in suppressing disease progression after spraying, as evidenced by their consistently lower PDI values across all intervals. Potassium bicarbonate (T</w:t>
      </w:r>
      <w:r w:rsidRPr="000A56CD">
        <w:rPr>
          <w:rFonts w:ascii="Times New Roman" w:hAnsi="Times New Roman" w:cs="Times New Roman"/>
          <w:kern w:val="0"/>
          <w:szCs w:val="24"/>
          <w:vertAlign w:val="subscript"/>
        </w:rPr>
        <w:t>4</w:t>
      </w:r>
      <w:r w:rsidRPr="000A56CD">
        <w:rPr>
          <w:rFonts w:ascii="Times New Roman" w:hAnsi="Times New Roman" w:cs="Times New Roman"/>
          <w:kern w:val="0"/>
          <w:szCs w:val="24"/>
        </w:rPr>
        <w:t>) and neem oil (T</w:t>
      </w:r>
      <w:r w:rsidRPr="000A56CD">
        <w:rPr>
          <w:rFonts w:ascii="Times New Roman" w:hAnsi="Times New Roman" w:cs="Times New Roman"/>
          <w:kern w:val="0"/>
          <w:szCs w:val="24"/>
          <w:vertAlign w:val="subscript"/>
        </w:rPr>
        <w:t>5</w:t>
      </w:r>
      <w:r w:rsidRPr="000A56CD">
        <w:rPr>
          <w:rFonts w:ascii="Times New Roman" w:hAnsi="Times New Roman" w:cs="Times New Roman"/>
          <w:kern w:val="0"/>
          <w:szCs w:val="24"/>
        </w:rPr>
        <w:t xml:space="preserve">) exhibited moderate efficacy with ROC values of 52.23% and 50.98%, respectively. Although neem oil recorded the lowest PDI (8.89%) at the first appearance of disease, its protective effect diminished in later stages. The biological control agents, </w:t>
      </w:r>
      <w:r w:rsidRPr="000A56CD">
        <w:rPr>
          <w:rFonts w:ascii="Times New Roman" w:hAnsi="Times New Roman" w:cs="Times New Roman"/>
          <w:i/>
          <w:iCs/>
          <w:kern w:val="0"/>
          <w:szCs w:val="24"/>
        </w:rPr>
        <w:t>Trichoderma asperellum</w:t>
      </w:r>
      <w:r w:rsidRPr="000A56CD">
        <w:rPr>
          <w:rFonts w:ascii="Times New Roman" w:hAnsi="Times New Roman" w:cs="Times New Roman"/>
          <w:kern w:val="0"/>
          <w:szCs w:val="24"/>
        </w:rPr>
        <w:t xml:space="preserve"> (T</w:t>
      </w:r>
      <w:r w:rsidRPr="000A56CD">
        <w:rPr>
          <w:rFonts w:ascii="Times New Roman" w:hAnsi="Times New Roman" w:cs="Times New Roman"/>
          <w:kern w:val="0"/>
          <w:szCs w:val="24"/>
          <w:vertAlign w:val="subscript"/>
        </w:rPr>
        <w:t>6</w:t>
      </w:r>
      <w:r w:rsidRPr="000A56CD">
        <w:rPr>
          <w:rFonts w:ascii="Times New Roman" w:hAnsi="Times New Roman" w:cs="Times New Roman"/>
          <w:kern w:val="0"/>
          <w:szCs w:val="24"/>
        </w:rPr>
        <w:t xml:space="preserve">) and </w:t>
      </w:r>
      <w:r w:rsidRPr="000A56CD">
        <w:rPr>
          <w:rFonts w:ascii="Times New Roman" w:hAnsi="Times New Roman" w:cs="Times New Roman"/>
          <w:i/>
          <w:iCs/>
          <w:kern w:val="0"/>
          <w:szCs w:val="24"/>
        </w:rPr>
        <w:t>T. harzianum</w:t>
      </w:r>
      <w:r w:rsidRPr="000A56CD">
        <w:rPr>
          <w:rFonts w:ascii="Times New Roman" w:hAnsi="Times New Roman" w:cs="Times New Roman"/>
          <w:kern w:val="0"/>
          <w:szCs w:val="24"/>
        </w:rPr>
        <w:t xml:space="preserve"> (T</w:t>
      </w:r>
      <w:r w:rsidRPr="000A56CD">
        <w:rPr>
          <w:rFonts w:ascii="Times New Roman" w:hAnsi="Times New Roman" w:cs="Times New Roman"/>
          <w:kern w:val="0"/>
          <w:szCs w:val="24"/>
          <w:vertAlign w:val="subscript"/>
        </w:rPr>
        <w:t>7</w:t>
      </w:r>
      <w:r w:rsidRPr="000A56CD">
        <w:rPr>
          <w:rFonts w:ascii="Times New Roman" w:hAnsi="Times New Roman" w:cs="Times New Roman"/>
          <w:kern w:val="0"/>
          <w:szCs w:val="24"/>
        </w:rPr>
        <w:t>), were less effective than chemical treatments, showing ROC values of 49.26% and 45.60%, respectively. However, they still provided a significant reduction in disease compared to the untreated control. Dinocap (T</w:t>
      </w:r>
      <w:r w:rsidRPr="000A56CD">
        <w:rPr>
          <w:rFonts w:ascii="Times New Roman" w:hAnsi="Times New Roman" w:cs="Times New Roman"/>
          <w:kern w:val="0"/>
          <w:szCs w:val="24"/>
          <w:vertAlign w:val="subscript"/>
        </w:rPr>
        <w:t>8</w:t>
      </w:r>
      <w:r w:rsidRPr="000A56CD">
        <w:rPr>
          <w:rFonts w:ascii="Times New Roman" w:hAnsi="Times New Roman" w:cs="Times New Roman"/>
          <w:kern w:val="0"/>
          <w:szCs w:val="24"/>
        </w:rPr>
        <w:t>) recorded a lower ROC value of 37.55%, indicating reduced efficacy in disease control compared to other fungicides tested. The untreated control (T</w:t>
      </w:r>
      <w:r w:rsidRPr="000A56CD">
        <w:rPr>
          <w:rFonts w:ascii="Times New Roman" w:hAnsi="Times New Roman" w:cs="Times New Roman"/>
          <w:kern w:val="0"/>
          <w:szCs w:val="24"/>
          <w:vertAlign w:val="subscript"/>
        </w:rPr>
        <w:t>9</w:t>
      </w:r>
      <w:r w:rsidRPr="000A56CD">
        <w:rPr>
          <w:rFonts w:ascii="Times New Roman" w:hAnsi="Times New Roman" w:cs="Times New Roman"/>
          <w:kern w:val="0"/>
          <w:szCs w:val="24"/>
        </w:rPr>
        <w:t>) exhibited the highest mean PDI of 51.83%, emphasi</w:t>
      </w:r>
      <w:r w:rsidR="00F53BC9">
        <w:rPr>
          <w:rFonts w:ascii="Times New Roman" w:hAnsi="Times New Roman" w:cs="Times New Roman"/>
          <w:kern w:val="0"/>
          <w:szCs w:val="24"/>
        </w:rPr>
        <w:t>s</w:t>
      </w:r>
      <w:r w:rsidRPr="000A56CD">
        <w:rPr>
          <w:rFonts w:ascii="Times New Roman" w:hAnsi="Times New Roman" w:cs="Times New Roman"/>
          <w:kern w:val="0"/>
          <w:szCs w:val="24"/>
        </w:rPr>
        <w:t>ing the importance of effective disease management practices.</w:t>
      </w:r>
    </w:p>
    <w:p w14:paraId="51702935" w14:textId="59986A9A" w:rsidR="00C35DB6" w:rsidRPr="000A56CD" w:rsidRDefault="00C35DB6" w:rsidP="00C35DB6">
      <w:pPr>
        <w:autoSpaceDE w:val="0"/>
        <w:autoSpaceDN w:val="0"/>
        <w:adjustRightInd w:val="0"/>
        <w:spacing w:after="0" w:line="360" w:lineRule="auto"/>
        <w:jc w:val="both"/>
        <w:rPr>
          <w:rFonts w:ascii="Times New Roman" w:hAnsi="Times New Roman" w:cs="Times New Roman"/>
          <w:b/>
          <w:bCs/>
          <w:kern w:val="0"/>
          <w:szCs w:val="24"/>
        </w:rPr>
      </w:pPr>
      <w:r w:rsidRPr="000A56CD">
        <w:rPr>
          <w:rFonts w:ascii="Times New Roman" w:hAnsi="Times New Roman" w:cs="Times New Roman"/>
          <w:b/>
          <w:bCs/>
          <w:kern w:val="0"/>
          <w:szCs w:val="24"/>
        </w:rPr>
        <w:lastRenderedPageBreak/>
        <w:t>Table</w:t>
      </w:r>
      <w:r w:rsidR="00AE7D2E">
        <w:rPr>
          <w:rFonts w:ascii="Times New Roman" w:hAnsi="Times New Roman" w:cs="Times New Roman"/>
          <w:b/>
          <w:bCs/>
          <w:kern w:val="0"/>
          <w:szCs w:val="24"/>
        </w:rPr>
        <w:t xml:space="preserve"> </w:t>
      </w:r>
      <w:r w:rsidR="00F53BC9">
        <w:rPr>
          <w:rFonts w:ascii="Times New Roman" w:hAnsi="Times New Roman" w:cs="Times New Roman"/>
          <w:b/>
          <w:bCs/>
          <w:kern w:val="0"/>
          <w:szCs w:val="24"/>
        </w:rPr>
        <w:t>1</w:t>
      </w:r>
      <w:r w:rsidR="00AE7D2E">
        <w:rPr>
          <w:rFonts w:ascii="Times New Roman" w:hAnsi="Times New Roman" w:cs="Times New Roman"/>
          <w:b/>
          <w:bCs/>
          <w:kern w:val="0"/>
          <w:szCs w:val="24"/>
        </w:rPr>
        <w:t>:</w:t>
      </w:r>
      <w:r w:rsidRPr="000A56CD">
        <w:rPr>
          <w:rFonts w:ascii="Times New Roman" w:hAnsi="Times New Roman" w:cs="Times New Roman"/>
          <w:b/>
          <w:bCs/>
          <w:kern w:val="0"/>
          <w:szCs w:val="24"/>
        </w:rPr>
        <w:t xml:space="preserve"> Effect of fungicides on powdery mildew incidence in okra.</w:t>
      </w:r>
    </w:p>
    <w:tbl>
      <w:tblPr>
        <w:tblStyle w:val="TableGrid"/>
        <w:tblW w:w="10615" w:type="dxa"/>
        <w:jc w:val="center"/>
        <w:tblLayout w:type="fixed"/>
        <w:tblLook w:val="04A0" w:firstRow="1" w:lastRow="0" w:firstColumn="1" w:lastColumn="0" w:noHBand="0" w:noVBand="1"/>
      </w:tblPr>
      <w:tblGrid>
        <w:gridCol w:w="535"/>
        <w:gridCol w:w="2250"/>
        <w:gridCol w:w="720"/>
        <w:gridCol w:w="1350"/>
        <w:gridCol w:w="1260"/>
        <w:gridCol w:w="1260"/>
        <w:gridCol w:w="1260"/>
        <w:gridCol w:w="1260"/>
        <w:gridCol w:w="720"/>
      </w:tblGrid>
      <w:tr w:rsidR="00D03766" w:rsidRPr="000A56CD" w14:paraId="14C288B1" w14:textId="77777777" w:rsidTr="00627230">
        <w:trPr>
          <w:trHeight w:val="22"/>
          <w:jc w:val="center"/>
        </w:trPr>
        <w:tc>
          <w:tcPr>
            <w:tcW w:w="535" w:type="dxa"/>
            <w:vMerge w:val="restart"/>
            <w:vAlign w:val="center"/>
          </w:tcPr>
          <w:p w14:paraId="1BAB6F6F" w14:textId="77777777" w:rsidR="00FE3139" w:rsidRPr="000A56CD" w:rsidRDefault="00C35DB6" w:rsidP="00B46BA1">
            <w:pPr>
              <w:spacing w:line="276" w:lineRule="auto"/>
              <w:jc w:val="center"/>
              <w:rPr>
                <w:rFonts w:cs="Times New Roman"/>
                <w:b/>
                <w:bCs/>
                <w:sz w:val="20"/>
                <w:szCs w:val="20"/>
              </w:rPr>
            </w:pPr>
            <w:r w:rsidRPr="000A56CD">
              <w:rPr>
                <w:rFonts w:cs="Times New Roman"/>
                <w:b/>
                <w:bCs/>
                <w:sz w:val="20"/>
                <w:szCs w:val="20"/>
              </w:rPr>
              <w:t>S.</w:t>
            </w:r>
          </w:p>
          <w:p w14:paraId="56E9A60D" w14:textId="75F03844"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No.</w:t>
            </w:r>
          </w:p>
        </w:tc>
        <w:tc>
          <w:tcPr>
            <w:tcW w:w="2250" w:type="dxa"/>
            <w:vMerge w:val="restart"/>
            <w:vAlign w:val="center"/>
          </w:tcPr>
          <w:p w14:paraId="5C942BB8"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Treatment</w:t>
            </w:r>
          </w:p>
        </w:tc>
        <w:tc>
          <w:tcPr>
            <w:tcW w:w="720" w:type="dxa"/>
            <w:vMerge w:val="restart"/>
            <w:vAlign w:val="center"/>
          </w:tcPr>
          <w:p w14:paraId="3B5E1A5F"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Conc. (%)</w:t>
            </w:r>
          </w:p>
        </w:tc>
        <w:tc>
          <w:tcPr>
            <w:tcW w:w="1350" w:type="dxa"/>
            <w:vMerge w:val="restart"/>
            <w:vAlign w:val="center"/>
          </w:tcPr>
          <w:p w14:paraId="242670E6" w14:textId="77777777" w:rsidR="00C35DB6" w:rsidRPr="000A56CD" w:rsidRDefault="00C35DB6" w:rsidP="00B46BA1">
            <w:pPr>
              <w:spacing w:line="276" w:lineRule="auto"/>
              <w:jc w:val="center"/>
              <w:rPr>
                <w:rFonts w:cs="Times New Roman"/>
                <w:b/>
                <w:bCs/>
                <w:sz w:val="20"/>
                <w:szCs w:val="20"/>
              </w:rPr>
            </w:pPr>
            <w:r w:rsidRPr="000A56CD">
              <w:rPr>
                <w:rFonts w:eastAsia="Times New Roman" w:cs="Times New Roman"/>
                <w:b/>
                <w:bCs/>
                <w:color w:val="000000"/>
                <w:sz w:val="20"/>
                <w:szCs w:val="20"/>
              </w:rPr>
              <w:t>PDI at first appearance</w:t>
            </w:r>
          </w:p>
        </w:tc>
        <w:tc>
          <w:tcPr>
            <w:tcW w:w="3780" w:type="dxa"/>
            <w:gridSpan w:val="3"/>
          </w:tcPr>
          <w:p w14:paraId="71C5FED8" w14:textId="77777777" w:rsidR="00C35DB6" w:rsidRPr="000A56CD" w:rsidRDefault="00C35DB6" w:rsidP="00B46BA1">
            <w:pPr>
              <w:spacing w:line="276" w:lineRule="auto"/>
              <w:jc w:val="center"/>
              <w:rPr>
                <w:rFonts w:cs="Times New Roman"/>
                <w:b/>
                <w:bCs/>
                <w:sz w:val="20"/>
                <w:szCs w:val="20"/>
              </w:rPr>
            </w:pPr>
            <w:r w:rsidRPr="000A56CD">
              <w:rPr>
                <w:rFonts w:eastAsia="Times New Roman" w:cs="Times New Roman"/>
                <w:b/>
                <w:bCs/>
                <w:color w:val="000000"/>
                <w:sz w:val="20"/>
                <w:szCs w:val="20"/>
              </w:rPr>
              <w:t>Per cent disease incidence after spraying</w:t>
            </w:r>
          </w:p>
        </w:tc>
        <w:tc>
          <w:tcPr>
            <w:tcW w:w="1260" w:type="dxa"/>
            <w:vMerge w:val="restart"/>
          </w:tcPr>
          <w:p w14:paraId="53CE95C2"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Mean PDI</w:t>
            </w:r>
          </w:p>
          <w:p w14:paraId="375425E5"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w:t>
            </w:r>
          </w:p>
        </w:tc>
        <w:tc>
          <w:tcPr>
            <w:tcW w:w="720" w:type="dxa"/>
            <w:vMerge w:val="restart"/>
            <w:vAlign w:val="center"/>
          </w:tcPr>
          <w:p w14:paraId="323E83AE"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ROC</w:t>
            </w:r>
          </w:p>
          <w:p w14:paraId="234E7A9C"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w:t>
            </w:r>
          </w:p>
        </w:tc>
      </w:tr>
      <w:tr w:rsidR="00D03766" w:rsidRPr="000A56CD" w14:paraId="4F5C8A54" w14:textId="77777777" w:rsidTr="00627230">
        <w:trPr>
          <w:trHeight w:val="22"/>
          <w:jc w:val="center"/>
        </w:trPr>
        <w:tc>
          <w:tcPr>
            <w:tcW w:w="535" w:type="dxa"/>
            <w:vMerge/>
          </w:tcPr>
          <w:p w14:paraId="0602B5DC" w14:textId="77777777" w:rsidR="00C35DB6" w:rsidRPr="000A56CD" w:rsidRDefault="00C35DB6" w:rsidP="00B46BA1">
            <w:pPr>
              <w:spacing w:line="276" w:lineRule="auto"/>
              <w:jc w:val="center"/>
              <w:rPr>
                <w:rFonts w:cs="Times New Roman"/>
                <w:sz w:val="20"/>
                <w:szCs w:val="20"/>
              </w:rPr>
            </w:pPr>
          </w:p>
        </w:tc>
        <w:tc>
          <w:tcPr>
            <w:tcW w:w="2250" w:type="dxa"/>
            <w:vMerge/>
          </w:tcPr>
          <w:p w14:paraId="31077E4F" w14:textId="77777777" w:rsidR="00C35DB6" w:rsidRPr="000A56CD" w:rsidRDefault="00C35DB6" w:rsidP="00B46BA1">
            <w:pPr>
              <w:spacing w:line="276" w:lineRule="auto"/>
              <w:rPr>
                <w:rFonts w:cs="Times New Roman"/>
                <w:sz w:val="20"/>
                <w:szCs w:val="20"/>
              </w:rPr>
            </w:pPr>
          </w:p>
        </w:tc>
        <w:tc>
          <w:tcPr>
            <w:tcW w:w="720" w:type="dxa"/>
            <w:vMerge/>
          </w:tcPr>
          <w:p w14:paraId="078557D2" w14:textId="77777777" w:rsidR="00C35DB6" w:rsidRPr="000A56CD" w:rsidRDefault="00C35DB6" w:rsidP="00B46BA1">
            <w:pPr>
              <w:spacing w:line="276" w:lineRule="auto"/>
              <w:rPr>
                <w:rFonts w:cs="Times New Roman"/>
                <w:sz w:val="20"/>
                <w:szCs w:val="20"/>
              </w:rPr>
            </w:pPr>
          </w:p>
        </w:tc>
        <w:tc>
          <w:tcPr>
            <w:tcW w:w="1350" w:type="dxa"/>
            <w:vMerge/>
          </w:tcPr>
          <w:p w14:paraId="2186D2D5" w14:textId="77777777" w:rsidR="00C35DB6" w:rsidRPr="000A56CD" w:rsidRDefault="00C35DB6" w:rsidP="00B46BA1">
            <w:pPr>
              <w:spacing w:line="276" w:lineRule="auto"/>
              <w:jc w:val="center"/>
              <w:rPr>
                <w:rFonts w:cs="Times New Roman"/>
                <w:sz w:val="20"/>
                <w:szCs w:val="20"/>
              </w:rPr>
            </w:pPr>
          </w:p>
        </w:tc>
        <w:tc>
          <w:tcPr>
            <w:tcW w:w="1260" w:type="dxa"/>
          </w:tcPr>
          <w:p w14:paraId="4C52EA0E"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50 DAS</w:t>
            </w:r>
          </w:p>
        </w:tc>
        <w:tc>
          <w:tcPr>
            <w:tcW w:w="1260" w:type="dxa"/>
          </w:tcPr>
          <w:p w14:paraId="23E9E92A"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60 DAS</w:t>
            </w:r>
          </w:p>
        </w:tc>
        <w:tc>
          <w:tcPr>
            <w:tcW w:w="1260" w:type="dxa"/>
          </w:tcPr>
          <w:p w14:paraId="5FA2AE12" w14:textId="77777777" w:rsidR="00C35DB6" w:rsidRPr="000A56CD" w:rsidRDefault="00C35DB6" w:rsidP="00B46BA1">
            <w:pPr>
              <w:spacing w:line="276" w:lineRule="auto"/>
              <w:jc w:val="center"/>
              <w:rPr>
                <w:rFonts w:cs="Times New Roman"/>
                <w:b/>
                <w:bCs/>
                <w:sz w:val="20"/>
                <w:szCs w:val="20"/>
              </w:rPr>
            </w:pPr>
            <w:r w:rsidRPr="000A56CD">
              <w:rPr>
                <w:rFonts w:cs="Times New Roman"/>
                <w:b/>
                <w:bCs/>
                <w:sz w:val="20"/>
                <w:szCs w:val="20"/>
              </w:rPr>
              <w:t>70 DAS</w:t>
            </w:r>
          </w:p>
        </w:tc>
        <w:tc>
          <w:tcPr>
            <w:tcW w:w="1260" w:type="dxa"/>
            <w:vMerge/>
          </w:tcPr>
          <w:p w14:paraId="7EFCE31E" w14:textId="77777777" w:rsidR="00C35DB6" w:rsidRPr="000A56CD" w:rsidRDefault="00C35DB6" w:rsidP="00B46BA1">
            <w:pPr>
              <w:spacing w:line="276" w:lineRule="auto"/>
              <w:jc w:val="center"/>
              <w:rPr>
                <w:rFonts w:cs="Times New Roman"/>
                <w:sz w:val="20"/>
                <w:szCs w:val="20"/>
              </w:rPr>
            </w:pPr>
          </w:p>
        </w:tc>
        <w:tc>
          <w:tcPr>
            <w:tcW w:w="720" w:type="dxa"/>
            <w:vMerge/>
          </w:tcPr>
          <w:p w14:paraId="46A1FC65" w14:textId="77777777" w:rsidR="00C35DB6" w:rsidRPr="000A56CD" w:rsidRDefault="00C35DB6" w:rsidP="00B46BA1">
            <w:pPr>
              <w:spacing w:line="276" w:lineRule="auto"/>
              <w:jc w:val="center"/>
              <w:rPr>
                <w:rFonts w:cs="Times New Roman"/>
                <w:sz w:val="20"/>
                <w:szCs w:val="20"/>
              </w:rPr>
            </w:pPr>
          </w:p>
        </w:tc>
      </w:tr>
      <w:tr w:rsidR="00D03766" w:rsidRPr="000A56CD" w14:paraId="74DAD5D9" w14:textId="77777777" w:rsidTr="00627230">
        <w:trPr>
          <w:trHeight w:val="22"/>
          <w:jc w:val="center"/>
        </w:trPr>
        <w:tc>
          <w:tcPr>
            <w:tcW w:w="535" w:type="dxa"/>
          </w:tcPr>
          <w:p w14:paraId="2C3397F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1</w:t>
            </w:r>
          </w:p>
        </w:tc>
        <w:tc>
          <w:tcPr>
            <w:tcW w:w="2250" w:type="dxa"/>
            <w:vAlign w:val="center"/>
          </w:tcPr>
          <w:p w14:paraId="525A1508" w14:textId="77777777" w:rsidR="00C35DB6" w:rsidRPr="000A56CD" w:rsidRDefault="00C35DB6" w:rsidP="00B46BA1">
            <w:pPr>
              <w:spacing w:line="276" w:lineRule="auto"/>
              <w:rPr>
                <w:rFonts w:cs="Times New Roman"/>
                <w:sz w:val="20"/>
                <w:szCs w:val="20"/>
              </w:rPr>
            </w:pPr>
            <w:r w:rsidRPr="000A56CD">
              <w:rPr>
                <w:rFonts w:cs="Times New Roman"/>
                <w:sz w:val="20"/>
                <w:szCs w:val="20"/>
              </w:rPr>
              <w:t>Sulphur</w:t>
            </w:r>
          </w:p>
        </w:tc>
        <w:tc>
          <w:tcPr>
            <w:tcW w:w="720" w:type="dxa"/>
            <w:vAlign w:val="center"/>
          </w:tcPr>
          <w:p w14:paraId="64E5AB1F"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0.3%</w:t>
            </w:r>
          </w:p>
        </w:tc>
        <w:tc>
          <w:tcPr>
            <w:tcW w:w="1350" w:type="dxa"/>
            <w:vAlign w:val="center"/>
          </w:tcPr>
          <w:p w14:paraId="685080AA" w14:textId="1FE6D02A"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10.65</w:t>
            </w:r>
            <w:r w:rsidR="00427251" w:rsidRPr="000A56CD">
              <w:rPr>
                <w:rFonts w:eastAsia="Times New Roman" w:cs="Times New Roman"/>
                <w:color w:val="000000"/>
                <w:sz w:val="20"/>
                <w:szCs w:val="20"/>
              </w:rPr>
              <w:t xml:space="preserve"> </w:t>
            </w:r>
            <w:r w:rsidRPr="000A56CD">
              <w:rPr>
                <w:rFonts w:cs="Times New Roman"/>
                <w:sz w:val="20"/>
                <w:szCs w:val="20"/>
              </w:rPr>
              <w:t>(</w:t>
            </w:r>
            <w:r w:rsidR="00FE3139" w:rsidRPr="000A56CD">
              <w:rPr>
                <w:rFonts w:cs="Times New Roman"/>
                <w:sz w:val="20"/>
                <w:szCs w:val="20"/>
              </w:rPr>
              <w:t>3.34) *</w:t>
            </w:r>
          </w:p>
        </w:tc>
        <w:tc>
          <w:tcPr>
            <w:tcW w:w="1260" w:type="dxa"/>
            <w:vAlign w:val="center"/>
          </w:tcPr>
          <w:p w14:paraId="00218EB9" w14:textId="2F65ADC6"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13.54</w:t>
            </w:r>
            <w:r w:rsidR="00427251" w:rsidRPr="000A56CD">
              <w:rPr>
                <w:rFonts w:cs="Times New Roman"/>
                <w:color w:val="000000"/>
                <w:sz w:val="20"/>
                <w:szCs w:val="20"/>
              </w:rPr>
              <w:t xml:space="preserve"> </w:t>
            </w:r>
            <w:r w:rsidRPr="000A56CD">
              <w:rPr>
                <w:rFonts w:cs="Times New Roman"/>
                <w:color w:val="000000"/>
                <w:sz w:val="20"/>
                <w:szCs w:val="20"/>
              </w:rPr>
              <w:t>(3.75)</w:t>
            </w:r>
          </w:p>
        </w:tc>
        <w:tc>
          <w:tcPr>
            <w:tcW w:w="1260" w:type="dxa"/>
            <w:vAlign w:val="center"/>
          </w:tcPr>
          <w:p w14:paraId="47D0EA7E" w14:textId="22E0092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17.68</w:t>
            </w:r>
            <w:r w:rsidR="00427251" w:rsidRPr="000A56CD">
              <w:rPr>
                <w:rFonts w:cs="Times New Roman"/>
                <w:color w:val="000000"/>
                <w:sz w:val="20"/>
                <w:szCs w:val="20"/>
              </w:rPr>
              <w:t xml:space="preserve"> </w:t>
            </w:r>
            <w:r w:rsidRPr="000A56CD">
              <w:rPr>
                <w:rFonts w:cs="Times New Roman"/>
                <w:color w:val="000000"/>
                <w:sz w:val="20"/>
                <w:szCs w:val="20"/>
              </w:rPr>
              <w:t>(4.19)</w:t>
            </w:r>
          </w:p>
        </w:tc>
        <w:tc>
          <w:tcPr>
            <w:tcW w:w="1260" w:type="dxa"/>
            <w:vAlign w:val="center"/>
          </w:tcPr>
          <w:p w14:paraId="62F1ADCA" w14:textId="1FA8B672"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18.43</w:t>
            </w:r>
            <w:r w:rsidR="00427251" w:rsidRPr="000A56CD">
              <w:rPr>
                <w:rFonts w:cs="Times New Roman"/>
                <w:color w:val="000000"/>
                <w:sz w:val="20"/>
                <w:szCs w:val="20"/>
              </w:rPr>
              <w:t xml:space="preserve"> </w:t>
            </w:r>
            <w:r w:rsidRPr="000A56CD">
              <w:rPr>
                <w:rFonts w:cs="Times New Roman"/>
                <w:color w:val="000000"/>
                <w:sz w:val="20"/>
                <w:szCs w:val="20"/>
              </w:rPr>
              <w:t>(4.27)</w:t>
            </w:r>
          </w:p>
        </w:tc>
        <w:tc>
          <w:tcPr>
            <w:tcW w:w="1260" w:type="dxa"/>
            <w:vAlign w:val="center"/>
          </w:tcPr>
          <w:p w14:paraId="6CA5094E" w14:textId="486CAC34" w:rsidR="00C35DB6" w:rsidRPr="000A56CD" w:rsidRDefault="00C35DB6" w:rsidP="00B46BA1">
            <w:pPr>
              <w:spacing w:line="276" w:lineRule="auto"/>
              <w:jc w:val="center"/>
              <w:rPr>
                <w:rFonts w:cs="Times New Roman"/>
                <w:sz w:val="20"/>
                <w:szCs w:val="20"/>
              </w:rPr>
            </w:pPr>
            <w:r w:rsidRPr="000A56CD">
              <w:rPr>
                <w:rFonts w:cs="Times New Roman"/>
                <w:color w:val="000000"/>
                <w:sz w:val="20"/>
                <w:szCs w:val="20"/>
              </w:rPr>
              <w:t>17.8</w:t>
            </w:r>
            <w:r w:rsidR="00427251" w:rsidRPr="000A56CD">
              <w:rPr>
                <w:rFonts w:cs="Times New Roman"/>
                <w:color w:val="000000"/>
                <w:sz w:val="20"/>
                <w:szCs w:val="20"/>
              </w:rPr>
              <w:t xml:space="preserve"> </w:t>
            </w:r>
            <w:r w:rsidRPr="000A56CD">
              <w:rPr>
                <w:rFonts w:cs="Times New Roman"/>
                <w:color w:val="000000"/>
                <w:sz w:val="20"/>
                <w:szCs w:val="20"/>
              </w:rPr>
              <w:t>(4.21)</w:t>
            </w:r>
          </w:p>
        </w:tc>
        <w:tc>
          <w:tcPr>
            <w:tcW w:w="720" w:type="dxa"/>
            <w:vAlign w:val="center"/>
          </w:tcPr>
          <w:p w14:paraId="1262D6E5"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65.55</w:t>
            </w:r>
          </w:p>
        </w:tc>
      </w:tr>
      <w:tr w:rsidR="00D03766" w:rsidRPr="000A56CD" w14:paraId="277F0422" w14:textId="77777777" w:rsidTr="00627230">
        <w:trPr>
          <w:trHeight w:val="22"/>
          <w:jc w:val="center"/>
        </w:trPr>
        <w:tc>
          <w:tcPr>
            <w:tcW w:w="535" w:type="dxa"/>
          </w:tcPr>
          <w:p w14:paraId="0A4ACAB0"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2</w:t>
            </w:r>
          </w:p>
        </w:tc>
        <w:tc>
          <w:tcPr>
            <w:tcW w:w="2250" w:type="dxa"/>
            <w:vAlign w:val="center"/>
          </w:tcPr>
          <w:p w14:paraId="724E884B" w14:textId="77777777" w:rsidR="00C35DB6" w:rsidRPr="000A56CD" w:rsidRDefault="00C35DB6" w:rsidP="00B46BA1">
            <w:pPr>
              <w:spacing w:line="276" w:lineRule="auto"/>
              <w:rPr>
                <w:rFonts w:cs="Times New Roman"/>
                <w:sz w:val="20"/>
                <w:szCs w:val="20"/>
              </w:rPr>
            </w:pPr>
            <w:r w:rsidRPr="000A56CD">
              <w:rPr>
                <w:rFonts w:cs="Times New Roman"/>
                <w:sz w:val="20"/>
                <w:szCs w:val="20"/>
              </w:rPr>
              <w:t>Hexaconazole</w:t>
            </w:r>
          </w:p>
        </w:tc>
        <w:tc>
          <w:tcPr>
            <w:tcW w:w="720" w:type="dxa"/>
            <w:vAlign w:val="center"/>
          </w:tcPr>
          <w:p w14:paraId="49CF9497"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0.1%</w:t>
            </w:r>
          </w:p>
        </w:tc>
        <w:tc>
          <w:tcPr>
            <w:tcW w:w="1350" w:type="dxa"/>
            <w:vAlign w:val="center"/>
          </w:tcPr>
          <w:p w14:paraId="5AF30982" w14:textId="6744EF80"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11.52</w:t>
            </w:r>
            <w:r w:rsidR="00427251" w:rsidRPr="000A56CD">
              <w:rPr>
                <w:rFonts w:eastAsia="Times New Roman" w:cs="Times New Roman"/>
                <w:color w:val="000000"/>
                <w:sz w:val="20"/>
                <w:szCs w:val="20"/>
              </w:rPr>
              <w:t xml:space="preserve"> </w:t>
            </w:r>
            <w:r w:rsidRPr="000A56CD">
              <w:rPr>
                <w:rFonts w:cs="Times New Roman"/>
                <w:sz w:val="20"/>
                <w:szCs w:val="20"/>
              </w:rPr>
              <w:t>(3.41)</w:t>
            </w:r>
          </w:p>
        </w:tc>
        <w:tc>
          <w:tcPr>
            <w:tcW w:w="1260" w:type="dxa"/>
            <w:vAlign w:val="center"/>
          </w:tcPr>
          <w:p w14:paraId="5186FCF7" w14:textId="0265C005"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13.11</w:t>
            </w:r>
            <w:r w:rsidR="00427251" w:rsidRPr="000A56CD">
              <w:rPr>
                <w:rFonts w:cs="Times New Roman"/>
                <w:color w:val="000000"/>
                <w:sz w:val="20"/>
                <w:szCs w:val="20"/>
              </w:rPr>
              <w:t xml:space="preserve"> </w:t>
            </w:r>
            <w:r w:rsidRPr="000A56CD">
              <w:rPr>
                <w:rFonts w:cs="Times New Roman"/>
                <w:color w:val="000000"/>
                <w:sz w:val="20"/>
                <w:szCs w:val="20"/>
              </w:rPr>
              <w:t>(3.63)</w:t>
            </w:r>
          </w:p>
        </w:tc>
        <w:tc>
          <w:tcPr>
            <w:tcW w:w="1260" w:type="dxa"/>
            <w:vAlign w:val="center"/>
          </w:tcPr>
          <w:p w14:paraId="13D6438A" w14:textId="1F18EA89"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21.81</w:t>
            </w:r>
            <w:r w:rsidR="00427251" w:rsidRPr="000A56CD">
              <w:rPr>
                <w:rFonts w:cs="Times New Roman"/>
                <w:color w:val="000000"/>
                <w:sz w:val="20"/>
                <w:szCs w:val="20"/>
              </w:rPr>
              <w:t xml:space="preserve"> </w:t>
            </w:r>
            <w:r w:rsidRPr="000A56CD">
              <w:rPr>
                <w:rFonts w:cs="Times New Roman"/>
                <w:color w:val="000000"/>
                <w:sz w:val="20"/>
                <w:szCs w:val="20"/>
              </w:rPr>
              <w:t>(4.72)</w:t>
            </w:r>
          </w:p>
        </w:tc>
        <w:tc>
          <w:tcPr>
            <w:tcW w:w="1260" w:type="dxa"/>
            <w:vAlign w:val="center"/>
          </w:tcPr>
          <w:p w14:paraId="2BAF3B16" w14:textId="23D2B424"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20.60</w:t>
            </w:r>
            <w:r w:rsidR="00427251" w:rsidRPr="000A56CD">
              <w:rPr>
                <w:rFonts w:cs="Times New Roman"/>
                <w:color w:val="000000"/>
                <w:sz w:val="20"/>
                <w:szCs w:val="20"/>
              </w:rPr>
              <w:t xml:space="preserve"> </w:t>
            </w:r>
            <w:r w:rsidRPr="000A56CD">
              <w:rPr>
                <w:rFonts w:cs="Times New Roman"/>
                <w:color w:val="000000"/>
                <w:sz w:val="20"/>
                <w:szCs w:val="20"/>
              </w:rPr>
              <w:t>(4.59)</w:t>
            </w:r>
          </w:p>
        </w:tc>
        <w:tc>
          <w:tcPr>
            <w:tcW w:w="1260" w:type="dxa"/>
            <w:vAlign w:val="center"/>
          </w:tcPr>
          <w:p w14:paraId="01B8AE94" w14:textId="4CC6697A"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20.16</w:t>
            </w:r>
            <w:r w:rsidR="00427251" w:rsidRPr="000A56CD">
              <w:rPr>
                <w:rFonts w:cs="Times New Roman"/>
                <w:color w:val="000000"/>
                <w:sz w:val="20"/>
                <w:szCs w:val="20"/>
              </w:rPr>
              <w:t xml:space="preserve"> </w:t>
            </w:r>
            <w:r w:rsidRPr="000A56CD">
              <w:rPr>
                <w:rFonts w:cs="Times New Roman"/>
                <w:color w:val="000000"/>
                <w:sz w:val="20"/>
                <w:szCs w:val="20"/>
              </w:rPr>
              <w:t>(4.55)</w:t>
            </w:r>
          </w:p>
        </w:tc>
        <w:tc>
          <w:tcPr>
            <w:tcW w:w="720" w:type="dxa"/>
            <w:vAlign w:val="center"/>
          </w:tcPr>
          <w:p w14:paraId="250E0FC0"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61.11</w:t>
            </w:r>
          </w:p>
        </w:tc>
      </w:tr>
      <w:tr w:rsidR="00D03766" w:rsidRPr="000A56CD" w14:paraId="008F8CED" w14:textId="77777777" w:rsidTr="00627230">
        <w:trPr>
          <w:trHeight w:val="22"/>
          <w:jc w:val="center"/>
        </w:trPr>
        <w:tc>
          <w:tcPr>
            <w:tcW w:w="535" w:type="dxa"/>
          </w:tcPr>
          <w:p w14:paraId="4ECE4C7D"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3</w:t>
            </w:r>
          </w:p>
        </w:tc>
        <w:tc>
          <w:tcPr>
            <w:tcW w:w="2250" w:type="dxa"/>
            <w:vAlign w:val="center"/>
          </w:tcPr>
          <w:p w14:paraId="5B5943D4" w14:textId="77777777" w:rsidR="00C35DB6" w:rsidRPr="000A56CD" w:rsidRDefault="00C35DB6" w:rsidP="00B46BA1">
            <w:pPr>
              <w:spacing w:line="276" w:lineRule="auto"/>
              <w:rPr>
                <w:rFonts w:cs="Times New Roman"/>
                <w:sz w:val="20"/>
                <w:szCs w:val="20"/>
              </w:rPr>
            </w:pPr>
            <w:r w:rsidRPr="000A56CD">
              <w:rPr>
                <w:rFonts w:cs="Times New Roman"/>
                <w:sz w:val="20"/>
                <w:szCs w:val="20"/>
              </w:rPr>
              <w:t>Propiconazole</w:t>
            </w:r>
          </w:p>
        </w:tc>
        <w:tc>
          <w:tcPr>
            <w:tcW w:w="720" w:type="dxa"/>
            <w:vAlign w:val="center"/>
          </w:tcPr>
          <w:p w14:paraId="0A8C15D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0.1 %</w:t>
            </w:r>
          </w:p>
        </w:tc>
        <w:tc>
          <w:tcPr>
            <w:tcW w:w="1350" w:type="dxa"/>
            <w:vAlign w:val="center"/>
          </w:tcPr>
          <w:p w14:paraId="1712E424" w14:textId="02EF59BA"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10.56</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(3.33)</w:t>
            </w:r>
          </w:p>
        </w:tc>
        <w:tc>
          <w:tcPr>
            <w:tcW w:w="1260" w:type="dxa"/>
            <w:vAlign w:val="center"/>
          </w:tcPr>
          <w:p w14:paraId="4BAA5E0D" w14:textId="5E34D2B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14.47</w:t>
            </w:r>
            <w:r w:rsidR="00427251" w:rsidRPr="000A56CD">
              <w:rPr>
                <w:rFonts w:cs="Times New Roman"/>
                <w:color w:val="000000"/>
                <w:sz w:val="20"/>
                <w:szCs w:val="20"/>
              </w:rPr>
              <w:t xml:space="preserve"> </w:t>
            </w:r>
            <w:r w:rsidRPr="000A56CD">
              <w:rPr>
                <w:rFonts w:cs="Times New Roman"/>
                <w:color w:val="000000"/>
                <w:sz w:val="20"/>
                <w:szCs w:val="20"/>
              </w:rPr>
              <w:t>(3.87)</w:t>
            </w:r>
          </w:p>
        </w:tc>
        <w:tc>
          <w:tcPr>
            <w:tcW w:w="1260" w:type="dxa"/>
            <w:vAlign w:val="center"/>
          </w:tcPr>
          <w:p w14:paraId="75A37C95" w14:textId="4F32F265"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25.00</w:t>
            </w:r>
            <w:r w:rsidR="00427251" w:rsidRPr="000A56CD">
              <w:rPr>
                <w:rFonts w:cs="Times New Roman"/>
                <w:color w:val="000000"/>
                <w:sz w:val="20"/>
                <w:szCs w:val="20"/>
              </w:rPr>
              <w:t xml:space="preserve"> </w:t>
            </w:r>
            <w:r w:rsidRPr="000A56CD">
              <w:rPr>
                <w:rFonts w:cs="Times New Roman"/>
                <w:color w:val="000000"/>
                <w:sz w:val="20"/>
                <w:szCs w:val="20"/>
              </w:rPr>
              <w:t>(5.05)</w:t>
            </w:r>
          </w:p>
        </w:tc>
        <w:tc>
          <w:tcPr>
            <w:tcW w:w="1260" w:type="dxa"/>
            <w:vAlign w:val="center"/>
          </w:tcPr>
          <w:p w14:paraId="489776E7" w14:textId="50E113D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22.73</w:t>
            </w:r>
            <w:r w:rsidR="00427251" w:rsidRPr="000A56CD">
              <w:rPr>
                <w:rFonts w:cs="Times New Roman"/>
                <w:color w:val="000000"/>
                <w:sz w:val="20"/>
                <w:szCs w:val="20"/>
              </w:rPr>
              <w:t xml:space="preserve"> </w:t>
            </w:r>
            <w:r w:rsidRPr="000A56CD">
              <w:rPr>
                <w:rFonts w:cs="Times New Roman"/>
                <w:color w:val="000000"/>
                <w:sz w:val="20"/>
                <w:szCs w:val="20"/>
              </w:rPr>
              <w:t>(4.82)</w:t>
            </w:r>
          </w:p>
        </w:tc>
        <w:tc>
          <w:tcPr>
            <w:tcW w:w="1260" w:type="dxa"/>
            <w:vAlign w:val="center"/>
          </w:tcPr>
          <w:p w14:paraId="625DE22C" w14:textId="31764224"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23.20</w:t>
            </w:r>
            <w:r w:rsidR="00427251" w:rsidRPr="000A56CD">
              <w:rPr>
                <w:rFonts w:cs="Times New Roman"/>
                <w:color w:val="000000"/>
                <w:sz w:val="20"/>
                <w:szCs w:val="20"/>
              </w:rPr>
              <w:t xml:space="preserve"> </w:t>
            </w:r>
            <w:r w:rsidRPr="000A56CD">
              <w:rPr>
                <w:rFonts w:cs="Times New Roman"/>
                <w:color w:val="000000"/>
                <w:sz w:val="20"/>
                <w:szCs w:val="20"/>
              </w:rPr>
              <w:t>(4.87)</w:t>
            </w:r>
          </w:p>
        </w:tc>
        <w:tc>
          <w:tcPr>
            <w:tcW w:w="720" w:type="dxa"/>
            <w:vAlign w:val="center"/>
          </w:tcPr>
          <w:p w14:paraId="46BA9FC1"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55.24</w:t>
            </w:r>
          </w:p>
        </w:tc>
      </w:tr>
      <w:tr w:rsidR="00D03766" w:rsidRPr="000A56CD" w14:paraId="6A8DBB2D" w14:textId="77777777" w:rsidTr="00627230">
        <w:trPr>
          <w:trHeight w:val="22"/>
          <w:jc w:val="center"/>
        </w:trPr>
        <w:tc>
          <w:tcPr>
            <w:tcW w:w="535" w:type="dxa"/>
          </w:tcPr>
          <w:p w14:paraId="1E1E2376"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4</w:t>
            </w:r>
          </w:p>
        </w:tc>
        <w:tc>
          <w:tcPr>
            <w:tcW w:w="2250" w:type="dxa"/>
            <w:vAlign w:val="center"/>
          </w:tcPr>
          <w:p w14:paraId="054324AA" w14:textId="77777777" w:rsidR="00C35DB6" w:rsidRPr="000A56CD" w:rsidRDefault="00C35DB6" w:rsidP="00B46BA1">
            <w:pPr>
              <w:spacing w:line="276" w:lineRule="auto"/>
              <w:rPr>
                <w:rFonts w:cs="Times New Roman"/>
                <w:sz w:val="20"/>
                <w:szCs w:val="20"/>
              </w:rPr>
            </w:pPr>
            <w:r w:rsidRPr="000A56CD">
              <w:rPr>
                <w:rFonts w:cs="Times New Roman"/>
                <w:sz w:val="20"/>
                <w:szCs w:val="20"/>
              </w:rPr>
              <w:t>Potassium bicarbonate</w:t>
            </w:r>
          </w:p>
        </w:tc>
        <w:tc>
          <w:tcPr>
            <w:tcW w:w="720" w:type="dxa"/>
            <w:vAlign w:val="center"/>
          </w:tcPr>
          <w:p w14:paraId="7BE22E9C"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1.6 %</w:t>
            </w:r>
          </w:p>
        </w:tc>
        <w:tc>
          <w:tcPr>
            <w:tcW w:w="1350" w:type="dxa"/>
            <w:vAlign w:val="center"/>
          </w:tcPr>
          <w:p w14:paraId="710D4730" w14:textId="699E9641"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11.67</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(3.49)</w:t>
            </w:r>
          </w:p>
        </w:tc>
        <w:tc>
          <w:tcPr>
            <w:tcW w:w="1260" w:type="dxa"/>
            <w:vAlign w:val="center"/>
          </w:tcPr>
          <w:p w14:paraId="79CCDA6E" w14:textId="0BA1ECD5"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14.41</w:t>
            </w:r>
            <w:r w:rsidR="00427251" w:rsidRPr="000A56CD">
              <w:rPr>
                <w:rFonts w:cs="Times New Roman"/>
                <w:color w:val="000000"/>
                <w:sz w:val="20"/>
                <w:szCs w:val="20"/>
              </w:rPr>
              <w:t xml:space="preserve"> </w:t>
            </w:r>
            <w:r w:rsidRPr="000A56CD">
              <w:rPr>
                <w:rFonts w:cs="Times New Roman"/>
                <w:color w:val="000000"/>
                <w:sz w:val="20"/>
                <w:szCs w:val="20"/>
              </w:rPr>
              <w:t>(3.86)</w:t>
            </w:r>
          </w:p>
        </w:tc>
        <w:tc>
          <w:tcPr>
            <w:tcW w:w="1260" w:type="dxa"/>
            <w:vAlign w:val="center"/>
          </w:tcPr>
          <w:p w14:paraId="57C40C8E" w14:textId="78491F7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25.93</w:t>
            </w:r>
            <w:r w:rsidR="00427251" w:rsidRPr="000A56CD">
              <w:rPr>
                <w:rFonts w:cs="Times New Roman"/>
                <w:color w:val="000000"/>
                <w:sz w:val="20"/>
                <w:szCs w:val="20"/>
              </w:rPr>
              <w:t xml:space="preserve"> </w:t>
            </w:r>
            <w:r w:rsidRPr="000A56CD">
              <w:rPr>
                <w:rFonts w:cs="Times New Roman"/>
                <w:color w:val="000000"/>
                <w:sz w:val="20"/>
                <w:szCs w:val="20"/>
              </w:rPr>
              <w:t>(5.14)</w:t>
            </w:r>
          </w:p>
        </w:tc>
        <w:tc>
          <w:tcPr>
            <w:tcW w:w="1260" w:type="dxa"/>
            <w:vAlign w:val="center"/>
          </w:tcPr>
          <w:p w14:paraId="24268E42" w14:textId="7873853D"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20.60</w:t>
            </w:r>
            <w:r w:rsidR="00427251" w:rsidRPr="000A56CD">
              <w:rPr>
                <w:rFonts w:cs="Times New Roman"/>
                <w:color w:val="000000"/>
                <w:sz w:val="20"/>
                <w:szCs w:val="20"/>
              </w:rPr>
              <w:t xml:space="preserve"> </w:t>
            </w:r>
            <w:r w:rsidRPr="000A56CD">
              <w:rPr>
                <w:rFonts w:cs="Times New Roman"/>
                <w:color w:val="000000"/>
                <w:sz w:val="20"/>
                <w:szCs w:val="20"/>
              </w:rPr>
              <w:t>(4.59)</w:t>
            </w:r>
          </w:p>
        </w:tc>
        <w:tc>
          <w:tcPr>
            <w:tcW w:w="1260" w:type="dxa"/>
            <w:vAlign w:val="center"/>
          </w:tcPr>
          <w:p w14:paraId="1C143C0F" w14:textId="07F1A88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24.76</w:t>
            </w:r>
            <w:r w:rsidR="00427251" w:rsidRPr="000A56CD">
              <w:rPr>
                <w:rFonts w:cs="Times New Roman"/>
                <w:color w:val="000000"/>
                <w:sz w:val="20"/>
                <w:szCs w:val="20"/>
              </w:rPr>
              <w:t xml:space="preserve"> </w:t>
            </w:r>
            <w:r w:rsidRPr="000A56CD">
              <w:rPr>
                <w:rFonts w:cs="Times New Roman"/>
                <w:color w:val="000000"/>
                <w:sz w:val="20"/>
                <w:szCs w:val="20"/>
              </w:rPr>
              <w:t>(5.03)</w:t>
            </w:r>
          </w:p>
        </w:tc>
        <w:tc>
          <w:tcPr>
            <w:tcW w:w="720" w:type="dxa"/>
            <w:vAlign w:val="center"/>
          </w:tcPr>
          <w:p w14:paraId="4F50D1CE"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52.23</w:t>
            </w:r>
          </w:p>
        </w:tc>
      </w:tr>
      <w:tr w:rsidR="00D03766" w:rsidRPr="000A56CD" w14:paraId="097E7C3D" w14:textId="77777777" w:rsidTr="00627230">
        <w:trPr>
          <w:trHeight w:val="22"/>
          <w:jc w:val="center"/>
        </w:trPr>
        <w:tc>
          <w:tcPr>
            <w:tcW w:w="535" w:type="dxa"/>
          </w:tcPr>
          <w:p w14:paraId="5A52AA67"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5</w:t>
            </w:r>
          </w:p>
        </w:tc>
        <w:tc>
          <w:tcPr>
            <w:tcW w:w="2250" w:type="dxa"/>
            <w:vAlign w:val="center"/>
          </w:tcPr>
          <w:p w14:paraId="30601154" w14:textId="77777777" w:rsidR="00C35DB6" w:rsidRPr="000A56CD" w:rsidRDefault="00C35DB6" w:rsidP="00B46BA1">
            <w:pPr>
              <w:spacing w:line="276" w:lineRule="auto"/>
              <w:rPr>
                <w:rFonts w:cs="Times New Roman"/>
                <w:sz w:val="20"/>
                <w:szCs w:val="20"/>
              </w:rPr>
            </w:pPr>
            <w:r w:rsidRPr="000A56CD">
              <w:rPr>
                <w:rFonts w:cs="Times New Roman"/>
                <w:sz w:val="20"/>
                <w:szCs w:val="20"/>
              </w:rPr>
              <w:t>Neem oil</w:t>
            </w:r>
          </w:p>
        </w:tc>
        <w:tc>
          <w:tcPr>
            <w:tcW w:w="720" w:type="dxa"/>
            <w:vAlign w:val="center"/>
          </w:tcPr>
          <w:p w14:paraId="70858A2C"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4 %</w:t>
            </w:r>
          </w:p>
        </w:tc>
        <w:tc>
          <w:tcPr>
            <w:tcW w:w="1350" w:type="dxa"/>
            <w:vAlign w:val="center"/>
          </w:tcPr>
          <w:p w14:paraId="3B646477" w14:textId="3BC4D4DF"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8.89</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(3.06)</w:t>
            </w:r>
          </w:p>
        </w:tc>
        <w:tc>
          <w:tcPr>
            <w:tcW w:w="1260" w:type="dxa"/>
            <w:vAlign w:val="center"/>
          </w:tcPr>
          <w:p w14:paraId="5C4ED84F" w14:textId="616A7B3B"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15.74</w:t>
            </w:r>
            <w:r w:rsidR="00427251" w:rsidRPr="000A56CD">
              <w:rPr>
                <w:rFonts w:cs="Times New Roman"/>
                <w:color w:val="000000"/>
                <w:sz w:val="20"/>
                <w:szCs w:val="20"/>
              </w:rPr>
              <w:t xml:space="preserve"> </w:t>
            </w:r>
            <w:r w:rsidRPr="000A56CD">
              <w:rPr>
                <w:rFonts w:cs="Times New Roman"/>
                <w:color w:val="000000"/>
                <w:sz w:val="20"/>
                <w:szCs w:val="20"/>
              </w:rPr>
              <w:t>(4.03)</w:t>
            </w:r>
          </w:p>
        </w:tc>
        <w:tc>
          <w:tcPr>
            <w:tcW w:w="1260" w:type="dxa"/>
            <w:vAlign w:val="center"/>
          </w:tcPr>
          <w:p w14:paraId="7581DD54" w14:textId="009830C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27.07</w:t>
            </w:r>
            <w:r w:rsidR="00427251" w:rsidRPr="000A56CD">
              <w:rPr>
                <w:rFonts w:cs="Times New Roman"/>
                <w:color w:val="000000"/>
                <w:sz w:val="20"/>
                <w:szCs w:val="20"/>
              </w:rPr>
              <w:t xml:space="preserve"> </w:t>
            </w:r>
            <w:r w:rsidRPr="000A56CD">
              <w:rPr>
                <w:rFonts w:cs="Times New Roman"/>
                <w:color w:val="000000"/>
                <w:sz w:val="20"/>
                <w:szCs w:val="20"/>
              </w:rPr>
              <w:t>(5.25)</w:t>
            </w:r>
          </w:p>
        </w:tc>
        <w:tc>
          <w:tcPr>
            <w:tcW w:w="1260" w:type="dxa"/>
            <w:vAlign w:val="center"/>
          </w:tcPr>
          <w:p w14:paraId="41BE36DF" w14:textId="7A4328BB"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26.95</w:t>
            </w:r>
            <w:r w:rsidR="00427251" w:rsidRPr="000A56CD">
              <w:rPr>
                <w:rFonts w:cs="Times New Roman"/>
                <w:color w:val="000000"/>
                <w:sz w:val="20"/>
                <w:szCs w:val="20"/>
              </w:rPr>
              <w:t xml:space="preserve"> </w:t>
            </w:r>
            <w:r w:rsidRPr="000A56CD">
              <w:rPr>
                <w:rFonts w:cs="Times New Roman"/>
                <w:color w:val="000000"/>
                <w:sz w:val="20"/>
                <w:szCs w:val="20"/>
              </w:rPr>
              <w:t>(5.24)</w:t>
            </w:r>
          </w:p>
        </w:tc>
        <w:tc>
          <w:tcPr>
            <w:tcW w:w="1260" w:type="dxa"/>
            <w:vAlign w:val="center"/>
          </w:tcPr>
          <w:p w14:paraId="2CC3D3F8" w14:textId="7530C46D"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25.41</w:t>
            </w:r>
            <w:r w:rsidR="00427251" w:rsidRPr="000A56CD">
              <w:rPr>
                <w:rFonts w:cs="Times New Roman"/>
                <w:color w:val="000000"/>
                <w:sz w:val="20"/>
                <w:szCs w:val="20"/>
              </w:rPr>
              <w:t xml:space="preserve"> </w:t>
            </w:r>
            <w:r w:rsidRPr="000A56CD">
              <w:rPr>
                <w:rFonts w:cs="Times New Roman"/>
                <w:color w:val="000000"/>
                <w:sz w:val="20"/>
                <w:szCs w:val="20"/>
              </w:rPr>
              <w:t>(5.09)</w:t>
            </w:r>
          </w:p>
        </w:tc>
        <w:tc>
          <w:tcPr>
            <w:tcW w:w="720" w:type="dxa"/>
            <w:vAlign w:val="center"/>
          </w:tcPr>
          <w:p w14:paraId="6FA78AA3"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50.98</w:t>
            </w:r>
          </w:p>
        </w:tc>
      </w:tr>
      <w:tr w:rsidR="00D03766" w:rsidRPr="000A56CD" w14:paraId="673D2BB5" w14:textId="77777777" w:rsidTr="00627230">
        <w:trPr>
          <w:trHeight w:val="22"/>
          <w:jc w:val="center"/>
        </w:trPr>
        <w:tc>
          <w:tcPr>
            <w:tcW w:w="535" w:type="dxa"/>
          </w:tcPr>
          <w:p w14:paraId="5470EEB9"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6</w:t>
            </w:r>
          </w:p>
        </w:tc>
        <w:tc>
          <w:tcPr>
            <w:tcW w:w="2250" w:type="dxa"/>
            <w:vAlign w:val="center"/>
          </w:tcPr>
          <w:p w14:paraId="0B8322C0" w14:textId="77777777" w:rsidR="00C35DB6" w:rsidRPr="000A56CD" w:rsidRDefault="00C35DB6" w:rsidP="00B46BA1">
            <w:pPr>
              <w:spacing w:line="276" w:lineRule="auto"/>
              <w:rPr>
                <w:rFonts w:cs="Times New Roman"/>
                <w:sz w:val="20"/>
                <w:szCs w:val="20"/>
              </w:rPr>
            </w:pPr>
            <w:r w:rsidRPr="000A56CD">
              <w:rPr>
                <w:rFonts w:cs="Times New Roman"/>
                <w:i/>
                <w:iCs/>
                <w:sz w:val="20"/>
                <w:szCs w:val="20"/>
              </w:rPr>
              <w:t>Trichoderma asperellum</w:t>
            </w:r>
          </w:p>
        </w:tc>
        <w:tc>
          <w:tcPr>
            <w:tcW w:w="720" w:type="dxa"/>
            <w:vAlign w:val="center"/>
          </w:tcPr>
          <w:p w14:paraId="40D8D6AC"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3 %</w:t>
            </w:r>
          </w:p>
        </w:tc>
        <w:tc>
          <w:tcPr>
            <w:tcW w:w="1350" w:type="dxa"/>
            <w:vAlign w:val="center"/>
          </w:tcPr>
          <w:p w14:paraId="5EF13E62" w14:textId="4000A8F3"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12.22</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(3.57)</w:t>
            </w:r>
          </w:p>
        </w:tc>
        <w:tc>
          <w:tcPr>
            <w:tcW w:w="1260" w:type="dxa"/>
            <w:vAlign w:val="center"/>
          </w:tcPr>
          <w:p w14:paraId="737BCA05" w14:textId="272BA2FF"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15.90</w:t>
            </w:r>
            <w:r w:rsidR="00427251" w:rsidRPr="000A56CD">
              <w:rPr>
                <w:rFonts w:cs="Times New Roman"/>
                <w:color w:val="000000"/>
                <w:sz w:val="20"/>
                <w:szCs w:val="20"/>
              </w:rPr>
              <w:t xml:space="preserve"> </w:t>
            </w:r>
            <w:r w:rsidRPr="000A56CD">
              <w:rPr>
                <w:rFonts w:cs="Times New Roman"/>
                <w:color w:val="000000"/>
                <w:sz w:val="20"/>
                <w:szCs w:val="20"/>
              </w:rPr>
              <w:t>(4.05)</w:t>
            </w:r>
          </w:p>
        </w:tc>
        <w:tc>
          <w:tcPr>
            <w:tcW w:w="1260" w:type="dxa"/>
            <w:vAlign w:val="center"/>
          </w:tcPr>
          <w:p w14:paraId="3F7B5004" w14:textId="077D3EE3"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27.61</w:t>
            </w:r>
            <w:r w:rsidR="00427251" w:rsidRPr="000A56CD">
              <w:rPr>
                <w:rFonts w:cs="Times New Roman"/>
                <w:color w:val="000000"/>
                <w:sz w:val="20"/>
                <w:szCs w:val="20"/>
              </w:rPr>
              <w:t xml:space="preserve"> </w:t>
            </w:r>
            <w:r w:rsidRPr="000A56CD">
              <w:rPr>
                <w:rFonts w:cs="Times New Roman"/>
                <w:color w:val="000000"/>
                <w:sz w:val="20"/>
                <w:szCs w:val="20"/>
              </w:rPr>
              <w:t>(5.30)</w:t>
            </w:r>
          </w:p>
        </w:tc>
        <w:tc>
          <w:tcPr>
            <w:tcW w:w="1260" w:type="dxa"/>
            <w:vAlign w:val="center"/>
          </w:tcPr>
          <w:p w14:paraId="7E7EB678" w14:textId="20079DA7"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25.63</w:t>
            </w:r>
            <w:r w:rsidR="00427251" w:rsidRPr="000A56CD">
              <w:rPr>
                <w:rFonts w:cs="Times New Roman"/>
                <w:color w:val="000000"/>
                <w:sz w:val="20"/>
                <w:szCs w:val="20"/>
              </w:rPr>
              <w:t xml:space="preserve"> </w:t>
            </w:r>
            <w:r w:rsidRPr="000A56CD">
              <w:rPr>
                <w:rFonts w:cs="Times New Roman"/>
                <w:color w:val="000000"/>
                <w:sz w:val="20"/>
                <w:szCs w:val="20"/>
              </w:rPr>
              <w:t>(5.11)</w:t>
            </w:r>
          </w:p>
        </w:tc>
        <w:tc>
          <w:tcPr>
            <w:tcW w:w="1260" w:type="dxa"/>
            <w:vAlign w:val="center"/>
          </w:tcPr>
          <w:p w14:paraId="350E09EE" w14:textId="0F301211"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26.30</w:t>
            </w:r>
            <w:r w:rsidR="00427251" w:rsidRPr="000A56CD">
              <w:rPr>
                <w:rFonts w:cs="Times New Roman"/>
                <w:color w:val="000000"/>
                <w:sz w:val="20"/>
                <w:szCs w:val="20"/>
              </w:rPr>
              <w:t xml:space="preserve"> </w:t>
            </w:r>
            <w:r w:rsidRPr="000A56CD">
              <w:rPr>
                <w:rFonts w:cs="Times New Roman"/>
                <w:color w:val="000000"/>
                <w:sz w:val="20"/>
                <w:szCs w:val="20"/>
              </w:rPr>
              <w:t>(5.18)</w:t>
            </w:r>
          </w:p>
        </w:tc>
        <w:tc>
          <w:tcPr>
            <w:tcW w:w="720" w:type="dxa"/>
            <w:vAlign w:val="center"/>
          </w:tcPr>
          <w:p w14:paraId="769FB059"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49.26</w:t>
            </w:r>
          </w:p>
        </w:tc>
      </w:tr>
      <w:tr w:rsidR="00D03766" w:rsidRPr="000A56CD" w14:paraId="2D3FFF11" w14:textId="77777777" w:rsidTr="00627230">
        <w:trPr>
          <w:trHeight w:val="22"/>
          <w:jc w:val="center"/>
        </w:trPr>
        <w:tc>
          <w:tcPr>
            <w:tcW w:w="535" w:type="dxa"/>
          </w:tcPr>
          <w:p w14:paraId="30C2B5D1"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7</w:t>
            </w:r>
          </w:p>
        </w:tc>
        <w:tc>
          <w:tcPr>
            <w:tcW w:w="2250" w:type="dxa"/>
            <w:vAlign w:val="center"/>
          </w:tcPr>
          <w:p w14:paraId="38C5DE74" w14:textId="77777777" w:rsidR="00C35DB6" w:rsidRPr="000A56CD" w:rsidRDefault="00C35DB6" w:rsidP="00B46BA1">
            <w:pPr>
              <w:spacing w:line="276" w:lineRule="auto"/>
              <w:rPr>
                <w:rFonts w:cs="Times New Roman"/>
                <w:sz w:val="20"/>
                <w:szCs w:val="20"/>
              </w:rPr>
            </w:pPr>
            <w:r w:rsidRPr="000A56CD">
              <w:rPr>
                <w:rFonts w:cs="Times New Roman"/>
                <w:i/>
                <w:iCs/>
                <w:sz w:val="20"/>
                <w:szCs w:val="20"/>
              </w:rPr>
              <w:t xml:space="preserve">Trichoderma harzianum </w:t>
            </w:r>
          </w:p>
        </w:tc>
        <w:tc>
          <w:tcPr>
            <w:tcW w:w="720" w:type="dxa"/>
            <w:vAlign w:val="center"/>
          </w:tcPr>
          <w:p w14:paraId="19F3E594"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4 %</w:t>
            </w:r>
          </w:p>
        </w:tc>
        <w:tc>
          <w:tcPr>
            <w:tcW w:w="1350" w:type="dxa"/>
            <w:vAlign w:val="center"/>
          </w:tcPr>
          <w:p w14:paraId="72A024B2" w14:textId="605E8F49"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10.56</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(3.33)</w:t>
            </w:r>
          </w:p>
        </w:tc>
        <w:tc>
          <w:tcPr>
            <w:tcW w:w="1260" w:type="dxa"/>
            <w:vAlign w:val="center"/>
          </w:tcPr>
          <w:p w14:paraId="73642B53" w14:textId="40D17864"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16.01</w:t>
            </w:r>
            <w:r w:rsidR="00427251" w:rsidRPr="000A56CD">
              <w:rPr>
                <w:rFonts w:cs="Times New Roman"/>
                <w:color w:val="000000"/>
                <w:sz w:val="20"/>
                <w:szCs w:val="20"/>
              </w:rPr>
              <w:t xml:space="preserve"> </w:t>
            </w:r>
            <w:r w:rsidRPr="000A56CD">
              <w:rPr>
                <w:rFonts w:cs="Times New Roman"/>
                <w:color w:val="000000"/>
                <w:sz w:val="20"/>
                <w:szCs w:val="20"/>
              </w:rPr>
              <w:t>(4.06)</w:t>
            </w:r>
          </w:p>
        </w:tc>
        <w:tc>
          <w:tcPr>
            <w:tcW w:w="1260" w:type="dxa"/>
            <w:vAlign w:val="center"/>
          </w:tcPr>
          <w:p w14:paraId="5B8B1152" w14:textId="0474D7F8"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29.50</w:t>
            </w:r>
            <w:r w:rsidR="00427251" w:rsidRPr="000A56CD">
              <w:rPr>
                <w:rFonts w:cs="Times New Roman"/>
                <w:color w:val="000000"/>
                <w:sz w:val="20"/>
                <w:szCs w:val="20"/>
              </w:rPr>
              <w:t xml:space="preserve"> </w:t>
            </w:r>
            <w:r w:rsidRPr="000A56CD">
              <w:rPr>
                <w:rFonts w:cs="Times New Roman"/>
                <w:color w:val="000000"/>
                <w:sz w:val="20"/>
                <w:szCs w:val="20"/>
              </w:rPr>
              <w:t>(5.48)</w:t>
            </w:r>
          </w:p>
        </w:tc>
        <w:tc>
          <w:tcPr>
            <w:tcW w:w="1260" w:type="dxa"/>
            <w:vAlign w:val="center"/>
          </w:tcPr>
          <w:p w14:paraId="6A52955B" w14:textId="6A34BCD1"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26.46</w:t>
            </w:r>
            <w:r w:rsidR="00427251" w:rsidRPr="000A56CD">
              <w:rPr>
                <w:rFonts w:cs="Times New Roman"/>
                <w:color w:val="000000"/>
                <w:sz w:val="20"/>
                <w:szCs w:val="20"/>
              </w:rPr>
              <w:t xml:space="preserve"> </w:t>
            </w:r>
            <w:r w:rsidRPr="000A56CD">
              <w:rPr>
                <w:rFonts w:cs="Times New Roman"/>
                <w:color w:val="000000"/>
                <w:sz w:val="20"/>
                <w:szCs w:val="20"/>
              </w:rPr>
              <w:t>(5.19)</w:t>
            </w:r>
          </w:p>
        </w:tc>
        <w:tc>
          <w:tcPr>
            <w:tcW w:w="1260" w:type="dxa"/>
            <w:vAlign w:val="center"/>
          </w:tcPr>
          <w:p w14:paraId="0216A649" w14:textId="0E2579E8"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28.20</w:t>
            </w:r>
            <w:r w:rsidR="00427251" w:rsidRPr="000A56CD">
              <w:rPr>
                <w:rFonts w:cs="Times New Roman"/>
                <w:color w:val="000000"/>
                <w:sz w:val="20"/>
                <w:szCs w:val="20"/>
              </w:rPr>
              <w:t xml:space="preserve"> </w:t>
            </w:r>
            <w:r w:rsidRPr="000A56CD">
              <w:rPr>
                <w:rFonts w:cs="Times New Roman"/>
                <w:color w:val="000000"/>
                <w:sz w:val="20"/>
                <w:szCs w:val="20"/>
              </w:rPr>
              <w:t>(5.36)</w:t>
            </w:r>
          </w:p>
        </w:tc>
        <w:tc>
          <w:tcPr>
            <w:tcW w:w="720" w:type="dxa"/>
            <w:vAlign w:val="center"/>
          </w:tcPr>
          <w:p w14:paraId="39F5FEE2"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45.60</w:t>
            </w:r>
          </w:p>
        </w:tc>
      </w:tr>
      <w:tr w:rsidR="00D03766" w:rsidRPr="000A56CD" w14:paraId="5AD42FF3" w14:textId="77777777" w:rsidTr="00627230">
        <w:trPr>
          <w:trHeight w:val="22"/>
          <w:jc w:val="center"/>
        </w:trPr>
        <w:tc>
          <w:tcPr>
            <w:tcW w:w="535" w:type="dxa"/>
          </w:tcPr>
          <w:p w14:paraId="0B290D4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8</w:t>
            </w:r>
          </w:p>
        </w:tc>
        <w:tc>
          <w:tcPr>
            <w:tcW w:w="2250" w:type="dxa"/>
            <w:vAlign w:val="center"/>
          </w:tcPr>
          <w:p w14:paraId="40EF88C1" w14:textId="77777777" w:rsidR="00C35DB6" w:rsidRPr="000A56CD" w:rsidRDefault="00C35DB6" w:rsidP="00B46BA1">
            <w:pPr>
              <w:spacing w:line="276" w:lineRule="auto"/>
              <w:rPr>
                <w:rFonts w:cs="Times New Roman"/>
                <w:sz w:val="20"/>
                <w:szCs w:val="20"/>
              </w:rPr>
            </w:pPr>
            <w:r w:rsidRPr="000A56CD">
              <w:rPr>
                <w:rFonts w:cs="Times New Roman"/>
                <w:sz w:val="20"/>
                <w:szCs w:val="20"/>
              </w:rPr>
              <w:t>Dinocap</w:t>
            </w:r>
          </w:p>
        </w:tc>
        <w:tc>
          <w:tcPr>
            <w:tcW w:w="720" w:type="dxa"/>
            <w:vAlign w:val="center"/>
          </w:tcPr>
          <w:p w14:paraId="405E28C8"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0.1 %</w:t>
            </w:r>
          </w:p>
        </w:tc>
        <w:tc>
          <w:tcPr>
            <w:tcW w:w="1350" w:type="dxa"/>
            <w:vAlign w:val="center"/>
          </w:tcPr>
          <w:p w14:paraId="3BC53AFF" w14:textId="26F673CD"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11.11</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(3.41)</w:t>
            </w:r>
          </w:p>
        </w:tc>
        <w:tc>
          <w:tcPr>
            <w:tcW w:w="1260" w:type="dxa"/>
            <w:vAlign w:val="center"/>
          </w:tcPr>
          <w:p w14:paraId="60DAF270" w14:textId="612D3656"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21.98</w:t>
            </w:r>
            <w:r w:rsidR="00427251" w:rsidRPr="000A56CD">
              <w:rPr>
                <w:rFonts w:cs="Times New Roman"/>
                <w:color w:val="000000"/>
                <w:sz w:val="20"/>
                <w:szCs w:val="20"/>
              </w:rPr>
              <w:t xml:space="preserve"> </w:t>
            </w:r>
            <w:r w:rsidRPr="000A56CD">
              <w:rPr>
                <w:rFonts w:cs="Times New Roman"/>
                <w:color w:val="000000"/>
                <w:sz w:val="20"/>
                <w:szCs w:val="20"/>
              </w:rPr>
              <w:t>(4.74)</w:t>
            </w:r>
          </w:p>
        </w:tc>
        <w:tc>
          <w:tcPr>
            <w:tcW w:w="1260" w:type="dxa"/>
            <w:vAlign w:val="center"/>
          </w:tcPr>
          <w:p w14:paraId="1D87FA6B" w14:textId="0D3859B7"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36.70</w:t>
            </w:r>
            <w:r w:rsidR="00427251" w:rsidRPr="000A56CD">
              <w:rPr>
                <w:rFonts w:cs="Times New Roman"/>
                <w:color w:val="000000"/>
                <w:sz w:val="20"/>
                <w:szCs w:val="20"/>
              </w:rPr>
              <w:t xml:space="preserve"> </w:t>
            </w:r>
            <w:r w:rsidRPr="000A56CD">
              <w:rPr>
                <w:rFonts w:cs="Times New Roman"/>
                <w:color w:val="000000"/>
                <w:sz w:val="20"/>
                <w:szCs w:val="20"/>
              </w:rPr>
              <w:t>(6.10)</w:t>
            </w:r>
          </w:p>
        </w:tc>
        <w:tc>
          <w:tcPr>
            <w:tcW w:w="1260" w:type="dxa"/>
            <w:vAlign w:val="center"/>
          </w:tcPr>
          <w:p w14:paraId="54D59AD4" w14:textId="4230444D"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29.67</w:t>
            </w:r>
            <w:r w:rsidR="00427251" w:rsidRPr="000A56CD">
              <w:rPr>
                <w:rFonts w:cs="Times New Roman"/>
                <w:color w:val="000000"/>
                <w:sz w:val="20"/>
                <w:szCs w:val="20"/>
              </w:rPr>
              <w:t xml:space="preserve"> </w:t>
            </w:r>
            <w:r w:rsidRPr="000A56CD">
              <w:rPr>
                <w:rFonts w:cs="Times New Roman"/>
                <w:color w:val="000000"/>
                <w:sz w:val="20"/>
                <w:szCs w:val="20"/>
              </w:rPr>
              <w:t>(5.49)</w:t>
            </w:r>
          </w:p>
        </w:tc>
        <w:tc>
          <w:tcPr>
            <w:tcW w:w="1260" w:type="dxa"/>
            <w:vAlign w:val="center"/>
          </w:tcPr>
          <w:p w14:paraId="4CEBC27E" w14:textId="17037B6C"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32.37</w:t>
            </w:r>
            <w:r w:rsidR="00427251" w:rsidRPr="000A56CD">
              <w:rPr>
                <w:rFonts w:cs="Times New Roman"/>
                <w:color w:val="000000"/>
                <w:sz w:val="20"/>
                <w:szCs w:val="20"/>
              </w:rPr>
              <w:t xml:space="preserve"> </w:t>
            </w:r>
            <w:r w:rsidRPr="000A56CD">
              <w:rPr>
                <w:rFonts w:cs="Times New Roman"/>
                <w:color w:val="000000"/>
                <w:sz w:val="20"/>
                <w:szCs w:val="20"/>
              </w:rPr>
              <w:t>(5.73)</w:t>
            </w:r>
          </w:p>
        </w:tc>
        <w:tc>
          <w:tcPr>
            <w:tcW w:w="720" w:type="dxa"/>
            <w:vAlign w:val="center"/>
          </w:tcPr>
          <w:p w14:paraId="0B9128BA"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37.55</w:t>
            </w:r>
          </w:p>
        </w:tc>
      </w:tr>
      <w:tr w:rsidR="00D03766" w:rsidRPr="000A56CD" w14:paraId="447728FE" w14:textId="77777777" w:rsidTr="00627230">
        <w:trPr>
          <w:trHeight w:val="22"/>
          <w:jc w:val="center"/>
        </w:trPr>
        <w:tc>
          <w:tcPr>
            <w:tcW w:w="535" w:type="dxa"/>
          </w:tcPr>
          <w:p w14:paraId="194068F4"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T</w:t>
            </w:r>
            <w:r w:rsidRPr="000A56CD">
              <w:rPr>
                <w:rFonts w:cs="Times New Roman"/>
                <w:sz w:val="20"/>
                <w:szCs w:val="20"/>
                <w:vertAlign w:val="subscript"/>
              </w:rPr>
              <w:t>9</w:t>
            </w:r>
          </w:p>
        </w:tc>
        <w:tc>
          <w:tcPr>
            <w:tcW w:w="2250" w:type="dxa"/>
            <w:vAlign w:val="center"/>
          </w:tcPr>
          <w:p w14:paraId="57070CCA" w14:textId="77777777" w:rsidR="00C35DB6" w:rsidRPr="000A56CD" w:rsidRDefault="00C35DB6" w:rsidP="00B46BA1">
            <w:pPr>
              <w:spacing w:line="276" w:lineRule="auto"/>
              <w:rPr>
                <w:rFonts w:cs="Times New Roman"/>
                <w:sz w:val="20"/>
                <w:szCs w:val="20"/>
              </w:rPr>
            </w:pPr>
            <w:r w:rsidRPr="000A56CD">
              <w:rPr>
                <w:rFonts w:cs="Times New Roman"/>
                <w:sz w:val="20"/>
                <w:szCs w:val="20"/>
              </w:rPr>
              <w:t>Control (Water spray)</w:t>
            </w:r>
          </w:p>
        </w:tc>
        <w:tc>
          <w:tcPr>
            <w:tcW w:w="720" w:type="dxa"/>
          </w:tcPr>
          <w:p w14:paraId="44828B68"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0D30BA04" w14:textId="45DB47F2" w:rsidR="00C35DB6" w:rsidRPr="000A56CD" w:rsidRDefault="00C35DB6" w:rsidP="00427251">
            <w:pPr>
              <w:spacing w:line="276" w:lineRule="auto"/>
              <w:jc w:val="center"/>
              <w:rPr>
                <w:rFonts w:eastAsia="Times New Roman" w:cs="Times New Roman"/>
                <w:color w:val="000000"/>
                <w:sz w:val="20"/>
                <w:szCs w:val="20"/>
              </w:rPr>
            </w:pPr>
            <w:r w:rsidRPr="000A56CD">
              <w:rPr>
                <w:rFonts w:eastAsia="Times New Roman" w:cs="Times New Roman"/>
                <w:color w:val="000000"/>
                <w:sz w:val="20"/>
                <w:szCs w:val="20"/>
              </w:rPr>
              <w:t>10.56</w:t>
            </w:r>
            <w:r w:rsidR="00427251" w:rsidRPr="000A56CD">
              <w:rPr>
                <w:rFonts w:eastAsia="Times New Roman" w:cs="Times New Roman"/>
                <w:color w:val="000000"/>
                <w:sz w:val="20"/>
                <w:szCs w:val="20"/>
              </w:rPr>
              <w:t xml:space="preserve"> </w:t>
            </w:r>
            <w:r w:rsidRPr="000A56CD">
              <w:rPr>
                <w:rFonts w:eastAsia="Times New Roman" w:cs="Times New Roman"/>
                <w:color w:val="000000"/>
                <w:sz w:val="20"/>
                <w:szCs w:val="20"/>
              </w:rPr>
              <w:t>(3.33)</w:t>
            </w:r>
          </w:p>
        </w:tc>
        <w:tc>
          <w:tcPr>
            <w:tcW w:w="1260" w:type="dxa"/>
            <w:vAlign w:val="center"/>
          </w:tcPr>
          <w:p w14:paraId="01C48EF1" w14:textId="7C46C162"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29.07</w:t>
            </w:r>
            <w:r w:rsidR="00427251" w:rsidRPr="000A56CD">
              <w:rPr>
                <w:rFonts w:cs="Times New Roman"/>
                <w:color w:val="000000"/>
                <w:sz w:val="20"/>
                <w:szCs w:val="20"/>
              </w:rPr>
              <w:t xml:space="preserve"> </w:t>
            </w:r>
            <w:r w:rsidRPr="000A56CD">
              <w:rPr>
                <w:rFonts w:cs="Times New Roman"/>
                <w:color w:val="000000"/>
                <w:sz w:val="20"/>
                <w:szCs w:val="20"/>
              </w:rPr>
              <w:t>(5.44)</w:t>
            </w:r>
          </w:p>
        </w:tc>
        <w:tc>
          <w:tcPr>
            <w:tcW w:w="1260" w:type="dxa"/>
            <w:vAlign w:val="center"/>
          </w:tcPr>
          <w:p w14:paraId="2ACE822E" w14:textId="51E6CEEE"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40.70</w:t>
            </w:r>
            <w:r w:rsidR="00427251" w:rsidRPr="000A56CD">
              <w:rPr>
                <w:rFonts w:cs="Times New Roman"/>
                <w:color w:val="000000"/>
                <w:sz w:val="20"/>
                <w:szCs w:val="20"/>
              </w:rPr>
              <w:t xml:space="preserve"> </w:t>
            </w:r>
            <w:r w:rsidRPr="000A56CD">
              <w:rPr>
                <w:rFonts w:cs="Times New Roman"/>
                <w:color w:val="000000"/>
                <w:sz w:val="20"/>
                <w:szCs w:val="20"/>
              </w:rPr>
              <w:t>(6.42)</w:t>
            </w:r>
          </w:p>
        </w:tc>
        <w:tc>
          <w:tcPr>
            <w:tcW w:w="1260" w:type="dxa"/>
            <w:vAlign w:val="center"/>
          </w:tcPr>
          <w:p w14:paraId="6BB7B7E6" w14:textId="173BFB06"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66.70</w:t>
            </w:r>
            <w:r w:rsidR="00427251" w:rsidRPr="000A56CD">
              <w:rPr>
                <w:rFonts w:cs="Times New Roman"/>
                <w:color w:val="000000"/>
                <w:sz w:val="20"/>
                <w:szCs w:val="20"/>
              </w:rPr>
              <w:t xml:space="preserve"> </w:t>
            </w:r>
            <w:r w:rsidRPr="000A56CD">
              <w:rPr>
                <w:rFonts w:cs="Times New Roman"/>
                <w:color w:val="000000"/>
                <w:sz w:val="20"/>
                <w:szCs w:val="20"/>
              </w:rPr>
              <w:t>(8.20)</w:t>
            </w:r>
          </w:p>
        </w:tc>
        <w:tc>
          <w:tcPr>
            <w:tcW w:w="1260" w:type="dxa"/>
            <w:vAlign w:val="center"/>
          </w:tcPr>
          <w:p w14:paraId="41CE37DE" w14:textId="297FE4FA" w:rsidR="00C35DB6" w:rsidRPr="000A56CD" w:rsidRDefault="00C35DB6" w:rsidP="00427251">
            <w:pPr>
              <w:spacing w:line="276" w:lineRule="auto"/>
              <w:jc w:val="center"/>
              <w:rPr>
                <w:rFonts w:cs="Times New Roman"/>
                <w:color w:val="000000"/>
                <w:sz w:val="20"/>
                <w:szCs w:val="20"/>
              </w:rPr>
            </w:pPr>
            <w:r w:rsidRPr="000A56CD">
              <w:rPr>
                <w:rFonts w:cs="Times New Roman"/>
                <w:color w:val="000000"/>
                <w:sz w:val="20"/>
                <w:szCs w:val="20"/>
              </w:rPr>
              <w:t>51.83</w:t>
            </w:r>
            <w:r w:rsidR="00427251" w:rsidRPr="000A56CD">
              <w:rPr>
                <w:rFonts w:cs="Times New Roman"/>
                <w:color w:val="000000"/>
                <w:sz w:val="20"/>
                <w:szCs w:val="20"/>
              </w:rPr>
              <w:t xml:space="preserve"> </w:t>
            </w:r>
            <w:r w:rsidRPr="000A56CD">
              <w:rPr>
                <w:rFonts w:cs="Times New Roman"/>
                <w:color w:val="000000"/>
                <w:sz w:val="20"/>
                <w:szCs w:val="20"/>
              </w:rPr>
              <w:t>(7.23)</w:t>
            </w:r>
          </w:p>
        </w:tc>
        <w:tc>
          <w:tcPr>
            <w:tcW w:w="720" w:type="dxa"/>
            <w:vAlign w:val="center"/>
          </w:tcPr>
          <w:p w14:paraId="1F421047" w14:textId="77777777" w:rsidR="00C35DB6" w:rsidRPr="000A56CD" w:rsidRDefault="00C35DB6" w:rsidP="00B46BA1">
            <w:pPr>
              <w:spacing w:line="276" w:lineRule="auto"/>
              <w:jc w:val="center"/>
              <w:rPr>
                <w:rFonts w:cs="Times New Roman"/>
                <w:color w:val="000000"/>
                <w:sz w:val="20"/>
                <w:szCs w:val="20"/>
              </w:rPr>
            </w:pPr>
            <w:r w:rsidRPr="000A56CD">
              <w:rPr>
                <w:rFonts w:cs="Times New Roman"/>
                <w:color w:val="000000"/>
                <w:sz w:val="20"/>
                <w:szCs w:val="20"/>
              </w:rPr>
              <w:t>-</w:t>
            </w:r>
          </w:p>
        </w:tc>
      </w:tr>
      <w:tr w:rsidR="00D03766" w:rsidRPr="000A56CD" w14:paraId="355DE448" w14:textId="77777777" w:rsidTr="00627230">
        <w:trPr>
          <w:trHeight w:val="22"/>
          <w:jc w:val="center"/>
        </w:trPr>
        <w:tc>
          <w:tcPr>
            <w:tcW w:w="535" w:type="dxa"/>
          </w:tcPr>
          <w:p w14:paraId="2A6C70C4" w14:textId="77777777" w:rsidR="00C35DB6" w:rsidRPr="000A56CD" w:rsidRDefault="00C35DB6" w:rsidP="00B46BA1">
            <w:pPr>
              <w:spacing w:line="276" w:lineRule="auto"/>
              <w:jc w:val="center"/>
              <w:rPr>
                <w:rFonts w:cs="Times New Roman"/>
                <w:sz w:val="20"/>
                <w:szCs w:val="20"/>
              </w:rPr>
            </w:pPr>
          </w:p>
        </w:tc>
        <w:tc>
          <w:tcPr>
            <w:tcW w:w="2250" w:type="dxa"/>
            <w:vAlign w:val="bottom"/>
          </w:tcPr>
          <w:p w14:paraId="1D2ED68A" w14:textId="77777777" w:rsidR="00C35DB6" w:rsidRPr="000A56CD" w:rsidRDefault="00C35DB6" w:rsidP="00B46BA1">
            <w:pPr>
              <w:spacing w:line="276" w:lineRule="auto"/>
              <w:rPr>
                <w:rFonts w:cs="Times New Roman"/>
                <w:sz w:val="20"/>
                <w:szCs w:val="20"/>
              </w:rPr>
            </w:pPr>
            <w:r w:rsidRPr="000A56CD">
              <w:rPr>
                <w:rFonts w:eastAsia="Times New Roman" w:cs="Times New Roman"/>
                <w:b/>
                <w:bCs/>
                <w:color w:val="000000"/>
                <w:sz w:val="20"/>
                <w:szCs w:val="20"/>
              </w:rPr>
              <w:t>S.Em. ±</w:t>
            </w:r>
          </w:p>
        </w:tc>
        <w:tc>
          <w:tcPr>
            <w:tcW w:w="720" w:type="dxa"/>
          </w:tcPr>
          <w:p w14:paraId="28E91C9D"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11FB7A85"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0.13</w:t>
            </w:r>
          </w:p>
        </w:tc>
        <w:tc>
          <w:tcPr>
            <w:tcW w:w="1260" w:type="dxa"/>
            <w:vAlign w:val="center"/>
          </w:tcPr>
          <w:p w14:paraId="7797FEBB"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0.16</w:t>
            </w:r>
          </w:p>
        </w:tc>
        <w:tc>
          <w:tcPr>
            <w:tcW w:w="1260" w:type="dxa"/>
            <w:vAlign w:val="center"/>
          </w:tcPr>
          <w:p w14:paraId="1D14318A"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0.18</w:t>
            </w:r>
          </w:p>
        </w:tc>
        <w:tc>
          <w:tcPr>
            <w:tcW w:w="1260" w:type="dxa"/>
            <w:vAlign w:val="center"/>
          </w:tcPr>
          <w:p w14:paraId="2ABD3A4D"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0.19</w:t>
            </w:r>
          </w:p>
        </w:tc>
        <w:tc>
          <w:tcPr>
            <w:tcW w:w="1260" w:type="dxa"/>
            <w:vAlign w:val="center"/>
          </w:tcPr>
          <w:p w14:paraId="3872542B"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0.19</w:t>
            </w:r>
          </w:p>
        </w:tc>
        <w:tc>
          <w:tcPr>
            <w:tcW w:w="720" w:type="dxa"/>
            <w:vAlign w:val="center"/>
          </w:tcPr>
          <w:p w14:paraId="1513D84E"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w:t>
            </w:r>
          </w:p>
        </w:tc>
      </w:tr>
      <w:tr w:rsidR="00D03766" w:rsidRPr="000A56CD" w14:paraId="5D58F094" w14:textId="77777777" w:rsidTr="00627230">
        <w:trPr>
          <w:trHeight w:val="22"/>
          <w:jc w:val="center"/>
        </w:trPr>
        <w:tc>
          <w:tcPr>
            <w:tcW w:w="535" w:type="dxa"/>
          </w:tcPr>
          <w:p w14:paraId="6E0B5D9E" w14:textId="77777777" w:rsidR="00C35DB6" w:rsidRPr="000A56CD" w:rsidRDefault="00C35DB6" w:rsidP="00B46BA1">
            <w:pPr>
              <w:spacing w:line="276" w:lineRule="auto"/>
              <w:jc w:val="center"/>
              <w:rPr>
                <w:rFonts w:cs="Times New Roman"/>
                <w:sz w:val="20"/>
                <w:szCs w:val="20"/>
              </w:rPr>
            </w:pPr>
          </w:p>
        </w:tc>
        <w:tc>
          <w:tcPr>
            <w:tcW w:w="2250" w:type="dxa"/>
            <w:vAlign w:val="bottom"/>
          </w:tcPr>
          <w:p w14:paraId="451370D5" w14:textId="77777777" w:rsidR="00C35DB6" w:rsidRPr="000A56CD" w:rsidRDefault="00C35DB6" w:rsidP="00B46BA1">
            <w:pPr>
              <w:spacing w:line="276" w:lineRule="auto"/>
              <w:rPr>
                <w:rFonts w:cs="Times New Roman"/>
                <w:sz w:val="20"/>
                <w:szCs w:val="20"/>
              </w:rPr>
            </w:pPr>
            <w:r w:rsidRPr="000A56CD">
              <w:rPr>
                <w:rFonts w:eastAsia="Times New Roman" w:cs="Times New Roman"/>
                <w:b/>
                <w:bCs/>
                <w:color w:val="000000"/>
                <w:sz w:val="20"/>
                <w:szCs w:val="20"/>
              </w:rPr>
              <w:t>C.D at 5%</w:t>
            </w:r>
          </w:p>
        </w:tc>
        <w:tc>
          <w:tcPr>
            <w:tcW w:w="720" w:type="dxa"/>
          </w:tcPr>
          <w:p w14:paraId="15DC6DBA"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446A43F3"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0.39</w:t>
            </w:r>
          </w:p>
        </w:tc>
        <w:tc>
          <w:tcPr>
            <w:tcW w:w="1260" w:type="dxa"/>
            <w:vAlign w:val="center"/>
          </w:tcPr>
          <w:p w14:paraId="3BBD90C7"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0.47</w:t>
            </w:r>
          </w:p>
        </w:tc>
        <w:tc>
          <w:tcPr>
            <w:tcW w:w="1260" w:type="dxa"/>
            <w:vAlign w:val="center"/>
          </w:tcPr>
          <w:p w14:paraId="7267F16A"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0.55</w:t>
            </w:r>
          </w:p>
        </w:tc>
        <w:tc>
          <w:tcPr>
            <w:tcW w:w="1260" w:type="dxa"/>
            <w:vAlign w:val="center"/>
          </w:tcPr>
          <w:p w14:paraId="18A56885"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0.58</w:t>
            </w:r>
          </w:p>
        </w:tc>
        <w:tc>
          <w:tcPr>
            <w:tcW w:w="1260" w:type="dxa"/>
            <w:vAlign w:val="center"/>
          </w:tcPr>
          <w:p w14:paraId="1CA77748" w14:textId="77777777" w:rsidR="00C35DB6" w:rsidRPr="000A56CD" w:rsidRDefault="00C35DB6" w:rsidP="00B46BA1">
            <w:pPr>
              <w:spacing w:line="276" w:lineRule="auto"/>
              <w:jc w:val="center"/>
              <w:rPr>
                <w:rFonts w:cs="Times New Roman"/>
                <w:sz w:val="20"/>
                <w:szCs w:val="20"/>
              </w:rPr>
            </w:pPr>
            <w:r w:rsidRPr="000A56CD">
              <w:rPr>
                <w:rFonts w:cs="Times New Roman"/>
                <w:b/>
                <w:bCs/>
                <w:color w:val="000000"/>
                <w:sz w:val="20"/>
                <w:szCs w:val="20"/>
              </w:rPr>
              <w:t>0.56</w:t>
            </w:r>
          </w:p>
        </w:tc>
        <w:tc>
          <w:tcPr>
            <w:tcW w:w="720" w:type="dxa"/>
            <w:vAlign w:val="center"/>
          </w:tcPr>
          <w:p w14:paraId="5F97CB23"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w:t>
            </w:r>
          </w:p>
        </w:tc>
      </w:tr>
      <w:tr w:rsidR="00D03766" w:rsidRPr="000A56CD" w14:paraId="1DFD9E22" w14:textId="77777777" w:rsidTr="00627230">
        <w:trPr>
          <w:trHeight w:val="22"/>
          <w:jc w:val="center"/>
        </w:trPr>
        <w:tc>
          <w:tcPr>
            <w:tcW w:w="535" w:type="dxa"/>
          </w:tcPr>
          <w:p w14:paraId="38124910" w14:textId="77777777" w:rsidR="00C35DB6" w:rsidRPr="000A56CD" w:rsidRDefault="00C35DB6" w:rsidP="00B46BA1">
            <w:pPr>
              <w:spacing w:line="276" w:lineRule="auto"/>
              <w:jc w:val="center"/>
              <w:rPr>
                <w:rFonts w:cs="Times New Roman"/>
                <w:sz w:val="20"/>
                <w:szCs w:val="20"/>
              </w:rPr>
            </w:pPr>
          </w:p>
        </w:tc>
        <w:tc>
          <w:tcPr>
            <w:tcW w:w="2250" w:type="dxa"/>
            <w:vAlign w:val="bottom"/>
          </w:tcPr>
          <w:p w14:paraId="3089C8D9" w14:textId="77777777" w:rsidR="00C35DB6" w:rsidRPr="000A56CD" w:rsidRDefault="00C35DB6" w:rsidP="00B46BA1">
            <w:pPr>
              <w:spacing w:line="276" w:lineRule="auto"/>
              <w:rPr>
                <w:rFonts w:eastAsia="Times New Roman" w:cs="Times New Roman"/>
                <w:b/>
                <w:bCs/>
                <w:color w:val="000000"/>
                <w:sz w:val="20"/>
                <w:szCs w:val="20"/>
              </w:rPr>
            </w:pPr>
            <w:r w:rsidRPr="000A56CD">
              <w:rPr>
                <w:rFonts w:eastAsia="Times New Roman" w:cs="Times New Roman"/>
                <w:b/>
                <w:bCs/>
                <w:color w:val="000000"/>
                <w:sz w:val="20"/>
                <w:szCs w:val="20"/>
              </w:rPr>
              <w:t>CV</w:t>
            </w:r>
          </w:p>
        </w:tc>
        <w:tc>
          <w:tcPr>
            <w:tcW w:w="720" w:type="dxa"/>
          </w:tcPr>
          <w:p w14:paraId="30EB0519" w14:textId="77777777" w:rsidR="00C35DB6" w:rsidRPr="000A56CD" w:rsidRDefault="00C35DB6" w:rsidP="00B46BA1">
            <w:pPr>
              <w:spacing w:line="276" w:lineRule="auto"/>
              <w:jc w:val="center"/>
              <w:rPr>
                <w:rFonts w:cs="Times New Roman"/>
                <w:sz w:val="20"/>
                <w:szCs w:val="20"/>
              </w:rPr>
            </w:pPr>
            <w:r w:rsidRPr="000A56CD">
              <w:rPr>
                <w:rFonts w:cs="Times New Roman"/>
                <w:sz w:val="20"/>
                <w:szCs w:val="20"/>
              </w:rPr>
              <w:t>-</w:t>
            </w:r>
          </w:p>
        </w:tc>
        <w:tc>
          <w:tcPr>
            <w:tcW w:w="1350" w:type="dxa"/>
            <w:vAlign w:val="center"/>
          </w:tcPr>
          <w:p w14:paraId="432F68DF"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6.78</w:t>
            </w:r>
          </w:p>
        </w:tc>
        <w:tc>
          <w:tcPr>
            <w:tcW w:w="1260" w:type="dxa"/>
            <w:vAlign w:val="center"/>
          </w:tcPr>
          <w:p w14:paraId="0CD71638"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6.57</w:t>
            </w:r>
          </w:p>
        </w:tc>
        <w:tc>
          <w:tcPr>
            <w:tcW w:w="1260" w:type="dxa"/>
            <w:vAlign w:val="center"/>
          </w:tcPr>
          <w:p w14:paraId="327C28B4"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6.01</w:t>
            </w:r>
          </w:p>
        </w:tc>
        <w:tc>
          <w:tcPr>
            <w:tcW w:w="1260" w:type="dxa"/>
            <w:vAlign w:val="center"/>
          </w:tcPr>
          <w:p w14:paraId="60324A5F"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6.32</w:t>
            </w:r>
          </w:p>
        </w:tc>
        <w:tc>
          <w:tcPr>
            <w:tcW w:w="1260" w:type="dxa"/>
            <w:vAlign w:val="center"/>
          </w:tcPr>
          <w:p w14:paraId="045BF535"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6.14</w:t>
            </w:r>
          </w:p>
        </w:tc>
        <w:tc>
          <w:tcPr>
            <w:tcW w:w="720" w:type="dxa"/>
            <w:vAlign w:val="center"/>
          </w:tcPr>
          <w:p w14:paraId="56DAABCC" w14:textId="77777777" w:rsidR="00C35DB6" w:rsidRPr="000A56CD" w:rsidRDefault="00C35DB6" w:rsidP="00B46BA1">
            <w:pPr>
              <w:spacing w:line="276" w:lineRule="auto"/>
              <w:jc w:val="center"/>
              <w:rPr>
                <w:rFonts w:cs="Times New Roman"/>
                <w:b/>
                <w:bCs/>
                <w:color w:val="000000"/>
                <w:sz w:val="20"/>
                <w:szCs w:val="20"/>
              </w:rPr>
            </w:pPr>
            <w:r w:rsidRPr="000A56CD">
              <w:rPr>
                <w:rFonts w:cs="Times New Roman"/>
                <w:b/>
                <w:bCs/>
                <w:color w:val="000000"/>
                <w:sz w:val="20"/>
                <w:szCs w:val="20"/>
              </w:rPr>
              <w:t>-</w:t>
            </w:r>
          </w:p>
        </w:tc>
      </w:tr>
    </w:tbl>
    <w:p w14:paraId="4232F0AD" w14:textId="07D15DAB" w:rsidR="00C35DB6" w:rsidRPr="000A56CD" w:rsidRDefault="00C35DB6" w:rsidP="001F4924">
      <w:pPr>
        <w:autoSpaceDE w:val="0"/>
        <w:autoSpaceDN w:val="0"/>
        <w:adjustRightInd w:val="0"/>
        <w:spacing w:after="0" w:line="360" w:lineRule="auto"/>
        <w:ind w:left="-900"/>
        <w:jc w:val="both"/>
        <w:rPr>
          <w:rFonts w:ascii="Times New Roman" w:hAnsi="Times New Roman" w:cs="Times New Roman"/>
          <w:kern w:val="0"/>
          <w:szCs w:val="24"/>
        </w:rPr>
      </w:pPr>
      <w:r w:rsidRPr="000A56CD">
        <w:rPr>
          <w:rFonts w:ascii="Times New Roman" w:hAnsi="Times New Roman" w:cs="Times New Roman"/>
          <w:kern w:val="0"/>
          <w:szCs w:val="24"/>
        </w:rPr>
        <w:t>PDI- Per</w:t>
      </w:r>
      <w:r w:rsidR="00F53BC9">
        <w:rPr>
          <w:rFonts w:ascii="Times New Roman" w:hAnsi="Times New Roman" w:cs="Times New Roman"/>
          <w:kern w:val="0"/>
          <w:szCs w:val="24"/>
        </w:rPr>
        <w:t xml:space="preserve"> </w:t>
      </w:r>
      <w:r w:rsidRPr="000A56CD">
        <w:rPr>
          <w:rFonts w:ascii="Times New Roman" w:hAnsi="Times New Roman" w:cs="Times New Roman"/>
          <w:kern w:val="0"/>
          <w:szCs w:val="24"/>
        </w:rPr>
        <w:t>cent Disease Incidence.</w:t>
      </w:r>
      <w:r w:rsidR="00427251" w:rsidRPr="000A56CD">
        <w:rPr>
          <w:rFonts w:ascii="Times New Roman" w:hAnsi="Times New Roman" w:cs="Times New Roman"/>
          <w:kern w:val="0"/>
          <w:szCs w:val="24"/>
        </w:rPr>
        <w:t xml:space="preserve">   </w:t>
      </w:r>
      <w:r w:rsidRPr="000A56CD">
        <w:rPr>
          <w:rFonts w:ascii="Times New Roman" w:hAnsi="Times New Roman" w:cs="Times New Roman"/>
          <w:b/>
          <w:bCs/>
          <w:kern w:val="0"/>
          <w:szCs w:val="24"/>
        </w:rPr>
        <w:t>*</w:t>
      </w:r>
      <w:r w:rsidRPr="000A56CD">
        <w:rPr>
          <w:rFonts w:ascii="Times New Roman" w:hAnsi="Times New Roman" w:cs="Times New Roman"/>
          <w:kern w:val="0"/>
          <w:szCs w:val="24"/>
        </w:rPr>
        <w:t>Figures in parentheses are arcsine</w:t>
      </w:r>
      <w:r w:rsidR="00F53BC9">
        <w:rPr>
          <w:rFonts w:ascii="Times New Roman" w:hAnsi="Times New Roman" w:cs="Times New Roman"/>
          <w:kern w:val="0"/>
          <w:szCs w:val="24"/>
        </w:rPr>
        <w:t>-</w:t>
      </w:r>
      <w:r w:rsidRPr="000A56CD">
        <w:rPr>
          <w:rFonts w:ascii="Times New Roman" w:hAnsi="Times New Roman" w:cs="Times New Roman"/>
          <w:kern w:val="0"/>
          <w:szCs w:val="24"/>
        </w:rPr>
        <w:t>transformed values.</w:t>
      </w:r>
    </w:p>
    <w:p w14:paraId="037A3185" w14:textId="13F0E60E" w:rsidR="00C35DB6" w:rsidRPr="000A56CD" w:rsidRDefault="00C35DB6" w:rsidP="001F4924">
      <w:pPr>
        <w:tabs>
          <w:tab w:val="left" w:pos="7992"/>
          <w:tab w:val="left" w:pos="10956"/>
        </w:tabs>
        <w:autoSpaceDE w:val="0"/>
        <w:autoSpaceDN w:val="0"/>
        <w:adjustRightInd w:val="0"/>
        <w:spacing w:after="0" w:line="360" w:lineRule="auto"/>
        <w:rPr>
          <w:rFonts w:ascii="Times New Roman" w:hAnsi="Times New Roman" w:cs="Times New Roman"/>
          <w:kern w:val="0"/>
          <w:szCs w:val="24"/>
        </w:rPr>
      </w:pPr>
      <w:r w:rsidRPr="000A56CD">
        <w:rPr>
          <w:rFonts w:ascii="Times New Roman" w:hAnsi="Times New Roman" w:cs="Times New Roman"/>
          <w:kern w:val="0"/>
          <w:szCs w:val="24"/>
        </w:rPr>
        <w:tab/>
      </w:r>
      <w:r w:rsidRPr="000A56CD">
        <w:rPr>
          <w:rFonts w:ascii="Times New Roman" w:hAnsi="Times New Roman" w:cs="Times New Roman"/>
          <w:kern w:val="0"/>
          <w:szCs w:val="24"/>
        </w:rPr>
        <w:tab/>
      </w:r>
    </w:p>
    <w:p w14:paraId="01CA7CA8" w14:textId="77777777" w:rsidR="00C35DB6" w:rsidRPr="000A56CD" w:rsidRDefault="00C35DB6" w:rsidP="00885457">
      <w:pPr>
        <w:autoSpaceDE w:val="0"/>
        <w:autoSpaceDN w:val="0"/>
        <w:adjustRightInd w:val="0"/>
        <w:spacing w:after="0" w:line="360" w:lineRule="auto"/>
        <w:ind w:left="-1260" w:right="-1144"/>
        <w:rPr>
          <w:rFonts w:ascii="Times New Roman" w:hAnsi="Times New Roman" w:cs="Times New Roman"/>
          <w:kern w:val="0"/>
          <w:szCs w:val="24"/>
        </w:rPr>
      </w:pPr>
      <w:r w:rsidRPr="000A56CD">
        <w:rPr>
          <w:rFonts w:ascii="Times New Roman" w:hAnsi="Times New Roman" w:cs="Times New Roman"/>
          <w:noProof/>
        </w:rPr>
        <w:drawing>
          <wp:inline distT="0" distB="0" distL="0" distR="0" wp14:anchorId="3D270A15" wp14:editId="50EC5D10">
            <wp:extent cx="6515100" cy="2537460"/>
            <wp:effectExtent l="0" t="0" r="0" b="15240"/>
            <wp:docPr id="1194076072" name="Chart 1">
              <a:extLst xmlns:a="http://schemas.openxmlformats.org/drawingml/2006/main">
                <a:ext uri="{FF2B5EF4-FFF2-40B4-BE49-F238E27FC236}">
                  <a16:creationId xmlns:a16="http://schemas.microsoft.com/office/drawing/2014/main" id="{78D1C50F-E416-6C95-F284-9AA3917E6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752B60" w14:textId="0198887B" w:rsidR="00427251" w:rsidRPr="000A56CD" w:rsidRDefault="00C35DB6" w:rsidP="00C35DB6">
      <w:pPr>
        <w:autoSpaceDE w:val="0"/>
        <w:autoSpaceDN w:val="0"/>
        <w:adjustRightInd w:val="0"/>
        <w:spacing w:after="0" w:line="360" w:lineRule="auto"/>
        <w:jc w:val="both"/>
        <w:rPr>
          <w:rFonts w:ascii="Times New Roman" w:hAnsi="Times New Roman" w:cs="Times New Roman"/>
          <w:b/>
          <w:bCs/>
          <w:kern w:val="0"/>
          <w:szCs w:val="24"/>
        </w:rPr>
        <w:sectPr w:rsidR="00427251" w:rsidRPr="000A56CD" w:rsidSect="001F4924">
          <w:pgSz w:w="11906" w:h="16838" w:code="9"/>
          <w:pgMar w:top="1440" w:right="1440" w:bottom="1440" w:left="2160" w:header="720" w:footer="720" w:gutter="0"/>
          <w:cols w:space="720"/>
          <w:docGrid w:linePitch="360"/>
        </w:sectPr>
      </w:pPr>
      <w:r w:rsidRPr="000A56CD">
        <w:rPr>
          <w:rFonts w:ascii="Times New Roman" w:hAnsi="Times New Roman" w:cs="Times New Roman"/>
          <w:b/>
          <w:bCs/>
          <w:noProof/>
          <w:szCs w:val="22"/>
        </w:rPr>
        <w:t xml:space="preserve">  Fig.</w:t>
      </w:r>
      <w:r w:rsidRPr="000A56CD">
        <w:rPr>
          <w:rFonts w:ascii="Times New Roman" w:hAnsi="Times New Roman" w:cs="Times New Roman"/>
          <w:b/>
          <w:bCs/>
          <w:kern w:val="0"/>
          <w:sz w:val="28"/>
          <w:szCs w:val="28"/>
        </w:rPr>
        <w:t>1</w:t>
      </w:r>
      <w:r w:rsidRPr="000A56CD">
        <w:rPr>
          <w:rFonts w:ascii="Times New Roman" w:hAnsi="Times New Roman" w:cs="Times New Roman"/>
          <w:b/>
          <w:bCs/>
          <w:kern w:val="0"/>
          <w:szCs w:val="24"/>
        </w:rPr>
        <w:t xml:space="preserve"> Effect of fungicides on powdery mildew incidence in okra.</w:t>
      </w:r>
    </w:p>
    <w:p w14:paraId="7724F1F8" w14:textId="060313D6" w:rsidR="00C35DB6" w:rsidRPr="000A56CD" w:rsidRDefault="00C35DB6" w:rsidP="00C24423">
      <w:pPr>
        <w:autoSpaceDE w:val="0"/>
        <w:autoSpaceDN w:val="0"/>
        <w:adjustRightInd w:val="0"/>
        <w:spacing w:after="0" w:line="240" w:lineRule="auto"/>
        <w:rPr>
          <w:rFonts w:ascii="Times New Roman" w:hAnsi="Times New Roman" w:cs="Times New Roman"/>
          <w:b/>
          <w:bCs/>
          <w:kern w:val="0"/>
          <w:szCs w:val="24"/>
        </w:rPr>
      </w:pPr>
      <w:r w:rsidRPr="000A56CD">
        <w:rPr>
          <w:rFonts w:ascii="Times New Roman" w:hAnsi="Times New Roman" w:cs="Times New Roman"/>
          <w:b/>
          <w:bCs/>
          <w:kern w:val="0"/>
          <w:szCs w:val="24"/>
        </w:rPr>
        <w:lastRenderedPageBreak/>
        <w:t xml:space="preserve">Effect on </w:t>
      </w:r>
      <w:r w:rsidR="00F53BC9">
        <w:rPr>
          <w:rFonts w:ascii="Times New Roman" w:hAnsi="Times New Roman" w:cs="Times New Roman"/>
          <w:b/>
          <w:bCs/>
          <w:kern w:val="0"/>
          <w:szCs w:val="24"/>
        </w:rPr>
        <w:t xml:space="preserve">the </w:t>
      </w:r>
      <w:r w:rsidRPr="000A56CD">
        <w:rPr>
          <w:rFonts w:ascii="Times New Roman" w:hAnsi="Times New Roman" w:cs="Times New Roman"/>
          <w:b/>
          <w:bCs/>
          <w:kern w:val="0"/>
          <w:szCs w:val="24"/>
        </w:rPr>
        <w:t>reduction of powdery mildew severity of okra.</w:t>
      </w:r>
    </w:p>
    <w:p w14:paraId="5F639C52" w14:textId="475B90CC"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 xml:space="preserve">The results </w:t>
      </w:r>
      <w:r w:rsidR="00F53BC9">
        <w:rPr>
          <w:rFonts w:ascii="Times New Roman" w:hAnsi="Times New Roman" w:cs="Times New Roman"/>
        </w:rPr>
        <w:t>about</w:t>
      </w:r>
      <w:r w:rsidRPr="000A56CD">
        <w:rPr>
          <w:rFonts w:ascii="Times New Roman" w:hAnsi="Times New Roman" w:cs="Times New Roman"/>
        </w:rPr>
        <w:t xml:space="preserve"> the effectiveness of various treatments on the management of powdery mildew disease of okra are presented in Table</w:t>
      </w:r>
      <w:r w:rsidR="00D208A1">
        <w:rPr>
          <w:rFonts w:ascii="Times New Roman" w:hAnsi="Times New Roman" w:cs="Times New Roman"/>
        </w:rPr>
        <w:t>: 2</w:t>
      </w:r>
      <w:r w:rsidRPr="000A56CD">
        <w:rPr>
          <w:rFonts w:ascii="Times New Roman" w:hAnsi="Times New Roman" w:cs="Times New Roman"/>
        </w:rPr>
        <w:t xml:space="preserve"> and Figure</w:t>
      </w:r>
      <w:r w:rsidR="00D208A1">
        <w:rPr>
          <w:rFonts w:ascii="Times New Roman" w:hAnsi="Times New Roman" w:cs="Times New Roman"/>
        </w:rPr>
        <w:t xml:space="preserve">: </w:t>
      </w:r>
      <w:r w:rsidRPr="000A56CD">
        <w:rPr>
          <w:rFonts w:ascii="Times New Roman" w:hAnsi="Times New Roman" w:cs="Times New Roman"/>
        </w:rPr>
        <w:t>2. The efficacy was measured in terms of per cent disease control (PDC) recorded after each spray namely the first, second, and third sprays and the mean disease control across all three observations.</w:t>
      </w:r>
    </w:p>
    <w:p w14:paraId="0B70DEEB" w14:textId="77777777"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Among the treatments evaluated, (T</w:t>
      </w:r>
      <w:r w:rsidRPr="000A56CD">
        <w:rPr>
          <w:rFonts w:ascii="Times New Roman" w:hAnsi="Times New Roman" w:cs="Times New Roman"/>
          <w:vertAlign w:val="subscript"/>
        </w:rPr>
        <w:t>1</w:t>
      </w:r>
      <w:r w:rsidRPr="000A56CD">
        <w:rPr>
          <w:rFonts w:ascii="Times New Roman" w:hAnsi="Times New Roman" w:cs="Times New Roman"/>
        </w:rPr>
        <w:t>) Sulphur 0.3% proved to be the most effective with a mean disease control of 63.94%, followed closely by (T</w:t>
      </w:r>
      <w:r w:rsidRPr="000A56CD">
        <w:rPr>
          <w:rFonts w:ascii="Times New Roman" w:hAnsi="Times New Roman" w:cs="Times New Roman"/>
          <w:vertAlign w:val="subscript"/>
        </w:rPr>
        <w:t>2</w:t>
      </w:r>
      <w:r w:rsidRPr="000A56CD">
        <w:rPr>
          <w:rFonts w:ascii="Times New Roman" w:hAnsi="Times New Roman" w:cs="Times New Roman"/>
        </w:rPr>
        <w:t>) Hexaconazole 0.1% which recorded 61.10% mean disease control. The highest per cent disease control at the third spray was observed with Sulphur (73.96%), which suggests its strong residual effect in controlling the disease even at the later stage of infection. Hexaconazole also performed well, showing 69.12% control after the third spray.</w:t>
      </w:r>
    </w:p>
    <w:p w14:paraId="04248AC8" w14:textId="77777777"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Propiconazole 0.1% (T</w:t>
      </w:r>
      <w:r w:rsidRPr="000A56CD">
        <w:rPr>
          <w:rFonts w:ascii="Times New Roman" w:hAnsi="Times New Roman" w:cs="Times New Roman"/>
          <w:vertAlign w:val="subscript"/>
        </w:rPr>
        <w:t>3</w:t>
      </w:r>
      <w:r w:rsidRPr="000A56CD">
        <w:rPr>
          <w:rFonts w:ascii="Times New Roman" w:hAnsi="Times New Roman" w:cs="Times New Roman"/>
        </w:rPr>
        <w:t>) and Potassium bicarbonate 0.1% (T</w:t>
      </w:r>
      <w:r w:rsidRPr="000A56CD">
        <w:rPr>
          <w:rFonts w:ascii="Times New Roman" w:hAnsi="Times New Roman" w:cs="Times New Roman"/>
          <w:vertAlign w:val="subscript"/>
        </w:rPr>
        <w:t>4</w:t>
      </w:r>
      <w:r w:rsidRPr="000A56CD">
        <w:rPr>
          <w:rFonts w:ascii="Times New Roman" w:hAnsi="Times New Roman" w:cs="Times New Roman"/>
        </w:rPr>
        <w:t>) recorded moderate efficacy, with mean disease control values of 55.24% and 52.23%, respectively. These fungicides showed an increasing trend in disease control with successive sprays, indicating their potential in integrated disease management programs when used repeatedly.</w:t>
      </w:r>
    </w:p>
    <w:p w14:paraId="08ECD0FC" w14:textId="1ECEAADE"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Biopesticides such as Neem oil 4% (T</w:t>
      </w:r>
      <w:r w:rsidRPr="000A56CD">
        <w:rPr>
          <w:rFonts w:ascii="Times New Roman" w:hAnsi="Times New Roman" w:cs="Times New Roman"/>
          <w:vertAlign w:val="subscript"/>
        </w:rPr>
        <w:t>5</w:t>
      </w:r>
      <w:r w:rsidRPr="000A56CD">
        <w:rPr>
          <w:rFonts w:ascii="Times New Roman" w:hAnsi="Times New Roman" w:cs="Times New Roman"/>
        </w:rPr>
        <w:t xml:space="preserve">), </w:t>
      </w:r>
      <w:r w:rsidRPr="000A56CD">
        <w:rPr>
          <w:rFonts w:ascii="Times New Roman" w:hAnsi="Times New Roman" w:cs="Times New Roman"/>
          <w:i/>
          <w:iCs/>
        </w:rPr>
        <w:t>Trichoderma asperellum</w:t>
      </w:r>
      <w:r w:rsidRPr="000A56CD">
        <w:rPr>
          <w:rFonts w:ascii="Times New Roman" w:hAnsi="Times New Roman" w:cs="Times New Roman"/>
        </w:rPr>
        <w:t xml:space="preserve"> 3% (T</w:t>
      </w:r>
      <w:r w:rsidRPr="000A56CD">
        <w:rPr>
          <w:rFonts w:ascii="Times New Roman" w:hAnsi="Times New Roman" w:cs="Times New Roman"/>
          <w:vertAlign w:val="subscript"/>
        </w:rPr>
        <w:t>6</w:t>
      </w:r>
      <w:r w:rsidRPr="000A56CD">
        <w:rPr>
          <w:rFonts w:ascii="Times New Roman" w:hAnsi="Times New Roman" w:cs="Times New Roman"/>
        </w:rPr>
        <w:t xml:space="preserve">), and </w:t>
      </w:r>
      <w:r w:rsidRPr="000A56CD">
        <w:rPr>
          <w:rFonts w:ascii="Times New Roman" w:hAnsi="Times New Roman" w:cs="Times New Roman"/>
          <w:i/>
          <w:iCs/>
        </w:rPr>
        <w:t>Trichoderma harzianum</w:t>
      </w:r>
      <w:r w:rsidRPr="000A56CD">
        <w:rPr>
          <w:rFonts w:ascii="Times New Roman" w:hAnsi="Times New Roman" w:cs="Times New Roman"/>
        </w:rPr>
        <w:t xml:space="preserve"> 4% (T</w:t>
      </w:r>
      <w:r w:rsidRPr="000A56CD">
        <w:rPr>
          <w:rFonts w:ascii="Times New Roman" w:hAnsi="Times New Roman" w:cs="Times New Roman"/>
          <w:vertAlign w:val="subscript"/>
        </w:rPr>
        <w:t>7</w:t>
      </w:r>
      <w:r w:rsidRPr="000A56CD">
        <w:rPr>
          <w:rFonts w:ascii="Times New Roman" w:hAnsi="Times New Roman" w:cs="Times New Roman"/>
        </w:rPr>
        <w:t xml:space="preserve">) demonstrated lower levels of disease control in comparison to synthetic fungicides. Neem oil recorded a mean disease control of 50.97%, while </w:t>
      </w:r>
      <w:commentRangeStart w:id="0"/>
      <w:r w:rsidRPr="000A56CD">
        <w:rPr>
          <w:rFonts w:ascii="Times New Roman" w:hAnsi="Times New Roman" w:cs="Times New Roman"/>
        </w:rPr>
        <w:t xml:space="preserve">Trichoderma asperellum </w:t>
      </w:r>
      <w:commentRangeEnd w:id="0"/>
      <w:r w:rsidR="00DD78C4" w:rsidRPr="000A56CD">
        <w:rPr>
          <w:rStyle w:val="CommentReference"/>
          <w:rFonts w:ascii="Times New Roman" w:hAnsi="Times New Roman" w:cs="Times New Roman"/>
          <w:sz w:val="24"/>
          <w:szCs w:val="21"/>
        </w:rPr>
        <w:commentReference w:id="0"/>
      </w:r>
      <w:r w:rsidRPr="000A56CD">
        <w:rPr>
          <w:rFonts w:ascii="Times New Roman" w:hAnsi="Times New Roman" w:cs="Times New Roman"/>
        </w:rPr>
        <w:t xml:space="preserve">and </w:t>
      </w:r>
      <w:commentRangeStart w:id="1"/>
      <w:r w:rsidRPr="000A56CD">
        <w:rPr>
          <w:rFonts w:ascii="Times New Roman" w:hAnsi="Times New Roman" w:cs="Times New Roman"/>
        </w:rPr>
        <w:t xml:space="preserve">Trichoderma harzianum </w:t>
      </w:r>
      <w:commentRangeEnd w:id="1"/>
      <w:r w:rsidR="00DD78C4" w:rsidRPr="000A56CD">
        <w:rPr>
          <w:rStyle w:val="CommentReference"/>
          <w:rFonts w:ascii="Times New Roman" w:hAnsi="Times New Roman" w:cs="Times New Roman"/>
          <w:sz w:val="24"/>
          <w:szCs w:val="21"/>
        </w:rPr>
        <w:commentReference w:id="1"/>
      </w:r>
      <w:r w:rsidRPr="000A56CD">
        <w:rPr>
          <w:rFonts w:ascii="Times New Roman" w:hAnsi="Times New Roman" w:cs="Times New Roman"/>
        </w:rPr>
        <w:t>showed 49.26% and 45.59%, respectively. Although these treatments were relatively less effective, they offer eco-friendly alternatives with the potential for integration into organic farming systems or resistance management strategies.</w:t>
      </w:r>
    </w:p>
    <w:p w14:paraId="0019FB1D" w14:textId="797DC86F"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The treatment with Dinocap 4% (T</w:t>
      </w:r>
      <w:r w:rsidRPr="000A56CD">
        <w:rPr>
          <w:rFonts w:ascii="Times New Roman" w:hAnsi="Times New Roman" w:cs="Times New Roman"/>
          <w:vertAlign w:val="subscript"/>
        </w:rPr>
        <w:t>8</w:t>
      </w:r>
      <w:r w:rsidRPr="000A56CD">
        <w:rPr>
          <w:rFonts w:ascii="Times New Roman" w:hAnsi="Times New Roman" w:cs="Times New Roman"/>
        </w:rPr>
        <w:t>) resulted in the least effective disease control, with a mean of 37.55%. Its performance across the three observations was consistently lower than that of other treatments, particularly after the second spray</w:t>
      </w:r>
      <w:r w:rsidR="00F53BC9">
        <w:rPr>
          <w:rFonts w:ascii="Times New Roman" w:hAnsi="Times New Roman" w:cs="Times New Roman"/>
        </w:rPr>
        <w:t>,</w:t>
      </w:r>
      <w:r w:rsidRPr="000A56CD">
        <w:rPr>
          <w:rFonts w:ascii="Times New Roman" w:hAnsi="Times New Roman" w:cs="Times New Roman"/>
        </w:rPr>
        <w:t xml:space="preserve"> where the disease control was only 9.83%. This indicates poor systemic action or limited efficacy under the given field conditions.</w:t>
      </w:r>
    </w:p>
    <w:p w14:paraId="7FC33769" w14:textId="77777777" w:rsidR="00C35DB6" w:rsidRPr="000A56CD" w:rsidRDefault="00C35DB6" w:rsidP="00C24423">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Interestingly, the control plot (T</w:t>
      </w:r>
      <w:r w:rsidRPr="000A56CD">
        <w:rPr>
          <w:rFonts w:ascii="Times New Roman" w:hAnsi="Times New Roman" w:cs="Times New Roman"/>
          <w:vertAlign w:val="subscript"/>
        </w:rPr>
        <w:t>9</w:t>
      </w:r>
      <w:r w:rsidRPr="000A56CD">
        <w:rPr>
          <w:rFonts w:ascii="Times New Roman" w:hAnsi="Times New Roman" w:cs="Times New Roman"/>
        </w:rPr>
        <w:t xml:space="preserve">), which was sprayed with water only, recorded a mean disease control of 51.83%, which is unexpectedly higher than some of the treatments, such as Dinocap, </w:t>
      </w:r>
      <w:r w:rsidRPr="000A56CD">
        <w:rPr>
          <w:rFonts w:ascii="Times New Roman" w:hAnsi="Times New Roman" w:cs="Times New Roman"/>
          <w:i/>
          <w:iCs/>
        </w:rPr>
        <w:t>Trichoderma harzianum</w:t>
      </w:r>
      <w:r w:rsidRPr="000A56CD">
        <w:rPr>
          <w:rFonts w:ascii="Times New Roman" w:hAnsi="Times New Roman" w:cs="Times New Roman"/>
        </w:rPr>
        <w:t>, and even Neem oil to some extent. However, the apparent high disease control in control plots might be attributed to natural environmental factors, varietal resistance, or inconsistencies in initial disease pressure, and hence, needs cautious interpretation.</w:t>
      </w:r>
    </w:p>
    <w:p w14:paraId="29CC4B31" w14:textId="2FB2B026" w:rsidR="00C35DB6" w:rsidRPr="00D208A1" w:rsidRDefault="00C35DB6" w:rsidP="00D208A1">
      <w:pPr>
        <w:autoSpaceDE w:val="0"/>
        <w:autoSpaceDN w:val="0"/>
        <w:adjustRightInd w:val="0"/>
        <w:spacing w:after="0" w:line="240" w:lineRule="auto"/>
        <w:ind w:firstLine="720"/>
        <w:jc w:val="both"/>
        <w:rPr>
          <w:rFonts w:ascii="Times New Roman" w:hAnsi="Times New Roman" w:cs="Times New Roman"/>
        </w:rPr>
      </w:pPr>
      <w:r w:rsidRPr="000A56CD">
        <w:rPr>
          <w:rFonts w:ascii="Times New Roman" w:hAnsi="Times New Roman" w:cs="Times New Roman"/>
        </w:rPr>
        <w:t xml:space="preserve">Overall, the data suggest that Sulphur 0.3% and Hexaconazole 0.1% were significantly superior in reducing powdery mildew severity, and hence, can be recommended for effective disease management in okra. The effectiveness of these fungicides, especially after the third spray, highlights their potential as reliable components in fungicidal schedules. On the other hand, biopesticides and botanicals, though less effective, provide a sustainable alternative that may be useful in integrated disease management approaches aimed at reducing chemical load and </w:t>
      </w:r>
      <w:r w:rsidR="00AE7D2E" w:rsidRPr="000A56CD">
        <w:rPr>
          <w:rFonts w:ascii="Times New Roman" w:hAnsi="Times New Roman" w:cs="Times New Roman"/>
        </w:rPr>
        <w:t>minimi</w:t>
      </w:r>
      <w:r w:rsidR="00AE7D2E">
        <w:rPr>
          <w:rFonts w:ascii="Times New Roman" w:hAnsi="Times New Roman" w:cs="Times New Roman"/>
        </w:rPr>
        <w:t>z</w:t>
      </w:r>
      <w:r w:rsidR="00AE7D2E" w:rsidRPr="000A56CD">
        <w:rPr>
          <w:rFonts w:ascii="Times New Roman" w:hAnsi="Times New Roman" w:cs="Times New Roman"/>
        </w:rPr>
        <w:t>ing</w:t>
      </w:r>
      <w:r w:rsidRPr="000A56CD">
        <w:rPr>
          <w:rFonts w:ascii="Times New Roman" w:hAnsi="Times New Roman" w:cs="Times New Roman"/>
        </w:rPr>
        <w:t xml:space="preserve"> environmental risks.</w:t>
      </w:r>
    </w:p>
    <w:p w14:paraId="1D6D4E7A"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0568503A"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0DDA7380"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108DB258"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26FFA054"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sectPr w:rsidR="00C35DB6" w:rsidRPr="000A56CD" w:rsidSect="00C35DB6">
          <w:pgSz w:w="11906" w:h="16838" w:code="9"/>
          <w:pgMar w:top="1440" w:right="1440" w:bottom="1440" w:left="2160" w:header="720" w:footer="720" w:gutter="0"/>
          <w:cols w:space="720"/>
          <w:docGrid w:linePitch="360"/>
        </w:sectPr>
      </w:pPr>
    </w:p>
    <w:p w14:paraId="37B67F7F" w14:textId="44EB1A4F" w:rsidR="00C35DB6" w:rsidRPr="000A56CD" w:rsidRDefault="00C35DB6" w:rsidP="00C35DB6">
      <w:pPr>
        <w:autoSpaceDE w:val="0"/>
        <w:autoSpaceDN w:val="0"/>
        <w:adjustRightInd w:val="0"/>
        <w:spacing w:line="360" w:lineRule="auto"/>
        <w:rPr>
          <w:rFonts w:ascii="Times New Roman" w:hAnsi="Times New Roman" w:cs="Times New Roman"/>
          <w:b/>
          <w:bCs/>
          <w:kern w:val="0"/>
          <w:szCs w:val="24"/>
        </w:rPr>
      </w:pPr>
      <w:r w:rsidRPr="000A56CD">
        <w:rPr>
          <w:rFonts w:ascii="Times New Roman" w:hAnsi="Times New Roman" w:cs="Times New Roman"/>
          <w:b/>
          <w:bCs/>
          <w:kern w:val="0"/>
          <w:szCs w:val="24"/>
        </w:rPr>
        <w:lastRenderedPageBreak/>
        <w:t xml:space="preserve">       Table</w:t>
      </w:r>
      <w:r w:rsidR="00F53BC9">
        <w:rPr>
          <w:rFonts w:ascii="Times New Roman" w:hAnsi="Times New Roman" w:cs="Times New Roman"/>
          <w:b/>
          <w:bCs/>
          <w:kern w:val="0"/>
          <w:szCs w:val="24"/>
        </w:rPr>
        <w:t xml:space="preserve"> 2</w:t>
      </w:r>
      <w:r w:rsidR="00AE7D2E">
        <w:rPr>
          <w:rFonts w:ascii="Times New Roman" w:hAnsi="Times New Roman" w:cs="Times New Roman"/>
          <w:b/>
          <w:bCs/>
          <w:kern w:val="0"/>
          <w:szCs w:val="24"/>
        </w:rPr>
        <w:t>:</w:t>
      </w:r>
      <w:r w:rsidRPr="000A56CD">
        <w:rPr>
          <w:rFonts w:ascii="Times New Roman" w:hAnsi="Times New Roman" w:cs="Times New Roman"/>
          <w:b/>
          <w:bCs/>
          <w:kern w:val="0"/>
          <w:szCs w:val="24"/>
        </w:rPr>
        <w:t xml:space="preserve"> Effect on </w:t>
      </w:r>
      <w:r w:rsidR="00AE7D2E">
        <w:rPr>
          <w:rFonts w:ascii="Times New Roman" w:hAnsi="Times New Roman" w:cs="Times New Roman"/>
          <w:b/>
          <w:bCs/>
          <w:kern w:val="0"/>
          <w:szCs w:val="24"/>
        </w:rPr>
        <w:t xml:space="preserve">the </w:t>
      </w:r>
      <w:r w:rsidRPr="000A56CD">
        <w:rPr>
          <w:rFonts w:ascii="Times New Roman" w:hAnsi="Times New Roman" w:cs="Times New Roman"/>
          <w:b/>
          <w:bCs/>
          <w:kern w:val="0"/>
          <w:szCs w:val="24"/>
        </w:rPr>
        <w:t>reduction of powdery mildew severity of okra.</w:t>
      </w:r>
    </w:p>
    <w:tbl>
      <w:tblPr>
        <w:tblStyle w:val="TableGrid"/>
        <w:tblW w:w="8941" w:type="dxa"/>
        <w:jc w:val="center"/>
        <w:tblLayout w:type="fixed"/>
        <w:tblLook w:val="04A0" w:firstRow="1" w:lastRow="0" w:firstColumn="1" w:lastColumn="0" w:noHBand="0" w:noVBand="1"/>
      </w:tblPr>
      <w:tblGrid>
        <w:gridCol w:w="802"/>
        <w:gridCol w:w="2936"/>
        <w:gridCol w:w="973"/>
        <w:gridCol w:w="973"/>
        <w:gridCol w:w="1136"/>
        <w:gridCol w:w="1148"/>
        <w:gridCol w:w="973"/>
      </w:tblGrid>
      <w:tr w:rsidR="00C35DB6" w:rsidRPr="000A56CD" w14:paraId="0D812E1F" w14:textId="77777777" w:rsidTr="001F4924">
        <w:trPr>
          <w:trHeight w:val="20"/>
          <w:jc w:val="center"/>
        </w:trPr>
        <w:tc>
          <w:tcPr>
            <w:tcW w:w="802" w:type="dxa"/>
            <w:vMerge w:val="restart"/>
            <w:vAlign w:val="center"/>
          </w:tcPr>
          <w:p w14:paraId="6F4601D4" w14:textId="77777777" w:rsidR="00C35DB6" w:rsidRPr="000A56CD" w:rsidRDefault="00C35DB6" w:rsidP="001F4924">
            <w:pPr>
              <w:jc w:val="center"/>
              <w:rPr>
                <w:rFonts w:cs="Times New Roman"/>
                <w:b/>
                <w:bCs/>
                <w:szCs w:val="24"/>
              </w:rPr>
            </w:pPr>
            <w:r w:rsidRPr="000A56CD">
              <w:rPr>
                <w:rFonts w:cs="Times New Roman"/>
                <w:b/>
                <w:bCs/>
                <w:szCs w:val="24"/>
              </w:rPr>
              <w:t>S.No.</w:t>
            </w:r>
          </w:p>
        </w:tc>
        <w:tc>
          <w:tcPr>
            <w:tcW w:w="2936" w:type="dxa"/>
            <w:vMerge w:val="restart"/>
            <w:vAlign w:val="center"/>
          </w:tcPr>
          <w:p w14:paraId="6BC101EC" w14:textId="77777777" w:rsidR="00C35DB6" w:rsidRPr="000A56CD" w:rsidRDefault="00C35DB6" w:rsidP="001F4924">
            <w:pPr>
              <w:jc w:val="center"/>
              <w:rPr>
                <w:rFonts w:cs="Times New Roman"/>
                <w:b/>
                <w:bCs/>
                <w:szCs w:val="24"/>
              </w:rPr>
            </w:pPr>
            <w:r w:rsidRPr="000A56CD">
              <w:rPr>
                <w:rFonts w:cs="Times New Roman"/>
                <w:b/>
                <w:bCs/>
                <w:szCs w:val="24"/>
              </w:rPr>
              <w:t>Treatment</w:t>
            </w:r>
          </w:p>
        </w:tc>
        <w:tc>
          <w:tcPr>
            <w:tcW w:w="973" w:type="dxa"/>
            <w:vMerge w:val="restart"/>
            <w:vAlign w:val="center"/>
          </w:tcPr>
          <w:p w14:paraId="6673A7C1" w14:textId="77777777" w:rsidR="00C35DB6" w:rsidRPr="000A56CD" w:rsidRDefault="00C35DB6" w:rsidP="001F4924">
            <w:pPr>
              <w:jc w:val="center"/>
              <w:rPr>
                <w:rFonts w:cs="Times New Roman"/>
                <w:b/>
                <w:bCs/>
                <w:szCs w:val="24"/>
              </w:rPr>
            </w:pPr>
            <w:r w:rsidRPr="000A56CD">
              <w:rPr>
                <w:rFonts w:cs="Times New Roman"/>
                <w:b/>
                <w:bCs/>
                <w:szCs w:val="24"/>
              </w:rPr>
              <w:t>Conc. (%)</w:t>
            </w:r>
          </w:p>
        </w:tc>
        <w:tc>
          <w:tcPr>
            <w:tcW w:w="3257" w:type="dxa"/>
            <w:gridSpan w:val="3"/>
            <w:vAlign w:val="center"/>
          </w:tcPr>
          <w:p w14:paraId="7DF77C0A" w14:textId="77777777" w:rsidR="00C35DB6" w:rsidRPr="000A56CD" w:rsidRDefault="00C35DB6" w:rsidP="001F4924">
            <w:pPr>
              <w:jc w:val="center"/>
              <w:rPr>
                <w:rFonts w:cs="Times New Roman"/>
                <w:b/>
                <w:bCs/>
                <w:szCs w:val="24"/>
              </w:rPr>
            </w:pPr>
            <w:r w:rsidRPr="000A56CD">
              <w:rPr>
                <w:rFonts w:eastAsia="Times New Roman" w:cs="Times New Roman"/>
                <w:b/>
                <w:bCs/>
                <w:color w:val="000000"/>
                <w:szCs w:val="24"/>
              </w:rPr>
              <w:t>Per cent disease control after spraying</w:t>
            </w:r>
          </w:p>
        </w:tc>
        <w:tc>
          <w:tcPr>
            <w:tcW w:w="973" w:type="dxa"/>
            <w:vMerge w:val="restart"/>
            <w:vAlign w:val="center"/>
          </w:tcPr>
          <w:p w14:paraId="1A5E7F2D" w14:textId="77777777" w:rsidR="00C35DB6" w:rsidRPr="000A56CD" w:rsidRDefault="00C35DB6" w:rsidP="001F4924">
            <w:pPr>
              <w:jc w:val="center"/>
              <w:rPr>
                <w:rFonts w:cs="Times New Roman"/>
                <w:b/>
                <w:bCs/>
                <w:szCs w:val="24"/>
              </w:rPr>
            </w:pPr>
            <w:r w:rsidRPr="000A56CD">
              <w:rPr>
                <w:rFonts w:cs="Times New Roman"/>
                <w:b/>
                <w:bCs/>
                <w:szCs w:val="24"/>
              </w:rPr>
              <w:t>Mean</w:t>
            </w:r>
          </w:p>
          <w:p w14:paraId="3641986C" w14:textId="77777777" w:rsidR="00C35DB6" w:rsidRPr="000A56CD" w:rsidRDefault="00C35DB6" w:rsidP="001F4924">
            <w:pPr>
              <w:jc w:val="center"/>
              <w:rPr>
                <w:rFonts w:cs="Times New Roman"/>
                <w:b/>
                <w:bCs/>
                <w:szCs w:val="24"/>
              </w:rPr>
            </w:pPr>
            <w:r w:rsidRPr="000A56CD">
              <w:rPr>
                <w:rFonts w:cs="Times New Roman"/>
                <w:b/>
                <w:bCs/>
                <w:szCs w:val="24"/>
              </w:rPr>
              <w:t>PDC</w:t>
            </w:r>
          </w:p>
        </w:tc>
      </w:tr>
      <w:tr w:rsidR="001F4924" w:rsidRPr="000A56CD" w14:paraId="54089E86" w14:textId="77777777" w:rsidTr="001F4924">
        <w:trPr>
          <w:trHeight w:val="20"/>
          <w:jc w:val="center"/>
        </w:trPr>
        <w:tc>
          <w:tcPr>
            <w:tcW w:w="802" w:type="dxa"/>
            <w:vMerge/>
          </w:tcPr>
          <w:p w14:paraId="2FD3084C" w14:textId="77777777" w:rsidR="00C35DB6" w:rsidRPr="000A56CD" w:rsidRDefault="00C35DB6" w:rsidP="001F4924">
            <w:pPr>
              <w:rPr>
                <w:rFonts w:cs="Times New Roman"/>
                <w:szCs w:val="24"/>
              </w:rPr>
            </w:pPr>
          </w:p>
        </w:tc>
        <w:tc>
          <w:tcPr>
            <w:tcW w:w="2936" w:type="dxa"/>
            <w:vMerge/>
          </w:tcPr>
          <w:p w14:paraId="4DF20574" w14:textId="77777777" w:rsidR="00C35DB6" w:rsidRPr="000A56CD" w:rsidRDefault="00C35DB6" w:rsidP="001F4924">
            <w:pPr>
              <w:rPr>
                <w:rFonts w:cs="Times New Roman"/>
                <w:szCs w:val="24"/>
              </w:rPr>
            </w:pPr>
          </w:p>
        </w:tc>
        <w:tc>
          <w:tcPr>
            <w:tcW w:w="973" w:type="dxa"/>
            <w:vMerge/>
          </w:tcPr>
          <w:p w14:paraId="58C815AC" w14:textId="77777777" w:rsidR="00C35DB6" w:rsidRPr="000A56CD" w:rsidRDefault="00C35DB6" w:rsidP="001F4924">
            <w:pPr>
              <w:rPr>
                <w:rFonts w:cs="Times New Roman"/>
                <w:szCs w:val="24"/>
              </w:rPr>
            </w:pPr>
          </w:p>
        </w:tc>
        <w:tc>
          <w:tcPr>
            <w:tcW w:w="973" w:type="dxa"/>
          </w:tcPr>
          <w:p w14:paraId="0EF43BDB" w14:textId="77777777" w:rsidR="00C35DB6" w:rsidRPr="000A56CD" w:rsidRDefault="00C35DB6" w:rsidP="001F4924">
            <w:pPr>
              <w:jc w:val="center"/>
              <w:rPr>
                <w:rFonts w:cs="Times New Roman"/>
                <w:b/>
                <w:bCs/>
                <w:szCs w:val="24"/>
              </w:rPr>
            </w:pPr>
            <w:r w:rsidRPr="000A56CD">
              <w:rPr>
                <w:rFonts w:cs="Times New Roman"/>
                <w:b/>
                <w:bCs/>
                <w:szCs w:val="24"/>
              </w:rPr>
              <w:t>First</w:t>
            </w:r>
          </w:p>
        </w:tc>
        <w:tc>
          <w:tcPr>
            <w:tcW w:w="1136" w:type="dxa"/>
          </w:tcPr>
          <w:p w14:paraId="4AA90844" w14:textId="77777777" w:rsidR="00C35DB6" w:rsidRPr="000A56CD" w:rsidRDefault="00C35DB6" w:rsidP="001F4924">
            <w:pPr>
              <w:jc w:val="center"/>
              <w:rPr>
                <w:rFonts w:cs="Times New Roman"/>
                <w:b/>
                <w:bCs/>
                <w:szCs w:val="24"/>
              </w:rPr>
            </w:pPr>
            <w:r w:rsidRPr="000A56CD">
              <w:rPr>
                <w:rFonts w:cs="Times New Roman"/>
                <w:b/>
                <w:bCs/>
                <w:szCs w:val="24"/>
              </w:rPr>
              <w:t>Second</w:t>
            </w:r>
          </w:p>
        </w:tc>
        <w:tc>
          <w:tcPr>
            <w:tcW w:w="1146" w:type="dxa"/>
          </w:tcPr>
          <w:p w14:paraId="51AEEC06" w14:textId="77777777" w:rsidR="00C35DB6" w:rsidRPr="000A56CD" w:rsidRDefault="00C35DB6" w:rsidP="001F4924">
            <w:pPr>
              <w:jc w:val="center"/>
              <w:rPr>
                <w:rFonts w:cs="Times New Roman"/>
                <w:b/>
                <w:bCs/>
                <w:szCs w:val="24"/>
              </w:rPr>
            </w:pPr>
            <w:r w:rsidRPr="000A56CD">
              <w:rPr>
                <w:rFonts w:cs="Times New Roman"/>
                <w:b/>
                <w:bCs/>
                <w:szCs w:val="24"/>
              </w:rPr>
              <w:t>Third</w:t>
            </w:r>
          </w:p>
        </w:tc>
        <w:tc>
          <w:tcPr>
            <w:tcW w:w="973" w:type="dxa"/>
            <w:vMerge/>
          </w:tcPr>
          <w:p w14:paraId="3EA17B6B" w14:textId="77777777" w:rsidR="00C35DB6" w:rsidRPr="000A56CD" w:rsidRDefault="00C35DB6" w:rsidP="001F4924">
            <w:pPr>
              <w:jc w:val="center"/>
              <w:rPr>
                <w:rFonts w:cs="Times New Roman"/>
                <w:szCs w:val="24"/>
              </w:rPr>
            </w:pPr>
          </w:p>
        </w:tc>
      </w:tr>
      <w:tr w:rsidR="001F4924" w:rsidRPr="000A56CD" w14:paraId="62C8C095" w14:textId="77777777" w:rsidTr="001F4924">
        <w:trPr>
          <w:trHeight w:val="20"/>
          <w:jc w:val="center"/>
        </w:trPr>
        <w:tc>
          <w:tcPr>
            <w:tcW w:w="802" w:type="dxa"/>
            <w:vAlign w:val="center"/>
          </w:tcPr>
          <w:p w14:paraId="69B64EAC"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1</w:t>
            </w:r>
          </w:p>
        </w:tc>
        <w:tc>
          <w:tcPr>
            <w:tcW w:w="2936" w:type="dxa"/>
            <w:vAlign w:val="center"/>
          </w:tcPr>
          <w:p w14:paraId="11F50E14" w14:textId="77777777" w:rsidR="00C35DB6" w:rsidRPr="000A56CD" w:rsidRDefault="00C35DB6" w:rsidP="001F4924">
            <w:pPr>
              <w:jc w:val="center"/>
              <w:rPr>
                <w:rFonts w:cs="Times New Roman"/>
                <w:szCs w:val="24"/>
              </w:rPr>
            </w:pPr>
            <w:r w:rsidRPr="000A56CD">
              <w:rPr>
                <w:rFonts w:cs="Times New Roman"/>
                <w:szCs w:val="24"/>
              </w:rPr>
              <w:t>Sulphur</w:t>
            </w:r>
          </w:p>
        </w:tc>
        <w:tc>
          <w:tcPr>
            <w:tcW w:w="973" w:type="dxa"/>
            <w:vAlign w:val="center"/>
          </w:tcPr>
          <w:p w14:paraId="0129D6D5" w14:textId="77777777" w:rsidR="00C35DB6" w:rsidRPr="000A56CD" w:rsidRDefault="00C35DB6" w:rsidP="001F4924">
            <w:pPr>
              <w:jc w:val="center"/>
              <w:rPr>
                <w:rFonts w:cs="Times New Roman"/>
                <w:szCs w:val="24"/>
              </w:rPr>
            </w:pPr>
            <w:r w:rsidRPr="000A56CD">
              <w:rPr>
                <w:rFonts w:cs="Times New Roman"/>
                <w:szCs w:val="24"/>
              </w:rPr>
              <w:t>0.3%</w:t>
            </w:r>
          </w:p>
        </w:tc>
        <w:tc>
          <w:tcPr>
            <w:tcW w:w="973" w:type="dxa"/>
            <w:vAlign w:val="bottom"/>
          </w:tcPr>
          <w:p w14:paraId="3D235A62" w14:textId="77777777" w:rsidR="00C35DB6" w:rsidRPr="000A56CD" w:rsidRDefault="00C35DB6" w:rsidP="001F4924">
            <w:pPr>
              <w:jc w:val="center"/>
              <w:rPr>
                <w:rFonts w:cs="Times New Roman"/>
                <w:szCs w:val="24"/>
              </w:rPr>
            </w:pPr>
            <w:r w:rsidRPr="000A56CD">
              <w:rPr>
                <w:rFonts w:cs="Times New Roman"/>
                <w:color w:val="000000"/>
                <w:szCs w:val="24"/>
              </w:rPr>
              <w:t>54.15</w:t>
            </w:r>
          </w:p>
        </w:tc>
        <w:tc>
          <w:tcPr>
            <w:tcW w:w="1136" w:type="dxa"/>
            <w:vAlign w:val="bottom"/>
          </w:tcPr>
          <w:p w14:paraId="104F3381" w14:textId="77777777" w:rsidR="00C35DB6" w:rsidRPr="000A56CD" w:rsidRDefault="00C35DB6" w:rsidP="001F4924">
            <w:pPr>
              <w:jc w:val="center"/>
              <w:rPr>
                <w:rFonts w:cs="Times New Roman"/>
                <w:szCs w:val="24"/>
              </w:rPr>
            </w:pPr>
            <w:r w:rsidRPr="000A56CD">
              <w:rPr>
                <w:rFonts w:cs="Times New Roman"/>
                <w:color w:val="000000"/>
                <w:szCs w:val="24"/>
              </w:rPr>
              <w:t>52.36</w:t>
            </w:r>
          </w:p>
        </w:tc>
        <w:tc>
          <w:tcPr>
            <w:tcW w:w="1146" w:type="dxa"/>
            <w:vAlign w:val="bottom"/>
          </w:tcPr>
          <w:p w14:paraId="497788E5" w14:textId="77777777" w:rsidR="00C35DB6" w:rsidRPr="000A56CD" w:rsidRDefault="00C35DB6" w:rsidP="001F4924">
            <w:pPr>
              <w:jc w:val="center"/>
              <w:rPr>
                <w:rFonts w:cs="Times New Roman"/>
                <w:szCs w:val="24"/>
              </w:rPr>
            </w:pPr>
            <w:r w:rsidRPr="000A56CD">
              <w:rPr>
                <w:rFonts w:cs="Times New Roman"/>
                <w:color w:val="000000"/>
                <w:szCs w:val="24"/>
              </w:rPr>
              <w:t>73.96</w:t>
            </w:r>
          </w:p>
        </w:tc>
        <w:tc>
          <w:tcPr>
            <w:tcW w:w="973" w:type="dxa"/>
            <w:vAlign w:val="bottom"/>
          </w:tcPr>
          <w:p w14:paraId="09CB9967" w14:textId="77777777" w:rsidR="00C35DB6" w:rsidRPr="000A56CD" w:rsidRDefault="00C35DB6" w:rsidP="001F4924">
            <w:pPr>
              <w:jc w:val="center"/>
              <w:rPr>
                <w:rFonts w:cs="Times New Roman"/>
                <w:szCs w:val="24"/>
              </w:rPr>
            </w:pPr>
            <w:r w:rsidRPr="000A56CD">
              <w:rPr>
                <w:rFonts w:cs="Times New Roman"/>
                <w:color w:val="000000"/>
                <w:szCs w:val="24"/>
              </w:rPr>
              <w:t>63.94</w:t>
            </w:r>
          </w:p>
        </w:tc>
      </w:tr>
      <w:tr w:rsidR="001F4924" w:rsidRPr="000A56CD" w14:paraId="79B197C5" w14:textId="77777777" w:rsidTr="001F4924">
        <w:trPr>
          <w:trHeight w:val="20"/>
          <w:jc w:val="center"/>
        </w:trPr>
        <w:tc>
          <w:tcPr>
            <w:tcW w:w="802" w:type="dxa"/>
            <w:vAlign w:val="center"/>
          </w:tcPr>
          <w:p w14:paraId="4A910EDC"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2</w:t>
            </w:r>
          </w:p>
        </w:tc>
        <w:tc>
          <w:tcPr>
            <w:tcW w:w="2936" w:type="dxa"/>
            <w:vAlign w:val="center"/>
          </w:tcPr>
          <w:p w14:paraId="39F3FBFE" w14:textId="77777777" w:rsidR="00C35DB6" w:rsidRPr="000A56CD" w:rsidRDefault="00C35DB6" w:rsidP="001F4924">
            <w:pPr>
              <w:jc w:val="center"/>
              <w:rPr>
                <w:rFonts w:cs="Times New Roman"/>
                <w:szCs w:val="24"/>
              </w:rPr>
            </w:pPr>
            <w:r w:rsidRPr="000A56CD">
              <w:rPr>
                <w:rFonts w:cs="Times New Roman"/>
                <w:szCs w:val="24"/>
              </w:rPr>
              <w:t>Hexaconazole</w:t>
            </w:r>
          </w:p>
        </w:tc>
        <w:tc>
          <w:tcPr>
            <w:tcW w:w="973" w:type="dxa"/>
            <w:vAlign w:val="center"/>
          </w:tcPr>
          <w:p w14:paraId="60171298" w14:textId="77777777" w:rsidR="00C35DB6" w:rsidRPr="000A56CD" w:rsidRDefault="00C35DB6" w:rsidP="001F4924">
            <w:pPr>
              <w:jc w:val="center"/>
              <w:rPr>
                <w:rFonts w:cs="Times New Roman"/>
                <w:szCs w:val="24"/>
              </w:rPr>
            </w:pPr>
            <w:r w:rsidRPr="000A56CD">
              <w:rPr>
                <w:rFonts w:cs="Times New Roman"/>
                <w:szCs w:val="24"/>
              </w:rPr>
              <w:t>0.1%</w:t>
            </w:r>
          </w:p>
        </w:tc>
        <w:tc>
          <w:tcPr>
            <w:tcW w:w="973" w:type="dxa"/>
            <w:vAlign w:val="bottom"/>
          </w:tcPr>
          <w:p w14:paraId="70312A75" w14:textId="77777777" w:rsidR="00C35DB6" w:rsidRPr="000A56CD" w:rsidRDefault="00C35DB6" w:rsidP="001F4924">
            <w:pPr>
              <w:jc w:val="center"/>
              <w:rPr>
                <w:rFonts w:cs="Times New Roman"/>
                <w:szCs w:val="24"/>
              </w:rPr>
            </w:pPr>
            <w:r w:rsidRPr="000A56CD">
              <w:rPr>
                <w:rFonts w:cs="Times New Roman"/>
                <w:color w:val="000000"/>
                <w:szCs w:val="24"/>
              </w:rPr>
              <w:t>55.59</w:t>
            </w:r>
          </w:p>
        </w:tc>
        <w:tc>
          <w:tcPr>
            <w:tcW w:w="1136" w:type="dxa"/>
            <w:vAlign w:val="bottom"/>
          </w:tcPr>
          <w:p w14:paraId="2936B128" w14:textId="77777777" w:rsidR="00C35DB6" w:rsidRPr="000A56CD" w:rsidRDefault="00C35DB6" w:rsidP="001F4924">
            <w:pPr>
              <w:jc w:val="center"/>
              <w:rPr>
                <w:rFonts w:cs="Times New Roman"/>
                <w:szCs w:val="24"/>
              </w:rPr>
            </w:pPr>
            <w:r w:rsidRPr="000A56CD">
              <w:rPr>
                <w:rFonts w:cs="Times New Roman"/>
                <w:color w:val="000000"/>
                <w:szCs w:val="24"/>
              </w:rPr>
              <w:t>46.41</w:t>
            </w:r>
          </w:p>
        </w:tc>
        <w:tc>
          <w:tcPr>
            <w:tcW w:w="1146" w:type="dxa"/>
            <w:vAlign w:val="bottom"/>
          </w:tcPr>
          <w:p w14:paraId="32371FAD" w14:textId="77777777" w:rsidR="00C35DB6" w:rsidRPr="000A56CD" w:rsidRDefault="00C35DB6" w:rsidP="001F4924">
            <w:pPr>
              <w:jc w:val="center"/>
              <w:rPr>
                <w:rFonts w:cs="Times New Roman"/>
                <w:szCs w:val="24"/>
              </w:rPr>
            </w:pPr>
            <w:r w:rsidRPr="000A56CD">
              <w:rPr>
                <w:rFonts w:cs="Times New Roman"/>
                <w:color w:val="000000"/>
                <w:szCs w:val="24"/>
              </w:rPr>
              <w:t>69.12</w:t>
            </w:r>
          </w:p>
        </w:tc>
        <w:tc>
          <w:tcPr>
            <w:tcW w:w="973" w:type="dxa"/>
            <w:vAlign w:val="bottom"/>
          </w:tcPr>
          <w:p w14:paraId="07C70904" w14:textId="77777777" w:rsidR="00C35DB6" w:rsidRPr="000A56CD" w:rsidRDefault="00C35DB6" w:rsidP="001F4924">
            <w:pPr>
              <w:jc w:val="center"/>
              <w:rPr>
                <w:rFonts w:cs="Times New Roman"/>
                <w:szCs w:val="24"/>
              </w:rPr>
            </w:pPr>
            <w:r w:rsidRPr="000A56CD">
              <w:rPr>
                <w:rFonts w:cs="Times New Roman"/>
                <w:color w:val="000000"/>
                <w:szCs w:val="24"/>
              </w:rPr>
              <w:t>61.10</w:t>
            </w:r>
          </w:p>
        </w:tc>
      </w:tr>
      <w:tr w:rsidR="001F4924" w:rsidRPr="000A56CD" w14:paraId="43E45F56" w14:textId="77777777" w:rsidTr="001F4924">
        <w:trPr>
          <w:trHeight w:val="20"/>
          <w:jc w:val="center"/>
        </w:trPr>
        <w:tc>
          <w:tcPr>
            <w:tcW w:w="802" w:type="dxa"/>
            <w:vAlign w:val="center"/>
          </w:tcPr>
          <w:p w14:paraId="2D185F0C"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3</w:t>
            </w:r>
          </w:p>
        </w:tc>
        <w:tc>
          <w:tcPr>
            <w:tcW w:w="2936" w:type="dxa"/>
            <w:vAlign w:val="center"/>
          </w:tcPr>
          <w:p w14:paraId="1B031A37" w14:textId="77777777" w:rsidR="00C35DB6" w:rsidRPr="000A56CD" w:rsidRDefault="00C35DB6" w:rsidP="001F4924">
            <w:pPr>
              <w:jc w:val="center"/>
              <w:rPr>
                <w:rFonts w:cs="Times New Roman"/>
                <w:szCs w:val="24"/>
              </w:rPr>
            </w:pPr>
            <w:r w:rsidRPr="000A56CD">
              <w:rPr>
                <w:rFonts w:cs="Times New Roman"/>
                <w:szCs w:val="24"/>
              </w:rPr>
              <w:t>Propiconazole</w:t>
            </w:r>
          </w:p>
        </w:tc>
        <w:tc>
          <w:tcPr>
            <w:tcW w:w="973" w:type="dxa"/>
            <w:vAlign w:val="center"/>
          </w:tcPr>
          <w:p w14:paraId="61117510" w14:textId="77777777" w:rsidR="00C35DB6" w:rsidRPr="000A56CD" w:rsidRDefault="00C35DB6" w:rsidP="001F4924">
            <w:pPr>
              <w:jc w:val="center"/>
              <w:rPr>
                <w:rFonts w:cs="Times New Roman"/>
                <w:szCs w:val="24"/>
              </w:rPr>
            </w:pPr>
            <w:r w:rsidRPr="000A56CD">
              <w:rPr>
                <w:rFonts w:cs="Times New Roman"/>
                <w:szCs w:val="24"/>
              </w:rPr>
              <w:t>0.1 %</w:t>
            </w:r>
          </w:p>
        </w:tc>
        <w:tc>
          <w:tcPr>
            <w:tcW w:w="973" w:type="dxa"/>
            <w:vAlign w:val="bottom"/>
          </w:tcPr>
          <w:p w14:paraId="75C4D2C8" w14:textId="77777777" w:rsidR="00C35DB6" w:rsidRPr="000A56CD" w:rsidRDefault="00C35DB6" w:rsidP="001F4924">
            <w:pPr>
              <w:jc w:val="center"/>
              <w:rPr>
                <w:rFonts w:cs="Times New Roman"/>
                <w:szCs w:val="24"/>
              </w:rPr>
            </w:pPr>
            <w:r w:rsidRPr="000A56CD">
              <w:rPr>
                <w:rFonts w:cs="Times New Roman"/>
                <w:color w:val="000000"/>
                <w:szCs w:val="24"/>
              </w:rPr>
              <w:t>50.22</w:t>
            </w:r>
          </w:p>
        </w:tc>
        <w:tc>
          <w:tcPr>
            <w:tcW w:w="1136" w:type="dxa"/>
            <w:vAlign w:val="bottom"/>
          </w:tcPr>
          <w:p w14:paraId="1AD7390C" w14:textId="77777777" w:rsidR="00C35DB6" w:rsidRPr="000A56CD" w:rsidRDefault="00C35DB6" w:rsidP="001F4924">
            <w:pPr>
              <w:jc w:val="center"/>
              <w:rPr>
                <w:rFonts w:cs="Times New Roman"/>
                <w:szCs w:val="24"/>
              </w:rPr>
            </w:pPr>
            <w:r w:rsidRPr="000A56CD">
              <w:rPr>
                <w:rFonts w:cs="Times New Roman"/>
                <w:color w:val="000000"/>
                <w:szCs w:val="24"/>
              </w:rPr>
              <w:t>38.57</w:t>
            </w:r>
          </w:p>
        </w:tc>
        <w:tc>
          <w:tcPr>
            <w:tcW w:w="1146" w:type="dxa"/>
            <w:vAlign w:val="bottom"/>
          </w:tcPr>
          <w:p w14:paraId="4DB43489" w14:textId="77777777" w:rsidR="00C35DB6" w:rsidRPr="000A56CD" w:rsidRDefault="00C35DB6" w:rsidP="001F4924">
            <w:pPr>
              <w:jc w:val="center"/>
              <w:rPr>
                <w:rFonts w:cs="Times New Roman"/>
                <w:szCs w:val="24"/>
              </w:rPr>
            </w:pPr>
            <w:r w:rsidRPr="000A56CD">
              <w:rPr>
                <w:rFonts w:cs="Times New Roman"/>
                <w:color w:val="000000"/>
                <w:szCs w:val="24"/>
              </w:rPr>
              <w:t>65.92</w:t>
            </w:r>
          </w:p>
        </w:tc>
        <w:tc>
          <w:tcPr>
            <w:tcW w:w="973" w:type="dxa"/>
            <w:vAlign w:val="bottom"/>
          </w:tcPr>
          <w:p w14:paraId="155047EF" w14:textId="77777777" w:rsidR="00C35DB6" w:rsidRPr="000A56CD" w:rsidRDefault="00C35DB6" w:rsidP="001F4924">
            <w:pPr>
              <w:jc w:val="center"/>
              <w:rPr>
                <w:rFonts w:cs="Times New Roman"/>
                <w:szCs w:val="24"/>
              </w:rPr>
            </w:pPr>
            <w:r w:rsidRPr="000A56CD">
              <w:rPr>
                <w:rFonts w:cs="Times New Roman"/>
                <w:color w:val="000000"/>
                <w:szCs w:val="24"/>
              </w:rPr>
              <w:t>55.24</w:t>
            </w:r>
          </w:p>
        </w:tc>
      </w:tr>
      <w:tr w:rsidR="001F4924" w:rsidRPr="000A56CD" w14:paraId="05F6B497" w14:textId="77777777" w:rsidTr="001F4924">
        <w:trPr>
          <w:trHeight w:val="20"/>
          <w:jc w:val="center"/>
        </w:trPr>
        <w:tc>
          <w:tcPr>
            <w:tcW w:w="802" w:type="dxa"/>
            <w:vAlign w:val="center"/>
          </w:tcPr>
          <w:p w14:paraId="2B2A32F8"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4</w:t>
            </w:r>
          </w:p>
        </w:tc>
        <w:tc>
          <w:tcPr>
            <w:tcW w:w="2936" w:type="dxa"/>
            <w:vAlign w:val="center"/>
          </w:tcPr>
          <w:p w14:paraId="0CF22DF0" w14:textId="77777777" w:rsidR="00C35DB6" w:rsidRPr="000A56CD" w:rsidRDefault="00C35DB6" w:rsidP="001F4924">
            <w:pPr>
              <w:jc w:val="center"/>
              <w:rPr>
                <w:rFonts w:cs="Times New Roman"/>
                <w:szCs w:val="24"/>
              </w:rPr>
            </w:pPr>
            <w:r w:rsidRPr="000A56CD">
              <w:rPr>
                <w:rFonts w:cs="Times New Roman"/>
                <w:szCs w:val="24"/>
              </w:rPr>
              <w:t>Potassium bicarbonate</w:t>
            </w:r>
          </w:p>
        </w:tc>
        <w:tc>
          <w:tcPr>
            <w:tcW w:w="973" w:type="dxa"/>
            <w:vAlign w:val="center"/>
          </w:tcPr>
          <w:p w14:paraId="41D8FB7F" w14:textId="77777777" w:rsidR="00C35DB6" w:rsidRPr="000A56CD" w:rsidRDefault="00C35DB6" w:rsidP="001F4924">
            <w:pPr>
              <w:jc w:val="center"/>
              <w:rPr>
                <w:rFonts w:cs="Times New Roman"/>
                <w:szCs w:val="24"/>
              </w:rPr>
            </w:pPr>
            <w:r w:rsidRPr="000A56CD">
              <w:rPr>
                <w:rFonts w:cs="Times New Roman"/>
                <w:szCs w:val="24"/>
              </w:rPr>
              <w:t>0.1 %</w:t>
            </w:r>
          </w:p>
        </w:tc>
        <w:tc>
          <w:tcPr>
            <w:tcW w:w="973" w:type="dxa"/>
            <w:vAlign w:val="bottom"/>
          </w:tcPr>
          <w:p w14:paraId="3C351087" w14:textId="77777777" w:rsidR="00C35DB6" w:rsidRPr="000A56CD" w:rsidRDefault="00C35DB6" w:rsidP="001F4924">
            <w:pPr>
              <w:jc w:val="center"/>
              <w:rPr>
                <w:rFonts w:cs="Times New Roman"/>
                <w:szCs w:val="24"/>
              </w:rPr>
            </w:pPr>
            <w:r w:rsidRPr="000A56CD">
              <w:rPr>
                <w:rFonts w:cs="Times New Roman"/>
                <w:color w:val="000000"/>
                <w:szCs w:val="24"/>
              </w:rPr>
              <w:t>50.43</w:t>
            </w:r>
          </w:p>
        </w:tc>
        <w:tc>
          <w:tcPr>
            <w:tcW w:w="1136" w:type="dxa"/>
            <w:vAlign w:val="bottom"/>
          </w:tcPr>
          <w:p w14:paraId="5AC7D944" w14:textId="77777777" w:rsidR="00C35DB6" w:rsidRPr="000A56CD" w:rsidRDefault="00C35DB6" w:rsidP="001F4924">
            <w:pPr>
              <w:jc w:val="center"/>
              <w:rPr>
                <w:rFonts w:cs="Times New Roman"/>
                <w:szCs w:val="24"/>
              </w:rPr>
            </w:pPr>
            <w:r w:rsidRPr="000A56CD">
              <w:rPr>
                <w:rFonts w:cs="Times New Roman"/>
                <w:color w:val="000000"/>
                <w:szCs w:val="24"/>
              </w:rPr>
              <w:t>36.29</w:t>
            </w:r>
          </w:p>
        </w:tc>
        <w:tc>
          <w:tcPr>
            <w:tcW w:w="1146" w:type="dxa"/>
            <w:vAlign w:val="bottom"/>
          </w:tcPr>
          <w:p w14:paraId="3FE6F7D2" w14:textId="77777777" w:rsidR="00C35DB6" w:rsidRPr="000A56CD" w:rsidRDefault="00C35DB6" w:rsidP="001F4924">
            <w:pPr>
              <w:jc w:val="center"/>
              <w:rPr>
                <w:rFonts w:cs="Times New Roman"/>
                <w:szCs w:val="24"/>
              </w:rPr>
            </w:pPr>
            <w:r w:rsidRPr="000A56CD">
              <w:rPr>
                <w:rFonts w:cs="Times New Roman"/>
                <w:color w:val="000000"/>
                <w:szCs w:val="24"/>
              </w:rPr>
              <w:t>69.12</w:t>
            </w:r>
          </w:p>
        </w:tc>
        <w:tc>
          <w:tcPr>
            <w:tcW w:w="973" w:type="dxa"/>
            <w:vAlign w:val="bottom"/>
          </w:tcPr>
          <w:p w14:paraId="1ABDFF45" w14:textId="77777777" w:rsidR="00C35DB6" w:rsidRPr="000A56CD" w:rsidRDefault="00C35DB6" w:rsidP="001F4924">
            <w:pPr>
              <w:jc w:val="center"/>
              <w:rPr>
                <w:rFonts w:cs="Times New Roman"/>
                <w:szCs w:val="24"/>
              </w:rPr>
            </w:pPr>
            <w:r w:rsidRPr="000A56CD">
              <w:rPr>
                <w:rFonts w:cs="Times New Roman"/>
                <w:color w:val="000000"/>
                <w:szCs w:val="24"/>
              </w:rPr>
              <w:t>52.23</w:t>
            </w:r>
          </w:p>
        </w:tc>
      </w:tr>
      <w:tr w:rsidR="001F4924" w:rsidRPr="000A56CD" w14:paraId="7056E20A" w14:textId="77777777" w:rsidTr="001F4924">
        <w:trPr>
          <w:trHeight w:val="20"/>
          <w:jc w:val="center"/>
        </w:trPr>
        <w:tc>
          <w:tcPr>
            <w:tcW w:w="802" w:type="dxa"/>
            <w:vAlign w:val="center"/>
          </w:tcPr>
          <w:p w14:paraId="647AB302"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5</w:t>
            </w:r>
          </w:p>
        </w:tc>
        <w:tc>
          <w:tcPr>
            <w:tcW w:w="2936" w:type="dxa"/>
            <w:vAlign w:val="center"/>
          </w:tcPr>
          <w:p w14:paraId="52324FBB" w14:textId="77777777" w:rsidR="00C35DB6" w:rsidRPr="000A56CD" w:rsidRDefault="00C35DB6" w:rsidP="001F4924">
            <w:pPr>
              <w:jc w:val="center"/>
              <w:rPr>
                <w:rFonts w:cs="Times New Roman"/>
                <w:szCs w:val="24"/>
              </w:rPr>
            </w:pPr>
            <w:r w:rsidRPr="000A56CD">
              <w:rPr>
                <w:rFonts w:cs="Times New Roman"/>
                <w:szCs w:val="24"/>
              </w:rPr>
              <w:t>Neem oil</w:t>
            </w:r>
          </w:p>
        </w:tc>
        <w:tc>
          <w:tcPr>
            <w:tcW w:w="973" w:type="dxa"/>
            <w:vAlign w:val="center"/>
          </w:tcPr>
          <w:p w14:paraId="6F29AA5F" w14:textId="77777777" w:rsidR="00C35DB6" w:rsidRPr="000A56CD" w:rsidRDefault="00C35DB6" w:rsidP="001F4924">
            <w:pPr>
              <w:jc w:val="center"/>
              <w:rPr>
                <w:rFonts w:cs="Times New Roman"/>
                <w:szCs w:val="24"/>
              </w:rPr>
            </w:pPr>
            <w:r w:rsidRPr="000A56CD">
              <w:rPr>
                <w:rFonts w:cs="Times New Roman"/>
                <w:szCs w:val="24"/>
              </w:rPr>
              <w:t>4 %</w:t>
            </w:r>
          </w:p>
        </w:tc>
        <w:tc>
          <w:tcPr>
            <w:tcW w:w="973" w:type="dxa"/>
            <w:vAlign w:val="bottom"/>
          </w:tcPr>
          <w:p w14:paraId="2C79FEDE" w14:textId="77777777" w:rsidR="00C35DB6" w:rsidRPr="000A56CD" w:rsidRDefault="00C35DB6" w:rsidP="001F4924">
            <w:pPr>
              <w:jc w:val="center"/>
              <w:rPr>
                <w:rFonts w:cs="Times New Roman"/>
                <w:szCs w:val="24"/>
              </w:rPr>
            </w:pPr>
            <w:r w:rsidRPr="000A56CD">
              <w:rPr>
                <w:rFonts w:cs="Times New Roman"/>
                <w:color w:val="000000"/>
                <w:szCs w:val="24"/>
              </w:rPr>
              <w:t>45.85</w:t>
            </w:r>
          </w:p>
        </w:tc>
        <w:tc>
          <w:tcPr>
            <w:tcW w:w="1136" w:type="dxa"/>
            <w:vAlign w:val="bottom"/>
          </w:tcPr>
          <w:p w14:paraId="5F3343F8" w14:textId="77777777" w:rsidR="00C35DB6" w:rsidRPr="000A56CD" w:rsidRDefault="00C35DB6" w:rsidP="001F4924">
            <w:pPr>
              <w:jc w:val="center"/>
              <w:rPr>
                <w:rFonts w:cs="Times New Roman"/>
                <w:szCs w:val="24"/>
              </w:rPr>
            </w:pPr>
            <w:r w:rsidRPr="000A56CD">
              <w:rPr>
                <w:rFonts w:cs="Times New Roman"/>
                <w:color w:val="000000"/>
                <w:szCs w:val="24"/>
              </w:rPr>
              <w:t>33.49</w:t>
            </w:r>
          </w:p>
        </w:tc>
        <w:tc>
          <w:tcPr>
            <w:tcW w:w="1146" w:type="dxa"/>
            <w:vAlign w:val="bottom"/>
          </w:tcPr>
          <w:p w14:paraId="4CC35935" w14:textId="77777777" w:rsidR="00C35DB6" w:rsidRPr="000A56CD" w:rsidRDefault="00C35DB6" w:rsidP="001F4924">
            <w:pPr>
              <w:jc w:val="center"/>
              <w:rPr>
                <w:rFonts w:cs="Times New Roman"/>
                <w:szCs w:val="24"/>
              </w:rPr>
            </w:pPr>
            <w:r w:rsidRPr="000A56CD">
              <w:rPr>
                <w:rFonts w:cs="Times New Roman"/>
                <w:color w:val="000000"/>
                <w:szCs w:val="24"/>
              </w:rPr>
              <w:t>59.60</w:t>
            </w:r>
          </w:p>
        </w:tc>
        <w:tc>
          <w:tcPr>
            <w:tcW w:w="973" w:type="dxa"/>
            <w:vAlign w:val="bottom"/>
          </w:tcPr>
          <w:p w14:paraId="7D423778" w14:textId="77777777" w:rsidR="00C35DB6" w:rsidRPr="000A56CD" w:rsidRDefault="00C35DB6" w:rsidP="001F4924">
            <w:pPr>
              <w:jc w:val="center"/>
              <w:rPr>
                <w:rFonts w:cs="Times New Roman"/>
                <w:szCs w:val="24"/>
              </w:rPr>
            </w:pPr>
            <w:r w:rsidRPr="000A56CD">
              <w:rPr>
                <w:rFonts w:cs="Times New Roman"/>
                <w:color w:val="000000"/>
                <w:szCs w:val="24"/>
              </w:rPr>
              <w:t>50.97</w:t>
            </w:r>
          </w:p>
        </w:tc>
      </w:tr>
      <w:tr w:rsidR="001F4924" w:rsidRPr="000A56CD" w14:paraId="2A966EAC" w14:textId="77777777" w:rsidTr="001F4924">
        <w:trPr>
          <w:trHeight w:val="20"/>
          <w:jc w:val="center"/>
        </w:trPr>
        <w:tc>
          <w:tcPr>
            <w:tcW w:w="802" w:type="dxa"/>
            <w:vAlign w:val="center"/>
          </w:tcPr>
          <w:p w14:paraId="502A85C1"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6</w:t>
            </w:r>
          </w:p>
        </w:tc>
        <w:tc>
          <w:tcPr>
            <w:tcW w:w="2936" w:type="dxa"/>
            <w:vAlign w:val="center"/>
          </w:tcPr>
          <w:p w14:paraId="0A5A1B27" w14:textId="77777777" w:rsidR="00C35DB6" w:rsidRPr="000A56CD" w:rsidRDefault="00C35DB6" w:rsidP="001F4924">
            <w:pPr>
              <w:jc w:val="center"/>
              <w:rPr>
                <w:rFonts w:cs="Times New Roman"/>
                <w:szCs w:val="24"/>
              </w:rPr>
            </w:pPr>
            <w:r w:rsidRPr="000A56CD">
              <w:rPr>
                <w:rFonts w:cs="Times New Roman"/>
                <w:i/>
                <w:iCs/>
                <w:szCs w:val="24"/>
              </w:rPr>
              <w:t xml:space="preserve">Trichoderma asperellum </w:t>
            </w:r>
          </w:p>
        </w:tc>
        <w:tc>
          <w:tcPr>
            <w:tcW w:w="973" w:type="dxa"/>
            <w:vAlign w:val="center"/>
          </w:tcPr>
          <w:p w14:paraId="3DD05912" w14:textId="77777777" w:rsidR="00C35DB6" w:rsidRPr="000A56CD" w:rsidRDefault="00C35DB6" w:rsidP="001F4924">
            <w:pPr>
              <w:jc w:val="center"/>
              <w:rPr>
                <w:rFonts w:cs="Times New Roman"/>
                <w:szCs w:val="24"/>
              </w:rPr>
            </w:pPr>
            <w:r w:rsidRPr="000A56CD">
              <w:rPr>
                <w:rFonts w:cs="Times New Roman"/>
                <w:szCs w:val="24"/>
              </w:rPr>
              <w:t>3 %</w:t>
            </w:r>
          </w:p>
        </w:tc>
        <w:tc>
          <w:tcPr>
            <w:tcW w:w="973" w:type="dxa"/>
            <w:vAlign w:val="bottom"/>
          </w:tcPr>
          <w:p w14:paraId="7CF5E053" w14:textId="77777777" w:rsidR="00C35DB6" w:rsidRPr="000A56CD" w:rsidRDefault="00C35DB6" w:rsidP="001F4924">
            <w:pPr>
              <w:jc w:val="center"/>
              <w:rPr>
                <w:rFonts w:cs="Times New Roman"/>
                <w:szCs w:val="24"/>
              </w:rPr>
            </w:pPr>
            <w:r w:rsidRPr="000A56CD">
              <w:rPr>
                <w:rFonts w:cs="Times New Roman"/>
                <w:color w:val="000000"/>
                <w:szCs w:val="24"/>
              </w:rPr>
              <w:t>45.30</w:t>
            </w:r>
          </w:p>
        </w:tc>
        <w:tc>
          <w:tcPr>
            <w:tcW w:w="1136" w:type="dxa"/>
            <w:vAlign w:val="bottom"/>
          </w:tcPr>
          <w:p w14:paraId="7FABD9B8" w14:textId="77777777" w:rsidR="00C35DB6" w:rsidRPr="000A56CD" w:rsidRDefault="00C35DB6" w:rsidP="001F4924">
            <w:pPr>
              <w:jc w:val="center"/>
              <w:rPr>
                <w:rFonts w:cs="Times New Roman"/>
                <w:szCs w:val="24"/>
              </w:rPr>
            </w:pPr>
            <w:r w:rsidRPr="000A56CD">
              <w:rPr>
                <w:rFonts w:cs="Times New Roman"/>
                <w:color w:val="000000"/>
                <w:szCs w:val="24"/>
              </w:rPr>
              <w:t>32.16</w:t>
            </w:r>
          </w:p>
        </w:tc>
        <w:tc>
          <w:tcPr>
            <w:tcW w:w="1146" w:type="dxa"/>
            <w:vAlign w:val="bottom"/>
          </w:tcPr>
          <w:p w14:paraId="7ECC5490" w14:textId="77777777" w:rsidR="00C35DB6" w:rsidRPr="000A56CD" w:rsidRDefault="00C35DB6" w:rsidP="001F4924">
            <w:pPr>
              <w:jc w:val="center"/>
              <w:rPr>
                <w:rFonts w:cs="Times New Roman"/>
                <w:szCs w:val="24"/>
              </w:rPr>
            </w:pPr>
            <w:r w:rsidRPr="000A56CD">
              <w:rPr>
                <w:rFonts w:cs="Times New Roman"/>
                <w:color w:val="000000"/>
                <w:szCs w:val="24"/>
              </w:rPr>
              <w:t>61.57</w:t>
            </w:r>
          </w:p>
        </w:tc>
        <w:tc>
          <w:tcPr>
            <w:tcW w:w="973" w:type="dxa"/>
            <w:vAlign w:val="bottom"/>
          </w:tcPr>
          <w:p w14:paraId="7FD507BA" w14:textId="77777777" w:rsidR="00C35DB6" w:rsidRPr="000A56CD" w:rsidRDefault="00C35DB6" w:rsidP="001F4924">
            <w:pPr>
              <w:jc w:val="center"/>
              <w:rPr>
                <w:rFonts w:cs="Times New Roman"/>
                <w:szCs w:val="24"/>
              </w:rPr>
            </w:pPr>
            <w:r w:rsidRPr="000A56CD">
              <w:rPr>
                <w:rFonts w:cs="Times New Roman"/>
                <w:color w:val="000000"/>
                <w:szCs w:val="24"/>
              </w:rPr>
              <w:t>49.26</w:t>
            </w:r>
          </w:p>
        </w:tc>
      </w:tr>
      <w:tr w:rsidR="001F4924" w:rsidRPr="000A56CD" w14:paraId="777F555B" w14:textId="77777777" w:rsidTr="001F4924">
        <w:trPr>
          <w:trHeight w:val="20"/>
          <w:jc w:val="center"/>
        </w:trPr>
        <w:tc>
          <w:tcPr>
            <w:tcW w:w="802" w:type="dxa"/>
            <w:vAlign w:val="center"/>
          </w:tcPr>
          <w:p w14:paraId="682078F3"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7</w:t>
            </w:r>
          </w:p>
        </w:tc>
        <w:tc>
          <w:tcPr>
            <w:tcW w:w="2936" w:type="dxa"/>
            <w:vAlign w:val="center"/>
          </w:tcPr>
          <w:p w14:paraId="40CCF285" w14:textId="77777777" w:rsidR="00C35DB6" w:rsidRPr="000A56CD" w:rsidRDefault="00C35DB6" w:rsidP="001F4924">
            <w:pPr>
              <w:jc w:val="center"/>
              <w:rPr>
                <w:rFonts w:cs="Times New Roman"/>
                <w:szCs w:val="24"/>
              </w:rPr>
            </w:pPr>
            <w:r w:rsidRPr="000A56CD">
              <w:rPr>
                <w:rFonts w:cs="Times New Roman"/>
                <w:i/>
                <w:iCs/>
                <w:szCs w:val="24"/>
              </w:rPr>
              <w:t>Trichoderma harzianum</w:t>
            </w:r>
          </w:p>
        </w:tc>
        <w:tc>
          <w:tcPr>
            <w:tcW w:w="973" w:type="dxa"/>
            <w:vAlign w:val="center"/>
          </w:tcPr>
          <w:p w14:paraId="1180B5E8" w14:textId="77777777" w:rsidR="00C35DB6" w:rsidRPr="000A56CD" w:rsidRDefault="00C35DB6" w:rsidP="001F4924">
            <w:pPr>
              <w:jc w:val="center"/>
              <w:rPr>
                <w:rFonts w:cs="Times New Roman"/>
                <w:szCs w:val="24"/>
              </w:rPr>
            </w:pPr>
            <w:r w:rsidRPr="000A56CD">
              <w:rPr>
                <w:rFonts w:cs="Times New Roman"/>
                <w:szCs w:val="24"/>
              </w:rPr>
              <w:t>4 %</w:t>
            </w:r>
          </w:p>
        </w:tc>
        <w:tc>
          <w:tcPr>
            <w:tcW w:w="973" w:type="dxa"/>
            <w:vAlign w:val="bottom"/>
          </w:tcPr>
          <w:p w14:paraId="11CF33BD" w14:textId="77777777" w:rsidR="00C35DB6" w:rsidRPr="000A56CD" w:rsidRDefault="00C35DB6" w:rsidP="001F4924">
            <w:pPr>
              <w:jc w:val="center"/>
              <w:rPr>
                <w:rFonts w:cs="Times New Roman"/>
                <w:szCs w:val="24"/>
              </w:rPr>
            </w:pPr>
            <w:r w:rsidRPr="000A56CD">
              <w:rPr>
                <w:rFonts w:cs="Times New Roman"/>
                <w:color w:val="000000"/>
                <w:szCs w:val="24"/>
              </w:rPr>
              <w:t>44.93</w:t>
            </w:r>
          </w:p>
        </w:tc>
        <w:tc>
          <w:tcPr>
            <w:tcW w:w="1136" w:type="dxa"/>
            <w:vAlign w:val="bottom"/>
          </w:tcPr>
          <w:p w14:paraId="5500A4D0" w14:textId="77777777" w:rsidR="00C35DB6" w:rsidRPr="000A56CD" w:rsidRDefault="00C35DB6" w:rsidP="001F4924">
            <w:pPr>
              <w:jc w:val="center"/>
              <w:rPr>
                <w:rFonts w:cs="Times New Roman"/>
                <w:szCs w:val="24"/>
              </w:rPr>
            </w:pPr>
            <w:r w:rsidRPr="000A56CD">
              <w:rPr>
                <w:rFonts w:cs="Times New Roman"/>
                <w:color w:val="000000"/>
                <w:szCs w:val="24"/>
              </w:rPr>
              <w:t>27.52</w:t>
            </w:r>
          </w:p>
        </w:tc>
        <w:tc>
          <w:tcPr>
            <w:tcW w:w="1146" w:type="dxa"/>
            <w:vAlign w:val="bottom"/>
          </w:tcPr>
          <w:p w14:paraId="14BFA086" w14:textId="77777777" w:rsidR="00C35DB6" w:rsidRPr="000A56CD" w:rsidRDefault="00C35DB6" w:rsidP="001F4924">
            <w:pPr>
              <w:jc w:val="center"/>
              <w:rPr>
                <w:rFonts w:cs="Times New Roman"/>
                <w:szCs w:val="24"/>
              </w:rPr>
            </w:pPr>
            <w:r w:rsidRPr="000A56CD">
              <w:rPr>
                <w:rFonts w:cs="Times New Roman"/>
                <w:color w:val="000000"/>
                <w:szCs w:val="24"/>
              </w:rPr>
              <w:t>60.33</w:t>
            </w:r>
          </w:p>
        </w:tc>
        <w:tc>
          <w:tcPr>
            <w:tcW w:w="973" w:type="dxa"/>
            <w:vAlign w:val="bottom"/>
          </w:tcPr>
          <w:p w14:paraId="167DE9CF" w14:textId="77777777" w:rsidR="00C35DB6" w:rsidRPr="000A56CD" w:rsidRDefault="00C35DB6" w:rsidP="001F4924">
            <w:pPr>
              <w:jc w:val="center"/>
              <w:rPr>
                <w:rFonts w:cs="Times New Roman"/>
                <w:szCs w:val="24"/>
              </w:rPr>
            </w:pPr>
            <w:r w:rsidRPr="000A56CD">
              <w:rPr>
                <w:rFonts w:cs="Times New Roman"/>
                <w:color w:val="000000"/>
                <w:szCs w:val="24"/>
              </w:rPr>
              <w:t>45.59</w:t>
            </w:r>
          </w:p>
        </w:tc>
      </w:tr>
      <w:tr w:rsidR="001F4924" w:rsidRPr="000A56CD" w14:paraId="438705BA" w14:textId="77777777" w:rsidTr="001F4924">
        <w:trPr>
          <w:trHeight w:val="20"/>
          <w:jc w:val="center"/>
        </w:trPr>
        <w:tc>
          <w:tcPr>
            <w:tcW w:w="802" w:type="dxa"/>
            <w:vAlign w:val="center"/>
          </w:tcPr>
          <w:p w14:paraId="6AFA75DF"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8</w:t>
            </w:r>
          </w:p>
        </w:tc>
        <w:tc>
          <w:tcPr>
            <w:tcW w:w="2936" w:type="dxa"/>
            <w:vAlign w:val="center"/>
          </w:tcPr>
          <w:p w14:paraId="2588E8EB" w14:textId="77777777" w:rsidR="00C35DB6" w:rsidRPr="000A56CD" w:rsidRDefault="00C35DB6" w:rsidP="001F4924">
            <w:pPr>
              <w:jc w:val="center"/>
              <w:rPr>
                <w:rFonts w:cs="Times New Roman"/>
                <w:szCs w:val="24"/>
              </w:rPr>
            </w:pPr>
            <w:r w:rsidRPr="000A56CD">
              <w:rPr>
                <w:rFonts w:cs="Times New Roman"/>
                <w:szCs w:val="24"/>
              </w:rPr>
              <w:t>Dinocap</w:t>
            </w:r>
          </w:p>
        </w:tc>
        <w:tc>
          <w:tcPr>
            <w:tcW w:w="973" w:type="dxa"/>
            <w:vAlign w:val="center"/>
          </w:tcPr>
          <w:p w14:paraId="105C516C" w14:textId="77777777" w:rsidR="00C35DB6" w:rsidRPr="000A56CD" w:rsidRDefault="00C35DB6" w:rsidP="001F4924">
            <w:pPr>
              <w:jc w:val="center"/>
              <w:rPr>
                <w:rFonts w:cs="Times New Roman"/>
                <w:szCs w:val="24"/>
              </w:rPr>
            </w:pPr>
            <w:r w:rsidRPr="000A56CD">
              <w:rPr>
                <w:rFonts w:cs="Times New Roman"/>
                <w:szCs w:val="24"/>
              </w:rPr>
              <w:t>4 %</w:t>
            </w:r>
          </w:p>
        </w:tc>
        <w:tc>
          <w:tcPr>
            <w:tcW w:w="973" w:type="dxa"/>
            <w:vAlign w:val="bottom"/>
          </w:tcPr>
          <w:p w14:paraId="40AC4BBD" w14:textId="77777777" w:rsidR="00C35DB6" w:rsidRPr="000A56CD" w:rsidRDefault="00C35DB6" w:rsidP="001F4924">
            <w:pPr>
              <w:jc w:val="center"/>
              <w:rPr>
                <w:rFonts w:cs="Times New Roman"/>
                <w:szCs w:val="24"/>
              </w:rPr>
            </w:pPr>
            <w:r w:rsidRPr="000A56CD">
              <w:rPr>
                <w:rFonts w:cs="Times New Roman"/>
                <w:color w:val="000000"/>
                <w:szCs w:val="24"/>
              </w:rPr>
              <w:t>24.39</w:t>
            </w:r>
          </w:p>
        </w:tc>
        <w:tc>
          <w:tcPr>
            <w:tcW w:w="1136" w:type="dxa"/>
            <w:vAlign w:val="bottom"/>
          </w:tcPr>
          <w:p w14:paraId="2CE271A5" w14:textId="77777777" w:rsidR="00C35DB6" w:rsidRPr="000A56CD" w:rsidRDefault="00C35DB6" w:rsidP="001F4924">
            <w:pPr>
              <w:jc w:val="center"/>
              <w:rPr>
                <w:rFonts w:cs="Times New Roman"/>
                <w:szCs w:val="24"/>
              </w:rPr>
            </w:pPr>
            <w:r w:rsidRPr="000A56CD">
              <w:rPr>
                <w:rFonts w:cs="Times New Roman"/>
                <w:color w:val="000000"/>
                <w:szCs w:val="24"/>
              </w:rPr>
              <w:t>9.83</w:t>
            </w:r>
          </w:p>
        </w:tc>
        <w:tc>
          <w:tcPr>
            <w:tcW w:w="1146" w:type="dxa"/>
            <w:vAlign w:val="bottom"/>
          </w:tcPr>
          <w:p w14:paraId="062E9492" w14:textId="77777777" w:rsidR="00C35DB6" w:rsidRPr="000A56CD" w:rsidRDefault="00C35DB6" w:rsidP="001F4924">
            <w:pPr>
              <w:jc w:val="center"/>
              <w:rPr>
                <w:rFonts w:cs="Times New Roman"/>
                <w:szCs w:val="24"/>
              </w:rPr>
            </w:pPr>
            <w:r w:rsidRPr="000A56CD">
              <w:rPr>
                <w:rFonts w:cs="Times New Roman"/>
                <w:color w:val="000000"/>
                <w:szCs w:val="24"/>
              </w:rPr>
              <w:t>55.52</w:t>
            </w:r>
          </w:p>
        </w:tc>
        <w:tc>
          <w:tcPr>
            <w:tcW w:w="973" w:type="dxa"/>
            <w:vAlign w:val="bottom"/>
          </w:tcPr>
          <w:p w14:paraId="44065F69" w14:textId="77777777" w:rsidR="00C35DB6" w:rsidRPr="000A56CD" w:rsidRDefault="00C35DB6" w:rsidP="001F4924">
            <w:pPr>
              <w:jc w:val="center"/>
              <w:rPr>
                <w:rFonts w:cs="Times New Roman"/>
                <w:szCs w:val="24"/>
              </w:rPr>
            </w:pPr>
            <w:r w:rsidRPr="000A56CD">
              <w:rPr>
                <w:rFonts w:cs="Times New Roman"/>
                <w:color w:val="000000"/>
                <w:szCs w:val="24"/>
              </w:rPr>
              <w:t>37.55</w:t>
            </w:r>
          </w:p>
        </w:tc>
      </w:tr>
      <w:tr w:rsidR="001F4924" w:rsidRPr="000A56CD" w14:paraId="2810403D" w14:textId="77777777" w:rsidTr="001F4924">
        <w:trPr>
          <w:trHeight w:val="20"/>
          <w:jc w:val="center"/>
        </w:trPr>
        <w:tc>
          <w:tcPr>
            <w:tcW w:w="802" w:type="dxa"/>
            <w:vAlign w:val="center"/>
          </w:tcPr>
          <w:p w14:paraId="2DF38E75" w14:textId="77777777" w:rsidR="00C35DB6" w:rsidRPr="000A56CD" w:rsidRDefault="00C35DB6" w:rsidP="001F4924">
            <w:pPr>
              <w:jc w:val="center"/>
              <w:rPr>
                <w:rFonts w:cs="Times New Roman"/>
                <w:szCs w:val="24"/>
              </w:rPr>
            </w:pPr>
            <w:r w:rsidRPr="000A56CD">
              <w:rPr>
                <w:rFonts w:cs="Times New Roman"/>
                <w:szCs w:val="24"/>
              </w:rPr>
              <w:t>T</w:t>
            </w:r>
            <w:r w:rsidRPr="000A56CD">
              <w:rPr>
                <w:rFonts w:cs="Times New Roman"/>
                <w:szCs w:val="24"/>
                <w:vertAlign w:val="subscript"/>
              </w:rPr>
              <w:t>9</w:t>
            </w:r>
          </w:p>
        </w:tc>
        <w:tc>
          <w:tcPr>
            <w:tcW w:w="2936" w:type="dxa"/>
            <w:vAlign w:val="center"/>
          </w:tcPr>
          <w:p w14:paraId="73ACE8D4" w14:textId="77777777" w:rsidR="00C35DB6" w:rsidRPr="000A56CD" w:rsidRDefault="00C35DB6" w:rsidP="001F4924">
            <w:pPr>
              <w:jc w:val="center"/>
              <w:rPr>
                <w:rFonts w:cs="Times New Roman"/>
                <w:szCs w:val="24"/>
              </w:rPr>
            </w:pPr>
            <w:r w:rsidRPr="000A56CD">
              <w:rPr>
                <w:rFonts w:cs="Times New Roman"/>
                <w:szCs w:val="24"/>
              </w:rPr>
              <w:t>Control (Water spray)</w:t>
            </w:r>
          </w:p>
        </w:tc>
        <w:tc>
          <w:tcPr>
            <w:tcW w:w="973" w:type="dxa"/>
            <w:vAlign w:val="center"/>
          </w:tcPr>
          <w:p w14:paraId="4B6D1469" w14:textId="77777777" w:rsidR="00C35DB6" w:rsidRPr="000A56CD" w:rsidRDefault="00C35DB6" w:rsidP="001F4924">
            <w:pPr>
              <w:jc w:val="center"/>
              <w:rPr>
                <w:rFonts w:cs="Times New Roman"/>
                <w:szCs w:val="24"/>
              </w:rPr>
            </w:pPr>
            <w:r w:rsidRPr="000A56CD">
              <w:rPr>
                <w:rFonts w:cs="Times New Roman"/>
                <w:szCs w:val="24"/>
              </w:rPr>
              <w:t>-</w:t>
            </w:r>
          </w:p>
        </w:tc>
        <w:tc>
          <w:tcPr>
            <w:tcW w:w="973" w:type="dxa"/>
            <w:vAlign w:val="center"/>
          </w:tcPr>
          <w:p w14:paraId="32B4E2AD" w14:textId="77777777" w:rsidR="00C35DB6" w:rsidRPr="000A56CD" w:rsidRDefault="00C35DB6" w:rsidP="001F4924">
            <w:pPr>
              <w:jc w:val="center"/>
              <w:rPr>
                <w:rFonts w:cs="Times New Roman"/>
                <w:szCs w:val="24"/>
              </w:rPr>
            </w:pPr>
            <w:r w:rsidRPr="000A56CD">
              <w:rPr>
                <w:rFonts w:cs="Times New Roman"/>
                <w:color w:val="000000"/>
                <w:szCs w:val="24"/>
              </w:rPr>
              <w:t>29.07</w:t>
            </w:r>
          </w:p>
        </w:tc>
        <w:tc>
          <w:tcPr>
            <w:tcW w:w="1136" w:type="dxa"/>
            <w:vAlign w:val="center"/>
          </w:tcPr>
          <w:p w14:paraId="6068DB37" w14:textId="77777777" w:rsidR="00C35DB6" w:rsidRPr="000A56CD" w:rsidRDefault="00C35DB6" w:rsidP="001F4924">
            <w:pPr>
              <w:jc w:val="center"/>
              <w:rPr>
                <w:rFonts w:cs="Times New Roman"/>
                <w:szCs w:val="24"/>
              </w:rPr>
            </w:pPr>
            <w:r w:rsidRPr="000A56CD">
              <w:rPr>
                <w:rFonts w:cs="Times New Roman"/>
                <w:color w:val="000000"/>
                <w:szCs w:val="24"/>
              </w:rPr>
              <w:t>40.7</w:t>
            </w:r>
          </w:p>
        </w:tc>
        <w:tc>
          <w:tcPr>
            <w:tcW w:w="1146" w:type="dxa"/>
            <w:vAlign w:val="center"/>
          </w:tcPr>
          <w:p w14:paraId="31AEBB0D" w14:textId="77777777" w:rsidR="00C35DB6" w:rsidRPr="000A56CD" w:rsidRDefault="00C35DB6" w:rsidP="001F4924">
            <w:pPr>
              <w:jc w:val="center"/>
              <w:rPr>
                <w:rFonts w:cs="Times New Roman"/>
                <w:szCs w:val="24"/>
              </w:rPr>
            </w:pPr>
            <w:r w:rsidRPr="000A56CD">
              <w:rPr>
                <w:rFonts w:cs="Times New Roman"/>
                <w:color w:val="000000"/>
                <w:szCs w:val="24"/>
              </w:rPr>
              <w:t>66.7</w:t>
            </w:r>
          </w:p>
        </w:tc>
        <w:tc>
          <w:tcPr>
            <w:tcW w:w="973" w:type="dxa"/>
            <w:vAlign w:val="center"/>
          </w:tcPr>
          <w:p w14:paraId="174AB50C" w14:textId="77777777" w:rsidR="00C35DB6" w:rsidRPr="000A56CD" w:rsidRDefault="00C35DB6" w:rsidP="001F4924">
            <w:pPr>
              <w:jc w:val="center"/>
              <w:rPr>
                <w:rFonts w:cs="Times New Roman"/>
                <w:szCs w:val="24"/>
              </w:rPr>
            </w:pPr>
            <w:r w:rsidRPr="000A56CD">
              <w:rPr>
                <w:rFonts w:cs="Times New Roman"/>
                <w:color w:val="000000"/>
                <w:szCs w:val="24"/>
              </w:rPr>
              <w:t>51.83</w:t>
            </w:r>
          </w:p>
        </w:tc>
      </w:tr>
    </w:tbl>
    <w:p w14:paraId="08470BE0" w14:textId="48EFF03B" w:rsidR="00C35DB6" w:rsidRPr="000A56CD" w:rsidRDefault="00C35DB6" w:rsidP="001F4924">
      <w:pPr>
        <w:autoSpaceDE w:val="0"/>
        <w:autoSpaceDN w:val="0"/>
        <w:adjustRightInd w:val="0"/>
        <w:spacing w:after="0" w:line="360" w:lineRule="auto"/>
        <w:jc w:val="both"/>
        <w:rPr>
          <w:rFonts w:ascii="Times New Roman" w:hAnsi="Times New Roman" w:cs="Times New Roman"/>
          <w:kern w:val="0"/>
          <w:szCs w:val="24"/>
        </w:rPr>
      </w:pPr>
      <w:r w:rsidRPr="000A56CD">
        <w:rPr>
          <w:rFonts w:ascii="Times New Roman" w:hAnsi="Times New Roman" w:cs="Times New Roman"/>
          <w:kern w:val="0"/>
          <w:szCs w:val="24"/>
        </w:rPr>
        <w:t xml:space="preserve">          *PDC- Per cent disease control.</w:t>
      </w:r>
    </w:p>
    <w:p w14:paraId="289F3BE9" w14:textId="77777777" w:rsidR="00C35DB6" w:rsidRPr="000A56CD" w:rsidRDefault="00C35DB6" w:rsidP="00C35DB6">
      <w:pPr>
        <w:autoSpaceDE w:val="0"/>
        <w:autoSpaceDN w:val="0"/>
        <w:adjustRightInd w:val="0"/>
        <w:spacing w:after="0" w:line="360" w:lineRule="auto"/>
        <w:jc w:val="both"/>
        <w:rPr>
          <w:rFonts w:ascii="Times New Roman" w:hAnsi="Times New Roman" w:cs="Times New Roman"/>
          <w:kern w:val="0"/>
          <w:szCs w:val="24"/>
        </w:rPr>
      </w:pPr>
    </w:p>
    <w:p w14:paraId="7FCA2192" w14:textId="77777777" w:rsidR="00C35DB6" w:rsidRPr="000A56CD" w:rsidRDefault="00C35DB6" w:rsidP="00C35DB6">
      <w:pPr>
        <w:autoSpaceDE w:val="0"/>
        <w:autoSpaceDN w:val="0"/>
        <w:adjustRightInd w:val="0"/>
        <w:spacing w:after="0" w:line="360" w:lineRule="auto"/>
        <w:jc w:val="center"/>
        <w:rPr>
          <w:rFonts w:ascii="Times New Roman" w:hAnsi="Times New Roman" w:cs="Times New Roman"/>
          <w:b/>
          <w:bCs/>
          <w:kern w:val="0"/>
          <w:szCs w:val="24"/>
        </w:rPr>
      </w:pPr>
      <w:r w:rsidRPr="000A56CD">
        <w:rPr>
          <w:rFonts w:ascii="Times New Roman" w:hAnsi="Times New Roman" w:cs="Times New Roman"/>
          <w:noProof/>
        </w:rPr>
        <w:drawing>
          <wp:inline distT="0" distB="0" distL="0" distR="0" wp14:anchorId="78511C6E" wp14:editId="656872E8">
            <wp:extent cx="5775960" cy="2034540"/>
            <wp:effectExtent l="0" t="0" r="15240" b="3810"/>
            <wp:docPr id="811029729" name="Chart 1">
              <a:extLst xmlns:a="http://schemas.openxmlformats.org/drawingml/2006/main">
                <a:ext uri="{FF2B5EF4-FFF2-40B4-BE49-F238E27FC236}">
                  <a16:creationId xmlns:a16="http://schemas.microsoft.com/office/drawing/2014/main" id="{AC202126-4A57-F071-159F-0F85DF7009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76ECA2" w14:textId="1003CCE8" w:rsidR="00C35DB6" w:rsidRPr="000A56CD" w:rsidRDefault="00C35DB6" w:rsidP="00C35DB6">
      <w:pPr>
        <w:autoSpaceDE w:val="0"/>
        <w:autoSpaceDN w:val="0"/>
        <w:adjustRightInd w:val="0"/>
        <w:spacing w:after="0" w:line="360" w:lineRule="auto"/>
        <w:jc w:val="center"/>
        <w:rPr>
          <w:rFonts w:ascii="Times New Roman" w:hAnsi="Times New Roman" w:cs="Times New Roman"/>
          <w:b/>
          <w:bCs/>
          <w:kern w:val="0"/>
          <w:szCs w:val="24"/>
        </w:rPr>
      </w:pPr>
      <w:r w:rsidRPr="000A56CD">
        <w:rPr>
          <w:rFonts w:ascii="Times New Roman" w:hAnsi="Times New Roman" w:cs="Times New Roman"/>
          <w:b/>
          <w:bCs/>
          <w:kern w:val="0"/>
          <w:szCs w:val="24"/>
        </w:rPr>
        <w:t>Fig</w:t>
      </w:r>
      <w:r w:rsidR="00851E92">
        <w:rPr>
          <w:rFonts w:ascii="Times New Roman" w:hAnsi="Times New Roman" w:cs="Times New Roman"/>
          <w:b/>
          <w:bCs/>
          <w:kern w:val="0"/>
          <w:szCs w:val="24"/>
        </w:rPr>
        <w:t>.</w:t>
      </w:r>
      <w:r w:rsidR="00F53BC9">
        <w:rPr>
          <w:rFonts w:ascii="Times New Roman" w:hAnsi="Times New Roman" w:cs="Times New Roman"/>
          <w:b/>
          <w:bCs/>
          <w:kern w:val="0"/>
          <w:szCs w:val="24"/>
        </w:rPr>
        <w:t xml:space="preserve"> </w:t>
      </w:r>
      <w:r w:rsidRPr="000A56CD">
        <w:rPr>
          <w:rFonts w:ascii="Times New Roman" w:hAnsi="Times New Roman" w:cs="Times New Roman"/>
          <w:b/>
          <w:bCs/>
          <w:kern w:val="0"/>
          <w:szCs w:val="24"/>
        </w:rPr>
        <w:t xml:space="preserve">2 Effect on </w:t>
      </w:r>
      <w:r w:rsidR="00AA297E">
        <w:rPr>
          <w:rFonts w:ascii="Times New Roman" w:hAnsi="Times New Roman" w:cs="Times New Roman"/>
          <w:b/>
          <w:bCs/>
          <w:kern w:val="0"/>
          <w:szCs w:val="24"/>
        </w:rPr>
        <w:t xml:space="preserve">the </w:t>
      </w:r>
      <w:r w:rsidRPr="000A56CD">
        <w:rPr>
          <w:rFonts w:ascii="Times New Roman" w:hAnsi="Times New Roman" w:cs="Times New Roman"/>
          <w:b/>
          <w:bCs/>
          <w:kern w:val="0"/>
          <w:szCs w:val="24"/>
        </w:rPr>
        <w:t>reduction of powdery mildew severity of okra.</w:t>
      </w:r>
    </w:p>
    <w:p w14:paraId="13569B83" w14:textId="77777777" w:rsidR="00C35DB6" w:rsidRPr="000A56CD" w:rsidRDefault="00C35DB6" w:rsidP="00D208A1">
      <w:pPr>
        <w:autoSpaceDE w:val="0"/>
        <w:autoSpaceDN w:val="0"/>
        <w:adjustRightInd w:val="0"/>
        <w:spacing w:after="0" w:line="240" w:lineRule="auto"/>
        <w:jc w:val="both"/>
        <w:rPr>
          <w:rFonts w:ascii="Times New Roman" w:hAnsi="Times New Roman" w:cs="Times New Roman"/>
          <w:b/>
          <w:bCs/>
          <w:kern w:val="0"/>
          <w:szCs w:val="24"/>
        </w:rPr>
      </w:pPr>
      <w:r w:rsidRPr="000A56CD">
        <w:rPr>
          <w:rFonts w:ascii="Times New Roman" w:hAnsi="Times New Roman" w:cs="Times New Roman"/>
          <w:b/>
          <w:bCs/>
          <w:kern w:val="0"/>
          <w:szCs w:val="24"/>
        </w:rPr>
        <w:t>DISCUSSION</w:t>
      </w:r>
    </w:p>
    <w:p w14:paraId="1D903AA8" w14:textId="4544E4FF" w:rsidR="000252EF" w:rsidRPr="000252EF" w:rsidRDefault="000F2DB8" w:rsidP="000252EF">
      <w:pPr>
        <w:pStyle w:val="NormalWeb"/>
        <w:jc w:val="both"/>
      </w:pPr>
      <w:r>
        <w:t xml:space="preserve">The results of this study highlight the significant role of fungicidal treatments in managing powdery mildew disease in okra. The efficacy of sulphur (T1) was found to be the highest across all observations, reaffirming its long-established role as an effective contact fungicide against powdery mildew (McGrath, 2001; Agrios, 2005). Its mode of action involves the disruption of fungal respiration and interference with cell wall integrity, which inhibits fungal </w:t>
      </w:r>
      <w:commentRangeStart w:id="2"/>
      <w:r>
        <w:t>colonisation</w:t>
      </w:r>
      <w:commentRangeEnd w:id="2"/>
      <w:r w:rsidR="00DD78C4">
        <w:rPr>
          <w:rStyle w:val="CommentReference"/>
          <w:sz w:val="24"/>
          <w:szCs w:val="24"/>
        </w:rPr>
        <w:commentReference w:id="2"/>
      </w:r>
      <w:r>
        <w:t xml:space="preserve"> on the leaf surface. Moreover, sulphur is considered a low-cost, broad-spectrum fungicide, and its residual toxicity is minimal when used properly, making it a sustainable choice for smallholder farmers (McGrath &amp; Thomas, 2012). Hexaconazole and propiconazole, both systemic triazole fungicides, also provided substantial control of the disease. Their mode of action involves inhibition of the C14-demethylase enzyme (CYP51) in fungal sterol biosynthesis, which leads to impaired ergosterol production and disruption of fungal cell membrane integrity (Brent &amp; Hollomon, 2007; Lucas et al., 2015).</w:t>
      </w:r>
      <w:r w:rsidR="000252EF">
        <w:t xml:space="preserve"> </w:t>
      </w:r>
      <w:r w:rsidR="000252EF" w:rsidRPr="000252EF">
        <w:t xml:space="preserve">Systemic movement within plant tissues allows for extended protection and curative action, which likely contributed to their consistent efficacy throughout the </w:t>
      </w:r>
      <w:r w:rsidR="000252EF" w:rsidRPr="000252EF">
        <w:lastRenderedPageBreak/>
        <w:t>spraying schedule. These findings are in agreement with earlier studies, which reported significant suppression of powdery mildew in cucurbitaceous crops following application of triazole fungicides such as hexaconazole and propiconazole under field conditions (McGrath, 2001; Brent &amp; Hollomon, 2007).</w:t>
      </w:r>
    </w:p>
    <w:p w14:paraId="2F4338DC" w14:textId="40F8E565" w:rsidR="000252EF" w:rsidRDefault="000252EF" w:rsidP="000252EF">
      <w:pPr>
        <w:pStyle w:val="NormalWeb"/>
        <w:jc w:val="both"/>
      </w:pPr>
      <w:r w:rsidRPr="000252EF">
        <w:t>The use of neem oil (T5) demonstrated promising initial results, suggesting its potential as a preventive agent. Neem-based products contain azadirachtin and other limonoids, which are known to possess antifungal, antifeedant, and insect-repellent properties (Isman, 2006). However,</w:t>
      </w:r>
      <w:r>
        <w:t xml:space="preserve"> its curative and residual effects were inferior compared to synthetic fungicides, which is consistent with previous reports indicating limited persistence and variable efficacy of botanical formulations under field conditions (Copping &amp; Duke, 2007). Biological control agents such as </w:t>
      </w:r>
      <w:r>
        <w:rPr>
          <w:rStyle w:val="Emphasis"/>
          <w:rFonts w:eastAsiaTheme="majorEastAsia"/>
        </w:rPr>
        <w:t>Trichoderma asperellum</w:t>
      </w:r>
      <w:r>
        <w:t xml:space="preserve"> (T6) and </w:t>
      </w:r>
      <w:r>
        <w:rPr>
          <w:rStyle w:val="Emphasis"/>
          <w:rFonts w:eastAsiaTheme="majorEastAsia"/>
        </w:rPr>
        <w:t>Trichoderma harzianum</w:t>
      </w:r>
      <w:r>
        <w:t xml:space="preserve"> (T7) showed relatively higher disease incidences, indicating slower action. </w:t>
      </w:r>
      <w:r>
        <w:rPr>
          <w:rStyle w:val="Emphasis"/>
          <w:rFonts w:eastAsiaTheme="majorEastAsia"/>
        </w:rPr>
        <w:t>Trichoderma</w:t>
      </w:r>
      <w:r>
        <w:t xml:space="preserve"> spp. are known to suppress plant pathogens through mechanisms including competition, mycoparasitism, production of antifungal metabolites, and induction of systemic resistance in host plants (Harman et al., 2004). However, their performance is often influenced by environmental factors, inoculum density, and crop growth stage. The relatively high percent disease index (PDI) recorded in these treatments suggests that under high disease pressure or insufficient rhizosphere or phyllosphere </w:t>
      </w:r>
      <w:commentRangeStart w:id="3"/>
      <w:r>
        <w:t>colonisation</w:t>
      </w:r>
      <w:commentRangeEnd w:id="3"/>
      <w:r w:rsidR="00DD78C4">
        <w:rPr>
          <w:rStyle w:val="CommentReference"/>
          <w:sz w:val="24"/>
          <w:szCs w:val="24"/>
        </w:rPr>
        <w:commentReference w:id="3"/>
      </w:r>
      <w:r>
        <w:t>, their impact may remain limited. Nevertheless, their environmental safety, residue-free nature, and compatibility with organic farming systems continue to be their major advantages.</w:t>
      </w:r>
    </w:p>
    <w:p w14:paraId="3ECE05AB" w14:textId="3EB496DD" w:rsidR="000252EF" w:rsidRDefault="000252EF" w:rsidP="000252EF">
      <w:pPr>
        <w:pStyle w:val="NormalWeb"/>
        <w:jc w:val="both"/>
      </w:pPr>
      <w:r>
        <w:t xml:space="preserve">The performance of potassium bicarbonate (T4) was moderate in the present study. This compound acts by disrupting fungal hyphal cell structure and altering surface pH, thereby inhibiting conidial germination and mycelial growth (Palmer et al., 1997). Its efficacy observed in this trial suggests potential for its inclusion in integrated disease management (IDM) strategies, particularly in combination with other fungicides or biocontrol agents. Interestingly, dinocap (T8), a chemical fungicide commonly recommended for powdery mildew management, exhibited a comparatively higher mean PDI (32.37%). This reduced efficacy may be attributed to factors such as development of pathogen tolerance, variation in environmental suitability, or reduced residual activity. Similar variability in dinocap performance across crops and climatic conditions has been documented in earlier studies (McGrath &amp; Thomas, 2012). The untreated control (T9) provided a clear contrast, with disease progression reaching 66.70% by the third observation and a mean PDI of 51.83%. This highlights the destructive potential of powdery mildew under favourable conditions in the absence of any disease management intervention and underscores the importance of timely fungicide application. Overall, the findings of the present investigation are consistent with previous studies </w:t>
      </w:r>
      <w:commentRangeStart w:id="4"/>
      <w:r>
        <w:t>emphasising</w:t>
      </w:r>
      <w:commentRangeEnd w:id="4"/>
      <w:r w:rsidR="00DD78C4">
        <w:rPr>
          <w:rStyle w:val="CommentReference"/>
          <w:sz w:val="24"/>
          <w:szCs w:val="24"/>
        </w:rPr>
        <w:commentReference w:id="4"/>
      </w:r>
      <w:r>
        <w:t xml:space="preserve"> the effectiveness of integrated fungicide-based approaches in managing foliar fungal diseases in vegetable crops (Agrios, 2005; Lucas et al., 2015). The superior performance of sulphur and triazole fungicides over botanical and biological treatments suggests that although biopesticides have an important role in sustainable agriculture, chemical control remains indispensable under moderate to severe disease pressure.</w:t>
      </w:r>
    </w:p>
    <w:p w14:paraId="5FBA7A20" w14:textId="2922A3D8" w:rsidR="00132041" w:rsidRPr="00132041" w:rsidRDefault="00132041" w:rsidP="00132041">
      <w:pPr>
        <w:spacing w:before="100" w:beforeAutospacing="1" w:after="100" w:afterAutospacing="1" w:line="240" w:lineRule="auto"/>
        <w:outlineLvl w:val="2"/>
        <w:rPr>
          <w:rFonts w:ascii="Times New Roman" w:eastAsia="Times New Roman" w:hAnsi="Times New Roman" w:cs="Times New Roman"/>
          <w:b/>
          <w:bCs/>
          <w:kern w:val="0"/>
          <w:sz w:val="27"/>
          <w:szCs w:val="27"/>
          <w:lang w:bidi="ar-SA"/>
          <w14:ligatures w14:val="none"/>
        </w:rPr>
      </w:pPr>
      <w:r w:rsidRPr="00132041">
        <w:rPr>
          <w:rFonts w:ascii="Times New Roman" w:eastAsia="Times New Roman" w:hAnsi="Times New Roman" w:cs="Times New Roman"/>
          <w:b/>
          <w:bCs/>
          <w:kern w:val="0"/>
          <w:sz w:val="27"/>
          <w:szCs w:val="27"/>
          <w:lang w:bidi="ar-SA"/>
          <w14:ligatures w14:val="none"/>
        </w:rPr>
        <w:t>References:</w:t>
      </w:r>
    </w:p>
    <w:p w14:paraId="42448EB2" w14:textId="77777777" w:rsidR="000252EF" w:rsidRDefault="000252EF" w:rsidP="000252EF">
      <w:pPr>
        <w:pStyle w:val="NormalWeb"/>
        <w:numPr>
          <w:ilvl w:val="0"/>
          <w:numId w:val="3"/>
        </w:numPr>
        <w:spacing w:before="0" w:beforeAutospacing="0" w:after="120" w:afterAutospacing="0"/>
        <w:jc w:val="both"/>
      </w:pPr>
      <w:r>
        <w:t xml:space="preserve">Agrios, G. N. (2005). </w:t>
      </w:r>
      <w:r>
        <w:rPr>
          <w:rStyle w:val="Emphasis"/>
          <w:rFonts w:eastAsiaTheme="majorEastAsia"/>
        </w:rPr>
        <w:t>Plant pathology</w:t>
      </w:r>
      <w:r>
        <w:t xml:space="preserve"> (5th ed.). Elsevier Academic Press.</w:t>
      </w:r>
    </w:p>
    <w:p w14:paraId="5B230DAA" w14:textId="63CD6082" w:rsidR="000252EF" w:rsidRDefault="000252EF" w:rsidP="000252EF">
      <w:pPr>
        <w:pStyle w:val="NormalWeb"/>
        <w:numPr>
          <w:ilvl w:val="0"/>
          <w:numId w:val="3"/>
        </w:numPr>
        <w:spacing w:before="0" w:beforeAutospacing="0" w:after="120" w:afterAutospacing="0"/>
        <w:jc w:val="both"/>
      </w:pPr>
      <w:r>
        <w:lastRenderedPageBreak/>
        <w:t xml:space="preserve">Anand, T., Chandrasekaran, A., Kuttalam, S., Senthilraja, G., &amp; Samiyappan, R. (2016). Integrated management of powdery mildew of crops using fungicides and biological agents. </w:t>
      </w:r>
      <w:r>
        <w:rPr>
          <w:rStyle w:val="Emphasis"/>
          <w:rFonts w:eastAsiaTheme="majorEastAsia"/>
        </w:rPr>
        <w:t>Crop Protection, 89</w:t>
      </w:r>
      <w:r>
        <w:t xml:space="preserve">, 41–48. </w:t>
      </w:r>
      <w:hyperlink r:id="rId19" w:history="1">
        <w:r w:rsidRPr="0010678A">
          <w:rPr>
            <w:rStyle w:val="Hyperlink"/>
          </w:rPr>
          <w:t>https://doi.org/10.1016/j.cropro.2016.07.006</w:t>
        </w:r>
      </w:hyperlink>
      <w:r>
        <w:t xml:space="preserve"> </w:t>
      </w:r>
    </w:p>
    <w:p w14:paraId="4F3A44CF" w14:textId="77777777" w:rsidR="000252EF" w:rsidRDefault="000252EF" w:rsidP="000252EF">
      <w:pPr>
        <w:pStyle w:val="NormalWeb"/>
        <w:numPr>
          <w:ilvl w:val="0"/>
          <w:numId w:val="3"/>
        </w:numPr>
        <w:spacing w:before="0" w:beforeAutospacing="0" w:after="120" w:afterAutospacing="0"/>
        <w:jc w:val="both"/>
      </w:pPr>
      <w:r>
        <w:t xml:space="preserve">Brent, K. J., &amp; Hollomon, D. W. (2007). </w:t>
      </w:r>
      <w:r>
        <w:rPr>
          <w:rStyle w:val="Emphasis"/>
          <w:rFonts w:eastAsiaTheme="majorEastAsia"/>
        </w:rPr>
        <w:t>Fungicide resistance in crop pathogens: How can it be managed?</w:t>
      </w:r>
      <w:r>
        <w:t xml:space="preserve"> FRAC Monograph No. 1. Fungicide Resistance Action Committee.</w:t>
      </w:r>
      <w:r>
        <w:br/>
      </w:r>
      <w:hyperlink r:id="rId20" w:tgtFrame="_new" w:history="1">
        <w:r>
          <w:rPr>
            <w:rStyle w:val="Hyperlink"/>
            <w:rFonts w:eastAsiaTheme="majorEastAsia"/>
          </w:rPr>
          <w:t>https://www.frac.info</w:t>
        </w:r>
      </w:hyperlink>
    </w:p>
    <w:p w14:paraId="70B2C7D2" w14:textId="4AA9CC6F" w:rsidR="000252EF" w:rsidRDefault="000252EF" w:rsidP="000252EF">
      <w:pPr>
        <w:pStyle w:val="NormalWeb"/>
        <w:numPr>
          <w:ilvl w:val="0"/>
          <w:numId w:val="3"/>
        </w:numPr>
        <w:spacing w:before="0" w:beforeAutospacing="0" w:after="120" w:afterAutospacing="0"/>
        <w:jc w:val="both"/>
      </w:pPr>
      <w:r>
        <w:t xml:space="preserve">Compant, S., Duffy, B., Nowak, J., Clément, C., &amp; Barka, E. A. (2005). Use of plant growth-promoting bacteria for biocontrol of plant diseases: Principles, mechanisms of action, and future prospects. </w:t>
      </w:r>
      <w:r>
        <w:rPr>
          <w:rStyle w:val="Emphasis"/>
          <w:rFonts w:eastAsiaTheme="majorEastAsia"/>
        </w:rPr>
        <w:t>Applied and Environmental Microbiology, 71</w:t>
      </w:r>
      <w:r>
        <w:t xml:space="preserve">(9), 4951–4959. </w:t>
      </w:r>
      <w:hyperlink r:id="rId21" w:history="1">
        <w:r w:rsidRPr="0010678A">
          <w:rPr>
            <w:rStyle w:val="Hyperlink"/>
          </w:rPr>
          <w:t>https://doi.org/10.1128/AEM.71.9.4951-4959.2005</w:t>
        </w:r>
      </w:hyperlink>
      <w:r>
        <w:t xml:space="preserve"> </w:t>
      </w:r>
    </w:p>
    <w:p w14:paraId="15A8BED9" w14:textId="780A9A61" w:rsidR="000252EF" w:rsidRDefault="000252EF" w:rsidP="000252EF">
      <w:pPr>
        <w:pStyle w:val="NormalWeb"/>
        <w:numPr>
          <w:ilvl w:val="0"/>
          <w:numId w:val="3"/>
        </w:numPr>
        <w:spacing w:before="0" w:beforeAutospacing="0" w:after="120" w:afterAutospacing="0"/>
        <w:jc w:val="both"/>
      </w:pPr>
      <w:r>
        <w:t xml:space="preserve">Copping, L. G., &amp; Duke, S. O. (2007). Natural products that have been used commercially as crop protection agents. </w:t>
      </w:r>
      <w:r>
        <w:rPr>
          <w:rStyle w:val="Emphasis"/>
          <w:rFonts w:eastAsiaTheme="majorEastAsia"/>
        </w:rPr>
        <w:t>Pest Management Science, 63</w:t>
      </w:r>
      <w:r>
        <w:t>(6), 524–554.</w:t>
      </w:r>
      <w:r>
        <w:br/>
      </w:r>
      <w:hyperlink r:id="rId22" w:history="1">
        <w:r w:rsidRPr="0010678A">
          <w:rPr>
            <w:rStyle w:val="Hyperlink"/>
          </w:rPr>
          <w:t>https://doi.org/10.1002/ps.1378</w:t>
        </w:r>
      </w:hyperlink>
      <w:r>
        <w:t xml:space="preserve"> </w:t>
      </w:r>
    </w:p>
    <w:p w14:paraId="05AE528B" w14:textId="77777777" w:rsidR="000252EF" w:rsidRDefault="000252EF" w:rsidP="000252EF">
      <w:pPr>
        <w:pStyle w:val="NormalWeb"/>
        <w:numPr>
          <w:ilvl w:val="0"/>
          <w:numId w:val="3"/>
        </w:numPr>
        <w:spacing w:before="0" w:beforeAutospacing="0" w:after="120" w:afterAutospacing="0"/>
        <w:jc w:val="both"/>
      </w:pPr>
      <w:r>
        <w:t>Fajinmi, A. A., &amp; Fajinmi, O. B. (2010). Incidence of okra mosaic virus at different growth stages of okra plants (</w:t>
      </w:r>
      <w:r>
        <w:rPr>
          <w:rStyle w:val="Emphasis"/>
          <w:rFonts w:eastAsiaTheme="majorEastAsia"/>
        </w:rPr>
        <w:t>Abelmoschus esculentus</w:t>
      </w:r>
      <w:r>
        <w:t xml:space="preserve"> L. Moench). </w:t>
      </w:r>
      <w:r>
        <w:rPr>
          <w:rStyle w:val="Emphasis"/>
          <w:rFonts w:eastAsiaTheme="majorEastAsia"/>
        </w:rPr>
        <w:t>Journal of Applied Biosciences, 28</w:t>
      </w:r>
      <w:r>
        <w:t>, 1740–1745.</w:t>
      </w:r>
    </w:p>
    <w:p w14:paraId="0BA14B75" w14:textId="057FF262" w:rsidR="000252EF" w:rsidRDefault="000252EF" w:rsidP="000252EF">
      <w:pPr>
        <w:pStyle w:val="NormalWeb"/>
        <w:numPr>
          <w:ilvl w:val="0"/>
          <w:numId w:val="3"/>
        </w:numPr>
        <w:spacing w:before="0" w:beforeAutospacing="0" w:after="120" w:afterAutospacing="0"/>
        <w:jc w:val="both"/>
      </w:pPr>
      <w:r>
        <w:t xml:space="preserve">Harman, G. E., Howell, C. R., Viterbo, A., Chet, I., &amp; Lorito, M. (2004). </w:t>
      </w:r>
      <w:commentRangeStart w:id="5"/>
      <w:r>
        <w:t>Trichoderma</w:t>
      </w:r>
      <w:commentRangeEnd w:id="5"/>
      <w:r w:rsidR="00DD78C4">
        <w:rPr>
          <w:rStyle w:val="CommentReference"/>
          <w:sz w:val="24"/>
          <w:szCs w:val="24"/>
        </w:rPr>
        <w:commentReference w:id="5"/>
      </w:r>
      <w:r>
        <w:t xml:space="preserve"> species—Opportunistic, avirulent plant symbionts. </w:t>
      </w:r>
      <w:r>
        <w:rPr>
          <w:rStyle w:val="Emphasis"/>
          <w:rFonts w:eastAsiaTheme="majorEastAsia"/>
        </w:rPr>
        <w:t>Nature Reviews Microbiology, 2</w:t>
      </w:r>
      <w:r>
        <w:t xml:space="preserve">(1), 43–56. </w:t>
      </w:r>
      <w:hyperlink r:id="rId23" w:history="1">
        <w:r w:rsidRPr="0010678A">
          <w:rPr>
            <w:rStyle w:val="Hyperlink"/>
          </w:rPr>
          <w:t>https://doi.org/10.1038/nrmicro797</w:t>
        </w:r>
      </w:hyperlink>
      <w:r>
        <w:t xml:space="preserve"> </w:t>
      </w:r>
    </w:p>
    <w:p w14:paraId="1CDBC1E4" w14:textId="181F1552" w:rsidR="000252EF" w:rsidRDefault="000252EF" w:rsidP="000252EF">
      <w:pPr>
        <w:pStyle w:val="NormalWeb"/>
        <w:numPr>
          <w:ilvl w:val="0"/>
          <w:numId w:val="3"/>
        </w:numPr>
        <w:spacing w:before="0" w:beforeAutospacing="0" w:after="120" w:afterAutospacing="0"/>
        <w:jc w:val="both"/>
      </w:pPr>
      <w:r>
        <w:t xml:space="preserve">Isman, M. B. (2006). Botanical insecticides, deterrents, and repellents in modern agriculture and an increasingly regulated world. </w:t>
      </w:r>
      <w:r>
        <w:rPr>
          <w:rStyle w:val="Emphasis"/>
          <w:rFonts w:eastAsiaTheme="majorEastAsia"/>
        </w:rPr>
        <w:t>Annual Review of Entomology, 51</w:t>
      </w:r>
      <w:r>
        <w:t>, 45–66.</w:t>
      </w:r>
      <w:r>
        <w:br/>
      </w:r>
      <w:hyperlink r:id="rId24" w:history="1">
        <w:r w:rsidRPr="0010678A">
          <w:rPr>
            <w:rStyle w:val="Hyperlink"/>
          </w:rPr>
          <w:t>https://doi.org/10.1146/annurev.ento.51.110104.151146</w:t>
        </w:r>
      </w:hyperlink>
      <w:r>
        <w:t xml:space="preserve"> </w:t>
      </w:r>
    </w:p>
    <w:p w14:paraId="35AA1BD3" w14:textId="77777777" w:rsidR="000252EF" w:rsidRDefault="000252EF" w:rsidP="000252EF">
      <w:pPr>
        <w:pStyle w:val="NormalWeb"/>
        <w:numPr>
          <w:ilvl w:val="0"/>
          <w:numId w:val="3"/>
        </w:numPr>
        <w:spacing w:before="0" w:beforeAutospacing="0" w:after="120" w:afterAutospacing="0"/>
        <w:jc w:val="both"/>
      </w:pPr>
      <w:r>
        <w:t>Kumar, S., Dagnoko, S., Haougui, A., Ratnadass, A., Pasternak, D., &amp; Kouame, C. (2010). Okra (</w:t>
      </w:r>
      <w:r>
        <w:rPr>
          <w:rStyle w:val="Emphasis"/>
          <w:rFonts w:eastAsiaTheme="majorEastAsia"/>
        </w:rPr>
        <w:t>Abelmoschus spp.</w:t>
      </w:r>
      <w:r>
        <w:t xml:space="preserve">) in West and Central Africa: Potential and progress on its improvement. </w:t>
      </w:r>
      <w:r>
        <w:rPr>
          <w:rStyle w:val="Emphasis"/>
          <w:rFonts w:eastAsiaTheme="majorEastAsia"/>
        </w:rPr>
        <w:t>African Journal of Agricultural Research, 5</w:t>
      </w:r>
      <w:r>
        <w:t>(25), 3590–3598.</w:t>
      </w:r>
    </w:p>
    <w:p w14:paraId="59FA38E1" w14:textId="77777777" w:rsidR="000252EF" w:rsidRDefault="000252EF" w:rsidP="000252EF">
      <w:pPr>
        <w:pStyle w:val="NormalWeb"/>
        <w:numPr>
          <w:ilvl w:val="0"/>
          <w:numId w:val="3"/>
        </w:numPr>
        <w:spacing w:before="0" w:beforeAutospacing="0" w:after="120" w:afterAutospacing="0"/>
        <w:jc w:val="both"/>
      </w:pPr>
      <w:r>
        <w:t xml:space="preserve">Kumar, V., Singh, V. K., &amp; Singh, A. K. (2013). Efficacy of fungicides against powdery mildew of okra. </w:t>
      </w:r>
      <w:r>
        <w:rPr>
          <w:rStyle w:val="Emphasis"/>
          <w:rFonts w:eastAsiaTheme="majorEastAsia"/>
        </w:rPr>
        <w:t>Vegetable Science, 40</w:t>
      </w:r>
      <w:r>
        <w:t>(1), 98–100.</w:t>
      </w:r>
    </w:p>
    <w:p w14:paraId="6F64F7A9" w14:textId="2F8BB299" w:rsidR="000252EF" w:rsidRDefault="000252EF" w:rsidP="000252EF">
      <w:pPr>
        <w:pStyle w:val="NormalWeb"/>
        <w:numPr>
          <w:ilvl w:val="0"/>
          <w:numId w:val="3"/>
        </w:numPr>
        <w:spacing w:before="0" w:beforeAutospacing="0" w:after="120" w:afterAutospacing="0"/>
        <w:jc w:val="both"/>
      </w:pPr>
      <w:r>
        <w:t xml:space="preserve">Lamont, W. J. (1999). Okra—A versatile vegetable crop. </w:t>
      </w:r>
      <w:r>
        <w:rPr>
          <w:rStyle w:val="Emphasis"/>
          <w:rFonts w:eastAsiaTheme="majorEastAsia"/>
        </w:rPr>
        <w:t>HortTechnology, 9</w:t>
      </w:r>
      <w:r>
        <w:t xml:space="preserve">(2), 179–184. </w:t>
      </w:r>
      <w:hyperlink r:id="rId25" w:history="1">
        <w:r w:rsidRPr="0010678A">
          <w:rPr>
            <w:rStyle w:val="Hyperlink"/>
          </w:rPr>
          <w:t>https://doi.org/10.21273/HORTTECH.9.2.179</w:t>
        </w:r>
      </w:hyperlink>
      <w:r>
        <w:t xml:space="preserve"> </w:t>
      </w:r>
    </w:p>
    <w:p w14:paraId="0F7E0C21" w14:textId="44CB70AA" w:rsidR="000252EF" w:rsidRDefault="000252EF" w:rsidP="000252EF">
      <w:pPr>
        <w:pStyle w:val="NormalWeb"/>
        <w:numPr>
          <w:ilvl w:val="0"/>
          <w:numId w:val="3"/>
        </w:numPr>
        <w:spacing w:before="0" w:beforeAutospacing="0" w:after="120" w:afterAutospacing="0"/>
        <w:jc w:val="both"/>
      </w:pPr>
      <w:r>
        <w:t xml:space="preserve">Lucas, J. A., Hawkins, N. J., &amp; Fraaije, B. A. (2015). The evolution of fungicide resistance. </w:t>
      </w:r>
      <w:r>
        <w:rPr>
          <w:rStyle w:val="Emphasis"/>
          <w:rFonts w:eastAsiaTheme="majorEastAsia"/>
        </w:rPr>
        <w:t>Advances in Applied Microbiology, 90</w:t>
      </w:r>
      <w:r>
        <w:t xml:space="preserve">, 29–92. </w:t>
      </w:r>
      <w:hyperlink r:id="rId26" w:history="1">
        <w:r w:rsidRPr="0010678A">
          <w:rPr>
            <w:rStyle w:val="Hyperlink"/>
          </w:rPr>
          <w:t>https://doi.org/10.1016/bs.aambs.2014.09.001</w:t>
        </w:r>
      </w:hyperlink>
      <w:r>
        <w:t xml:space="preserve"> </w:t>
      </w:r>
    </w:p>
    <w:p w14:paraId="42DC89D4" w14:textId="5AC3D72C" w:rsidR="000252EF" w:rsidRDefault="000252EF" w:rsidP="000252EF">
      <w:pPr>
        <w:pStyle w:val="NormalWeb"/>
        <w:numPr>
          <w:ilvl w:val="0"/>
          <w:numId w:val="3"/>
        </w:numPr>
        <w:spacing w:before="0" w:beforeAutospacing="0" w:after="120" w:afterAutospacing="0"/>
        <w:jc w:val="both"/>
      </w:pPr>
      <w:r>
        <w:t xml:space="preserve">McGrath, M. T. (2001). Fungicide resistance in cucurbit powdery mildew: Experiences and challenges. </w:t>
      </w:r>
      <w:r>
        <w:rPr>
          <w:rStyle w:val="Emphasis"/>
          <w:rFonts w:eastAsiaTheme="majorEastAsia"/>
        </w:rPr>
        <w:t>Plant Disease, 85</w:t>
      </w:r>
      <w:r>
        <w:t>(3), 236–245.</w:t>
      </w:r>
      <w:r>
        <w:br/>
      </w:r>
      <w:hyperlink r:id="rId27" w:history="1">
        <w:r w:rsidRPr="0010678A">
          <w:rPr>
            <w:rStyle w:val="Hyperlink"/>
          </w:rPr>
          <w:t>https://doi.org/10.1094/PDIS.2001.85.3.236</w:t>
        </w:r>
      </w:hyperlink>
      <w:r>
        <w:t xml:space="preserve"> </w:t>
      </w:r>
    </w:p>
    <w:p w14:paraId="2165B742" w14:textId="77777777" w:rsidR="000252EF" w:rsidRDefault="000252EF" w:rsidP="000252EF">
      <w:pPr>
        <w:pStyle w:val="NormalWeb"/>
        <w:numPr>
          <w:ilvl w:val="0"/>
          <w:numId w:val="3"/>
        </w:numPr>
        <w:spacing w:before="0" w:beforeAutospacing="0" w:after="120" w:afterAutospacing="0"/>
        <w:jc w:val="both"/>
      </w:pPr>
      <w:r>
        <w:t xml:space="preserve">McGrath, M. T., &amp; Thomas, C. E. (2012). </w:t>
      </w:r>
      <w:commentRangeStart w:id="6"/>
      <w:r>
        <w:t xml:space="preserve">Powdery mildew. In J. B. Jones et al. (Eds.), </w:t>
      </w:r>
      <w:commentRangeEnd w:id="6"/>
      <w:r w:rsidR="00DD78C4">
        <w:rPr>
          <w:rStyle w:val="CommentReference"/>
          <w:rFonts w:eastAsiaTheme="majorEastAsia"/>
          <w:i/>
          <w:iCs/>
          <w:sz w:val="24"/>
          <w:szCs w:val="24"/>
        </w:rPr>
        <w:commentReference w:id="6"/>
      </w:r>
      <w:r>
        <w:rPr>
          <w:rStyle w:val="Emphasis"/>
          <w:rFonts w:eastAsiaTheme="majorEastAsia"/>
        </w:rPr>
        <w:t>Compendium of cucurbit diseases and pests</w:t>
      </w:r>
      <w:r>
        <w:t xml:space="preserve"> (2nd ed., pp. 45–47). APS Press.</w:t>
      </w:r>
    </w:p>
    <w:p w14:paraId="25C64AFB" w14:textId="58E51284" w:rsidR="000252EF" w:rsidRDefault="000252EF" w:rsidP="000252EF">
      <w:pPr>
        <w:pStyle w:val="NormalWeb"/>
        <w:numPr>
          <w:ilvl w:val="0"/>
          <w:numId w:val="3"/>
        </w:numPr>
        <w:spacing w:before="0" w:beforeAutospacing="0" w:after="120" w:afterAutospacing="0"/>
        <w:jc w:val="both"/>
      </w:pPr>
      <w:r>
        <w:t xml:space="preserve">Palmer, C. L., Horst, R. K., &amp; Langhans, R. W. (1997). Use of bicarbonates to inhibit </w:t>
      </w:r>
      <w:commentRangeStart w:id="7"/>
      <w:r>
        <w:t xml:space="preserve">in vitro </w:t>
      </w:r>
      <w:commentRangeEnd w:id="7"/>
      <w:r w:rsidR="00DD78C4">
        <w:rPr>
          <w:rStyle w:val="CommentReference"/>
          <w:sz w:val="24"/>
          <w:szCs w:val="24"/>
        </w:rPr>
        <w:commentReference w:id="7"/>
      </w:r>
      <w:r>
        <w:t xml:space="preserve">colony growth of </w:t>
      </w:r>
      <w:r>
        <w:rPr>
          <w:rStyle w:val="Emphasis"/>
          <w:rFonts w:eastAsiaTheme="majorEastAsia"/>
        </w:rPr>
        <w:t>Botrytis cinerea</w:t>
      </w:r>
      <w:r>
        <w:t xml:space="preserve">. </w:t>
      </w:r>
      <w:r>
        <w:rPr>
          <w:rStyle w:val="Emphasis"/>
          <w:rFonts w:eastAsiaTheme="majorEastAsia"/>
        </w:rPr>
        <w:t>Plant Disease, 81</w:t>
      </w:r>
      <w:r>
        <w:t>(12), 1432–1438.</w:t>
      </w:r>
      <w:r>
        <w:br/>
      </w:r>
      <w:hyperlink r:id="rId28" w:history="1">
        <w:r w:rsidRPr="0010678A">
          <w:rPr>
            <w:rStyle w:val="Hyperlink"/>
          </w:rPr>
          <w:t>https://doi.org/10.1094/PDIS.1997.81.12.1432</w:t>
        </w:r>
      </w:hyperlink>
      <w:r>
        <w:t xml:space="preserve"> </w:t>
      </w:r>
    </w:p>
    <w:p w14:paraId="43373D99" w14:textId="77777777" w:rsidR="000252EF" w:rsidRDefault="000252EF" w:rsidP="000252EF">
      <w:pPr>
        <w:pStyle w:val="NormalWeb"/>
        <w:numPr>
          <w:ilvl w:val="0"/>
          <w:numId w:val="3"/>
        </w:numPr>
        <w:spacing w:before="0" w:beforeAutospacing="0" w:after="120" w:afterAutospacing="0"/>
        <w:jc w:val="both"/>
      </w:pPr>
      <w:r>
        <w:lastRenderedPageBreak/>
        <w:t xml:space="preserve">Saharan, G. S., &amp; Mehta, N. (2008). </w:t>
      </w:r>
      <w:r>
        <w:rPr>
          <w:rStyle w:val="Emphasis"/>
          <w:rFonts w:eastAsiaTheme="majorEastAsia"/>
        </w:rPr>
        <w:t>Diseases of oilseed crops</w:t>
      </w:r>
      <w:r>
        <w:t>. Indus Publishing Company.</w:t>
      </w:r>
    </w:p>
    <w:p w14:paraId="3942FC2F" w14:textId="77777777" w:rsidR="000252EF" w:rsidRDefault="000252EF" w:rsidP="000252EF">
      <w:pPr>
        <w:pStyle w:val="NormalWeb"/>
        <w:numPr>
          <w:ilvl w:val="0"/>
          <w:numId w:val="3"/>
        </w:numPr>
        <w:spacing w:before="0" w:beforeAutospacing="0" w:after="120" w:afterAutospacing="0"/>
        <w:jc w:val="both"/>
      </w:pPr>
      <w:r>
        <w:t xml:space="preserve">Singh, R., Singh, D., &amp; Yadav, A. (2011). Effect of weather parameters on development of powdery mildew of okra. </w:t>
      </w:r>
      <w:r>
        <w:rPr>
          <w:rStyle w:val="Emphasis"/>
          <w:rFonts w:eastAsiaTheme="majorEastAsia"/>
        </w:rPr>
        <w:t>Indian Journal of Agricultural Sciences, 81</w:t>
      </w:r>
      <w:r>
        <w:t>(5), 476–478.</w:t>
      </w:r>
    </w:p>
    <w:p w14:paraId="59D17C9A" w14:textId="77777777" w:rsidR="000252EF" w:rsidRDefault="000252EF" w:rsidP="000252EF">
      <w:pPr>
        <w:pStyle w:val="NormalWeb"/>
        <w:numPr>
          <w:ilvl w:val="0"/>
          <w:numId w:val="3"/>
        </w:numPr>
        <w:spacing w:before="0" w:beforeAutospacing="0" w:after="120" w:afterAutospacing="0"/>
        <w:jc w:val="both"/>
      </w:pPr>
      <w:r w:rsidRPr="000252EF">
        <w:rPr>
          <w:lang w:val="en-IN"/>
        </w:rPr>
        <w:t xml:space="preserve">Vinale, F., Sivasithamparam, K., Ghisalberti, E. L., Marra, R., Woo, S. L., &amp; Lorito, M. (2008). </w:t>
      </w:r>
      <w:commentRangeStart w:id="8"/>
      <w:r>
        <w:t>Trichoderma</w:t>
      </w:r>
      <w:commentRangeEnd w:id="8"/>
      <w:r w:rsidR="00DD78C4">
        <w:rPr>
          <w:rStyle w:val="CommentReference"/>
          <w:sz w:val="24"/>
          <w:szCs w:val="24"/>
        </w:rPr>
        <w:commentReference w:id="8"/>
      </w:r>
      <w:r>
        <w:t xml:space="preserve">–plant–pathogen interactions. </w:t>
      </w:r>
      <w:r>
        <w:rPr>
          <w:rStyle w:val="Emphasis"/>
          <w:rFonts w:eastAsiaTheme="majorEastAsia"/>
        </w:rPr>
        <w:t>Soil Biology and Biochemistry, 40</w:t>
      </w:r>
      <w:r>
        <w:t xml:space="preserve">(1), 1–10. </w:t>
      </w:r>
      <w:hyperlink r:id="rId29" w:history="1">
        <w:r w:rsidRPr="0010678A">
          <w:rPr>
            <w:rStyle w:val="Hyperlink"/>
          </w:rPr>
          <w:t>https://doi.org/10.1016/j.soilbio.2007.07.002</w:t>
        </w:r>
      </w:hyperlink>
    </w:p>
    <w:sectPr w:rsidR="000252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tal dhawan" w:date="2026-02-06T10:29:00Z" w:initials="sd">
    <w:p w14:paraId="5263DBF0" w14:textId="77777777" w:rsidR="00DD78C4" w:rsidRDefault="00DD78C4" w:rsidP="00DD78C4">
      <w:pPr>
        <w:pStyle w:val="CommentText"/>
      </w:pPr>
      <w:r>
        <w:rPr>
          <w:rStyle w:val="CommentReference"/>
        </w:rPr>
        <w:annotationRef/>
      </w:r>
      <w:r>
        <w:t>italic</w:t>
      </w:r>
    </w:p>
  </w:comment>
  <w:comment w:id="1" w:author="shital dhawan" w:date="2026-02-06T10:29:00Z" w:initials="sd">
    <w:p w14:paraId="2B990A33" w14:textId="77777777" w:rsidR="00DD78C4" w:rsidRDefault="00DD78C4" w:rsidP="00DD78C4">
      <w:pPr>
        <w:pStyle w:val="CommentText"/>
      </w:pPr>
      <w:r>
        <w:rPr>
          <w:rStyle w:val="CommentReference"/>
        </w:rPr>
        <w:annotationRef/>
      </w:r>
      <w:r>
        <w:t>italic</w:t>
      </w:r>
    </w:p>
  </w:comment>
  <w:comment w:id="2" w:author="shital dhawan" w:date="2026-02-06T10:30:00Z" w:initials="sd">
    <w:p w14:paraId="3FA81BD3" w14:textId="77777777" w:rsidR="00DD78C4" w:rsidRDefault="00DD78C4" w:rsidP="00DD78C4">
      <w:pPr>
        <w:pStyle w:val="CommentText"/>
      </w:pPr>
      <w:r>
        <w:rPr>
          <w:rStyle w:val="CommentReference"/>
        </w:rPr>
        <w:annotationRef/>
      </w:r>
      <w:r>
        <w:t>Check spelling</w:t>
      </w:r>
    </w:p>
  </w:comment>
  <w:comment w:id="3" w:author="shital dhawan" w:date="2026-02-06T10:34:00Z" w:initials="sd">
    <w:p w14:paraId="22E04DE4" w14:textId="77777777" w:rsidR="00DD78C4" w:rsidRDefault="00DD78C4" w:rsidP="00DD78C4">
      <w:pPr>
        <w:pStyle w:val="CommentText"/>
      </w:pPr>
      <w:r>
        <w:rPr>
          <w:rStyle w:val="CommentReference"/>
        </w:rPr>
        <w:annotationRef/>
      </w:r>
      <w:r>
        <w:t>Check spelling</w:t>
      </w:r>
    </w:p>
  </w:comment>
  <w:comment w:id="4" w:author="shital dhawan" w:date="2026-02-06T10:38:00Z" w:initials="sd">
    <w:p w14:paraId="2F1B5526" w14:textId="77777777" w:rsidR="00DD78C4" w:rsidRDefault="00DD78C4" w:rsidP="00DD78C4">
      <w:pPr>
        <w:pStyle w:val="CommentText"/>
      </w:pPr>
      <w:r>
        <w:rPr>
          <w:rStyle w:val="CommentReference"/>
        </w:rPr>
        <w:annotationRef/>
      </w:r>
      <w:r>
        <w:t>Check spelling</w:t>
      </w:r>
    </w:p>
  </w:comment>
  <w:comment w:id="5" w:author="shital dhawan" w:date="2026-02-06T10:38:00Z" w:initials="sd">
    <w:p w14:paraId="29062111" w14:textId="77777777" w:rsidR="00DD78C4" w:rsidRDefault="00DD78C4" w:rsidP="00DD78C4">
      <w:pPr>
        <w:pStyle w:val="CommentText"/>
      </w:pPr>
      <w:r>
        <w:rPr>
          <w:rStyle w:val="CommentReference"/>
        </w:rPr>
        <w:annotationRef/>
      </w:r>
      <w:r>
        <w:t>italic</w:t>
      </w:r>
    </w:p>
  </w:comment>
  <w:comment w:id="6" w:author="shital dhawan" w:date="2026-02-06T10:39:00Z" w:initials="sd">
    <w:p w14:paraId="10E31DEE" w14:textId="77777777" w:rsidR="00DD78C4" w:rsidRDefault="00DD78C4" w:rsidP="00DD78C4">
      <w:pPr>
        <w:pStyle w:val="CommentText"/>
      </w:pPr>
      <w:r>
        <w:rPr>
          <w:rStyle w:val="CommentReference"/>
        </w:rPr>
        <w:annotationRef/>
      </w:r>
      <w:r>
        <w:t>Check once</w:t>
      </w:r>
    </w:p>
  </w:comment>
  <w:comment w:id="7" w:author="shital dhawan" w:date="2026-02-06T10:40:00Z" w:initials="sd">
    <w:p w14:paraId="4D68C043" w14:textId="77777777" w:rsidR="00DD78C4" w:rsidRDefault="00DD78C4" w:rsidP="00DD78C4">
      <w:pPr>
        <w:pStyle w:val="CommentText"/>
      </w:pPr>
      <w:r>
        <w:rPr>
          <w:rStyle w:val="CommentReference"/>
        </w:rPr>
        <w:annotationRef/>
      </w:r>
      <w:r>
        <w:t>italic</w:t>
      </w:r>
    </w:p>
  </w:comment>
  <w:comment w:id="8" w:author="shital dhawan" w:date="2026-02-06T10:40:00Z" w:initials="sd">
    <w:p w14:paraId="1C0E1E26" w14:textId="77777777" w:rsidR="00DD78C4" w:rsidRDefault="00DD78C4" w:rsidP="00DD78C4">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63DBF0" w15:done="0"/>
  <w15:commentEx w15:paraId="2B990A33" w15:done="0"/>
  <w15:commentEx w15:paraId="3FA81BD3" w15:done="0"/>
  <w15:commentEx w15:paraId="22E04DE4" w15:done="0"/>
  <w15:commentEx w15:paraId="2F1B5526" w15:done="0"/>
  <w15:commentEx w15:paraId="29062111" w15:done="0"/>
  <w15:commentEx w15:paraId="10E31DEE" w15:done="0"/>
  <w15:commentEx w15:paraId="4D68C043" w15:done="0"/>
  <w15:commentEx w15:paraId="1C0E1E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62EE8" w16cex:dateUtc="2026-02-06T04:59:00Z"/>
  <w16cex:commentExtensible w16cex:durableId="342CBE5C" w16cex:dateUtc="2026-02-06T04:59:00Z"/>
  <w16cex:commentExtensible w16cex:durableId="24D57328" w16cex:dateUtc="2026-02-06T05:00:00Z"/>
  <w16cex:commentExtensible w16cex:durableId="6E742219" w16cex:dateUtc="2026-02-06T05:04:00Z"/>
  <w16cex:commentExtensible w16cex:durableId="2893DEF1" w16cex:dateUtc="2026-02-06T05:08:00Z"/>
  <w16cex:commentExtensible w16cex:durableId="420EB9A4" w16cex:dateUtc="2026-02-06T05:08:00Z"/>
  <w16cex:commentExtensible w16cex:durableId="7E77653F" w16cex:dateUtc="2026-02-06T05:09:00Z"/>
  <w16cex:commentExtensible w16cex:durableId="3ECDB2BA" w16cex:dateUtc="2026-02-06T05:10:00Z"/>
  <w16cex:commentExtensible w16cex:durableId="64B41FA2" w16cex:dateUtc="2026-02-06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63DBF0" w16cid:durableId="59362EE8"/>
  <w16cid:commentId w16cid:paraId="2B990A33" w16cid:durableId="342CBE5C"/>
  <w16cid:commentId w16cid:paraId="3FA81BD3" w16cid:durableId="24D57328"/>
  <w16cid:commentId w16cid:paraId="22E04DE4" w16cid:durableId="6E742219"/>
  <w16cid:commentId w16cid:paraId="2F1B5526" w16cid:durableId="2893DEF1"/>
  <w16cid:commentId w16cid:paraId="29062111" w16cid:durableId="420EB9A4"/>
  <w16cid:commentId w16cid:paraId="10E31DEE" w16cid:durableId="7E77653F"/>
  <w16cid:commentId w16cid:paraId="4D68C043" w16cid:durableId="3ECDB2BA"/>
  <w16cid:commentId w16cid:paraId="1C0E1E26" w16cid:durableId="64B41F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D4B6" w14:textId="77777777" w:rsidR="00CE11AC" w:rsidRDefault="00CE11AC" w:rsidP="000F79A9">
      <w:pPr>
        <w:spacing w:after="0" w:line="240" w:lineRule="auto"/>
      </w:pPr>
      <w:r>
        <w:separator/>
      </w:r>
    </w:p>
  </w:endnote>
  <w:endnote w:type="continuationSeparator" w:id="0">
    <w:p w14:paraId="0EF4ECBE" w14:textId="77777777" w:rsidR="00CE11AC" w:rsidRDefault="00CE11AC" w:rsidP="000F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7F24" w14:textId="77777777" w:rsidR="000F79A9" w:rsidRDefault="000F7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2B46" w14:textId="77777777" w:rsidR="000F79A9" w:rsidRDefault="000F7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B622" w14:textId="77777777" w:rsidR="000F79A9" w:rsidRDefault="000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0403" w14:textId="77777777" w:rsidR="00CE11AC" w:rsidRDefault="00CE11AC" w:rsidP="000F79A9">
      <w:pPr>
        <w:spacing w:after="0" w:line="240" w:lineRule="auto"/>
      </w:pPr>
      <w:r>
        <w:separator/>
      </w:r>
    </w:p>
  </w:footnote>
  <w:footnote w:type="continuationSeparator" w:id="0">
    <w:p w14:paraId="7AE72227" w14:textId="77777777" w:rsidR="00CE11AC" w:rsidRDefault="00CE11AC" w:rsidP="000F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0306" w14:textId="2B40C261" w:rsidR="000F79A9" w:rsidRDefault="00000000">
    <w:pPr>
      <w:pStyle w:val="Header"/>
    </w:pPr>
    <w:r>
      <w:rPr>
        <w:noProof/>
      </w:rPr>
      <w:pict w14:anchorId="6865F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0FED" w14:textId="7397A5A1" w:rsidR="000F79A9" w:rsidRDefault="00000000">
    <w:pPr>
      <w:pStyle w:val="Header"/>
    </w:pPr>
    <w:r>
      <w:rPr>
        <w:noProof/>
      </w:rPr>
      <w:pict w14:anchorId="0452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4351" w14:textId="7C7897B7" w:rsidR="000F79A9" w:rsidRDefault="00000000">
    <w:pPr>
      <w:pStyle w:val="Header"/>
    </w:pPr>
    <w:r>
      <w:rPr>
        <w:noProof/>
      </w:rPr>
      <w:pict w14:anchorId="3AA8E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909AB"/>
    <w:multiLevelType w:val="hybridMultilevel"/>
    <w:tmpl w:val="2ED87B54"/>
    <w:lvl w:ilvl="0" w:tplc="01660942">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3C7121"/>
    <w:multiLevelType w:val="hybridMultilevel"/>
    <w:tmpl w:val="D3BE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F5CAE"/>
    <w:multiLevelType w:val="multilevel"/>
    <w:tmpl w:val="7F70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678720">
    <w:abstractNumId w:val="2"/>
  </w:num>
  <w:num w:numId="2" w16cid:durableId="1352032558">
    <w:abstractNumId w:val="1"/>
  </w:num>
  <w:num w:numId="3" w16cid:durableId="3657207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tal dhawan">
    <w15:presenceInfo w15:providerId="Windows Live" w15:userId="27125fac1c7b5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xM7e0MDc1MrC0MDZW0lEKTi0uzszPAykwrQUAA8mQOCwAAAA="/>
  </w:docVars>
  <w:rsids>
    <w:rsidRoot w:val="00C05E09"/>
    <w:rsid w:val="000252EF"/>
    <w:rsid w:val="00077FDC"/>
    <w:rsid w:val="000A56CD"/>
    <w:rsid w:val="000C6DA7"/>
    <w:rsid w:val="000F2DB8"/>
    <w:rsid w:val="000F58D5"/>
    <w:rsid w:val="000F79A9"/>
    <w:rsid w:val="0011576B"/>
    <w:rsid w:val="00132041"/>
    <w:rsid w:val="00141226"/>
    <w:rsid w:val="001843B8"/>
    <w:rsid w:val="001C73CD"/>
    <w:rsid w:val="001E227F"/>
    <w:rsid w:val="001E2444"/>
    <w:rsid w:val="001F4924"/>
    <w:rsid w:val="001F5450"/>
    <w:rsid w:val="002212FD"/>
    <w:rsid w:val="00225E9C"/>
    <w:rsid w:val="00234386"/>
    <w:rsid w:val="00240E3B"/>
    <w:rsid w:val="003413A5"/>
    <w:rsid w:val="00364BF8"/>
    <w:rsid w:val="003A7C06"/>
    <w:rsid w:val="003B49FF"/>
    <w:rsid w:val="00427251"/>
    <w:rsid w:val="00445D77"/>
    <w:rsid w:val="004D7BAD"/>
    <w:rsid w:val="004F0476"/>
    <w:rsid w:val="005123B7"/>
    <w:rsid w:val="00523A45"/>
    <w:rsid w:val="00544A70"/>
    <w:rsid w:val="00551A1F"/>
    <w:rsid w:val="005A0CAA"/>
    <w:rsid w:val="005A5B5D"/>
    <w:rsid w:val="005F6097"/>
    <w:rsid w:val="00627230"/>
    <w:rsid w:val="00646807"/>
    <w:rsid w:val="00646A63"/>
    <w:rsid w:val="0065749D"/>
    <w:rsid w:val="0074776C"/>
    <w:rsid w:val="00751809"/>
    <w:rsid w:val="007836A1"/>
    <w:rsid w:val="007A2E21"/>
    <w:rsid w:val="007A6406"/>
    <w:rsid w:val="007E711D"/>
    <w:rsid w:val="007F1347"/>
    <w:rsid w:val="007F2ACB"/>
    <w:rsid w:val="00844EF8"/>
    <w:rsid w:val="00851E92"/>
    <w:rsid w:val="00885457"/>
    <w:rsid w:val="00892CFE"/>
    <w:rsid w:val="00904425"/>
    <w:rsid w:val="009D016F"/>
    <w:rsid w:val="00A15267"/>
    <w:rsid w:val="00A56054"/>
    <w:rsid w:val="00A56964"/>
    <w:rsid w:val="00A7122D"/>
    <w:rsid w:val="00A85432"/>
    <w:rsid w:val="00AA297E"/>
    <w:rsid w:val="00AB1551"/>
    <w:rsid w:val="00AE7D2E"/>
    <w:rsid w:val="00B4282E"/>
    <w:rsid w:val="00B46C92"/>
    <w:rsid w:val="00B97832"/>
    <w:rsid w:val="00BB0B64"/>
    <w:rsid w:val="00BE71CA"/>
    <w:rsid w:val="00C05E09"/>
    <w:rsid w:val="00C24423"/>
    <w:rsid w:val="00C30590"/>
    <w:rsid w:val="00C35DB6"/>
    <w:rsid w:val="00C41BD7"/>
    <w:rsid w:val="00CA43DF"/>
    <w:rsid w:val="00CC42BC"/>
    <w:rsid w:val="00CD5857"/>
    <w:rsid w:val="00CE11AC"/>
    <w:rsid w:val="00CE675B"/>
    <w:rsid w:val="00D03766"/>
    <w:rsid w:val="00D208A1"/>
    <w:rsid w:val="00D22D66"/>
    <w:rsid w:val="00D43786"/>
    <w:rsid w:val="00D45496"/>
    <w:rsid w:val="00DD78C4"/>
    <w:rsid w:val="00DE071D"/>
    <w:rsid w:val="00E60192"/>
    <w:rsid w:val="00E6275D"/>
    <w:rsid w:val="00E92054"/>
    <w:rsid w:val="00EB2D64"/>
    <w:rsid w:val="00ED37E0"/>
    <w:rsid w:val="00F078E2"/>
    <w:rsid w:val="00F3238A"/>
    <w:rsid w:val="00F53BC9"/>
    <w:rsid w:val="00FD03CF"/>
    <w:rsid w:val="00FE31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F07C9"/>
  <w15:chartTrackingRefBased/>
  <w15:docId w15:val="{1F683BEB-A52E-47E6-8C20-7792B22C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E0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05E0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C05E0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05E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E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0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05E0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C05E0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05E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E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E09"/>
    <w:rPr>
      <w:rFonts w:eastAsiaTheme="majorEastAsia" w:cstheme="majorBidi"/>
      <w:color w:val="272727" w:themeColor="text1" w:themeTint="D8"/>
    </w:rPr>
  </w:style>
  <w:style w:type="paragraph" w:styleId="Title">
    <w:name w:val="Title"/>
    <w:basedOn w:val="Normal"/>
    <w:next w:val="Normal"/>
    <w:link w:val="TitleChar"/>
    <w:uiPriority w:val="10"/>
    <w:qFormat/>
    <w:rsid w:val="00C05E0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05E0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05E0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05E0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05E09"/>
    <w:pPr>
      <w:spacing w:before="160"/>
      <w:jc w:val="center"/>
    </w:pPr>
    <w:rPr>
      <w:i/>
      <w:iCs/>
      <w:color w:val="404040" w:themeColor="text1" w:themeTint="BF"/>
    </w:rPr>
  </w:style>
  <w:style w:type="character" w:customStyle="1" w:styleId="QuoteChar">
    <w:name w:val="Quote Char"/>
    <w:basedOn w:val="DefaultParagraphFont"/>
    <w:link w:val="Quote"/>
    <w:uiPriority w:val="29"/>
    <w:rsid w:val="00C05E09"/>
    <w:rPr>
      <w:i/>
      <w:iCs/>
      <w:color w:val="404040" w:themeColor="text1" w:themeTint="BF"/>
    </w:rPr>
  </w:style>
  <w:style w:type="paragraph" w:styleId="ListParagraph">
    <w:name w:val="List Paragraph"/>
    <w:basedOn w:val="Normal"/>
    <w:uiPriority w:val="34"/>
    <w:qFormat/>
    <w:rsid w:val="00C05E09"/>
    <w:pPr>
      <w:ind w:left="720"/>
      <w:contextualSpacing/>
    </w:pPr>
  </w:style>
  <w:style w:type="character" w:styleId="IntenseEmphasis">
    <w:name w:val="Intense Emphasis"/>
    <w:basedOn w:val="DefaultParagraphFont"/>
    <w:uiPriority w:val="21"/>
    <w:qFormat/>
    <w:rsid w:val="00C05E09"/>
    <w:rPr>
      <w:i/>
      <w:iCs/>
      <w:color w:val="2F5496" w:themeColor="accent1" w:themeShade="BF"/>
    </w:rPr>
  </w:style>
  <w:style w:type="paragraph" w:styleId="IntenseQuote">
    <w:name w:val="Intense Quote"/>
    <w:basedOn w:val="Normal"/>
    <w:next w:val="Normal"/>
    <w:link w:val="IntenseQuoteChar"/>
    <w:uiPriority w:val="30"/>
    <w:qFormat/>
    <w:rsid w:val="00C05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E09"/>
    <w:rPr>
      <w:i/>
      <w:iCs/>
      <w:color w:val="2F5496" w:themeColor="accent1" w:themeShade="BF"/>
    </w:rPr>
  </w:style>
  <w:style w:type="character" w:styleId="IntenseReference">
    <w:name w:val="Intense Reference"/>
    <w:basedOn w:val="DefaultParagraphFont"/>
    <w:uiPriority w:val="32"/>
    <w:qFormat/>
    <w:rsid w:val="00C05E09"/>
    <w:rPr>
      <w:b/>
      <w:bCs/>
      <w:smallCaps/>
      <w:color w:val="2F5496" w:themeColor="accent1" w:themeShade="BF"/>
      <w:spacing w:val="5"/>
    </w:rPr>
  </w:style>
  <w:style w:type="character" w:styleId="Strong">
    <w:name w:val="Strong"/>
    <w:basedOn w:val="DefaultParagraphFont"/>
    <w:uiPriority w:val="22"/>
    <w:qFormat/>
    <w:rsid w:val="00132041"/>
    <w:rPr>
      <w:b/>
      <w:bCs/>
    </w:rPr>
  </w:style>
  <w:style w:type="paragraph" w:styleId="NormalWeb">
    <w:name w:val="Normal (Web)"/>
    <w:basedOn w:val="Normal"/>
    <w:uiPriority w:val="99"/>
    <w:unhideWhenUsed/>
    <w:rsid w:val="00132041"/>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132041"/>
    <w:rPr>
      <w:i/>
      <w:iCs/>
    </w:rPr>
  </w:style>
  <w:style w:type="character" w:customStyle="1" w:styleId="katex-mathml">
    <w:name w:val="katex-mathml"/>
    <w:basedOn w:val="DefaultParagraphFont"/>
    <w:rsid w:val="00240E3B"/>
  </w:style>
  <w:style w:type="character" w:customStyle="1" w:styleId="mord">
    <w:name w:val="mord"/>
    <w:basedOn w:val="DefaultParagraphFont"/>
    <w:rsid w:val="00240E3B"/>
  </w:style>
  <w:style w:type="character" w:customStyle="1" w:styleId="mrel">
    <w:name w:val="mrel"/>
    <w:basedOn w:val="DefaultParagraphFont"/>
    <w:rsid w:val="00240E3B"/>
  </w:style>
  <w:style w:type="character" w:customStyle="1" w:styleId="delimsizing">
    <w:name w:val="delimsizing"/>
    <w:basedOn w:val="DefaultParagraphFont"/>
    <w:rsid w:val="00240E3B"/>
  </w:style>
  <w:style w:type="character" w:customStyle="1" w:styleId="vlist-s">
    <w:name w:val="vlist-s"/>
    <w:basedOn w:val="DefaultParagraphFont"/>
    <w:rsid w:val="00240E3B"/>
  </w:style>
  <w:style w:type="character" w:customStyle="1" w:styleId="mbin">
    <w:name w:val="mbin"/>
    <w:basedOn w:val="DefaultParagraphFont"/>
    <w:rsid w:val="00240E3B"/>
  </w:style>
  <w:style w:type="table" w:styleId="TableGrid">
    <w:name w:val="Table Grid"/>
    <w:basedOn w:val="TableNormal"/>
    <w:uiPriority w:val="39"/>
    <w:rsid w:val="00C35DB6"/>
    <w:pPr>
      <w:spacing w:after="0" w:line="240" w:lineRule="auto"/>
    </w:pPr>
    <w:rPr>
      <w:rFonts w:ascii="Times New Roman" w:hAnsi="Times New Roman"/>
      <w:kern w:val="0"/>
      <w:szCs w:val="22"/>
      <w:lang w:val="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A5"/>
    <w:rPr>
      <w:color w:val="0563C1" w:themeColor="hyperlink"/>
      <w:u w:val="single"/>
    </w:rPr>
  </w:style>
  <w:style w:type="character" w:styleId="UnresolvedMention">
    <w:name w:val="Unresolved Mention"/>
    <w:basedOn w:val="DefaultParagraphFont"/>
    <w:uiPriority w:val="99"/>
    <w:semiHidden/>
    <w:unhideWhenUsed/>
    <w:rsid w:val="003413A5"/>
    <w:rPr>
      <w:color w:val="605E5C"/>
      <w:shd w:val="clear" w:color="auto" w:fill="E1DFDD"/>
    </w:rPr>
  </w:style>
  <w:style w:type="paragraph" w:styleId="Header">
    <w:name w:val="header"/>
    <w:basedOn w:val="Normal"/>
    <w:link w:val="HeaderChar"/>
    <w:uiPriority w:val="99"/>
    <w:unhideWhenUsed/>
    <w:rsid w:val="000F7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A9"/>
  </w:style>
  <w:style w:type="paragraph" w:styleId="Footer">
    <w:name w:val="footer"/>
    <w:basedOn w:val="Normal"/>
    <w:link w:val="FooterChar"/>
    <w:uiPriority w:val="99"/>
    <w:unhideWhenUsed/>
    <w:rsid w:val="000F7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A9"/>
  </w:style>
  <w:style w:type="character" w:styleId="CommentReference">
    <w:name w:val="annotation reference"/>
    <w:basedOn w:val="DefaultParagraphFont"/>
    <w:uiPriority w:val="99"/>
    <w:semiHidden/>
    <w:unhideWhenUsed/>
    <w:rsid w:val="00DD78C4"/>
    <w:rPr>
      <w:sz w:val="16"/>
      <w:szCs w:val="16"/>
    </w:rPr>
  </w:style>
  <w:style w:type="paragraph" w:styleId="CommentText">
    <w:name w:val="annotation text"/>
    <w:basedOn w:val="Normal"/>
    <w:link w:val="CommentTextChar"/>
    <w:uiPriority w:val="99"/>
    <w:unhideWhenUsed/>
    <w:rsid w:val="00DD78C4"/>
    <w:pPr>
      <w:spacing w:line="240" w:lineRule="auto"/>
    </w:pPr>
    <w:rPr>
      <w:sz w:val="20"/>
      <w:szCs w:val="18"/>
    </w:rPr>
  </w:style>
  <w:style w:type="character" w:customStyle="1" w:styleId="CommentTextChar">
    <w:name w:val="Comment Text Char"/>
    <w:basedOn w:val="DefaultParagraphFont"/>
    <w:link w:val="CommentText"/>
    <w:uiPriority w:val="99"/>
    <w:rsid w:val="00DD78C4"/>
    <w:rPr>
      <w:sz w:val="20"/>
      <w:szCs w:val="18"/>
    </w:rPr>
  </w:style>
  <w:style w:type="paragraph" w:styleId="CommentSubject">
    <w:name w:val="annotation subject"/>
    <w:basedOn w:val="CommentText"/>
    <w:next w:val="CommentText"/>
    <w:link w:val="CommentSubjectChar"/>
    <w:uiPriority w:val="99"/>
    <w:semiHidden/>
    <w:unhideWhenUsed/>
    <w:rsid w:val="00DD78C4"/>
    <w:rPr>
      <w:b/>
      <w:bCs/>
    </w:rPr>
  </w:style>
  <w:style w:type="character" w:customStyle="1" w:styleId="CommentSubjectChar">
    <w:name w:val="Comment Subject Char"/>
    <w:basedOn w:val="CommentTextChar"/>
    <w:link w:val="CommentSubject"/>
    <w:uiPriority w:val="99"/>
    <w:semiHidden/>
    <w:rsid w:val="00DD78C4"/>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7604">
      <w:bodyDiv w:val="1"/>
      <w:marLeft w:val="0"/>
      <w:marRight w:val="0"/>
      <w:marTop w:val="0"/>
      <w:marBottom w:val="0"/>
      <w:divBdr>
        <w:top w:val="none" w:sz="0" w:space="0" w:color="auto"/>
        <w:left w:val="none" w:sz="0" w:space="0" w:color="auto"/>
        <w:bottom w:val="none" w:sz="0" w:space="0" w:color="auto"/>
        <w:right w:val="none" w:sz="0" w:space="0" w:color="auto"/>
      </w:divBdr>
    </w:div>
    <w:div w:id="272633264">
      <w:bodyDiv w:val="1"/>
      <w:marLeft w:val="0"/>
      <w:marRight w:val="0"/>
      <w:marTop w:val="0"/>
      <w:marBottom w:val="0"/>
      <w:divBdr>
        <w:top w:val="none" w:sz="0" w:space="0" w:color="auto"/>
        <w:left w:val="none" w:sz="0" w:space="0" w:color="auto"/>
        <w:bottom w:val="none" w:sz="0" w:space="0" w:color="auto"/>
        <w:right w:val="none" w:sz="0" w:space="0" w:color="auto"/>
      </w:divBdr>
    </w:div>
    <w:div w:id="790247005">
      <w:bodyDiv w:val="1"/>
      <w:marLeft w:val="0"/>
      <w:marRight w:val="0"/>
      <w:marTop w:val="0"/>
      <w:marBottom w:val="0"/>
      <w:divBdr>
        <w:top w:val="none" w:sz="0" w:space="0" w:color="auto"/>
        <w:left w:val="none" w:sz="0" w:space="0" w:color="auto"/>
        <w:bottom w:val="none" w:sz="0" w:space="0" w:color="auto"/>
        <w:right w:val="none" w:sz="0" w:space="0" w:color="auto"/>
      </w:divBdr>
    </w:div>
    <w:div w:id="9299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2.xml"/><Relationship Id="rId26" Type="http://schemas.openxmlformats.org/officeDocument/2006/relationships/hyperlink" Target="https://doi.org/10.1016/bs.aambs.2014.09.001" TargetMode="External"/><Relationship Id="rId3" Type="http://schemas.openxmlformats.org/officeDocument/2006/relationships/settings" Target="settings.xml"/><Relationship Id="rId21" Type="http://schemas.openxmlformats.org/officeDocument/2006/relationships/hyperlink" Target="https://doi.org/10.1128/AEM.71.9.4951-4959.2005" TargetMode="Externa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5" Type="http://schemas.openxmlformats.org/officeDocument/2006/relationships/hyperlink" Target="https://doi.org/10.21273/HORTTECH.9.2.179" TargetMode="Externa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yperlink" Target="https://www.frac.info" TargetMode="External"/><Relationship Id="rId29" Type="http://schemas.openxmlformats.org/officeDocument/2006/relationships/hyperlink" Target="https://doi.org/10.1016/j.soilbio.2007.07.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46/annurev.ento.51.110104.151146" TargetMode="External"/><Relationship Id="rId32"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038/nrmicro797" TargetMode="External"/><Relationship Id="rId28" Type="http://schemas.openxmlformats.org/officeDocument/2006/relationships/hyperlink" Target="https://doi.org/10.1094/PDIS.1997.81.12.1432" TargetMode="External"/><Relationship Id="rId10" Type="http://schemas.openxmlformats.org/officeDocument/2006/relationships/footer" Target="footer2.xml"/><Relationship Id="rId19" Type="http://schemas.openxmlformats.org/officeDocument/2006/relationships/hyperlink" Target="https://doi.org/10.1016/j.cropro.2016.07.006"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hyperlink" Target="https://doi.org/10.1002/ps.1378" TargetMode="External"/><Relationship Id="rId27" Type="http://schemas.openxmlformats.org/officeDocument/2006/relationships/hyperlink" Target="https://doi.org/10.1094/PDIS.2001.85.3.236"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s%202025\2.%20Abhishek%20Barala%20(Okra)\Abhishek%20Barala%20Okr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s%202025\2.%20Abhishek%20Barala%20(Okra)\Abhishek%20Barala%20Okr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'PDI okra'!$BD$8:$BE$8</c:f>
              <c:strCache>
                <c:ptCount val="2"/>
                <c:pt idx="0">
                  <c:v>T1- Sulphur</c:v>
                </c:pt>
                <c:pt idx="1">
                  <c:v>10.65</c:v>
                </c:pt>
              </c:strCache>
            </c:strRef>
          </c:tx>
          <c:spPr>
            <a:solidFill>
              <a:schemeClr val="accent1"/>
            </a:solidFill>
            <a:ln>
              <a:noFill/>
            </a:ln>
            <a:effectLst/>
          </c:spPr>
          <c:invertIfNegative val="0"/>
          <c:cat>
            <c:strRef>
              <c:f>'PDI okra'!$BF$7:$BI$7</c:f>
              <c:strCache>
                <c:ptCount val="4"/>
                <c:pt idx="0">
                  <c:v>50 DAS</c:v>
                </c:pt>
                <c:pt idx="1">
                  <c:v>60 DAS</c:v>
                </c:pt>
                <c:pt idx="2">
                  <c:v>70 DAS</c:v>
                </c:pt>
                <c:pt idx="3">
                  <c:v>Mean PDI </c:v>
                </c:pt>
              </c:strCache>
              <c:extLst/>
            </c:strRef>
          </c:cat>
          <c:val>
            <c:numRef>
              <c:f>'PDI okra'!$BF$8:$BI$8</c:f>
              <c:numCache>
                <c:formatCode>0.00</c:formatCode>
                <c:ptCount val="4"/>
                <c:pt idx="0">
                  <c:v>13.543333333333335</c:v>
                </c:pt>
                <c:pt idx="1">
                  <c:v>17.676666666666666</c:v>
                </c:pt>
                <c:pt idx="2">
                  <c:v>18.433333333333334</c:v>
                </c:pt>
                <c:pt idx="3">
                  <c:v>17.856666666666666</c:v>
                </c:pt>
              </c:numCache>
            </c:numRef>
          </c:val>
          <c:extLst>
            <c:ext xmlns:c16="http://schemas.microsoft.com/office/drawing/2014/chart" uri="{C3380CC4-5D6E-409C-BE32-E72D297353CC}">
              <c16:uniqueId val="{00000000-D139-4C2A-8169-F26786B76F9A}"/>
            </c:ext>
          </c:extLst>
        </c:ser>
        <c:ser>
          <c:idx val="1"/>
          <c:order val="1"/>
          <c:tx>
            <c:strRef>
              <c:f>'PDI okra'!$BD$9:$BE$9</c:f>
              <c:strCache>
                <c:ptCount val="2"/>
                <c:pt idx="0">
                  <c:v>T2- Hexaconazole </c:v>
                </c:pt>
                <c:pt idx="1">
                  <c:v>11.52</c:v>
                </c:pt>
              </c:strCache>
            </c:strRef>
          </c:tx>
          <c:spPr>
            <a:solidFill>
              <a:schemeClr val="accent2"/>
            </a:solidFill>
            <a:ln>
              <a:noFill/>
            </a:ln>
            <a:effectLst/>
          </c:spPr>
          <c:invertIfNegative val="0"/>
          <c:cat>
            <c:strRef>
              <c:f>'PDI okra'!$BF$7:$BI$7</c:f>
              <c:strCache>
                <c:ptCount val="4"/>
                <c:pt idx="0">
                  <c:v>50 DAS</c:v>
                </c:pt>
                <c:pt idx="1">
                  <c:v>60 DAS</c:v>
                </c:pt>
                <c:pt idx="2">
                  <c:v>70 DAS</c:v>
                </c:pt>
                <c:pt idx="3">
                  <c:v>Mean PDI </c:v>
                </c:pt>
              </c:strCache>
              <c:extLst/>
            </c:strRef>
          </c:cat>
          <c:val>
            <c:numRef>
              <c:f>'PDI okra'!$BF$9:$BI$9</c:f>
              <c:numCache>
                <c:formatCode>0.00</c:formatCode>
                <c:ptCount val="4"/>
                <c:pt idx="0">
                  <c:v>13.113333333333335</c:v>
                </c:pt>
                <c:pt idx="1">
                  <c:v>21.81</c:v>
                </c:pt>
                <c:pt idx="2">
                  <c:v>20.6</c:v>
                </c:pt>
                <c:pt idx="3">
                  <c:v>20.16</c:v>
                </c:pt>
              </c:numCache>
            </c:numRef>
          </c:val>
          <c:extLst>
            <c:ext xmlns:c16="http://schemas.microsoft.com/office/drawing/2014/chart" uri="{C3380CC4-5D6E-409C-BE32-E72D297353CC}">
              <c16:uniqueId val="{00000001-D139-4C2A-8169-F26786B76F9A}"/>
            </c:ext>
          </c:extLst>
        </c:ser>
        <c:ser>
          <c:idx val="2"/>
          <c:order val="2"/>
          <c:tx>
            <c:strRef>
              <c:f>'PDI okra'!$BD$10:$BE$10</c:f>
              <c:strCache>
                <c:ptCount val="2"/>
                <c:pt idx="0">
                  <c:v>T3- Propiconazole</c:v>
                </c:pt>
                <c:pt idx="1">
                  <c:v>10.56</c:v>
                </c:pt>
              </c:strCache>
            </c:strRef>
          </c:tx>
          <c:spPr>
            <a:solidFill>
              <a:schemeClr val="accent3"/>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okra'!$BF$10:$BI$10</c:f>
              <c:numCache>
                <c:formatCode>0.00</c:formatCode>
                <c:ptCount val="4"/>
                <c:pt idx="0">
                  <c:v>14.47</c:v>
                </c:pt>
                <c:pt idx="1">
                  <c:v>25</c:v>
                </c:pt>
                <c:pt idx="2">
                  <c:v>22.73</c:v>
                </c:pt>
                <c:pt idx="3">
                  <c:v>23.2</c:v>
                </c:pt>
              </c:numCache>
            </c:numRef>
          </c:val>
          <c:extLst>
            <c:ext xmlns:c16="http://schemas.microsoft.com/office/drawing/2014/chart" uri="{C3380CC4-5D6E-409C-BE32-E72D297353CC}">
              <c16:uniqueId val="{00000002-D139-4C2A-8169-F26786B76F9A}"/>
            </c:ext>
          </c:extLst>
        </c:ser>
        <c:ser>
          <c:idx val="3"/>
          <c:order val="3"/>
          <c:tx>
            <c:strRef>
              <c:f>'PDI okra'!$BD$11:$BE$11</c:f>
              <c:strCache>
                <c:ptCount val="2"/>
                <c:pt idx="0">
                  <c:v>T4- Potassium bicarbonate</c:v>
                </c:pt>
                <c:pt idx="1">
                  <c:v>11.67</c:v>
                </c:pt>
              </c:strCache>
            </c:strRef>
          </c:tx>
          <c:spPr>
            <a:solidFill>
              <a:schemeClr val="accent4"/>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okra'!$BF$11:$BI$11</c:f>
              <c:numCache>
                <c:formatCode>0.00</c:formatCode>
                <c:ptCount val="4"/>
                <c:pt idx="0">
                  <c:v>14.410000000000002</c:v>
                </c:pt>
                <c:pt idx="1">
                  <c:v>25.929999999999996</c:v>
                </c:pt>
                <c:pt idx="2">
                  <c:v>20.6</c:v>
                </c:pt>
                <c:pt idx="3">
                  <c:v>24.76</c:v>
                </c:pt>
              </c:numCache>
            </c:numRef>
          </c:val>
          <c:extLst>
            <c:ext xmlns:c16="http://schemas.microsoft.com/office/drawing/2014/chart" uri="{C3380CC4-5D6E-409C-BE32-E72D297353CC}">
              <c16:uniqueId val="{00000003-D139-4C2A-8169-F26786B76F9A}"/>
            </c:ext>
          </c:extLst>
        </c:ser>
        <c:ser>
          <c:idx val="4"/>
          <c:order val="4"/>
          <c:tx>
            <c:strRef>
              <c:f>'PDI okra'!$BD$12:$BE$12</c:f>
              <c:strCache>
                <c:ptCount val="2"/>
                <c:pt idx="0">
                  <c:v>T5- Neem oil</c:v>
                </c:pt>
                <c:pt idx="1">
                  <c:v>8.89</c:v>
                </c:pt>
              </c:strCache>
            </c:strRef>
          </c:tx>
          <c:spPr>
            <a:solidFill>
              <a:schemeClr val="accent5"/>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okra'!$BF$12:$BI$12</c:f>
              <c:numCache>
                <c:formatCode>0.00</c:formatCode>
                <c:ptCount val="4"/>
                <c:pt idx="0">
                  <c:v>15.74</c:v>
                </c:pt>
                <c:pt idx="1">
                  <c:v>27.070000000000004</c:v>
                </c:pt>
                <c:pt idx="2">
                  <c:v>26.95</c:v>
                </c:pt>
                <c:pt idx="3">
                  <c:v>25.41</c:v>
                </c:pt>
              </c:numCache>
            </c:numRef>
          </c:val>
          <c:extLst>
            <c:ext xmlns:c16="http://schemas.microsoft.com/office/drawing/2014/chart" uri="{C3380CC4-5D6E-409C-BE32-E72D297353CC}">
              <c16:uniqueId val="{00000004-D139-4C2A-8169-F26786B76F9A}"/>
            </c:ext>
          </c:extLst>
        </c:ser>
        <c:ser>
          <c:idx val="5"/>
          <c:order val="5"/>
          <c:tx>
            <c:strRef>
              <c:f>'PDI okra'!$BD$13:$BE$13</c:f>
              <c:strCache>
                <c:ptCount val="2"/>
                <c:pt idx="0">
                  <c:v>T6- Trichoderma asperellum</c:v>
                </c:pt>
                <c:pt idx="1">
                  <c:v>12.22</c:v>
                </c:pt>
              </c:strCache>
            </c:strRef>
          </c:tx>
          <c:spPr>
            <a:solidFill>
              <a:schemeClr val="accent6"/>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okra'!$BF$13:$BI$13</c:f>
              <c:numCache>
                <c:formatCode>0.00</c:formatCode>
                <c:ptCount val="4"/>
                <c:pt idx="0">
                  <c:v>15.9</c:v>
                </c:pt>
                <c:pt idx="1">
                  <c:v>27.61</c:v>
                </c:pt>
                <c:pt idx="2">
                  <c:v>25.63</c:v>
                </c:pt>
                <c:pt idx="3">
                  <c:v>26.3</c:v>
                </c:pt>
              </c:numCache>
            </c:numRef>
          </c:val>
          <c:extLst>
            <c:ext xmlns:c16="http://schemas.microsoft.com/office/drawing/2014/chart" uri="{C3380CC4-5D6E-409C-BE32-E72D297353CC}">
              <c16:uniqueId val="{00000005-D139-4C2A-8169-F26786B76F9A}"/>
            </c:ext>
          </c:extLst>
        </c:ser>
        <c:ser>
          <c:idx val="6"/>
          <c:order val="6"/>
          <c:tx>
            <c:strRef>
              <c:f>'PDI okra'!$BD$14:$BE$14</c:f>
              <c:strCache>
                <c:ptCount val="2"/>
                <c:pt idx="0">
                  <c:v>T7- Trichoderma harzinaum  </c:v>
                </c:pt>
                <c:pt idx="1">
                  <c:v>10.56</c:v>
                </c:pt>
              </c:strCache>
            </c:strRef>
          </c:tx>
          <c:spPr>
            <a:solidFill>
              <a:schemeClr val="accent1">
                <a:lumMod val="60000"/>
              </a:schemeClr>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okra'!$BF$14:$BI$14</c:f>
              <c:numCache>
                <c:formatCode>0.00</c:formatCode>
                <c:ptCount val="4"/>
                <c:pt idx="0">
                  <c:v>16.010000000000002</c:v>
                </c:pt>
                <c:pt idx="1">
                  <c:v>29.5</c:v>
                </c:pt>
                <c:pt idx="2">
                  <c:v>26.459999999999997</c:v>
                </c:pt>
                <c:pt idx="3">
                  <c:v>28.2</c:v>
                </c:pt>
              </c:numCache>
            </c:numRef>
          </c:val>
          <c:extLst>
            <c:ext xmlns:c16="http://schemas.microsoft.com/office/drawing/2014/chart" uri="{C3380CC4-5D6E-409C-BE32-E72D297353CC}">
              <c16:uniqueId val="{00000006-D139-4C2A-8169-F26786B76F9A}"/>
            </c:ext>
          </c:extLst>
        </c:ser>
        <c:ser>
          <c:idx val="7"/>
          <c:order val="7"/>
          <c:tx>
            <c:strRef>
              <c:f>'PDI okra'!$BD$15:$BE$15</c:f>
              <c:strCache>
                <c:ptCount val="2"/>
                <c:pt idx="0">
                  <c:v>T8- Dinocap</c:v>
                </c:pt>
                <c:pt idx="1">
                  <c:v>11.11</c:v>
                </c:pt>
              </c:strCache>
            </c:strRef>
          </c:tx>
          <c:spPr>
            <a:solidFill>
              <a:schemeClr val="accent2">
                <a:lumMod val="60000"/>
              </a:schemeClr>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okra'!$BF$15:$BI$15</c:f>
              <c:numCache>
                <c:formatCode>0.00</c:formatCode>
                <c:ptCount val="4"/>
                <c:pt idx="0">
                  <c:v>21.98</c:v>
                </c:pt>
                <c:pt idx="1">
                  <c:v>36.700000000000003</c:v>
                </c:pt>
                <c:pt idx="2">
                  <c:v>29.67</c:v>
                </c:pt>
                <c:pt idx="3">
                  <c:v>32.369999999999997</c:v>
                </c:pt>
              </c:numCache>
            </c:numRef>
          </c:val>
          <c:extLst>
            <c:ext xmlns:c16="http://schemas.microsoft.com/office/drawing/2014/chart" uri="{C3380CC4-5D6E-409C-BE32-E72D297353CC}">
              <c16:uniqueId val="{00000007-D139-4C2A-8169-F26786B76F9A}"/>
            </c:ext>
          </c:extLst>
        </c:ser>
        <c:ser>
          <c:idx val="8"/>
          <c:order val="8"/>
          <c:tx>
            <c:strRef>
              <c:f>'PDI okra'!$BD$16:$BE$16</c:f>
              <c:strCache>
                <c:ptCount val="2"/>
                <c:pt idx="0">
                  <c:v>T9- Control </c:v>
                </c:pt>
                <c:pt idx="1">
                  <c:v>10.56</c:v>
                </c:pt>
              </c:strCache>
            </c:strRef>
          </c:tx>
          <c:spPr>
            <a:solidFill>
              <a:schemeClr val="accent3">
                <a:lumMod val="60000"/>
              </a:schemeClr>
            </a:solidFill>
            <a:ln>
              <a:noFill/>
            </a:ln>
            <a:effectLst/>
          </c:spPr>
          <c:invertIfNegative val="0"/>
          <c:cat>
            <c:strRef>
              <c:f>'PDI okra'!$BF$7:$BI$7</c:f>
              <c:strCache>
                <c:ptCount val="4"/>
                <c:pt idx="0">
                  <c:v>50 DAS</c:v>
                </c:pt>
                <c:pt idx="1">
                  <c:v>60 DAS</c:v>
                </c:pt>
                <c:pt idx="2">
                  <c:v>70 DAS</c:v>
                </c:pt>
                <c:pt idx="3">
                  <c:v>Mean PDI </c:v>
                </c:pt>
              </c:strCache>
              <c:extLst/>
            </c:strRef>
          </c:cat>
          <c:val>
            <c:numRef>
              <c:f>'PDI okra'!$BF$16:$BI$16</c:f>
              <c:numCache>
                <c:formatCode>0.00</c:formatCode>
                <c:ptCount val="4"/>
                <c:pt idx="0">
                  <c:v>29.070000000000004</c:v>
                </c:pt>
                <c:pt idx="1">
                  <c:v>40.700000000000003</c:v>
                </c:pt>
                <c:pt idx="2">
                  <c:v>66.7</c:v>
                </c:pt>
                <c:pt idx="3">
                  <c:v>51.833333333333336</c:v>
                </c:pt>
              </c:numCache>
            </c:numRef>
          </c:val>
          <c:extLst>
            <c:ext xmlns:c16="http://schemas.microsoft.com/office/drawing/2014/chart" uri="{C3380CC4-5D6E-409C-BE32-E72D297353CC}">
              <c16:uniqueId val="{00000008-D139-4C2A-8169-F26786B76F9A}"/>
            </c:ext>
          </c:extLst>
        </c:ser>
        <c:dLbls>
          <c:showLegendKey val="0"/>
          <c:showVal val="0"/>
          <c:showCatName val="0"/>
          <c:showSerName val="0"/>
          <c:showPercent val="0"/>
          <c:showBubbleSize val="0"/>
        </c:dLbls>
        <c:gapWidth val="219"/>
        <c:overlap val="-27"/>
        <c:axId val="1658573295"/>
        <c:axId val="1538106927"/>
      </c:barChart>
      <c:catAx>
        <c:axId val="165857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8106927"/>
        <c:crosses val="autoZero"/>
        <c:auto val="1"/>
        <c:lblAlgn val="ctr"/>
        <c:lblOffset val="100"/>
        <c:noMultiLvlLbl val="0"/>
      </c:catAx>
      <c:valAx>
        <c:axId val="15381069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8573295"/>
        <c:crosses val="autoZero"/>
        <c:crossBetween val="between"/>
      </c:valAx>
      <c:spPr>
        <a:noFill/>
        <a:ln>
          <a:noFill/>
        </a:ln>
        <a:effectLst/>
      </c:spPr>
    </c:plotArea>
    <c:legend>
      <c:legendPos val="b"/>
      <c:legendEntry>
        <c:idx val="5"/>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6"/>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5.1923849783427345E-2"/>
          <c:y val="0.66988005689232977"/>
          <c:w val="0.9087545708487762"/>
          <c:h val="0.3119382249006583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'Percet disease control  '!$G$31</c:f>
              <c:strCache>
                <c:ptCount val="1"/>
                <c:pt idx="0">
                  <c:v>T1- Sulphur</c:v>
                </c:pt>
              </c:strCache>
            </c:strRef>
          </c:tx>
          <c:spPr>
            <a:solidFill>
              <a:schemeClr val="accent1"/>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'!$H$31:$K$31</c:f>
              <c:numCache>
                <c:formatCode>General</c:formatCode>
                <c:ptCount val="4"/>
                <c:pt idx="0">
                  <c:v>45.85</c:v>
                </c:pt>
                <c:pt idx="1">
                  <c:v>32.159999999999997</c:v>
                </c:pt>
                <c:pt idx="2">
                  <c:v>61.57</c:v>
                </c:pt>
                <c:pt idx="3">
                  <c:v>51.32</c:v>
                </c:pt>
              </c:numCache>
            </c:numRef>
          </c:val>
          <c:extLst>
            <c:ext xmlns:c16="http://schemas.microsoft.com/office/drawing/2014/chart" uri="{C3380CC4-5D6E-409C-BE32-E72D297353CC}">
              <c16:uniqueId val="{00000000-01CC-4BDB-BB7C-544533786674}"/>
            </c:ext>
          </c:extLst>
        </c:ser>
        <c:ser>
          <c:idx val="1"/>
          <c:order val="1"/>
          <c:tx>
            <c:strRef>
              <c:f>'Percet disease control  '!$G$32</c:f>
              <c:strCache>
                <c:ptCount val="1"/>
                <c:pt idx="0">
                  <c:v>T2- Hexaconazole </c:v>
                </c:pt>
              </c:strCache>
            </c:strRef>
          </c:tx>
          <c:spPr>
            <a:solidFill>
              <a:schemeClr val="accent2"/>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'!$H$32:$K$32</c:f>
              <c:numCache>
                <c:formatCode>General</c:formatCode>
                <c:ptCount val="4"/>
                <c:pt idx="0">
                  <c:v>49.64</c:v>
                </c:pt>
                <c:pt idx="1">
                  <c:v>52.01</c:v>
                </c:pt>
                <c:pt idx="2">
                  <c:v>73.31</c:v>
                </c:pt>
                <c:pt idx="3">
                  <c:v>64.040000000000006</c:v>
                </c:pt>
              </c:numCache>
            </c:numRef>
          </c:val>
          <c:extLst>
            <c:ext xmlns:c16="http://schemas.microsoft.com/office/drawing/2014/chart" uri="{C3380CC4-5D6E-409C-BE32-E72D297353CC}">
              <c16:uniqueId val="{00000001-01CC-4BDB-BB7C-544533786674}"/>
            </c:ext>
          </c:extLst>
        </c:ser>
        <c:ser>
          <c:idx val="2"/>
          <c:order val="2"/>
          <c:tx>
            <c:strRef>
              <c:f>'Percet disease control  '!$G$33</c:f>
              <c:strCache>
                <c:ptCount val="1"/>
                <c:pt idx="0">
                  <c:v>T3- Propiconazole</c:v>
                </c:pt>
              </c:strCache>
            </c:strRef>
          </c:tx>
          <c:spPr>
            <a:solidFill>
              <a:schemeClr val="accent3"/>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'!$H$33:$K$33</c:f>
              <c:numCache>
                <c:formatCode>General</c:formatCode>
                <c:ptCount val="4"/>
                <c:pt idx="0">
                  <c:v>44.93</c:v>
                </c:pt>
                <c:pt idx="1">
                  <c:v>38.57</c:v>
                </c:pt>
                <c:pt idx="2">
                  <c:v>65.92</c:v>
                </c:pt>
                <c:pt idx="3">
                  <c:v>55.56</c:v>
                </c:pt>
              </c:numCache>
            </c:numRef>
          </c:val>
          <c:extLst>
            <c:ext xmlns:c16="http://schemas.microsoft.com/office/drawing/2014/chart" uri="{C3380CC4-5D6E-409C-BE32-E72D297353CC}">
              <c16:uniqueId val="{00000002-01CC-4BDB-BB7C-544533786674}"/>
            </c:ext>
          </c:extLst>
        </c:ser>
        <c:ser>
          <c:idx val="3"/>
          <c:order val="3"/>
          <c:tx>
            <c:strRef>
              <c:f>'Percet disease control  '!$G$34</c:f>
              <c:strCache>
                <c:ptCount val="1"/>
                <c:pt idx="0">
                  <c:v>T4- Potassium bicarbonate</c:v>
                </c:pt>
              </c:strCache>
            </c:strRef>
          </c:tx>
          <c:spPr>
            <a:solidFill>
              <a:schemeClr val="accent4"/>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'!$H$34:$K$34</c:f>
              <c:numCache>
                <c:formatCode>General</c:formatCode>
                <c:ptCount val="4"/>
                <c:pt idx="0">
                  <c:v>53.15</c:v>
                </c:pt>
                <c:pt idx="1">
                  <c:v>46.41</c:v>
                </c:pt>
                <c:pt idx="2">
                  <c:v>69.12</c:v>
                </c:pt>
                <c:pt idx="3">
                  <c:v>61.38</c:v>
                </c:pt>
              </c:numCache>
            </c:numRef>
          </c:val>
          <c:extLst>
            <c:ext xmlns:c16="http://schemas.microsoft.com/office/drawing/2014/chart" uri="{C3380CC4-5D6E-409C-BE32-E72D297353CC}">
              <c16:uniqueId val="{00000003-01CC-4BDB-BB7C-544533786674}"/>
            </c:ext>
          </c:extLst>
        </c:ser>
        <c:ser>
          <c:idx val="4"/>
          <c:order val="4"/>
          <c:tx>
            <c:strRef>
              <c:f>'Percet disease control  '!$G$35</c:f>
              <c:strCache>
                <c:ptCount val="1"/>
                <c:pt idx="0">
                  <c:v>T5- Neem oil</c:v>
                </c:pt>
              </c:strCache>
            </c:strRef>
          </c:tx>
          <c:spPr>
            <a:solidFill>
              <a:schemeClr val="accent5"/>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'!$H$35:$K$35</c:f>
              <c:numCache>
                <c:formatCode>General</c:formatCode>
                <c:ptCount val="4"/>
                <c:pt idx="0">
                  <c:v>21.4</c:v>
                </c:pt>
                <c:pt idx="1">
                  <c:v>9.83</c:v>
                </c:pt>
                <c:pt idx="2">
                  <c:v>55.52</c:v>
                </c:pt>
                <c:pt idx="3">
                  <c:v>37.99</c:v>
                </c:pt>
              </c:numCache>
            </c:numRef>
          </c:val>
          <c:extLst>
            <c:ext xmlns:c16="http://schemas.microsoft.com/office/drawing/2014/chart" uri="{C3380CC4-5D6E-409C-BE32-E72D297353CC}">
              <c16:uniqueId val="{00000004-01CC-4BDB-BB7C-544533786674}"/>
            </c:ext>
          </c:extLst>
        </c:ser>
        <c:ser>
          <c:idx val="5"/>
          <c:order val="5"/>
          <c:tx>
            <c:strRef>
              <c:f>'Percet disease control  '!$G$36</c:f>
              <c:strCache>
                <c:ptCount val="1"/>
                <c:pt idx="0">
                  <c:v>T6- Trichoderma asperellum</c:v>
                </c:pt>
              </c:strCache>
            </c:strRef>
          </c:tx>
          <c:spPr>
            <a:solidFill>
              <a:schemeClr val="accent6"/>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'!$H$36:$K$36</c:f>
              <c:numCache>
                <c:formatCode>General</c:formatCode>
                <c:ptCount val="4"/>
                <c:pt idx="0">
                  <c:v>50.22</c:v>
                </c:pt>
                <c:pt idx="1">
                  <c:v>36.29</c:v>
                </c:pt>
                <c:pt idx="2">
                  <c:v>64.3</c:v>
                </c:pt>
                <c:pt idx="3">
                  <c:v>52.57</c:v>
                </c:pt>
              </c:numCache>
            </c:numRef>
          </c:val>
          <c:extLst>
            <c:ext xmlns:c16="http://schemas.microsoft.com/office/drawing/2014/chart" uri="{C3380CC4-5D6E-409C-BE32-E72D297353CC}">
              <c16:uniqueId val="{00000005-01CC-4BDB-BB7C-544533786674}"/>
            </c:ext>
          </c:extLst>
        </c:ser>
        <c:ser>
          <c:idx val="6"/>
          <c:order val="6"/>
          <c:tx>
            <c:strRef>
              <c:f>'Percet disease control  '!$G$37</c:f>
              <c:strCache>
                <c:ptCount val="1"/>
                <c:pt idx="0">
                  <c:v>T7- Trichoderma harzianum</c:v>
                </c:pt>
              </c:strCache>
            </c:strRef>
          </c:tx>
          <c:spPr>
            <a:solidFill>
              <a:schemeClr val="accent1">
                <a:lumMod val="60000"/>
              </a:schemeClr>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'!$H$37:$K$37</c:f>
              <c:numCache>
                <c:formatCode>General</c:formatCode>
                <c:ptCount val="4"/>
                <c:pt idx="0">
                  <c:v>43.34</c:v>
                </c:pt>
                <c:pt idx="1">
                  <c:v>27.03</c:v>
                </c:pt>
                <c:pt idx="2">
                  <c:v>59.6</c:v>
                </c:pt>
                <c:pt idx="3">
                  <c:v>45.98</c:v>
                </c:pt>
              </c:numCache>
            </c:numRef>
          </c:val>
          <c:extLst>
            <c:ext xmlns:c16="http://schemas.microsoft.com/office/drawing/2014/chart" uri="{C3380CC4-5D6E-409C-BE32-E72D297353CC}">
              <c16:uniqueId val="{00000006-01CC-4BDB-BB7C-544533786674}"/>
            </c:ext>
          </c:extLst>
        </c:ser>
        <c:ser>
          <c:idx val="7"/>
          <c:order val="7"/>
          <c:tx>
            <c:strRef>
              <c:f>'Percet disease control  '!$G$38</c:f>
              <c:strCache>
                <c:ptCount val="1"/>
                <c:pt idx="0">
                  <c:v>T8- Dinocap</c:v>
                </c:pt>
              </c:strCache>
            </c:strRef>
          </c:tx>
          <c:spPr>
            <a:solidFill>
              <a:schemeClr val="accent2">
                <a:lumMod val="60000"/>
              </a:schemeClr>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'!$H$38:$K$38</c:f>
              <c:numCache>
                <c:formatCode>General</c:formatCode>
                <c:ptCount val="4"/>
                <c:pt idx="0">
                  <c:v>53.94</c:v>
                </c:pt>
                <c:pt idx="1">
                  <c:v>33.49</c:v>
                </c:pt>
                <c:pt idx="2">
                  <c:v>60.33</c:v>
                </c:pt>
                <c:pt idx="3">
                  <c:v>49.62</c:v>
                </c:pt>
              </c:numCache>
            </c:numRef>
          </c:val>
          <c:extLst>
            <c:ext xmlns:c16="http://schemas.microsoft.com/office/drawing/2014/chart" uri="{C3380CC4-5D6E-409C-BE32-E72D297353CC}">
              <c16:uniqueId val="{00000007-01CC-4BDB-BB7C-544533786674}"/>
            </c:ext>
          </c:extLst>
        </c:ser>
        <c:ser>
          <c:idx val="8"/>
          <c:order val="8"/>
          <c:tx>
            <c:strRef>
              <c:f>'Percet disease control  '!$G$39</c:f>
              <c:strCache>
                <c:ptCount val="1"/>
                <c:pt idx="0">
                  <c:v>T9- Control </c:v>
                </c:pt>
              </c:strCache>
            </c:strRef>
          </c:tx>
          <c:spPr>
            <a:solidFill>
              <a:schemeClr val="accent3">
                <a:lumMod val="60000"/>
              </a:schemeClr>
            </a:solidFill>
            <a:ln>
              <a:noFill/>
            </a:ln>
            <a:effectLst/>
          </c:spPr>
          <c:invertIfNegative val="0"/>
          <c:cat>
            <c:strRef>
              <c:f>'Percet disease control  '!$H$30:$K$30</c:f>
              <c:strCache>
                <c:ptCount val="4"/>
                <c:pt idx="0">
                  <c:v>50 DAS</c:v>
                </c:pt>
                <c:pt idx="1">
                  <c:v>60 DAS</c:v>
                </c:pt>
                <c:pt idx="2">
                  <c:v>70 DAS</c:v>
                </c:pt>
                <c:pt idx="3">
                  <c:v>PDI</c:v>
                </c:pt>
              </c:strCache>
              <c:extLst/>
            </c:strRef>
          </c:cat>
          <c:val>
            <c:numRef>
              <c:f>'Percet disease control  '!$H$39:$K$39</c:f>
              <c:numCache>
                <c:formatCode>General</c:formatCode>
                <c:ptCount val="4"/>
                <c:pt idx="0">
                  <c:v>29.07</c:v>
                </c:pt>
                <c:pt idx="1">
                  <c:v>40.700000000000003</c:v>
                </c:pt>
                <c:pt idx="2">
                  <c:v>66.7</c:v>
                </c:pt>
                <c:pt idx="3">
                  <c:v>51.83</c:v>
                </c:pt>
              </c:numCache>
            </c:numRef>
          </c:val>
          <c:extLst>
            <c:ext xmlns:c16="http://schemas.microsoft.com/office/drawing/2014/chart" uri="{C3380CC4-5D6E-409C-BE32-E72D297353CC}">
              <c16:uniqueId val="{00000008-01CC-4BDB-BB7C-544533786674}"/>
            </c:ext>
          </c:extLst>
        </c:ser>
        <c:dLbls>
          <c:showLegendKey val="0"/>
          <c:showVal val="0"/>
          <c:showCatName val="0"/>
          <c:showSerName val="0"/>
          <c:showPercent val="0"/>
          <c:showBubbleSize val="0"/>
        </c:dLbls>
        <c:gapWidth val="219"/>
        <c:overlap val="-27"/>
        <c:axId val="1518915519"/>
        <c:axId val="1518917439"/>
      </c:barChart>
      <c:catAx>
        <c:axId val="151891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917439"/>
        <c:crosses val="autoZero"/>
        <c:auto val="1"/>
        <c:lblAlgn val="ctr"/>
        <c:lblOffset val="100"/>
        <c:noMultiLvlLbl val="0"/>
      </c:catAx>
      <c:valAx>
        <c:axId val="1518917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915519"/>
        <c:crosses val="autoZero"/>
        <c:crossBetween val="between"/>
      </c:valAx>
      <c:spPr>
        <a:noFill/>
        <a:ln>
          <a:noFill/>
        </a:ln>
        <a:effectLst/>
      </c:spPr>
    </c:plotArea>
    <c:legend>
      <c:legendPos val="b"/>
      <c:legendEntry>
        <c:idx val="3"/>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6"/>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3.8267960690960133E-2"/>
          <c:y val="0.67875146224699456"/>
          <c:w val="0.94702948177989377"/>
          <c:h val="0.3011275275983759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10</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SITARAM SEERVI</dc:creator>
  <cp:keywords/>
  <dc:description/>
  <cp:lastModifiedBy>shital dhawan</cp:lastModifiedBy>
  <cp:revision>817</cp:revision>
  <cp:lastPrinted>2025-06-29T05:36:00Z</cp:lastPrinted>
  <dcterms:created xsi:type="dcterms:W3CDTF">2025-06-27T03:19:00Z</dcterms:created>
  <dcterms:modified xsi:type="dcterms:W3CDTF">2026-02-06T05:10:00Z</dcterms:modified>
</cp:coreProperties>
</file>