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4EF3C" w14:textId="77777777" w:rsidR="00671CEC" w:rsidRDefault="00671CEC">
      <w:pPr>
        <w:pStyle w:val="Title"/>
        <w:spacing w:after="0"/>
        <w:jc w:val="both"/>
        <w:rPr>
          <w:rFonts w:ascii="Arial" w:eastAsia="Arial" w:hAnsi="Arial" w:cs="Arial"/>
        </w:rPr>
      </w:pPr>
    </w:p>
    <w:p w14:paraId="25F9FCF9" w14:textId="77777777" w:rsidR="00674FAE" w:rsidRDefault="00674FAE">
      <w:pPr>
        <w:pBdr>
          <w:top w:val="nil"/>
          <w:left w:val="nil"/>
          <w:bottom w:val="nil"/>
          <w:right w:val="nil"/>
          <w:between w:val="nil"/>
        </w:pBdr>
        <w:jc w:val="right"/>
        <w:rPr>
          <w:rFonts w:ascii="Arial" w:eastAsia="Arial" w:hAnsi="Arial" w:cs="Arial"/>
          <w:b/>
          <w:bCs/>
          <w:color w:val="000000"/>
          <w:sz w:val="36"/>
          <w:szCs w:val="36"/>
        </w:rPr>
      </w:pPr>
      <w:r w:rsidRPr="00674FAE">
        <w:rPr>
          <w:rFonts w:ascii="Arial" w:eastAsia="Arial" w:hAnsi="Arial" w:cs="Arial"/>
          <w:b/>
          <w:bCs/>
          <w:color w:val="000000"/>
          <w:sz w:val="36"/>
          <w:szCs w:val="36"/>
        </w:rPr>
        <w:t xml:space="preserve">Case report </w:t>
      </w:r>
    </w:p>
    <w:p w14:paraId="705EFB56" w14:textId="77777777" w:rsidR="00674FAE" w:rsidRDefault="00674FAE">
      <w:pPr>
        <w:pBdr>
          <w:top w:val="nil"/>
          <w:left w:val="nil"/>
          <w:bottom w:val="nil"/>
          <w:right w:val="nil"/>
          <w:between w:val="nil"/>
        </w:pBdr>
        <w:jc w:val="right"/>
        <w:rPr>
          <w:rFonts w:ascii="Arial" w:eastAsia="Arial" w:hAnsi="Arial" w:cs="Arial"/>
          <w:b/>
          <w:bCs/>
          <w:color w:val="000000"/>
          <w:sz w:val="36"/>
          <w:szCs w:val="36"/>
        </w:rPr>
      </w:pPr>
    </w:p>
    <w:p w14:paraId="59EAA5C4" w14:textId="48F81589" w:rsidR="00671CEC" w:rsidRDefault="006025D6">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color w:val="000000"/>
          <w:sz w:val="36"/>
          <w:szCs w:val="36"/>
        </w:rPr>
        <w:t>Phenytoin Toxicity Presenting with Gait Disturbance and Cerebellar Signs: A Case Report</w:t>
      </w:r>
    </w:p>
    <w:p w14:paraId="19E6294C" w14:textId="77777777" w:rsidR="00671CEC" w:rsidRDefault="00671CEC">
      <w:pPr>
        <w:pBdr>
          <w:top w:val="nil"/>
          <w:left w:val="nil"/>
          <w:bottom w:val="nil"/>
          <w:right w:val="nil"/>
          <w:between w:val="nil"/>
        </w:pBdr>
        <w:jc w:val="both"/>
        <w:rPr>
          <w:rFonts w:ascii="Arial" w:eastAsia="Arial" w:hAnsi="Arial" w:cs="Arial"/>
          <w:b/>
          <w:bCs/>
          <w:color w:val="000000"/>
          <w:sz w:val="36"/>
          <w:szCs w:val="36"/>
        </w:rPr>
      </w:pPr>
    </w:p>
    <w:p w14:paraId="44EBF895" w14:textId="77777777" w:rsidR="00671CEC" w:rsidRDefault="00671CEC">
      <w:pPr>
        <w:pBdr>
          <w:top w:val="nil"/>
          <w:left w:val="nil"/>
          <w:bottom w:val="nil"/>
          <w:right w:val="nil"/>
          <w:between w:val="nil"/>
        </w:pBdr>
        <w:jc w:val="both"/>
        <w:rPr>
          <w:rFonts w:ascii="Arial" w:eastAsia="Arial" w:hAnsi="Arial" w:cs="Arial"/>
          <w:color w:val="000000"/>
        </w:rPr>
      </w:pPr>
    </w:p>
    <w:p w14:paraId="2BAC5734" w14:textId="77777777" w:rsidR="00671CEC" w:rsidRDefault="006025D6">
      <w:pPr>
        <w:pBdr>
          <w:top w:val="nil"/>
          <w:left w:val="nil"/>
          <w:bottom w:val="nil"/>
          <w:right w:val="nil"/>
          <w:between w:val="nil"/>
        </w:pBdr>
        <w:jc w:val="both"/>
        <w:rPr>
          <w:rFonts w:ascii="Arial" w:eastAsia="Arial" w:hAnsi="Arial" w:cs="Arial"/>
          <w:color w:val="000000"/>
          <w:sz w:val="16"/>
          <w:szCs w:val="16"/>
        </w:rPr>
        <w:sectPr w:rsidR="00671CEC" w:rsidSect="00391B7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23DABB65" wp14:editId="1953CDC9">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303520" cy="19050"/>
                <wp:effectExtent b="0" l="0" r="0" t="0"/>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0D9A2F06"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commentRangeStart w:id="0"/>
      <w:r>
        <w:rPr>
          <w:rFonts w:ascii="Arial" w:eastAsia="Arial" w:hAnsi="Arial" w:cs="Arial"/>
          <w:b/>
          <w:bCs/>
          <w:smallCaps/>
          <w:color w:val="000000"/>
          <w:sz w:val="22"/>
          <w:szCs w:val="22"/>
        </w:rPr>
        <w:t xml:space="preserve">ABSTRACT </w:t>
      </w:r>
      <w:commentRangeEnd w:id="0"/>
      <w:r w:rsidR="00A07232">
        <w:rPr>
          <w:rStyle w:val="CommentReference"/>
        </w:rPr>
        <w:commentReference w:id="0"/>
      </w:r>
    </w:p>
    <w:p w14:paraId="6F0AB771" w14:textId="77777777" w:rsidR="00671CEC" w:rsidRDefault="00671CEC">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671CEC" w14:paraId="0C5C29A3" w14:textId="77777777">
        <w:tc>
          <w:tcPr>
            <w:tcW w:w="8198" w:type="dxa"/>
            <w:shd w:val="clear" w:color="auto" w:fill="F2F2F2"/>
          </w:tcPr>
          <w:p w14:paraId="092C6815" w14:textId="77777777" w:rsidR="00671CEC" w:rsidRDefault="006025D6">
            <w:pPr>
              <w:widowControl w:val="0"/>
              <w:spacing w:before="240" w:after="240"/>
              <w:jc w:val="both"/>
              <w:rPr>
                <w:rFonts w:ascii="Arial" w:eastAsia="Arial" w:hAnsi="Arial" w:cs="Arial"/>
              </w:rPr>
            </w:pPr>
            <w:r>
              <w:rPr>
                <w:rFonts w:ascii="Arial" w:eastAsia="Arial" w:hAnsi="Arial" w:cs="Arial"/>
                <w:b/>
                <w:bCs/>
              </w:rPr>
              <w:t>Introduction</w:t>
            </w:r>
            <w:r>
              <w:rPr>
                <w:rFonts w:ascii="Arial" w:eastAsia="Arial" w:hAnsi="Arial" w:cs="Arial"/>
              </w:rPr>
              <w:t>:-  Phenytoin is a widely used antiepileptic drug with a narrow therapeutic index and non-linear pharmacokinetics, predisposing patients to toxicity even at therapeutic doses. Neurological manifestations often mimic cerebrovascular or cerebellar disorders, making diagnosis challenging.</w:t>
            </w:r>
          </w:p>
          <w:p w14:paraId="07A1B530" w14:textId="77777777" w:rsidR="00671CEC" w:rsidRDefault="006025D6">
            <w:pPr>
              <w:widowControl w:val="0"/>
              <w:spacing w:before="240" w:after="240"/>
              <w:jc w:val="both"/>
              <w:rPr>
                <w:rFonts w:ascii="Arial" w:eastAsia="Arial" w:hAnsi="Arial" w:cs="Arial"/>
              </w:rPr>
            </w:pPr>
            <w:r>
              <w:rPr>
                <w:rFonts w:ascii="Arial" w:eastAsia="Arial" w:hAnsi="Arial" w:cs="Arial"/>
                <w:b/>
                <w:bCs/>
              </w:rPr>
              <w:t>Case Presentation</w:t>
            </w:r>
            <w:r>
              <w:rPr>
                <w:rFonts w:ascii="Arial" w:eastAsia="Arial" w:hAnsi="Arial" w:cs="Arial"/>
              </w:rPr>
              <w:t>:- A 26-year-old woman with a 15-year history of seizure disorder on phenytoin and levetiracetam presented with bilateral lower limb weakness, gait instability and impaired coordination for one week. She had a prior posterior circulation stroke. On examination, she was conscious and oriented with bilateral motor weakness (upper limbs 4/5; lower limbs 3/5) and impaired finger–nose testing. Laboratory investigations showed hemoglobin 12.2 g/dL, total leukocyte count 11,640 cells/mm³, random blood sugar 60 mg/dL, and serum creatinine 0.6 mg/dL. Serum phenytoin level was elevated at 35 µg/mL (therapeutic range 10–20 µg/mL). A diagnosis of phenytoin toxicity with seizure disorder and old posterior circulation stroke was established. Phenytoin was discontinued and the patient was managed with intravenous levetiracetam, valproate, supportive therapy and monitoring, resulting in clinical improvement.</w:t>
            </w:r>
          </w:p>
          <w:p w14:paraId="61B0B7D2" w14:textId="77777777" w:rsidR="00671CEC" w:rsidRDefault="006025D6">
            <w:pPr>
              <w:widowControl w:val="0"/>
              <w:spacing w:before="240" w:after="240"/>
              <w:jc w:val="both"/>
              <w:rPr>
                <w:rFonts w:ascii="Arial" w:eastAsia="Arial" w:hAnsi="Arial" w:cs="Arial"/>
              </w:rPr>
            </w:pPr>
            <w:r>
              <w:rPr>
                <w:rFonts w:ascii="Arial" w:eastAsia="Arial" w:hAnsi="Arial" w:cs="Arial"/>
                <w:b/>
                <w:bCs/>
              </w:rPr>
              <w:t>Discussion</w:t>
            </w:r>
            <w:r>
              <w:rPr>
                <w:rFonts w:ascii="Arial" w:eastAsia="Arial" w:hAnsi="Arial" w:cs="Arial"/>
              </w:rPr>
              <w:t>:- Phenytoin toxicity can present with cerebellar signs due to its narrow therapeutic index and non-linear pharmacokinetics. In this patient, elevated serum phenytoin levels led to gait disturbance and impaired coordination, mimicking cerebrovascular pathology. Early therapeutic drug monitoring and withdrawal of phenytoin resulted in clinical improvement and emphasizing the importance of vigilant monitoring during long-term therapy</w:t>
            </w:r>
          </w:p>
          <w:p w14:paraId="5388D4C5" w14:textId="77777777" w:rsidR="00671CEC" w:rsidRDefault="006025D6">
            <w:pPr>
              <w:widowControl w:val="0"/>
              <w:spacing w:before="240" w:after="240"/>
              <w:jc w:val="both"/>
              <w:rPr>
                <w:rFonts w:ascii="Arial" w:eastAsia="Arial" w:hAnsi="Arial" w:cs="Arial"/>
              </w:rPr>
            </w:pPr>
            <w:r>
              <w:rPr>
                <w:rFonts w:ascii="Arial" w:eastAsia="Arial" w:hAnsi="Arial" w:cs="Arial"/>
                <w:b/>
                <w:bCs/>
              </w:rPr>
              <w:t>Conclusion</w:t>
            </w:r>
            <w:r>
              <w:rPr>
                <w:rFonts w:ascii="Arial" w:eastAsia="Arial" w:hAnsi="Arial" w:cs="Arial"/>
              </w:rPr>
              <w:t>:- Phenytoin toxicity should be suspected in patients with new-onset cerebellar signs or neurological deterioration. Prompt therapeutic drug monitoring and early intervention are essential to prevent complications.</w:t>
            </w:r>
          </w:p>
          <w:p w14:paraId="43576F78" w14:textId="77777777" w:rsidR="00671CEC" w:rsidRDefault="00671CEC">
            <w:pPr>
              <w:widowControl w:val="0"/>
              <w:spacing w:before="240" w:after="240"/>
              <w:jc w:val="both"/>
              <w:rPr>
                <w:rFonts w:ascii="Arial" w:eastAsia="Arial" w:hAnsi="Arial" w:cs="Arial"/>
              </w:rPr>
            </w:pPr>
          </w:p>
        </w:tc>
      </w:tr>
    </w:tbl>
    <w:p w14:paraId="46B5F9ED" w14:textId="77777777" w:rsidR="00671CEC" w:rsidRDefault="00671CEC">
      <w:pPr>
        <w:pBdr>
          <w:top w:val="nil"/>
          <w:left w:val="nil"/>
          <w:bottom w:val="nil"/>
          <w:right w:val="nil"/>
          <w:between w:val="nil"/>
        </w:pBdr>
        <w:jc w:val="both"/>
        <w:rPr>
          <w:rFonts w:ascii="Arial" w:eastAsia="Arial" w:hAnsi="Arial" w:cs="Arial"/>
          <w:i/>
          <w:iCs/>
          <w:color w:val="000000"/>
        </w:rPr>
      </w:pPr>
    </w:p>
    <w:p w14:paraId="4E41DD47" w14:textId="77777777" w:rsidR="00671CEC" w:rsidRDefault="006025D6">
      <w:pPr>
        <w:pBdr>
          <w:top w:val="nil"/>
          <w:left w:val="nil"/>
          <w:bottom w:val="nil"/>
          <w:right w:val="nil"/>
          <w:between w:val="nil"/>
        </w:pBdr>
        <w:jc w:val="both"/>
        <w:rPr>
          <w:rFonts w:ascii="Arial" w:eastAsia="Arial" w:hAnsi="Arial" w:cs="Arial"/>
          <w:i/>
          <w:iCs/>
          <w:color w:val="000000"/>
        </w:rPr>
      </w:pPr>
      <w:r>
        <w:rPr>
          <w:rFonts w:ascii="Arial" w:eastAsia="Arial" w:hAnsi="Arial" w:cs="Arial"/>
          <w:b/>
          <w:bCs/>
          <w:i/>
          <w:iCs/>
          <w:color w:val="000000"/>
        </w:rPr>
        <w:t>Keywords</w:t>
      </w:r>
      <w:r>
        <w:rPr>
          <w:rFonts w:ascii="Arial" w:eastAsia="Arial" w:hAnsi="Arial" w:cs="Arial"/>
          <w:i/>
          <w:iCs/>
          <w:color w:val="000000"/>
        </w:rPr>
        <w:t xml:space="preserve">:- </w:t>
      </w:r>
      <w:commentRangeStart w:id="1"/>
      <w:r>
        <w:rPr>
          <w:rFonts w:ascii="Arial" w:eastAsia="Arial" w:hAnsi="Arial" w:cs="Arial"/>
          <w:i/>
          <w:iCs/>
          <w:color w:val="000000"/>
        </w:rPr>
        <w:t>Phenytoin toxicity, antiepileptic drugs, cerebellar dysfunction, therapeutic drug monitoring, case report.</w:t>
      </w:r>
      <w:commentRangeEnd w:id="1"/>
      <w:r w:rsidR="00A07232">
        <w:rPr>
          <w:rStyle w:val="CommentReference"/>
        </w:rPr>
        <w:commentReference w:id="1"/>
      </w:r>
    </w:p>
    <w:p w14:paraId="4FD2C103" w14:textId="77777777" w:rsidR="00671CEC" w:rsidRDefault="00671CEC">
      <w:pPr>
        <w:pBdr>
          <w:top w:val="nil"/>
          <w:left w:val="nil"/>
          <w:bottom w:val="nil"/>
          <w:right w:val="nil"/>
          <w:between w:val="nil"/>
        </w:pBdr>
        <w:jc w:val="both"/>
        <w:rPr>
          <w:rFonts w:ascii="Arial" w:eastAsia="Arial" w:hAnsi="Arial" w:cs="Arial"/>
          <w:i/>
          <w:iCs/>
          <w:color w:val="000000"/>
        </w:rPr>
      </w:pPr>
    </w:p>
    <w:p w14:paraId="63437039"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14:paraId="2D351645" w14:textId="77777777" w:rsidR="00671CEC" w:rsidRDefault="006025D6">
      <w:pPr>
        <w:spacing w:before="240" w:after="240"/>
        <w:jc w:val="both"/>
        <w:rPr>
          <w:rFonts w:ascii="Arial" w:eastAsia="Arial" w:hAnsi="Arial" w:cs="Arial"/>
          <w:vertAlign w:val="superscript"/>
        </w:rPr>
      </w:pPr>
      <w:r>
        <w:rPr>
          <w:rFonts w:ascii="Arial" w:eastAsia="Arial" w:hAnsi="Arial" w:cs="Arial"/>
        </w:rPr>
        <w:t>Phenytoin is a hydantoin derivative and one of the earliest antiepileptic drugs (AEDs) introduced into clinical practice for the management of generalized tonic–clonic and focal seizures. Despite the development of newer antiepileptic agents, phenytoin continues to be widely prescribed, particularly in resource-limited settings, owing to its efficacy and cost-effectiveness. However, its use is complicated by a narrow therapeutic index and significant interindividual pharmacokinetic variability.</w:t>
      </w:r>
      <w:r>
        <w:rPr>
          <w:rFonts w:ascii="Arial" w:eastAsia="Arial" w:hAnsi="Arial" w:cs="Arial"/>
          <w:vertAlign w:val="superscript"/>
        </w:rPr>
        <w:t>[1]</w:t>
      </w:r>
    </w:p>
    <w:p w14:paraId="68A42D8E" w14:textId="77777777" w:rsidR="00671CEC" w:rsidRDefault="006025D6">
      <w:pPr>
        <w:spacing w:before="240" w:after="240"/>
        <w:jc w:val="both"/>
        <w:rPr>
          <w:rFonts w:ascii="Arial" w:eastAsia="Arial" w:hAnsi="Arial" w:cs="Arial"/>
          <w:vertAlign w:val="superscript"/>
        </w:rPr>
      </w:pPr>
      <w:r>
        <w:rPr>
          <w:rFonts w:ascii="Arial" w:eastAsia="Arial" w:hAnsi="Arial" w:cs="Arial"/>
        </w:rPr>
        <w:t>Phenytoin demonstrates dose-dependent, non-linear (Michaelis–Menten) pharmacokinetics due to saturation of hepatic metabolism mediated primarily by CYP2C9 and CYP2C19 enzymes. As metabolic pathways become saturated, small increments in dosage can result in disproportionate increases in serum concentration, predisposing patients to toxicity.</w:t>
      </w:r>
      <w:r>
        <w:rPr>
          <w:rFonts w:ascii="Arial" w:eastAsia="Arial" w:hAnsi="Arial" w:cs="Arial"/>
          <w:vertAlign w:val="superscript"/>
        </w:rPr>
        <w:t xml:space="preserve">[1,2] </w:t>
      </w:r>
      <w:r>
        <w:rPr>
          <w:rFonts w:ascii="Arial" w:eastAsia="Arial" w:hAnsi="Arial" w:cs="Arial"/>
        </w:rPr>
        <w:t>The accepted therapeutic serum concentration ranges from 10–20 µg/mL; concentrations exceeding this range are associated with concentration-dependent neurological adverse effects.</w:t>
      </w:r>
      <w:r>
        <w:rPr>
          <w:rFonts w:ascii="Arial" w:eastAsia="Arial" w:hAnsi="Arial" w:cs="Arial"/>
          <w:vertAlign w:val="superscript"/>
        </w:rPr>
        <w:t>[2]</w:t>
      </w:r>
    </w:p>
    <w:p w14:paraId="7D748E47" w14:textId="77777777" w:rsidR="00671CEC" w:rsidRDefault="006025D6">
      <w:pPr>
        <w:spacing w:before="240" w:after="240"/>
        <w:jc w:val="both"/>
        <w:rPr>
          <w:rFonts w:ascii="Arial" w:eastAsia="Arial" w:hAnsi="Arial" w:cs="Arial"/>
          <w:vertAlign w:val="superscript"/>
        </w:rPr>
      </w:pPr>
      <w:r>
        <w:rPr>
          <w:rFonts w:ascii="Arial" w:eastAsia="Arial" w:hAnsi="Arial" w:cs="Arial"/>
        </w:rPr>
        <w:t>Phenytoin exerts its antiepileptic action through use-dependent blockade of voltage-gated sodium channels, stabilizing neuronal membranes and limiting repetitive firing. At supratherapeutic levels, excessive sodium channel inhibition produces central nervous system depression. Clinical manifestations of toxicity are classically neurological and include nystagmus, ataxia, dysarthria, tremor, altered sensorium and in severe cases, coma.</w:t>
      </w:r>
      <w:r>
        <w:rPr>
          <w:rFonts w:ascii="Arial" w:eastAsia="Arial" w:hAnsi="Arial" w:cs="Arial"/>
          <w:vertAlign w:val="superscript"/>
        </w:rPr>
        <w:t xml:space="preserve">[2,3] </w:t>
      </w:r>
      <w:commentRangeStart w:id="2"/>
      <w:r>
        <w:rPr>
          <w:rFonts w:ascii="Arial" w:eastAsia="Arial" w:hAnsi="Arial" w:cs="Arial"/>
        </w:rPr>
        <w:t>Chronic toxicity may mimic cerebellar or brainstem pathology, leading to diagnostic challenges.</w:t>
      </w:r>
      <w:r>
        <w:rPr>
          <w:rFonts w:ascii="Arial" w:eastAsia="Arial" w:hAnsi="Arial" w:cs="Arial"/>
          <w:vertAlign w:val="superscript"/>
        </w:rPr>
        <w:t>[3]</w:t>
      </w:r>
      <w:commentRangeEnd w:id="2"/>
      <w:r w:rsidR="00825B11">
        <w:rPr>
          <w:rStyle w:val="CommentReference"/>
        </w:rPr>
        <w:commentReference w:id="2"/>
      </w:r>
    </w:p>
    <w:p w14:paraId="7B8336FF" w14:textId="77777777" w:rsidR="00671CEC" w:rsidRDefault="006025D6">
      <w:pPr>
        <w:spacing w:before="240" w:after="240"/>
        <w:jc w:val="both"/>
        <w:rPr>
          <w:rFonts w:ascii="Arial" w:eastAsia="Arial" w:hAnsi="Arial" w:cs="Arial"/>
          <w:vertAlign w:val="superscript"/>
        </w:rPr>
      </w:pPr>
      <w:r>
        <w:rPr>
          <w:rFonts w:ascii="Arial" w:eastAsia="Arial" w:hAnsi="Arial" w:cs="Arial"/>
        </w:rPr>
        <w:t>Predisposing factors for phenytoin toxicity include drug–drug interactions, hypoalbuminemia, hepatic dysfunction, renal impairment, genetic polymorphisms affecting metabolism, and prolonged therapy resulting in accumulation.</w:t>
      </w:r>
      <w:r>
        <w:rPr>
          <w:rFonts w:ascii="Arial" w:eastAsia="Arial" w:hAnsi="Arial" w:cs="Arial"/>
          <w:vertAlign w:val="superscript"/>
        </w:rPr>
        <w:t>[1,2]</w:t>
      </w:r>
      <w:r>
        <w:rPr>
          <w:rFonts w:ascii="Arial" w:eastAsia="Arial" w:hAnsi="Arial" w:cs="Arial"/>
        </w:rPr>
        <w:t xml:space="preserve"> Because of its nonlinear pharmacokinetics and variable protein binding, therapeutic drug monitoring (TDM) remains essential to ensure safety and optimize treatment outcomes.</w:t>
      </w:r>
      <w:r>
        <w:rPr>
          <w:rFonts w:ascii="Arial" w:eastAsia="Arial" w:hAnsi="Arial" w:cs="Arial"/>
          <w:vertAlign w:val="superscript"/>
        </w:rPr>
        <w:t>[1,4]</w:t>
      </w:r>
      <w:r>
        <w:rPr>
          <w:rFonts w:ascii="Arial" w:eastAsia="Arial" w:hAnsi="Arial" w:cs="Arial"/>
          <w:noProof/>
          <w:vertAlign w:val="superscript"/>
        </w:rPr>
        <w:lastRenderedPageBreak/>
        <w:drawing>
          <wp:inline distT="114300" distB="114300" distL="114300" distR="114300" wp14:anchorId="3F0A656C" wp14:editId="0CE1AC11">
            <wp:extent cx="5731200" cy="4292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731200" cy="4292600"/>
                    </a:xfrm>
                    <a:prstGeom prst="rect">
                      <a:avLst/>
                    </a:prstGeom>
                    <a:ln/>
                  </pic:spPr>
                </pic:pic>
              </a:graphicData>
            </a:graphic>
          </wp:inline>
        </w:drawing>
      </w:r>
      <w:r>
        <w:rPr>
          <w:rFonts w:ascii="Arial" w:eastAsia="Arial" w:hAnsi="Arial" w:cs="Arial"/>
          <w:sz w:val="18"/>
          <w:szCs w:val="18"/>
        </w:rPr>
        <w:t>Figure 1. Relationship between serum phenytoin concentration and neurological manifestation.*Figure created by authors for illustrative purposes based on publication literature.*</w:t>
      </w:r>
      <w:r>
        <w:rPr>
          <w:rFonts w:ascii="Arial" w:eastAsia="Arial" w:hAnsi="Arial" w:cs="Arial"/>
          <w:sz w:val="18"/>
          <w:szCs w:val="18"/>
          <w:vertAlign w:val="superscript"/>
        </w:rPr>
        <w:t>[5-7]</w:t>
      </w:r>
    </w:p>
    <w:p w14:paraId="73E1C28E" w14:textId="77777777" w:rsidR="00671CEC" w:rsidRDefault="006025D6">
      <w:pPr>
        <w:spacing w:before="240" w:after="240"/>
        <w:jc w:val="both"/>
        <w:rPr>
          <w:rFonts w:ascii="Arial" w:eastAsia="Arial" w:hAnsi="Arial" w:cs="Arial"/>
        </w:rPr>
      </w:pPr>
      <w:r>
        <w:rPr>
          <w:rFonts w:ascii="Arial" w:eastAsia="Arial" w:hAnsi="Arial" w:cs="Arial"/>
        </w:rPr>
        <w:t>Early identification of toxicity and timely dose adjustment are critical to prevent potentially irreversible neurological complications. This case report highlights a clinically significant presentation of phenytoin toxicity, emphasizing the importance of vigilant monitoring and careful pharmacotherapeutic management.</w:t>
      </w:r>
    </w:p>
    <w:p w14:paraId="36F1AD69"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CASE PRESENTATION</w:t>
      </w:r>
    </w:p>
    <w:p w14:paraId="7096574E" w14:textId="77777777" w:rsidR="00671CEC" w:rsidRDefault="00671CEC">
      <w:pPr>
        <w:keepNext/>
        <w:pBdr>
          <w:top w:val="nil"/>
          <w:left w:val="nil"/>
          <w:bottom w:val="nil"/>
          <w:right w:val="nil"/>
          <w:between w:val="nil"/>
        </w:pBdr>
        <w:jc w:val="both"/>
        <w:rPr>
          <w:rFonts w:ascii="Arial" w:eastAsia="Arial" w:hAnsi="Arial" w:cs="Arial"/>
          <w:b/>
          <w:bCs/>
          <w:smallCaps/>
          <w:color w:val="000000"/>
          <w:sz w:val="22"/>
          <w:szCs w:val="22"/>
        </w:rPr>
      </w:pPr>
    </w:p>
    <w:p w14:paraId="52A03416" w14:textId="77777777" w:rsidR="00671CEC" w:rsidRDefault="006025D6">
      <w:pPr>
        <w:spacing w:after="160"/>
        <w:jc w:val="both"/>
        <w:rPr>
          <w:rFonts w:ascii="Arial" w:eastAsia="Arial" w:hAnsi="Arial" w:cs="Arial"/>
        </w:rPr>
      </w:pPr>
      <w:r>
        <w:rPr>
          <w:rFonts w:ascii="Arial" w:eastAsia="Arial" w:hAnsi="Arial" w:cs="Arial"/>
        </w:rPr>
        <w:t xml:space="preserve">A 26 years old female patient was admitted to the female medical ward of general medicine in tertiary care hospital, with the chief complaints of weakness of bilateral lower limbs since 1week in the form difficulty walking with the form of tendency to sway in all directions, history of difficulty in bringing food to mouth. Her past history revealed that she was a known case of seizure disorder </w:t>
      </w:r>
      <w:proofErr w:type="gramStart"/>
      <w:r>
        <w:rPr>
          <w:rFonts w:ascii="Arial" w:eastAsia="Arial" w:hAnsi="Arial" w:cs="Arial"/>
        </w:rPr>
        <w:t>since</w:t>
      </w:r>
      <w:proofErr w:type="gramEnd"/>
      <w:r>
        <w:rPr>
          <w:rFonts w:ascii="Arial" w:eastAsia="Arial" w:hAnsi="Arial" w:cs="Arial"/>
        </w:rPr>
        <w:t xml:space="preserve"> 15 years on medication Tab. Levetiracetam 500mg (1-0-1) and Tab. Phenytoin 100mg (1-0-2), past admission 1month back known case of posterior circulation stroke. On examination her BP was 110/80mm of Hg, Pulse rate was 91bpm and SPO</w:t>
      </w:r>
      <w:r>
        <w:rPr>
          <w:rFonts w:ascii="Arial" w:eastAsia="Arial" w:hAnsi="Arial" w:cs="Arial"/>
          <w:vertAlign w:val="subscript"/>
        </w:rPr>
        <w:t>2</w:t>
      </w:r>
      <w:r>
        <w:rPr>
          <w:rFonts w:ascii="Arial" w:eastAsia="Arial" w:hAnsi="Arial" w:cs="Arial"/>
        </w:rPr>
        <w:t xml:space="preserve"> was 95% @ RA.</w:t>
      </w:r>
    </w:p>
    <w:p w14:paraId="66FB076E" w14:textId="77777777" w:rsidR="00671CEC" w:rsidRDefault="00671CEC">
      <w:pPr>
        <w:spacing w:after="160"/>
        <w:jc w:val="both"/>
        <w:rPr>
          <w:rFonts w:ascii="Arial" w:eastAsia="Arial" w:hAnsi="Arial" w:cs="Arial"/>
        </w:rPr>
      </w:pPr>
    </w:p>
    <w:tbl>
      <w:tblPr>
        <w:tblStyle w:val="a0"/>
        <w:tblW w:w="8520" w:type="dxa"/>
        <w:tblInd w:w="0" w:type="dxa"/>
        <w:tblLayout w:type="fixed"/>
        <w:tblLook w:val="0400" w:firstRow="0" w:lastRow="0" w:firstColumn="0" w:lastColumn="0" w:noHBand="0" w:noVBand="1"/>
      </w:tblPr>
      <w:tblGrid>
        <w:gridCol w:w="8520"/>
      </w:tblGrid>
      <w:tr w:rsidR="00671CEC" w14:paraId="3D4F499D" w14:textId="77777777">
        <w:trPr>
          <w:trHeight w:val="298"/>
        </w:trPr>
        <w:tc>
          <w:tcPr>
            <w:tcW w:w="852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tcPr>
          <w:p w14:paraId="47590630" w14:textId="77777777" w:rsidR="00671CEC" w:rsidRDefault="006025D6">
            <w:pPr>
              <w:spacing w:after="160"/>
              <w:jc w:val="both"/>
              <w:rPr>
                <w:rFonts w:ascii="Arial" w:eastAsia="Arial" w:hAnsi="Arial" w:cs="Arial"/>
              </w:rPr>
            </w:pPr>
            <w:r>
              <w:rPr>
                <w:rFonts w:ascii="Arial" w:eastAsia="Arial" w:hAnsi="Arial" w:cs="Arial"/>
                <w:b/>
                <w:bCs/>
              </w:rPr>
              <w:t xml:space="preserve">               SYSTEMIC EXAMINATION</w:t>
            </w:r>
          </w:p>
        </w:tc>
      </w:tr>
      <w:tr w:rsidR="00671CEC" w14:paraId="7D411CC8" w14:textId="77777777">
        <w:trPr>
          <w:trHeight w:val="298"/>
        </w:trPr>
        <w:tc>
          <w:tcPr>
            <w:tcW w:w="852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25C7CE46" w14:textId="77777777" w:rsidR="00671CEC" w:rsidRDefault="006025D6">
            <w:pPr>
              <w:spacing w:after="160"/>
              <w:jc w:val="both"/>
              <w:rPr>
                <w:rFonts w:ascii="Arial" w:eastAsia="Arial" w:hAnsi="Arial" w:cs="Arial"/>
              </w:rPr>
            </w:pPr>
            <w:r>
              <w:rPr>
                <w:rFonts w:ascii="Arial" w:eastAsia="Arial" w:hAnsi="Arial" w:cs="Arial"/>
                <w:b/>
                <w:bCs/>
              </w:rPr>
              <w:lastRenderedPageBreak/>
              <w:t>CNS</w:t>
            </w:r>
            <w:r>
              <w:rPr>
                <w:rFonts w:ascii="Arial" w:eastAsia="Arial" w:hAnsi="Arial" w:cs="Arial"/>
              </w:rPr>
              <w:t xml:space="preserve"> : conscious and oriented E</w:t>
            </w:r>
            <w:r>
              <w:rPr>
                <w:rFonts w:ascii="Arial" w:eastAsia="Arial" w:hAnsi="Arial" w:cs="Arial"/>
                <w:vertAlign w:val="subscript"/>
              </w:rPr>
              <w:t>4</w:t>
            </w:r>
            <w:r>
              <w:rPr>
                <w:rFonts w:ascii="Arial" w:eastAsia="Arial" w:hAnsi="Arial" w:cs="Arial"/>
              </w:rPr>
              <w:t xml:space="preserve"> V</w:t>
            </w:r>
            <w:r>
              <w:rPr>
                <w:rFonts w:ascii="Arial" w:eastAsia="Arial" w:hAnsi="Arial" w:cs="Arial"/>
                <w:vertAlign w:val="subscript"/>
              </w:rPr>
              <w:t>5</w:t>
            </w:r>
            <w:r>
              <w:rPr>
                <w:rFonts w:ascii="Arial" w:eastAsia="Arial" w:hAnsi="Arial" w:cs="Arial"/>
              </w:rPr>
              <w:t xml:space="preserve"> M</w:t>
            </w:r>
            <w:r>
              <w:rPr>
                <w:rFonts w:ascii="Arial" w:eastAsia="Arial" w:hAnsi="Arial" w:cs="Arial"/>
                <w:vertAlign w:val="subscript"/>
              </w:rPr>
              <w:t>6,</w:t>
            </w:r>
            <w:r>
              <w:rPr>
                <w:rFonts w:ascii="Arial" w:eastAsia="Arial" w:hAnsi="Arial" w:cs="Arial"/>
              </w:rPr>
              <w:t xml:space="preserve"> pupil – BERL</w:t>
            </w:r>
          </w:p>
        </w:tc>
      </w:tr>
      <w:tr w:rsidR="00671CEC" w14:paraId="27650941" w14:textId="77777777">
        <w:trPr>
          <w:trHeight w:val="431"/>
        </w:trPr>
        <w:tc>
          <w:tcPr>
            <w:tcW w:w="852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45FA1E31" w14:textId="77777777" w:rsidR="00671CEC" w:rsidRDefault="006025D6">
            <w:pPr>
              <w:spacing w:after="160"/>
              <w:jc w:val="both"/>
              <w:rPr>
                <w:rFonts w:ascii="Arial" w:eastAsia="Arial" w:hAnsi="Arial" w:cs="Arial"/>
                <w:b/>
                <w:bCs/>
              </w:rPr>
            </w:pPr>
            <w:r>
              <w:rPr>
                <w:rFonts w:ascii="Arial" w:eastAsia="Arial" w:hAnsi="Arial" w:cs="Arial"/>
                <w:b/>
                <w:bCs/>
              </w:rPr>
              <w:t xml:space="preserve">1.  </w:t>
            </w:r>
            <w:r>
              <w:rPr>
                <w:rFonts w:ascii="Arial" w:eastAsia="Arial" w:hAnsi="Arial" w:cs="Arial"/>
              </w:rPr>
              <w:t>Motor system -TONE- right upper limbs and lower limbs was normal and left upper limbs and lower limbs was normal</w:t>
            </w:r>
          </w:p>
        </w:tc>
      </w:tr>
      <w:tr w:rsidR="00671CEC" w14:paraId="0934C5A3" w14:textId="77777777">
        <w:trPr>
          <w:trHeight w:val="431"/>
        </w:trPr>
        <w:tc>
          <w:tcPr>
            <w:tcW w:w="852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A20D914" w14:textId="77777777" w:rsidR="00671CEC" w:rsidRDefault="006025D6">
            <w:pPr>
              <w:spacing w:after="160"/>
              <w:jc w:val="both"/>
              <w:rPr>
                <w:rFonts w:ascii="Arial" w:eastAsia="Arial" w:hAnsi="Arial" w:cs="Arial"/>
              </w:rPr>
            </w:pPr>
            <w:r>
              <w:rPr>
                <w:rFonts w:ascii="Arial" w:eastAsia="Arial" w:hAnsi="Arial" w:cs="Arial"/>
              </w:rPr>
              <w:t>2.POWER- right upper limbs score was 4/5,  right lower limb was 3/5 and left upper limbs was 4/5, left lower limbs 3/5, REFLEX- right 2+ and left 2+</w:t>
            </w:r>
          </w:p>
        </w:tc>
      </w:tr>
      <w:tr w:rsidR="00671CEC" w14:paraId="11C508B4" w14:textId="77777777">
        <w:trPr>
          <w:trHeight w:val="1087"/>
        </w:trPr>
        <w:tc>
          <w:tcPr>
            <w:tcW w:w="852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488EAADF" w14:textId="77777777" w:rsidR="00671CEC" w:rsidRDefault="006025D6">
            <w:pPr>
              <w:spacing w:after="160"/>
              <w:jc w:val="both"/>
              <w:rPr>
                <w:rFonts w:ascii="Arial" w:eastAsia="Arial" w:hAnsi="Arial" w:cs="Arial"/>
              </w:rPr>
            </w:pPr>
            <w:r>
              <w:rPr>
                <w:rFonts w:ascii="Arial" w:eastAsia="Arial" w:hAnsi="Arial" w:cs="Arial"/>
              </w:rPr>
              <w:t>3.PLANTAR- right mute and left mute and cerebellar function revealed that finger nose test- right impaired and left impaired.</w:t>
            </w:r>
          </w:p>
          <w:p w14:paraId="243E10BE" w14:textId="77777777" w:rsidR="00671CEC" w:rsidRDefault="006025D6">
            <w:pPr>
              <w:spacing w:after="160"/>
              <w:jc w:val="both"/>
              <w:rPr>
                <w:rFonts w:ascii="Arial" w:eastAsia="Arial" w:hAnsi="Arial" w:cs="Arial"/>
              </w:rPr>
            </w:pPr>
            <w:r>
              <w:rPr>
                <w:rFonts w:ascii="Arial" w:eastAsia="Arial" w:hAnsi="Arial" w:cs="Arial"/>
              </w:rPr>
              <w:t>4.DYSDIADOCHOKINESIA- right negative and left negative.</w:t>
            </w:r>
          </w:p>
          <w:p w14:paraId="7C1519CB" w14:textId="77777777" w:rsidR="00671CEC" w:rsidRDefault="00671CEC">
            <w:pPr>
              <w:spacing w:after="160"/>
              <w:jc w:val="both"/>
              <w:rPr>
                <w:rFonts w:ascii="Arial" w:eastAsia="Arial" w:hAnsi="Arial" w:cs="Arial"/>
              </w:rPr>
            </w:pPr>
          </w:p>
          <w:p w14:paraId="508B799B" w14:textId="77777777" w:rsidR="00671CEC" w:rsidRDefault="00671CEC">
            <w:pPr>
              <w:spacing w:after="160"/>
              <w:jc w:val="both"/>
              <w:rPr>
                <w:rFonts w:ascii="Arial" w:eastAsia="Arial" w:hAnsi="Arial" w:cs="Arial"/>
              </w:rPr>
            </w:pPr>
          </w:p>
        </w:tc>
      </w:tr>
    </w:tbl>
    <w:p w14:paraId="4EEB8940" w14:textId="77777777" w:rsidR="00671CEC" w:rsidRDefault="00671CEC">
      <w:pPr>
        <w:spacing w:after="160"/>
        <w:jc w:val="both"/>
        <w:rPr>
          <w:rFonts w:ascii="Arial" w:eastAsia="Arial" w:hAnsi="Arial" w:cs="Arial"/>
        </w:rPr>
      </w:pPr>
    </w:p>
    <w:p w14:paraId="3CFD4E5E" w14:textId="77777777" w:rsidR="00671CEC" w:rsidRDefault="006025D6">
      <w:pPr>
        <w:spacing w:after="160"/>
        <w:jc w:val="both"/>
        <w:rPr>
          <w:rFonts w:ascii="Arial" w:eastAsia="Arial" w:hAnsi="Arial" w:cs="Arial"/>
        </w:rPr>
      </w:pPr>
      <w:r>
        <w:rPr>
          <w:rFonts w:ascii="Arial" w:eastAsia="Arial" w:hAnsi="Arial" w:cs="Arial"/>
        </w:rPr>
        <w:t xml:space="preserve"> Hence physician advised for tests like complete blood count, liver function tests, kidney function tests, serum electrolyte, Biochemistry, Serum Phenytoin level test, CT Scan, X-ray.</w:t>
      </w:r>
    </w:p>
    <w:p w14:paraId="5CB43820" w14:textId="77777777" w:rsidR="00671CEC" w:rsidRDefault="006025D6">
      <w:pPr>
        <w:spacing w:after="160"/>
        <w:jc w:val="center"/>
        <w:rPr>
          <w:rFonts w:ascii="Arial" w:eastAsia="Arial" w:hAnsi="Arial" w:cs="Arial"/>
          <w:b/>
          <w:bCs/>
        </w:rPr>
      </w:pPr>
      <w:r>
        <w:rPr>
          <w:rFonts w:ascii="Arial" w:eastAsia="Arial" w:hAnsi="Arial" w:cs="Arial"/>
          <w:b/>
          <w:bCs/>
        </w:rPr>
        <w:t>TABLE 1 LABORATORY PARAMETERS</w:t>
      </w:r>
    </w:p>
    <w:tbl>
      <w:tblPr>
        <w:tblStyle w:val="a1"/>
        <w:tblW w:w="9330" w:type="dxa"/>
        <w:tblInd w:w="0" w:type="dxa"/>
        <w:tblBorders>
          <w:top w:val="single" w:sz="4" w:space="0" w:color="7F7F7F"/>
          <w:bottom w:val="single" w:sz="4" w:space="0" w:color="7F7F7F"/>
        </w:tblBorders>
        <w:tblLayout w:type="fixed"/>
        <w:tblLook w:val="0460" w:firstRow="1" w:lastRow="1" w:firstColumn="0" w:lastColumn="0" w:noHBand="0" w:noVBand="1"/>
      </w:tblPr>
      <w:tblGrid>
        <w:gridCol w:w="570"/>
        <w:gridCol w:w="2070"/>
        <w:gridCol w:w="2250"/>
        <w:gridCol w:w="1890"/>
        <w:gridCol w:w="2550"/>
      </w:tblGrid>
      <w:tr w:rsidR="00671CEC" w14:paraId="38BD9161" w14:textId="77777777" w:rsidTr="00671CEC">
        <w:trPr>
          <w:cnfStyle w:val="100000000000" w:firstRow="1" w:lastRow="0" w:firstColumn="0" w:lastColumn="0" w:oddVBand="0" w:evenVBand="0" w:oddHBand="0" w:evenHBand="0" w:firstRowFirstColumn="0" w:firstRowLastColumn="0" w:lastRowFirstColumn="0" w:lastRowLastColumn="0"/>
        </w:trPr>
        <w:tc>
          <w:tcPr>
            <w:tcW w:w="570" w:type="dxa"/>
          </w:tcPr>
          <w:p w14:paraId="08DA0483" w14:textId="77777777" w:rsidR="00671CEC" w:rsidRDefault="006025D6">
            <w:pPr>
              <w:jc w:val="both"/>
              <w:rPr>
                <w:rFonts w:ascii="Arial" w:eastAsia="Arial" w:hAnsi="Arial" w:cs="Arial"/>
              </w:rPr>
            </w:pPr>
            <w:r>
              <w:rPr>
                <w:rFonts w:ascii="Arial" w:eastAsia="Arial" w:hAnsi="Arial" w:cs="Arial"/>
              </w:rPr>
              <w:t>SL NO</w:t>
            </w:r>
          </w:p>
        </w:tc>
        <w:tc>
          <w:tcPr>
            <w:tcW w:w="2070" w:type="dxa"/>
          </w:tcPr>
          <w:p w14:paraId="2EEBC3BF" w14:textId="77777777" w:rsidR="00671CEC" w:rsidRDefault="006025D6">
            <w:pPr>
              <w:jc w:val="both"/>
              <w:rPr>
                <w:rFonts w:ascii="Arial" w:eastAsia="Arial" w:hAnsi="Arial" w:cs="Arial"/>
              </w:rPr>
            </w:pPr>
            <w:r>
              <w:rPr>
                <w:rFonts w:ascii="Arial" w:eastAsia="Arial" w:hAnsi="Arial" w:cs="Arial"/>
              </w:rPr>
              <w:t xml:space="preserve">TESTS </w:t>
            </w:r>
          </w:p>
        </w:tc>
        <w:tc>
          <w:tcPr>
            <w:tcW w:w="2250" w:type="dxa"/>
          </w:tcPr>
          <w:p w14:paraId="25C14C08" w14:textId="77777777" w:rsidR="00671CEC" w:rsidRDefault="006025D6">
            <w:pPr>
              <w:jc w:val="both"/>
              <w:rPr>
                <w:rFonts w:ascii="Arial" w:eastAsia="Arial" w:hAnsi="Arial" w:cs="Arial"/>
              </w:rPr>
            </w:pPr>
            <w:r>
              <w:rPr>
                <w:rFonts w:ascii="Arial" w:eastAsia="Arial" w:hAnsi="Arial" w:cs="Arial"/>
              </w:rPr>
              <w:t xml:space="preserve">PARAMETERS </w:t>
            </w:r>
          </w:p>
        </w:tc>
        <w:tc>
          <w:tcPr>
            <w:tcW w:w="1890" w:type="dxa"/>
          </w:tcPr>
          <w:p w14:paraId="038E99FD" w14:textId="77777777" w:rsidR="00671CEC" w:rsidRDefault="006025D6">
            <w:pPr>
              <w:jc w:val="both"/>
              <w:rPr>
                <w:rFonts w:ascii="Arial" w:eastAsia="Arial" w:hAnsi="Arial" w:cs="Arial"/>
              </w:rPr>
            </w:pPr>
            <w:r>
              <w:rPr>
                <w:rFonts w:ascii="Arial" w:eastAsia="Arial" w:hAnsi="Arial" w:cs="Arial"/>
              </w:rPr>
              <w:t xml:space="preserve">RESULTS ON ADMISSION </w:t>
            </w:r>
          </w:p>
        </w:tc>
        <w:tc>
          <w:tcPr>
            <w:tcW w:w="2550" w:type="dxa"/>
          </w:tcPr>
          <w:p w14:paraId="10B6328A" w14:textId="77777777" w:rsidR="00671CEC" w:rsidRDefault="006025D6">
            <w:pPr>
              <w:jc w:val="both"/>
              <w:rPr>
                <w:rFonts w:ascii="Arial" w:eastAsia="Arial" w:hAnsi="Arial" w:cs="Arial"/>
              </w:rPr>
            </w:pPr>
            <w:r>
              <w:rPr>
                <w:rFonts w:ascii="Arial" w:eastAsia="Arial" w:hAnsi="Arial" w:cs="Arial"/>
              </w:rPr>
              <w:t>REFERENCE RANGE</w:t>
            </w:r>
          </w:p>
        </w:tc>
      </w:tr>
      <w:tr w:rsidR="00671CEC" w14:paraId="150E3660"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5B7F0762" w14:textId="77777777" w:rsidR="00671CEC" w:rsidRDefault="006025D6">
            <w:pPr>
              <w:jc w:val="both"/>
              <w:rPr>
                <w:rFonts w:ascii="Arial" w:eastAsia="Arial" w:hAnsi="Arial" w:cs="Arial"/>
              </w:rPr>
            </w:pPr>
            <w:r>
              <w:rPr>
                <w:rFonts w:ascii="Arial" w:eastAsia="Arial" w:hAnsi="Arial" w:cs="Arial"/>
              </w:rPr>
              <w:t>1</w:t>
            </w:r>
          </w:p>
        </w:tc>
        <w:tc>
          <w:tcPr>
            <w:tcW w:w="2070" w:type="dxa"/>
          </w:tcPr>
          <w:p w14:paraId="334B2FF1" w14:textId="77777777" w:rsidR="00671CEC" w:rsidRDefault="006025D6">
            <w:pPr>
              <w:jc w:val="both"/>
              <w:rPr>
                <w:rFonts w:ascii="Arial" w:eastAsia="Arial" w:hAnsi="Arial" w:cs="Arial"/>
              </w:rPr>
            </w:pPr>
            <w:r>
              <w:rPr>
                <w:rFonts w:ascii="Arial" w:eastAsia="Arial" w:hAnsi="Arial" w:cs="Arial"/>
              </w:rPr>
              <w:t>COMPLETE BLOOD COUNT</w:t>
            </w:r>
          </w:p>
        </w:tc>
        <w:tc>
          <w:tcPr>
            <w:tcW w:w="2250" w:type="dxa"/>
          </w:tcPr>
          <w:p w14:paraId="667AF542" w14:textId="77777777" w:rsidR="00671CEC" w:rsidRDefault="006025D6">
            <w:pPr>
              <w:jc w:val="both"/>
              <w:rPr>
                <w:rFonts w:ascii="Arial" w:eastAsia="Arial" w:hAnsi="Arial" w:cs="Arial"/>
              </w:rPr>
            </w:pPr>
            <w:r>
              <w:rPr>
                <w:rFonts w:ascii="Arial" w:eastAsia="Arial" w:hAnsi="Arial" w:cs="Arial"/>
              </w:rPr>
              <w:t>HEMOGLOBIN</w:t>
            </w:r>
          </w:p>
        </w:tc>
        <w:tc>
          <w:tcPr>
            <w:tcW w:w="1890" w:type="dxa"/>
          </w:tcPr>
          <w:p w14:paraId="161FD479" w14:textId="77777777" w:rsidR="00671CEC" w:rsidRDefault="006025D6">
            <w:pPr>
              <w:jc w:val="both"/>
              <w:rPr>
                <w:rFonts w:ascii="Arial" w:eastAsia="Arial" w:hAnsi="Arial" w:cs="Arial"/>
              </w:rPr>
            </w:pPr>
            <w:r>
              <w:rPr>
                <w:rFonts w:ascii="Arial" w:eastAsia="Arial" w:hAnsi="Arial" w:cs="Arial"/>
              </w:rPr>
              <w:t>12.2</w:t>
            </w:r>
          </w:p>
        </w:tc>
        <w:tc>
          <w:tcPr>
            <w:tcW w:w="2550" w:type="dxa"/>
          </w:tcPr>
          <w:p w14:paraId="5E26E439" w14:textId="77777777" w:rsidR="00671CEC" w:rsidRDefault="006025D6">
            <w:pPr>
              <w:jc w:val="both"/>
              <w:rPr>
                <w:rFonts w:ascii="Arial" w:eastAsia="Arial" w:hAnsi="Arial" w:cs="Arial"/>
              </w:rPr>
            </w:pPr>
            <w:r>
              <w:rPr>
                <w:rFonts w:ascii="Arial" w:eastAsia="Arial" w:hAnsi="Arial" w:cs="Arial"/>
              </w:rPr>
              <w:t>12.5-16gm%</w:t>
            </w:r>
          </w:p>
        </w:tc>
      </w:tr>
      <w:tr w:rsidR="00671CEC" w14:paraId="478A8970" w14:textId="77777777" w:rsidTr="00671CEC">
        <w:tc>
          <w:tcPr>
            <w:tcW w:w="570" w:type="dxa"/>
          </w:tcPr>
          <w:p w14:paraId="5D48C848" w14:textId="77777777" w:rsidR="00671CEC" w:rsidRDefault="00671CEC">
            <w:pPr>
              <w:jc w:val="both"/>
              <w:rPr>
                <w:rFonts w:ascii="Arial" w:eastAsia="Arial" w:hAnsi="Arial" w:cs="Arial"/>
              </w:rPr>
            </w:pPr>
          </w:p>
        </w:tc>
        <w:tc>
          <w:tcPr>
            <w:tcW w:w="2070" w:type="dxa"/>
          </w:tcPr>
          <w:p w14:paraId="4C384FF7" w14:textId="77777777" w:rsidR="00671CEC" w:rsidRDefault="00671CEC">
            <w:pPr>
              <w:jc w:val="both"/>
              <w:rPr>
                <w:rFonts w:ascii="Arial" w:eastAsia="Arial" w:hAnsi="Arial" w:cs="Arial"/>
              </w:rPr>
            </w:pPr>
          </w:p>
        </w:tc>
        <w:tc>
          <w:tcPr>
            <w:tcW w:w="2250" w:type="dxa"/>
          </w:tcPr>
          <w:p w14:paraId="2760A075" w14:textId="77777777" w:rsidR="00671CEC" w:rsidRDefault="006025D6">
            <w:pPr>
              <w:jc w:val="both"/>
              <w:rPr>
                <w:rFonts w:ascii="Arial" w:eastAsia="Arial" w:hAnsi="Arial" w:cs="Arial"/>
              </w:rPr>
            </w:pPr>
            <w:r>
              <w:rPr>
                <w:rFonts w:ascii="Arial" w:eastAsia="Arial" w:hAnsi="Arial" w:cs="Arial"/>
              </w:rPr>
              <w:t>TOTAL WBC COUNT</w:t>
            </w:r>
          </w:p>
        </w:tc>
        <w:tc>
          <w:tcPr>
            <w:tcW w:w="1890" w:type="dxa"/>
          </w:tcPr>
          <w:p w14:paraId="40F8674B" w14:textId="77777777" w:rsidR="00671CEC" w:rsidRDefault="006025D6">
            <w:pPr>
              <w:jc w:val="both"/>
              <w:rPr>
                <w:rFonts w:ascii="Arial" w:eastAsia="Arial" w:hAnsi="Arial" w:cs="Arial"/>
              </w:rPr>
            </w:pPr>
            <w:r>
              <w:rPr>
                <w:rFonts w:ascii="Arial" w:eastAsia="Arial" w:hAnsi="Arial" w:cs="Arial"/>
              </w:rPr>
              <w:t>11640</w:t>
            </w:r>
          </w:p>
        </w:tc>
        <w:tc>
          <w:tcPr>
            <w:tcW w:w="2550" w:type="dxa"/>
          </w:tcPr>
          <w:p w14:paraId="149F8A55" w14:textId="77777777" w:rsidR="00671CEC" w:rsidRDefault="006025D6">
            <w:pPr>
              <w:jc w:val="both"/>
              <w:rPr>
                <w:rFonts w:ascii="Arial" w:eastAsia="Arial" w:hAnsi="Arial" w:cs="Arial"/>
              </w:rPr>
            </w:pPr>
            <w:r>
              <w:rPr>
                <w:rFonts w:ascii="Arial" w:eastAsia="Arial" w:hAnsi="Arial" w:cs="Arial"/>
              </w:rPr>
              <w:t>4000-11000cells/</w:t>
            </w:r>
            <w:proofErr w:type="spellStart"/>
            <w:r>
              <w:rPr>
                <w:rFonts w:ascii="Arial" w:eastAsia="Arial" w:hAnsi="Arial" w:cs="Arial"/>
              </w:rPr>
              <w:t>cumm</w:t>
            </w:r>
            <w:proofErr w:type="spellEnd"/>
          </w:p>
        </w:tc>
      </w:tr>
      <w:tr w:rsidR="00671CEC" w14:paraId="15E6F0C1"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28C76E1F" w14:textId="77777777" w:rsidR="00671CEC" w:rsidRDefault="00671CEC">
            <w:pPr>
              <w:jc w:val="both"/>
              <w:rPr>
                <w:rFonts w:ascii="Arial" w:eastAsia="Arial" w:hAnsi="Arial" w:cs="Arial"/>
              </w:rPr>
            </w:pPr>
          </w:p>
        </w:tc>
        <w:tc>
          <w:tcPr>
            <w:tcW w:w="2070" w:type="dxa"/>
          </w:tcPr>
          <w:p w14:paraId="05D86C57" w14:textId="77777777" w:rsidR="00671CEC" w:rsidRDefault="00671CEC">
            <w:pPr>
              <w:jc w:val="both"/>
              <w:rPr>
                <w:rFonts w:ascii="Arial" w:eastAsia="Arial" w:hAnsi="Arial" w:cs="Arial"/>
              </w:rPr>
            </w:pPr>
          </w:p>
        </w:tc>
        <w:tc>
          <w:tcPr>
            <w:tcW w:w="2250" w:type="dxa"/>
          </w:tcPr>
          <w:p w14:paraId="5AC0E73F" w14:textId="77777777" w:rsidR="00671CEC" w:rsidRDefault="006025D6">
            <w:pPr>
              <w:jc w:val="both"/>
              <w:rPr>
                <w:rFonts w:ascii="Arial" w:eastAsia="Arial" w:hAnsi="Arial" w:cs="Arial"/>
              </w:rPr>
            </w:pPr>
            <w:r>
              <w:rPr>
                <w:rFonts w:ascii="Arial" w:eastAsia="Arial" w:hAnsi="Arial" w:cs="Arial"/>
              </w:rPr>
              <w:t>NEUTOPHILS</w:t>
            </w:r>
          </w:p>
        </w:tc>
        <w:tc>
          <w:tcPr>
            <w:tcW w:w="1890" w:type="dxa"/>
          </w:tcPr>
          <w:p w14:paraId="35744B15" w14:textId="77777777" w:rsidR="00671CEC" w:rsidRDefault="006025D6">
            <w:pPr>
              <w:jc w:val="both"/>
              <w:rPr>
                <w:rFonts w:ascii="Arial" w:eastAsia="Arial" w:hAnsi="Arial" w:cs="Arial"/>
              </w:rPr>
            </w:pPr>
            <w:r>
              <w:rPr>
                <w:rFonts w:ascii="Arial" w:eastAsia="Arial" w:hAnsi="Arial" w:cs="Arial"/>
              </w:rPr>
              <w:t>71</w:t>
            </w:r>
          </w:p>
        </w:tc>
        <w:tc>
          <w:tcPr>
            <w:tcW w:w="2550" w:type="dxa"/>
          </w:tcPr>
          <w:p w14:paraId="49712D62" w14:textId="77777777" w:rsidR="00671CEC" w:rsidRDefault="006025D6">
            <w:pPr>
              <w:jc w:val="both"/>
              <w:rPr>
                <w:rFonts w:ascii="Arial" w:eastAsia="Arial" w:hAnsi="Arial" w:cs="Arial"/>
              </w:rPr>
            </w:pPr>
            <w:r>
              <w:rPr>
                <w:rFonts w:ascii="Arial" w:eastAsia="Arial" w:hAnsi="Arial" w:cs="Arial"/>
              </w:rPr>
              <w:t>40-70%</w:t>
            </w:r>
          </w:p>
        </w:tc>
      </w:tr>
      <w:tr w:rsidR="00671CEC" w14:paraId="5AD1BCD2" w14:textId="77777777" w:rsidTr="00671CEC">
        <w:tc>
          <w:tcPr>
            <w:tcW w:w="570" w:type="dxa"/>
          </w:tcPr>
          <w:p w14:paraId="57AEE205" w14:textId="77777777" w:rsidR="00671CEC" w:rsidRDefault="00671CEC">
            <w:pPr>
              <w:jc w:val="both"/>
              <w:rPr>
                <w:rFonts w:ascii="Arial" w:eastAsia="Arial" w:hAnsi="Arial" w:cs="Arial"/>
              </w:rPr>
            </w:pPr>
          </w:p>
        </w:tc>
        <w:tc>
          <w:tcPr>
            <w:tcW w:w="2070" w:type="dxa"/>
          </w:tcPr>
          <w:p w14:paraId="6B21C5B6" w14:textId="77777777" w:rsidR="00671CEC" w:rsidRDefault="00671CEC">
            <w:pPr>
              <w:jc w:val="both"/>
              <w:rPr>
                <w:rFonts w:ascii="Arial" w:eastAsia="Arial" w:hAnsi="Arial" w:cs="Arial"/>
              </w:rPr>
            </w:pPr>
          </w:p>
        </w:tc>
        <w:tc>
          <w:tcPr>
            <w:tcW w:w="2250" w:type="dxa"/>
          </w:tcPr>
          <w:p w14:paraId="09AAC68A" w14:textId="77777777" w:rsidR="00671CEC" w:rsidRDefault="006025D6">
            <w:pPr>
              <w:jc w:val="both"/>
              <w:rPr>
                <w:rFonts w:ascii="Arial" w:eastAsia="Arial" w:hAnsi="Arial" w:cs="Arial"/>
              </w:rPr>
            </w:pPr>
            <w:r>
              <w:rPr>
                <w:rFonts w:ascii="Arial" w:eastAsia="Arial" w:hAnsi="Arial" w:cs="Arial"/>
              </w:rPr>
              <w:t>RBC COUNT</w:t>
            </w:r>
          </w:p>
        </w:tc>
        <w:tc>
          <w:tcPr>
            <w:tcW w:w="1890" w:type="dxa"/>
          </w:tcPr>
          <w:p w14:paraId="778F5380" w14:textId="77777777" w:rsidR="00671CEC" w:rsidRDefault="006025D6">
            <w:pPr>
              <w:jc w:val="both"/>
              <w:rPr>
                <w:rFonts w:ascii="Arial" w:eastAsia="Arial" w:hAnsi="Arial" w:cs="Arial"/>
              </w:rPr>
            </w:pPr>
            <w:r>
              <w:rPr>
                <w:rFonts w:ascii="Arial" w:eastAsia="Arial" w:hAnsi="Arial" w:cs="Arial"/>
              </w:rPr>
              <w:t>4.27</w:t>
            </w:r>
          </w:p>
        </w:tc>
        <w:tc>
          <w:tcPr>
            <w:tcW w:w="2550" w:type="dxa"/>
          </w:tcPr>
          <w:p w14:paraId="50835E9E" w14:textId="77777777" w:rsidR="00671CEC" w:rsidRDefault="006025D6">
            <w:pPr>
              <w:jc w:val="both"/>
              <w:rPr>
                <w:rFonts w:ascii="Arial" w:eastAsia="Arial" w:hAnsi="Arial" w:cs="Arial"/>
              </w:rPr>
            </w:pPr>
            <w:r>
              <w:rPr>
                <w:rFonts w:ascii="Arial" w:eastAsia="Arial" w:hAnsi="Arial" w:cs="Arial"/>
              </w:rPr>
              <w:t>4.5-5.5million/</w:t>
            </w:r>
            <w:proofErr w:type="spellStart"/>
            <w:r>
              <w:rPr>
                <w:rFonts w:ascii="Arial" w:eastAsia="Arial" w:hAnsi="Arial" w:cs="Arial"/>
              </w:rPr>
              <w:t>cumm</w:t>
            </w:r>
            <w:proofErr w:type="spellEnd"/>
          </w:p>
        </w:tc>
      </w:tr>
      <w:tr w:rsidR="00671CEC" w14:paraId="049BA356"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3B45B3EF" w14:textId="77777777" w:rsidR="00671CEC" w:rsidRDefault="00671CEC">
            <w:pPr>
              <w:jc w:val="both"/>
              <w:rPr>
                <w:rFonts w:ascii="Arial" w:eastAsia="Arial" w:hAnsi="Arial" w:cs="Arial"/>
              </w:rPr>
            </w:pPr>
          </w:p>
        </w:tc>
        <w:tc>
          <w:tcPr>
            <w:tcW w:w="2070" w:type="dxa"/>
          </w:tcPr>
          <w:p w14:paraId="7C14A406" w14:textId="77777777" w:rsidR="00671CEC" w:rsidRDefault="00671CEC">
            <w:pPr>
              <w:jc w:val="both"/>
              <w:rPr>
                <w:rFonts w:ascii="Arial" w:eastAsia="Arial" w:hAnsi="Arial" w:cs="Arial"/>
              </w:rPr>
            </w:pPr>
          </w:p>
        </w:tc>
        <w:tc>
          <w:tcPr>
            <w:tcW w:w="2250" w:type="dxa"/>
          </w:tcPr>
          <w:p w14:paraId="3EE56FF8" w14:textId="77777777" w:rsidR="00671CEC" w:rsidRDefault="006025D6">
            <w:pPr>
              <w:jc w:val="both"/>
              <w:rPr>
                <w:rFonts w:ascii="Arial" w:eastAsia="Arial" w:hAnsi="Arial" w:cs="Arial"/>
              </w:rPr>
            </w:pPr>
            <w:r>
              <w:rPr>
                <w:rFonts w:ascii="Arial" w:eastAsia="Arial" w:hAnsi="Arial" w:cs="Arial"/>
              </w:rPr>
              <w:t>PDW-CV</w:t>
            </w:r>
          </w:p>
        </w:tc>
        <w:tc>
          <w:tcPr>
            <w:tcW w:w="1890" w:type="dxa"/>
          </w:tcPr>
          <w:p w14:paraId="03054541" w14:textId="77777777" w:rsidR="00671CEC" w:rsidRDefault="006025D6">
            <w:pPr>
              <w:jc w:val="both"/>
              <w:rPr>
                <w:rFonts w:ascii="Arial" w:eastAsia="Arial" w:hAnsi="Arial" w:cs="Arial"/>
              </w:rPr>
            </w:pPr>
            <w:r>
              <w:rPr>
                <w:rFonts w:ascii="Arial" w:eastAsia="Arial" w:hAnsi="Arial" w:cs="Arial"/>
              </w:rPr>
              <w:t>19.4%</w:t>
            </w:r>
          </w:p>
        </w:tc>
        <w:tc>
          <w:tcPr>
            <w:tcW w:w="2550" w:type="dxa"/>
          </w:tcPr>
          <w:p w14:paraId="7C3E7F03" w14:textId="77777777" w:rsidR="00671CEC" w:rsidRDefault="006025D6">
            <w:pPr>
              <w:jc w:val="both"/>
              <w:rPr>
                <w:rFonts w:ascii="Arial" w:eastAsia="Arial" w:hAnsi="Arial" w:cs="Arial"/>
              </w:rPr>
            </w:pPr>
            <w:r>
              <w:rPr>
                <w:rFonts w:ascii="Arial" w:eastAsia="Arial" w:hAnsi="Arial" w:cs="Arial"/>
              </w:rPr>
              <w:t>10-18%</w:t>
            </w:r>
          </w:p>
        </w:tc>
      </w:tr>
      <w:tr w:rsidR="00671CEC" w14:paraId="5CD57CB9" w14:textId="77777777" w:rsidTr="00671CEC">
        <w:tc>
          <w:tcPr>
            <w:tcW w:w="570" w:type="dxa"/>
          </w:tcPr>
          <w:p w14:paraId="61D5CD6B" w14:textId="77777777" w:rsidR="00671CEC" w:rsidRDefault="006025D6">
            <w:pPr>
              <w:jc w:val="both"/>
              <w:rPr>
                <w:rFonts w:ascii="Arial" w:eastAsia="Arial" w:hAnsi="Arial" w:cs="Arial"/>
              </w:rPr>
            </w:pPr>
            <w:r>
              <w:rPr>
                <w:rFonts w:ascii="Arial" w:eastAsia="Arial" w:hAnsi="Arial" w:cs="Arial"/>
              </w:rPr>
              <w:t>2</w:t>
            </w:r>
          </w:p>
        </w:tc>
        <w:tc>
          <w:tcPr>
            <w:tcW w:w="2070" w:type="dxa"/>
          </w:tcPr>
          <w:p w14:paraId="62365E08" w14:textId="77777777" w:rsidR="00671CEC" w:rsidRDefault="006025D6">
            <w:pPr>
              <w:jc w:val="both"/>
              <w:rPr>
                <w:rFonts w:ascii="Arial" w:eastAsia="Arial" w:hAnsi="Arial" w:cs="Arial"/>
              </w:rPr>
            </w:pPr>
            <w:r>
              <w:rPr>
                <w:rFonts w:ascii="Arial" w:eastAsia="Arial" w:hAnsi="Arial" w:cs="Arial"/>
              </w:rPr>
              <w:t>LIVER FUNCTION TESTS</w:t>
            </w:r>
          </w:p>
        </w:tc>
        <w:tc>
          <w:tcPr>
            <w:tcW w:w="2250" w:type="dxa"/>
          </w:tcPr>
          <w:p w14:paraId="5AC242C7" w14:textId="77777777" w:rsidR="00671CEC" w:rsidRDefault="006025D6">
            <w:pPr>
              <w:jc w:val="both"/>
              <w:rPr>
                <w:rFonts w:ascii="Arial" w:eastAsia="Arial" w:hAnsi="Arial" w:cs="Arial"/>
              </w:rPr>
            </w:pPr>
            <w:r>
              <w:rPr>
                <w:rFonts w:ascii="Arial" w:eastAsia="Arial" w:hAnsi="Arial" w:cs="Arial"/>
              </w:rPr>
              <w:t>TOTAL PROTIEN</w:t>
            </w:r>
          </w:p>
        </w:tc>
        <w:tc>
          <w:tcPr>
            <w:tcW w:w="1890" w:type="dxa"/>
          </w:tcPr>
          <w:p w14:paraId="6988BF61" w14:textId="77777777" w:rsidR="00671CEC" w:rsidRDefault="006025D6">
            <w:pPr>
              <w:jc w:val="both"/>
              <w:rPr>
                <w:rFonts w:ascii="Arial" w:eastAsia="Arial" w:hAnsi="Arial" w:cs="Arial"/>
              </w:rPr>
            </w:pPr>
            <w:r>
              <w:rPr>
                <w:rFonts w:ascii="Arial" w:eastAsia="Arial" w:hAnsi="Arial" w:cs="Arial"/>
              </w:rPr>
              <w:t>5.6</w:t>
            </w:r>
          </w:p>
        </w:tc>
        <w:tc>
          <w:tcPr>
            <w:tcW w:w="2550" w:type="dxa"/>
          </w:tcPr>
          <w:p w14:paraId="3E22EC71" w14:textId="77777777" w:rsidR="00671CEC" w:rsidRDefault="006025D6">
            <w:pPr>
              <w:jc w:val="both"/>
              <w:rPr>
                <w:rFonts w:ascii="Arial" w:eastAsia="Arial" w:hAnsi="Arial" w:cs="Arial"/>
              </w:rPr>
            </w:pPr>
            <w:r>
              <w:rPr>
                <w:rFonts w:ascii="Arial" w:eastAsia="Arial" w:hAnsi="Arial" w:cs="Arial"/>
              </w:rPr>
              <w:t>5-8.3g/dl</w:t>
            </w:r>
          </w:p>
        </w:tc>
      </w:tr>
      <w:tr w:rsidR="00671CEC" w14:paraId="0EB6E9FA"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051E9E9A" w14:textId="77777777" w:rsidR="00671CEC" w:rsidRDefault="00671CEC">
            <w:pPr>
              <w:jc w:val="both"/>
              <w:rPr>
                <w:rFonts w:ascii="Arial" w:eastAsia="Arial" w:hAnsi="Arial" w:cs="Arial"/>
              </w:rPr>
            </w:pPr>
          </w:p>
        </w:tc>
        <w:tc>
          <w:tcPr>
            <w:tcW w:w="2070" w:type="dxa"/>
          </w:tcPr>
          <w:p w14:paraId="02B721D0" w14:textId="77777777" w:rsidR="00671CEC" w:rsidRDefault="00671CEC">
            <w:pPr>
              <w:jc w:val="both"/>
              <w:rPr>
                <w:rFonts w:ascii="Arial" w:eastAsia="Arial" w:hAnsi="Arial" w:cs="Arial"/>
              </w:rPr>
            </w:pPr>
          </w:p>
        </w:tc>
        <w:tc>
          <w:tcPr>
            <w:tcW w:w="2250" w:type="dxa"/>
          </w:tcPr>
          <w:p w14:paraId="4698CDF4" w14:textId="77777777" w:rsidR="00671CEC" w:rsidRDefault="006025D6">
            <w:pPr>
              <w:jc w:val="both"/>
              <w:rPr>
                <w:rFonts w:ascii="Arial" w:eastAsia="Arial" w:hAnsi="Arial" w:cs="Arial"/>
              </w:rPr>
            </w:pPr>
            <w:r>
              <w:rPr>
                <w:rFonts w:ascii="Arial" w:eastAsia="Arial" w:hAnsi="Arial" w:cs="Arial"/>
              </w:rPr>
              <w:t>GLOBULIN</w:t>
            </w:r>
          </w:p>
        </w:tc>
        <w:tc>
          <w:tcPr>
            <w:tcW w:w="1890" w:type="dxa"/>
          </w:tcPr>
          <w:p w14:paraId="6F21D59E" w14:textId="77777777" w:rsidR="00671CEC" w:rsidRDefault="006025D6">
            <w:pPr>
              <w:jc w:val="both"/>
              <w:rPr>
                <w:rFonts w:ascii="Arial" w:eastAsia="Arial" w:hAnsi="Arial" w:cs="Arial"/>
              </w:rPr>
            </w:pPr>
            <w:r>
              <w:rPr>
                <w:rFonts w:ascii="Arial" w:eastAsia="Arial" w:hAnsi="Arial" w:cs="Arial"/>
              </w:rPr>
              <w:t>2.3</w:t>
            </w:r>
          </w:p>
        </w:tc>
        <w:tc>
          <w:tcPr>
            <w:tcW w:w="2550" w:type="dxa"/>
          </w:tcPr>
          <w:p w14:paraId="000D064A" w14:textId="77777777" w:rsidR="00671CEC" w:rsidRDefault="006025D6">
            <w:pPr>
              <w:jc w:val="both"/>
              <w:rPr>
                <w:rFonts w:ascii="Arial" w:eastAsia="Arial" w:hAnsi="Arial" w:cs="Arial"/>
              </w:rPr>
            </w:pPr>
            <w:r>
              <w:rPr>
                <w:rFonts w:ascii="Arial" w:eastAsia="Arial" w:hAnsi="Arial" w:cs="Arial"/>
              </w:rPr>
              <w:t>2.5-3g/dl</w:t>
            </w:r>
          </w:p>
        </w:tc>
      </w:tr>
      <w:tr w:rsidR="00671CEC" w14:paraId="2A27A41A" w14:textId="77777777" w:rsidTr="00671CEC">
        <w:tc>
          <w:tcPr>
            <w:tcW w:w="570" w:type="dxa"/>
          </w:tcPr>
          <w:p w14:paraId="1A3ACBEE" w14:textId="77777777" w:rsidR="00671CEC" w:rsidRDefault="00671CEC">
            <w:pPr>
              <w:jc w:val="both"/>
              <w:rPr>
                <w:rFonts w:ascii="Arial" w:eastAsia="Arial" w:hAnsi="Arial" w:cs="Arial"/>
              </w:rPr>
            </w:pPr>
          </w:p>
        </w:tc>
        <w:tc>
          <w:tcPr>
            <w:tcW w:w="2070" w:type="dxa"/>
          </w:tcPr>
          <w:p w14:paraId="5CAE1BC1" w14:textId="77777777" w:rsidR="00671CEC" w:rsidRDefault="00671CEC">
            <w:pPr>
              <w:jc w:val="both"/>
              <w:rPr>
                <w:rFonts w:ascii="Arial" w:eastAsia="Arial" w:hAnsi="Arial" w:cs="Arial"/>
              </w:rPr>
            </w:pPr>
          </w:p>
        </w:tc>
        <w:tc>
          <w:tcPr>
            <w:tcW w:w="2250" w:type="dxa"/>
          </w:tcPr>
          <w:p w14:paraId="1E6BAEE6" w14:textId="77777777" w:rsidR="00671CEC" w:rsidRDefault="006025D6">
            <w:pPr>
              <w:jc w:val="both"/>
              <w:rPr>
                <w:rFonts w:ascii="Arial" w:eastAsia="Arial" w:hAnsi="Arial" w:cs="Arial"/>
              </w:rPr>
            </w:pPr>
            <w:r>
              <w:rPr>
                <w:rFonts w:ascii="Arial" w:eastAsia="Arial" w:hAnsi="Arial" w:cs="Arial"/>
              </w:rPr>
              <w:t>BILLIRUBIN UNCONJUGATED</w:t>
            </w:r>
          </w:p>
        </w:tc>
        <w:tc>
          <w:tcPr>
            <w:tcW w:w="1890" w:type="dxa"/>
          </w:tcPr>
          <w:p w14:paraId="24217184" w14:textId="77777777" w:rsidR="00671CEC" w:rsidRDefault="006025D6">
            <w:pPr>
              <w:jc w:val="both"/>
              <w:rPr>
                <w:rFonts w:ascii="Arial" w:eastAsia="Arial" w:hAnsi="Arial" w:cs="Arial"/>
              </w:rPr>
            </w:pPr>
            <w:r>
              <w:rPr>
                <w:rFonts w:ascii="Arial" w:eastAsia="Arial" w:hAnsi="Arial" w:cs="Arial"/>
              </w:rPr>
              <w:t>0.1</w:t>
            </w:r>
          </w:p>
        </w:tc>
        <w:tc>
          <w:tcPr>
            <w:tcW w:w="2550" w:type="dxa"/>
          </w:tcPr>
          <w:p w14:paraId="320CA521" w14:textId="77777777" w:rsidR="00671CEC" w:rsidRDefault="006025D6">
            <w:pPr>
              <w:jc w:val="both"/>
              <w:rPr>
                <w:rFonts w:ascii="Arial" w:eastAsia="Arial" w:hAnsi="Arial" w:cs="Arial"/>
              </w:rPr>
            </w:pPr>
            <w:r>
              <w:rPr>
                <w:rFonts w:ascii="Arial" w:eastAsia="Arial" w:hAnsi="Arial" w:cs="Arial"/>
              </w:rPr>
              <w:t>0.2-0.7mg/dl</w:t>
            </w:r>
          </w:p>
        </w:tc>
      </w:tr>
      <w:tr w:rsidR="00671CEC" w14:paraId="748505FA" w14:textId="77777777" w:rsidTr="00671CEC">
        <w:trPr>
          <w:cnfStyle w:val="000000100000" w:firstRow="0" w:lastRow="0" w:firstColumn="0" w:lastColumn="0" w:oddVBand="0" w:evenVBand="0" w:oddHBand="1" w:evenHBand="0" w:firstRowFirstColumn="0" w:firstRowLastColumn="0" w:lastRowFirstColumn="0" w:lastRowLastColumn="0"/>
        </w:trPr>
        <w:tc>
          <w:tcPr>
            <w:tcW w:w="570" w:type="dxa"/>
          </w:tcPr>
          <w:p w14:paraId="4DCF4D5D" w14:textId="77777777" w:rsidR="00671CEC" w:rsidRDefault="006025D6">
            <w:pPr>
              <w:jc w:val="both"/>
              <w:rPr>
                <w:rFonts w:ascii="Arial" w:eastAsia="Arial" w:hAnsi="Arial" w:cs="Arial"/>
              </w:rPr>
            </w:pPr>
            <w:r>
              <w:rPr>
                <w:rFonts w:ascii="Arial" w:eastAsia="Arial" w:hAnsi="Arial" w:cs="Arial"/>
              </w:rPr>
              <w:t>3</w:t>
            </w:r>
          </w:p>
        </w:tc>
        <w:tc>
          <w:tcPr>
            <w:tcW w:w="2070" w:type="dxa"/>
          </w:tcPr>
          <w:p w14:paraId="24D7D369" w14:textId="77777777" w:rsidR="00671CEC" w:rsidRDefault="006025D6">
            <w:pPr>
              <w:jc w:val="both"/>
              <w:rPr>
                <w:rFonts w:ascii="Arial" w:eastAsia="Arial" w:hAnsi="Arial" w:cs="Arial"/>
              </w:rPr>
            </w:pPr>
            <w:r>
              <w:rPr>
                <w:rFonts w:ascii="Arial" w:eastAsia="Arial" w:hAnsi="Arial" w:cs="Arial"/>
              </w:rPr>
              <w:t>RENAL FUNCTION TESTS</w:t>
            </w:r>
          </w:p>
        </w:tc>
        <w:tc>
          <w:tcPr>
            <w:tcW w:w="2250" w:type="dxa"/>
          </w:tcPr>
          <w:p w14:paraId="06D628D5" w14:textId="77777777" w:rsidR="00671CEC" w:rsidRDefault="006025D6">
            <w:pPr>
              <w:jc w:val="both"/>
              <w:rPr>
                <w:rFonts w:ascii="Arial" w:eastAsia="Arial" w:hAnsi="Arial" w:cs="Arial"/>
              </w:rPr>
            </w:pPr>
            <w:r>
              <w:rPr>
                <w:rFonts w:ascii="Arial" w:eastAsia="Arial" w:hAnsi="Arial" w:cs="Arial"/>
              </w:rPr>
              <w:t>SERUM CREATININE</w:t>
            </w:r>
          </w:p>
        </w:tc>
        <w:tc>
          <w:tcPr>
            <w:tcW w:w="1890" w:type="dxa"/>
          </w:tcPr>
          <w:p w14:paraId="60E92401" w14:textId="77777777" w:rsidR="00671CEC" w:rsidRDefault="006025D6">
            <w:pPr>
              <w:jc w:val="both"/>
              <w:rPr>
                <w:rFonts w:ascii="Arial" w:eastAsia="Arial" w:hAnsi="Arial" w:cs="Arial"/>
              </w:rPr>
            </w:pPr>
            <w:r>
              <w:rPr>
                <w:rFonts w:ascii="Arial" w:eastAsia="Arial" w:hAnsi="Arial" w:cs="Arial"/>
              </w:rPr>
              <w:t>0.6</w:t>
            </w:r>
          </w:p>
        </w:tc>
        <w:tc>
          <w:tcPr>
            <w:tcW w:w="2550" w:type="dxa"/>
          </w:tcPr>
          <w:p w14:paraId="6B173624" w14:textId="77777777" w:rsidR="00671CEC" w:rsidRDefault="006025D6">
            <w:pPr>
              <w:jc w:val="both"/>
              <w:rPr>
                <w:rFonts w:ascii="Arial" w:eastAsia="Arial" w:hAnsi="Arial" w:cs="Arial"/>
              </w:rPr>
            </w:pPr>
            <w:r>
              <w:rPr>
                <w:rFonts w:ascii="Arial" w:eastAsia="Arial" w:hAnsi="Arial" w:cs="Arial"/>
              </w:rPr>
              <w:t>0.7-1.4mg/dl</w:t>
            </w:r>
          </w:p>
        </w:tc>
      </w:tr>
      <w:tr w:rsidR="00671CEC" w14:paraId="51D505A7" w14:textId="77777777" w:rsidTr="00671CEC">
        <w:tc>
          <w:tcPr>
            <w:tcW w:w="570" w:type="dxa"/>
          </w:tcPr>
          <w:p w14:paraId="2E432E40" w14:textId="77777777" w:rsidR="00671CEC" w:rsidRDefault="006025D6">
            <w:pPr>
              <w:jc w:val="both"/>
              <w:rPr>
                <w:rFonts w:ascii="Arial" w:eastAsia="Arial" w:hAnsi="Arial" w:cs="Arial"/>
              </w:rPr>
            </w:pPr>
            <w:r>
              <w:rPr>
                <w:rFonts w:ascii="Arial" w:eastAsia="Arial" w:hAnsi="Arial" w:cs="Arial"/>
              </w:rPr>
              <w:t>4</w:t>
            </w:r>
          </w:p>
        </w:tc>
        <w:tc>
          <w:tcPr>
            <w:tcW w:w="2070" w:type="dxa"/>
          </w:tcPr>
          <w:p w14:paraId="62520C6A" w14:textId="77777777" w:rsidR="00671CEC" w:rsidRDefault="006025D6">
            <w:pPr>
              <w:jc w:val="both"/>
              <w:rPr>
                <w:rFonts w:ascii="Arial" w:eastAsia="Arial" w:hAnsi="Arial" w:cs="Arial"/>
              </w:rPr>
            </w:pPr>
            <w:r>
              <w:rPr>
                <w:rFonts w:ascii="Arial" w:eastAsia="Arial" w:hAnsi="Arial" w:cs="Arial"/>
              </w:rPr>
              <w:t>BIOCHEMISTRY</w:t>
            </w:r>
          </w:p>
        </w:tc>
        <w:tc>
          <w:tcPr>
            <w:tcW w:w="2250" w:type="dxa"/>
          </w:tcPr>
          <w:p w14:paraId="00B31D12" w14:textId="77777777" w:rsidR="00671CEC" w:rsidRDefault="006025D6">
            <w:pPr>
              <w:jc w:val="both"/>
              <w:rPr>
                <w:rFonts w:ascii="Arial" w:eastAsia="Arial" w:hAnsi="Arial" w:cs="Arial"/>
              </w:rPr>
            </w:pPr>
            <w:r>
              <w:rPr>
                <w:rFonts w:ascii="Arial" w:eastAsia="Arial" w:hAnsi="Arial" w:cs="Arial"/>
              </w:rPr>
              <w:t xml:space="preserve">RANDOM BLOOD SUGAR </w:t>
            </w:r>
          </w:p>
        </w:tc>
        <w:tc>
          <w:tcPr>
            <w:tcW w:w="1890" w:type="dxa"/>
          </w:tcPr>
          <w:p w14:paraId="726EF7DB" w14:textId="77777777" w:rsidR="00671CEC" w:rsidRDefault="006025D6">
            <w:pPr>
              <w:jc w:val="both"/>
              <w:rPr>
                <w:rFonts w:ascii="Arial" w:eastAsia="Arial" w:hAnsi="Arial" w:cs="Arial"/>
              </w:rPr>
            </w:pPr>
            <w:r>
              <w:rPr>
                <w:rFonts w:ascii="Arial" w:eastAsia="Arial" w:hAnsi="Arial" w:cs="Arial"/>
              </w:rPr>
              <w:t>60</w:t>
            </w:r>
          </w:p>
        </w:tc>
        <w:tc>
          <w:tcPr>
            <w:tcW w:w="2550" w:type="dxa"/>
          </w:tcPr>
          <w:p w14:paraId="26276EDE" w14:textId="77777777" w:rsidR="00671CEC" w:rsidRDefault="006025D6">
            <w:pPr>
              <w:tabs>
                <w:tab w:val="right" w:pos="2334"/>
              </w:tabs>
              <w:jc w:val="both"/>
              <w:rPr>
                <w:rFonts w:ascii="Arial" w:eastAsia="Arial" w:hAnsi="Arial" w:cs="Arial"/>
              </w:rPr>
            </w:pPr>
            <w:r>
              <w:rPr>
                <w:rFonts w:ascii="Arial" w:eastAsia="Arial" w:hAnsi="Arial" w:cs="Arial"/>
              </w:rPr>
              <w:t>70-140mg/dl</w:t>
            </w:r>
            <w:r>
              <w:rPr>
                <w:rFonts w:ascii="Arial" w:eastAsia="Arial" w:hAnsi="Arial" w:cs="Arial"/>
              </w:rPr>
              <w:tab/>
            </w:r>
          </w:p>
        </w:tc>
      </w:tr>
      <w:tr w:rsidR="00671CEC" w14:paraId="5C784A12" w14:textId="77777777" w:rsidTr="00671CEC">
        <w:trPr>
          <w:cnfStyle w:val="010000000000" w:firstRow="0" w:lastRow="1" w:firstColumn="0" w:lastColumn="0" w:oddVBand="0" w:evenVBand="0" w:oddHBand="0" w:evenHBand="0" w:firstRowFirstColumn="0" w:firstRowLastColumn="0" w:lastRowFirstColumn="0" w:lastRowLastColumn="0"/>
        </w:trPr>
        <w:tc>
          <w:tcPr>
            <w:tcW w:w="570" w:type="dxa"/>
          </w:tcPr>
          <w:p w14:paraId="7446AAB0" w14:textId="77777777" w:rsidR="00671CEC" w:rsidRDefault="006025D6">
            <w:pPr>
              <w:jc w:val="both"/>
              <w:rPr>
                <w:rFonts w:ascii="Arial" w:eastAsia="Arial" w:hAnsi="Arial" w:cs="Arial"/>
              </w:rPr>
            </w:pPr>
            <w:r>
              <w:rPr>
                <w:rFonts w:ascii="Arial" w:eastAsia="Arial" w:hAnsi="Arial" w:cs="Arial"/>
              </w:rPr>
              <w:t>5</w:t>
            </w:r>
          </w:p>
        </w:tc>
        <w:tc>
          <w:tcPr>
            <w:tcW w:w="2070" w:type="dxa"/>
          </w:tcPr>
          <w:p w14:paraId="560F05AB" w14:textId="77777777" w:rsidR="00671CEC" w:rsidRDefault="006025D6">
            <w:pPr>
              <w:jc w:val="both"/>
              <w:rPr>
                <w:rFonts w:ascii="Arial" w:eastAsia="Arial" w:hAnsi="Arial" w:cs="Arial"/>
              </w:rPr>
            </w:pPr>
            <w:r>
              <w:rPr>
                <w:rFonts w:ascii="Arial" w:eastAsia="Arial" w:hAnsi="Arial" w:cs="Arial"/>
              </w:rPr>
              <w:t>SERUM PHENYTOIN LEVEL TEST</w:t>
            </w:r>
          </w:p>
        </w:tc>
        <w:tc>
          <w:tcPr>
            <w:tcW w:w="2250" w:type="dxa"/>
          </w:tcPr>
          <w:p w14:paraId="195941F9" w14:textId="77777777" w:rsidR="00671CEC" w:rsidRDefault="00671CEC">
            <w:pPr>
              <w:jc w:val="both"/>
              <w:rPr>
                <w:rFonts w:ascii="Arial" w:eastAsia="Arial" w:hAnsi="Arial" w:cs="Arial"/>
              </w:rPr>
            </w:pPr>
          </w:p>
        </w:tc>
        <w:tc>
          <w:tcPr>
            <w:tcW w:w="1890" w:type="dxa"/>
          </w:tcPr>
          <w:p w14:paraId="1044A090" w14:textId="77777777" w:rsidR="00671CEC" w:rsidRDefault="006025D6">
            <w:pPr>
              <w:jc w:val="both"/>
              <w:rPr>
                <w:rFonts w:ascii="Arial" w:eastAsia="Arial" w:hAnsi="Arial" w:cs="Arial"/>
              </w:rPr>
            </w:pPr>
            <w:r>
              <w:rPr>
                <w:rFonts w:ascii="Arial" w:eastAsia="Arial" w:hAnsi="Arial" w:cs="Arial"/>
              </w:rPr>
              <w:t>35µg/ml</w:t>
            </w:r>
          </w:p>
        </w:tc>
        <w:tc>
          <w:tcPr>
            <w:tcW w:w="2550" w:type="dxa"/>
          </w:tcPr>
          <w:p w14:paraId="33D06325" w14:textId="77777777" w:rsidR="00671CEC" w:rsidRDefault="006025D6">
            <w:pPr>
              <w:jc w:val="both"/>
              <w:rPr>
                <w:rFonts w:ascii="Arial" w:eastAsia="Arial" w:hAnsi="Arial" w:cs="Arial"/>
              </w:rPr>
            </w:pPr>
            <w:r>
              <w:rPr>
                <w:rFonts w:ascii="Arial" w:eastAsia="Arial" w:hAnsi="Arial" w:cs="Arial"/>
              </w:rPr>
              <w:t>10-20µg/ml</w:t>
            </w:r>
          </w:p>
        </w:tc>
      </w:tr>
    </w:tbl>
    <w:p w14:paraId="0DBE8742" w14:textId="77777777" w:rsidR="00671CEC" w:rsidRDefault="00671CEC">
      <w:pPr>
        <w:spacing w:after="160" w:line="259" w:lineRule="auto"/>
        <w:jc w:val="both"/>
        <w:rPr>
          <w:rFonts w:ascii="Arial" w:eastAsia="Arial" w:hAnsi="Arial" w:cs="Arial"/>
        </w:rPr>
      </w:pPr>
    </w:p>
    <w:p w14:paraId="6157A5F9" w14:textId="77777777" w:rsidR="00671CEC" w:rsidRDefault="006025D6">
      <w:pPr>
        <w:spacing w:after="160" w:line="259" w:lineRule="auto"/>
        <w:jc w:val="both"/>
        <w:rPr>
          <w:rFonts w:ascii="Arial" w:eastAsia="Arial" w:hAnsi="Arial" w:cs="Arial"/>
          <w:b/>
          <w:bCs/>
        </w:rPr>
      </w:pPr>
      <w:r>
        <w:rPr>
          <w:rFonts w:ascii="Arial" w:eastAsia="Arial" w:hAnsi="Arial" w:cs="Arial"/>
        </w:rPr>
        <w:t>Based on the external and laboratory examinations, final diagnosis was confirmed as “</w:t>
      </w:r>
      <w:r>
        <w:rPr>
          <w:rFonts w:ascii="Arial" w:eastAsia="Arial" w:hAnsi="Arial" w:cs="Arial"/>
          <w:b/>
          <w:bCs/>
        </w:rPr>
        <w:t>PHENYTOIN TOXICITY, SEIZURE DISORDER AND OLD CEREBROVASEULAR ACCIDENT-POSTERIOR CIRCULATION STROKE”.</w:t>
      </w:r>
    </w:p>
    <w:p w14:paraId="7A8727BB" w14:textId="77777777" w:rsidR="00671CEC" w:rsidRDefault="006025D6">
      <w:pPr>
        <w:spacing w:after="160" w:line="259" w:lineRule="auto"/>
        <w:jc w:val="center"/>
        <w:rPr>
          <w:rFonts w:ascii="Arial" w:eastAsia="Arial" w:hAnsi="Arial" w:cs="Arial"/>
          <w:b/>
          <w:bCs/>
        </w:rPr>
      </w:pPr>
      <w:r>
        <w:rPr>
          <w:rFonts w:ascii="Arial" w:eastAsia="Arial" w:hAnsi="Arial" w:cs="Arial"/>
          <w:b/>
          <w:bCs/>
        </w:rPr>
        <w:t>TABLE-2 TREATMENT CHART</w:t>
      </w:r>
    </w:p>
    <w:tbl>
      <w:tblPr>
        <w:tblStyle w:val="a2"/>
        <w:tblW w:w="9285" w:type="dxa"/>
        <w:tblInd w:w="0" w:type="dxa"/>
        <w:tblBorders>
          <w:top w:val="single" w:sz="4" w:space="0" w:color="7F7F7F"/>
          <w:bottom w:val="single" w:sz="4" w:space="0" w:color="7F7F7F"/>
        </w:tblBorders>
        <w:tblLayout w:type="fixed"/>
        <w:tblLook w:val="0400" w:firstRow="0" w:lastRow="0" w:firstColumn="0" w:lastColumn="0" w:noHBand="0" w:noVBand="1"/>
      </w:tblPr>
      <w:tblGrid>
        <w:gridCol w:w="615"/>
        <w:gridCol w:w="2580"/>
        <w:gridCol w:w="1275"/>
        <w:gridCol w:w="1080"/>
        <w:gridCol w:w="1860"/>
        <w:gridCol w:w="1875"/>
      </w:tblGrid>
      <w:tr w:rsidR="00671CEC" w14:paraId="04E27828"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2E0C2ED1" w14:textId="77777777" w:rsidR="00671CEC" w:rsidRDefault="006025D6">
            <w:pPr>
              <w:jc w:val="both"/>
              <w:rPr>
                <w:rFonts w:ascii="Arial" w:eastAsia="Arial" w:hAnsi="Arial" w:cs="Arial"/>
                <w:b/>
                <w:bCs/>
              </w:rPr>
            </w:pPr>
            <w:r>
              <w:rPr>
                <w:rFonts w:ascii="Arial" w:eastAsia="Arial" w:hAnsi="Arial" w:cs="Arial"/>
                <w:b/>
                <w:bCs/>
              </w:rPr>
              <w:lastRenderedPageBreak/>
              <w:t>SL NO</w:t>
            </w:r>
          </w:p>
        </w:tc>
        <w:tc>
          <w:tcPr>
            <w:tcW w:w="2580" w:type="dxa"/>
          </w:tcPr>
          <w:p w14:paraId="246CC166" w14:textId="77777777" w:rsidR="00671CEC" w:rsidRDefault="006025D6">
            <w:pPr>
              <w:jc w:val="both"/>
              <w:rPr>
                <w:rFonts w:ascii="Arial" w:eastAsia="Arial" w:hAnsi="Arial" w:cs="Arial"/>
                <w:b/>
                <w:bCs/>
              </w:rPr>
            </w:pPr>
            <w:r>
              <w:rPr>
                <w:rFonts w:ascii="Arial" w:eastAsia="Arial" w:hAnsi="Arial" w:cs="Arial"/>
                <w:b/>
                <w:bCs/>
              </w:rPr>
              <w:t>NAME OF THE  MEDICATIONS</w:t>
            </w:r>
          </w:p>
        </w:tc>
        <w:tc>
          <w:tcPr>
            <w:tcW w:w="1275" w:type="dxa"/>
          </w:tcPr>
          <w:p w14:paraId="7B4425BE" w14:textId="77777777" w:rsidR="00671CEC" w:rsidRDefault="006025D6">
            <w:pPr>
              <w:jc w:val="both"/>
              <w:rPr>
                <w:rFonts w:ascii="Arial" w:eastAsia="Arial" w:hAnsi="Arial" w:cs="Arial"/>
                <w:b/>
                <w:bCs/>
              </w:rPr>
            </w:pPr>
            <w:r>
              <w:rPr>
                <w:rFonts w:ascii="Arial" w:eastAsia="Arial" w:hAnsi="Arial" w:cs="Arial"/>
                <w:b/>
                <w:bCs/>
              </w:rPr>
              <w:t>DOSE</w:t>
            </w:r>
          </w:p>
        </w:tc>
        <w:tc>
          <w:tcPr>
            <w:tcW w:w="1080" w:type="dxa"/>
          </w:tcPr>
          <w:p w14:paraId="0068D301" w14:textId="77777777" w:rsidR="00671CEC" w:rsidRDefault="006025D6">
            <w:pPr>
              <w:jc w:val="both"/>
              <w:rPr>
                <w:rFonts w:ascii="Arial" w:eastAsia="Arial" w:hAnsi="Arial" w:cs="Arial"/>
                <w:b/>
                <w:bCs/>
              </w:rPr>
            </w:pPr>
            <w:r>
              <w:rPr>
                <w:rFonts w:ascii="Arial" w:eastAsia="Arial" w:hAnsi="Arial" w:cs="Arial"/>
                <w:b/>
                <w:bCs/>
              </w:rPr>
              <w:t>ROUTE</w:t>
            </w:r>
          </w:p>
        </w:tc>
        <w:tc>
          <w:tcPr>
            <w:tcW w:w="1860" w:type="dxa"/>
          </w:tcPr>
          <w:p w14:paraId="50736CE8" w14:textId="77777777" w:rsidR="00671CEC" w:rsidRDefault="006025D6">
            <w:pPr>
              <w:jc w:val="both"/>
              <w:rPr>
                <w:rFonts w:ascii="Arial" w:eastAsia="Arial" w:hAnsi="Arial" w:cs="Arial"/>
                <w:b/>
                <w:bCs/>
              </w:rPr>
            </w:pPr>
            <w:r>
              <w:rPr>
                <w:rFonts w:ascii="Arial" w:eastAsia="Arial" w:hAnsi="Arial" w:cs="Arial"/>
                <w:b/>
                <w:bCs/>
              </w:rPr>
              <w:t>FREQUENCY</w:t>
            </w:r>
          </w:p>
        </w:tc>
        <w:tc>
          <w:tcPr>
            <w:tcW w:w="1875" w:type="dxa"/>
          </w:tcPr>
          <w:p w14:paraId="7725EC2D" w14:textId="77777777" w:rsidR="00671CEC" w:rsidRDefault="006025D6">
            <w:pPr>
              <w:jc w:val="both"/>
              <w:rPr>
                <w:rFonts w:ascii="Arial" w:eastAsia="Arial" w:hAnsi="Arial" w:cs="Arial"/>
                <w:b/>
                <w:bCs/>
              </w:rPr>
            </w:pPr>
            <w:r>
              <w:rPr>
                <w:rFonts w:ascii="Arial" w:eastAsia="Arial" w:hAnsi="Arial" w:cs="Arial"/>
                <w:b/>
                <w:bCs/>
              </w:rPr>
              <w:t>DURATION</w:t>
            </w:r>
          </w:p>
        </w:tc>
      </w:tr>
      <w:tr w:rsidR="00671CEC" w14:paraId="27EE5B8A" w14:textId="77777777" w:rsidTr="00671CEC">
        <w:tc>
          <w:tcPr>
            <w:tcW w:w="615" w:type="dxa"/>
          </w:tcPr>
          <w:p w14:paraId="7F28491B" w14:textId="77777777" w:rsidR="00671CEC" w:rsidRDefault="006025D6">
            <w:pPr>
              <w:jc w:val="both"/>
              <w:rPr>
                <w:rFonts w:ascii="Arial" w:eastAsia="Arial" w:hAnsi="Arial" w:cs="Arial"/>
              </w:rPr>
            </w:pPr>
            <w:r>
              <w:rPr>
                <w:rFonts w:ascii="Arial" w:eastAsia="Arial" w:hAnsi="Arial" w:cs="Arial"/>
              </w:rPr>
              <w:t>1</w:t>
            </w:r>
          </w:p>
        </w:tc>
        <w:tc>
          <w:tcPr>
            <w:tcW w:w="2580" w:type="dxa"/>
          </w:tcPr>
          <w:p w14:paraId="478981F3" w14:textId="77777777" w:rsidR="00671CEC" w:rsidRDefault="006025D6">
            <w:pPr>
              <w:jc w:val="both"/>
              <w:rPr>
                <w:rFonts w:ascii="Arial" w:eastAsia="Arial" w:hAnsi="Arial" w:cs="Arial"/>
              </w:rPr>
            </w:pPr>
            <w:r>
              <w:rPr>
                <w:rFonts w:ascii="Arial" w:eastAsia="Arial" w:hAnsi="Arial" w:cs="Arial"/>
              </w:rPr>
              <w:t xml:space="preserve">INJ LEVETIRACETAM </w:t>
            </w:r>
          </w:p>
        </w:tc>
        <w:tc>
          <w:tcPr>
            <w:tcW w:w="1275" w:type="dxa"/>
          </w:tcPr>
          <w:p w14:paraId="014B2BE9" w14:textId="77777777" w:rsidR="00671CEC" w:rsidRDefault="006025D6">
            <w:pPr>
              <w:jc w:val="both"/>
              <w:rPr>
                <w:rFonts w:ascii="Arial" w:eastAsia="Arial" w:hAnsi="Arial" w:cs="Arial"/>
              </w:rPr>
            </w:pPr>
            <w:r>
              <w:rPr>
                <w:rFonts w:ascii="Arial" w:eastAsia="Arial" w:hAnsi="Arial" w:cs="Arial"/>
              </w:rPr>
              <w:t>500mg</w:t>
            </w:r>
          </w:p>
        </w:tc>
        <w:tc>
          <w:tcPr>
            <w:tcW w:w="1080" w:type="dxa"/>
          </w:tcPr>
          <w:p w14:paraId="3BE03AF3"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244243B0" w14:textId="77777777" w:rsidR="00671CEC" w:rsidRDefault="006025D6">
            <w:pPr>
              <w:jc w:val="both"/>
              <w:rPr>
                <w:rFonts w:ascii="Arial" w:eastAsia="Arial" w:hAnsi="Arial" w:cs="Arial"/>
              </w:rPr>
            </w:pPr>
            <w:r>
              <w:rPr>
                <w:rFonts w:ascii="Arial" w:eastAsia="Arial" w:hAnsi="Arial" w:cs="Arial"/>
              </w:rPr>
              <w:t>1-0-1</w:t>
            </w:r>
          </w:p>
        </w:tc>
        <w:tc>
          <w:tcPr>
            <w:tcW w:w="1875" w:type="dxa"/>
          </w:tcPr>
          <w:p w14:paraId="1D2B79DA" w14:textId="77777777" w:rsidR="00671CEC" w:rsidRDefault="006025D6">
            <w:pPr>
              <w:jc w:val="both"/>
              <w:rPr>
                <w:rFonts w:ascii="Arial" w:eastAsia="Arial" w:hAnsi="Arial" w:cs="Arial"/>
              </w:rPr>
            </w:pPr>
            <w:r>
              <w:rPr>
                <w:rFonts w:ascii="Arial" w:eastAsia="Arial" w:hAnsi="Arial" w:cs="Arial"/>
              </w:rPr>
              <w:t xml:space="preserve">DAY 1-3(500mg),DAY 4-6(750mg) </w:t>
            </w:r>
          </w:p>
        </w:tc>
      </w:tr>
      <w:tr w:rsidR="00671CEC" w14:paraId="64FEBA2D"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7E3A9193" w14:textId="77777777" w:rsidR="00671CEC" w:rsidRDefault="006025D6">
            <w:pPr>
              <w:jc w:val="both"/>
              <w:rPr>
                <w:rFonts w:ascii="Arial" w:eastAsia="Arial" w:hAnsi="Arial" w:cs="Arial"/>
              </w:rPr>
            </w:pPr>
            <w:r>
              <w:rPr>
                <w:rFonts w:ascii="Arial" w:eastAsia="Arial" w:hAnsi="Arial" w:cs="Arial"/>
              </w:rPr>
              <w:t>2</w:t>
            </w:r>
          </w:p>
        </w:tc>
        <w:tc>
          <w:tcPr>
            <w:tcW w:w="2580" w:type="dxa"/>
          </w:tcPr>
          <w:p w14:paraId="27EFA971" w14:textId="77777777" w:rsidR="00671CEC" w:rsidRDefault="006025D6">
            <w:pPr>
              <w:jc w:val="both"/>
              <w:rPr>
                <w:rFonts w:ascii="Arial" w:eastAsia="Arial" w:hAnsi="Arial" w:cs="Arial"/>
              </w:rPr>
            </w:pPr>
            <w:r>
              <w:rPr>
                <w:rFonts w:ascii="Arial" w:eastAsia="Arial" w:hAnsi="Arial" w:cs="Arial"/>
              </w:rPr>
              <w:t>INJ. PHENYTOIN</w:t>
            </w:r>
          </w:p>
        </w:tc>
        <w:tc>
          <w:tcPr>
            <w:tcW w:w="1275" w:type="dxa"/>
          </w:tcPr>
          <w:p w14:paraId="30442367" w14:textId="77777777" w:rsidR="00671CEC" w:rsidRDefault="006025D6">
            <w:pPr>
              <w:jc w:val="both"/>
              <w:rPr>
                <w:rFonts w:ascii="Arial" w:eastAsia="Arial" w:hAnsi="Arial" w:cs="Arial"/>
              </w:rPr>
            </w:pPr>
            <w:r>
              <w:rPr>
                <w:rFonts w:ascii="Arial" w:eastAsia="Arial" w:hAnsi="Arial" w:cs="Arial"/>
              </w:rPr>
              <w:t>100mg</w:t>
            </w:r>
          </w:p>
        </w:tc>
        <w:tc>
          <w:tcPr>
            <w:tcW w:w="1080" w:type="dxa"/>
          </w:tcPr>
          <w:p w14:paraId="410EE79B"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73D80032" w14:textId="77777777" w:rsidR="00671CEC" w:rsidRDefault="006025D6">
            <w:pPr>
              <w:jc w:val="both"/>
              <w:rPr>
                <w:rFonts w:ascii="Arial" w:eastAsia="Arial" w:hAnsi="Arial" w:cs="Arial"/>
              </w:rPr>
            </w:pPr>
            <w:r>
              <w:rPr>
                <w:rFonts w:ascii="Arial" w:eastAsia="Arial" w:hAnsi="Arial" w:cs="Arial"/>
              </w:rPr>
              <w:t>1-0-1</w:t>
            </w:r>
          </w:p>
        </w:tc>
        <w:tc>
          <w:tcPr>
            <w:tcW w:w="1875" w:type="dxa"/>
          </w:tcPr>
          <w:p w14:paraId="408C64AB" w14:textId="77777777" w:rsidR="00671CEC" w:rsidRDefault="006025D6">
            <w:pPr>
              <w:jc w:val="both"/>
              <w:rPr>
                <w:rFonts w:ascii="Arial" w:eastAsia="Arial" w:hAnsi="Arial" w:cs="Arial"/>
              </w:rPr>
            </w:pPr>
            <w:r>
              <w:rPr>
                <w:rFonts w:ascii="Arial" w:eastAsia="Arial" w:hAnsi="Arial" w:cs="Arial"/>
              </w:rPr>
              <w:t>DAY 1-3(DAY4-6 STOP)</w:t>
            </w:r>
          </w:p>
        </w:tc>
      </w:tr>
      <w:tr w:rsidR="00671CEC" w14:paraId="3D3BA8E3" w14:textId="77777777" w:rsidTr="00671CEC">
        <w:tc>
          <w:tcPr>
            <w:tcW w:w="615" w:type="dxa"/>
          </w:tcPr>
          <w:p w14:paraId="1B394A2F" w14:textId="77777777" w:rsidR="00671CEC" w:rsidRDefault="006025D6">
            <w:pPr>
              <w:jc w:val="both"/>
              <w:rPr>
                <w:rFonts w:ascii="Arial" w:eastAsia="Arial" w:hAnsi="Arial" w:cs="Arial"/>
              </w:rPr>
            </w:pPr>
            <w:r>
              <w:rPr>
                <w:rFonts w:ascii="Arial" w:eastAsia="Arial" w:hAnsi="Arial" w:cs="Arial"/>
              </w:rPr>
              <w:t>3</w:t>
            </w:r>
          </w:p>
        </w:tc>
        <w:tc>
          <w:tcPr>
            <w:tcW w:w="2580" w:type="dxa"/>
          </w:tcPr>
          <w:p w14:paraId="7FDFADE2" w14:textId="77777777" w:rsidR="00671CEC" w:rsidRDefault="006025D6">
            <w:pPr>
              <w:jc w:val="both"/>
              <w:rPr>
                <w:rFonts w:ascii="Arial" w:eastAsia="Arial" w:hAnsi="Arial" w:cs="Arial"/>
              </w:rPr>
            </w:pPr>
            <w:r>
              <w:rPr>
                <w:rFonts w:ascii="Arial" w:eastAsia="Arial" w:hAnsi="Arial" w:cs="Arial"/>
              </w:rPr>
              <w:t>TAB. ASPIRIN</w:t>
            </w:r>
          </w:p>
        </w:tc>
        <w:tc>
          <w:tcPr>
            <w:tcW w:w="1275" w:type="dxa"/>
          </w:tcPr>
          <w:p w14:paraId="431EBBE0" w14:textId="77777777" w:rsidR="00671CEC" w:rsidRDefault="006025D6">
            <w:pPr>
              <w:jc w:val="both"/>
              <w:rPr>
                <w:rFonts w:ascii="Arial" w:eastAsia="Arial" w:hAnsi="Arial" w:cs="Arial"/>
              </w:rPr>
            </w:pPr>
            <w:r>
              <w:rPr>
                <w:rFonts w:ascii="Arial" w:eastAsia="Arial" w:hAnsi="Arial" w:cs="Arial"/>
              </w:rPr>
              <w:t>75mg</w:t>
            </w:r>
          </w:p>
        </w:tc>
        <w:tc>
          <w:tcPr>
            <w:tcW w:w="1080" w:type="dxa"/>
          </w:tcPr>
          <w:p w14:paraId="0D1A551F"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46404A72" w14:textId="77777777" w:rsidR="00671CEC" w:rsidRDefault="006025D6">
            <w:pPr>
              <w:jc w:val="both"/>
              <w:rPr>
                <w:rFonts w:ascii="Arial" w:eastAsia="Arial" w:hAnsi="Arial" w:cs="Arial"/>
              </w:rPr>
            </w:pPr>
            <w:r>
              <w:rPr>
                <w:rFonts w:ascii="Arial" w:eastAsia="Arial" w:hAnsi="Arial" w:cs="Arial"/>
              </w:rPr>
              <w:t>0-1-0</w:t>
            </w:r>
          </w:p>
        </w:tc>
        <w:tc>
          <w:tcPr>
            <w:tcW w:w="1875" w:type="dxa"/>
          </w:tcPr>
          <w:p w14:paraId="2B74DC7E" w14:textId="77777777" w:rsidR="00671CEC" w:rsidRDefault="006025D6">
            <w:pPr>
              <w:jc w:val="both"/>
              <w:rPr>
                <w:rFonts w:ascii="Arial" w:eastAsia="Arial" w:hAnsi="Arial" w:cs="Arial"/>
              </w:rPr>
            </w:pPr>
            <w:r>
              <w:rPr>
                <w:rFonts w:ascii="Arial" w:eastAsia="Arial" w:hAnsi="Arial" w:cs="Arial"/>
              </w:rPr>
              <w:t>DAY1-3</w:t>
            </w:r>
          </w:p>
        </w:tc>
      </w:tr>
      <w:tr w:rsidR="00671CEC" w14:paraId="3818DC21"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34CAE182" w14:textId="77777777" w:rsidR="00671CEC" w:rsidRDefault="006025D6">
            <w:pPr>
              <w:jc w:val="both"/>
              <w:rPr>
                <w:rFonts w:ascii="Arial" w:eastAsia="Arial" w:hAnsi="Arial" w:cs="Arial"/>
              </w:rPr>
            </w:pPr>
            <w:r>
              <w:rPr>
                <w:rFonts w:ascii="Arial" w:eastAsia="Arial" w:hAnsi="Arial" w:cs="Arial"/>
              </w:rPr>
              <w:t>4</w:t>
            </w:r>
          </w:p>
        </w:tc>
        <w:tc>
          <w:tcPr>
            <w:tcW w:w="2580" w:type="dxa"/>
          </w:tcPr>
          <w:p w14:paraId="663A1848" w14:textId="77777777" w:rsidR="00671CEC" w:rsidRDefault="006025D6">
            <w:pPr>
              <w:jc w:val="both"/>
              <w:rPr>
                <w:rFonts w:ascii="Arial" w:eastAsia="Arial" w:hAnsi="Arial" w:cs="Arial"/>
              </w:rPr>
            </w:pPr>
            <w:r>
              <w:rPr>
                <w:rFonts w:ascii="Arial" w:eastAsia="Arial" w:hAnsi="Arial" w:cs="Arial"/>
              </w:rPr>
              <w:t>TAB. ATORVASTATIN</w:t>
            </w:r>
          </w:p>
        </w:tc>
        <w:tc>
          <w:tcPr>
            <w:tcW w:w="1275" w:type="dxa"/>
          </w:tcPr>
          <w:p w14:paraId="5DC27D1D" w14:textId="77777777" w:rsidR="00671CEC" w:rsidRDefault="006025D6">
            <w:pPr>
              <w:jc w:val="both"/>
              <w:rPr>
                <w:rFonts w:ascii="Arial" w:eastAsia="Arial" w:hAnsi="Arial" w:cs="Arial"/>
              </w:rPr>
            </w:pPr>
            <w:r>
              <w:rPr>
                <w:rFonts w:ascii="Arial" w:eastAsia="Arial" w:hAnsi="Arial" w:cs="Arial"/>
              </w:rPr>
              <w:t>40mg</w:t>
            </w:r>
          </w:p>
        </w:tc>
        <w:tc>
          <w:tcPr>
            <w:tcW w:w="1080" w:type="dxa"/>
          </w:tcPr>
          <w:p w14:paraId="09469E26"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752DDEC2" w14:textId="77777777" w:rsidR="00671CEC" w:rsidRDefault="006025D6">
            <w:pPr>
              <w:jc w:val="both"/>
              <w:rPr>
                <w:rFonts w:ascii="Arial" w:eastAsia="Arial" w:hAnsi="Arial" w:cs="Arial"/>
              </w:rPr>
            </w:pPr>
            <w:r>
              <w:rPr>
                <w:rFonts w:ascii="Arial" w:eastAsia="Arial" w:hAnsi="Arial" w:cs="Arial"/>
              </w:rPr>
              <w:t>0-0-1</w:t>
            </w:r>
          </w:p>
        </w:tc>
        <w:tc>
          <w:tcPr>
            <w:tcW w:w="1875" w:type="dxa"/>
          </w:tcPr>
          <w:p w14:paraId="7BC7B933" w14:textId="77777777" w:rsidR="00671CEC" w:rsidRDefault="006025D6">
            <w:pPr>
              <w:jc w:val="both"/>
              <w:rPr>
                <w:rFonts w:ascii="Arial" w:eastAsia="Arial" w:hAnsi="Arial" w:cs="Arial"/>
              </w:rPr>
            </w:pPr>
            <w:r>
              <w:rPr>
                <w:rFonts w:ascii="Arial" w:eastAsia="Arial" w:hAnsi="Arial" w:cs="Arial"/>
              </w:rPr>
              <w:t>DAY1-3</w:t>
            </w:r>
          </w:p>
        </w:tc>
      </w:tr>
      <w:tr w:rsidR="00671CEC" w14:paraId="4CB51C70" w14:textId="77777777" w:rsidTr="00671CEC">
        <w:tc>
          <w:tcPr>
            <w:tcW w:w="615" w:type="dxa"/>
          </w:tcPr>
          <w:p w14:paraId="2CC1A88B" w14:textId="77777777" w:rsidR="00671CEC" w:rsidRDefault="006025D6">
            <w:pPr>
              <w:jc w:val="both"/>
              <w:rPr>
                <w:rFonts w:ascii="Arial" w:eastAsia="Arial" w:hAnsi="Arial" w:cs="Arial"/>
              </w:rPr>
            </w:pPr>
            <w:r>
              <w:rPr>
                <w:rFonts w:ascii="Arial" w:eastAsia="Arial" w:hAnsi="Arial" w:cs="Arial"/>
              </w:rPr>
              <w:t>5</w:t>
            </w:r>
          </w:p>
        </w:tc>
        <w:tc>
          <w:tcPr>
            <w:tcW w:w="2580" w:type="dxa"/>
          </w:tcPr>
          <w:p w14:paraId="1C6BAC13" w14:textId="77777777" w:rsidR="00671CEC" w:rsidRDefault="006025D6">
            <w:pPr>
              <w:jc w:val="both"/>
              <w:rPr>
                <w:rFonts w:ascii="Arial" w:eastAsia="Arial" w:hAnsi="Arial" w:cs="Arial"/>
              </w:rPr>
            </w:pPr>
            <w:r>
              <w:rPr>
                <w:rFonts w:ascii="Arial" w:eastAsia="Arial" w:hAnsi="Arial" w:cs="Arial"/>
              </w:rPr>
              <w:t>INJ. MVI+DNS</w:t>
            </w:r>
          </w:p>
        </w:tc>
        <w:tc>
          <w:tcPr>
            <w:tcW w:w="1275" w:type="dxa"/>
          </w:tcPr>
          <w:p w14:paraId="69B504A1" w14:textId="77777777" w:rsidR="00671CEC" w:rsidRDefault="00671CEC">
            <w:pPr>
              <w:jc w:val="both"/>
              <w:rPr>
                <w:rFonts w:ascii="Arial" w:eastAsia="Arial" w:hAnsi="Arial" w:cs="Arial"/>
              </w:rPr>
            </w:pPr>
          </w:p>
        </w:tc>
        <w:tc>
          <w:tcPr>
            <w:tcW w:w="1080" w:type="dxa"/>
          </w:tcPr>
          <w:p w14:paraId="607F8960"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17C60F81" w14:textId="77777777" w:rsidR="00671CEC" w:rsidRDefault="006025D6">
            <w:pPr>
              <w:jc w:val="both"/>
              <w:rPr>
                <w:rFonts w:ascii="Arial" w:eastAsia="Arial" w:hAnsi="Arial" w:cs="Arial"/>
              </w:rPr>
            </w:pPr>
            <w:r>
              <w:rPr>
                <w:rFonts w:ascii="Arial" w:eastAsia="Arial" w:hAnsi="Arial" w:cs="Arial"/>
              </w:rPr>
              <w:t>1-0-0</w:t>
            </w:r>
          </w:p>
        </w:tc>
        <w:tc>
          <w:tcPr>
            <w:tcW w:w="1875" w:type="dxa"/>
          </w:tcPr>
          <w:p w14:paraId="244D835C" w14:textId="77777777" w:rsidR="00671CEC" w:rsidRDefault="006025D6">
            <w:pPr>
              <w:jc w:val="both"/>
              <w:rPr>
                <w:rFonts w:ascii="Arial" w:eastAsia="Arial" w:hAnsi="Arial" w:cs="Arial"/>
              </w:rPr>
            </w:pPr>
            <w:r>
              <w:rPr>
                <w:rFonts w:ascii="Arial" w:eastAsia="Arial" w:hAnsi="Arial" w:cs="Arial"/>
              </w:rPr>
              <w:t>DAY1-6</w:t>
            </w:r>
          </w:p>
        </w:tc>
      </w:tr>
      <w:tr w:rsidR="00671CEC" w14:paraId="2A303466"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5B10E17B" w14:textId="77777777" w:rsidR="00671CEC" w:rsidRDefault="006025D6">
            <w:pPr>
              <w:jc w:val="both"/>
              <w:rPr>
                <w:rFonts w:ascii="Arial" w:eastAsia="Arial" w:hAnsi="Arial" w:cs="Arial"/>
              </w:rPr>
            </w:pPr>
            <w:r>
              <w:rPr>
                <w:rFonts w:ascii="Arial" w:eastAsia="Arial" w:hAnsi="Arial" w:cs="Arial"/>
              </w:rPr>
              <w:t>6</w:t>
            </w:r>
          </w:p>
        </w:tc>
        <w:tc>
          <w:tcPr>
            <w:tcW w:w="2580" w:type="dxa"/>
          </w:tcPr>
          <w:p w14:paraId="31A721FF" w14:textId="77777777" w:rsidR="00671CEC" w:rsidRDefault="006025D6">
            <w:pPr>
              <w:jc w:val="both"/>
              <w:rPr>
                <w:rFonts w:ascii="Arial" w:eastAsia="Arial" w:hAnsi="Arial" w:cs="Arial"/>
              </w:rPr>
            </w:pPr>
            <w:r>
              <w:rPr>
                <w:rFonts w:ascii="Arial" w:eastAsia="Arial" w:hAnsi="Arial" w:cs="Arial"/>
              </w:rPr>
              <w:t>INJ. VALPROATE</w:t>
            </w:r>
          </w:p>
        </w:tc>
        <w:tc>
          <w:tcPr>
            <w:tcW w:w="1275" w:type="dxa"/>
          </w:tcPr>
          <w:p w14:paraId="73D00634" w14:textId="77777777" w:rsidR="00671CEC" w:rsidRDefault="006025D6">
            <w:pPr>
              <w:jc w:val="both"/>
              <w:rPr>
                <w:rFonts w:ascii="Arial" w:eastAsia="Arial" w:hAnsi="Arial" w:cs="Arial"/>
              </w:rPr>
            </w:pPr>
            <w:r>
              <w:rPr>
                <w:rFonts w:ascii="Arial" w:eastAsia="Arial" w:hAnsi="Arial" w:cs="Arial"/>
              </w:rPr>
              <w:t>1g/500</w:t>
            </w:r>
          </w:p>
        </w:tc>
        <w:tc>
          <w:tcPr>
            <w:tcW w:w="1080" w:type="dxa"/>
          </w:tcPr>
          <w:p w14:paraId="0E8AFF8A"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057A1459" w14:textId="77777777" w:rsidR="00671CEC" w:rsidRDefault="006025D6">
            <w:pPr>
              <w:jc w:val="both"/>
              <w:rPr>
                <w:rFonts w:ascii="Arial" w:eastAsia="Arial" w:hAnsi="Arial" w:cs="Arial"/>
              </w:rPr>
            </w:pPr>
            <w:r>
              <w:rPr>
                <w:rFonts w:ascii="Arial" w:eastAsia="Arial" w:hAnsi="Arial" w:cs="Arial"/>
              </w:rPr>
              <w:t>STAT/1-0-1</w:t>
            </w:r>
          </w:p>
        </w:tc>
        <w:tc>
          <w:tcPr>
            <w:tcW w:w="1875" w:type="dxa"/>
          </w:tcPr>
          <w:p w14:paraId="376B4B30" w14:textId="77777777" w:rsidR="00671CEC" w:rsidRDefault="006025D6">
            <w:pPr>
              <w:jc w:val="both"/>
              <w:rPr>
                <w:rFonts w:ascii="Arial" w:eastAsia="Arial" w:hAnsi="Arial" w:cs="Arial"/>
              </w:rPr>
            </w:pPr>
            <w:r>
              <w:rPr>
                <w:rFonts w:ascii="Arial" w:eastAsia="Arial" w:hAnsi="Arial" w:cs="Arial"/>
              </w:rPr>
              <w:t>DAY1-3</w:t>
            </w:r>
          </w:p>
        </w:tc>
      </w:tr>
      <w:tr w:rsidR="00671CEC" w14:paraId="1B70F0B0" w14:textId="77777777" w:rsidTr="00671CEC">
        <w:tc>
          <w:tcPr>
            <w:tcW w:w="615" w:type="dxa"/>
          </w:tcPr>
          <w:p w14:paraId="1656FD3B" w14:textId="77777777" w:rsidR="00671CEC" w:rsidRDefault="006025D6">
            <w:pPr>
              <w:jc w:val="both"/>
              <w:rPr>
                <w:rFonts w:ascii="Arial" w:eastAsia="Arial" w:hAnsi="Arial" w:cs="Arial"/>
              </w:rPr>
            </w:pPr>
            <w:r>
              <w:rPr>
                <w:rFonts w:ascii="Arial" w:eastAsia="Arial" w:hAnsi="Arial" w:cs="Arial"/>
              </w:rPr>
              <w:t>7</w:t>
            </w:r>
          </w:p>
        </w:tc>
        <w:tc>
          <w:tcPr>
            <w:tcW w:w="2580" w:type="dxa"/>
          </w:tcPr>
          <w:p w14:paraId="223D818C" w14:textId="77777777" w:rsidR="00671CEC" w:rsidRDefault="006025D6">
            <w:pPr>
              <w:jc w:val="both"/>
              <w:rPr>
                <w:rFonts w:ascii="Arial" w:eastAsia="Arial" w:hAnsi="Arial" w:cs="Arial"/>
              </w:rPr>
            </w:pPr>
            <w:r>
              <w:rPr>
                <w:rFonts w:ascii="Arial" w:eastAsia="Arial" w:hAnsi="Arial" w:cs="Arial"/>
              </w:rPr>
              <w:t>INJ. TRAMADOL</w:t>
            </w:r>
          </w:p>
        </w:tc>
        <w:tc>
          <w:tcPr>
            <w:tcW w:w="1275" w:type="dxa"/>
          </w:tcPr>
          <w:p w14:paraId="2C9FABC8" w14:textId="77777777" w:rsidR="00671CEC" w:rsidRDefault="006025D6">
            <w:pPr>
              <w:jc w:val="both"/>
              <w:rPr>
                <w:rFonts w:ascii="Arial" w:eastAsia="Arial" w:hAnsi="Arial" w:cs="Arial"/>
              </w:rPr>
            </w:pPr>
            <w:r>
              <w:rPr>
                <w:rFonts w:ascii="Arial" w:eastAsia="Arial" w:hAnsi="Arial" w:cs="Arial"/>
              </w:rPr>
              <w:t>100ml</w:t>
            </w:r>
          </w:p>
        </w:tc>
        <w:tc>
          <w:tcPr>
            <w:tcW w:w="1080" w:type="dxa"/>
          </w:tcPr>
          <w:p w14:paraId="048DDBEB"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513A8C0E" w14:textId="77777777" w:rsidR="00671CEC" w:rsidRDefault="006025D6">
            <w:pPr>
              <w:jc w:val="both"/>
              <w:rPr>
                <w:rFonts w:ascii="Arial" w:eastAsia="Arial" w:hAnsi="Arial" w:cs="Arial"/>
              </w:rPr>
            </w:pPr>
            <w:r>
              <w:rPr>
                <w:rFonts w:ascii="Arial" w:eastAsia="Arial" w:hAnsi="Arial" w:cs="Arial"/>
              </w:rPr>
              <w:t>SOS</w:t>
            </w:r>
          </w:p>
        </w:tc>
        <w:tc>
          <w:tcPr>
            <w:tcW w:w="1875" w:type="dxa"/>
          </w:tcPr>
          <w:p w14:paraId="4E1BCC14" w14:textId="77777777" w:rsidR="00671CEC" w:rsidRDefault="006025D6">
            <w:pPr>
              <w:jc w:val="both"/>
              <w:rPr>
                <w:rFonts w:ascii="Arial" w:eastAsia="Arial" w:hAnsi="Arial" w:cs="Arial"/>
              </w:rPr>
            </w:pPr>
            <w:r>
              <w:rPr>
                <w:rFonts w:ascii="Arial" w:eastAsia="Arial" w:hAnsi="Arial" w:cs="Arial"/>
              </w:rPr>
              <w:t>DAY3-6</w:t>
            </w:r>
          </w:p>
        </w:tc>
      </w:tr>
      <w:tr w:rsidR="00671CEC" w14:paraId="09BAC350" w14:textId="77777777" w:rsidTr="00671CEC">
        <w:trPr>
          <w:cnfStyle w:val="000000100000" w:firstRow="0" w:lastRow="0" w:firstColumn="0" w:lastColumn="0" w:oddVBand="0" w:evenVBand="0" w:oddHBand="1" w:evenHBand="0" w:firstRowFirstColumn="0" w:firstRowLastColumn="0" w:lastRowFirstColumn="0" w:lastRowLastColumn="0"/>
        </w:trPr>
        <w:tc>
          <w:tcPr>
            <w:tcW w:w="615" w:type="dxa"/>
          </w:tcPr>
          <w:p w14:paraId="56CE461C" w14:textId="77777777" w:rsidR="00671CEC" w:rsidRDefault="006025D6">
            <w:pPr>
              <w:jc w:val="both"/>
              <w:rPr>
                <w:rFonts w:ascii="Arial" w:eastAsia="Arial" w:hAnsi="Arial" w:cs="Arial"/>
              </w:rPr>
            </w:pPr>
            <w:r>
              <w:rPr>
                <w:rFonts w:ascii="Arial" w:eastAsia="Arial" w:hAnsi="Arial" w:cs="Arial"/>
              </w:rPr>
              <w:t>8</w:t>
            </w:r>
          </w:p>
        </w:tc>
        <w:tc>
          <w:tcPr>
            <w:tcW w:w="2580" w:type="dxa"/>
          </w:tcPr>
          <w:p w14:paraId="42648686" w14:textId="77777777" w:rsidR="00671CEC" w:rsidRDefault="006025D6">
            <w:pPr>
              <w:jc w:val="both"/>
              <w:rPr>
                <w:rFonts w:ascii="Arial" w:eastAsia="Arial" w:hAnsi="Arial" w:cs="Arial"/>
              </w:rPr>
            </w:pPr>
            <w:r>
              <w:rPr>
                <w:rFonts w:ascii="Arial" w:eastAsia="Arial" w:hAnsi="Arial" w:cs="Arial"/>
              </w:rPr>
              <w:t>INJ. IRON SUCROSE</w:t>
            </w:r>
          </w:p>
        </w:tc>
        <w:tc>
          <w:tcPr>
            <w:tcW w:w="1275" w:type="dxa"/>
          </w:tcPr>
          <w:p w14:paraId="2589A12B" w14:textId="77777777" w:rsidR="00671CEC" w:rsidRDefault="006025D6">
            <w:pPr>
              <w:jc w:val="both"/>
              <w:rPr>
                <w:rFonts w:ascii="Arial" w:eastAsia="Arial" w:hAnsi="Arial" w:cs="Arial"/>
              </w:rPr>
            </w:pPr>
            <w:r>
              <w:rPr>
                <w:rFonts w:ascii="Arial" w:eastAsia="Arial" w:hAnsi="Arial" w:cs="Arial"/>
              </w:rPr>
              <w:t>100mg in 100ml NS</w:t>
            </w:r>
          </w:p>
        </w:tc>
        <w:tc>
          <w:tcPr>
            <w:tcW w:w="1080" w:type="dxa"/>
          </w:tcPr>
          <w:p w14:paraId="2BF8A3F9" w14:textId="77777777" w:rsidR="00671CEC" w:rsidRDefault="006025D6">
            <w:pPr>
              <w:jc w:val="both"/>
              <w:rPr>
                <w:rFonts w:ascii="Arial" w:eastAsia="Arial" w:hAnsi="Arial" w:cs="Arial"/>
              </w:rPr>
            </w:pPr>
            <w:r>
              <w:rPr>
                <w:rFonts w:ascii="Arial" w:eastAsia="Arial" w:hAnsi="Arial" w:cs="Arial"/>
              </w:rPr>
              <w:t>IV</w:t>
            </w:r>
          </w:p>
        </w:tc>
        <w:tc>
          <w:tcPr>
            <w:tcW w:w="1860" w:type="dxa"/>
          </w:tcPr>
          <w:p w14:paraId="7CB74784" w14:textId="77777777" w:rsidR="00671CEC" w:rsidRDefault="006025D6">
            <w:pPr>
              <w:jc w:val="both"/>
              <w:rPr>
                <w:rFonts w:ascii="Arial" w:eastAsia="Arial" w:hAnsi="Arial" w:cs="Arial"/>
              </w:rPr>
            </w:pPr>
            <w:r>
              <w:rPr>
                <w:rFonts w:ascii="Arial" w:eastAsia="Arial" w:hAnsi="Arial" w:cs="Arial"/>
              </w:rPr>
              <w:t>1-0-0</w:t>
            </w:r>
          </w:p>
        </w:tc>
        <w:tc>
          <w:tcPr>
            <w:tcW w:w="1875" w:type="dxa"/>
          </w:tcPr>
          <w:p w14:paraId="1E3F9EC6" w14:textId="77777777" w:rsidR="00671CEC" w:rsidRDefault="006025D6">
            <w:pPr>
              <w:jc w:val="both"/>
              <w:rPr>
                <w:rFonts w:ascii="Arial" w:eastAsia="Arial" w:hAnsi="Arial" w:cs="Arial"/>
              </w:rPr>
            </w:pPr>
            <w:r>
              <w:rPr>
                <w:rFonts w:ascii="Arial" w:eastAsia="Arial" w:hAnsi="Arial" w:cs="Arial"/>
              </w:rPr>
              <w:t>DAY 3 ONLY</w:t>
            </w:r>
          </w:p>
        </w:tc>
      </w:tr>
    </w:tbl>
    <w:p w14:paraId="5CE37C13" w14:textId="77777777" w:rsidR="00671CEC" w:rsidRDefault="00671CEC">
      <w:pPr>
        <w:spacing w:after="160" w:line="259" w:lineRule="auto"/>
        <w:jc w:val="both"/>
        <w:rPr>
          <w:rFonts w:ascii="Arial" w:eastAsia="Arial" w:hAnsi="Arial" w:cs="Arial"/>
          <w:b/>
          <w:bCs/>
        </w:rPr>
      </w:pPr>
    </w:p>
    <w:p w14:paraId="1E1BBE98" w14:textId="77777777" w:rsidR="00671CEC" w:rsidRDefault="006025D6">
      <w:pPr>
        <w:spacing w:after="160" w:line="259" w:lineRule="auto"/>
        <w:jc w:val="center"/>
        <w:rPr>
          <w:rFonts w:ascii="Arial" w:eastAsia="Arial" w:hAnsi="Arial" w:cs="Arial"/>
          <w:b/>
          <w:bCs/>
        </w:rPr>
      </w:pPr>
      <w:r>
        <w:rPr>
          <w:rFonts w:ascii="Arial" w:eastAsia="Arial" w:hAnsi="Arial" w:cs="Arial"/>
          <w:b/>
          <w:bCs/>
        </w:rPr>
        <w:t>TABLE – 3   DISCHARGE MEDICATIONS</w:t>
      </w:r>
    </w:p>
    <w:tbl>
      <w:tblPr>
        <w:tblStyle w:val="a3"/>
        <w:tblW w:w="7455" w:type="dxa"/>
        <w:tblInd w:w="0" w:type="dxa"/>
        <w:tblBorders>
          <w:top w:val="single" w:sz="4" w:space="0" w:color="7F7F7F"/>
          <w:bottom w:val="single" w:sz="4" w:space="0" w:color="7F7F7F"/>
        </w:tblBorders>
        <w:tblLayout w:type="fixed"/>
        <w:tblLook w:val="0400" w:firstRow="0" w:lastRow="0" w:firstColumn="0" w:lastColumn="0" w:noHBand="0" w:noVBand="1"/>
      </w:tblPr>
      <w:tblGrid>
        <w:gridCol w:w="600"/>
        <w:gridCol w:w="2610"/>
        <w:gridCol w:w="1185"/>
        <w:gridCol w:w="1200"/>
        <w:gridCol w:w="1860"/>
      </w:tblGrid>
      <w:tr w:rsidR="00671CEC" w14:paraId="320F887E"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296B90F5" w14:textId="77777777" w:rsidR="00671CEC" w:rsidRDefault="006025D6">
            <w:pPr>
              <w:jc w:val="both"/>
              <w:rPr>
                <w:rFonts w:ascii="Arial" w:eastAsia="Arial" w:hAnsi="Arial" w:cs="Arial"/>
                <w:b/>
                <w:bCs/>
              </w:rPr>
            </w:pPr>
            <w:r>
              <w:rPr>
                <w:rFonts w:ascii="Arial" w:eastAsia="Arial" w:hAnsi="Arial" w:cs="Arial"/>
                <w:b/>
                <w:bCs/>
              </w:rPr>
              <w:t>SL NO</w:t>
            </w:r>
          </w:p>
        </w:tc>
        <w:tc>
          <w:tcPr>
            <w:tcW w:w="2610" w:type="dxa"/>
          </w:tcPr>
          <w:p w14:paraId="1EA4C246" w14:textId="77777777" w:rsidR="00671CEC" w:rsidRDefault="006025D6">
            <w:pPr>
              <w:jc w:val="both"/>
              <w:rPr>
                <w:rFonts w:ascii="Arial" w:eastAsia="Arial" w:hAnsi="Arial" w:cs="Arial"/>
                <w:b/>
                <w:bCs/>
              </w:rPr>
            </w:pPr>
            <w:r>
              <w:rPr>
                <w:rFonts w:ascii="Arial" w:eastAsia="Arial" w:hAnsi="Arial" w:cs="Arial"/>
                <w:b/>
                <w:bCs/>
              </w:rPr>
              <w:t>NAME OF THE MEDICATION</w:t>
            </w:r>
          </w:p>
        </w:tc>
        <w:tc>
          <w:tcPr>
            <w:tcW w:w="1185" w:type="dxa"/>
          </w:tcPr>
          <w:p w14:paraId="31BDC4E8" w14:textId="77777777" w:rsidR="00671CEC" w:rsidRDefault="006025D6">
            <w:pPr>
              <w:jc w:val="both"/>
              <w:rPr>
                <w:rFonts w:ascii="Arial" w:eastAsia="Arial" w:hAnsi="Arial" w:cs="Arial"/>
                <w:b/>
                <w:bCs/>
              </w:rPr>
            </w:pPr>
            <w:r>
              <w:rPr>
                <w:rFonts w:ascii="Arial" w:eastAsia="Arial" w:hAnsi="Arial" w:cs="Arial"/>
                <w:b/>
                <w:bCs/>
              </w:rPr>
              <w:t>DOSE</w:t>
            </w:r>
          </w:p>
        </w:tc>
        <w:tc>
          <w:tcPr>
            <w:tcW w:w="1200" w:type="dxa"/>
          </w:tcPr>
          <w:p w14:paraId="5837CB13" w14:textId="77777777" w:rsidR="00671CEC" w:rsidRDefault="006025D6">
            <w:pPr>
              <w:jc w:val="both"/>
              <w:rPr>
                <w:rFonts w:ascii="Arial" w:eastAsia="Arial" w:hAnsi="Arial" w:cs="Arial"/>
                <w:b/>
                <w:bCs/>
              </w:rPr>
            </w:pPr>
            <w:r>
              <w:rPr>
                <w:rFonts w:ascii="Arial" w:eastAsia="Arial" w:hAnsi="Arial" w:cs="Arial"/>
                <w:b/>
                <w:bCs/>
              </w:rPr>
              <w:t>ROUTE</w:t>
            </w:r>
          </w:p>
        </w:tc>
        <w:tc>
          <w:tcPr>
            <w:tcW w:w="1860" w:type="dxa"/>
          </w:tcPr>
          <w:p w14:paraId="6F768D16" w14:textId="77777777" w:rsidR="00671CEC" w:rsidRDefault="006025D6">
            <w:pPr>
              <w:jc w:val="both"/>
              <w:rPr>
                <w:rFonts w:ascii="Arial" w:eastAsia="Arial" w:hAnsi="Arial" w:cs="Arial"/>
                <w:b/>
                <w:bCs/>
              </w:rPr>
            </w:pPr>
            <w:r>
              <w:rPr>
                <w:rFonts w:ascii="Arial" w:eastAsia="Arial" w:hAnsi="Arial" w:cs="Arial"/>
                <w:b/>
                <w:bCs/>
              </w:rPr>
              <w:t>FREQUENCY</w:t>
            </w:r>
          </w:p>
        </w:tc>
      </w:tr>
      <w:tr w:rsidR="00671CEC" w14:paraId="2680F3D5" w14:textId="77777777" w:rsidTr="00671CEC">
        <w:tc>
          <w:tcPr>
            <w:tcW w:w="600" w:type="dxa"/>
          </w:tcPr>
          <w:p w14:paraId="18F41B39" w14:textId="77777777" w:rsidR="00671CEC" w:rsidRDefault="006025D6">
            <w:pPr>
              <w:jc w:val="both"/>
              <w:rPr>
                <w:rFonts w:ascii="Arial" w:eastAsia="Arial" w:hAnsi="Arial" w:cs="Arial"/>
              </w:rPr>
            </w:pPr>
            <w:r>
              <w:rPr>
                <w:rFonts w:ascii="Arial" w:eastAsia="Arial" w:hAnsi="Arial" w:cs="Arial"/>
              </w:rPr>
              <w:t>1</w:t>
            </w:r>
          </w:p>
        </w:tc>
        <w:tc>
          <w:tcPr>
            <w:tcW w:w="2610" w:type="dxa"/>
          </w:tcPr>
          <w:p w14:paraId="67C51E30" w14:textId="77777777" w:rsidR="00671CEC" w:rsidRDefault="006025D6">
            <w:pPr>
              <w:jc w:val="both"/>
              <w:rPr>
                <w:rFonts w:ascii="Arial" w:eastAsia="Arial" w:hAnsi="Arial" w:cs="Arial"/>
              </w:rPr>
            </w:pPr>
            <w:r>
              <w:rPr>
                <w:rFonts w:ascii="Arial" w:eastAsia="Arial" w:hAnsi="Arial" w:cs="Arial"/>
              </w:rPr>
              <w:t>TAB.LEVETIRACETAM</w:t>
            </w:r>
          </w:p>
        </w:tc>
        <w:tc>
          <w:tcPr>
            <w:tcW w:w="1185" w:type="dxa"/>
          </w:tcPr>
          <w:p w14:paraId="10241864" w14:textId="77777777" w:rsidR="00671CEC" w:rsidRDefault="006025D6">
            <w:pPr>
              <w:jc w:val="both"/>
              <w:rPr>
                <w:rFonts w:ascii="Arial" w:eastAsia="Arial" w:hAnsi="Arial" w:cs="Arial"/>
              </w:rPr>
            </w:pPr>
            <w:r>
              <w:rPr>
                <w:rFonts w:ascii="Arial" w:eastAsia="Arial" w:hAnsi="Arial" w:cs="Arial"/>
              </w:rPr>
              <w:t>500mg</w:t>
            </w:r>
          </w:p>
        </w:tc>
        <w:tc>
          <w:tcPr>
            <w:tcW w:w="1200" w:type="dxa"/>
          </w:tcPr>
          <w:p w14:paraId="53C87EF5"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4DBB538C" w14:textId="77777777" w:rsidR="00671CEC" w:rsidRDefault="006025D6">
            <w:pPr>
              <w:jc w:val="both"/>
              <w:rPr>
                <w:rFonts w:ascii="Arial" w:eastAsia="Arial" w:hAnsi="Arial" w:cs="Arial"/>
              </w:rPr>
            </w:pPr>
            <w:r>
              <w:rPr>
                <w:rFonts w:ascii="Arial" w:eastAsia="Arial" w:hAnsi="Arial" w:cs="Arial"/>
              </w:rPr>
              <w:t>1-0-1</w:t>
            </w:r>
          </w:p>
        </w:tc>
      </w:tr>
      <w:tr w:rsidR="00671CEC" w14:paraId="27693C83"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3C170147" w14:textId="77777777" w:rsidR="00671CEC" w:rsidRDefault="006025D6">
            <w:pPr>
              <w:jc w:val="both"/>
              <w:rPr>
                <w:rFonts w:ascii="Arial" w:eastAsia="Arial" w:hAnsi="Arial" w:cs="Arial"/>
              </w:rPr>
            </w:pPr>
            <w:r>
              <w:rPr>
                <w:rFonts w:ascii="Arial" w:eastAsia="Arial" w:hAnsi="Arial" w:cs="Arial"/>
              </w:rPr>
              <w:t>2</w:t>
            </w:r>
          </w:p>
        </w:tc>
        <w:tc>
          <w:tcPr>
            <w:tcW w:w="2610" w:type="dxa"/>
          </w:tcPr>
          <w:p w14:paraId="5998E4E5" w14:textId="77777777" w:rsidR="00671CEC" w:rsidRDefault="006025D6">
            <w:pPr>
              <w:jc w:val="both"/>
              <w:rPr>
                <w:rFonts w:ascii="Arial" w:eastAsia="Arial" w:hAnsi="Arial" w:cs="Arial"/>
              </w:rPr>
            </w:pPr>
            <w:r>
              <w:rPr>
                <w:rFonts w:ascii="Arial" w:eastAsia="Arial" w:hAnsi="Arial" w:cs="Arial"/>
              </w:rPr>
              <w:t>TAB.ATORVASTATIN</w:t>
            </w:r>
          </w:p>
        </w:tc>
        <w:tc>
          <w:tcPr>
            <w:tcW w:w="1185" w:type="dxa"/>
          </w:tcPr>
          <w:p w14:paraId="599218CE" w14:textId="77777777" w:rsidR="00671CEC" w:rsidRDefault="006025D6">
            <w:pPr>
              <w:jc w:val="both"/>
              <w:rPr>
                <w:rFonts w:ascii="Arial" w:eastAsia="Arial" w:hAnsi="Arial" w:cs="Arial"/>
              </w:rPr>
            </w:pPr>
            <w:r>
              <w:rPr>
                <w:rFonts w:ascii="Arial" w:eastAsia="Arial" w:hAnsi="Arial" w:cs="Arial"/>
              </w:rPr>
              <w:t>40mg</w:t>
            </w:r>
          </w:p>
        </w:tc>
        <w:tc>
          <w:tcPr>
            <w:tcW w:w="1200" w:type="dxa"/>
          </w:tcPr>
          <w:p w14:paraId="54CE7B17"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1054FC8C" w14:textId="77777777" w:rsidR="00671CEC" w:rsidRDefault="006025D6">
            <w:pPr>
              <w:jc w:val="both"/>
              <w:rPr>
                <w:rFonts w:ascii="Arial" w:eastAsia="Arial" w:hAnsi="Arial" w:cs="Arial"/>
              </w:rPr>
            </w:pPr>
            <w:r>
              <w:rPr>
                <w:rFonts w:ascii="Arial" w:eastAsia="Arial" w:hAnsi="Arial" w:cs="Arial"/>
              </w:rPr>
              <w:t>0-0-1</w:t>
            </w:r>
          </w:p>
        </w:tc>
      </w:tr>
      <w:tr w:rsidR="00671CEC" w14:paraId="4C875F1F" w14:textId="77777777" w:rsidTr="00671CEC">
        <w:tc>
          <w:tcPr>
            <w:tcW w:w="600" w:type="dxa"/>
          </w:tcPr>
          <w:p w14:paraId="0B43232B" w14:textId="77777777" w:rsidR="00671CEC" w:rsidRDefault="006025D6">
            <w:pPr>
              <w:jc w:val="both"/>
              <w:rPr>
                <w:rFonts w:ascii="Arial" w:eastAsia="Arial" w:hAnsi="Arial" w:cs="Arial"/>
              </w:rPr>
            </w:pPr>
            <w:r>
              <w:rPr>
                <w:rFonts w:ascii="Arial" w:eastAsia="Arial" w:hAnsi="Arial" w:cs="Arial"/>
              </w:rPr>
              <w:t>3</w:t>
            </w:r>
          </w:p>
        </w:tc>
        <w:tc>
          <w:tcPr>
            <w:tcW w:w="2610" w:type="dxa"/>
          </w:tcPr>
          <w:p w14:paraId="29A8D73A" w14:textId="77777777" w:rsidR="00671CEC" w:rsidRDefault="006025D6">
            <w:pPr>
              <w:jc w:val="both"/>
              <w:rPr>
                <w:rFonts w:ascii="Arial" w:eastAsia="Arial" w:hAnsi="Arial" w:cs="Arial"/>
              </w:rPr>
            </w:pPr>
            <w:r>
              <w:rPr>
                <w:rFonts w:ascii="Arial" w:eastAsia="Arial" w:hAnsi="Arial" w:cs="Arial"/>
              </w:rPr>
              <w:t>TAB.ASPIRIN</w:t>
            </w:r>
          </w:p>
        </w:tc>
        <w:tc>
          <w:tcPr>
            <w:tcW w:w="1185" w:type="dxa"/>
          </w:tcPr>
          <w:p w14:paraId="4D55A529" w14:textId="77777777" w:rsidR="00671CEC" w:rsidRDefault="006025D6">
            <w:pPr>
              <w:jc w:val="both"/>
              <w:rPr>
                <w:rFonts w:ascii="Arial" w:eastAsia="Arial" w:hAnsi="Arial" w:cs="Arial"/>
              </w:rPr>
            </w:pPr>
            <w:r>
              <w:rPr>
                <w:rFonts w:ascii="Arial" w:eastAsia="Arial" w:hAnsi="Arial" w:cs="Arial"/>
              </w:rPr>
              <w:t>75mg</w:t>
            </w:r>
          </w:p>
        </w:tc>
        <w:tc>
          <w:tcPr>
            <w:tcW w:w="1200" w:type="dxa"/>
          </w:tcPr>
          <w:p w14:paraId="69ADEE9B"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50A7B2E8" w14:textId="77777777" w:rsidR="00671CEC" w:rsidRDefault="006025D6">
            <w:pPr>
              <w:jc w:val="both"/>
              <w:rPr>
                <w:rFonts w:ascii="Arial" w:eastAsia="Arial" w:hAnsi="Arial" w:cs="Arial"/>
              </w:rPr>
            </w:pPr>
            <w:r>
              <w:rPr>
                <w:rFonts w:ascii="Arial" w:eastAsia="Arial" w:hAnsi="Arial" w:cs="Arial"/>
              </w:rPr>
              <w:t>0-1-0</w:t>
            </w:r>
          </w:p>
        </w:tc>
      </w:tr>
      <w:tr w:rsidR="00671CEC" w14:paraId="78B587BC"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0059173C" w14:textId="77777777" w:rsidR="00671CEC" w:rsidRDefault="006025D6">
            <w:pPr>
              <w:jc w:val="both"/>
              <w:rPr>
                <w:rFonts w:ascii="Arial" w:eastAsia="Arial" w:hAnsi="Arial" w:cs="Arial"/>
              </w:rPr>
            </w:pPr>
            <w:r>
              <w:rPr>
                <w:rFonts w:ascii="Arial" w:eastAsia="Arial" w:hAnsi="Arial" w:cs="Arial"/>
              </w:rPr>
              <w:t>4</w:t>
            </w:r>
          </w:p>
        </w:tc>
        <w:tc>
          <w:tcPr>
            <w:tcW w:w="2610" w:type="dxa"/>
          </w:tcPr>
          <w:p w14:paraId="74DD0CA5" w14:textId="77777777" w:rsidR="00671CEC" w:rsidRDefault="006025D6">
            <w:pPr>
              <w:jc w:val="both"/>
              <w:rPr>
                <w:rFonts w:ascii="Arial" w:eastAsia="Arial" w:hAnsi="Arial" w:cs="Arial"/>
              </w:rPr>
            </w:pPr>
            <w:r>
              <w:rPr>
                <w:rFonts w:ascii="Arial" w:eastAsia="Arial" w:hAnsi="Arial" w:cs="Arial"/>
              </w:rPr>
              <w:t>TAB.B COMPLEX</w:t>
            </w:r>
          </w:p>
        </w:tc>
        <w:tc>
          <w:tcPr>
            <w:tcW w:w="1185" w:type="dxa"/>
          </w:tcPr>
          <w:p w14:paraId="5F3B0A74" w14:textId="77777777" w:rsidR="00671CEC" w:rsidRDefault="00671CEC">
            <w:pPr>
              <w:jc w:val="both"/>
              <w:rPr>
                <w:rFonts w:ascii="Arial" w:eastAsia="Arial" w:hAnsi="Arial" w:cs="Arial"/>
              </w:rPr>
            </w:pPr>
          </w:p>
        </w:tc>
        <w:tc>
          <w:tcPr>
            <w:tcW w:w="1200" w:type="dxa"/>
          </w:tcPr>
          <w:p w14:paraId="770CFDBF"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486F8105" w14:textId="77777777" w:rsidR="00671CEC" w:rsidRDefault="006025D6">
            <w:pPr>
              <w:jc w:val="both"/>
              <w:rPr>
                <w:rFonts w:ascii="Arial" w:eastAsia="Arial" w:hAnsi="Arial" w:cs="Arial"/>
              </w:rPr>
            </w:pPr>
            <w:r>
              <w:rPr>
                <w:rFonts w:ascii="Arial" w:eastAsia="Arial" w:hAnsi="Arial" w:cs="Arial"/>
              </w:rPr>
              <w:t>0-1-0</w:t>
            </w:r>
          </w:p>
        </w:tc>
      </w:tr>
      <w:tr w:rsidR="00671CEC" w14:paraId="16F8F09C" w14:textId="77777777" w:rsidTr="00671CEC">
        <w:tc>
          <w:tcPr>
            <w:tcW w:w="600" w:type="dxa"/>
          </w:tcPr>
          <w:p w14:paraId="67253F37" w14:textId="77777777" w:rsidR="00671CEC" w:rsidRDefault="006025D6">
            <w:pPr>
              <w:jc w:val="both"/>
              <w:rPr>
                <w:rFonts w:ascii="Arial" w:eastAsia="Arial" w:hAnsi="Arial" w:cs="Arial"/>
              </w:rPr>
            </w:pPr>
            <w:r>
              <w:rPr>
                <w:rFonts w:ascii="Arial" w:eastAsia="Arial" w:hAnsi="Arial" w:cs="Arial"/>
              </w:rPr>
              <w:t>5</w:t>
            </w:r>
          </w:p>
        </w:tc>
        <w:tc>
          <w:tcPr>
            <w:tcW w:w="2610" w:type="dxa"/>
          </w:tcPr>
          <w:p w14:paraId="1AF70E01" w14:textId="77777777" w:rsidR="00671CEC" w:rsidRDefault="006025D6">
            <w:pPr>
              <w:jc w:val="both"/>
              <w:rPr>
                <w:rFonts w:ascii="Arial" w:eastAsia="Arial" w:hAnsi="Arial" w:cs="Arial"/>
              </w:rPr>
            </w:pPr>
            <w:r>
              <w:rPr>
                <w:rFonts w:ascii="Arial" w:eastAsia="Arial" w:hAnsi="Arial" w:cs="Arial"/>
              </w:rPr>
              <w:t>SYP.MULTIVITAMIN</w:t>
            </w:r>
          </w:p>
        </w:tc>
        <w:tc>
          <w:tcPr>
            <w:tcW w:w="1185" w:type="dxa"/>
          </w:tcPr>
          <w:p w14:paraId="12E0FADB" w14:textId="77777777" w:rsidR="00671CEC" w:rsidRDefault="006025D6">
            <w:pPr>
              <w:jc w:val="both"/>
              <w:rPr>
                <w:rFonts w:ascii="Arial" w:eastAsia="Arial" w:hAnsi="Arial" w:cs="Arial"/>
              </w:rPr>
            </w:pPr>
            <w:r>
              <w:rPr>
                <w:rFonts w:ascii="Arial" w:eastAsia="Arial" w:hAnsi="Arial" w:cs="Arial"/>
              </w:rPr>
              <w:t>5ml</w:t>
            </w:r>
          </w:p>
        </w:tc>
        <w:tc>
          <w:tcPr>
            <w:tcW w:w="1200" w:type="dxa"/>
          </w:tcPr>
          <w:p w14:paraId="5C0469C4"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305A659C" w14:textId="77777777" w:rsidR="00671CEC" w:rsidRDefault="006025D6">
            <w:pPr>
              <w:jc w:val="both"/>
              <w:rPr>
                <w:rFonts w:ascii="Arial" w:eastAsia="Arial" w:hAnsi="Arial" w:cs="Arial"/>
              </w:rPr>
            </w:pPr>
            <w:r>
              <w:rPr>
                <w:rFonts w:ascii="Arial" w:eastAsia="Arial" w:hAnsi="Arial" w:cs="Arial"/>
              </w:rPr>
              <w:t>1-1-1</w:t>
            </w:r>
          </w:p>
        </w:tc>
      </w:tr>
      <w:tr w:rsidR="00671CEC" w14:paraId="1A0E828B" w14:textId="77777777" w:rsidTr="00671CEC">
        <w:trPr>
          <w:cnfStyle w:val="000000100000" w:firstRow="0" w:lastRow="0" w:firstColumn="0" w:lastColumn="0" w:oddVBand="0" w:evenVBand="0" w:oddHBand="1" w:evenHBand="0" w:firstRowFirstColumn="0" w:firstRowLastColumn="0" w:lastRowFirstColumn="0" w:lastRowLastColumn="0"/>
        </w:trPr>
        <w:tc>
          <w:tcPr>
            <w:tcW w:w="600" w:type="dxa"/>
          </w:tcPr>
          <w:p w14:paraId="67334977" w14:textId="77777777" w:rsidR="00671CEC" w:rsidRDefault="006025D6">
            <w:pPr>
              <w:jc w:val="both"/>
              <w:rPr>
                <w:rFonts w:ascii="Arial" w:eastAsia="Arial" w:hAnsi="Arial" w:cs="Arial"/>
              </w:rPr>
            </w:pPr>
            <w:r>
              <w:rPr>
                <w:rFonts w:ascii="Arial" w:eastAsia="Arial" w:hAnsi="Arial" w:cs="Arial"/>
              </w:rPr>
              <w:t>6</w:t>
            </w:r>
          </w:p>
        </w:tc>
        <w:tc>
          <w:tcPr>
            <w:tcW w:w="2610" w:type="dxa"/>
          </w:tcPr>
          <w:p w14:paraId="35964E4C" w14:textId="77777777" w:rsidR="00671CEC" w:rsidRDefault="006025D6">
            <w:pPr>
              <w:jc w:val="both"/>
              <w:rPr>
                <w:rFonts w:ascii="Arial" w:eastAsia="Arial" w:hAnsi="Arial" w:cs="Arial"/>
              </w:rPr>
            </w:pPr>
            <w:r>
              <w:rPr>
                <w:rFonts w:ascii="Arial" w:eastAsia="Arial" w:hAnsi="Arial" w:cs="Arial"/>
              </w:rPr>
              <w:t>TAB.CLOPIDOGREL</w:t>
            </w:r>
          </w:p>
        </w:tc>
        <w:tc>
          <w:tcPr>
            <w:tcW w:w="1185" w:type="dxa"/>
          </w:tcPr>
          <w:p w14:paraId="62467AF2" w14:textId="77777777" w:rsidR="00671CEC" w:rsidRDefault="006025D6">
            <w:pPr>
              <w:jc w:val="both"/>
              <w:rPr>
                <w:rFonts w:ascii="Arial" w:eastAsia="Arial" w:hAnsi="Arial" w:cs="Arial"/>
              </w:rPr>
            </w:pPr>
            <w:r>
              <w:rPr>
                <w:rFonts w:ascii="Arial" w:eastAsia="Arial" w:hAnsi="Arial" w:cs="Arial"/>
              </w:rPr>
              <w:t>75mg</w:t>
            </w:r>
          </w:p>
        </w:tc>
        <w:tc>
          <w:tcPr>
            <w:tcW w:w="1200" w:type="dxa"/>
          </w:tcPr>
          <w:p w14:paraId="44E77EBD" w14:textId="77777777" w:rsidR="00671CEC" w:rsidRDefault="006025D6">
            <w:pPr>
              <w:jc w:val="both"/>
              <w:rPr>
                <w:rFonts w:ascii="Arial" w:eastAsia="Arial" w:hAnsi="Arial" w:cs="Arial"/>
              </w:rPr>
            </w:pPr>
            <w:r>
              <w:rPr>
                <w:rFonts w:ascii="Arial" w:eastAsia="Arial" w:hAnsi="Arial" w:cs="Arial"/>
              </w:rPr>
              <w:t>PO</w:t>
            </w:r>
          </w:p>
        </w:tc>
        <w:tc>
          <w:tcPr>
            <w:tcW w:w="1860" w:type="dxa"/>
          </w:tcPr>
          <w:p w14:paraId="7FF5F6EB" w14:textId="77777777" w:rsidR="00671CEC" w:rsidRDefault="006025D6">
            <w:pPr>
              <w:jc w:val="both"/>
              <w:rPr>
                <w:rFonts w:ascii="Arial" w:eastAsia="Arial" w:hAnsi="Arial" w:cs="Arial"/>
              </w:rPr>
            </w:pPr>
            <w:r>
              <w:rPr>
                <w:rFonts w:ascii="Arial" w:eastAsia="Arial" w:hAnsi="Arial" w:cs="Arial"/>
              </w:rPr>
              <w:t>0-1-0</w:t>
            </w:r>
          </w:p>
        </w:tc>
      </w:tr>
    </w:tbl>
    <w:p w14:paraId="39B2DB00" w14:textId="77777777" w:rsidR="00671CEC" w:rsidRDefault="006025D6">
      <w:pPr>
        <w:spacing w:after="160" w:line="259" w:lineRule="auto"/>
        <w:rPr>
          <w:rFonts w:ascii="Arial" w:eastAsia="Arial" w:hAnsi="Arial" w:cs="Arial"/>
        </w:rPr>
      </w:pPr>
      <w:r>
        <w:rPr>
          <w:rFonts w:ascii="Arial" w:eastAsia="Arial" w:hAnsi="Arial" w:cs="Arial"/>
        </w:rPr>
        <w:t>Recommended to review after 2 weeks.</w:t>
      </w:r>
    </w:p>
    <w:p w14:paraId="1D8853F0" w14:textId="77777777" w:rsidR="00671CEC" w:rsidRDefault="006025D6">
      <w:pPr>
        <w:spacing w:after="160"/>
        <w:jc w:val="both"/>
        <w:rPr>
          <w:rFonts w:ascii="Arial" w:eastAsia="Arial" w:hAnsi="Arial" w:cs="Arial"/>
          <w:b/>
          <w:bCs/>
        </w:rPr>
      </w:pPr>
      <w:r>
        <w:rPr>
          <w:rFonts w:ascii="Arial" w:eastAsia="Arial" w:hAnsi="Arial" w:cs="Arial"/>
          <w:b/>
          <w:bCs/>
          <w:u w:val="single"/>
        </w:rPr>
        <w:t>SUMMARY</w:t>
      </w:r>
    </w:p>
    <w:p w14:paraId="1208D5DD" w14:textId="77777777" w:rsidR="00671CEC" w:rsidRDefault="006025D6">
      <w:pPr>
        <w:spacing w:after="160"/>
        <w:jc w:val="both"/>
        <w:rPr>
          <w:rFonts w:ascii="Arial" w:eastAsia="Arial" w:hAnsi="Arial" w:cs="Arial"/>
        </w:rPr>
      </w:pPr>
      <w:r>
        <w:rPr>
          <w:rFonts w:ascii="Arial" w:eastAsia="Arial" w:hAnsi="Arial" w:cs="Arial"/>
        </w:rPr>
        <w:t xml:space="preserve">The patient condition was showing clinical improvement on the day of </w:t>
      </w:r>
      <w:commentRangeStart w:id="3"/>
      <w:r>
        <w:rPr>
          <w:rFonts w:ascii="Arial" w:eastAsia="Arial" w:hAnsi="Arial" w:cs="Arial"/>
        </w:rPr>
        <w:t>discharge</w:t>
      </w:r>
      <w:commentRangeEnd w:id="3"/>
      <w:r w:rsidR="00825B11">
        <w:rPr>
          <w:rStyle w:val="CommentReference"/>
        </w:rPr>
        <w:commentReference w:id="3"/>
      </w:r>
      <w:r>
        <w:rPr>
          <w:rFonts w:ascii="Arial" w:eastAsia="Arial" w:hAnsi="Arial" w:cs="Arial"/>
        </w:rPr>
        <w:t xml:space="preserve"> it was identified that patient’s serum phenytoin level </w:t>
      </w:r>
      <w:proofErr w:type="gramStart"/>
      <w:r>
        <w:rPr>
          <w:rFonts w:ascii="Arial" w:eastAsia="Arial" w:hAnsi="Arial" w:cs="Arial"/>
        </w:rPr>
        <w:t>were</w:t>
      </w:r>
      <w:proofErr w:type="gramEnd"/>
      <w:r>
        <w:rPr>
          <w:rFonts w:ascii="Arial" w:eastAsia="Arial" w:hAnsi="Arial" w:cs="Arial"/>
        </w:rPr>
        <w:t xml:space="preserve"> elevated that is 35µg/mg (10-20µg/ml). For this </w:t>
      </w:r>
      <w:proofErr w:type="gramStart"/>
      <w:r>
        <w:rPr>
          <w:rFonts w:ascii="Arial" w:eastAsia="Arial" w:hAnsi="Arial" w:cs="Arial"/>
        </w:rPr>
        <w:t>reason</w:t>
      </w:r>
      <w:proofErr w:type="gramEnd"/>
      <w:r>
        <w:rPr>
          <w:rFonts w:ascii="Arial" w:eastAsia="Arial" w:hAnsi="Arial" w:cs="Arial"/>
        </w:rPr>
        <w:t xml:space="preserve"> phenytoin was stopped on day 4 and treatment was continued with levetiracetam and valproate.</w:t>
      </w:r>
    </w:p>
    <w:p w14:paraId="7801312F" w14:textId="77777777" w:rsidR="00671CEC" w:rsidRDefault="006025D6">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3. </w:t>
      </w:r>
      <w:commentRangeStart w:id="4"/>
      <w:commentRangeStart w:id="5"/>
      <w:r>
        <w:rPr>
          <w:rFonts w:ascii="Arial" w:eastAsia="Arial" w:hAnsi="Arial" w:cs="Arial"/>
          <w:b/>
          <w:bCs/>
          <w:smallCaps/>
          <w:color w:val="000000"/>
          <w:sz w:val="22"/>
          <w:szCs w:val="22"/>
        </w:rPr>
        <w:t>discussion</w:t>
      </w:r>
      <w:commentRangeEnd w:id="4"/>
      <w:r w:rsidR="00825B11">
        <w:rPr>
          <w:rStyle w:val="CommentReference"/>
        </w:rPr>
        <w:commentReference w:id="4"/>
      </w:r>
      <w:commentRangeEnd w:id="5"/>
      <w:r w:rsidR="006953D2">
        <w:rPr>
          <w:rStyle w:val="CommentReference"/>
        </w:rPr>
        <w:commentReference w:id="5"/>
      </w:r>
    </w:p>
    <w:p w14:paraId="60C8D73A" w14:textId="77777777" w:rsidR="00671CEC" w:rsidRDefault="006025D6">
      <w:pPr>
        <w:spacing w:before="240" w:after="240"/>
        <w:jc w:val="both"/>
        <w:rPr>
          <w:rFonts w:ascii="Arial" w:eastAsia="Arial" w:hAnsi="Arial" w:cs="Arial"/>
        </w:rPr>
      </w:pPr>
      <w:r>
        <w:rPr>
          <w:rFonts w:ascii="Arial" w:eastAsia="Arial" w:hAnsi="Arial" w:cs="Arial"/>
        </w:rPr>
        <w:t>Phenytoin is a commonly used antiepileptic drug with a narrow therapeutic index. Even a slight increase in dosage or alteration in metabolism can result in toxicity. The normal therapeutic serum concentration of phenytoin ranges between 10–20 µg/mL and levels above this range are associated with neurological adverse effects. In the present case, the patient’s serum phenytoin level was elevated to 35 µg/mL, confirming the diagnosis of phenytoin toxicity.</w:t>
      </w:r>
    </w:p>
    <w:p w14:paraId="13F5AF5A" w14:textId="77777777" w:rsidR="00671CEC" w:rsidRDefault="006025D6">
      <w:pPr>
        <w:spacing w:before="240" w:after="240"/>
        <w:jc w:val="both"/>
        <w:rPr>
          <w:rFonts w:ascii="Arial" w:eastAsia="Arial" w:hAnsi="Arial" w:cs="Arial"/>
        </w:rPr>
      </w:pPr>
      <w:r>
        <w:rPr>
          <w:rFonts w:ascii="Arial" w:eastAsia="Arial" w:hAnsi="Arial" w:cs="Arial"/>
        </w:rPr>
        <w:t>The patient presented with bilateral lower limb weakness, gait instability, poor coordination and impaired finger–nose testing, which are characteristic neurological manifestations of phenytoin toxicity, particularly cerebellar dysfunction. Long-term phenytoin therapy may lead to drug accumulation due to its non-linear pharmacokinetics, resulting in progressive neurological deterioration.</w:t>
      </w:r>
    </w:p>
    <w:p w14:paraId="5354DD05" w14:textId="77777777" w:rsidR="00671CEC" w:rsidRDefault="006025D6">
      <w:pPr>
        <w:spacing w:before="240" w:after="240"/>
        <w:jc w:val="both"/>
        <w:rPr>
          <w:rFonts w:ascii="Arial" w:eastAsia="Arial" w:hAnsi="Arial" w:cs="Arial"/>
        </w:rPr>
      </w:pPr>
      <w:r>
        <w:rPr>
          <w:rFonts w:ascii="Arial" w:eastAsia="Arial" w:hAnsi="Arial" w:cs="Arial"/>
        </w:rPr>
        <w:t>Several risk factors may have contributed to toxicity in this patient, including prolonged phenytoin use for seizure disorder and a prior history of posterior circulation stroke. These factors may have increased susceptibility to neurological impairment and masked early signs of toxicity.</w:t>
      </w:r>
    </w:p>
    <w:p w14:paraId="79AFF409" w14:textId="77777777" w:rsidR="00671CEC" w:rsidRDefault="006025D6">
      <w:pPr>
        <w:spacing w:before="240" w:after="240"/>
        <w:jc w:val="both"/>
        <w:rPr>
          <w:rFonts w:ascii="Arial" w:eastAsia="Arial" w:hAnsi="Arial" w:cs="Arial"/>
        </w:rPr>
      </w:pPr>
      <w:r>
        <w:rPr>
          <w:rFonts w:ascii="Arial" w:eastAsia="Arial" w:hAnsi="Arial" w:cs="Arial"/>
        </w:rPr>
        <w:lastRenderedPageBreak/>
        <w:t>Management of this case highlights the importance of timely therapeutic drug monitoring (TDM). Once toxicity was suspected and serum phenytoin levels were measured, the diagnosis was confirmed. Clinical improvement following withdrawal of phenytoin and supportive care further supports the diagnosis and emphasizes that early recognition and appropriate intervention can prevent permanent neurological damage.</w:t>
      </w:r>
    </w:p>
    <w:p w14:paraId="6E31FAB2" w14:textId="77777777" w:rsidR="00671CEC" w:rsidRDefault="006025D6">
      <w:pPr>
        <w:spacing w:line="360" w:lineRule="auto"/>
        <w:rPr>
          <w:rFonts w:ascii="Arial" w:eastAsia="Arial" w:hAnsi="Arial" w:cs="Arial"/>
          <w:b/>
          <w:bCs/>
        </w:rPr>
      </w:pPr>
      <w:r>
        <w:rPr>
          <w:rFonts w:ascii="Arial" w:eastAsia="Arial" w:hAnsi="Arial" w:cs="Arial"/>
          <w:b/>
          <w:bCs/>
        </w:rPr>
        <w:t>4. CONCLUSION</w:t>
      </w:r>
    </w:p>
    <w:p w14:paraId="0E6B8191" w14:textId="77777777" w:rsidR="00671CEC" w:rsidRDefault="006025D6">
      <w:pPr>
        <w:spacing w:before="240" w:after="240"/>
        <w:jc w:val="both"/>
        <w:rPr>
          <w:rFonts w:ascii="Arial" w:eastAsia="Arial" w:hAnsi="Arial" w:cs="Arial"/>
        </w:rPr>
      </w:pPr>
      <w:r>
        <w:rPr>
          <w:rFonts w:ascii="Arial" w:eastAsia="Arial" w:hAnsi="Arial" w:cs="Arial"/>
        </w:rPr>
        <w:t>This case report highlights that phenytoin toxicity is a serious complication of long-term antiepileptic therapy. The presence of neurological signs such as gait disturbance and impaired coordination should raise suspicion of toxicity, particularly in patients receiving chronic phenytoin treatment. Regular therapeutic drug monitoring and appropriate clinical follow-up are essential to minimize adverse effects. Early identification and prompt discontinuation of phenytoin led to significant clinical improvement in this patient, underscoring the importance of vigilant pharmaceutical care in optimizing treatment outcomes and ensuring patient safety.</w:t>
      </w:r>
    </w:p>
    <w:p w14:paraId="4D5657BD" w14:textId="77777777" w:rsidR="00671CEC" w:rsidRDefault="006025D6">
      <w:pPr>
        <w:spacing w:before="240" w:after="240"/>
        <w:jc w:val="both"/>
        <w:rPr>
          <w:rFonts w:ascii="Arial" w:eastAsia="Arial" w:hAnsi="Arial" w:cs="Arial"/>
          <w:b/>
          <w:bCs/>
        </w:rPr>
      </w:pPr>
      <w:r>
        <w:rPr>
          <w:rFonts w:ascii="Arial" w:eastAsia="Arial" w:hAnsi="Arial" w:cs="Arial"/>
          <w:b/>
          <w:bCs/>
        </w:rPr>
        <w:t>CONSENT</w:t>
      </w:r>
    </w:p>
    <w:p w14:paraId="0470D31E" w14:textId="77777777" w:rsidR="00671CEC" w:rsidRDefault="006025D6">
      <w:pPr>
        <w:spacing w:before="240" w:after="240"/>
        <w:jc w:val="both"/>
        <w:rPr>
          <w:rFonts w:ascii="Arial" w:eastAsia="Arial" w:hAnsi="Arial" w:cs="Arial"/>
        </w:rPr>
      </w:pPr>
      <w:r>
        <w:rPr>
          <w:rFonts w:ascii="Arial" w:eastAsia="Arial" w:hAnsi="Arial" w:cs="Arial"/>
        </w:rPr>
        <w:t>As per international standards or university standards, patient(s) written consent has been collected and preserved by the author(s).</w:t>
      </w:r>
    </w:p>
    <w:p w14:paraId="775FD720" w14:textId="77777777" w:rsidR="00671CEC" w:rsidRDefault="006025D6">
      <w:pPr>
        <w:spacing w:before="240" w:after="240"/>
        <w:jc w:val="both"/>
        <w:rPr>
          <w:rFonts w:ascii="Arial" w:eastAsia="Arial" w:hAnsi="Arial" w:cs="Arial"/>
          <w:b/>
          <w:bCs/>
        </w:rPr>
      </w:pPr>
      <w:r>
        <w:rPr>
          <w:rFonts w:ascii="Arial" w:eastAsia="Arial" w:hAnsi="Arial" w:cs="Arial"/>
          <w:b/>
          <w:bCs/>
        </w:rPr>
        <w:t>ETHICAL APPROVAL</w:t>
      </w:r>
    </w:p>
    <w:p w14:paraId="32CCCD6E" w14:textId="77777777" w:rsidR="00671CEC" w:rsidRDefault="006025D6">
      <w:pPr>
        <w:spacing w:before="240" w:after="240"/>
        <w:jc w:val="both"/>
        <w:rPr>
          <w:rFonts w:ascii="Arial" w:eastAsia="Arial" w:hAnsi="Arial" w:cs="Arial"/>
          <w:b/>
          <w:bCs/>
        </w:rPr>
      </w:pPr>
      <w:r>
        <w:rPr>
          <w:rFonts w:ascii="Arial" w:eastAsia="Arial" w:hAnsi="Arial" w:cs="Arial"/>
        </w:rPr>
        <w:t xml:space="preserve">It is not applicable. </w:t>
      </w:r>
    </w:p>
    <w:p w14:paraId="75F1B087" w14:textId="77777777" w:rsidR="00671CEC" w:rsidRDefault="006025D6">
      <w:pPr>
        <w:spacing w:before="240" w:after="240"/>
        <w:jc w:val="both"/>
        <w:rPr>
          <w:rFonts w:ascii="Arial" w:eastAsia="Arial" w:hAnsi="Arial" w:cs="Arial"/>
          <w:b/>
          <w:bCs/>
        </w:rPr>
      </w:pPr>
      <w:r>
        <w:rPr>
          <w:rFonts w:ascii="Arial" w:eastAsia="Arial" w:hAnsi="Arial" w:cs="Arial"/>
          <w:b/>
          <w:bCs/>
        </w:rPr>
        <w:t>DISCLAIMER (ARTIFICIAL INTELLIGENCE)</w:t>
      </w:r>
    </w:p>
    <w:p w14:paraId="540E1464" w14:textId="77777777" w:rsidR="00671CEC" w:rsidRDefault="006025D6">
      <w:pPr>
        <w:spacing w:before="240" w:after="240"/>
        <w:jc w:val="both"/>
        <w:rPr>
          <w:rFonts w:ascii="Arial" w:eastAsia="Arial" w:hAnsi="Arial" w:cs="Arial"/>
        </w:rPr>
      </w:pPr>
      <w:r>
        <w:rPr>
          <w:rFonts w:ascii="Arial" w:eastAsia="Arial" w:hAnsi="Arial" w:cs="Arial"/>
        </w:rPr>
        <w:t xml:space="preserve">Author(s) hereby declare that NO generative AI technologies such as Large Language Models (ChatGPT, COPILOT, </w:t>
      </w:r>
      <w:proofErr w:type="spellStart"/>
      <w:r>
        <w:rPr>
          <w:rFonts w:ascii="Arial" w:eastAsia="Arial" w:hAnsi="Arial" w:cs="Arial"/>
        </w:rPr>
        <w:t>etc</w:t>
      </w:r>
      <w:proofErr w:type="spellEnd"/>
      <w:r>
        <w:rPr>
          <w:rFonts w:ascii="Arial" w:eastAsia="Arial" w:hAnsi="Arial" w:cs="Arial"/>
        </w:rPr>
        <w:t>) and text-to-image generators have been used during writing or editing of this manuscript.</w:t>
      </w:r>
    </w:p>
    <w:p w14:paraId="3B312927" w14:textId="77777777" w:rsidR="00671CEC" w:rsidRDefault="006025D6">
      <w:pPr>
        <w:spacing w:before="240" w:after="240"/>
        <w:jc w:val="both"/>
        <w:rPr>
          <w:rFonts w:ascii="Arial" w:eastAsia="Arial" w:hAnsi="Arial" w:cs="Arial"/>
          <w:b/>
          <w:bCs/>
        </w:rPr>
      </w:pPr>
      <w:r>
        <w:rPr>
          <w:rFonts w:ascii="Arial" w:eastAsia="Arial" w:hAnsi="Arial" w:cs="Arial"/>
          <w:b/>
          <w:bCs/>
        </w:rPr>
        <w:t>COMPETING INTERESTS</w:t>
      </w:r>
    </w:p>
    <w:p w14:paraId="68049B6D" w14:textId="77777777" w:rsidR="00671CEC" w:rsidRDefault="006025D6">
      <w:pPr>
        <w:spacing w:before="240" w:after="240"/>
        <w:jc w:val="both"/>
        <w:rPr>
          <w:rFonts w:ascii="Arial" w:eastAsia="Arial" w:hAnsi="Arial" w:cs="Arial"/>
        </w:rPr>
      </w:pPr>
      <w:r>
        <w:rPr>
          <w:rFonts w:ascii="Arial" w:eastAsia="Arial" w:hAnsi="Arial" w:cs="Arial"/>
        </w:rPr>
        <w:t>Authors have declared that no competing interests exists.</w:t>
      </w:r>
    </w:p>
    <w:p w14:paraId="13CB91C5" w14:textId="77777777" w:rsidR="00671CEC" w:rsidRDefault="006025D6">
      <w:pPr>
        <w:spacing w:before="240" w:after="240"/>
        <w:jc w:val="both"/>
        <w:rPr>
          <w:rFonts w:ascii="Arial" w:eastAsia="Arial" w:hAnsi="Arial" w:cs="Arial"/>
          <w:b/>
          <w:bCs/>
        </w:rPr>
      </w:pPr>
      <w:r>
        <w:rPr>
          <w:rFonts w:ascii="Arial" w:eastAsia="Arial" w:hAnsi="Arial" w:cs="Arial"/>
          <w:b/>
          <w:bCs/>
        </w:rPr>
        <w:t xml:space="preserve">REFERENCE </w:t>
      </w:r>
    </w:p>
    <w:p w14:paraId="03A3FEFF" w14:textId="77777777" w:rsidR="00671CEC" w:rsidRDefault="006025D6">
      <w:pPr>
        <w:numPr>
          <w:ilvl w:val="0"/>
          <w:numId w:val="1"/>
        </w:numPr>
        <w:spacing w:before="240" w:line="276" w:lineRule="auto"/>
        <w:jc w:val="both"/>
        <w:rPr>
          <w:rFonts w:ascii="Arial" w:eastAsia="Arial" w:hAnsi="Arial" w:cs="Arial"/>
        </w:rPr>
      </w:pPr>
      <w:proofErr w:type="spellStart"/>
      <w:r>
        <w:rPr>
          <w:rFonts w:ascii="Arial" w:eastAsia="Arial" w:hAnsi="Arial" w:cs="Arial"/>
        </w:rPr>
        <w:t>Patsalos</w:t>
      </w:r>
      <w:proofErr w:type="spellEnd"/>
      <w:r>
        <w:rPr>
          <w:rFonts w:ascii="Arial" w:eastAsia="Arial" w:hAnsi="Arial" w:cs="Arial"/>
        </w:rPr>
        <w:t xml:space="preserve"> PN, Berry DJ. Pharmacokinetic and pharmacodynamic properties of phenytoin. Clin </w:t>
      </w:r>
      <w:proofErr w:type="spellStart"/>
      <w:r>
        <w:rPr>
          <w:rFonts w:ascii="Arial" w:eastAsia="Arial" w:hAnsi="Arial" w:cs="Arial"/>
        </w:rPr>
        <w:t>Pharmacokinet</w:t>
      </w:r>
      <w:proofErr w:type="spellEnd"/>
      <w:r>
        <w:rPr>
          <w:rFonts w:ascii="Arial" w:eastAsia="Arial" w:hAnsi="Arial" w:cs="Arial"/>
        </w:rPr>
        <w:t xml:space="preserve">. 2013;52(7):519-536. Available from: </w:t>
      </w:r>
      <w:hyperlink r:id="rId19">
        <w:r w:rsidR="00671CEC">
          <w:rPr>
            <w:rFonts w:ascii="Arial" w:eastAsia="Arial" w:hAnsi="Arial" w:cs="Arial"/>
            <w:color w:val="1155CC"/>
            <w:u w:val="single"/>
          </w:rPr>
          <w:t>https://www.ncbi.nlm.nih.gov/pmc/articles/PMC2902172/</w:t>
        </w:r>
      </w:hyperlink>
    </w:p>
    <w:p w14:paraId="457A3A9A" w14:textId="77777777" w:rsidR="00671CEC" w:rsidRDefault="006025D6">
      <w:pPr>
        <w:numPr>
          <w:ilvl w:val="0"/>
          <w:numId w:val="1"/>
        </w:numPr>
        <w:spacing w:line="276" w:lineRule="auto"/>
        <w:jc w:val="both"/>
        <w:rPr>
          <w:rFonts w:ascii="Arial" w:eastAsia="Arial" w:hAnsi="Arial" w:cs="Arial"/>
        </w:rPr>
      </w:pPr>
      <w:proofErr w:type="spellStart"/>
      <w:r>
        <w:rPr>
          <w:rFonts w:ascii="Arial" w:eastAsia="Arial" w:hAnsi="Arial" w:cs="Arial"/>
        </w:rPr>
        <w:t>Suddock</w:t>
      </w:r>
      <w:proofErr w:type="spellEnd"/>
      <w:r>
        <w:rPr>
          <w:rFonts w:ascii="Arial" w:eastAsia="Arial" w:hAnsi="Arial" w:cs="Arial"/>
        </w:rPr>
        <w:t xml:space="preserve"> JT, Cain MD. Phenytoin toxicity. StatPearls [Internet]. Treasure Island (FL): StatPearls Publishing; 2024. Available from: </w:t>
      </w:r>
      <w:hyperlink r:id="rId20">
        <w:r w:rsidR="00671CEC">
          <w:rPr>
            <w:rFonts w:ascii="Arial" w:eastAsia="Arial" w:hAnsi="Arial" w:cs="Arial"/>
            <w:color w:val="1155CC"/>
            <w:u w:val="single"/>
          </w:rPr>
          <w:t>https://www.ncbi.nlm.nih.gov/books/NBK482444/</w:t>
        </w:r>
      </w:hyperlink>
    </w:p>
    <w:p w14:paraId="7D270819" w14:textId="77777777" w:rsidR="00671CEC" w:rsidRDefault="006025D6">
      <w:pPr>
        <w:numPr>
          <w:ilvl w:val="0"/>
          <w:numId w:val="1"/>
        </w:numPr>
        <w:spacing w:line="276" w:lineRule="auto"/>
        <w:jc w:val="both"/>
        <w:rPr>
          <w:rFonts w:ascii="Arial" w:eastAsia="Arial" w:hAnsi="Arial" w:cs="Arial"/>
        </w:rPr>
      </w:pPr>
      <w:proofErr w:type="spellStart"/>
      <w:r>
        <w:rPr>
          <w:rFonts w:ascii="Arial" w:eastAsia="Arial" w:hAnsi="Arial" w:cs="Arial"/>
        </w:rPr>
        <w:t>Thanacoody</w:t>
      </w:r>
      <w:proofErr w:type="spellEnd"/>
      <w:r>
        <w:rPr>
          <w:rFonts w:ascii="Arial" w:eastAsia="Arial" w:hAnsi="Arial" w:cs="Arial"/>
        </w:rPr>
        <w:t xml:space="preserve"> RHK. Phenytoin poisoning. Clin Med (Lond). 2016;16(6):601-604. Available from: </w:t>
      </w:r>
      <w:hyperlink r:id="rId21">
        <w:r w:rsidR="00671CEC">
          <w:rPr>
            <w:rFonts w:ascii="Arial" w:eastAsia="Arial" w:hAnsi="Arial" w:cs="Arial"/>
            <w:color w:val="1155CC"/>
            <w:u w:val="single"/>
          </w:rPr>
          <w:t>https://www.ncbi.nlm.nih.gov/pmc/articles/PMC6292145</w:t>
        </w:r>
      </w:hyperlink>
    </w:p>
    <w:p w14:paraId="5D6EA556" w14:textId="77777777" w:rsidR="00671CEC" w:rsidRDefault="006025D6">
      <w:pPr>
        <w:numPr>
          <w:ilvl w:val="0"/>
          <w:numId w:val="1"/>
        </w:numPr>
        <w:spacing w:line="276" w:lineRule="auto"/>
        <w:jc w:val="both"/>
        <w:rPr>
          <w:rFonts w:ascii="Arial" w:eastAsia="Arial" w:hAnsi="Arial" w:cs="Arial"/>
        </w:rPr>
      </w:pPr>
      <w:r>
        <w:rPr>
          <w:rFonts w:ascii="Arial" w:eastAsia="Arial" w:hAnsi="Arial" w:cs="Arial"/>
        </w:rPr>
        <w:t xml:space="preserve">Eadie MJ. Therapeutic drug monitoring—antiepileptic drugs. Br J Clin Pharmacol. 2001;52(Suppl 1):11S-20S. Available from: </w:t>
      </w:r>
      <w:hyperlink r:id="rId22">
        <w:r w:rsidR="00671CEC">
          <w:rPr>
            <w:rFonts w:ascii="Arial" w:eastAsia="Arial" w:hAnsi="Arial" w:cs="Arial"/>
            <w:color w:val="1155CC"/>
            <w:u w:val="single"/>
          </w:rPr>
          <w:t>https://www.ncbi.nlm.nih.gov/pmc/articles/PMC1873678/</w:t>
        </w:r>
      </w:hyperlink>
    </w:p>
    <w:p w14:paraId="78C9B0A0" w14:textId="77777777" w:rsidR="00671CEC" w:rsidRDefault="006025D6">
      <w:pPr>
        <w:numPr>
          <w:ilvl w:val="0"/>
          <w:numId w:val="1"/>
        </w:numPr>
        <w:spacing w:line="276" w:lineRule="auto"/>
        <w:jc w:val="both"/>
        <w:rPr>
          <w:rFonts w:ascii="Arial" w:eastAsia="Arial" w:hAnsi="Arial" w:cs="Arial"/>
        </w:rPr>
      </w:pPr>
      <w:r>
        <w:rPr>
          <w:rFonts w:ascii="Arial" w:eastAsia="Arial" w:hAnsi="Arial" w:cs="Arial"/>
        </w:rPr>
        <w:t>Awasthi A, Agrawal N, Chakraborty PP, Maiti A. Phenytoin toxicity. BMJ Case Rep. 2022;15(11):e253250.</w:t>
      </w:r>
    </w:p>
    <w:p w14:paraId="6C89E8E7" w14:textId="77777777" w:rsidR="00671CEC" w:rsidRDefault="006025D6">
      <w:pPr>
        <w:numPr>
          <w:ilvl w:val="0"/>
          <w:numId w:val="1"/>
        </w:numPr>
        <w:spacing w:line="276" w:lineRule="auto"/>
        <w:jc w:val="both"/>
        <w:rPr>
          <w:rFonts w:ascii="Arial" w:eastAsia="Arial" w:hAnsi="Arial" w:cs="Arial"/>
        </w:rPr>
      </w:pPr>
      <w:r>
        <w:rPr>
          <w:rFonts w:ascii="Arial" w:eastAsia="Arial" w:hAnsi="Arial" w:cs="Arial"/>
        </w:rPr>
        <w:lastRenderedPageBreak/>
        <w:t xml:space="preserve">StatPearls Publishing. Phenytoin Toxicity. StatPearls [Internet]. Treasure Island (FL): StatPearls Publishing; 2024. Available from: </w:t>
      </w:r>
      <w:hyperlink r:id="rId23">
        <w:r w:rsidR="00671CEC">
          <w:rPr>
            <w:rFonts w:ascii="Arial" w:eastAsia="Arial" w:hAnsi="Arial" w:cs="Arial"/>
            <w:color w:val="1155CC"/>
            <w:u w:val="single"/>
          </w:rPr>
          <w:t>https://www.ncbi.nlm.nih.gov/books/NBK482444/</w:t>
        </w:r>
      </w:hyperlink>
    </w:p>
    <w:p w14:paraId="01B8CCA6" w14:textId="77777777" w:rsidR="00671CEC" w:rsidRDefault="006025D6">
      <w:pPr>
        <w:numPr>
          <w:ilvl w:val="0"/>
          <w:numId w:val="1"/>
        </w:numPr>
        <w:spacing w:after="240" w:line="276" w:lineRule="auto"/>
        <w:jc w:val="both"/>
        <w:rPr>
          <w:rFonts w:ascii="Arial" w:eastAsia="Arial" w:hAnsi="Arial" w:cs="Arial"/>
        </w:rPr>
      </w:pPr>
      <w:r>
        <w:rPr>
          <w:rFonts w:ascii="Arial" w:eastAsia="Arial" w:hAnsi="Arial" w:cs="Arial"/>
        </w:rPr>
        <w:t>Olson KR. Antiepileptic drug poisoning. Emerg Med Clin North Am. 2014;32(1):41–60.</w:t>
      </w:r>
      <w:r>
        <w:rPr>
          <w:rFonts w:ascii="Arial" w:eastAsia="Arial" w:hAnsi="Arial" w:cs="Arial"/>
        </w:rPr>
        <w:br/>
      </w:r>
    </w:p>
    <w:p w14:paraId="298FB0FB" w14:textId="77777777" w:rsidR="00671CEC" w:rsidRDefault="00671CEC">
      <w:pPr>
        <w:spacing w:before="240" w:after="240"/>
        <w:jc w:val="both"/>
        <w:rPr>
          <w:rFonts w:ascii="Arial" w:eastAsia="Arial" w:hAnsi="Arial" w:cs="Arial"/>
          <w:b/>
          <w:bCs/>
          <w:u w:val="single"/>
        </w:rPr>
      </w:pPr>
    </w:p>
    <w:p w14:paraId="08855B44" w14:textId="77777777" w:rsidR="00671CEC" w:rsidRDefault="00671CEC">
      <w:pPr>
        <w:spacing w:before="240" w:after="240"/>
        <w:jc w:val="both"/>
        <w:rPr>
          <w:rFonts w:ascii="Arial" w:eastAsia="Arial" w:hAnsi="Arial" w:cs="Arial"/>
          <w:b/>
          <w:bCs/>
          <w:u w:val="single"/>
        </w:rPr>
      </w:pPr>
    </w:p>
    <w:p w14:paraId="7F0AEE28" w14:textId="77777777" w:rsidR="00671CEC" w:rsidRDefault="00671CEC">
      <w:pPr>
        <w:spacing w:line="360" w:lineRule="auto"/>
        <w:rPr>
          <w:rFonts w:ascii="Arial" w:eastAsia="Arial" w:hAnsi="Arial" w:cs="Arial"/>
          <w:b/>
          <w:bCs/>
          <w:u w:val="single"/>
        </w:rPr>
      </w:pPr>
    </w:p>
    <w:p w14:paraId="615F660C" w14:textId="77777777" w:rsidR="00671CEC" w:rsidRDefault="00671CEC">
      <w:pPr>
        <w:pBdr>
          <w:top w:val="nil"/>
          <w:left w:val="nil"/>
          <w:bottom w:val="nil"/>
          <w:right w:val="nil"/>
          <w:between w:val="nil"/>
        </w:pBdr>
        <w:jc w:val="both"/>
        <w:rPr>
          <w:rFonts w:ascii="Arial" w:eastAsia="Arial" w:hAnsi="Arial" w:cs="Arial"/>
          <w:b/>
          <w:bCs/>
          <w:color w:val="000000"/>
        </w:rPr>
      </w:pPr>
    </w:p>
    <w:sectPr w:rsidR="00671CEC" w:rsidSect="00391B7A">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Haiya Sheth" w:date="2026-02-04T12:28:00Z" w:initials="Dr. HS">
    <w:p w14:paraId="4A9E658A" w14:textId="6D5FB516" w:rsidR="00A07232" w:rsidRDefault="00A07232">
      <w:pPr>
        <w:pStyle w:val="CommentText"/>
      </w:pPr>
      <w:r>
        <w:rPr>
          <w:rStyle w:val="CommentReference"/>
        </w:rPr>
        <w:annotationRef/>
      </w:r>
      <w:r>
        <w:rPr>
          <w:rStyle w:val="CommentReference"/>
        </w:rPr>
        <w:t>Abstract  can be written in a structured or an unstructured format. Usually 150-200 words for case-reports.</w:t>
      </w:r>
    </w:p>
  </w:comment>
  <w:comment w:id="1" w:author="Dr. Haiya Sheth" w:date="2026-02-04T12:25:00Z" w:initials="Dr. HS">
    <w:p w14:paraId="5B85C312" w14:textId="7A3B28F0" w:rsidR="00A07232" w:rsidRDefault="00A07232">
      <w:pPr>
        <w:pStyle w:val="CommentText"/>
      </w:pPr>
      <w:r>
        <w:rPr>
          <w:rStyle w:val="CommentReference"/>
        </w:rPr>
        <w:annotationRef/>
      </w:r>
      <w:r>
        <w:t xml:space="preserve">Key-words to be arranged in alphabetical order preferably. </w:t>
      </w:r>
    </w:p>
  </w:comment>
  <w:comment w:id="2" w:author="Dr. Haiya Sheth" w:date="2026-02-04T13:20:00Z" w:initials="Dr. HS">
    <w:p w14:paraId="5EB0011E" w14:textId="77777777" w:rsidR="00825B11" w:rsidRDefault="00825B11">
      <w:pPr>
        <w:pStyle w:val="CommentText"/>
      </w:pPr>
      <w:r>
        <w:rPr>
          <w:rStyle w:val="CommentReference"/>
        </w:rPr>
        <w:annotationRef/>
      </w:r>
      <w:r>
        <w:t>What about gait disturbances?</w:t>
      </w:r>
    </w:p>
    <w:p w14:paraId="56CA6CAE" w14:textId="174E06A7" w:rsidR="00825B11" w:rsidRDefault="00825B11">
      <w:pPr>
        <w:pStyle w:val="CommentText"/>
      </w:pPr>
      <w:r>
        <w:t>Can add 1-2 lines on gait ataxia in the introduction.</w:t>
      </w:r>
    </w:p>
  </w:comment>
  <w:comment w:id="3" w:author="Dr. Haiya Sheth" w:date="2026-02-04T13:24:00Z" w:initials="Dr. HS">
    <w:p w14:paraId="2761F21C" w14:textId="719AF69B" w:rsidR="00825B11" w:rsidRDefault="00825B11">
      <w:pPr>
        <w:pStyle w:val="CommentText"/>
      </w:pPr>
      <w:r>
        <w:rPr>
          <w:rStyle w:val="CommentReference"/>
        </w:rPr>
        <w:annotationRef/>
      </w:r>
      <w:r>
        <w:t>Need to add full stops to end the sentences. Such grammatical errors can affect and hinder reader’s reading. Many places in the entire case report requires this correction.</w:t>
      </w:r>
    </w:p>
  </w:comment>
  <w:comment w:id="4" w:author="Dr. Haiya Sheth" w:date="2026-02-04T13:27:00Z" w:initials="Dr. HS">
    <w:p w14:paraId="60F386C0" w14:textId="516B416F" w:rsidR="00825B11" w:rsidRDefault="00825B11">
      <w:pPr>
        <w:pStyle w:val="CommentText"/>
      </w:pPr>
      <w:r>
        <w:rPr>
          <w:rStyle w:val="CommentReference"/>
        </w:rPr>
        <w:annotationRef/>
      </w:r>
      <w:r>
        <w:t xml:space="preserve">Need to  add 1 paragraph </w:t>
      </w:r>
      <w:r w:rsidR="006953D2">
        <w:t>related</w:t>
      </w:r>
      <w:r>
        <w:t xml:space="preserve"> pharmacovigilance since </w:t>
      </w:r>
      <w:proofErr w:type="spellStart"/>
      <w:r>
        <w:t>its</w:t>
      </w:r>
      <w:proofErr w:type="spellEnd"/>
      <w:r>
        <w:t xml:space="preserve"> an adverse drug reaction. Need to</w:t>
      </w:r>
      <w:r w:rsidR="006953D2">
        <w:t xml:space="preserve"> report this ADR to the nearest ADR monitoring centre and mention its causality assessment. </w:t>
      </w:r>
      <w:proofErr w:type="gramStart"/>
      <w:r w:rsidR="006953D2">
        <w:t>Accordingly</w:t>
      </w:r>
      <w:proofErr w:type="gramEnd"/>
      <w:r w:rsidR="006953D2">
        <w:t xml:space="preserve"> outcome and seriousness of this ADR should also be added.</w:t>
      </w:r>
    </w:p>
  </w:comment>
  <w:comment w:id="5" w:author="Dr. Haiya Sheth" w:date="2026-02-04T13:30:00Z" w:initials="Dr. HS">
    <w:p w14:paraId="2E48199D" w14:textId="77777777" w:rsidR="006953D2" w:rsidRDefault="006953D2">
      <w:pPr>
        <w:pStyle w:val="CommentText"/>
        <w:rPr>
          <w:rStyle w:val="CommentReference"/>
        </w:rPr>
      </w:pPr>
      <w:r>
        <w:rPr>
          <w:rStyle w:val="CommentReference"/>
        </w:rPr>
        <w:annotationRef/>
      </w:r>
      <w:r w:rsidR="00C7004F">
        <w:rPr>
          <w:rStyle w:val="CommentReference"/>
        </w:rPr>
        <w:t>Discussion needs to be supported with suitable relevant references. There are none in the current discussion segment.</w:t>
      </w:r>
    </w:p>
    <w:p w14:paraId="14E9CD3B" w14:textId="77777777" w:rsidR="006B254C" w:rsidRDefault="006B254C">
      <w:pPr>
        <w:pStyle w:val="CommentText"/>
        <w:rPr>
          <w:rStyle w:val="CommentReference"/>
        </w:rPr>
      </w:pPr>
    </w:p>
    <w:p w14:paraId="381571C6" w14:textId="77777777" w:rsidR="006B254C" w:rsidRDefault="006B254C">
      <w:pPr>
        <w:pStyle w:val="CommentText"/>
        <w:rPr>
          <w:rStyle w:val="CommentReference"/>
        </w:rPr>
      </w:pPr>
      <w:r>
        <w:rPr>
          <w:rStyle w:val="CommentReference"/>
        </w:rPr>
        <w:t xml:space="preserve">Need to discuss the basis of phenytoin in inducing the gait disturbances and cerebellar toxicity in brief. </w:t>
      </w:r>
    </w:p>
    <w:p w14:paraId="74EE0920" w14:textId="77777777" w:rsidR="006B254C" w:rsidRDefault="006B254C">
      <w:pPr>
        <w:pStyle w:val="CommentText"/>
        <w:rPr>
          <w:rStyle w:val="CommentReference"/>
        </w:rPr>
      </w:pPr>
    </w:p>
    <w:p w14:paraId="1ABA1019" w14:textId="794316E5" w:rsidR="006B254C" w:rsidRDefault="006B254C">
      <w:pPr>
        <w:pStyle w:val="CommentText"/>
      </w:pPr>
      <w:r>
        <w:rPr>
          <w:rStyle w:val="CommentReference"/>
        </w:rPr>
        <w:t xml:space="preserve">Need to add statistical data regarding the same to highlight its seriousness.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9E658A" w15:done="0"/>
  <w15:commentEx w15:paraId="5B85C312" w15:done="0"/>
  <w15:commentEx w15:paraId="56CA6CAE" w15:done="0"/>
  <w15:commentEx w15:paraId="2761F21C" w15:done="0"/>
  <w15:commentEx w15:paraId="60F386C0" w15:done="0"/>
  <w15:commentEx w15:paraId="1ABA10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2790B27" w16cex:dateUtc="2026-02-04T06:58:00Z"/>
  <w16cex:commentExtensible w16cex:durableId="7BEE150A" w16cex:dateUtc="2026-02-04T06:55:00Z"/>
  <w16cex:commentExtensible w16cex:durableId="67DEBB2C" w16cex:dateUtc="2026-02-04T07:50:00Z"/>
  <w16cex:commentExtensible w16cex:durableId="48A59022" w16cex:dateUtc="2026-02-04T07:54:00Z"/>
  <w16cex:commentExtensible w16cex:durableId="5B126207" w16cex:dateUtc="2026-02-04T07:57:00Z"/>
  <w16cex:commentExtensible w16cex:durableId="0F7CD486" w16cex:dateUtc="2026-02-04T0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9E658A" w16cid:durableId="62790B27"/>
  <w16cid:commentId w16cid:paraId="5B85C312" w16cid:durableId="7BEE150A"/>
  <w16cid:commentId w16cid:paraId="56CA6CAE" w16cid:durableId="67DEBB2C"/>
  <w16cid:commentId w16cid:paraId="2761F21C" w16cid:durableId="48A59022"/>
  <w16cid:commentId w16cid:paraId="60F386C0" w16cid:durableId="5B126207"/>
  <w16cid:commentId w16cid:paraId="1ABA1019" w16cid:durableId="0F7CD4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558D6" w14:textId="77777777" w:rsidR="00BC5AE4" w:rsidRDefault="00BC5AE4">
      <w:r>
        <w:separator/>
      </w:r>
    </w:p>
  </w:endnote>
  <w:endnote w:type="continuationSeparator" w:id="0">
    <w:p w14:paraId="2794CC73" w14:textId="77777777" w:rsidR="00BC5AE4" w:rsidRDefault="00BC5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E8A14233-8327-4F12-8DF0-FFA15DBF2D3C}"/>
    <w:embedBold r:id="rId2" w:fontKey="{9A58C306-E750-4E5E-8E34-E95B2C2923F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799DFA7-FA7F-488F-B35C-C202096C25A6}"/>
  </w:font>
  <w:font w:name="Calibri">
    <w:panose1 w:val="020F0502020204030204"/>
    <w:charset w:val="00"/>
    <w:family w:val="swiss"/>
    <w:pitch w:val="variable"/>
    <w:sig w:usb0="E4002EFF" w:usb1="C200247B" w:usb2="00000009" w:usb3="00000000" w:csb0="000001FF" w:csb1="00000000"/>
    <w:embedRegular r:id="rId4" w:fontKey="{7CD1EE08-19DB-48B3-829C-D9FCD0B4E0D7}"/>
  </w:font>
  <w:font w:name="Mangal">
    <w:panose1 w:val="00000400000000000000"/>
    <w:charset w:val="00"/>
    <w:family w:val="roman"/>
    <w:pitch w:val="variable"/>
    <w:sig w:usb0="00008003" w:usb1="00000000" w:usb2="00000000" w:usb3="00000000" w:csb0="00000001" w:csb1="00000000"/>
    <w:embedRegular r:id="rId5" w:fontKey="{E503BA17-45FE-4B5C-9603-276511A8005B}"/>
  </w:font>
  <w:font w:name="Cambria">
    <w:panose1 w:val="02040503050406030204"/>
    <w:charset w:val="00"/>
    <w:family w:val="roman"/>
    <w:pitch w:val="variable"/>
    <w:sig w:usb0="E00006FF" w:usb1="420024FF" w:usb2="02000000" w:usb3="00000000" w:csb0="0000019F" w:csb1="00000000"/>
    <w:embedRegular r:id="rId6" w:fontKey="{C7226E74-BD66-4EEC-9B3F-A1E9736B05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1685C" w14:textId="77777777" w:rsidR="00391B7A" w:rsidRDefault="00391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4A33" w14:textId="77777777" w:rsidR="00391B7A" w:rsidRDefault="00391B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70229" w14:textId="0168B6AB" w:rsidR="00671CEC" w:rsidRPr="00391B7A" w:rsidRDefault="00671CEC" w:rsidP="00391B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660F" w14:textId="77777777" w:rsidR="00671CEC" w:rsidRDefault="00671CE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16DD9" w14:textId="77777777" w:rsidR="00BC5AE4" w:rsidRDefault="00BC5AE4">
      <w:r>
        <w:separator/>
      </w:r>
    </w:p>
  </w:footnote>
  <w:footnote w:type="continuationSeparator" w:id="0">
    <w:p w14:paraId="75BBF8F9" w14:textId="77777777" w:rsidR="00BC5AE4" w:rsidRDefault="00BC5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88820" w14:textId="2534CB56" w:rsidR="00391B7A" w:rsidRDefault="00000000">
    <w:pPr>
      <w:pStyle w:val="Header"/>
    </w:pPr>
    <w:r>
      <w:rPr>
        <w:noProof/>
      </w:rPr>
      <w:pict w14:anchorId="0DCDA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794C8" w14:textId="00D1FD57" w:rsidR="00391B7A" w:rsidRDefault="00000000">
    <w:pPr>
      <w:pStyle w:val="Header"/>
    </w:pPr>
    <w:r>
      <w:rPr>
        <w:noProof/>
      </w:rPr>
      <w:pict w14:anchorId="64072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505BD" w14:textId="6AC82DC3" w:rsidR="00671CEC" w:rsidRDefault="00000000">
    <w:pPr>
      <w:ind w:left="2160"/>
      <w:jc w:val="center"/>
      <w:rPr>
        <w:rFonts w:ascii="Times New Roman" w:eastAsia="Times New Roman" w:hAnsi="Times New Roman" w:cs="Times New Roman"/>
        <w:i/>
        <w:iCs/>
        <w:sz w:val="18"/>
        <w:szCs w:val="18"/>
      </w:rPr>
    </w:pPr>
    <w:r>
      <w:rPr>
        <w:noProof/>
      </w:rPr>
      <w:pict w14:anchorId="3261B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042A0F43" w14:textId="77777777" w:rsidR="00671CEC" w:rsidRDefault="006025D6">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C982A85" w14:textId="77777777" w:rsidR="00671CEC" w:rsidRDefault="006025D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4A41E76" w14:textId="77777777" w:rsidR="00671CEC" w:rsidRDefault="006025D6">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7316F28" w14:textId="77777777" w:rsidR="00671CEC" w:rsidRDefault="006025D6">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E8226A5" w14:textId="77777777" w:rsidR="00671CEC" w:rsidRDefault="006025D6">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2119554" w14:textId="77777777" w:rsidR="00671CEC" w:rsidRDefault="006025D6">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9CAA3" w14:textId="704773DB" w:rsidR="00391B7A" w:rsidRDefault="00000000">
    <w:pPr>
      <w:pStyle w:val="Header"/>
    </w:pPr>
    <w:r>
      <w:rPr>
        <w:noProof/>
      </w:rPr>
      <w:pict w14:anchorId="0C4FE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9C92D" w14:textId="01464F9C" w:rsidR="00391B7A" w:rsidRDefault="00000000">
    <w:pPr>
      <w:pStyle w:val="Header"/>
    </w:pPr>
    <w:r>
      <w:rPr>
        <w:noProof/>
      </w:rPr>
      <w:pict w14:anchorId="6F469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D02B" w14:textId="0060B189" w:rsidR="00391B7A" w:rsidRDefault="00000000">
    <w:pPr>
      <w:pStyle w:val="Header"/>
    </w:pPr>
    <w:r>
      <w:rPr>
        <w:noProof/>
      </w:rPr>
      <w:pict w14:anchorId="71E88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B678B0"/>
    <w:multiLevelType w:val="multilevel"/>
    <w:tmpl w:val="93DE3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1426146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Haiya Sheth">
    <w15:presenceInfo w15:providerId="None" w15:userId="Dr. Haiya She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EC"/>
    <w:rsid w:val="001B426D"/>
    <w:rsid w:val="00333BD5"/>
    <w:rsid w:val="00391B7A"/>
    <w:rsid w:val="003B7ADD"/>
    <w:rsid w:val="006025D6"/>
    <w:rsid w:val="00671CEC"/>
    <w:rsid w:val="00674FAE"/>
    <w:rsid w:val="006953D2"/>
    <w:rsid w:val="006B254C"/>
    <w:rsid w:val="007E3CBB"/>
    <w:rsid w:val="00825B11"/>
    <w:rsid w:val="00A07232"/>
    <w:rsid w:val="00BC5AE4"/>
    <w:rsid w:val="00C7004F"/>
    <w:rsid w:val="00CF7A9B"/>
    <w:rsid w:val="00ED396D"/>
    <w:rsid w:val="00EF3196"/>
    <w:rsid w:val="00F57944"/>
    <w:rsid w:val="00F9672D"/>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DD30B2"/>
  <w15:docId w15:val="{3FA4CEFB-9EB2-43AB-ACE8-9C7269AB2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uiPriority w:val="99"/>
    <w:semiHidden/>
    <w:unhideWhenUsed/>
    <w:rsid w:val="00CF7A9B"/>
  </w:style>
  <w:style w:type="paragraph" w:styleId="Header">
    <w:name w:val="header"/>
    <w:basedOn w:val="Normal"/>
    <w:link w:val="HeaderChar"/>
    <w:uiPriority w:val="99"/>
    <w:unhideWhenUsed/>
    <w:rsid w:val="00CF7A9B"/>
    <w:pPr>
      <w:tabs>
        <w:tab w:val="center" w:pos="4513"/>
        <w:tab w:val="right" w:pos="9026"/>
      </w:tabs>
    </w:pPr>
  </w:style>
  <w:style w:type="character" w:customStyle="1" w:styleId="HeaderChar">
    <w:name w:val="Header Char"/>
    <w:basedOn w:val="DefaultParagraphFont"/>
    <w:link w:val="Header"/>
    <w:uiPriority w:val="99"/>
    <w:rsid w:val="00CF7A9B"/>
  </w:style>
  <w:style w:type="paragraph" w:styleId="Footer">
    <w:name w:val="footer"/>
    <w:basedOn w:val="Normal"/>
    <w:link w:val="FooterChar"/>
    <w:uiPriority w:val="99"/>
    <w:unhideWhenUsed/>
    <w:rsid w:val="00CF7A9B"/>
    <w:pPr>
      <w:tabs>
        <w:tab w:val="center" w:pos="4513"/>
        <w:tab w:val="right" w:pos="9026"/>
      </w:tabs>
    </w:pPr>
  </w:style>
  <w:style w:type="character" w:customStyle="1" w:styleId="FooterChar">
    <w:name w:val="Footer Char"/>
    <w:basedOn w:val="DefaultParagraphFont"/>
    <w:link w:val="Footer"/>
    <w:uiPriority w:val="99"/>
    <w:rsid w:val="00CF7A9B"/>
  </w:style>
  <w:style w:type="character" w:styleId="Hyperlink">
    <w:name w:val="Hyperlink"/>
    <w:basedOn w:val="DefaultParagraphFont"/>
    <w:uiPriority w:val="99"/>
    <w:unhideWhenUsed/>
    <w:rsid w:val="00CF7A9B"/>
    <w:rPr>
      <w:color w:val="0000FF" w:themeColor="hyperlink"/>
      <w:u w:val="single"/>
    </w:rPr>
  </w:style>
  <w:style w:type="character" w:styleId="UnresolvedMention">
    <w:name w:val="Unresolved Mention"/>
    <w:basedOn w:val="DefaultParagraphFont"/>
    <w:uiPriority w:val="99"/>
    <w:semiHidden/>
    <w:unhideWhenUsed/>
    <w:rsid w:val="00CF7A9B"/>
    <w:rPr>
      <w:color w:val="605E5C"/>
      <w:shd w:val="clear" w:color="auto" w:fill="E1DFDD"/>
    </w:rPr>
  </w:style>
  <w:style w:type="character" w:styleId="CommentReference">
    <w:name w:val="annotation reference"/>
    <w:basedOn w:val="DefaultParagraphFont"/>
    <w:uiPriority w:val="99"/>
    <w:semiHidden/>
    <w:unhideWhenUsed/>
    <w:rsid w:val="00A07232"/>
    <w:rPr>
      <w:sz w:val="16"/>
      <w:szCs w:val="16"/>
    </w:rPr>
  </w:style>
  <w:style w:type="paragraph" w:styleId="CommentText">
    <w:name w:val="annotation text"/>
    <w:basedOn w:val="Normal"/>
    <w:link w:val="CommentTextChar"/>
    <w:uiPriority w:val="99"/>
    <w:semiHidden/>
    <w:unhideWhenUsed/>
    <w:rsid w:val="00A07232"/>
  </w:style>
  <w:style w:type="character" w:customStyle="1" w:styleId="CommentTextChar">
    <w:name w:val="Comment Text Char"/>
    <w:basedOn w:val="DefaultParagraphFont"/>
    <w:link w:val="CommentText"/>
    <w:uiPriority w:val="99"/>
    <w:semiHidden/>
    <w:rsid w:val="00A07232"/>
  </w:style>
  <w:style w:type="paragraph" w:styleId="CommentSubject">
    <w:name w:val="annotation subject"/>
    <w:basedOn w:val="CommentText"/>
    <w:next w:val="CommentText"/>
    <w:link w:val="CommentSubjectChar"/>
    <w:uiPriority w:val="99"/>
    <w:semiHidden/>
    <w:unhideWhenUsed/>
    <w:rsid w:val="00A07232"/>
    <w:rPr>
      <w:b/>
      <w:bCs/>
    </w:rPr>
  </w:style>
  <w:style w:type="character" w:customStyle="1" w:styleId="CommentSubjectChar">
    <w:name w:val="Comment Subject Char"/>
    <w:basedOn w:val="CommentTextChar"/>
    <w:link w:val="CommentSubject"/>
    <w:uiPriority w:val="99"/>
    <w:semiHidden/>
    <w:rsid w:val="00A072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1.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www.ncbi.nlm.nih.gov/pmc/articles/PMC6292145" TargetMode="External"/><Relationship Id="rId7" Type="http://schemas.openxmlformats.org/officeDocument/2006/relationships/header" Target="header1.xml"/><Relationship Id="rId12" Type="http://schemas.openxmlformats.org/officeDocument/2006/relationships/footer" Target="footer3.xml"/><Relationship Id="rId17" Type="http://schemas.microsoft.com/office/2018/08/relationships/commentsExtensible" Target="commentsExtensible.xml"/><Relationship Id="rId25" Type="http://schemas.openxmlformats.org/officeDocument/2006/relationships/header" Target="header5.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hyperlink" Target="https://www.ncbi.nlm.nih.gov/books/NBK482444/" TargetMode="Externa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www.ncbi.nlm.nih.gov/books/NBK482444/"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ncbi.nlm.nih.gov/pmc/articles/PMC290217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hyperlink" Target="https://www.ncbi.nlm.nih.gov/pmc/articles/PMC1873678/" TargetMode="External"/><Relationship Id="rId27" Type="http://schemas.openxmlformats.org/officeDocument/2006/relationships/header" Target="head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196</TotalTime>
  <Pages>7</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Haiya Sheth</cp:lastModifiedBy>
  <cp:revision>12</cp:revision>
  <dcterms:created xsi:type="dcterms:W3CDTF">2026-02-02T11:34:00Z</dcterms:created>
  <dcterms:modified xsi:type="dcterms:W3CDTF">2026-02-04T09:57:00Z</dcterms:modified>
</cp:coreProperties>
</file>